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770"/>
        <w:ind w:firstLine="0"/>
        <w:jc w:val="both"/>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rPr>
          <w:rFonts w:hint="eastAsia" w:ascii="黑体" w:hAnsi="华文中宋" w:eastAsia="黑体"/>
          <w:bCs/>
          <w:color w:val="000000"/>
          <w:spacing w:val="20"/>
          <w:sz w:val="84"/>
          <w:szCs w:val="84"/>
          <w:highlight w:val="none"/>
        </w:rPr>
      </w:r>
      <w:r/>
    </w:p>
    <w:p>
      <w:pPr>
        <w:pStyle w:val="770"/>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t xml:space="preserve">（暗标）</w:t>
      </w:r>
      <w:r>
        <w:rPr>
          <w:rFonts w:ascii="黑体" w:hAnsi="华文中宋" w:eastAsia="黑体"/>
          <w:bCs/>
          <w:color w:val="000000"/>
          <w:spacing w:val="20"/>
          <w:sz w:val="52"/>
          <w:szCs w:val="52"/>
          <w:highlight w:val="none"/>
        </w:rPr>
      </w:r>
      <w:r/>
    </w:p>
    <w:p>
      <w:pPr>
        <w:pStyle w:val="77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7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7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682"/>
        <w:ind w:firstLine="1920"/>
        <w:jc w:val="left"/>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项目编号</w:t>
      </w:r>
      <w:r>
        <w:rPr>
          <w:rFonts w:hint="eastAsia" w:ascii="黑体" w:hAnsi="华文中宋" w:eastAsia="黑体" w:cs="Times New Roman"/>
          <w:bCs/>
          <w:color w:val="000000"/>
          <w:sz w:val="32"/>
          <w:szCs w:val="32"/>
          <w:highlight w:val="none"/>
        </w:rPr>
        <w:t xml:space="preserve">：JSZC-320214-JZCG-G2026-0009</w:t>
      </w:r>
      <w:r>
        <w:rPr>
          <w:rFonts w:ascii="黑体" w:hAnsi="华文中宋" w:eastAsia="黑体"/>
          <w:bCs/>
          <w:color w:val="000000"/>
          <w:sz w:val="32"/>
          <w:szCs w:val="32"/>
          <w:highlight w:val="none"/>
        </w:rPr>
      </w:r>
      <w:r/>
    </w:p>
    <w:p>
      <w:pPr>
        <w:pStyle w:val="682"/>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w:t>
      </w:r>
      <w:r>
        <w:rPr>
          <w:rFonts w:hint="eastAsia" w:ascii="黑体" w:hAnsi="华文中宋" w:eastAsia="黑体" w:cs="Times New Roman"/>
          <w:bCs/>
          <w:color w:val="000000"/>
          <w:sz w:val="32"/>
          <w:szCs w:val="32"/>
          <w:highlight w:val="none"/>
        </w:rPr>
        <w:t xml:space="preserve">南山慈善家园物业服务项目</w:t>
      </w:r>
      <w:r>
        <w:rPr>
          <w:rFonts w:hint="eastAsia" w:ascii="黑体" w:hAnsi="华文中宋" w:eastAsia="黑体"/>
          <w:bCs/>
          <w:color w:val="000000"/>
          <w:sz w:val="32"/>
          <w:szCs w:val="32"/>
          <w:highlight w:val="none"/>
        </w:rPr>
      </w:r>
      <w:r/>
    </w:p>
    <w:p>
      <w:pPr>
        <w:pStyle w:val="682"/>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采 购 人：</w:t>
      </w:r>
      <w:r>
        <w:rPr>
          <w:rFonts w:hint="eastAsia" w:ascii="黑体" w:hAnsi="华文中宋" w:eastAsia="黑体" w:cs="Times New Roman"/>
          <w:bCs/>
          <w:color w:val="000000"/>
          <w:sz w:val="32"/>
          <w:szCs w:val="32"/>
          <w:highlight w:val="none"/>
        </w:rPr>
        <w:t xml:space="preserve">无锡市新吴区人民政府</w:t>
      </w:r>
      <w:r>
        <w:rPr>
          <w:rFonts w:hint="eastAsia" w:ascii="黑体" w:hAnsi="华文中宋" w:eastAsia="黑体" w:cs="Times New Roman"/>
          <w:bCs/>
          <w:color w:val="000000"/>
          <w:sz w:val="32"/>
          <w:szCs w:val="32"/>
          <w:highlight w:val="none"/>
          <w:lang w:val="en-US" w:eastAsia="zh-CN"/>
        </w:rPr>
        <w:t xml:space="preserve">江溪</w:t>
      </w:r>
      <w:r>
        <w:rPr>
          <w:rFonts w:hint="eastAsia" w:ascii="黑体" w:hAnsi="华文中宋" w:eastAsia="黑体" w:cs="Times New Roman"/>
          <w:bCs/>
          <w:color w:val="000000"/>
          <w:sz w:val="32"/>
          <w:szCs w:val="32"/>
          <w:highlight w:val="none"/>
        </w:rPr>
        <w:t xml:space="preserve">街道办事处</w:t>
      </w:r>
      <w:r>
        <w:rPr>
          <w:rFonts w:hint="eastAsia" w:ascii="黑体" w:hAnsi="华文中宋" w:eastAsia="黑体"/>
          <w:bCs/>
          <w:color w:val="000000"/>
          <w:sz w:val="32"/>
          <w:szCs w:val="32"/>
          <w:highlight w:val="none"/>
        </w:rPr>
      </w:r>
      <w:r/>
    </w:p>
    <w:p>
      <w:pPr>
        <w:pStyle w:val="682"/>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70"/>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770"/>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三</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70"/>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20823272"/>
      <w:r/>
      <w:bookmarkStart w:id="2" w:name="_Toc523127445"/>
      <w:r/>
      <w:bookmarkStart w:id="3" w:name="_Toc513029200"/>
      <w:r/>
      <w:bookmarkStart w:id="4" w:name="_Toc16938516"/>
      <w:r/>
      <w:bookmarkStart w:id="5" w:name="_Toc479757206"/>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682"/>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pStyle w:val="68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rPr>
      </w:r>
      <w:r/>
    </w:p>
    <w:p>
      <w:pPr>
        <w:pStyle w:val="68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rPr>
      </w:r>
      <w:r/>
    </w:p>
    <w:p>
      <w:pPr>
        <w:pStyle w:val="68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rPr>
      </w:r>
      <w:r/>
    </w:p>
    <w:p>
      <w:pPr>
        <w:pStyle w:val="68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rPr>
      </w:r>
      <w:r/>
    </w:p>
    <w:p>
      <w:pPr>
        <w:pStyle w:val="68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rPr>
      </w:r>
      <w:r/>
    </w:p>
    <w:p>
      <w:pPr>
        <w:pStyle w:val="68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rPr>
      </w:r>
      <w:r/>
    </w:p>
    <w:p>
      <w:pPr>
        <w:pStyle w:val="682"/>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r>
        <w:rPr>
          <w:rFonts w:hint="eastAsia" w:ascii="黑体" w:hAnsi="黑体" w:eastAsia="黑体"/>
          <w:color w:val="000000"/>
          <w:sz w:val="36"/>
          <w:szCs w:val="36"/>
          <w:highlight w:val="none"/>
        </w:rPr>
      </w:r>
      <w:r/>
    </w:p>
    <w:p>
      <w:pPr>
        <w:pStyle w:val="682"/>
        <w:ind w:firstLine="480"/>
        <w:spacing w:line="500" w:lineRule="exact"/>
        <w:rPr>
          <w:rFonts w:hint="eastAsia" w:ascii="宋体" w:hAnsi="宋体" w:eastAsia="宋体" w:cs="Times New Roman"/>
          <w:color w:val="000000"/>
          <w:sz w:val="24"/>
          <w:szCs w:val="24"/>
          <w:highlight w:val="none"/>
          <w:lang w:eastAsia="zh-CN"/>
        </w:rPr>
      </w:pPr>
      <w:r/>
      <w:bookmarkEnd w:id="0"/>
      <w:r>
        <w:rPr>
          <w:rFonts w:hint="eastAsia" w:ascii="宋体" w:hAnsi="宋体" w:eastAsia="宋体" w:cs="Times New Roman"/>
          <w:color w:val="000000"/>
          <w:sz w:val="24"/>
          <w:szCs w:val="24"/>
          <w:highlight w:val="none"/>
          <w:lang w:eastAsia="zh-CN"/>
        </w:rPr>
        <w:t xml:space="preserve">受无锡市新吴区人民政府</w:t>
      </w:r>
      <w:r>
        <w:rPr>
          <w:rFonts w:hint="eastAsia" w:ascii="宋体" w:hAnsi="宋体" w:eastAsia="宋体" w:cs="Times New Roman"/>
          <w:color w:val="000000"/>
          <w:sz w:val="24"/>
          <w:szCs w:val="24"/>
          <w:highlight w:val="none"/>
          <w:lang w:val="en-US" w:eastAsia="zh-CN"/>
        </w:rPr>
        <w:t xml:space="preserve">江溪</w:t>
      </w:r>
      <w:r>
        <w:rPr>
          <w:rFonts w:hint="eastAsia" w:ascii="宋体" w:hAnsi="宋体" w:eastAsia="宋体" w:cs="Times New Roman"/>
          <w:color w:val="000000"/>
          <w:sz w:val="24"/>
          <w:szCs w:val="24"/>
          <w:highlight w:val="none"/>
          <w:lang w:eastAsia="zh-CN"/>
        </w:rPr>
        <w:t xml:space="preserve">街道办事处的委托，无锡市公共资源交易中心新吴分中心就南山慈善家园物业服务项目（JSZC-320214-JZCG-G2026-0009）进行公开招标采购，欢迎符合条件的供应商投标。</w:t>
      </w:r>
      <w:r>
        <w:rPr>
          <w:rFonts w:hint="eastAsia" w:ascii="宋体" w:hAnsi="宋体" w:eastAsia="宋体" w:cs="Times New Roman"/>
          <w:color w:val="000000"/>
          <w:sz w:val="24"/>
          <w:szCs w:val="24"/>
          <w:highlight w:val="none"/>
          <w:lang w:eastAsia="zh-CN"/>
        </w:rPr>
      </w:r>
      <w:r/>
    </w:p>
    <w:p>
      <w:pPr>
        <w:pStyle w:val="682"/>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682"/>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4"/>
          <w:szCs w:val="24"/>
          <w:highlight w:val="none"/>
          <w:lang w:eastAsia="zh-CN"/>
        </w:rPr>
        <w:t xml:space="preserve">南山慈善家园物业服务</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r>
      <w:r>
        <w:rPr>
          <w:rFonts w:hint="eastAsia" w:ascii="宋体" w:hAnsi="宋体"/>
          <w:color w:val="000000"/>
          <w:sz w:val="24"/>
          <w:szCs w:val="24"/>
          <w:highlight w:val="none"/>
        </w:rPr>
        <w:t xml:space="preserve">1日09点30分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685"/>
        <w:ind w:firstLine="452"/>
        <w:keepLines w:val="0"/>
        <w:keepNext w:val="0"/>
        <w:spacing w:before="0" w:after="0" w:line="500" w:lineRule="exact"/>
        <w:rPr>
          <w:color w:val="000000"/>
          <w:sz w:val="30"/>
          <w:szCs w:val="30"/>
          <w:highlight w:val="none"/>
        </w:rPr>
      </w:pPr>
      <w:r/>
      <w:bookmarkStart w:id="6" w:name="_Toc38985263"/>
      <w:r/>
      <w:bookmarkStart w:id="7" w:name="_Toc35393790"/>
      <w:r/>
      <w:bookmarkStart w:id="8" w:name="_Toc28359002"/>
      <w:r/>
      <w:bookmarkStart w:id="9" w:name="_Toc28359079"/>
      <w:r/>
      <w:bookmarkStart w:id="10" w:name="_Toc35393621"/>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JSZC-320214-JZCG-G2026-0009</w:t>
      </w:r>
      <w:r>
        <w:rPr>
          <w:rFonts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lang w:eastAsia="zh-CN"/>
        </w:rPr>
        <w:t xml:space="preserve">南山慈善家园物业服务项目</w:t>
      </w:r>
      <w:r>
        <w:rPr>
          <w:rFonts w:ascii="宋体" w:hAnsi="宋体"/>
          <w:color w:val="000000"/>
          <w:sz w:val="24"/>
          <w:szCs w:val="24"/>
          <w:highlight w:val="none"/>
        </w:rPr>
      </w:r>
      <w:r/>
    </w:p>
    <w:p>
      <w:pPr>
        <w:pStyle w:val="682"/>
        <w:ind w:firstLine="480"/>
        <w:spacing w:line="500" w:lineRule="exact"/>
        <w:rPr>
          <w:rFonts w:hint="eastAsia" w:ascii="宋体" w:hAnsi="宋体" w:eastAsia="宋体" w:cs="Times New Roman"/>
          <w:color w:val="000000"/>
          <w:sz w:val="24"/>
          <w:szCs w:val="24"/>
          <w:highlight w:val="none"/>
          <w:lang w:eastAsia="zh-CN"/>
        </w:rPr>
      </w:pPr>
      <w:r/>
      <w:bookmarkEnd w:id="11"/>
      <w:r>
        <w:rPr>
          <w:rFonts w:hint="eastAsia" w:ascii="宋体" w:hAnsi="宋体"/>
          <w:color w:val="000000"/>
          <w:sz w:val="24"/>
          <w:szCs w:val="24"/>
          <w:highlight w:val="none"/>
        </w:rPr>
        <w:t xml:space="preserve">3.项</w:t>
      </w:r>
      <w:r>
        <w:rPr>
          <w:rFonts w:hint="eastAsia" w:ascii="宋体" w:hAnsi="宋体" w:eastAsia="宋体" w:cs="Times New Roman"/>
          <w:color w:val="000000"/>
          <w:sz w:val="24"/>
          <w:szCs w:val="24"/>
          <w:highlight w:val="none"/>
          <w:lang w:eastAsia="zh-CN"/>
        </w:rPr>
        <w:t xml:space="preserve">目预算金额：575 万元</w:t>
      </w:r>
      <w:r>
        <w:rPr>
          <w:rFonts w:hint="eastAsia" w:ascii="宋体" w:hAnsi="宋体" w:eastAsia="宋体" w:cs="Times New Roman"/>
          <w:color w:val="000000"/>
          <w:sz w:val="24"/>
          <w:szCs w:val="24"/>
          <w:highlight w:val="none"/>
          <w:lang w:eastAsia="zh-CN"/>
        </w:rPr>
      </w:r>
      <w:r/>
    </w:p>
    <w:p>
      <w:pPr>
        <w:pStyle w:val="682"/>
        <w:ind w:firstLine="480"/>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4.项目最高限价：</w:t>
      </w:r>
      <w:r>
        <w:rPr>
          <w:rFonts w:hint="eastAsia" w:ascii="宋体" w:hAnsi="宋体" w:eastAsia="宋体" w:cs="Times New Roman"/>
          <w:color w:val="000000"/>
          <w:sz w:val="24"/>
          <w:szCs w:val="24"/>
          <w:highlight w:val="none"/>
          <w:lang w:val="en-US" w:eastAsia="zh-CN"/>
        </w:rPr>
        <w:t xml:space="preserve">550</w:t>
      </w:r>
      <w:r>
        <w:rPr>
          <w:rFonts w:hint="eastAsia" w:ascii="宋体" w:hAnsi="宋体" w:eastAsia="宋体" w:cs="Times New Roman"/>
          <w:color w:val="000000"/>
          <w:sz w:val="24"/>
          <w:szCs w:val="24"/>
          <w:highlight w:val="none"/>
          <w:lang w:eastAsia="zh-CN"/>
        </w:rPr>
        <w:t xml:space="preserve">万元</w:t>
      </w:r>
      <w:r>
        <w:rPr>
          <w:rFonts w:hint="eastAsia" w:ascii="宋体" w:hAnsi="宋体" w:eastAsia="宋体" w:cs="Times New Roman"/>
          <w:color w:val="000000"/>
          <w:sz w:val="24"/>
          <w:szCs w:val="24"/>
          <w:highlight w:val="none"/>
          <w:lang w:eastAsia="zh-CN"/>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5.采购方式：公开招标（暗标）</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682"/>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w:t>
      </w:r>
      <w:r>
        <w:rPr>
          <w:rFonts w:hint="eastAsia" w:ascii="宋体" w:hAnsi="宋体" w:eastAsia="宋体" w:cs="宋体"/>
          <w:color w:val="000000"/>
          <w:sz w:val="24"/>
          <w:szCs w:val="24"/>
          <w:highlight w:val="none"/>
        </w:rPr>
        <w:t xml:space="preserve">目不接受联合体投标。</w:t>
      </w:r>
      <w:r>
        <w:rPr>
          <w:rFonts w:ascii="宋体" w:hAnsi="宋体" w:cs="宋体"/>
          <w:color w:val="000000"/>
          <w:sz w:val="24"/>
          <w:szCs w:val="24"/>
          <w:highlight w:val="none"/>
        </w:rPr>
      </w:r>
      <w:r/>
    </w:p>
    <w:p>
      <w:pPr>
        <w:pStyle w:val="685"/>
        <w:ind w:firstLine="452"/>
        <w:keepLines w:val="0"/>
        <w:keepNext w:val="0"/>
        <w:spacing w:before="0" w:after="0" w:line="500" w:lineRule="exact"/>
        <w:rPr>
          <w:color w:val="000000"/>
          <w:sz w:val="30"/>
          <w:szCs w:val="30"/>
          <w:highlight w:val="none"/>
        </w:rPr>
      </w:pPr>
      <w:r/>
      <w:bookmarkStart w:id="12" w:name="_Toc28359080"/>
      <w:r/>
      <w:bookmarkStart w:id="13" w:name="_Toc38985264"/>
      <w:r/>
      <w:bookmarkStart w:id="14" w:name="_Toc28359003"/>
      <w:r/>
      <w:bookmarkStart w:id="15" w:name="_Toc35393791"/>
      <w:r/>
      <w:bookmarkStart w:id="16" w:name="_Toc35393622"/>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682"/>
        <w:ind w:firstLine="480"/>
        <w:spacing w:line="500" w:lineRule="exact"/>
        <w:rPr>
          <w:rFonts w:ascii="宋体" w:hAnsi="宋体"/>
          <w:color w:val="000000"/>
          <w:sz w:val="24"/>
          <w:szCs w:val="24"/>
          <w:highlight w:val="none"/>
        </w:rPr>
      </w:pPr>
      <w:r/>
      <w:bookmarkStart w:id="17" w:name="_Toc35393623"/>
      <w:r/>
      <w:bookmarkStart w:id="18" w:name="_Toc35393792"/>
      <w:r/>
      <w:bookmarkStart w:id="19" w:name="_Toc28359081"/>
      <w:r/>
      <w:bookmarkStart w:id="20" w:name="_Toc28359004"/>
      <w:r/>
      <w:bookmarkStart w:id="21" w:name="_Toc38985265"/>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w:t>
      </w:r>
      <w:r>
        <w:rPr>
          <w:rFonts w:hint="eastAsia" w:ascii="宋体" w:hAnsi="宋体" w:eastAsia="宋体" w:cs="Times New Roman"/>
          <w:color w:val="000000"/>
          <w:sz w:val="24"/>
          <w:szCs w:val="24"/>
          <w:highlight w:val="none"/>
        </w:rPr>
        <w:t xml:space="preserve">：本项目专门面向中小企业；</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w:t>
      </w:r>
      <w:r>
        <w:rPr>
          <w:rFonts w:hint="eastAsia" w:ascii="宋体" w:hAnsi="宋体" w:eastAsia="宋体" w:cs="Times New Roman"/>
          <w:color w:val="000000"/>
          <w:sz w:val="24"/>
          <w:szCs w:val="24"/>
          <w:highlight w:val="none"/>
        </w:rPr>
        <w:t xml:space="preserve">求：无。</w:t>
      </w:r>
      <w:r>
        <w:rPr>
          <w:rFonts w:ascii="宋体" w:hAnsi="宋体" w:cs="宋体"/>
          <w:color w:val="000000"/>
          <w:sz w:val="24"/>
          <w:szCs w:val="24"/>
          <w:highlight w:val="none"/>
        </w:rPr>
      </w:r>
      <w:r/>
    </w:p>
    <w:p>
      <w:pPr>
        <w:pStyle w:val="68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682"/>
        <w:ind w:firstLine="540"/>
        <w:spacing w:line="500" w:lineRule="exact"/>
        <w:rPr>
          <w:rFonts w:hint="eastAsia" w:ascii="宋体" w:hAnsi="宋体" w:cs="宋体"/>
          <w:color w:val="000000"/>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s="宋体"/>
          <w:color w:val="000000"/>
          <w:sz w:val="24"/>
          <w:szCs w:val="24"/>
          <w:highlight w:val="none"/>
        </w:rPr>
      </w:r>
      <w:r/>
    </w:p>
    <w:p>
      <w:pPr>
        <w:pStyle w:val="682"/>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682"/>
        <w:ind w:firstLine="540"/>
        <w:spacing w:line="500" w:lineRule="exact"/>
        <w:rPr>
          <w:rStyle w:val="759"/>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759"/>
          <w:color w:val="000000"/>
          <w:highlight w:val="none"/>
        </w:rPr>
      </w:r>
      <w:r/>
    </w:p>
    <w:p>
      <w:pPr>
        <w:pStyle w:val="682"/>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68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rPr>
        <w:t xml:space="preserve">1日09点30分（北京时间）</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685"/>
        <w:ind w:firstLine="452"/>
        <w:keepLines w:val="0"/>
        <w:keepNext w:val="0"/>
        <w:spacing w:before="0" w:after="0" w:line="500" w:lineRule="exact"/>
        <w:rPr>
          <w:color w:val="000000"/>
          <w:sz w:val="30"/>
          <w:szCs w:val="30"/>
          <w:highlight w:val="none"/>
        </w:rPr>
      </w:pPr>
      <w:r/>
      <w:bookmarkStart w:id="27" w:name="_Toc35393794"/>
      <w:r/>
      <w:bookmarkStart w:id="28" w:name="_Toc28359084"/>
      <w:r/>
      <w:bookmarkStart w:id="29" w:name="_Toc28359007"/>
      <w:r/>
      <w:bookmarkStart w:id="30" w:name="_Toc38985267"/>
      <w:r/>
      <w:bookmarkStart w:id="31" w:name="_Toc35393625"/>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682"/>
        <w:ind w:firstLine="480"/>
        <w:spacing w:line="500" w:lineRule="exact"/>
        <w:rPr>
          <w:rFonts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68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685"/>
        <w:ind w:firstLine="452"/>
        <w:keepLines w:val="0"/>
        <w:keepNext w:val="0"/>
        <w:spacing w:before="0" w:after="0" w:line="500" w:lineRule="exact"/>
        <w:rPr>
          <w:color w:val="000000"/>
          <w:sz w:val="30"/>
          <w:szCs w:val="30"/>
          <w:highlight w:val="none"/>
        </w:rPr>
      </w:pPr>
      <w:r/>
      <w:bookmarkStart w:id="35" w:name="_Toc28359085"/>
      <w:r/>
      <w:bookmarkStart w:id="36" w:name="_Toc38985269"/>
      <w:r/>
      <w:bookmarkStart w:id="37" w:name="_Toc35393796"/>
      <w:r/>
      <w:bookmarkStart w:id="38" w:name="_Toc28359008"/>
      <w:r/>
      <w:bookmarkStart w:id="39" w:name="_Toc35393627"/>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eastAsia="宋体" w:cs="Times New Roman"/>
          <w:color w:val="000000"/>
          <w:sz w:val="24"/>
          <w:szCs w:val="24"/>
          <w:highlight w:val="none"/>
          <w:lang w:eastAsia="zh-CN"/>
        </w:rPr>
        <w:t xml:space="preserve">无锡市新吴区人民政府</w:t>
      </w:r>
      <w:r>
        <w:rPr>
          <w:rFonts w:hint="eastAsia" w:ascii="宋体" w:hAnsi="宋体" w:eastAsia="宋体" w:cs="Times New Roman"/>
          <w:color w:val="000000"/>
          <w:sz w:val="24"/>
          <w:szCs w:val="24"/>
          <w:highlight w:val="none"/>
          <w:lang w:val="en-US" w:eastAsia="zh-CN"/>
        </w:rPr>
        <w:t xml:space="preserve">江溪</w:t>
      </w:r>
      <w:r>
        <w:rPr>
          <w:rFonts w:hint="eastAsia" w:ascii="宋体" w:hAnsi="宋体" w:eastAsia="宋体" w:cs="Times New Roman"/>
          <w:color w:val="000000"/>
          <w:sz w:val="24"/>
          <w:szCs w:val="24"/>
          <w:highlight w:val="none"/>
          <w:lang w:eastAsia="zh-CN"/>
        </w:rPr>
        <w:t xml:space="preserve">街道办事处</w:t>
      </w:r>
      <w:r>
        <w:rPr>
          <w:rFonts w:ascii="宋体" w:hAnsi="宋体" w:cs="宋体"/>
          <w:color w:val="000000"/>
          <w:sz w:val="24"/>
          <w:szCs w:val="24"/>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eastAsia="宋体" w:cs="Times New Roman"/>
          <w:color w:val="000000"/>
          <w:sz w:val="24"/>
          <w:szCs w:val="24"/>
          <w:highlight w:val="none"/>
          <w:lang w:eastAsia="zh-CN"/>
        </w:rPr>
        <w:t xml:space="preserve">无锡市新吴区苏巷路1号</w:t>
      </w:r>
      <w:r>
        <w:rPr>
          <w:rFonts w:ascii="宋体" w:hAnsi="宋体" w:cs="宋体"/>
          <w:color w:val="000000"/>
          <w:sz w:val="24"/>
          <w:szCs w:val="24"/>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09"/>
      <w:r/>
      <w:bookmarkStart w:id="41" w:name="_Toc28359086"/>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68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无锡市公共资源交易中心新吴分中心</w:t>
      </w:r>
      <w:r>
        <w:rPr>
          <w:rFonts w:hint="eastAsia" w:ascii="宋体" w:hAnsi="宋体" w:eastAsia="宋体" w:cs="宋体"/>
          <w:color w:val="000000"/>
          <w:sz w:val="24"/>
          <w:szCs w:val="24"/>
          <w:highlight w:val="none"/>
          <w:lang w:eastAsia="zh-CN"/>
        </w:rPr>
      </w:r>
      <w:r/>
    </w:p>
    <w:p>
      <w:pPr>
        <w:pStyle w:val="682"/>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址：无锡市</w:t>
      </w:r>
      <w:r>
        <w:rPr>
          <w:rFonts w:hint="eastAsia" w:ascii="宋体" w:hAnsi="宋体" w:cs="宋体"/>
          <w:color w:val="000000"/>
          <w:sz w:val="24"/>
          <w:szCs w:val="24"/>
          <w:highlight w:val="none"/>
          <w:lang w:val="en-US" w:eastAsia="zh-CN"/>
        </w:rPr>
        <w:t xml:space="preserve">新吴</w:t>
      </w:r>
      <w:r>
        <w:rPr>
          <w:rFonts w:hint="eastAsia" w:ascii="宋体" w:hAnsi="宋体" w:cs="宋体"/>
          <w:color w:val="000000"/>
          <w:sz w:val="24"/>
          <w:szCs w:val="24"/>
          <w:highlight w:val="none"/>
        </w:rPr>
        <w:t xml:space="preserve">区</w:t>
      </w:r>
      <w:r>
        <w:rPr>
          <w:rFonts w:hint="eastAsia" w:ascii="宋体" w:hAnsi="宋体" w:cs="宋体"/>
          <w:color w:val="000000"/>
          <w:sz w:val="24"/>
          <w:szCs w:val="24"/>
          <w:highlight w:val="none"/>
          <w:lang w:val="en-US" w:eastAsia="zh-CN"/>
        </w:rPr>
        <w:t xml:space="preserve">清晏</w:t>
      </w:r>
      <w:r>
        <w:rPr>
          <w:rFonts w:hint="eastAsia" w:ascii="宋体" w:hAnsi="宋体" w:cs="宋体"/>
          <w:color w:val="000000"/>
          <w:sz w:val="24"/>
          <w:szCs w:val="24"/>
          <w:highlight w:val="none"/>
        </w:rPr>
        <w:t xml:space="preserve">路</w:t>
      </w:r>
      <w:r>
        <w:rPr>
          <w:rFonts w:hint="eastAsia" w:ascii="宋体" w:hAnsi="宋体" w:cs="宋体"/>
          <w:color w:val="000000"/>
          <w:sz w:val="24"/>
          <w:szCs w:val="24"/>
          <w:highlight w:val="none"/>
          <w:lang w:val="en-US" w:eastAsia="zh-CN"/>
        </w:rPr>
        <w:t xml:space="preserve">30号</w:t>
      </w:r>
      <w:r>
        <w:rPr>
          <w:rFonts w:ascii="宋体" w:hAnsi="宋体" w:eastAsia="宋体" w:cs="宋体"/>
          <w:color w:val="000000"/>
          <w:sz w:val="24"/>
          <w:szCs w:val="24"/>
          <w:highlight w:val="none"/>
          <w:lang w:val="en-US" w:eastAsia="zh-CN"/>
        </w:rPr>
      </w:r>
      <w:r/>
    </w:p>
    <w:p>
      <w:pPr>
        <w:pStyle w:val="68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68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68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采购人项目咨询联系人：周晓静；电话：0510-82110033</w:t>
      </w:r>
      <w:r>
        <w:rPr>
          <w:rFonts w:hint="eastAsia" w:ascii="宋体" w:hAnsi="宋体" w:cs="宋体"/>
          <w:color w:val="000000"/>
          <w:sz w:val="24"/>
          <w:szCs w:val="24"/>
          <w:highlight w:val="none"/>
        </w:rPr>
      </w:r>
      <w:r/>
    </w:p>
    <w:p>
      <w:pPr>
        <w:pStyle w:val="68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采购人质疑受理联系人：周晓静；电话：0510-82110033</w:t>
      </w:r>
      <w:r>
        <w:rPr>
          <w:rFonts w:hint="eastAsia" w:ascii="宋体" w:hAnsi="宋体" w:cs="宋体"/>
          <w:color w:val="000000"/>
          <w:sz w:val="24"/>
          <w:szCs w:val="24"/>
          <w:highlight w:val="none"/>
        </w:rPr>
      </w:r>
      <w:r/>
    </w:p>
    <w:p>
      <w:pPr>
        <w:pStyle w:val="682"/>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交易中心项目联系人：</w:t>
      </w:r>
      <w:r>
        <w:rPr>
          <w:rFonts w:hint="eastAsia" w:ascii="宋体" w:hAnsi="宋体" w:cs="宋体"/>
          <w:color w:val="000000"/>
          <w:sz w:val="24"/>
          <w:szCs w:val="24"/>
          <w:highlight w:val="none"/>
          <w:lang w:val="en-US" w:eastAsia="zh-CN"/>
        </w:rPr>
        <w:t xml:space="preserve">陈辰</w:t>
      </w:r>
      <w:r>
        <w:rPr>
          <w:rFonts w:hint="eastAsia" w:ascii="宋体" w:hAnsi="宋体" w:cs="宋体"/>
          <w:color w:val="000000"/>
          <w:sz w:val="24"/>
          <w:szCs w:val="24"/>
          <w:highlight w:val="none"/>
        </w:rPr>
        <w:t xml:space="preserve">；电话：0510-</w:t>
      </w:r>
      <w:r>
        <w:rPr>
          <w:rFonts w:hint="eastAsia" w:ascii="宋体" w:hAnsi="宋体" w:cs="宋体"/>
          <w:color w:val="000000"/>
          <w:sz w:val="24"/>
          <w:szCs w:val="24"/>
          <w:highlight w:val="none"/>
          <w:lang w:val="en-US" w:eastAsia="zh-CN"/>
        </w:rPr>
        <w:t xml:space="preserve">85253025</w:t>
      </w:r>
      <w:r>
        <w:rPr>
          <w:rFonts w:ascii="宋体" w:hAnsi="宋体" w:eastAsia="宋体" w:cs="宋体"/>
          <w:color w:val="000000"/>
          <w:sz w:val="24"/>
          <w:szCs w:val="24"/>
          <w:highlight w:val="none"/>
          <w:lang w:val="en-US" w:eastAsia="zh-CN"/>
        </w:rPr>
      </w:r>
      <w:r/>
    </w:p>
    <w:p>
      <w:pPr>
        <w:pStyle w:val="68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682"/>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682"/>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682"/>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在“江苏政府采购网”发布的更正公告。</w:t>
      </w:r>
      <w:r>
        <w:rPr>
          <w:rFonts w:hint="eastAsia" w:ascii="宋体" w:hAnsi="宋体"/>
          <w:bCs/>
          <w:color w:val="000000"/>
          <w:sz w:val="24"/>
          <w:szCs w:val="24"/>
          <w:highlight w:val="none"/>
        </w:rPr>
      </w:r>
      <w:r/>
    </w:p>
    <w:p>
      <w:pPr>
        <w:pStyle w:val="682"/>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rPr>
      </w:r>
      <w:r/>
    </w:p>
    <w:p>
      <w:pPr>
        <w:pStyle w:val="682"/>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82"/>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shd w:val="clear" w:color="ffffff" w:fill="d9d9d9"/>
        </w:rPr>
      </w:r>
      <w:r/>
    </w:p>
    <w:p>
      <w:pPr>
        <w:pStyle w:val="682"/>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黑体" w:hAnsi="黑体" w:eastAsia="黑体"/>
          <w:color w:val="000000"/>
          <w:sz w:val="36"/>
          <w:szCs w:val="36"/>
          <w:highlight w:val="none"/>
        </w:rPr>
        <w:t xml:space="preserve">投标人须知</w:t>
      </w:r>
      <w:bookmarkEnd w:id="43"/>
      <w:r/>
      <w:bookmarkEnd w:id="44"/>
      <w:r/>
      <w:bookmarkEnd w:id="45"/>
      <w:r/>
      <w:bookmarkEnd w:id="46"/>
      <w:r>
        <w:rPr>
          <w:rFonts w:hint="eastAsia" w:ascii="黑体" w:hAnsi="黑体" w:eastAsia="黑体"/>
          <w:color w:val="000000"/>
          <w:sz w:val="36"/>
          <w:szCs w:val="36"/>
          <w:highlight w:val="none"/>
        </w:rPr>
      </w:r>
      <w:r/>
    </w:p>
    <w:p>
      <w:pPr>
        <w:pStyle w:val="685"/>
        <w:ind w:firstLine="452"/>
        <w:keepLines w:val="0"/>
        <w:keepNext w:val="0"/>
        <w:spacing w:before="0" w:after="0" w:line="500" w:lineRule="exact"/>
        <w:rPr>
          <w:rFonts w:hint="eastAsia"/>
          <w:color w:val="000000"/>
          <w:sz w:val="30"/>
          <w:szCs w:val="30"/>
          <w:highlight w:val="none"/>
        </w:rPr>
      </w:pPr>
      <w:r/>
      <w:bookmarkStart w:id="47" w:name="_Toc20823275"/>
      <w:r/>
      <w:bookmarkStart w:id="48" w:name="_Toc120614214"/>
      <w:r/>
      <w:bookmarkStart w:id="49" w:name="_Toc16938519"/>
      <w:r/>
      <w:bookmarkStart w:id="50" w:name="_Toc513029203"/>
      <w:r>
        <w:rPr>
          <w:rFonts w:hint="eastAsia"/>
          <w:color w:val="000000"/>
          <w:sz w:val="30"/>
          <w:szCs w:val="30"/>
          <w:highlight w:val="none"/>
        </w:rPr>
        <w:t xml:space="preserve">一、总则</w:t>
      </w:r>
      <w:bookmarkEnd w:id="47"/>
      <w:r/>
      <w:bookmarkEnd w:id="48"/>
      <w:r/>
      <w:bookmarkEnd w:id="49"/>
      <w:r/>
      <w:bookmarkEnd w:id="50"/>
      <w:r>
        <w:rPr>
          <w:rFonts w:hint="eastAsia"/>
          <w:color w:val="000000"/>
          <w:sz w:val="30"/>
          <w:szCs w:val="3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000000"/>
          <w:highlight w:val="none"/>
        </w:rPr>
        <w:t xml:space="preserve">1.招标方式</w:t>
      </w:r>
      <w:bookmarkEnd w:id="52"/>
      <w:r/>
      <w:bookmarkEnd w:id="53"/>
      <w:r/>
      <w:bookmarkEnd w:id="54"/>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hint="eastAsia" w:ascii="宋体" w:hAnsi="宋体"/>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55" w:name="_Toc16938521"/>
      <w:r/>
      <w:bookmarkStart w:id="56" w:name="_Toc20823277"/>
      <w:r/>
      <w:bookmarkStart w:id="57" w:name="_Toc513029205"/>
      <w:r>
        <w:rPr>
          <w:rFonts w:hint="eastAsia" w:ascii="宋体" w:hAnsi="宋体" w:eastAsia="宋体"/>
          <w:bCs w:val="0"/>
          <w:color w:val="000000"/>
          <w:highlight w:val="none"/>
        </w:rPr>
        <w:t xml:space="preserve">2.</w:t>
      </w:r>
      <w:bookmarkEnd w:id="55"/>
      <w:r/>
      <w:bookmarkEnd w:id="56"/>
      <w:r/>
      <w:bookmarkEnd w:id="57"/>
      <w:r>
        <w:rPr>
          <w:rFonts w:hint="eastAsia" w:ascii="宋体" w:hAnsi="宋体" w:eastAsia="宋体"/>
          <w:bCs w:val="0"/>
          <w:color w:val="000000"/>
          <w:highlight w:val="none"/>
        </w:rPr>
        <w:t xml:space="preserve">采购人、采购代理机构、投标人、联合体</w:t>
      </w:r>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58" w:name="_Toc20823278"/>
      <w:r/>
      <w:bookmarkStart w:id="59" w:name="_Toc16938522"/>
      <w:r/>
      <w:bookmarkStart w:id="60" w:name="_Toc513029206"/>
      <w:r>
        <w:rPr>
          <w:rFonts w:hint="eastAsia" w:ascii="宋体" w:hAnsi="宋体" w:eastAsia="宋体"/>
          <w:bCs w:val="0"/>
          <w:color w:val="000000"/>
          <w:highlight w:val="none"/>
        </w:rPr>
        <w:t xml:space="preserve">3.适用法律</w:t>
      </w:r>
      <w:bookmarkEnd w:id="58"/>
      <w:r/>
      <w:bookmarkEnd w:id="59"/>
      <w:r/>
      <w:bookmarkEnd w:id="60"/>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hint="eastAsia" w:ascii="宋体" w:hAnsi="宋体"/>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61" w:name="_Toc16938523"/>
      <w:r/>
      <w:bookmarkStart w:id="62" w:name="_Toc513029207"/>
      <w:r/>
      <w:bookmarkStart w:id="63" w:name="_Toc20823279"/>
      <w:r/>
      <w:bookmarkStart w:id="64" w:name="_Toc462564067"/>
      <w:r>
        <w:rPr>
          <w:rFonts w:hint="eastAsia" w:ascii="宋体" w:hAnsi="宋体" w:eastAsia="宋体"/>
          <w:bCs w:val="0"/>
          <w:color w:val="000000"/>
          <w:highlight w:val="none"/>
        </w:rPr>
        <w:t xml:space="preserve">4.投标费用</w:t>
      </w:r>
      <w:bookmarkEnd w:id="61"/>
      <w:r/>
      <w:bookmarkEnd w:id="62"/>
      <w:r/>
      <w:bookmarkEnd w:id="63"/>
      <w:r/>
      <w:bookmarkEnd w:id="64"/>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eastAsia="zh-CN"/>
        </w:rPr>
        <w:t xml:space="preserve">无锡市公共资源交易中心新吴分中心</w:t>
      </w:r>
      <w:r>
        <w:rPr>
          <w:rFonts w:hint="eastAsia" w:ascii="宋体" w:hAnsi="宋体"/>
          <w:color w:val="000000"/>
          <w:sz w:val="24"/>
          <w:highlight w:val="none"/>
        </w:rPr>
        <w:t xml:space="preserve">（以下简称交易中心）在任何情况下均无义务和责任承担这些费用。</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rPr>
          <w:rFonts w:hint="eastAsia" w:ascii="宋体" w:hAnsi="宋体"/>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685"/>
        <w:ind w:firstLine="452"/>
        <w:keepLines w:val="0"/>
        <w:keepNext w:val="0"/>
        <w:spacing w:before="0" w:after="0" w:line="500" w:lineRule="exact"/>
        <w:rPr>
          <w:rFonts w:hint="eastAsia"/>
          <w:color w:val="000000"/>
          <w:sz w:val="30"/>
          <w:szCs w:val="30"/>
          <w:highlight w:val="none"/>
        </w:rPr>
      </w:pPr>
      <w:r/>
      <w:bookmarkStart w:id="65" w:name="_Toc16938525"/>
      <w:r/>
      <w:bookmarkStart w:id="66" w:name="_Toc20823281"/>
      <w:r/>
      <w:bookmarkStart w:id="67" w:name="_Toc120614215"/>
      <w:r/>
      <w:bookmarkStart w:id="68" w:name="_Toc513029209"/>
      <w:r>
        <w:rPr>
          <w:rFonts w:hint="eastAsia"/>
          <w:color w:val="000000"/>
          <w:sz w:val="30"/>
          <w:szCs w:val="30"/>
          <w:highlight w:val="none"/>
        </w:rPr>
        <w:t xml:space="preserve">二、招标文件</w:t>
      </w:r>
      <w:bookmarkEnd w:id="65"/>
      <w:r/>
      <w:bookmarkEnd w:id="66"/>
      <w:r/>
      <w:bookmarkEnd w:id="67"/>
      <w:r/>
      <w:bookmarkEnd w:id="68"/>
      <w:r>
        <w:rPr>
          <w:rFonts w:hint="eastAsia"/>
          <w:color w:val="000000"/>
          <w:sz w:val="30"/>
          <w:szCs w:val="3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69" w:name="_Toc513029210"/>
      <w:r/>
      <w:bookmarkStart w:id="70" w:name="_Toc16938526"/>
      <w:r/>
      <w:bookmarkStart w:id="71" w:name="_Toc20823282"/>
      <w:r>
        <w:rPr>
          <w:rFonts w:hint="eastAsia" w:ascii="宋体" w:hAnsi="宋体" w:eastAsia="宋体"/>
          <w:bCs w:val="0"/>
          <w:color w:val="000000"/>
          <w:highlight w:val="none"/>
        </w:rPr>
        <w:t xml:space="preserve">6.招标文件构成</w:t>
      </w:r>
      <w:bookmarkEnd w:id="69"/>
      <w:r/>
      <w:bookmarkEnd w:id="70"/>
      <w:r/>
      <w:bookmarkEnd w:id="71"/>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682"/>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72" w:name="_Toc513029211"/>
      <w:r/>
      <w:bookmarkStart w:id="73" w:name="_Toc20823283"/>
      <w:r/>
      <w:bookmarkStart w:id="74" w:name="_Toc16938527"/>
      <w:r/>
      <w:bookmarkStart w:id="75" w:name="_Toc462564070"/>
      <w:r>
        <w:rPr>
          <w:rFonts w:hint="eastAsia" w:ascii="宋体" w:hAnsi="宋体" w:eastAsia="宋体"/>
          <w:bCs w:val="0"/>
          <w:color w:val="000000"/>
          <w:highlight w:val="none"/>
        </w:rPr>
        <w:t xml:space="preserve">7.招标文件的澄清</w:t>
      </w:r>
      <w:bookmarkEnd w:id="72"/>
      <w:r/>
      <w:bookmarkEnd w:id="73"/>
      <w:r/>
      <w:bookmarkEnd w:id="74"/>
      <w:r/>
      <w:bookmarkEnd w:id="75"/>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76" w:name="_Toc513029212"/>
      <w:r/>
      <w:bookmarkStart w:id="77" w:name="_Toc16938528"/>
      <w:r/>
      <w:bookmarkStart w:id="78" w:name="_Toc462564071"/>
      <w:r/>
      <w:bookmarkStart w:id="79" w:name="_Toc20823284"/>
      <w:r>
        <w:rPr>
          <w:rFonts w:hint="eastAsia" w:ascii="宋体" w:hAnsi="宋体" w:eastAsia="宋体"/>
          <w:bCs w:val="0"/>
          <w:color w:val="000000"/>
          <w:highlight w:val="none"/>
        </w:rPr>
        <w:t xml:space="preserve">8.招标文件的修改</w:t>
      </w:r>
      <w:bookmarkEnd w:id="76"/>
      <w:r/>
      <w:bookmarkEnd w:id="77"/>
      <w:r/>
      <w:bookmarkEnd w:id="78"/>
      <w:r/>
      <w:bookmarkEnd w:id="79"/>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highlight w:val="none"/>
        </w:rPr>
      </w:r>
      <w:r/>
    </w:p>
    <w:p>
      <w:pPr>
        <w:pStyle w:val="685"/>
        <w:ind w:firstLine="452"/>
        <w:keepLines w:val="0"/>
        <w:keepNext w:val="0"/>
        <w:spacing w:before="0" w:after="0" w:line="500" w:lineRule="exact"/>
        <w:rPr>
          <w:rFonts w:hint="eastAsia"/>
          <w:color w:val="000000"/>
          <w:sz w:val="30"/>
          <w:szCs w:val="30"/>
          <w:highlight w:val="none"/>
        </w:rPr>
      </w:pPr>
      <w:r/>
      <w:bookmarkStart w:id="80" w:name="_Toc513029213"/>
      <w:r/>
      <w:bookmarkStart w:id="81" w:name="_Toc462564072"/>
      <w:r/>
      <w:bookmarkStart w:id="82" w:name="_Toc120614216"/>
      <w:r/>
      <w:bookmarkStart w:id="83" w:name="_Toc20823285"/>
      <w:r/>
      <w:bookmarkStart w:id="84" w:name="_Toc16938529"/>
      <w:r>
        <w:rPr>
          <w:rFonts w:hint="eastAsia"/>
          <w:color w:val="000000"/>
          <w:sz w:val="30"/>
          <w:szCs w:val="30"/>
          <w:highlight w:val="none"/>
        </w:rPr>
        <w:t xml:space="preserve">三、投标文件的编制</w:t>
      </w:r>
      <w:bookmarkEnd w:id="80"/>
      <w:r/>
      <w:bookmarkEnd w:id="81"/>
      <w:r/>
      <w:bookmarkEnd w:id="82"/>
      <w:r/>
      <w:bookmarkEnd w:id="83"/>
      <w:r/>
      <w:bookmarkEnd w:id="84"/>
      <w:r>
        <w:rPr>
          <w:rFonts w:hint="eastAsia"/>
          <w:color w:val="000000"/>
          <w:sz w:val="30"/>
          <w:szCs w:val="3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85" w:name="_Toc20823286"/>
      <w:r/>
      <w:bookmarkStart w:id="86" w:name="_Toc513029214"/>
      <w:r/>
      <w:bookmarkStart w:id="87" w:name="_Toc16938530"/>
      <w:r/>
      <w:bookmarkStart w:id="88" w:name="_Toc462564073"/>
      <w:r>
        <w:rPr>
          <w:rFonts w:hint="eastAsia" w:ascii="宋体" w:hAnsi="宋体" w:eastAsia="宋体"/>
          <w:bCs w:val="0"/>
          <w:color w:val="000000"/>
          <w:highlight w:val="none"/>
        </w:rPr>
        <w:t xml:space="preserve">9.投标文件的语言及度量衡单位</w:t>
      </w:r>
      <w:bookmarkEnd w:id="85"/>
      <w:r/>
      <w:bookmarkEnd w:id="86"/>
      <w:r/>
      <w:bookmarkEnd w:id="87"/>
      <w:r/>
      <w:bookmarkEnd w:id="88"/>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hint="eastAsia" w:ascii="宋体" w:hAnsi="宋体"/>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89" w:name="_Toc462564074"/>
      <w:r/>
      <w:bookmarkStart w:id="90" w:name="_Toc513029215"/>
      <w:r/>
      <w:bookmarkStart w:id="91" w:name="_Toc20823287"/>
      <w:r/>
      <w:bookmarkStart w:id="92" w:name="_Toc16938531"/>
      <w:r>
        <w:rPr>
          <w:rFonts w:hint="eastAsia" w:ascii="宋体" w:hAnsi="宋体" w:eastAsia="宋体"/>
          <w:bCs w:val="0"/>
          <w:color w:val="000000"/>
          <w:highlight w:val="none"/>
        </w:rPr>
        <w:t xml:space="preserve">10.投标文件构成</w:t>
      </w:r>
      <w:bookmarkEnd w:id="89"/>
      <w:r/>
      <w:bookmarkEnd w:id="90"/>
      <w:r/>
      <w:bookmarkEnd w:id="91"/>
      <w:r/>
      <w:bookmarkEnd w:id="92"/>
      <w:r>
        <w:rPr>
          <w:rFonts w:hint="eastAsia" w:ascii="宋体" w:hAnsi="宋体" w:eastAsia="宋体"/>
          <w:bCs w:val="0"/>
          <w:color w:val="000000"/>
          <w:highlight w:val="none"/>
        </w:rPr>
      </w:r>
      <w:r/>
    </w:p>
    <w:p>
      <w:pPr>
        <w:pStyle w:val="68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hint="eastAsia" w:ascii="宋体" w:hAnsi="宋体"/>
          <w:color w:val="000000"/>
          <w:sz w:val="24"/>
          <w:highlight w:val="none"/>
        </w:rPr>
      </w:r>
      <w:r/>
    </w:p>
    <w:p>
      <w:pPr>
        <w:pStyle w:val="682"/>
        <w:ind w:firstLine="482"/>
        <w:spacing w:line="500" w:lineRule="exact"/>
        <w:rPr>
          <w:rFonts w:hint="eastAsia" w:ascii="宋体" w:hAnsi="宋体"/>
          <w:b/>
          <w:color w:val="000000"/>
          <w:sz w:val="24"/>
          <w:highlight w:val="none"/>
          <w:u w:val="single"/>
        </w:rPr>
      </w:pPr>
      <w:r>
        <w:rPr>
          <w:rFonts w:hint="eastAsia" w:ascii="宋体" w:hAnsi="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highlight w:val="none"/>
          <w:u w:val="single"/>
        </w:rPr>
      </w:r>
      <w:r/>
    </w:p>
    <w:p>
      <w:pPr>
        <w:pStyle w:val="682"/>
        <w:ind w:firstLine="482"/>
        <w:spacing w:line="500" w:lineRule="exact"/>
        <w:rPr>
          <w:rFonts w:hint="eastAsia" w:ascii="宋体" w:hAnsi="宋体"/>
          <w:b/>
          <w:color w:val="000000"/>
          <w:sz w:val="24"/>
          <w:highlight w:val="none"/>
          <w:u w:val="single"/>
        </w:rPr>
      </w:pPr>
      <w:r>
        <w:rPr>
          <w:rFonts w:hint="eastAsia" w:ascii="宋体" w:hAnsi="宋体"/>
          <w:b/>
          <w:color w:val="000000"/>
          <w:sz w:val="24"/>
          <w:highlight w:val="none"/>
        </w:rPr>
        <w:t xml:space="preserve">上述《评标方法与评标标准》中技术部分不得有体现投标人身份的内容是指：</w:t>
      </w:r>
      <w:r>
        <w:rPr>
          <w:rFonts w:hint="eastAsia" w:ascii="宋体" w:hAnsi="宋体"/>
          <w:b/>
          <w:color w:val="000000"/>
          <w:sz w:val="24"/>
          <w:highlight w:val="none"/>
          <w:u w:val="single"/>
        </w:rPr>
      </w:r>
      <w:r/>
    </w:p>
    <w:p>
      <w:pPr>
        <w:pStyle w:val="682"/>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10.4.1技术部分不得出现能够体现投标人身份、名称的相关描述、材料、文件等内容；</w:t>
      </w:r>
      <w:r>
        <w:rPr>
          <w:rFonts w:hint="eastAsia" w:ascii="宋体" w:hAnsi="宋体"/>
          <w:b/>
          <w:color w:val="000000"/>
          <w:sz w:val="24"/>
          <w:highlight w:val="none"/>
        </w:rPr>
      </w:r>
      <w:r/>
    </w:p>
    <w:p>
      <w:pPr>
        <w:pStyle w:val="682"/>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10.4.2技术部分不得更改，不得在其中涂改、标注或做任何可以辨认投标人及所属人员身份的名称、印章、商标等标记；</w:t>
      </w:r>
      <w:r>
        <w:rPr>
          <w:rFonts w:hint="eastAsia" w:ascii="宋体" w:hAnsi="宋体"/>
          <w:b/>
          <w:color w:val="000000"/>
          <w:sz w:val="24"/>
          <w:highlight w:val="none"/>
        </w:rPr>
      </w:r>
      <w:r/>
    </w:p>
    <w:p>
      <w:pPr>
        <w:pStyle w:val="682"/>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10.4.3技术部分应当版面整洁、字迹清楚、不许批注或进行底纹、阴影、水印等特殊设置，不得采用任何不符合常规、有别于其他投标人的特殊做法；</w:t>
      </w:r>
      <w:r>
        <w:rPr>
          <w:rFonts w:hint="eastAsia" w:ascii="宋体" w:hAnsi="宋体"/>
          <w:b/>
          <w:color w:val="000000"/>
          <w:sz w:val="24"/>
          <w:highlight w:val="none"/>
        </w:rPr>
      </w:r>
      <w:r/>
    </w:p>
    <w:p>
      <w:pPr>
        <w:pStyle w:val="682"/>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10.4.4不得有其他体现投标人身份的内容。</w:t>
      </w:r>
      <w:r>
        <w:rPr>
          <w:rFonts w:hint="eastAsia" w:ascii="宋体" w:hAnsi="宋体"/>
          <w:b/>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93" w:name="_Hlt26668975"/>
      <w:r/>
      <w:bookmarkEnd w:id="93"/>
      <w:r/>
      <w:bookmarkStart w:id="94" w:name="_Hlt26954838"/>
      <w:r/>
      <w:bookmarkEnd w:id="94"/>
      <w:r/>
      <w:bookmarkStart w:id="95" w:name="_Hlt26670360"/>
      <w:r/>
      <w:bookmarkEnd w:id="95"/>
      <w:r/>
      <w:bookmarkStart w:id="96" w:name="_Toc513029219"/>
      <w:r/>
      <w:bookmarkStart w:id="97" w:name="_Toc49090509"/>
      <w:r/>
      <w:bookmarkStart w:id="98" w:name="_Toc14577357"/>
      <w:r/>
      <w:bookmarkStart w:id="99" w:name="_Toc49090507"/>
      <w:r/>
      <w:bookmarkStart w:id="100" w:name="_Toc14577354"/>
      <w:r/>
      <w:bookmarkStart w:id="101" w:name="_Toc513029216"/>
      <w:r>
        <w:rPr>
          <w:rFonts w:hint="eastAsia" w:ascii="宋体" w:hAnsi="宋体" w:eastAsia="宋体"/>
          <w:bCs w:val="0"/>
          <w:color w:val="000000"/>
          <w:highlight w:val="none"/>
        </w:rPr>
        <w:t xml:space="preserve">11.证明投标人及投标标的符合招标文件规定的文件</w:t>
      </w:r>
      <w:bookmarkEnd w:id="96"/>
      <w:r/>
      <w:bookmarkEnd w:id="97"/>
      <w:r/>
      <w:bookmarkEnd w:id="98"/>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bookmarkEnd w:id="99"/>
      <w:r/>
      <w:bookmarkEnd w:id="100"/>
      <w:r/>
      <w:bookmarkEnd w:id="101"/>
      <w:r/>
      <w:bookmarkStart w:id="102" w:name="_Toc14577355"/>
      <w:r/>
      <w:bookmarkStart w:id="103" w:name="_Toc49090508"/>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rPr>
          <w:rFonts w:hint="eastAsia" w:ascii="宋体" w:hAnsi="宋体"/>
          <w:bCs/>
          <w:color w:val="000000"/>
          <w:sz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04" w:name="_Toc49090510"/>
      <w:r/>
      <w:bookmarkStart w:id="105" w:name="_Toc14577359"/>
      <w:r>
        <w:rPr>
          <w:rFonts w:hint="eastAsia" w:ascii="宋体" w:hAnsi="宋体" w:eastAsia="宋体"/>
          <w:bCs w:val="0"/>
          <w:color w:val="000000"/>
          <w:highlight w:val="none"/>
        </w:rPr>
        <w:t xml:space="preserve">12.投标函、承诺书和开标一览表</w:t>
      </w:r>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End w:id="104"/>
      <w:r/>
      <w:bookmarkEnd w:id="105"/>
      <w:r>
        <w:rPr>
          <w:rFonts w:hint="eastAsia" w:ascii="宋体" w:hAnsi="宋体" w:eastAsia="宋体"/>
          <w:bCs w:val="0"/>
          <w:color w:val="000000"/>
          <w:highlight w:val="none"/>
        </w:rPr>
        <w:t xml:space="preserve">13.</w:t>
      </w:r>
      <w:bookmarkEnd w:id="102"/>
      <w:r/>
      <w:bookmarkEnd w:id="103"/>
      <w:r>
        <w:rPr>
          <w:rFonts w:hint="eastAsia" w:ascii="宋体" w:hAnsi="宋体" w:eastAsia="宋体"/>
          <w:bCs w:val="0"/>
          <w:color w:val="000000"/>
          <w:highlight w:val="none"/>
        </w:rPr>
        <w:t xml:space="preserve">分项报价表</w:t>
      </w:r>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08" w:name="_Hlt26954844"/>
      <w:r/>
      <w:bookmarkEnd w:id="108"/>
      <w:r/>
      <w:bookmarkStart w:id="109" w:name="_Hlt26954731"/>
      <w:r/>
      <w:bookmarkEnd w:id="109"/>
      <w:r/>
      <w:bookmarkStart w:id="110" w:name="_Hlt26668983"/>
      <w:r/>
      <w:bookmarkEnd w:id="110"/>
      <w:r/>
      <w:bookmarkStart w:id="111" w:name="_Hlt26670425"/>
      <w:r/>
      <w:bookmarkEnd w:id="111"/>
      <w:r/>
      <w:bookmarkStart w:id="112" w:name="_Hlt26670482"/>
      <w:r/>
      <w:bookmarkEnd w:id="112"/>
      <w:r/>
      <w:bookmarkStart w:id="113" w:name="_Hlt26954846"/>
      <w:r/>
      <w:bookmarkEnd w:id="113"/>
      <w:r/>
      <w:bookmarkStart w:id="114" w:name="_Hlt26954848"/>
      <w:r/>
      <w:bookmarkEnd w:id="114"/>
      <w:r/>
      <w:bookmarkStart w:id="115" w:name="_Hlt26670486"/>
      <w:r/>
      <w:bookmarkEnd w:id="115"/>
      <w:r/>
      <w:bookmarkStart w:id="116" w:name="_Hlt26670403"/>
      <w:r/>
      <w:bookmarkEnd w:id="116"/>
      <w:r/>
      <w:bookmarkStart w:id="117" w:name="_Hlt26954842"/>
      <w:r/>
      <w:bookmarkEnd w:id="117"/>
      <w:r>
        <w:rPr>
          <w:rFonts w:hint="eastAsia" w:ascii="宋体" w:hAnsi="宋体" w:eastAsia="宋体"/>
          <w:bCs w:val="0"/>
          <w:color w:val="000000"/>
          <w:highlight w:val="none"/>
        </w:rPr>
        <w:t xml:space="preserve">14.投标偏离表</w:t>
      </w:r>
      <w:r>
        <w:rPr>
          <w:rFonts w:hint="eastAsia" w:ascii="宋体" w:hAnsi="宋体" w:eastAsia="宋体"/>
          <w:bCs w:val="0"/>
          <w:color w:val="000000"/>
          <w:highlight w:val="none"/>
        </w:rPr>
      </w:r>
      <w:r/>
    </w:p>
    <w:p>
      <w:pPr>
        <w:pStyle w:val="682"/>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color w:val="000000"/>
          <w:highlight w:val="none"/>
        </w:rPr>
        <w:t xml:space="preserve">15.投标有效期</w:t>
      </w:r>
      <w:bookmarkEnd w:id="121"/>
      <w:r/>
      <w:bookmarkEnd w:id="122"/>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85"/>
        <w:ind w:firstLine="452"/>
        <w:keepLines w:val="0"/>
        <w:keepNext w:val="0"/>
        <w:spacing w:before="0" w:after="0" w:line="500" w:lineRule="exact"/>
        <w:rPr>
          <w:rFonts w:hint="eastAsia"/>
          <w:color w:val="000000"/>
          <w:sz w:val="30"/>
          <w:szCs w:val="30"/>
          <w:highlight w:val="none"/>
        </w:rPr>
      </w:pPr>
      <w:r/>
      <w:bookmarkStart w:id="123" w:name="_Hlt26954739"/>
      <w:r/>
      <w:bookmarkEnd w:id="123"/>
      <w:r/>
      <w:bookmarkStart w:id="124" w:name="_Hlt26954852"/>
      <w:r/>
      <w:bookmarkEnd w:id="124"/>
      <w:r/>
      <w:bookmarkStart w:id="125" w:name="_Toc20823296"/>
      <w:r/>
      <w:bookmarkStart w:id="126" w:name="_Toc16938540"/>
      <w:r/>
      <w:bookmarkStart w:id="127" w:name="_Toc120614217"/>
      <w:r/>
      <w:bookmarkStart w:id="128" w:name="_Toc513029224"/>
      <w:r>
        <w:rPr>
          <w:rFonts w:hint="eastAsia"/>
          <w:color w:val="000000"/>
          <w:sz w:val="30"/>
          <w:szCs w:val="30"/>
          <w:highlight w:val="none"/>
        </w:rPr>
        <w:t xml:space="preserve">四、投标文件的递交</w:t>
      </w:r>
      <w:bookmarkEnd w:id="125"/>
      <w:r/>
      <w:bookmarkEnd w:id="126"/>
      <w:r/>
      <w:bookmarkEnd w:id="127"/>
      <w:r/>
      <w:bookmarkEnd w:id="128"/>
      <w:r>
        <w:rPr>
          <w:rFonts w:hint="eastAsia"/>
          <w:color w:val="000000"/>
          <w:sz w:val="30"/>
          <w:szCs w:val="3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29" w:name="_Toc20823297"/>
      <w:r/>
      <w:bookmarkStart w:id="130" w:name="_Toc513029225"/>
      <w:r/>
      <w:bookmarkStart w:id="131" w:name="_Toc16938541"/>
      <w:r/>
      <w:bookmarkStart w:id="132" w:name="_Toc462564084"/>
      <w:r>
        <w:rPr>
          <w:rFonts w:hint="eastAsia" w:ascii="宋体" w:hAnsi="宋体" w:eastAsia="宋体"/>
          <w:bCs w:val="0"/>
          <w:color w:val="000000"/>
          <w:highlight w:val="none"/>
        </w:rPr>
        <w:t xml:space="preserve">17.投标文件</w:t>
      </w:r>
      <w:bookmarkEnd w:id="129"/>
      <w:r/>
      <w:bookmarkEnd w:id="130"/>
      <w:r/>
      <w:bookmarkEnd w:id="131"/>
      <w:r/>
      <w:bookmarkEnd w:id="132"/>
      <w:r>
        <w:rPr>
          <w:rFonts w:hint="eastAsia" w:ascii="宋体" w:hAnsi="宋体" w:eastAsia="宋体"/>
          <w:bCs w:val="0"/>
          <w:color w:val="000000"/>
          <w:highlight w:val="none"/>
        </w:rPr>
        <w:t xml:space="preserve">的递交</w:t>
      </w:r>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hint="eastAsia" w:ascii="宋体" w:hAnsi="宋体"/>
          <w:bCs/>
          <w:color w:val="000000"/>
          <w:sz w:val="24"/>
          <w:highlight w:val="none"/>
        </w:rPr>
      </w:r>
      <w:r/>
    </w:p>
    <w:p>
      <w:pPr>
        <w:pStyle w:val="79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20823298"/>
      <w:r/>
      <w:bookmarkStart w:id="134" w:name="_Toc513029226"/>
      <w:r/>
      <w:bookmarkStart w:id="135" w:name="_Toc16938542"/>
      <w:r>
        <w:rPr>
          <w:rFonts w:hint="eastAsia" w:ascii="宋体" w:hAnsi="宋体"/>
          <w:bCs/>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3"/>
      <w:r/>
      <w:bookmarkEnd w:id="134"/>
      <w:r/>
      <w:bookmarkEnd w:id="135"/>
      <w:r>
        <w:rPr>
          <w:rFonts w:hint="eastAsia" w:ascii="宋体" w:hAnsi="宋体" w:eastAsia="宋体"/>
          <w:bCs w:val="0"/>
          <w:color w:val="000000"/>
          <w:highlight w:val="none"/>
        </w:rPr>
        <w:t xml:space="preserve">时间</w:t>
      </w:r>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36" w:name="_Toc513029227"/>
      <w:r/>
      <w:bookmarkStart w:id="137" w:name="_Toc16938543"/>
      <w:r/>
      <w:bookmarkStart w:id="138" w:name="_Toc20823299"/>
      <w:r>
        <w:rPr>
          <w:rFonts w:hint="eastAsia" w:ascii="宋体" w:hAnsi="宋体" w:eastAsia="宋体"/>
          <w:bCs w:val="0"/>
          <w:color w:val="000000"/>
          <w:highlight w:val="none"/>
        </w:rPr>
        <w:t xml:space="preserve">19.投标文件</w:t>
      </w:r>
      <w:bookmarkEnd w:id="136"/>
      <w:r/>
      <w:bookmarkEnd w:id="137"/>
      <w:r/>
      <w:bookmarkEnd w:id="138"/>
      <w:r>
        <w:rPr>
          <w:rFonts w:hint="eastAsia" w:ascii="宋体" w:hAnsi="宋体" w:eastAsia="宋体"/>
          <w:bCs w:val="0"/>
          <w:color w:val="000000"/>
          <w:highlight w:val="none"/>
        </w:rPr>
        <w:t xml:space="preserve">的拒收</w:t>
      </w:r>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rPr>
          <w:rFonts w:hint="eastAsia" w:ascii="宋体" w:hAnsi="宋体"/>
          <w:bCs/>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39" w:name="_Toc513029228"/>
      <w:r/>
      <w:bookmarkStart w:id="140" w:name="_Toc16938544"/>
      <w:r/>
      <w:bookmarkStart w:id="141" w:name="_Toc20823300"/>
      <w:r>
        <w:rPr>
          <w:rFonts w:hint="eastAsia" w:ascii="宋体" w:hAnsi="宋体" w:eastAsia="宋体"/>
          <w:bCs w:val="0"/>
          <w:color w:val="000000"/>
          <w:highlight w:val="none"/>
        </w:rPr>
        <w:t xml:space="preserve">20.投标文件的撤回和修改</w:t>
      </w:r>
      <w:bookmarkEnd w:id="139"/>
      <w:r/>
      <w:bookmarkEnd w:id="140"/>
      <w:r/>
      <w:bookmarkEnd w:id="141"/>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hint="eastAsia" w:ascii="宋体" w:hAnsi="宋体"/>
          <w:bCs/>
          <w:color w:val="000000"/>
          <w:sz w:val="24"/>
          <w:highlight w:val="none"/>
        </w:rPr>
      </w:r>
      <w:r/>
    </w:p>
    <w:p>
      <w:pPr>
        <w:pStyle w:val="685"/>
        <w:ind w:firstLine="452"/>
        <w:keepLines w:val="0"/>
        <w:keepNext w:val="0"/>
        <w:spacing w:before="0" w:after="0" w:line="500" w:lineRule="exact"/>
        <w:rPr>
          <w:rFonts w:hint="eastAsia"/>
          <w:color w:val="000000"/>
          <w:sz w:val="30"/>
          <w:szCs w:val="30"/>
          <w:highlight w:val="none"/>
        </w:rPr>
      </w:pPr>
      <w:r/>
      <w:bookmarkStart w:id="142" w:name="_Toc120614218"/>
      <w:r/>
      <w:bookmarkStart w:id="143" w:name="_Toc16938545"/>
      <w:r/>
      <w:bookmarkStart w:id="144" w:name="_Toc20823301"/>
      <w:r/>
      <w:bookmarkStart w:id="145" w:name="_Toc513029229"/>
      <w:r>
        <w:rPr>
          <w:rFonts w:hint="eastAsia"/>
          <w:color w:val="000000"/>
          <w:sz w:val="30"/>
          <w:szCs w:val="30"/>
          <w:highlight w:val="none"/>
        </w:rPr>
        <w:t xml:space="preserve">五、开标与评标</w:t>
      </w:r>
      <w:bookmarkEnd w:id="142"/>
      <w:r/>
      <w:bookmarkEnd w:id="143"/>
      <w:r/>
      <w:bookmarkEnd w:id="144"/>
      <w:r/>
      <w:bookmarkEnd w:id="145"/>
      <w:r>
        <w:rPr>
          <w:rFonts w:hint="eastAsia"/>
          <w:color w:val="000000"/>
          <w:sz w:val="30"/>
          <w:szCs w:val="3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46" w:name="_Toc16938546"/>
      <w:r/>
      <w:bookmarkStart w:id="147" w:name="_Toc513029230"/>
      <w:r/>
      <w:bookmarkStart w:id="148" w:name="_Toc20823302"/>
      <w:r>
        <w:rPr>
          <w:rFonts w:hint="eastAsia" w:ascii="宋体" w:hAnsi="宋体" w:eastAsia="宋体"/>
          <w:bCs w:val="0"/>
          <w:color w:val="000000"/>
          <w:highlight w:val="none"/>
        </w:rPr>
        <w:t xml:space="preserve">21.开标</w:t>
      </w:r>
      <w:bookmarkEnd w:id="146"/>
      <w:r/>
      <w:bookmarkEnd w:id="147"/>
      <w:r/>
      <w:bookmarkEnd w:id="148"/>
      <w:r>
        <w:rPr>
          <w:rFonts w:hint="eastAsia" w:ascii="宋体" w:hAnsi="宋体" w:eastAsia="宋体"/>
          <w:bCs w:val="0"/>
          <w:color w:val="000000"/>
          <w:highlight w:val="none"/>
        </w:rPr>
      </w:r>
      <w:r/>
    </w:p>
    <w:p>
      <w:pPr>
        <w:pStyle w:val="682"/>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rFonts w:hint="eastAsia"/>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hint="eastAsia" w:ascii="宋体" w:hAnsi="宋体"/>
          <w:color w:val="000000"/>
          <w:sz w:val="24"/>
          <w:highlight w:val="none"/>
        </w:rPr>
      </w:r>
      <w:r/>
    </w:p>
    <w:p>
      <w:pPr>
        <w:pStyle w:val="68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49" w:name="_Toc20823303"/>
      <w:r/>
      <w:bookmarkStart w:id="150" w:name="_Toc513029231"/>
      <w:r/>
      <w:bookmarkStart w:id="151" w:name="_Toc16938547"/>
      <w:r>
        <w:rPr>
          <w:rFonts w:hint="eastAsia" w:ascii="宋体" w:hAnsi="宋体" w:eastAsia="宋体"/>
          <w:bCs w:val="0"/>
          <w:color w:val="000000"/>
          <w:highlight w:val="none"/>
        </w:rPr>
        <w:t xml:space="preserve">22.评标委员会</w:t>
      </w:r>
      <w:r>
        <w:rPr>
          <w:rFonts w:hint="eastAsia" w:ascii="宋体" w:hAnsi="宋体" w:eastAsia="宋体"/>
          <w:bCs w:val="0"/>
          <w:color w:val="000000"/>
          <w:highlight w:val="none"/>
        </w:rPr>
      </w:r>
      <w:r/>
    </w:p>
    <w:p>
      <w:pPr>
        <w:pStyle w:val="682"/>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rPr>
          <w:rFonts w:hint="eastAsia" w:ascii="宋体" w:hAnsi="宋体"/>
          <w:b/>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rPr>
          <w:rFonts w:hint="eastAsia"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bookmarkEnd w:id="149"/>
      <w:r/>
      <w:bookmarkEnd w:id="150"/>
      <w:r/>
      <w:bookmarkEnd w:id="151"/>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52" w:name="_Toc16938548"/>
      <w:r/>
      <w:bookmarkStart w:id="153" w:name="_Toc20823304"/>
      <w:r/>
      <w:bookmarkStart w:id="154" w:name="_Toc513029232"/>
      <w:r>
        <w:rPr>
          <w:rFonts w:hint="eastAsia" w:ascii="宋体" w:hAnsi="宋体" w:eastAsia="宋体"/>
          <w:bCs w:val="0"/>
          <w:color w:val="000000"/>
          <w:highlight w:val="none"/>
        </w:rPr>
        <w:t xml:space="preserve">24.投标文件的澄清</w:t>
      </w:r>
      <w:bookmarkEnd w:id="152"/>
      <w:r/>
      <w:bookmarkEnd w:id="153"/>
      <w:r/>
      <w:bookmarkEnd w:id="154"/>
      <w:r>
        <w:rPr>
          <w:rFonts w:hint="eastAsia" w:ascii="宋体" w:hAnsi="宋体" w:eastAsia="宋体"/>
          <w:bCs w:val="0"/>
          <w:color w:val="000000"/>
          <w:highlight w:val="none"/>
        </w:rPr>
      </w:r>
      <w:r/>
    </w:p>
    <w:p>
      <w:pPr>
        <w:pStyle w:val="682"/>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55" w:name="_Toc20823305"/>
      <w:r/>
      <w:bookmarkStart w:id="156" w:name="_Toc513029233"/>
      <w:r/>
      <w:bookmarkStart w:id="157" w:name="_Toc16938549"/>
      <w:r>
        <w:rPr>
          <w:rFonts w:hint="eastAsia" w:ascii="宋体" w:hAnsi="宋体" w:eastAsia="宋体"/>
          <w:bCs w:val="0"/>
          <w:color w:val="000000"/>
          <w:highlight w:val="none"/>
        </w:rPr>
        <w:t xml:space="preserve">25.对投标文件的初审</w:t>
      </w:r>
      <w:bookmarkEnd w:id="155"/>
      <w:r/>
      <w:bookmarkEnd w:id="156"/>
      <w:r/>
      <w:bookmarkEnd w:id="157"/>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hint="eastAsia" w:ascii="宋体" w:hAnsi="宋体"/>
          <w:bCs/>
          <w:color w:val="000000"/>
          <w:sz w:val="24"/>
          <w:highlight w:val="none"/>
        </w:rPr>
      </w:r>
      <w:r/>
    </w:p>
    <w:p>
      <w:pPr>
        <w:pStyle w:val="682"/>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hint="eastAsia" w:ascii="宋体" w:hAnsi="宋体" w:cs="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68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68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68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68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68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682"/>
        <w:ind w:firstLine="420"/>
        <w:spacing w:line="500" w:lineRule="exact"/>
        <w:rPr>
          <w:rFonts w:hint="eastAsia" w:ascii="宋体" w:hAnsi="宋体"/>
          <w:color w:val="000000"/>
          <w:sz w:val="24"/>
          <w:highlight w:val="none"/>
        </w:rPr>
      </w:pPr>
      <w:r/>
      <w:bookmarkStart w:id="158" w:name="_Toc16938550"/>
      <w:r/>
      <w:bookmarkStart w:id="159" w:name="_Toc513029234"/>
      <w:r/>
      <w:bookmarkStart w:id="160" w:name="_Toc20823306"/>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98"/>
        <w:ind w:firstLine="480"/>
        <w:rPr>
          <w:rFonts w:hint="eastAsia" w:ascii="宋体" w:hAnsi="宋体" w:eastAsia="宋体"/>
          <w:bCs/>
          <w:color w:val="000000"/>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bCs/>
          <w:color w:val="00000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rPr>
          <w:rFonts w:hint="eastAsia" w:ascii="宋体" w:hAnsi="宋体" w:eastAsia="宋体"/>
          <w:bCs w:val="0"/>
          <w:color w:val="000000"/>
          <w:highlight w:val="none"/>
        </w:rPr>
      </w:r>
      <w:r/>
    </w:p>
    <w:p>
      <w:pPr>
        <w:pStyle w:val="682"/>
        <w:ind w:left="479"/>
        <w:spacing w:line="500" w:lineRule="exact"/>
        <w:rPr>
          <w:rFonts w:hint="eastAsia" w:ascii="宋体" w:hAnsi="宋体"/>
          <w:bCs/>
          <w:color w:val="000000"/>
          <w:sz w:val="24"/>
          <w:highlight w:val="none"/>
        </w:rPr>
      </w:pPr>
      <w:r/>
      <w:bookmarkStart w:id="161" w:name="_Toc16938551"/>
      <w:r/>
      <w:bookmarkStart w:id="162" w:name="_Toc20823307"/>
      <w:r/>
      <w:bookmarkStart w:id="163" w:name="_Toc513029235"/>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highlight w:val="none"/>
        </w:rPr>
      </w:r>
      <w:r/>
    </w:p>
    <w:p>
      <w:pPr>
        <w:pStyle w:val="682"/>
        <w:ind w:firstLine="480"/>
        <w:jc w:val="left"/>
        <w:keepLines w:val="0"/>
        <w:keepNext w:val="0"/>
        <w:widowControl/>
        <w:rPr>
          <w:rFonts w:hint="eastAsia" w:ascii="宋体" w:hAnsi="宋体"/>
          <w:bCs/>
          <w:color w:val="000000"/>
          <w:sz w:val="24"/>
          <w:highlight w:val="none"/>
          <w:shd w:val="clear" w:color="ffffff" w:fill="d9d9d9"/>
        </w:rPr>
        <w:suppressLineNumbers w:val="0"/>
      </w:pPr>
      <w:r>
        <w:rPr>
          <w:rFonts w:hint="eastAsia" w:ascii="宋体" w:hAnsi="宋体"/>
          <w:bCs/>
          <w:color w:val="000000"/>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highlight w:val="none"/>
          <w:shd w:val="clear" w:color="ffffff" w:fill="d9d9d9"/>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8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68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none"/>
        </w:rPr>
      </w:r>
      <w:r/>
    </w:p>
    <w:p>
      <w:pPr>
        <w:pStyle w:val="68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68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68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rPr>
      </w:r>
      <w:r/>
    </w:p>
    <w:p>
      <w:pPr>
        <w:pStyle w:val="682"/>
        <w:ind w:left="479"/>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hint="eastAsia" w:ascii="宋体" w:hAnsi="宋体"/>
          <w:bCs/>
          <w:color w:val="000000"/>
          <w:sz w:val="24"/>
          <w:highlight w:val="none"/>
        </w:rPr>
      </w:r>
      <w:r/>
    </w:p>
    <w:p>
      <w:pPr>
        <w:pStyle w:val="68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685"/>
        <w:ind w:firstLine="452"/>
        <w:keepLines w:val="0"/>
        <w:keepNext w:val="0"/>
        <w:spacing w:before="0" w:after="0" w:line="500" w:lineRule="exact"/>
        <w:rPr>
          <w:rFonts w:hint="eastAsia"/>
          <w:color w:val="000000"/>
          <w:sz w:val="30"/>
          <w:szCs w:val="30"/>
          <w:highlight w:val="none"/>
        </w:rPr>
      </w:pPr>
      <w:r/>
      <w:bookmarkStart w:id="164" w:name="_Toc120614219"/>
      <w:r>
        <w:rPr>
          <w:rFonts w:hint="eastAsia"/>
          <w:color w:val="000000"/>
          <w:sz w:val="30"/>
          <w:szCs w:val="30"/>
          <w:highlight w:val="none"/>
        </w:rPr>
        <w:t xml:space="preserve">六、</w:t>
      </w:r>
      <w:bookmarkEnd w:id="161"/>
      <w:r/>
      <w:bookmarkEnd w:id="162"/>
      <w:r/>
      <w:bookmarkEnd w:id="163"/>
      <w:r>
        <w:rPr>
          <w:rFonts w:hint="eastAsia"/>
          <w:color w:val="000000"/>
          <w:sz w:val="30"/>
          <w:szCs w:val="30"/>
          <w:highlight w:val="none"/>
        </w:rPr>
        <w:t xml:space="preserve">定标</w:t>
      </w:r>
      <w:bookmarkEnd w:id="164"/>
      <w:r>
        <w:rPr>
          <w:rFonts w:hint="eastAsia"/>
          <w:color w:val="000000"/>
          <w:sz w:val="30"/>
          <w:szCs w:val="3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65" w:name="_Toc513029238"/>
      <w:r/>
      <w:bookmarkStart w:id="166" w:name="_Toc16938554"/>
      <w:r/>
      <w:bookmarkStart w:id="167" w:name="_Toc20823310"/>
      <w:r>
        <w:rPr>
          <w:rFonts w:hint="eastAsia" w:ascii="宋体" w:hAnsi="宋体" w:eastAsia="宋体"/>
          <w:bCs w:val="0"/>
          <w:color w:val="000000"/>
          <w:highlight w:val="none"/>
        </w:rPr>
        <w:t xml:space="preserve">27</w:t>
      </w:r>
      <w:bookmarkEnd w:id="165"/>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6"/>
      <w:r/>
      <w:bookmarkEnd w:id="167"/>
      <w:r>
        <w:rPr>
          <w:rFonts w:hint="eastAsia" w:ascii="宋体" w:hAnsi="宋体" w:eastAsia="宋体"/>
          <w:bCs w:val="0"/>
          <w:color w:val="000000"/>
          <w:highlight w:val="none"/>
        </w:rPr>
        <w:t xml:space="preserve">中标单位</w:t>
      </w:r>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sz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8"/>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highlight w:val="none"/>
          <w:shd w:val="clear" w:color="ffffff" w:fill="d9d9d9"/>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682"/>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685"/>
        <w:ind w:firstLine="452"/>
        <w:keepLines w:val="0"/>
        <w:keepNext w:val="0"/>
        <w:spacing w:before="0" w:after="0" w:line="500" w:lineRule="exact"/>
        <w:rPr>
          <w:rFonts w:hint="eastAsia"/>
          <w:color w:val="000000"/>
          <w:sz w:val="30"/>
          <w:szCs w:val="30"/>
          <w:highlight w:val="none"/>
        </w:rPr>
      </w:pPr>
      <w:r/>
      <w:bookmarkStart w:id="169" w:name="_Toc120614220"/>
      <w:r/>
      <w:bookmarkStart w:id="170" w:name="_Toc16938552"/>
      <w:r/>
      <w:bookmarkStart w:id="171" w:name="_Toc20823308"/>
      <w:r/>
      <w:bookmarkStart w:id="172" w:name="_Toc513029236"/>
      <w:r>
        <w:rPr>
          <w:rFonts w:hint="eastAsia"/>
          <w:color w:val="000000"/>
          <w:sz w:val="30"/>
          <w:szCs w:val="30"/>
          <w:highlight w:val="none"/>
        </w:rPr>
        <w:t xml:space="preserve">七、授予合同</w:t>
      </w:r>
      <w:bookmarkEnd w:id="169"/>
      <w:r>
        <w:rPr>
          <w:rFonts w:hint="eastAsia"/>
          <w:color w:val="000000"/>
          <w:sz w:val="30"/>
          <w:szCs w:val="3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color w:val="000000"/>
          <w:highlight w:val="none"/>
        </w:rPr>
        <w:t xml:space="preserve">30.签订合同</w:t>
      </w:r>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682"/>
        <w:jc w:val="center"/>
        <w:spacing w:line="500" w:lineRule="exact"/>
        <w:tabs>
          <w:tab w:val="left" w:pos="1440" w:leader="none"/>
        </w:tabs>
        <w:rPr>
          <w:rFonts w:hint="eastAsia" w:ascii="黑体" w:hAnsi="黑体" w:eastAsia="黑体"/>
          <w:color w:val="000000"/>
          <w:sz w:val="36"/>
          <w:szCs w:val="36"/>
          <w:highlight w:val="none"/>
        </w:rPr>
        <w:outlineLvl w:val="0"/>
      </w:pPr>
      <w:r/>
      <w:bookmarkEnd w:id="173"/>
      <w:r/>
      <w:bookmarkEnd w:id="174"/>
      <w:r/>
      <w:bookmarkEnd w:id="175"/>
      <w:r/>
      <w:bookmarkStart w:id="176" w:name="_Toc479757207"/>
      <w:r/>
      <w:bookmarkStart w:id="177" w:name="_Toc16938558"/>
      <w:r/>
      <w:bookmarkStart w:id="178" w:name="_Toc20823314"/>
      <w:r/>
      <w:bookmarkStart w:id="179" w:name="_Toc513029242"/>
      <w:r/>
      <w:bookmarkStart w:id="180" w:name="_Toc120614221"/>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r>
        <w:rPr>
          <w:rFonts w:hint="eastAsia" w:ascii="黑体" w:hAnsi="黑体" w:eastAsia="黑体"/>
          <w:color w:val="000000"/>
          <w:sz w:val="36"/>
          <w:szCs w:val="36"/>
          <w:highlight w:val="none"/>
        </w:rPr>
      </w:r>
      <w:r/>
    </w:p>
    <w:p>
      <w:pPr>
        <w:pStyle w:val="682"/>
        <w:ind w:firstLine="480"/>
        <w:spacing w:line="400" w:lineRule="exact"/>
        <w:rPr>
          <w:rFonts w:hint="eastAsia" w:ascii="宋体" w:hAnsi="宋体"/>
          <w:bCs/>
          <w:color w:val="000000"/>
          <w:sz w:val="24"/>
          <w:highlight w:val="none"/>
        </w:rPr>
      </w:pPr>
      <w:r/>
      <w:bookmarkStart w:id="181" w:name="_Toc20823315"/>
      <w:r/>
      <w:bookmarkStart w:id="182" w:name="_Toc513029243"/>
      <w:r/>
      <w:bookmarkStart w:id="183" w:name="_Toc16938559"/>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682"/>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21"/>
        <w:spacing w:line="400" w:lineRule="exact"/>
        <w:rPr>
          <w:rFonts w:hAnsi="宋体"/>
          <w:color w:val="000000"/>
          <w:sz w:val="24"/>
          <w:szCs w:val="24"/>
          <w:highlight w:val="none"/>
        </w:rPr>
      </w:pPr>
      <w:r>
        <w:rPr>
          <w:rFonts w:hAnsi="宋体"/>
          <w:color w:val="000000"/>
          <w:sz w:val="24"/>
          <w:szCs w:val="24"/>
          <w:highlight w:val="none"/>
        </w:rPr>
        <w:t xml:space="preserve">项目名称：                                       项目编号：</w:t>
      </w:r>
      <w:r>
        <w:rPr>
          <w:rFonts w:hAnsi="宋体"/>
          <w:color w:val="000000"/>
          <w:sz w:val="24"/>
          <w:szCs w:val="24"/>
          <w:highlight w:val="none"/>
        </w:rPr>
      </w:r>
      <w:r/>
    </w:p>
    <w:p>
      <w:pPr>
        <w:pStyle w:val="721"/>
        <w:spacing w:line="400" w:lineRule="exact"/>
        <w:rPr>
          <w:rFonts w:hAnsi="宋体"/>
          <w:color w:val="000000"/>
          <w:sz w:val="24"/>
          <w:szCs w:val="24"/>
          <w:highlight w:val="none"/>
        </w:rPr>
      </w:pPr>
      <w:r>
        <w:rPr>
          <w:rFonts w:hAnsi="宋体"/>
          <w:color w:val="000000"/>
          <w:sz w:val="24"/>
          <w:szCs w:val="24"/>
          <w:highlight w:val="none"/>
        </w:rPr>
        <w:t xml:space="preserve">甲方：（买方、需方、采购人）_________</w:t>
      </w:r>
      <w:r>
        <w:rPr>
          <w:rFonts w:hAnsi="宋体"/>
          <w:color w:val="000000"/>
          <w:sz w:val="24"/>
          <w:szCs w:val="24"/>
          <w:highlight w:val="none"/>
        </w:rPr>
      </w:r>
      <w:r/>
    </w:p>
    <w:p>
      <w:pPr>
        <w:pStyle w:val="721"/>
        <w:spacing w:line="400" w:lineRule="exact"/>
        <w:rPr>
          <w:rFonts w:hint="eastAsia" w:hAnsi="宋体"/>
          <w:color w:val="000000"/>
          <w:sz w:val="24"/>
          <w:szCs w:val="24"/>
          <w:highlight w:val="none"/>
        </w:rPr>
      </w:pPr>
      <w:r>
        <w:rPr>
          <w:rFonts w:hAnsi="宋体"/>
          <w:color w:val="000000"/>
          <w:sz w:val="24"/>
          <w:szCs w:val="24"/>
          <w:highlight w:val="none"/>
        </w:rPr>
        <w:t xml:space="preserve">乙方：（卖方、供方、供应商）_________</w:t>
      </w:r>
      <w:r>
        <w:rPr>
          <w:rFonts w:hint="eastAsia" w:hAnsi="宋体"/>
          <w:color w:val="000000"/>
          <w:sz w:val="24"/>
          <w:szCs w:val="24"/>
          <w:highlight w:val="none"/>
        </w:rPr>
      </w:r>
      <w:r/>
    </w:p>
    <w:p>
      <w:pPr>
        <w:pStyle w:val="721"/>
        <w:spacing w:line="400" w:lineRule="exact"/>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lang w:eastAsia="zh-CN"/>
        </w:rPr>
        <w:t xml:space="preserve">无锡市公共资源交易中心新吴分中心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第一条 合同标的</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一、项目名称：</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二、项目坐落位置：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olor w:val="000000"/>
          <w:sz w:val="24"/>
          <w:szCs w:val="24"/>
          <w:highlight w:val="none"/>
        </w:rPr>
        <w:t xml:space="preserve">项目总建筑面积：</w:t>
      </w:r>
      <w:r>
        <w:rPr>
          <w:rFonts w:hint="eastAsia" w:ascii="宋体" w:hAnsi="宋体"/>
          <w:color w:val="000000"/>
          <w:sz w:val="24"/>
          <w:szCs w:val="24"/>
          <w:highlight w:val="none"/>
          <w:u w:val="single"/>
        </w:rPr>
        <w:t xml:space="preserve">        </w:t>
      </w:r>
      <w:r>
        <w:rPr>
          <w:rFonts w:ascii="宋体" w:hAnsi="宋体" w:cs="宋体"/>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三、物业管理服务期限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年。本合同期限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第二条 委托管理事项</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委托物业管理服务内容：</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第三条 合同总价款</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一、本合同总价款（含税）为人民币 大写：</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rPr>
        <w:t xml:space="preserve">（RMB</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元/年）。</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二、本合同执行期间总价不变。</w:t>
      </w:r>
      <w:r>
        <w:rPr>
          <w:rFonts w:ascii="宋体" w:hAnsi="宋体" w:cs="宋体"/>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三、履约保证金的缴纳和退付</w:t>
      </w:r>
      <w:r>
        <w:rPr>
          <w:rFonts w:hint="eastAsia" w:ascii="宋体" w:hAnsi="宋体" w:cs="宋体"/>
          <w:color w:val="000000"/>
          <w:sz w:val="24"/>
          <w:highlight w:val="none"/>
        </w:rPr>
      </w:r>
      <w:r/>
    </w:p>
    <w:p>
      <w:pPr>
        <w:pStyle w:val="682"/>
        <w:ind w:firstLine="480"/>
        <w:spacing w:line="400" w:lineRule="exact"/>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本项目是/否向采购人缴纳履约保证金：</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r>
      <w:r/>
    </w:p>
    <w:p>
      <w:pPr>
        <w:pStyle w:val="682"/>
        <w:ind w:firstLine="480"/>
        <w:spacing w:line="400" w:lineRule="exact"/>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履约保证金缴纳金额：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元。</w:t>
      </w:r>
      <w:r>
        <w:rPr>
          <w:rFonts w:ascii="宋体" w:hAnsi="宋体"/>
          <w:bCs/>
          <w:color w:val="000000"/>
          <w:sz w:val="24"/>
          <w:szCs w:val="24"/>
          <w:highlight w:val="none"/>
        </w:rPr>
      </w:r>
      <w:r/>
    </w:p>
    <w:p>
      <w:pPr>
        <w:pStyle w:val="682"/>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履约保证金的缴纳时间：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，缴纳形式：</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682"/>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履约保证金的退付时间：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，退付办法：</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682"/>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履约保证金不予退还的情形：</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682"/>
        <w:ind w:firstLine="480"/>
        <w:spacing w:line="400" w:lineRule="exact"/>
        <w:tabs>
          <w:tab w:val="left" w:pos="945" w:leader="none"/>
          <w:tab w:val="left" w:pos="2100" w:leader="none"/>
        </w:tabs>
        <w:rPr>
          <w:rFonts w:ascii="宋体" w:hAnsi="宋体"/>
          <w:b/>
          <w:color w:val="000000"/>
          <w:sz w:val="24"/>
          <w:szCs w:val="24"/>
          <w:highlight w:val="none"/>
        </w:rPr>
      </w:pPr>
      <w:r>
        <w:rPr>
          <w:rFonts w:hint="eastAsia" w:ascii="宋体" w:hAnsi="宋体"/>
          <w:bCs/>
          <w:color w:val="000000"/>
          <w:sz w:val="24"/>
          <w:highlight w:val="none"/>
        </w:rPr>
        <w:t xml:space="preserve">逾期退还履约保证金的违约责任：</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
          <w:color w:val="000000"/>
          <w:sz w:val="24"/>
          <w:szCs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第四条 组成本合同的有关文件</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下列关于采购</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一、乙方提供的投标文件和报价表；</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二、中标通知书；</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三、甲乙双方商定的其他文件。</w:t>
      </w:r>
      <w:r>
        <w:rPr>
          <w:rFonts w:ascii="宋体" w:hAnsi="宋体" w:cs="宋体"/>
          <w:color w:val="000000"/>
          <w:sz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第五条 双方权利义务</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一、甲方权利义务</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（二）审议、修改物业管理区域共用部位和共用设施设备使用、公共秩序和环境卫生、绿化维护等方面的规章制度。</w:t>
      </w:r>
      <w:r>
        <w:rPr>
          <w:rFonts w:ascii="宋体" w:hAnsi="宋体" w:cs="宋体"/>
          <w:color w:val="000000"/>
          <w:sz w:val="24"/>
          <w:highlight w:val="none"/>
          <w:u w:val="singl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（三）对物业管理服务质量进行监督检查，对不符合质量标准的管理服务要求乙方整改落实。</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（四）为乙方的管理服务提供必要的工作场所以及</w:t>
      </w:r>
      <w:r>
        <w:rPr>
          <w:rFonts w:hint="eastAsia" w:ascii="宋体" w:hAnsi="宋体"/>
          <w:color w:val="000000"/>
          <w:sz w:val="24"/>
          <w:szCs w:val="24"/>
          <w:highlight w:val="none"/>
        </w:rPr>
        <w:t xml:space="preserve">物业管理服务所必需的水、电供应</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（五）对乙方的节能工作进行指导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提高用能设施设备的能源利用效率。</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（六）根据有关部门的要求，指导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乙方做好控烟、爱国卫生等工作。</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highlight w:val="none"/>
        </w:rPr>
        <w:t xml:space="preserve">协助乙方做好物业服务管理工作</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（八）按照合同约定，及时支付</w:t>
      </w:r>
      <w:r>
        <w:rPr>
          <w:rFonts w:ascii="宋体" w:hAnsi="宋体" w:cs="宋体"/>
          <w:color w:val="000000"/>
          <w:sz w:val="24"/>
          <w:highlight w:val="none"/>
        </w:rPr>
        <w:t xml:space="preserve">合同款项。</w:t>
      </w:r>
      <w:r>
        <w:rPr>
          <w:rFonts w:hint="eastAsia"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olor w:val="000000"/>
          <w:sz w:val="24"/>
          <w:szCs w:val="24"/>
          <w:highlight w:val="none"/>
        </w:rPr>
        <w:t xml:space="preserve">（九）法规、政策规定由甲方承担的其他责任。</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二、乙方权利义务</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（五）对有违反或影响本合同执行，包括影响机关正常办公秩序的行为，乙方应及时整改。</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（六）协助甲方做好物业管理区域内各项节能管理工作，对物业管理服务人员进行节能管理专业培训，加大节能管理力度。</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（九）投保物业公众责任险。</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（十一）法规、政策规定由乙方承担的其他责任。</w:t>
      </w:r>
      <w:r>
        <w:rPr>
          <w:rFonts w:ascii="宋体" w:hAnsi="宋体" w:cs="宋体"/>
          <w:color w:val="000000"/>
          <w:sz w:val="24"/>
          <w:highlight w:val="none"/>
        </w:rPr>
      </w:r>
      <w:r/>
    </w:p>
    <w:p>
      <w:pPr>
        <w:pStyle w:val="6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三、在管理过程中，因下列因素所致的损害构成乙方的免责事由，乙方均不负赔偿之责：</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（一）天灾、地震等不可抗力的事由所致的损害；</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（二）暴动、持械抢劫、破坏、爆炸、火灾、刑事犯罪等违法行为等事由所致的损害；</w:t>
      </w:r>
      <w:r>
        <w:rPr>
          <w:rFonts w:ascii="宋体" w:hAnsi="宋体" w:cs="宋体"/>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（三）因甲方或第三者之故意、重大过失所致的损害；</w:t>
      </w:r>
      <w:r>
        <w:rPr>
          <w:rFonts w:hint="eastAsia" w:ascii="宋体" w:hAnsi="宋体" w:cs="宋体"/>
          <w:color w:val="000000"/>
          <w:sz w:val="24"/>
          <w:highlight w:val="none"/>
        </w:rPr>
      </w:r>
      <w:r/>
    </w:p>
    <w:p>
      <w:pPr>
        <w:pStyle w:val="682"/>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（四）因乙方书面建议甲方改善或改进物业管理措施，而甲方未采纳</w:t>
      </w:r>
      <w:r>
        <w:rPr>
          <w:rFonts w:ascii="宋体" w:hAnsi="宋体"/>
          <w:color w:val="000000"/>
          <w:sz w:val="24"/>
          <w:szCs w:val="24"/>
          <w:highlight w:val="none"/>
        </w:rPr>
        <w:t xml:space="preserve">所致的损害</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（五）本合同标的物之共用部分（含共用部位、共用设备设施）自然或非乙方人为的任何损坏。</w:t>
      </w:r>
      <w:r>
        <w:rPr>
          <w:rFonts w:hint="eastAsia"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olor w:val="000000"/>
          <w:sz w:val="24"/>
          <w:szCs w:val="24"/>
          <w:highlight w:val="none"/>
        </w:rPr>
        <w:t xml:space="preserve">（六）除上述各款外，其他不可归责于乙方之事由的。</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ascii="宋体" w:hAnsi="宋体" w:cs="宋体"/>
          <w:color w:val="000000"/>
          <w:sz w:val="24"/>
          <w:highlight w:val="none"/>
        </w:rPr>
        <w:t xml:space="preserve">以上所有事项</w:t>
      </w:r>
      <w:r>
        <w:rPr>
          <w:rFonts w:hint="eastAsia" w:ascii="宋体" w:hAnsi="宋体" w:cs="宋体"/>
          <w:color w:val="000000"/>
          <w:sz w:val="24"/>
          <w:highlight w:val="none"/>
        </w:rPr>
        <w:t xml:space="preserve">因乙方故意或过失所致，或未尽到物业管理职责的，不在此限；</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第六条 质量保证</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一、建立质量管理体系并有效运行，管理服务能够接受质量审核。</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二、管理服务逐步达到接受创优评审条件。</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三、各项承诺指标及所采取的措施详见“招标文件”及投标文件。</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四、其他管理服务质量要求按无锡市有关标准执行。</w:t>
      </w:r>
      <w:r>
        <w:rPr>
          <w:rFonts w:ascii="宋体" w:hAnsi="宋体" w:cs="宋体"/>
          <w:color w:val="000000"/>
          <w:sz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第七条 款项支付</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一、本合同项下所有款项均以人民币支付。</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二、甲方在收到乙方开具相应的增值税发票后按约定支付物业服务费；乙方未提供发票的</w:t>
      </w:r>
      <w:r>
        <w:rPr>
          <w:rFonts w:ascii="宋体" w:hAnsi="宋体" w:cs="宋体"/>
          <w:color w:val="000000"/>
          <w:sz w:val="24"/>
          <w:highlight w:val="none"/>
        </w:rPr>
        <w:t xml:space="preserve">，甲方有权迟延支付款项</w:t>
      </w:r>
      <w:r>
        <w:rPr>
          <w:rFonts w:hint="eastAsia" w:ascii="宋体" w:hAnsi="宋体" w:cs="宋体"/>
          <w:color w:val="000000"/>
          <w:sz w:val="24"/>
          <w:highlight w:val="none"/>
        </w:rPr>
        <w:t xml:space="preserve">且</w:t>
      </w:r>
      <w:r>
        <w:rPr>
          <w:rFonts w:ascii="宋体" w:hAnsi="宋体" w:cs="宋体"/>
          <w:color w:val="000000"/>
          <w:sz w:val="24"/>
          <w:highlight w:val="none"/>
        </w:rPr>
        <w:t xml:space="preserve">不承担违约责任，乙方仍应继续履行本合同项下的全部义务</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三、付款方式及进度安排及履约评价考核机制按招标文件执行。</w:t>
      </w:r>
      <w:r>
        <w:rPr>
          <w:rFonts w:ascii="宋体" w:hAnsi="宋体" w:cs="宋体"/>
          <w:color w:val="000000"/>
          <w:sz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第八条 违约责任</w:t>
      </w:r>
      <w:r>
        <w:rPr>
          <w:rFonts w:ascii="宋体" w:hAnsi="宋体" w:cs="宋体"/>
          <w:b/>
          <w:bCs/>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w:t>
      </w:r>
      <w:r>
        <w:rPr>
          <w:rFonts w:hint="eastAsia" w:ascii="宋体" w:hAnsi="宋体"/>
          <w:color w:val="000000"/>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highlight w:val="none"/>
        </w:rPr>
        <w:t xml:space="preserve"> 或依照法律程序解除部分或全部合同。</w:t>
      </w:r>
      <w:r>
        <w:rPr>
          <w:rFonts w:hint="eastAsia"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二、甲方未按合同约定向乙方支付款项的，每逾期1天甲方向乙方偿付欠款总额的5‰违约金，但累计违约金总额不超过欠款总额的5%。</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四、乙方无正当理由，违反本合同约定，擅自收费或擅自提高收费标准的，对擅自收费部分或超出标准的部分，甲方有权</w:t>
      </w:r>
      <w:r>
        <w:rPr>
          <w:rFonts w:ascii="宋体" w:hAnsi="宋体" w:cs="宋体"/>
          <w:color w:val="000000"/>
          <w:sz w:val="24"/>
          <w:highlight w:val="none"/>
        </w:rPr>
        <w:t xml:space="preserve">拒绝付款</w:t>
      </w:r>
      <w:r>
        <w:rPr>
          <w:rFonts w:hint="eastAsia" w:ascii="宋体" w:hAnsi="宋体" w:cs="宋体"/>
          <w:color w:val="000000"/>
          <w:sz w:val="24"/>
          <w:highlight w:val="none"/>
        </w:rPr>
        <w:t xml:space="preserve">；</w:t>
      </w:r>
      <w:r>
        <w:rPr>
          <w:rFonts w:ascii="宋体" w:hAnsi="宋体" w:cs="宋体"/>
          <w:color w:val="000000"/>
          <w:sz w:val="24"/>
          <w:highlight w:val="none"/>
        </w:rPr>
        <w:t xml:space="preserve">已经支付的，</w:t>
      </w:r>
      <w:r>
        <w:rPr>
          <w:rFonts w:hint="eastAsia" w:ascii="宋体" w:hAnsi="宋体" w:cs="宋体"/>
          <w:color w:val="000000"/>
          <w:sz w:val="24"/>
          <w:highlight w:val="none"/>
        </w:rPr>
        <w:t xml:space="preserve">有权要求乙方双倍返还；造成甲方经济损失的，乙方应予赔偿。</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五、因乙方原因导致重大火灾、失窃、泄密等事件的，甲方有权解除合同，并要求乙方赔偿相关损失。</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highlight w:val="none"/>
        </w:rPr>
        <w:t xml:space="preserve">3</w:t>
      </w:r>
      <w:r>
        <w:rPr>
          <w:rFonts w:hint="eastAsia" w:ascii="宋体" w:hAnsi="宋体" w:cs="宋体"/>
          <w:color w:val="000000"/>
          <w:sz w:val="24"/>
          <w:highlight w:val="none"/>
        </w:rPr>
        <w:t xml:space="preserve">0%作为违约金；造成的损失超出前述违约金的，甲方有权要求乙方按照实际损失予以赔偿。</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第九条 合同的生效、变更和终止</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bCs/>
          <w:color w:val="000000"/>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highlight w:val="none"/>
        </w:rPr>
      </w:r>
      <w:r/>
    </w:p>
    <w:p>
      <w:pPr>
        <w:pStyle w:val="682"/>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三、合同中未有约定的按照有关的法律法规以及国家行业标准或技术文件规定予以解决。</w:t>
      </w:r>
      <w:r>
        <w:rPr>
          <w:rFonts w:hint="eastAsia" w:ascii="宋体" w:hAnsi="宋体"/>
          <w:color w:val="000000"/>
          <w:sz w:val="24"/>
          <w:szCs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bCs/>
          <w:color w:val="000000"/>
          <w:sz w:val="24"/>
          <w:szCs w:val="24"/>
          <w:highlight w:val="none"/>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highlight w:val="none"/>
        </w:rPr>
      </w:r>
      <w:r/>
    </w:p>
    <w:p>
      <w:pPr>
        <w:pStyle w:val="682"/>
        <w:ind w:firstLine="482"/>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第十条 争议的解决</w:t>
      </w:r>
      <w:r>
        <w:rPr>
          <w:rFonts w:ascii="宋体" w:hAnsi="宋体" w:cs="宋体"/>
          <w:color w:val="000000"/>
          <w:sz w:val="24"/>
          <w:highlight w:val="none"/>
        </w:rPr>
      </w:r>
      <w:r/>
    </w:p>
    <w:p>
      <w:pPr>
        <w:pStyle w:val="682"/>
        <w:ind w:firstLine="480"/>
        <w:spacing w:line="400" w:lineRule="exact"/>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合同签订后</w:t>
      </w:r>
      <w:r>
        <w:rPr>
          <w:rFonts w:hint="eastAsia" w:ascii="宋体" w:hAnsi="宋体"/>
          <w:color w:val="000000"/>
          <w:sz w:val="24"/>
          <w:szCs w:val="24"/>
          <w:highlight w:val="none"/>
        </w:rPr>
        <w:t xml:space="preserve">甲乙</w:t>
      </w:r>
      <w:r>
        <w:rPr>
          <w:rFonts w:hint="eastAsia" w:ascii="宋体" w:hAnsi="宋体"/>
          <w:bCs/>
          <w:color w:val="000000"/>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highlight w:val="none"/>
        </w:rPr>
        <w:t xml:space="preserve">由甲乙双方协商处理，若协商不成，</w:t>
      </w:r>
      <w:r>
        <w:rPr>
          <w:rFonts w:hint="eastAsia" w:ascii="宋体" w:hAnsi="宋体"/>
          <w:bCs/>
          <w:color w:val="000000"/>
          <w:sz w:val="24"/>
          <w:szCs w:val="24"/>
          <w:highlight w:val="none"/>
        </w:rPr>
        <w:t xml:space="preserve">可选择以下</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方式处理：</w:t>
      </w:r>
      <w:r>
        <w:rPr>
          <w:rFonts w:hint="eastAsia" w:ascii="宋体" w:hAnsi="宋体"/>
          <w:bCs/>
          <w:color w:val="000000"/>
          <w:sz w:val="24"/>
          <w:szCs w:val="24"/>
          <w:highlight w:val="none"/>
        </w:rPr>
      </w:r>
      <w:r/>
    </w:p>
    <w:p>
      <w:pPr>
        <w:pStyle w:val="682"/>
        <w:spacing w:line="400" w:lineRule="exact"/>
        <w:tabs>
          <w:tab w:val="left" w:pos="52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一、向无锡仲裁委员会申请仲裁。</w:t>
      </w:r>
      <w:r>
        <w:rPr>
          <w:rFonts w:hint="eastAsia" w:ascii="宋体" w:hAnsi="宋体"/>
          <w:color w:val="000000"/>
          <w:sz w:val="24"/>
          <w:szCs w:val="24"/>
          <w:highlight w:val="none"/>
        </w:rPr>
      </w:r>
      <w:r/>
    </w:p>
    <w:p>
      <w:pPr>
        <w:pStyle w:val="682"/>
        <w:spacing w:line="400" w:lineRule="exact"/>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二、向甲方所在地法院提起诉讼。</w:t>
      </w:r>
      <w:r>
        <w:rPr>
          <w:rFonts w:hint="eastAsia" w:ascii="宋体" w:hAnsi="宋体"/>
          <w:bCs/>
          <w:color w:val="000000"/>
          <w:sz w:val="24"/>
          <w:szCs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第十一条 诚实信用及其他</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一、乙方应诚实信用，严格按照招标投标文件要求和承诺履行合同，严禁向甲方进行商业贿赂或者提供不正当利益。 </w:t>
      </w:r>
      <w:r>
        <w:rPr>
          <w:rFonts w:ascii="宋体" w:hAnsi="宋体" w:cs="宋体"/>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二、本合同应按照中华人民共和国的现行法律进行解释。</w:t>
      </w:r>
      <w:r>
        <w:rPr>
          <w:rFonts w:hint="eastAsia"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甲方（采购人）：（盖章）         乙方（供应商）：（盖章） </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代表人：                       代表人： </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电话：                         电话： </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开户银行：                     开户银行： </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账号：                         账号： </w:t>
      </w:r>
      <w:r>
        <w:rPr>
          <w:rFonts w:ascii="宋体" w:hAnsi="宋体" w:cs="宋体"/>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签订日期：    年    月    日</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682"/>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黑体" w:hAnsi="黑体" w:eastAsia="黑体"/>
          <w:color w:val="000000"/>
          <w:sz w:val="36"/>
          <w:szCs w:val="36"/>
          <w:highlight w:val="none"/>
        </w:rPr>
        <w:t xml:space="preserve">第</w:t>
      </w:r>
      <w:bookmarkEnd w:id="185"/>
      <w:r>
        <w:rPr>
          <w:rFonts w:hint="eastAsia" w:ascii="黑体" w:hAnsi="黑体" w:eastAsia="黑体"/>
          <w:color w:val="000000"/>
          <w:sz w:val="36"/>
          <w:szCs w:val="36"/>
          <w:highlight w:val="none"/>
        </w:rPr>
        <w:t xml:space="preserve">四章 采购需求</w:t>
      </w:r>
      <w:bookmarkEnd w:id="186"/>
      <w:r/>
      <w:bookmarkEnd w:id="187"/>
      <w:r/>
      <w:bookmarkEnd w:id="188"/>
      <w:r>
        <w:rPr>
          <w:rFonts w:hint="eastAsia" w:ascii="黑体" w:hAnsi="黑体" w:eastAsia="黑体"/>
          <w:color w:val="000000"/>
          <w:sz w:val="36"/>
          <w:szCs w:val="36"/>
          <w:highlight w:val="none"/>
        </w:rPr>
      </w:r>
      <w:r/>
    </w:p>
    <w:p>
      <w:pPr>
        <w:pStyle w:val="682"/>
        <w:ind w:firstLine="600"/>
        <w:jc w:val="left"/>
        <w:spacing w:line="360" w:lineRule="auto"/>
        <w:rPr>
          <w:rFonts w:hint="eastAsia" w:ascii="黑体" w:hAnsi="黑体" w:eastAsia="黑体"/>
          <w:color w:val="000000"/>
          <w:sz w:val="30"/>
          <w:szCs w:val="30"/>
          <w:highlight w:val="none"/>
        </w:rPr>
      </w:pPr>
      <w:r/>
      <w:bookmarkStart w:id="191" w:name="_Toc49090575"/>
      <w:r/>
      <w:bookmarkStart w:id="192" w:name="_Toc26554093"/>
      <w:r>
        <w:rPr>
          <w:rFonts w:hint="eastAsia" w:ascii="黑体" w:hAnsi="黑体" w:eastAsia="黑体"/>
          <w:color w:val="000000"/>
          <w:sz w:val="30"/>
          <w:szCs w:val="30"/>
          <w:highlight w:val="none"/>
        </w:rPr>
        <w:t xml:space="preserve">本项目属性：服务类项目</w:t>
      </w:r>
      <w:r>
        <w:rPr>
          <w:rFonts w:hint="eastAsia" w:ascii="黑体" w:hAnsi="黑体" w:eastAsia="黑体"/>
          <w:color w:val="000000"/>
          <w:sz w:val="30"/>
          <w:szCs w:val="30"/>
          <w:highlight w:val="none"/>
        </w:rPr>
      </w:r>
      <w:r/>
    </w:p>
    <w:p>
      <w:pPr>
        <w:pStyle w:val="6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rPr>
          <w:rFonts w:hint="eastAsia" w:ascii="宋体" w:hAnsi="宋体"/>
          <w:color w:val="000000"/>
          <w:sz w:val="24"/>
          <w:szCs w:val="24"/>
          <w:highlight w:val="none"/>
        </w:rPr>
      </w:r>
      <w:r/>
    </w:p>
    <w:p>
      <w:pPr>
        <w:pStyle w:val="682"/>
        <w:ind w:firstLine="480"/>
        <w:spacing w:line="360" w:lineRule="auto"/>
        <w:rPr>
          <w:rFonts w:hint="eastAsia" w:ascii="宋体" w:hAnsi="宋体"/>
          <w:i/>
          <w:color w:val="000000"/>
          <w:sz w:val="24"/>
          <w:szCs w:val="24"/>
          <w:highlight w:val="none"/>
        </w:rPr>
      </w:pPr>
      <w:r>
        <w:rPr>
          <w:rFonts w:hint="eastAsia" w:ascii="宋体" w:hAnsi="宋体"/>
          <w:bCs/>
          <w:color w:val="000000"/>
          <w:sz w:val="24"/>
          <w:szCs w:val="24"/>
          <w:highlight w:val="none"/>
        </w:rPr>
        <w:t xml:space="preserve">本项目标的物所属行业：物业管理</w:t>
      </w:r>
      <w:r>
        <w:rPr>
          <w:rFonts w:hint="eastAsia" w:ascii="宋体" w:hAnsi="宋体"/>
          <w:i/>
          <w:color w:val="000000"/>
          <w:sz w:val="24"/>
          <w:szCs w:val="24"/>
          <w:highlight w:val="none"/>
        </w:rPr>
      </w:r>
      <w:r/>
    </w:p>
    <w:p>
      <w:pPr>
        <w:pStyle w:val="682"/>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rPr>
          <w:rFonts w:ascii="宋体" w:hAnsi="宋体"/>
          <w:b/>
          <w:color w:val="000000"/>
          <w:sz w:val="30"/>
          <w:szCs w:val="30"/>
          <w:highlight w:val="none"/>
        </w:rPr>
      </w:r>
      <w:r/>
    </w:p>
    <w:p>
      <w:pPr>
        <w:pStyle w:val="68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1.项目基本情况</w:t>
      </w:r>
      <w:r>
        <w:rPr>
          <w:rFonts w:hint="eastAsia" w:ascii="宋体" w:hAnsi="宋体"/>
          <w:b/>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1.1物业情况</w:t>
      </w:r>
      <w:r>
        <w:rPr>
          <w:rFonts w:hint="eastAsia" w:ascii="宋体" w:hAnsi="宋体"/>
          <w:color w:val="000000"/>
          <w:sz w:val="24"/>
          <w:highlight w:val="none"/>
        </w:rPr>
      </w:r>
      <w:r/>
    </w:p>
    <w:p>
      <w:pPr>
        <w:pStyle w:val="682"/>
        <w:ind w:firstLine="480"/>
        <w:spacing w:line="360" w:lineRule="auto"/>
        <w:rPr>
          <w:rFonts w:hint="eastAsia" w:ascii="宋体" w:hAnsi="宋体"/>
          <w:color w:val="000000"/>
          <w:sz w:val="24"/>
          <w:highlight w:val="none"/>
        </w:rPr>
      </w:pPr>
      <w:r>
        <w:rPr>
          <w:rFonts w:ascii="宋体" w:hAnsi="宋体" w:cs="宋体"/>
          <w:color w:val="000000"/>
          <w:sz w:val="24"/>
          <w:highlight w:val="none"/>
        </w:rPr>
        <w:t xml:space="preserve">南山慈善家园由无锡市残疾人托养中心（1—2#）、</w:t>
      </w:r>
      <w:r>
        <w:rPr>
          <w:rFonts w:hint="eastAsia" w:ascii="宋体" w:hAnsi="宋体" w:cs="宋体"/>
          <w:color w:val="000000"/>
          <w:sz w:val="24"/>
          <w:highlight w:val="none"/>
        </w:rPr>
        <w:t xml:space="preserve">无锡市老龄工作发展促进中心</w:t>
      </w:r>
      <w:r>
        <w:rPr>
          <w:rFonts w:ascii="宋体" w:hAnsi="宋体" w:cs="宋体"/>
          <w:color w:val="000000"/>
          <w:sz w:val="24"/>
          <w:highlight w:val="none"/>
        </w:rPr>
        <w:t xml:space="preserve">（3—5#）、新区江溪街道老年人（残疾人）养护康复中心（6—9#）、江溪街道社区卫生服务中心</w:t>
      </w:r>
      <w:r>
        <w:rPr>
          <w:rFonts w:ascii="宋体" w:hAnsi="宋体" w:cs="宋体"/>
          <w:color w:val="000000"/>
          <w:sz w:val="24"/>
          <w:highlight w:val="none"/>
        </w:rPr>
        <w:t xml:space="preserve">（10#）（以下简称 “四个中心”）组成。占地总面积 42931.8 平方米（1—5# 占地面积 25200.97 平方米，6—10# 占地面积 17730.83 平方米）；建筑总面积 75830.71 平方米，其中地上建筑面积 64609.1 平方米（1—2# 建筑面积 24659.08 平方米，3—5# 建筑面积 19878.37 平方米，6—9# 建筑面积 22052.01 平方米，10# 建筑面积 9241.25 平方米）；地下建筑面积 11221.6 平方米；门卫等其他配套建筑面积 361 平方米</w:t>
      </w:r>
      <w:r>
        <w:rPr>
          <w:rFonts w:hint="eastAsia" w:ascii="宋体" w:hAnsi="宋体"/>
          <w:color w:val="000000"/>
          <w:sz w:val="24"/>
          <w:highlight w:val="none"/>
        </w:rPr>
        <w:t xml:space="preserve">。具体情况以现场实际状况为准。</w:t>
      </w:r>
      <w:r>
        <w:rPr>
          <w:rFonts w:hint="eastAsia" w:ascii="宋体" w:hAnsi="宋体" w:cs="宋体"/>
          <w:color w:val="000000"/>
          <w:sz w:val="24"/>
          <w:highlight w:val="none"/>
        </w:rPr>
        <w:t xml:space="preserve">本项目服务期一年，最高限价：550万元。</w:t>
      </w:r>
      <w:r>
        <w:rPr>
          <w:rFonts w:hint="eastAsia" w:ascii="宋体" w:hAnsi="宋体"/>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 采购人提供供应商使用的场地、设施、设备、材料等。</w:t>
      </w:r>
      <w:r>
        <w:rPr>
          <w:rFonts w:hint="eastAsia" w:ascii="宋体" w:hAnsi="宋体"/>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【如采购人拥有与物业管理服务有关的且可以无偿提供给供应商在本项目中使用的设施、设备、材料、场地等，可在此列明】</w:t>
      </w:r>
      <w:r>
        <w:rPr>
          <w:rFonts w:hint="eastAsia" w:ascii="宋体" w:hAnsi="宋体"/>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（1）采购人可提供的办公室</w:t>
      </w:r>
      <w:r>
        <w:rPr>
          <w:rFonts w:hint="eastAsia" w:ascii="宋体" w:hAnsi="宋体"/>
          <w:color w:val="000000"/>
          <w:sz w:val="24"/>
          <w:highlight w:val="none"/>
        </w:rPr>
      </w:r>
      <w:r/>
    </w:p>
    <w:tbl>
      <w:tblPr>
        <w:tblStyle w:val="7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rPr>
                <w:rFonts w:hint="eastAsia" w:ascii="微软雅黑" w:hAnsi="微软雅黑" w:eastAsia="微软雅黑" w:cs="微软雅黑"/>
                <w:color w:val="000000"/>
                <w:spacing w:val="-1"/>
                <w:szCs w:val="21"/>
                <w:highlight w:val="none"/>
              </w:rPr>
            </w:r>
            <w:r/>
          </w:p>
        </w:tc>
        <w:tc>
          <w:tcPr>
            <w:tcW w:w="139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rPr>
                <w:rFonts w:hint="eastAsia" w:ascii="微软雅黑" w:hAnsi="微软雅黑" w:eastAsia="微软雅黑" w:cs="微软雅黑"/>
                <w:color w:val="000000"/>
                <w:spacing w:val="-1"/>
                <w:szCs w:val="21"/>
                <w:highlight w:val="none"/>
              </w:rPr>
            </w:r>
            <w:r/>
          </w:p>
        </w:tc>
        <w:tc>
          <w:tcPr>
            <w:tcW w:w="142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面积</w:t>
            </w:r>
            <w:r>
              <w:rPr>
                <w:rFonts w:hint="eastAsia" w:ascii="宋体" w:hAnsi="宋体" w:cs="宋体"/>
                <w:color w:val="000000"/>
                <w:spacing w:val="-1"/>
                <w:szCs w:val="21"/>
                <w:highlight w:val="none"/>
              </w:rPr>
              <w:t xml:space="preserve">㎡</w:t>
            </w:r>
            <w:r>
              <w:rPr>
                <w:rFonts w:hint="eastAsia" w:ascii="微软雅黑" w:hAnsi="微软雅黑" w:eastAsia="微软雅黑" w:cs="微软雅黑"/>
                <w:color w:val="000000"/>
                <w:spacing w:val="-1"/>
                <w:szCs w:val="21"/>
                <w:highlight w:val="none"/>
              </w:rPr>
            </w:r>
            <w:r/>
          </w:p>
        </w:tc>
        <w:tc>
          <w:tcPr>
            <w:tcW w:w="475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办公室内可用设施设备清单</w:t>
            </w:r>
            <w:r>
              <w:rPr>
                <w:rFonts w:hint="eastAsia" w:ascii="微软雅黑" w:hAnsi="微软雅黑" w:eastAsia="微软雅黑" w:cs="微软雅黑"/>
                <w:color w:val="000000"/>
                <w:spacing w:val="-1"/>
                <w:szCs w:val="21"/>
                <w:highlight w:val="none"/>
              </w:rPr>
            </w:r>
            <w:r/>
          </w:p>
        </w:tc>
      </w:tr>
      <w:tr>
        <w:trPr/>
        <w:tc>
          <w:tcPr>
            <w:tcW w:w="948"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rPr>
                <w:rFonts w:hint="eastAsia" w:ascii="微软雅黑" w:hAnsi="微软雅黑" w:eastAsia="微软雅黑" w:cs="微软雅黑"/>
                <w:color w:val="000000"/>
                <w:spacing w:val="-1"/>
                <w:szCs w:val="21"/>
                <w:highlight w:val="none"/>
              </w:rPr>
            </w:r>
            <w:r/>
          </w:p>
        </w:tc>
        <w:tc>
          <w:tcPr>
            <w:tcW w:w="139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rPr>
                <w:rFonts w:hint="eastAsia" w:ascii="微软雅黑" w:hAnsi="微软雅黑" w:eastAsia="微软雅黑" w:cs="微软雅黑"/>
                <w:color w:val="000000"/>
                <w:spacing w:val="-1"/>
                <w:szCs w:val="21"/>
                <w:highlight w:val="none"/>
              </w:rPr>
            </w:r>
            <w:r/>
          </w:p>
        </w:tc>
        <w:tc>
          <w:tcPr>
            <w:tcW w:w="142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50</w:t>
            </w:r>
            <w:r>
              <w:rPr>
                <w:rFonts w:hint="eastAsia" w:ascii="微软雅黑" w:hAnsi="微软雅黑" w:eastAsia="微软雅黑" w:cs="微软雅黑"/>
                <w:color w:val="000000"/>
                <w:spacing w:val="-1"/>
                <w:szCs w:val="21"/>
                <w:highlight w:val="none"/>
              </w:rPr>
            </w:r>
            <w:r/>
          </w:p>
        </w:tc>
        <w:tc>
          <w:tcPr>
            <w:tcW w:w="475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宋体" w:hAnsi="宋体"/>
                <w:color w:val="000000"/>
                <w:sz w:val="24"/>
                <w:highlight w:val="none"/>
              </w:rPr>
              <w:t xml:space="preserve">本项目的物业办公室由采购人提供</w:t>
            </w:r>
            <w:r>
              <w:rPr>
                <w:rFonts w:hint="eastAsia" w:ascii="微软雅黑" w:hAnsi="微软雅黑" w:eastAsia="微软雅黑" w:cs="微软雅黑"/>
                <w:color w:val="000000"/>
                <w:spacing w:val="-1"/>
                <w:szCs w:val="21"/>
                <w:highlight w:val="none"/>
              </w:rPr>
            </w:r>
            <w:r/>
          </w:p>
        </w:tc>
      </w:tr>
      <w:tr>
        <w:trPr/>
        <w:tc>
          <w:tcPr>
            <w:tcW w:w="948"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rPr>
                <w:rFonts w:hint="eastAsia" w:ascii="微软雅黑" w:hAnsi="微软雅黑" w:eastAsia="微软雅黑" w:cs="微软雅黑"/>
                <w:color w:val="000000"/>
                <w:spacing w:val="-1"/>
                <w:szCs w:val="21"/>
                <w:highlight w:val="none"/>
              </w:rPr>
            </w:r>
            <w:r/>
          </w:p>
        </w:tc>
        <w:tc>
          <w:tcPr>
            <w:tcW w:w="139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2</w:t>
            </w:r>
            <w:r>
              <w:rPr>
                <w:rFonts w:hint="eastAsia" w:ascii="微软雅黑" w:hAnsi="微软雅黑" w:eastAsia="微软雅黑" w:cs="微软雅黑"/>
                <w:color w:val="000000"/>
                <w:spacing w:val="-1"/>
                <w:szCs w:val="21"/>
                <w:highlight w:val="none"/>
                <w:lang w:eastAsia="en-US"/>
              </w:rPr>
            </w:r>
            <w:r/>
          </w:p>
        </w:tc>
        <w:tc>
          <w:tcPr>
            <w:tcW w:w="142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lang w:eastAsia="en-US"/>
              </w:rPr>
            </w:r>
            <w:r/>
          </w:p>
        </w:tc>
        <w:tc>
          <w:tcPr>
            <w:tcW w:w="475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宋体" w:hAnsi="宋体"/>
                <w:color w:val="000000"/>
                <w:sz w:val="24"/>
                <w:highlight w:val="none"/>
              </w:rPr>
              <w:t xml:space="preserve">本项目的门卫室由采购人提供</w:t>
            </w:r>
            <w:r>
              <w:rPr>
                <w:rFonts w:hint="eastAsia" w:ascii="微软雅黑" w:hAnsi="微软雅黑" w:eastAsia="微软雅黑" w:cs="微软雅黑"/>
                <w:color w:val="000000"/>
                <w:spacing w:val="-1"/>
                <w:szCs w:val="21"/>
                <w:highlight w:val="none"/>
              </w:rPr>
            </w:r>
            <w:r/>
          </w:p>
        </w:tc>
      </w:tr>
      <w:tr>
        <w:trPr/>
        <w:tc>
          <w:tcPr>
            <w:tcW w:w="948"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3</w:t>
            </w:r>
            <w:r>
              <w:rPr>
                <w:rFonts w:hint="eastAsia" w:ascii="微软雅黑" w:hAnsi="微软雅黑" w:eastAsia="微软雅黑" w:cs="微软雅黑"/>
                <w:color w:val="000000"/>
                <w:spacing w:val="-1"/>
                <w:szCs w:val="21"/>
                <w:highlight w:val="none"/>
                <w:lang w:eastAsia="en-US"/>
              </w:rPr>
            </w:r>
            <w:r/>
          </w:p>
        </w:tc>
        <w:tc>
          <w:tcPr>
            <w:tcW w:w="139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1</w:t>
            </w:r>
            <w:r>
              <w:rPr>
                <w:rFonts w:hint="eastAsia" w:ascii="微软雅黑" w:hAnsi="微软雅黑" w:eastAsia="微软雅黑" w:cs="微软雅黑"/>
                <w:color w:val="000000"/>
                <w:spacing w:val="-1"/>
                <w:szCs w:val="21"/>
                <w:highlight w:val="none"/>
                <w:lang w:eastAsia="en-US"/>
              </w:rPr>
            </w:r>
            <w:r/>
          </w:p>
        </w:tc>
        <w:tc>
          <w:tcPr>
            <w:tcW w:w="142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lang w:eastAsia="en-US"/>
              </w:rPr>
            </w:r>
            <w:r/>
          </w:p>
        </w:tc>
        <w:tc>
          <w:tcPr>
            <w:tcW w:w="475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宋体" w:hAnsi="宋体"/>
                <w:color w:val="000000"/>
                <w:sz w:val="24"/>
                <w:highlight w:val="none"/>
              </w:rPr>
              <w:t xml:space="preserve">本项目的消、监控室由采购人提供</w:t>
            </w:r>
            <w:r>
              <w:rPr>
                <w:rFonts w:hint="eastAsia" w:ascii="微软雅黑" w:hAnsi="微软雅黑" w:eastAsia="微软雅黑" w:cs="微软雅黑"/>
                <w:color w:val="000000"/>
                <w:spacing w:val="-1"/>
                <w:szCs w:val="21"/>
                <w:highlight w:val="none"/>
              </w:rPr>
            </w:r>
            <w:r/>
          </w:p>
        </w:tc>
      </w:tr>
    </w:tbl>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（2）采购人可提供的物业管理服务设备</w:t>
      </w:r>
      <w:r>
        <w:rPr>
          <w:rFonts w:hint="eastAsia" w:ascii="宋体" w:hAnsi="宋体"/>
          <w:color w:val="000000"/>
          <w:sz w:val="24"/>
          <w:highlight w:val="none"/>
        </w:rPr>
      </w:r>
      <w:r/>
    </w:p>
    <w:tbl>
      <w:tblPr>
        <w:tblStyle w:val="7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名称</w:t>
            </w:r>
            <w:r>
              <w:rPr>
                <w:rFonts w:hint="eastAsia" w:ascii="微软雅黑" w:hAnsi="微软雅黑" w:eastAsia="微软雅黑" w:cs="微软雅黑"/>
                <w:color w:val="000000"/>
                <w:spacing w:val="-1"/>
                <w:szCs w:val="21"/>
                <w:highlight w:val="none"/>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rPr>
                <w:rFonts w:hint="eastAsia" w:ascii="微软雅黑" w:hAnsi="微软雅黑" w:eastAsia="微软雅黑" w:cs="微软雅黑"/>
                <w:color w:val="000000"/>
                <w:spacing w:val="-1"/>
                <w:szCs w:val="21"/>
                <w:highlight w:val="none"/>
              </w:rPr>
            </w:r>
            <w:r/>
          </w:p>
        </w:tc>
        <w:tc>
          <w:tcPr>
            <w:tcW w:w="213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用途</w:t>
            </w:r>
            <w:r>
              <w:rPr>
                <w:rFonts w:hint="eastAsia" w:ascii="微软雅黑" w:hAnsi="微软雅黑" w:eastAsia="微软雅黑" w:cs="微软雅黑"/>
                <w:color w:val="000000"/>
                <w:spacing w:val="-1"/>
                <w:szCs w:val="21"/>
                <w:highlight w:val="none"/>
              </w:rPr>
            </w:r>
            <w:r/>
          </w:p>
        </w:tc>
        <w:tc>
          <w:tcPr>
            <w:tcW w:w="305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主要技术指标</w:t>
            </w:r>
            <w:r>
              <w:rPr>
                <w:rFonts w:hint="eastAsia" w:ascii="微软雅黑" w:hAnsi="微软雅黑" w:eastAsia="微软雅黑" w:cs="微软雅黑"/>
                <w:color w:val="000000"/>
                <w:spacing w:val="-1"/>
                <w:szCs w:val="21"/>
                <w:highlight w:val="none"/>
              </w:rPr>
            </w:r>
            <w:r/>
          </w:p>
        </w:tc>
      </w:tr>
      <w:tr>
        <w:trPr/>
        <w:tc>
          <w:tcPr>
            <w:tcW w:w="963" w:type="dxa"/>
            <w:vAlign w:val="center"/>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rPr>
                <w:rFonts w:hint="eastAsia" w:ascii="微软雅黑" w:hAnsi="微软雅黑" w:eastAsia="微软雅黑" w:cs="微软雅黑"/>
                <w:color w:val="000000"/>
                <w:spacing w:val="-1"/>
                <w:szCs w:val="21"/>
                <w:highlight w:val="none"/>
              </w:rPr>
            </w:r>
            <w:r/>
          </w:p>
        </w:tc>
        <w:tc>
          <w:tcPr>
            <w:tcW w:w="1140" w:type="dxa"/>
            <w:vAlign w:val="center"/>
            <w:textDirection w:val="lrTb"/>
            <w:noWrap w:val="false"/>
          </w:tcPr>
          <w:p>
            <w:pPr>
              <w:pStyle w:val="682"/>
              <w:jc w:val="center"/>
              <w:spacing w:line="0" w:lineRule="atLeast"/>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rPr>
            </w:r>
            <w:r/>
          </w:p>
        </w:tc>
        <w:tc>
          <w:tcPr>
            <w:tcW w:w="1230" w:type="dxa"/>
            <w:vAlign w:val="center"/>
            <w:textDirection w:val="lrTb"/>
            <w:noWrap w:val="false"/>
          </w:tcPr>
          <w:p>
            <w:pPr>
              <w:pStyle w:val="682"/>
              <w:jc w:val="center"/>
              <w:spacing w:line="0" w:lineRule="atLeast"/>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r>
            <w:r/>
          </w:p>
        </w:tc>
        <w:tc>
          <w:tcPr>
            <w:tcW w:w="2135" w:type="dxa"/>
            <w:vAlign w:val="center"/>
            <w:textDirection w:val="lrTb"/>
            <w:noWrap w:val="false"/>
          </w:tcPr>
          <w:p>
            <w:pPr>
              <w:pStyle w:val="682"/>
              <w:jc w:val="center"/>
              <w:spacing w:line="0" w:lineRule="atLeast"/>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3051" w:type="dxa"/>
            <w:vAlign w:val="center"/>
            <w:textDirection w:val="lrTb"/>
            <w:noWrap w:val="false"/>
          </w:tcPr>
          <w:p>
            <w:pPr>
              <w:pStyle w:val="682"/>
              <w:jc w:val="center"/>
              <w:spacing w:line="0" w:lineRule="atLeast"/>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lang w:eastAsia="en-US"/>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213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305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hint="eastAsia" w:ascii="微软雅黑" w:hAnsi="微软雅黑" w:eastAsia="微软雅黑" w:cs="微软雅黑"/>
                <w:color w:val="000000"/>
                <w:spacing w:val="-1"/>
                <w:szCs w:val="21"/>
                <w:highlight w:val="none"/>
                <w:lang w:eastAsia="en-US"/>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hint="eastAsia" w:ascii="微软雅黑" w:hAnsi="微软雅黑" w:eastAsia="微软雅黑" w:cs="微软雅黑"/>
                <w:color w:val="000000"/>
                <w:spacing w:val="-1"/>
                <w:szCs w:val="21"/>
                <w:highlight w:val="none"/>
                <w:lang w:eastAsia="en-US"/>
              </w:rPr>
            </w:r>
            <w:r/>
          </w:p>
        </w:tc>
        <w:tc>
          <w:tcPr>
            <w:tcW w:w="213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hint="eastAsia" w:ascii="微软雅黑" w:hAnsi="微软雅黑" w:eastAsia="微软雅黑" w:cs="微软雅黑"/>
                <w:color w:val="000000"/>
                <w:spacing w:val="-1"/>
                <w:szCs w:val="21"/>
                <w:highlight w:val="none"/>
                <w:lang w:eastAsia="en-US"/>
              </w:rPr>
            </w:r>
            <w:r/>
          </w:p>
        </w:tc>
        <w:tc>
          <w:tcPr>
            <w:tcW w:w="305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hint="eastAsia" w:ascii="微软雅黑" w:hAnsi="微软雅黑" w:eastAsia="微软雅黑" w:cs="微软雅黑"/>
                <w:color w:val="000000"/>
                <w:spacing w:val="-1"/>
                <w:szCs w:val="21"/>
                <w:highlight w:val="none"/>
                <w:lang w:eastAsia="en-US"/>
              </w:rPr>
            </w:r>
            <w:r/>
          </w:p>
        </w:tc>
      </w:tr>
    </w:tbl>
    <w:p>
      <w:pPr>
        <w:pStyle w:val="682"/>
        <w:numPr>
          <w:ilvl w:val="0"/>
          <w:numId w:val="5"/>
        </w:num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采购人可提供的零星维修材料、低值易耗品</w:t>
      </w:r>
      <w:r>
        <w:rPr>
          <w:rFonts w:hint="eastAsia" w:ascii="宋体" w:hAnsi="宋体"/>
          <w:color w:val="000000"/>
          <w:sz w:val="24"/>
          <w:highlight w:val="none"/>
        </w:rPr>
      </w:r>
      <w:r/>
    </w:p>
    <w:tbl>
      <w:tblPr>
        <w:tblStyle w:val="7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82"/>
              <w:jc w:val="left"/>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b/>
                <w:bCs/>
                <w:color w:val="000000"/>
                <w:spacing w:val="-1"/>
                <w:szCs w:val="21"/>
                <w:highlight w:val="none"/>
              </w:rPr>
              <w:t xml:space="preserve">零星维修材料</w:t>
            </w:r>
            <w:r>
              <w:rPr>
                <w:rFonts w:hint="eastAsia" w:ascii="微软雅黑" w:hAnsi="微软雅黑" w:eastAsia="微软雅黑" w:cs="微软雅黑"/>
                <w:color w:val="000000"/>
                <w:spacing w:val="-1"/>
                <w:szCs w:val="21"/>
                <w:highlight w:val="none"/>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名称</w:t>
            </w:r>
            <w:r>
              <w:rPr>
                <w:rFonts w:hint="eastAsia" w:ascii="微软雅黑" w:hAnsi="微软雅黑" w:eastAsia="微软雅黑" w:cs="微软雅黑"/>
                <w:color w:val="000000"/>
                <w:spacing w:val="-1"/>
                <w:szCs w:val="21"/>
                <w:highlight w:val="none"/>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rPr>
                <w:rFonts w:hint="eastAsia" w:ascii="微软雅黑" w:hAnsi="微软雅黑" w:eastAsia="微软雅黑" w:cs="微软雅黑"/>
                <w:color w:val="000000"/>
                <w:spacing w:val="-1"/>
                <w:szCs w:val="21"/>
                <w:highlight w:val="none"/>
              </w:rPr>
            </w:r>
            <w:r/>
          </w:p>
        </w:tc>
        <w:tc>
          <w:tcPr>
            <w:tcW w:w="5186"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用途</w:t>
            </w:r>
            <w:r>
              <w:rPr>
                <w:rFonts w:hint="eastAsia" w:ascii="微软雅黑" w:hAnsi="微软雅黑" w:eastAsia="微软雅黑" w:cs="微软雅黑"/>
                <w:color w:val="000000"/>
                <w:spacing w:val="-1"/>
                <w:szCs w:val="21"/>
                <w:highlight w:val="none"/>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r>
            <w:r/>
          </w:p>
        </w:tc>
        <w:tc>
          <w:tcPr>
            <w:tcW w:w="5186"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lang w:eastAsia="en-US"/>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5186"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682"/>
              <w:jc w:val="left"/>
              <w:rPr>
                <w:rFonts w:hint="eastAsia"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r>
            <w:r/>
          </w:p>
        </w:tc>
        <w:tc>
          <w:tcPr>
            <w:tcW w:w="1140" w:type="dxa"/>
            <w:vAlign w:val="top"/>
            <w:textDirection w:val="lrTb"/>
            <w:noWrap w:val="false"/>
          </w:tcPr>
          <w:p>
            <w:pPr>
              <w:pStyle w:val="682"/>
              <w:jc w:val="center"/>
              <w:rPr>
                <w:rFonts w:hint="eastAsia"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hint="eastAsia" w:ascii="微软雅黑" w:hAnsi="微软雅黑" w:eastAsia="微软雅黑" w:cs="微软雅黑"/>
                <w:b/>
                <w:bCs/>
                <w:color w:val="000000"/>
                <w:spacing w:val="-1"/>
                <w:szCs w:val="21"/>
                <w:highlight w:val="none"/>
                <w:lang w:eastAsia="en-US"/>
              </w:rPr>
            </w:r>
            <w:r/>
          </w:p>
        </w:tc>
        <w:tc>
          <w:tcPr>
            <w:tcW w:w="1230" w:type="dxa"/>
            <w:vAlign w:val="top"/>
            <w:textDirection w:val="lrTb"/>
            <w:noWrap w:val="false"/>
          </w:tcPr>
          <w:p>
            <w:pPr>
              <w:pStyle w:val="682"/>
              <w:jc w:val="center"/>
              <w:rPr>
                <w:rFonts w:hint="eastAsia"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hint="eastAsia" w:ascii="微软雅黑" w:hAnsi="微软雅黑" w:eastAsia="微软雅黑" w:cs="微软雅黑"/>
                <w:b/>
                <w:bCs/>
                <w:color w:val="000000"/>
                <w:spacing w:val="-1"/>
                <w:szCs w:val="21"/>
                <w:highlight w:val="none"/>
                <w:lang w:eastAsia="en-US"/>
              </w:rPr>
            </w:r>
            <w:r/>
          </w:p>
        </w:tc>
        <w:tc>
          <w:tcPr>
            <w:tcW w:w="5186" w:type="dxa"/>
            <w:vAlign w:val="top"/>
            <w:textDirection w:val="lrTb"/>
            <w:noWrap w:val="false"/>
          </w:tcPr>
          <w:p>
            <w:pPr>
              <w:pStyle w:val="682"/>
              <w:jc w:val="center"/>
              <w:rPr>
                <w:rFonts w:hint="eastAsia"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hint="eastAsia" w:ascii="微软雅黑" w:hAnsi="微软雅黑" w:eastAsia="微软雅黑" w:cs="微软雅黑"/>
                <w:b/>
                <w:bCs/>
                <w:color w:val="000000"/>
                <w:spacing w:val="-1"/>
                <w:szCs w:val="21"/>
                <w:highlight w:val="none"/>
                <w:lang w:eastAsia="en-US"/>
              </w:rPr>
            </w:r>
            <w:r/>
          </w:p>
        </w:tc>
      </w:tr>
      <w:tr>
        <w:trPr/>
        <w:tc>
          <w:tcPr>
            <w:gridSpan w:val="4"/>
            <w:tcW w:w="8519" w:type="dxa"/>
            <w:vAlign w:val="top"/>
            <w:textDirection w:val="lrTb"/>
            <w:noWrap w:val="false"/>
          </w:tcPr>
          <w:p>
            <w:pPr>
              <w:pStyle w:val="682"/>
              <w:jc w:val="left"/>
              <w:rPr>
                <w:rFonts w:hint="eastAsia" w:ascii="微软雅黑" w:hAnsi="微软雅黑" w:eastAsia="微软雅黑" w:cs="微软雅黑"/>
                <w:b/>
                <w:bCs/>
                <w:color w:val="000000"/>
                <w:spacing w:val="-1"/>
                <w:szCs w:val="21"/>
                <w:highlight w:val="none"/>
              </w:rPr>
            </w:pPr>
            <w:r>
              <w:rPr>
                <w:rFonts w:hint="eastAsia" w:ascii="微软雅黑" w:hAnsi="微软雅黑" w:eastAsia="微软雅黑" w:cs="微软雅黑"/>
                <w:b/>
                <w:bCs/>
                <w:color w:val="000000"/>
                <w:spacing w:val="-1"/>
                <w:szCs w:val="21"/>
                <w:highlight w:val="none"/>
              </w:rPr>
              <w:t xml:space="preserve">低值易耗品</w:t>
            </w:r>
            <w:r>
              <w:rPr>
                <w:rFonts w:hint="eastAsia" w:ascii="微软雅黑" w:hAnsi="微软雅黑" w:eastAsia="微软雅黑" w:cs="微软雅黑"/>
                <w:b/>
                <w:bCs/>
                <w:color w:val="000000"/>
                <w:spacing w:val="-1"/>
                <w:szCs w:val="21"/>
                <w:highlight w:val="none"/>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名称</w:t>
            </w:r>
            <w:r>
              <w:rPr>
                <w:rFonts w:hint="eastAsia" w:ascii="微软雅黑" w:hAnsi="微软雅黑" w:eastAsia="微软雅黑" w:cs="微软雅黑"/>
                <w:color w:val="000000"/>
                <w:spacing w:val="-1"/>
                <w:szCs w:val="21"/>
                <w:highlight w:val="none"/>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rPr>
                <w:rFonts w:hint="eastAsia" w:ascii="微软雅黑" w:hAnsi="微软雅黑" w:eastAsia="微软雅黑" w:cs="微软雅黑"/>
                <w:color w:val="000000"/>
                <w:spacing w:val="-1"/>
                <w:szCs w:val="21"/>
                <w:highlight w:val="none"/>
              </w:rPr>
            </w:r>
            <w:r/>
          </w:p>
        </w:tc>
        <w:tc>
          <w:tcPr>
            <w:tcW w:w="5186"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用途</w:t>
            </w:r>
            <w:r>
              <w:rPr>
                <w:rFonts w:hint="eastAsia" w:ascii="微软雅黑" w:hAnsi="微软雅黑" w:eastAsia="微软雅黑" w:cs="微软雅黑"/>
                <w:color w:val="000000"/>
                <w:spacing w:val="-1"/>
                <w:szCs w:val="21"/>
                <w:highlight w:val="none"/>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lang w:eastAsia="en-US"/>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5186"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lang w:eastAsia="en-US"/>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5186"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hint="eastAsia" w:ascii="微软雅黑" w:hAnsi="微软雅黑" w:eastAsia="微软雅黑" w:cs="微软雅黑"/>
                <w:b/>
                <w:bCs/>
                <w:color w:val="000000"/>
                <w:spacing w:val="-1"/>
                <w:szCs w:val="21"/>
                <w:highlight w:val="none"/>
                <w:lang w:eastAsia="en-US"/>
              </w:rPr>
            </w:r>
            <w:r/>
          </w:p>
        </w:tc>
        <w:tc>
          <w:tcPr>
            <w:tcW w:w="1230" w:type="dxa"/>
            <w:vAlign w:val="top"/>
            <w:textDirection w:val="lrTb"/>
            <w:noWrap w:val="false"/>
          </w:tcPr>
          <w:p>
            <w:pPr>
              <w:pStyle w:val="682"/>
              <w:jc w:val="center"/>
              <w:rPr>
                <w:rFonts w:hint="eastAsia"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hint="eastAsia" w:ascii="微软雅黑" w:hAnsi="微软雅黑" w:eastAsia="微软雅黑" w:cs="微软雅黑"/>
                <w:b/>
                <w:bCs/>
                <w:color w:val="000000"/>
                <w:spacing w:val="-1"/>
                <w:szCs w:val="21"/>
                <w:highlight w:val="none"/>
                <w:lang w:eastAsia="en-US"/>
              </w:rPr>
            </w:r>
            <w:r/>
          </w:p>
        </w:tc>
        <w:tc>
          <w:tcPr>
            <w:tcW w:w="5186" w:type="dxa"/>
            <w:vAlign w:val="top"/>
            <w:textDirection w:val="lrTb"/>
            <w:noWrap w:val="false"/>
          </w:tcPr>
          <w:p>
            <w:pPr>
              <w:pStyle w:val="682"/>
              <w:jc w:val="center"/>
              <w:rPr>
                <w:rFonts w:hint="eastAsia"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hint="eastAsia" w:ascii="微软雅黑" w:hAnsi="微软雅黑" w:eastAsia="微软雅黑" w:cs="微软雅黑"/>
                <w:b/>
                <w:bCs/>
                <w:color w:val="000000"/>
                <w:spacing w:val="-1"/>
                <w:szCs w:val="21"/>
                <w:highlight w:val="none"/>
                <w:lang w:eastAsia="en-US"/>
              </w:rPr>
            </w:r>
            <w:r/>
          </w:p>
        </w:tc>
      </w:tr>
    </w:tbl>
    <w:p>
      <w:pPr>
        <w:pStyle w:val="682"/>
        <w:spacing w:line="360" w:lineRule="auto"/>
        <w:rPr>
          <w:rFonts w:hint="eastAsia" w:ascii="宋体" w:hAnsi="宋体" w:eastAsia="微软雅黑"/>
          <w:color w:val="000000"/>
          <w:sz w:val="24"/>
          <w:highlight w:val="none"/>
        </w:rPr>
      </w:pPr>
      <w:r>
        <w:rPr>
          <w:rFonts w:hint="eastAsia" w:ascii="微软雅黑" w:hAnsi="微软雅黑" w:eastAsia="微软雅黑" w:cs="微软雅黑"/>
          <w:b/>
          <w:bCs/>
          <w:color w:val="000000"/>
          <w:spacing w:val="-1"/>
          <w:szCs w:val="21"/>
          <w:highlight w:val="none"/>
          <w:lang w:eastAsia="en-US"/>
        </w:rPr>
        <w:t xml:space="preserve">……</w:t>
      </w:r>
      <w:r>
        <w:rPr>
          <w:rFonts w:hint="eastAsia" w:ascii="宋体" w:hAnsi="宋体" w:eastAsia="微软雅黑"/>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除</w:t>
      </w:r>
      <w:r>
        <w:rPr>
          <w:rFonts w:ascii="宋体" w:hAnsi="宋体"/>
          <w:color w:val="000000"/>
          <w:sz w:val="24"/>
          <w:highlight w:val="none"/>
        </w:rPr>
        <w:t xml:space="preserve">以上所列场地、设施、设备、材料外，与物业管理服务有关的其他场地、设施、设备、材料均由供应商承担。</w:t>
      </w:r>
      <w:r>
        <w:rPr>
          <w:rFonts w:hint="eastAsia" w:ascii="宋体" w:hAnsi="宋体"/>
          <w:color w:val="000000"/>
          <w:sz w:val="24"/>
          <w:highlight w:val="none"/>
        </w:rPr>
      </w:r>
      <w:r/>
    </w:p>
    <w:p>
      <w:pPr>
        <w:pStyle w:val="682"/>
        <w:ind w:firstLine="482"/>
        <w:spacing w:line="360" w:lineRule="auto"/>
        <w:rPr>
          <w:rFonts w:hint="eastAsia" w:ascii="宋体" w:hAnsi="宋体"/>
          <w:b/>
          <w:color w:val="000000"/>
          <w:sz w:val="24"/>
          <w:highlight w:val="none"/>
        </w:rPr>
      </w:pPr>
      <w:r>
        <w:rPr>
          <w:rFonts w:ascii="宋体" w:hAnsi="宋体"/>
          <w:b/>
          <w:color w:val="000000"/>
          <w:sz w:val="24"/>
          <w:highlight w:val="none"/>
        </w:rPr>
        <w:t xml:space="preserve">2.</w:t>
      </w:r>
      <w:r>
        <w:rPr>
          <w:rFonts w:hint="eastAsia" w:ascii="宋体" w:hAnsi="宋体"/>
          <w:b/>
          <w:color w:val="000000"/>
          <w:sz w:val="24"/>
          <w:highlight w:val="none"/>
        </w:rPr>
        <w:t xml:space="preserve">物业服务范围</w:t>
      </w:r>
      <w:r>
        <w:rPr>
          <w:rFonts w:hint="eastAsia" w:ascii="宋体" w:hAnsi="宋体"/>
          <w:b/>
          <w:color w:val="000000"/>
          <w:sz w:val="24"/>
          <w:highlight w:val="none"/>
        </w:rPr>
      </w:r>
      <w:r/>
    </w:p>
    <w:p>
      <w:pPr>
        <w:pStyle w:val="6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（1）物业管理（建筑物）</w:t>
      </w:r>
      <w:r>
        <w:rPr>
          <w:rFonts w:hint="eastAsia" w:ascii="宋体" w:hAnsi="宋体"/>
          <w:b/>
          <w:color w:val="000000"/>
          <w:sz w:val="24"/>
          <w:highlight w:val="none"/>
        </w:rPr>
      </w:r>
      <w:r/>
    </w:p>
    <w:tbl>
      <w:tblPr>
        <w:tblStyle w:val="7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909"/>
        <w:gridCol w:w="3400"/>
      </w:tblGrid>
      <w:tr>
        <w:trPr/>
        <w:tc>
          <w:tcPr>
            <w:tcW w:w="2213"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2909"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明细</w:t>
            </w:r>
            <w:r>
              <w:rPr>
                <w:rFonts w:hint="eastAsia" w:ascii="宋体" w:hAnsi="宋体" w:cs="宋体"/>
                <w:color w:val="000000"/>
                <w:szCs w:val="21"/>
                <w:highlight w:val="none"/>
              </w:rPr>
            </w:r>
            <w:r/>
          </w:p>
        </w:tc>
        <w:tc>
          <w:tcPr>
            <w:tcW w:w="3400"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服务内容及标准</w:t>
            </w:r>
            <w:r>
              <w:rPr>
                <w:rFonts w:hint="eastAsia" w:ascii="宋体" w:hAnsi="宋体" w:cs="宋体"/>
                <w:color w:val="000000"/>
                <w:szCs w:val="21"/>
                <w:highlight w:val="none"/>
              </w:rPr>
            </w:r>
            <w:r/>
          </w:p>
        </w:tc>
      </w:tr>
      <w:tr>
        <w:trPr/>
        <w:tc>
          <w:tcPr>
            <w:tcW w:w="2213"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无锡市残疾人托养中心（1—2#）</w:t>
            </w:r>
            <w:r>
              <w:rPr>
                <w:rFonts w:hint="eastAsia" w:ascii="宋体" w:hAnsi="宋体" w:cs="宋体"/>
                <w:color w:val="000000"/>
                <w:szCs w:val="21"/>
                <w:highlight w:val="none"/>
              </w:rPr>
            </w:r>
            <w:r/>
          </w:p>
        </w:tc>
        <w:tc>
          <w:tcPr>
            <w:tcW w:w="2909"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建筑面积24659.08平方米</w:t>
            </w:r>
            <w:r>
              <w:rPr>
                <w:rFonts w:hint="eastAsia" w:ascii="宋体" w:hAnsi="宋体" w:cs="宋体"/>
                <w:color w:val="000000"/>
                <w:szCs w:val="21"/>
                <w:highlight w:val="none"/>
              </w:rPr>
            </w:r>
            <w:r/>
          </w:p>
        </w:tc>
        <w:tc>
          <w:tcPr>
            <w:tcW w:w="3400"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保洁、保安、消控、监控、暖通、消防、电梯、弱电、绿化维保</w:t>
            </w:r>
            <w:r>
              <w:rPr>
                <w:rFonts w:hint="eastAsia" w:ascii="宋体" w:hAnsi="宋体" w:cs="宋体"/>
                <w:color w:val="000000"/>
                <w:szCs w:val="21"/>
                <w:highlight w:val="none"/>
              </w:rPr>
            </w:r>
            <w:r/>
          </w:p>
        </w:tc>
      </w:tr>
      <w:tr>
        <w:trPr/>
        <w:tc>
          <w:tcPr>
            <w:tcW w:w="2213"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无锡市老龄工作发展促进中心（3—5#）、</w:t>
            </w:r>
            <w:r>
              <w:rPr>
                <w:rFonts w:hint="eastAsia" w:ascii="宋体" w:hAnsi="宋体" w:cs="宋体"/>
                <w:color w:val="000000"/>
                <w:szCs w:val="21"/>
                <w:highlight w:val="none"/>
              </w:rPr>
            </w:r>
            <w:r/>
          </w:p>
        </w:tc>
        <w:tc>
          <w:tcPr>
            <w:tcW w:w="2909"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建筑面积19878.37平方米</w:t>
            </w:r>
            <w:r>
              <w:rPr>
                <w:rFonts w:hint="eastAsia" w:ascii="宋体" w:hAnsi="宋体" w:cs="宋体"/>
                <w:color w:val="000000"/>
                <w:szCs w:val="21"/>
                <w:highlight w:val="none"/>
              </w:rPr>
            </w:r>
            <w:r/>
          </w:p>
        </w:tc>
        <w:tc>
          <w:tcPr>
            <w:tcW w:w="3400"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保洁、保安、消控、监控、暖通、消防、电梯、弱电、绿化维保</w:t>
            </w:r>
            <w:r>
              <w:rPr>
                <w:rFonts w:hint="eastAsia" w:ascii="宋体" w:hAnsi="宋体" w:cs="宋体"/>
                <w:color w:val="000000"/>
                <w:szCs w:val="21"/>
                <w:highlight w:val="none"/>
              </w:rPr>
            </w:r>
            <w:r/>
          </w:p>
        </w:tc>
      </w:tr>
      <w:tr>
        <w:trPr/>
        <w:tc>
          <w:tcPr>
            <w:tcW w:w="2213"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夕阳红养护康复中心（6—9#）</w:t>
            </w:r>
            <w:r>
              <w:rPr>
                <w:rFonts w:hint="eastAsia" w:ascii="宋体" w:hAnsi="宋体" w:cs="宋体"/>
                <w:color w:val="000000"/>
                <w:szCs w:val="21"/>
                <w:highlight w:val="none"/>
              </w:rPr>
            </w:r>
            <w:r/>
          </w:p>
        </w:tc>
        <w:tc>
          <w:tcPr>
            <w:tcW w:w="2909"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建筑面积22052.01 平方米</w:t>
            </w:r>
            <w:r>
              <w:rPr>
                <w:rFonts w:hint="eastAsia" w:ascii="宋体" w:hAnsi="宋体" w:cs="宋体"/>
                <w:color w:val="000000"/>
                <w:szCs w:val="21"/>
                <w:highlight w:val="none"/>
              </w:rPr>
            </w:r>
            <w:r/>
          </w:p>
        </w:tc>
        <w:tc>
          <w:tcPr>
            <w:tcW w:w="3400"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保洁、保安、消控、监控、消防、绿化维保</w:t>
            </w:r>
            <w:r>
              <w:rPr>
                <w:rFonts w:hint="eastAsia" w:ascii="宋体" w:hAnsi="宋体" w:cs="宋体"/>
                <w:color w:val="000000"/>
                <w:szCs w:val="21"/>
                <w:highlight w:val="none"/>
              </w:rPr>
            </w:r>
            <w:r/>
          </w:p>
        </w:tc>
      </w:tr>
      <w:tr>
        <w:trPr/>
        <w:tc>
          <w:tcPr>
            <w:tcW w:w="2213"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江溪街道社区卫生服务中心（10#）</w:t>
            </w:r>
            <w:r>
              <w:rPr>
                <w:rFonts w:hint="eastAsia" w:ascii="宋体" w:hAnsi="宋体" w:cs="宋体"/>
                <w:color w:val="000000"/>
                <w:szCs w:val="21"/>
                <w:highlight w:val="none"/>
              </w:rPr>
            </w:r>
            <w:r/>
          </w:p>
        </w:tc>
        <w:tc>
          <w:tcPr>
            <w:tcW w:w="2909"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建筑面积9241.25平方米</w:t>
            </w:r>
            <w:r>
              <w:rPr>
                <w:rFonts w:hint="eastAsia" w:ascii="宋体" w:hAnsi="宋体" w:cs="宋体"/>
                <w:color w:val="000000"/>
                <w:szCs w:val="21"/>
                <w:highlight w:val="none"/>
              </w:rPr>
            </w:r>
            <w:r/>
          </w:p>
        </w:tc>
        <w:tc>
          <w:tcPr>
            <w:tcW w:w="3400"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保洁、保安、消控、消防、绿化维保</w:t>
            </w:r>
            <w:r>
              <w:rPr>
                <w:rFonts w:hint="eastAsia" w:ascii="宋体" w:hAnsi="宋体" w:cs="宋体"/>
                <w:color w:val="000000"/>
                <w:szCs w:val="21"/>
                <w:highlight w:val="none"/>
              </w:rPr>
            </w:r>
            <w:r/>
          </w:p>
        </w:tc>
      </w:tr>
    </w:tbl>
    <w:p>
      <w:pPr>
        <w:pStyle w:val="6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（2）物业管理（室外）</w:t>
      </w:r>
      <w:r>
        <w:rPr>
          <w:rFonts w:hint="eastAsia" w:ascii="宋体" w:hAnsi="宋体"/>
          <w:b/>
          <w:color w:val="000000"/>
          <w:sz w:val="24"/>
          <w:highlight w:val="none"/>
        </w:rPr>
      </w:r>
      <w:r/>
    </w:p>
    <w:tbl>
      <w:tblPr>
        <w:tblStyle w:val="7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909"/>
        <w:gridCol w:w="3400"/>
      </w:tblGrid>
      <w:tr>
        <w:trPr/>
        <w:tc>
          <w:tcPr>
            <w:tcW w:w="2213" w:type="dxa"/>
            <w:vAlign w:val="top"/>
            <w:textDirection w:val="lrTb"/>
            <w:noWrap w:val="false"/>
          </w:tcPr>
          <w:p>
            <w:pPr>
              <w:pStyle w:val="68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rPr>
            </w:r>
            <w:r/>
          </w:p>
        </w:tc>
        <w:tc>
          <w:tcPr>
            <w:tcW w:w="2909" w:type="dxa"/>
            <w:vAlign w:val="top"/>
            <w:textDirection w:val="lrTb"/>
            <w:noWrap w:val="false"/>
          </w:tcPr>
          <w:p>
            <w:pPr>
              <w:pStyle w:val="68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明细</w:t>
            </w:r>
            <w:r>
              <w:rPr>
                <w:rFonts w:hint="eastAsia" w:ascii="宋体" w:hAnsi="宋体" w:eastAsia="宋体" w:cs="宋体"/>
                <w:color w:val="000000"/>
                <w:szCs w:val="21"/>
                <w:highlight w:val="none"/>
              </w:rPr>
            </w:r>
            <w:r/>
          </w:p>
        </w:tc>
        <w:tc>
          <w:tcPr>
            <w:tcW w:w="3400" w:type="dxa"/>
            <w:vAlign w:val="top"/>
            <w:textDirection w:val="lrTb"/>
            <w:noWrap w:val="false"/>
          </w:tcPr>
          <w:p>
            <w:pPr>
              <w:pStyle w:val="68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服务内容及标准</w:t>
            </w:r>
            <w:r>
              <w:rPr>
                <w:rFonts w:hint="eastAsia" w:ascii="宋体" w:hAnsi="宋体" w:eastAsia="宋体" w:cs="宋体"/>
                <w:color w:val="000000"/>
                <w:szCs w:val="21"/>
                <w:highlight w:val="none"/>
              </w:rPr>
            </w:r>
            <w:r/>
          </w:p>
        </w:tc>
      </w:tr>
      <w:tr>
        <w:trPr/>
        <w:tc>
          <w:tcPr>
            <w:tcW w:w="2213" w:type="dxa"/>
            <w:vAlign w:val="top"/>
            <w:textDirection w:val="lrTb"/>
            <w:noWrap w:val="false"/>
          </w:tcPr>
          <w:p>
            <w:pPr>
              <w:pStyle w:val="68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南山慈善家园室外</w:t>
            </w:r>
            <w:r>
              <w:rPr>
                <w:rFonts w:hint="eastAsia" w:ascii="宋体" w:hAnsi="宋体" w:eastAsia="宋体" w:cs="宋体"/>
                <w:color w:val="000000"/>
                <w:szCs w:val="21"/>
                <w:highlight w:val="none"/>
              </w:rPr>
            </w:r>
            <w:r/>
          </w:p>
        </w:tc>
        <w:tc>
          <w:tcPr>
            <w:tcW w:w="2909" w:type="dxa"/>
            <w:vAlign w:val="top"/>
            <w:textDirection w:val="lrTb"/>
            <w:noWrap w:val="false"/>
          </w:tcPr>
          <w:p>
            <w:pPr>
              <w:pStyle w:val="68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面积约20000平方米</w:t>
            </w:r>
            <w:r>
              <w:rPr>
                <w:rFonts w:hint="eastAsia" w:ascii="宋体" w:hAnsi="宋体" w:eastAsia="宋体" w:cs="宋体"/>
                <w:color w:val="000000"/>
                <w:szCs w:val="21"/>
                <w:highlight w:val="none"/>
              </w:rPr>
            </w:r>
            <w:r/>
          </w:p>
        </w:tc>
        <w:tc>
          <w:tcPr>
            <w:tcW w:w="3400" w:type="dxa"/>
            <w:vAlign w:val="top"/>
            <w:textDirection w:val="lrTb"/>
            <w:noWrap w:val="false"/>
          </w:tcPr>
          <w:p>
            <w:pPr>
              <w:pStyle w:val="68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绿化养护及室外保洁</w:t>
            </w:r>
            <w:r>
              <w:rPr>
                <w:rFonts w:hint="eastAsia" w:ascii="宋体" w:hAnsi="宋体" w:eastAsia="宋体" w:cs="宋体"/>
                <w:color w:val="000000"/>
                <w:szCs w:val="21"/>
                <w:highlight w:val="none"/>
              </w:rPr>
            </w:r>
            <w:r/>
          </w:p>
        </w:tc>
      </w:tr>
    </w:tbl>
    <w:p>
      <w:pPr>
        <w:pStyle w:val="68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8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3.物业管理服务内容及标准</w:t>
      </w:r>
      <w:r>
        <w:rPr>
          <w:rFonts w:hint="eastAsia" w:ascii="宋体" w:hAnsi="宋体"/>
          <w:b/>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【物业管理服务包括房屋维护服务、公用设施设备维护服务、保洁服务、绿化服务、保安服务等。】</w:t>
      </w:r>
      <w:r>
        <w:rPr>
          <w:rFonts w:hint="eastAsia" w:ascii="宋体" w:hAnsi="宋体"/>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3.1  房屋维护服务</w:t>
      </w:r>
      <w:r>
        <w:rPr>
          <w:rFonts w:hint="eastAsia"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1</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室内室外维修</w:t>
            </w:r>
            <w:r>
              <w:rPr>
                <w:rFonts w:hint="eastAsia" w:ascii="宋体" w:hAnsi="宋体" w:cs="微软雅黑"/>
                <w:color w:val="000000"/>
                <w:spacing w:val="-1"/>
                <w:szCs w:val="21"/>
                <w:highlight w:val="none"/>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保持房屋完好，正常运行</w:t>
            </w:r>
            <w:r>
              <w:rPr>
                <w:rFonts w:hint="eastAsia" w:ascii="宋体" w:hAnsi="宋体" w:cs="微软雅黑"/>
                <w:color w:val="000000"/>
                <w:spacing w:val="-1"/>
                <w:szCs w:val="21"/>
                <w:highlight w:val="none"/>
              </w:rPr>
            </w:r>
            <w:r/>
          </w:p>
        </w:tc>
      </w:tr>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2</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r>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r>
    </w:tbl>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3.2  公用设施设备维护服务</w:t>
      </w:r>
      <w:r>
        <w:rPr>
          <w:rFonts w:hint="eastAsia" w:ascii="宋体" w:hAnsi="宋体"/>
          <w:color w:val="000000"/>
          <w:sz w:val="24"/>
          <w:highlight w:val="none"/>
        </w:rPr>
      </w:r>
      <w:r/>
    </w:p>
    <w:tbl>
      <w:tblPr>
        <w:tblW w:w="85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2641"/>
        <w:gridCol w:w="4755"/>
      </w:tblGrid>
      <w:tr>
        <w:trPr/>
        <w:tc>
          <w:tcPr>
            <w:tcW w:w="1133"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2641"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475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1133" w:type="dxa"/>
            <w:vAlign w:val="center"/>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1</w:t>
            </w:r>
            <w:r>
              <w:rPr>
                <w:rFonts w:hint="eastAsia" w:ascii="宋体" w:hAnsi="宋体" w:cs="微软雅黑"/>
                <w:color w:val="000000"/>
                <w:spacing w:val="-1"/>
                <w:szCs w:val="21"/>
                <w:highlight w:val="none"/>
                <w:lang w:eastAsia="en-US"/>
              </w:rPr>
            </w:r>
            <w:r/>
          </w:p>
        </w:tc>
        <w:tc>
          <w:tcPr>
            <w:tcW w:w="2641" w:type="dxa"/>
            <w:vAlign w:val="center"/>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暖通</w:t>
            </w:r>
            <w:r>
              <w:rPr>
                <w:rFonts w:hint="eastAsia" w:ascii="宋体" w:hAnsi="宋体" w:cs="微软雅黑"/>
                <w:color w:val="000000"/>
                <w:spacing w:val="-1"/>
                <w:szCs w:val="21"/>
                <w:highlight w:val="none"/>
              </w:rPr>
            </w:r>
            <w:r/>
          </w:p>
        </w:tc>
        <w:tc>
          <w:tcPr>
            <w:tcW w:w="4755" w:type="dxa"/>
            <w:vAlign w:val="top"/>
            <w:textDirection w:val="lrTb"/>
            <w:noWrap w:val="false"/>
          </w:tcPr>
          <w:p>
            <w:pPr>
              <w:pStyle w:val="682"/>
              <w:jc w:val="left"/>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1、做好冷热源设备(热泵模块机组)、空调水泵、空调冷热水系统、空调管道等的日常检查和维护，保持设备正常运行。</w:t>
            </w:r>
            <w:r>
              <w:rPr>
                <w:rFonts w:hint="eastAsia" w:ascii="宋体" w:hAnsi="宋体" w:cs="微软雅黑"/>
                <w:color w:val="000000"/>
                <w:spacing w:val="-1"/>
                <w:szCs w:val="21"/>
                <w:highlight w:val="none"/>
              </w:rPr>
            </w:r>
            <w:r/>
          </w:p>
        </w:tc>
      </w:tr>
      <w:tr>
        <w:trPr/>
        <w:tc>
          <w:tcPr>
            <w:tcW w:w="1133"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2</w:t>
            </w:r>
            <w:r>
              <w:rPr>
                <w:rFonts w:hint="eastAsia" w:ascii="宋体" w:hAnsi="宋体" w:cs="微软雅黑"/>
                <w:color w:val="000000"/>
                <w:spacing w:val="-1"/>
                <w:szCs w:val="21"/>
                <w:highlight w:val="none"/>
                <w:lang w:eastAsia="en-US"/>
              </w:rPr>
            </w:r>
            <w:r/>
          </w:p>
        </w:tc>
        <w:tc>
          <w:tcPr>
            <w:tcW w:w="2641"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消防</w:t>
            </w:r>
            <w:r>
              <w:rPr>
                <w:rFonts w:hint="eastAsia" w:ascii="宋体" w:hAnsi="宋体" w:cs="微软雅黑"/>
                <w:color w:val="000000"/>
                <w:spacing w:val="-1"/>
                <w:szCs w:val="21"/>
                <w:highlight w:val="none"/>
              </w:rPr>
            </w:r>
            <w:r/>
          </w:p>
        </w:tc>
        <w:tc>
          <w:tcPr>
            <w:tcW w:w="475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rPr>
              <w:t xml:space="preserve">保持设备正常运行</w:t>
            </w:r>
            <w:r>
              <w:rPr>
                <w:rFonts w:hint="eastAsia" w:ascii="宋体" w:hAnsi="宋体" w:cs="微软雅黑"/>
                <w:color w:val="000000"/>
                <w:spacing w:val="-1"/>
                <w:szCs w:val="21"/>
                <w:highlight w:val="none"/>
                <w:lang w:eastAsia="en-US"/>
              </w:rPr>
            </w:r>
            <w:r/>
          </w:p>
        </w:tc>
      </w:tr>
      <w:tr>
        <w:trPr/>
        <w:tc>
          <w:tcPr>
            <w:tcW w:w="1133"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3</w:t>
            </w:r>
            <w:r>
              <w:rPr>
                <w:rFonts w:hint="eastAsia" w:ascii="宋体" w:hAnsi="宋体" w:cs="微软雅黑"/>
                <w:color w:val="000000"/>
                <w:spacing w:val="-1"/>
                <w:szCs w:val="21"/>
                <w:highlight w:val="none"/>
              </w:rPr>
            </w:r>
            <w:r/>
          </w:p>
        </w:tc>
        <w:tc>
          <w:tcPr>
            <w:tcW w:w="2641"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弱电</w:t>
            </w:r>
            <w:r>
              <w:rPr>
                <w:rFonts w:hint="eastAsia" w:ascii="宋体" w:hAnsi="宋体" w:cs="微软雅黑"/>
                <w:color w:val="000000"/>
                <w:spacing w:val="-1"/>
                <w:szCs w:val="21"/>
                <w:highlight w:val="none"/>
              </w:rPr>
            </w:r>
            <w:r/>
          </w:p>
        </w:tc>
        <w:tc>
          <w:tcPr>
            <w:tcW w:w="475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rPr>
              <w:t xml:space="preserve">保持设备正常运行</w:t>
            </w:r>
            <w:r>
              <w:rPr>
                <w:rFonts w:hint="eastAsia" w:ascii="宋体" w:hAnsi="宋体" w:cs="微软雅黑"/>
                <w:color w:val="000000"/>
                <w:spacing w:val="-1"/>
                <w:szCs w:val="21"/>
                <w:highlight w:val="none"/>
                <w:lang w:eastAsia="en-US"/>
              </w:rPr>
            </w:r>
            <w:r/>
          </w:p>
        </w:tc>
      </w:tr>
      <w:tr>
        <w:trPr/>
        <w:tc>
          <w:tcPr>
            <w:tcW w:w="1133"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4</w:t>
            </w:r>
            <w:r>
              <w:rPr>
                <w:rFonts w:hint="eastAsia" w:ascii="宋体" w:hAnsi="宋体" w:cs="微软雅黑"/>
                <w:color w:val="000000"/>
                <w:spacing w:val="-1"/>
                <w:szCs w:val="21"/>
                <w:highlight w:val="none"/>
              </w:rPr>
            </w:r>
            <w:r/>
          </w:p>
        </w:tc>
        <w:tc>
          <w:tcPr>
            <w:tcW w:w="2641"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电梯</w:t>
            </w:r>
            <w:r>
              <w:rPr>
                <w:rFonts w:hint="eastAsia" w:ascii="宋体" w:hAnsi="宋体" w:cs="微软雅黑"/>
                <w:color w:val="000000"/>
                <w:spacing w:val="-1"/>
                <w:szCs w:val="21"/>
                <w:highlight w:val="none"/>
              </w:rPr>
            </w:r>
            <w:r/>
          </w:p>
        </w:tc>
        <w:tc>
          <w:tcPr>
            <w:tcW w:w="475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rPr>
              <w:t xml:space="preserve">保持设备正常运行</w:t>
            </w:r>
            <w:r>
              <w:rPr>
                <w:rFonts w:hint="eastAsia" w:ascii="宋体" w:hAnsi="宋体" w:cs="微软雅黑"/>
                <w:color w:val="000000"/>
                <w:spacing w:val="-1"/>
                <w:szCs w:val="21"/>
                <w:highlight w:val="none"/>
                <w:lang w:eastAsia="en-US"/>
              </w:rPr>
            </w:r>
            <w:r/>
          </w:p>
        </w:tc>
      </w:tr>
    </w:tbl>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3.3 日常维修服务</w:t>
      </w:r>
      <w:r>
        <w:rPr>
          <w:rFonts w:hint="eastAsia"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1</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维修</w:t>
            </w:r>
            <w:r>
              <w:rPr>
                <w:rFonts w:hint="eastAsia" w:ascii="宋体" w:hAnsi="宋体" w:cs="微软雅黑"/>
                <w:color w:val="000000"/>
                <w:spacing w:val="-1"/>
                <w:szCs w:val="21"/>
                <w:highlight w:val="none"/>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除医疗、食堂专用特殊设备以外的其它日常设备。</w:t>
            </w:r>
            <w:r>
              <w:rPr>
                <w:rFonts w:hint="eastAsia" w:ascii="宋体" w:hAnsi="宋体" w:cs="微软雅黑"/>
                <w:color w:val="000000"/>
                <w:spacing w:val="-1"/>
                <w:szCs w:val="21"/>
                <w:highlight w:val="none"/>
              </w:rPr>
            </w:r>
            <w:r/>
          </w:p>
        </w:tc>
      </w:tr>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2</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r>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r>
    </w:tbl>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3.4  保洁服务</w:t>
      </w:r>
      <w:r>
        <w:rPr>
          <w:rFonts w:hint="eastAsia"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序号</w:t>
            </w:r>
            <w:r>
              <w:rPr>
                <w:rFonts w:hint="eastAsia" w:ascii="微软雅黑" w:hAnsi="微软雅黑" w:eastAsia="微软雅黑"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服务内容</w:t>
            </w:r>
            <w:r>
              <w:rPr>
                <w:rFonts w:hint="eastAsia" w:ascii="微软雅黑" w:hAnsi="微软雅黑" w:eastAsia="微软雅黑"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服务标准</w:t>
            </w:r>
            <w:r>
              <w:rPr>
                <w:rFonts w:hint="eastAsia" w:ascii="微软雅黑" w:hAnsi="微软雅黑" w:eastAsia="微软雅黑" w:cs="微软雅黑"/>
                <w:color w:val="000000"/>
                <w:spacing w:val="-1"/>
                <w:szCs w:val="21"/>
                <w:highlight w:val="none"/>
                <w:lang w:eastAsia="en-US"/>
              </w:rPr>
            </w:r>
            <w:r/>
          </w:p>
        </w:tc>
      </w:tr>
      <w:tr>
        <w:trPr/>
        <w:tc>
          <w:tcPr>
            <w:tcW w:w="1242"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1</w:t>
            </w:r>
            <w:r>
              <w:rPr>
                <w:rFonts w:hint="eastAsia" w:ascii="微软雅黑" w:hAnsi="微软雅黑" w:eastAsia="微软雅黑" w:cs="微软雅黑"/>
                <w:color w:val="000000"/>
                <w:spacing w:val="-1"/>
                <w:szCs w:val="21"/>
                <w:highlight w:val="none"/>
                <w:lang w:eastAsia="en-US"/>
              </w:rPr>
            </w:r>
            <w:r/>
          </w:p>
        </w:tc>
        <w:tc>
          <w:tcPr>
            <w:tcW w:w="2835" w:type="dxa"/>
            <w:vAlign w:val="top"/>
            <w:textDirection w:val="lrTb"/>
            <w:noWrap w:val="false"/>
          </w:tcPr>
          <w:p>
            <w:pPr>
              <w:pStyle w:val="682"/>
              <w:spacing w:line="360" w:lineRule="auto"/>
              <w:rPr>
                <w:rFonts w:hint="eastAsia" w:ascii="宋体" w:hAnsi="宋体"/>
                <w:color w:val="000000"/>
                <w:sz w:val="24"/>
                <w:highlight w:val="none"/>
              </w:rPr>
            </w:pPr>
            <w:r>
              <w:rPr>
                <w:rFonts w:hint="eastAsia" w:ascii="宋体" w:hAnsi="宋体"/>
                <w:color w:val="000000"/>
                <w:sz w:val="24"/>
                <w:highlight w:val="none"/>
              </w:rPr>
              <w:t xml:space="preserve">室内、 室外</w:t>
            </w:r>
            <w:r>
              <w:rPr>
                <w:rFonts w:hint="eastAsia" w:ascii="宋体" w:hAnsi="宋体"/>
                <w:color w:val="000000"/>
                <w:sz w:val="24"/>
                <w:highlight w:val="none"/>
              </w:rPr>
            </w:r>
            <w:r/>
          </w:p>
          <w:p>
            <w:pPr>
              <w:pStyle w:val="682"/>
              <w:spacing w:line="360" w:lineRule="auto"/>
              <w:rPr>
                <w:rFonts w:hint="eastAsia" w:ascii="宋体" w:hAnsi="宋体"/>
                <w:color w:val="000000"/>
                <w:sz w:val="24"/>
                <w:highlight w:val="none"/>
              </w:rPr>
            </w:pPr>
            <w:r>
              <w:rPr>
                <w:rFonts w:hint="eastAsia" w:ascii="宋体" w:hAnsi="宋体"/>
                <w:color w:val="000000"/>
                <w:sz w:val="24"/>
                <w:highlight w:val="none"/>
              </w:rPr>
              <w:t xml:space="preserve">室外、公共部位、室内保洁（有室内保洁需求的）、其他部位保洁</w:t>
            </w:r>
            <w:r>
              <w:rPr>
                <w:rFonts w:hint="eastAsia" w:ascii="宋体" w:hAnsi="宋体"/>
                <w:color w:val="000000"/>
                <w:sz w:val="24"/>
                <w:highlight w:val="none"/>
              </w:rPr>
            </w:r>
            <w:r/>
          </w:p>
        </w:tc>
        <w:tc>
          <w:tcPr>
            <w:tcW w:w="5091" w:type="dxa"/>
            <w:vAlign w:val="top"/>
            <w:textDirection w:val="lrTb"/>
            <w:noWrap w:val="false"/>
          </w:tcPr>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室内①负责所有厕所保洁：地面每天清扫、拖洗二次，大小便器、便池每天用消毒水洗漱一次，洗手盆、镜子每天擦洗干，地砖、墙面砖、每周擦洗、拖（擦）干，要求做到门外地面干燥、</w:t>
            </w:r>
            <w:r>
              <w:rPr>
                <w:rFonts w:ascii="宋体" w:hAnsi="宋体"/>
                <w:color w:val="000000"/>
                <w:szCs w:val="21"/>
                <w:highlight w:val="none"/>
              </w:rPr>
              <w:t xml:space="preserve">2</w:t>
            </w:r>
            <w:r>
              <w:rPr>
                <w:rFonts w:hint="eastAsia" w:ascii="宋体" w:hAnsi="宋体"/>
                <w:color w:val="000000"/>
                <w:szCs w:val="21"/>
                <w:highlight w:val="none"/>
              </w:rPr>
              <w:t xml:space="preserve">米外没有明显异味；</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②室内地板及地面、楼道、走廊每天早晚各拖、扫一次，其中一次用消毒水配比清拖地面</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③扶手、窗沿、会议室桌面每天清洁，用餐区域地面每次餐后清拖。窗框和电梯门每周擦洗，天花板、墙壁饰物、花岗岩、会议室家具每周保洁，门窗玻璃每月擦拭一次；</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④夏季及时定期进行清洁；</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⑤废纸篓、果壳箱、杂物箱及时倒空并更换垃圾袋；每天早、中、晚各一次收、送尿布。</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⑥未开放楼层每周打扫一次。</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⑦完成突击性保洁任务。</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室外：</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①大楼外环境所辖区域内道路、地面、绿地每日循环清扫保洁；</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②室外地面每周冲洗一次，目视地面干净、无垃圾；</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③庭院、道路每天打扫（公用走廊和绿化带每两天打扫）；</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④明沟，每日清扫一次无杂物、无污染、无积水，且对窨井、明沟每月喷洒药水一次；</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⑤室外的公共设施每日擦抹一次，目视无灰尘、明亮清洁</w:t>
            </w:r>
            <w:r>
              <w:rPr>
                <w:rFonts w:ascii="宋体" w:hAnsi="宋体"/>
                <w:color w:val="000000"/>
                <w:szCs w:val="21"/>
                <w:highlight w:val="none"/>
              </w:rPr>
              <w:t xml:space="preserve">(2</w:t>
            </w:r>
            <w:r>
              <w:rPr>
                <w:rFonts w:hint="eastAsia" w:ascii="宋体" w:hAnsi="宋体"/>
                <w:color w:val="000000"/>
                <w:szCs w:val="21"/>
                <w:highlight w:val="none"/>
              </w:rPr>
              <w:t xml:space="preserve">米以下部分每半月擦抹除尘一次</w:t>
            </w:r>
            <w:r>
              <w:rPr>
                <w:rFonts w:ascii="宋体" w:hAnsi="宋体"/>
                <w:color w:val="000000"/>
                <w:szCs w:val="21"/>
                <w:highlight w:val="non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⑥对垃圾箱循环保洁、保持干净无异味，灭害设施完好；果皮箱、垃圾桶随时清理擦拭，每天清理、出运垃圾。垃圾箱</w:t>
            </w:r>
            <w:r>
              <w:rPr>
                <w:rFonts w:ascii="宋体" w:hAnsi="宋体"/>
                <w:color w:val="000000"/>
                <w:szCs w:val="21"/>
                <w:highlight w:val="none"/>
              </w:rPr>
              <w:t xml:space="preserve">(</w:t>
            </w:r>
            <w:r>
              <w:rPr>
                <w:rFonts w:hint="eastAsia" w:ascii="宋体" w:hAnsi="宋体"/>
                <w:color w:val="000000"/>
                <w:szCs w:val="21"/>
                <w:highlight w:val="none"/>
              </w:rPr>
              <w:t xml:space="preserve">桶</w:t>
            </w:r>
            <w:r>
              <w:rPr>
                <w:rFonts w:ascii="宋体" w:hAnsi="宋体"/>
                <w:color w:val="000000"/>
                <w:szCs w:val="21"/>
                <w:highlight w:val="none"/>
              </w:rPr>
              <w:t xml:space="preserve">)</w:t>
            </w:r>
            <w:r>
              <w:rPr>
                <w:rFonts w:hint="eastAsia" w:ascii="宋体" w:hAnsi="宋体"/>
                <w:color w:val="000000"/>
                <w:szCs w:val="21"/>
                <w:highlight w:val="none"/>
              </w:rPr>
              <w:t xml:space="preserve">无异味、无污迹；每月不少于对垃圾箱喷洒药水一次；</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⑦主楼屋顶每周清理一次；</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⑧化粪池、下水道每年清理两次。</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⑨完成突击性保洁任务。</w:t>
            </w:r>
            <w:r>
              <w:rPr>
                <w:rFonts w:hint="eastAsia" w:ascii="宋体" w:hAnsi="宋体"/>
                <w:color w:val="000000"/>
                <w:szCs w:val="21"/>
                <w:highlight w:val="none"/>
              </w:rPr>
            </w:r>
            <w:r/>
          </w:p>
        </w:tc>
      </w:tr>
      <w:tr>
        <w:trPr/>
        <w:tc>
          <w:tcPr>
            <w:tcW w:w="1242"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2</w:t>
            </w:r>
            <w:r>
              <w:rPr>
                <w:rFonts w:hint="eastAsia" w:ascii="微软雅黑" w:hAnsi="微软雅黑" w:eastAsia="微软雅黑"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1242"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hint="eastAsia" w:ascii="微软雅黑" w:hAnsi="微软雅黑" w:eastAsia="微软雅黑"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bl>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3.5  绿化服务</w:t>
      </w:r>
      <w:r>
        <w:rPr>
          <w:rFonts w:hint="eastAsia"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序号</w:t>
            </w:r>
            <w:r>
              <w:rPr>
                <w:rFonts w:hint="eastAsia" w:ascii="微软雅黑" w:hAnsi="微软雅黑" w:eastAsia="微软雅黑" w:cs="微软雅黑"/>
                <w:color w:val="000000"/>
                <w:spacing w:val="-1"/>
                <w:szCs w:val="21"/>
                <w:highlight w:val="none"/>
                <w:lang w:eastAsia="en-US"/>
              </w:rPr>
            </w:r>
            <w:r/>
          </w:p>
        </w:tc>
        <w:tc>
          <w:tcPr>
            <w:tcW w:w="2638"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服务内容</w:t>
            </w:r>
            <w:r>
              <w:rPr>
                <w:rFonts w:hint="eastAsia" w:ascii="微软雅黑" w:hAnsi="微软雅黑" w:eastAsia="微软雅黑" w:cs="微软雅黑"/>
                <w:color w:val="000000"/>
                <w:spacing w:val="-1"/>
                <w:szCs w:val="21"/>
                <w:highlight w:val="none"/>
                <w:lang w:eastAsia="en-US"/>
              </w:rPr>
            </w:r>
            <w:r/>
          </w:p>
        </w:tc>
        <w:tc>
          <w:tcPr>
            <w:tcW w:w="4709"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服务标准</w:t>
            </w:r>
            <w:r>
              <w:rPr>
                <w:rFonts w:hint="eastAsia" w:ascii="微软雅黑" w:hAnsi="微软雅黑" w:eastAsia="微软雅黑" w:cs="微软雅黑"/>
                <w:color w:val="000000"/>
                <w:spacing w:val="-1"/>
                <w:szCs w:val="21"/>
                <w:highlight w:val="none"/>
                <w:lang w:eastAsia="en-US"/>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lang w:eastAsia="en-US"/>
              </w:rPr>
            </w:pPr>
            <w:r>
              <w:rPr>
                <w:rFonts w:hint="eastAsia" w:ascii="宋体" w:hAnsi="宋体" w:cs="宋体"/>
                <w:color w:val="000000"/>
                <w:highlight w:val="none"/>
                <w:lang w:eastAsia="en-US"/>
              </w:rPr>
              <w:t xml:space="preserve">1</w:t>
            </w:r>
            <w:r>
              <w:rPr>
                <w:rFonts w:hint="eastAsia" w:ascii="宋体" w:hAnsi="宋体" w:cs="宋体"/>
                <w:color w:val="000000"/>
                <w:highlight w:val="none"/>
                <w:lang w:eastAsia="en-US"/>
              </w:rPr>
            </w:r>
            <w:r/>
          </w:p>
        </w:tc>
        <w:tc>
          <w:tcPr>
            <w:tcW w:w="2638" w:type="dxa"/>
            <w:vAlign w:val="center"/>
            <w:textDirection w:val="lrTb"/>
            <w:noWrap w:val="false"/>
          </w:tcPr>
          <w:p>
            <w:pPr>
              <w:pStyle w:val="682"/>
              <w:rPr>
                <w:rFonts w:hint="eastAsia" w:ascii="宋体" w:hAnsi="宋体" w:cs="宋体"/>
                <w:color w:val="000000"/>
                <w:szCs w:val="21"/>
                <w:highlight w:val="none"/>
                <w:lang w:eastAsia="en-US"/>
              </w:rPr>
            </w:pPr>
            <w:r>
              <w:rPr>
                <w:rFonts w:hint="eastAsia"/>
                <w:color w:val="000000"/>
                <w:highlight w:val="none"/>
              </w:rPr>
              <w:t xml:space="preserve">基本条件</w:t>
            </w:r>
            <w:r>
              <w:rPr>
                <w:rFonts w:hint="eastAsia" w:ascii="宋体" w:hAnsi="宋体" w:cs="宋体"/>
                <w:color w:val="000000"/>
                <w:szCs w:val="21"/>
                <w:highlight w:val="none"/>
                <w:lang w:eastAsia="en-US"/>
              </w:rPr>
            </w:r>
            <w:r/>
          </w:p>
        </w:tc>
        <w:tc>
          <w:tcPr>
            <w:tcW w:w="4709" w:type="dxa"/>
            <w:vAlign w:val="center"/>
            <w:textDirection w:val="lrTb"/>
            <w:noWrap w:val="false"/>
          </w:tcPr>
          <w:p>
            <w:pPr>
              <w:pStyle w:val="682"/>
              <w:jc w:val="left"/>
              <w:rPr>
                <w:rFonts w:hint="eastAsia" w:ascii="宋体" w:hAnsi="宋体" w:cs="宋体"/>
                <w:color w:val="000000"/>
                <w:szCs w:val="21"/>
                <w:highlight w:val="none"/>
              </w:rPr>
            </w:pPr>
            <w:r>
              <w:rPr>
                <w:rFonts w:hint="eastAsia"/>
                <w:color w:val="000000"/>
                <w:highlight w:val="none"/>
              </w:rPr>
              <w:t xml:space="preserve">乔灌木生长健壮，树冠完整；花灌木按时开花结果；球、篱、地被生长无缺枝、空挡。要求按照无锡市市政园林局绿化管理的要求和标准进行三级管理。</w:t>
            </w:r>
            <w:r>
              <w:rPr>
                <w:rFonts w:hint="eastAsia" w:ascii="宋体" w:hAnsi="宋体" w:cs="宋体"/>
                <w:color w:val="000000"/>
                <w:szCs w:val="21"/>
                <w:highlight w:val="none"/>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lang w:eastAsia="en-US"/>
              </w:rPr>
            </w:pPr>
            <w:r>
              <w:rPr>
                <w:rFonts w:hint="eastAsia" w:ascii="宋体" w:hAnsi="宋体" w:cs="宋体"/>
                <w:color w:val="000000"/>
                <w:highlight w:val="none"/>
                <w:lang w:eastAsia="en-US"/>
              </w:rPr>
              <w:t xml:space="preserve">2</w:t>
            </w:r>
            <w:r>
              <w:rPr>
                <w:rFonts w:hint="eastAsia" w:ascii="宋体" w:hAnsi="宋体" w:cs="宋体"/>
                <w:color w:val="000000"/>
                <w:highlight w:val="none"/>
                <w:lang w:eastAsia="en-US"/>
              </w:rPr>
            </w:r>
            <w:r/>
          </w:p>
        </w:tc>
        <w:tc>
          <w:tcPr>
            <w:tcW w:w="2638" w:type="dxa"/>
            <w:vAlign w:val="center"/>
            <w:textDirection w:val="lrTb"/>
            <w:noWrap w:val="false"/>
          </w:tcPr>
          <w:p>
            <w:pPr>
              <w:pStyle w:val="682"/>
              <w:rPr>
                <w:rFonts w:hint="eastAsia" w:ascii="宋体" w:hAnsi="宋体" w:cs="宋体"/>
                <w:color w:val="000000"/>
                <w:szCs w:val="21"/>
                <w:highlight w:val="none"/>
                <w:lang w:eastAsia="en-US"/>
              </w:rPr>
            </w:pPr>
            <w:r>
              <w:rPr>
                <w:rFonts w:hint="eastAsia"/>
                <w:color w:val="000000"/>
                <w:highlight w:val="none"/>
              </w:rPr>
              <w:t xml:space="preserve">草坪、灌木类、花坛</w:t>
            </w:r>
            <w:r>
              <w:rPr>
                <w:rFonts w:hint="eastAsia" w:ascii="宋体" w:hAnsi="宋体" w:cs="宋体"/>
                <w:color w:val="000000"/>
                <w:szCs w:val="21"/>
                <w:highlight w:val="none"/>
                <w:lang w:eastAsia="en-US"/>
              </w:rPr>
            </w:r>
            <w:r/>
          </w:p>
        </w:tc>
        <w:tc>
          <w:tcPr>
            <w:tcW w:w="4709" w:type="dxa"/>
            <w:vAlign w:val="center"/>
            <w:textDirection w:val="lrTb"/>
            <w:noWrap w:val="false"/>
          </w:tcPr>
          <w:p>
            <w:pPr>
              <w:pStyle w:val="682"/>
              <w:jc w:val="left"/>
              <w:rPr>
                <w:rFonts w:hint="eastAsia" w:ascii="宋体" w:hAnsi="宋体" w:cs="宋体"/>
                <w:color w:val="000000"/>
                <w:szCs w:val="21"/>
                <w:highlight w:val="none"/>
              </w:rPr>
            </w:pPr>
            <w:r>
              <w:rPr>
                <w:rFonts w:hint="eastAsia"/>
                <w:color w:val="000000"/>
                <w:highlight w:val="none"/>
              </w:rPr>
              <w:t xml:space="preserve">成活率</w:t>
            </w:r>
            <w:r>
              <w:rPr>
                <w:color w:val="000000"/>
                <w:highlight w:val="none"/>
              </w:rPr>
              <w:t xml:space="preserve">80%</w:t>
            </w:r>
            <w:r>
              <w:rPr>
                <w:rFonts w:hint="eastAsia"/>
                <w:color w:val="000000"/>
                <w:highlight w:val="none"/>
              </w:rPr>
              <w:t xml:space="preserve">以上，每年修剪</w:t>
            </w:r>
            <w:r>
              <w:rPr>
                <w:color w:val="000000"/>
                <w:highlight w:val="none"/>
              </w:rPr>
              <w:t xml:space="preserve">3</w:t>
            </w:r>
            <w:r>
              <w:rPr>
                <w:rFonts w:hint="eastAsia"/>
                <w:color w:val="000000"/>
                <w:highlight w:val="none"/>
              </w:rPr>
              <w:t xml:space="preserve">次，除虫施肥每年</w:t>
            </w:r>
            <w:r>
              <w:rPr>
                <w:color w:val="000000"/>
                <w:highlight w:val="none"/>
              </w:rPr>
              <w:t xml:space="preserve">1</w:t>
            </w:r>
            <w:r>
              <w:rPr>
                <w:rFonts w:hint="eastAsia"/>
                <w:color w:val="000000"/>
                <w:highlight w:val="none"/>
              </w:rPr>
              <w:t xml:space="preserve">次，无乱种植现象。</w:t>
            </w:r>
            <w:r>
              <w:rPr>
                <w:rFonts w:hint="eastAsia" w:ascii="宋体" w:hAnsi="宋体" w:cs="宋体"/>
                <w:color w:val="000000"/>
                <w:szCs w:val="21"/>
                <w:highlight w:val="none"/>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2638" w:type="dxa"/>
            <w:vAlign w:val="center"/>
            <w:textDirection w:val="lrTb"/>
            <w:noWrap w:val="false"/>
          </w:tcPr>
          <w:p>
            <w:pPr>
              <w:pStyle w:val="682"/>
              <w:rPr>
                <w:rFonts w:hint="eastAsia" w:ascii="宋体" w:hAnsi="宋体" w:cs="宋体"/>
                <w:color w:val="000000"/>
                <w:szCs w:val="21"/>
                <w:highlight w:val="none"/>
                <w:lang w:eastAsia="en-US"/>
              </w:rPr>
            </w:pPr>
            <w:r>
              <w:rPr>
                <w:rFonts w:hint="eastAsia"/>
                <w:color w:val="000000"/>
                <w:highlight w:val="none"/>
              </w:rPr>
              <w:t xml:space="preserve">乔木类</w:t>
            </w:r>
            <w:r>
              <w:rPr>
                <w:rFonts w:hint="eastAsia" w:ascii="宋体" w:hAnsi="宋体" w:cs="宋体"/>
                <w:color w:val="000000"/>
                <w:szCs w:val="21"/>
                <w:highlight w:val="none"/>
                <w:lang w:eastAsia="en-US"/>
              </w:rPr>
            </w:r>
            <w:r/>
          </w:p>
        </w:tc>
        <w:tc>
          <w:tcPr>
            <w:tcW w:w="4709" w:type="dxa"/>
            <w:vAlign w:val="center"/>
            <w:textDirection w:val="lrTb"/>
            <w:noWrap w:val="false"/>
          </w:tcPr>
          <w:p>
            <w:pPr>
              <w:pStyle w:val="682"/>
              <w:jc w:val="left"/>
              <w:rPr>
                <w:rFonts w:hint="eastAsia" w:ascii="宋体" w:hAnsi="宋体" w:cs="宋体"/>
                <w:color w:val="000000"/>
                <w:szCs w:val="21"/>
                <w:highlight w:val="none"/>
                <w:lang w:eastAsia="en-US"/>
              </w:rPr>
            </w:pPr>
            <w:r>
              <w:rPr>
                <w:rFonts w:hint="eastAsia"/>
                <w:color w:val="000000"/>
                <w:highlight w:val="none"/>
              </w:rPr>
              <w:t xml:space="preserve">成活率</w:t>
            </w:r>
            <w:r>
              <w:rPr>
                <w:color w:val="000000"/>
                <w:highlight w:val="none"/>
              </w:rPr>
              <w:t xml:space="preserve">80%</w:t>
            </w:r>
            <w:r>
              <w:rPr>
                <w:rFonts w:hint="eastAsia"/>
                <w:color w:val="000000"/>
                <w:highlight w:val="none"/>
              </w:rPr>
              <w:t xml:space="preserve">以上，每年修剪</w:t>
            </w:r>
            <w:r>
              <w:rPr>
                <w:color w:val="000000"/>
                <w:highlight w:val="none"/>
              </w:rPr>
              <w:t xml:space="preserve">1</w:t>
            </w:r>
            <w:r>
              <w:rPr>
                <w:rFonts w:hint="eastAsia"/>
                <w:color w:val="000000"/>
                <w:highlight w:val="none"/>
              </w:rPr>
              <w:t xml:space="preserve">次，除虫施肥每年</w:t>
            </w:r>
            <w:r>
              <w:rPr>
                <w:color w:val="000000"/>
                <w:highlight w:val="none"/>
              </w:rPr>
              <w:t xml:space="preserve">1</w:t>
            </w:r>
            <w:r>
              <w:rPr>
                <w:rFonts w:hint="eastAsia"/>
                <w:color w:val="000000"/>
                <w:highlight w:val="none"/>
              </w:rPr>
              <w:t xml:space="preserve">次</w:t>
            </w:r>
            <w:r>
              <w:rPr>
                <w:rFonts w:hint="eastAsia" w:ascii="宋体" w:hAnsi="宋体" w:cs="宋体"/>
                <w:color w:val="000000"/>
                <w:szCs w:val="21"/>
                <w:highlight w:val="none"/>
                <w:lang w:eastAsia="en-US"/>
              </w:rPr>
            </w:r>
            <w:r/>
          </w:p>
        </w:tc>
      </w:tr>
    </w:tbl>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3.6  保安服务</w:t>
      </w:r>
      <w:r>
        <w:rPr>
          <w:rFonts w:hint="eastAsia"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序号</w:t>
            </w:r>
            <w:r>
              <w:rPr>
                <w:rFonts w:hint="eastAsia" w:ascii="微软雅黑" w:hAnsi="微软雅黑" w:eastAsia="微软雅黑" w:cs="微软雅黑"/>
                <w:color w:val="000000"/>
                <w:spacing w:val="-1"/>
                <w:szCs w:val="21"/>
                <w:highlight w:val="none"/>
                <w:lang w:eastAsia="en-US"/>
              </w:rPr>
            </w:r>
            <w:r/>
          </w:p>
        </w:tc>
        <w:tc>
          <w:tcPr>
            <w:tcW w:w="2638"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服务内容</w:t>
            </w:r>
            <w:r>
              <w:rPr>
                <w:rFonts w:hint="eastAsia" w:ascii="微软雅黑" w:hAnsi="微软雅黑" w:eastAsia="微软雅黑" w:cs="微软雅黑"/>
                <w:color w:val="000000"/>
                <w:spacing w:val="-1"/>
                <w:szCs w:val="21"/>
                <w:highlight w:val="none"/>
                <w:lang w:eastAsia="en-US"/>
              </w:rPr>
            </w:r>
            <w:r/>
          </w:p>
        </w:tc>
        <w:tc>
          <w:tcPr>
            <w:tcW w:w="4709"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服务标准</w:t>
            </w:r>
            <w:r>
              <w:rPr>
                <w:rFonts w:hint="eastAsia" w:ascii="微软雅黑" w:hAnsi="微软雅黑" w:eastAsia="微软雅黑" w:cs="微软雅黑"/>
                <w:color w:val="000000"/>
                <w:spacing w:val="-1"/>
                <w:szCs w:val="21"/>
                <w:highlight w:val="none"/>
                <w:lang w:eastAsia="en-US"/>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lang w:eastAsia="en-US"/>
              </w:rPr>
            </w:pPr>
            <w:r>
              <w:rPr>
                <w:rFonts w:hint="eastAsia" w:ascii="宋体" w:hAnsi="宋体" w:cs="宋体"/>
                <w:color w:val="000000"/>
                <w:highlight w:val="none"/>
                <w:lang w:eastAsia="en-US"/>
              </w:rPr>
              <w:t xml:space="preserve">1</w:t>
            </w:r>
            <w:r>
              <w:rPr>
                <w:rFonts w:hint="eastAsia" w:ascii="宋体" w:hAnsi="宋体" w:cs="宋体"/>
                <w:color w:val="000000"/>
                <w:highlight w:val="none"/>
                <w:lang w:eastAsia="en-US"/>
              </w:rPr>
            </w:r>
            <w:r/>
          </w:p>
        </w:tc>
        <w:tc>
          <w:tcPr>
            <w:tcW w:w="2638" w:type="dxa"/>
            <w:vAlign w:val="center"/>
            <w:textDirection w:val="lrTb"/>
            <w:noWrap w:val="false"/>
          </w:tcPr>
          <w:p>
            <w:pPr>
              <w:pStyle w:val="682"/>
              <w:rPr>
                <w:rFonts w:hint="eastAsia" w:ascii="宋体" w:hAnsi="宋体" w:cs="宋体"/>
                <w:color w:val="000000"/>
                <w:szCs w:val="21"/>
                <w:highlight w:val="none"/>
                <w:lang w:eastAsia="en-US"/>
              </w:rPr>
            </w:pPr>
            <w:r>
              <w:rPr>
                <w:rFonts w:hint="eastAsia"/>
                <w:color w:val="000000"/>
                <w:highlight w:val="none"/>
              </w:rPr>
              <w:t xml:space="preserve">人员要求</w:t>
            </w:r>
            <w:r>
              <w:rPr>
                <w:rFonts w:hint="eastAsia" w:ascii="宋体" w:hAnsi="宋体" w:cs="宋体"/>
                <w:color w:val="000000"/>
                <w:szCs w:val="21"/>
                <w:highlight w:val="none"/>
                <w:lang w:eastAsia="en-US"/>
              </w:rPr>
            </w:r>
            <w:r/>
          </w:p>
        </w:tc>
        <w:tc>
          <w:tcPr>
            <w:tcW w:w="4709" w:type="dxa"/>
            <w:vAlign w:val="center"/>
            <w:textDirection w:val="lrTb"/>
            <w:noWrap w:val="false"/>
          </w:tcPr>
          <w:p>
            <w:pPr>
              <w:pStyle w:val="682"/>
              <w:jc w:val="left"/>
              <w:rPr>
                <w:color w:val="000000"/>
                <w:highlight w:val="none"/>
              </w:rPr>
            </w:pPr>
            <w:r>
              <w:rPr>
                <w:color w:val="000000"/>
                <w:highlight w:val="none"/>
              </w:rPr>
              <w:t xml:space="preserve">1</w:t>
            </w:r>
            <w:r>
              <w:rPr>
                <w:rFonts w:hint="eastAsia"/>
                <w:color w:val="000000"/>
                <w:highlight w:val="none"/>
              </w:rPr>
              <w:t xml:space="preserve">、专职保安人员，身体健康，工作认真负责并定期接受培训。</w:t>
            </w:r>
            <w:r>
              <w:rPr>
                <w:color w:val="000000"/>
                <w:highlight w:val="none"/>
              </w:rPr>
            </w:r>
            <w:r/>
          </w:p>
          <w:p>
            <w:pPr>
              <w:pStyle w:val="682"/>
              <w:jc w:val="left"/>
              <w:rPr>
                <w:color w:val="000000"/>
                <w:highlight w:val="none"/>
              </w:rPr>
            </w:pPr>
            <w:r>
              <w:rPr>
                <w:color w:val="000000"/>
                <w:highlight w:val="none"/>
              </w:rPr>
              <w:t xml:space="preserve">2</w:t>
            </w:r>
            <w:r>
              <w:rPr>
                <w:rFonts w:hint="eastAsia"/>
                <w:color w:val="000000"/>
                <w:highlight w:val="none"/>
              </w:rPr>
              <w:t xml:space="preserve">、能处理和应对公共秩序维护工作，能够熟悉、掌握各类刑事、治安案件和各类灾害事故的应急预案。</w:t>
            </w:r>
            <w:r>
              <w:rPr>
                <w:color w:val="000000"/>
                <w:highlight w:val="none"/>
              </w:rPr>
            </w:r>
            <w:r/>
          </w:p>
          <w:p>
            <w:pPr>
              <w:pStyle w:val="682"/>
              <w:jc w:val="left"/>
              <w:rPr>
                <w:color w:val="000000"/>
                <w:highlight w:val="none"/>
              </w:rPr>
            </w:pPr>
            <w:r>
              <w:rPr>
                <w:color w:val="000000"/>
                <w:highlight w:val="none"/>
              </w:rPr>
              <w:t xml:space="preserve">3</w:t>
            </w:r>
            <w:r>
              <w:rPr>
                <w:rFonts w:hint="eastAsia"/>
                <w:color w:val="000000"/>
                <w:highlight w:val="none"/>
              </w:rPr>
              <w:t xml:space="preserve">、上岗时佩戴统一标志，穿戴统一制服，仪容仪表规范整齐。</w:t>
            </w:r>
            <w:r>
              <w:rPr>
                <w:color w:val="000000"/>
                <w:highlight w:val="none"/>
              </w:rPr>
            </w:r>
            <w:r/>
          </w:p>
          <w:p>
            <w:pPr>
              <w:pStyle w:val="682"/>
              <w:jc w:val="left"/>
              <w:rPr>
                <w:rFonts w:hint="eastAsia" w:ascii="宋体" w:hAnsi="宋体" w:cs="宋体"/>
                <w:color w:val="000000"/>
                <w:szCs w:val="21"/>
                <w:highlight w:val="none"/>
                <w:lang w:eastAsia="en-US"/>
              </w:rPr>
            </w:pPr>
            <w:r>
              <w:rPr>
                <w:color w:val="000000"/>
                <w:highlight w:val="none"/>
              </w:rPr>
              <w:t xml:space="preserve">4</w:t>
            </w:r>
            <w:r>
              <w:rPr>
                <w:rFonts w:hint="eastAsia"/>
                <w:color w:val="000000"/>
                <w:highlight w:val="none"/>
              </w:rPr>
              <w:t xml:space="preserve">、配备对讲装置。</w:t>
            </w:r>
            <w:r>
              <w:rPr>
                <w:rFonts w:hint="eastAsia" w:ascii="宋体" w:hAnsi="宋体" w:cs="宋体"/>
                <w:color w:val="000000"/>
                <w:szCs w:val="21"/>
                <w:highlight w:val="none"/>
                <w:lang w:eastAsia="en-US"/>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lang w:eastAsia="en-US"/>
              </w:rPr>
            </w:pPr>
            <w:r>
              <w:rPr>
                <w:rFonts w:hint="eastAsia" w:ascii="宋体" w:hAnsi="宋体" w:cs="宋体"/>
                <w:color w:val="000000"/>
                <w:highlight w:val="none"/>
                <w:lang w:eastAsia="en-US"/>
              </w:rPr>
              <w:t xml:space="preserve">2</w:t>
            </w:r>
            <w:r>
              <w:rPr>
                <w:rFonts w:hint="eastAsia" w:ascii="宋体" w:hAnsi="宋体" w:cs="宋体"/>
                <w:color w:val="000000"/>
                <w:highlight w:val="none"/>
                <w:lang w:eastAsia="en-US"/>
              </w:rPr>
            </w:r>
            <w:r/>
          </w:p>
        </w:tc>
        <w:tc>
          <w:tcPr>
            <w:tcW w:w="2638" w:type="dxa"/>
            <w:vAlign w:val="center"/>
            <w:textDirection w:val="lrTb"/>
            <w:noWrap w:val="false"/>
          </w:tcPr>
          <w:p>
            <w:pPr>
              <w:pStyle w:val="682"/>
              <w:rPr>
                <w:rFonts w:hint="eastAsia" w:ascii="宋体" w:hAnsi="宋体" w:cs="宋体"/>
                <w:color w:val="000000"/>
                <w:szCs w:val="21"/>
                <w:highlight w:val="none"/>
                <w:lang w:eastAsia="en-US"/>
              </w:rPr>
            </w:pPr>
            <w:r>
              <w:rPr>
                <w:rFonts w:hint="eastAsia"/>
                <w:color w:val="000000"/>
                <w:highlight w:val="none"/>
              </w:rPr>
              <w:t xml:space="preserve">门岗</w:t>
            </w:r>
            <w:r>
              <w:rPr>
                <w:rFonts w:hint="eastAsia" w:ascii="宋体" w:hAnsi="宋体" w:cs="宋体"/>
                <w:color w:val="000000"/>
                <w:szCs w:val="21"/>
                <w:highlight w:val="none"/>
                <w:lang w:eastAsia="en-US"/>
              </w:rPr>
            </w:r>
            <w:r/>
          </w:p>
        </w:tc>
        <w:tc>
          <w:tcPr>
            <w:tcW w:w="4709" w:type="dxa"/>
            <w:vAlign w:val="center"/>
            <w:textDirection w:val="lrTb"/>
            <w:noWrap w:val="false"/>
          </w:tcPr>
          <w:p>
            <w:pPr>
              <w:pStyle w:val="682"/>
              <w:jc w:val="left"/>
              <w:rPr>
                <w:color w:val="000000"/>
                <w:highlight w:val="none"/>
              </w:rPr>
            </w:pPr>
            <w:r>
              <w:rPr>
                <w:color w:val="000000"/>
                <w:highlight w:val="none"/>
              </w:rPr>
              <w:t xml:space="preserve">1</w:t>
            </w:r>
            <w:r>
              <w:rPr>
                <w:rFonts w:hint="eastAsia"/>
                <w:color w:val="000000"/>
                <w:highlight w:val="none"/>
              </w:rPr>
              <w:t xml:space="preserve">、主出入口</w:t>
            </w:r>
            <w:r>
              <w:rPr>
                <w:color w:val="000000"/>
                <w:highlight w:val="none"/>
              </w:rPr>
              <w:t xml:space="preserve">24 </w:t>
            </w:r>
            <w:r>
              <w:rPr>
                <w:rFonts w:hint="eastAsia"/>
                <w:color w:val="000000"/>
                <w:highlight w:val="none"/>
              </w:rPr>
              <w:t xml:space="preserve">小时值班看守，并有详细交接班记录。</w:t>
            </w:r>
            <w:r>
              <w:rPr>
                <w:color w:val="000000"/>
                <w:highlight w:val="none"/>
              </w:rPr>
            </w:r>
            <w:r/>
          </w:p>
          <w:p>
            <w:pPr>
              <w:pStyle w:val="682"/>
              <w:jc w:val="left"/>
              <w:rPr>
                <w:rFonts w:hint="eastAsia" w:ascii="宋体" w:hAnsi="宋体" w:cs="宋体"/>
                <w:color w:val="000000"/>
                <w:szCs w:val="21"/>
                <w:highlight w:val="none"/>
              </w:rPr>
            </w:pPr>
            <w:r>
              <w:rPr>
                <w:color w:val="000000"/>
                <w:highlight w:val="none"/>
              </w:rPr>
              <w:t xml:space="preserve">2</w:t>
            </w:r>
            <w:r>
              <w:rPr>
                <w:rFonts w:hint="eastAsia"/>
                <w:color w:val="000000"/>
                <w:highlight w:val="none"/>
              </w:rPr>
              <w:t xml:space="preserve">、对进出小区的车辆进行管理和疏导，保持出入口环境整洁、有序、道路畅通。</w:t>
            </w:r>
            <w:r>
              <w:rPr>
                <w:rFonts w:hint="eastAsia" w:ascii="宋体" w:hAnsi="宋体" w:cs="宋体"/>
                <w:color w:val="000000"/>
                <w:szCs w:val="21"/>
                <w:highlight w:val="none"/>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2638" w:type="dxa"/>
            <w:vAlign w:val="center"/>
            <w:textDirection w:val="lrTb"/>
            <w:noWrap w:val="false"/>
          </w:tcPr>
          <w:p>
            <w:pPr>
              <w:pStyle w:val="682"/>
              <w:rPr>
                <w:rFonts w:hint="eastAsia" w:ascii="宋体" w:hAnsi="宋体" w:cs="宋体"/>
                <w:color w:val="000000"/>
                <w:szCs w:val="21"/>
                <w:highlight w:val="none"/>
                <w:lang w:eastAsia="en-US"/>
              </w:rPr>
            </w:pPr>
            <w:r>
              <w:rPr>
                <w:rFonts w:hint="eastAsia"/>
                <w:color w:val="000000"/>
                <w:highlight w:val="none"/>
              </w:rPr>
              <w:t xml:space="preserve">巡逻岗</w:t>
            </w:r>
            <w:r>
              <w:rPr>
                <w:rFonts w:hint="eastAsia" w:ascii="宋体" w:hAnsi="宋体" w:cs="宋体"/>
                <w:color w:val="000000"/>
                <w:szCs w:val="21"/>
                <w:highlight w:val="none"/>
                <w:lang w:eastAsia="en-US"/>
              </w:rPr>
            </w:r>
            <w:r/>
          </w:p>
        </w:tc>
        <w:tc>
          <w:tcPr>
            <w:tcW w:w="4709" w:type="dxa"/>
            <w:vAlign w:val="center"/>
            <w:textDirection w:val="lrTb"/>
            <w:noWrap w:val="false"/>
          </w:tcPr>
          <w:p>
            <w:pPr>
              <w:pStyle w:val="682"/>
              <w:jc w:val="left"/>
              <w:rPr>
                <w:color w:val="000000"/>
                <w:highlight w:val="none"/>
              </w:rPr>
            </w:pPr>
            <w:r>
              <w:rPr>
                <w:color w:val="000000"/>
                <w:highlight w:val="none"/>
              </w:rPr>
              <w:t xml:space="preserve">1</w:t>
            </w:r>
            <w:r>
              <w:rPr>
                <w:rFonts w:hint="eastAsia"/>
                <w:color w:val="000000"/>
                <w:highlight w:val="none"/>
              </w:rPr>
              <w:t xml:space="preserve">、白天巡逻次数不少于四次，夜间重点部位两小时巡逻一次，并有巡逻记录。</w:t>
            </w:r>
            <w:r>
              <w:rPr>
                <w:color w:val="000000"/>
                <w:highlight w:val="none"/>
              </w:rPr>
            </w:r>
            <w:r/>
          </w:p>
          <w:p>
            <w:pPr>
              <w:pStyle w:val="682"/>
              <w:jc w:val="left"/>
              <w:rPr>
                <w:rFonts w:hint="eastAsia" w:ascii="宋体" w:hAnsi="宋体" w:cs="宋体"/>
                <w:color w:val="000000"/>
                <w:szCs w:val="21"/>
                <w:highlight w:val="none"/>
              </w:rPr>
            </w:pPr>
            <w:r>
              <w:rPr>
                <w:color w:val="000000"/>
                <w:highlight w:val="none"/>
              </w:rPr>
              <w:t xml:space="preserve">2</w:t>
            </w:r>
            <w:r>
              <w:rPr>
                <w:rFonts w:hint="eastAsia"/>
                <w:color w:val="000000"/>
                <w:highlight w:val="none"/>
              </w:rPr>
              <w:t xml:space="preserve">、在遇到突发事件时，采取必要措施并及时报告管理处和相关部门。</w:t>
            </w:r>
            <w:r>
              <w:rPr>
                <w:rFonts w:hint="eastAsia" w:ascii="宋体" w:hAnsi="宋体" w:cs="宋体"/>
                <w:color w:val="000000"/>
                <w:szCs w:val="21"/>
                <w:highlight w:val="none"/>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2638" w:type="dxa"/>
            <w:vAlign w:val="center"/>
            <w:textDirection w:val="lrTb"/>
            <w:noWrap w:val="false"/>
          </w:tcPr>
          <w:p>
            <w:pPr>
              <w:pStyle w:val="682"/>
              <w:rPr>
                <w:rFonts w:hint="eastAsia" w:ascii="宋体" w:hAnsi="宋体" w:cs="宋体"/>
                <w:color w:val="000000"/>
                <w:szCs w:val="21"/>
                <w:highlight w:val="none"/>
              </w:rPr>
            </w:pPr>
            <w:r>
              <w:rPr>
                <w:rFonts w:hint="eastAsia"/>
                <w:color w:val="000000"/>
                <w:highlight w:val="none"/>
              </w:rPr>
              <w:t xml:space="preserve">监控岗</w:t>
            </w:r>
            <w:r>
              <w:rPr>
                <w:rFonts w:hint="eastAsia" w:ascii="宋体" w:hAnsi="宋体" w:cs="宋体"/>
                <w:color w:val="000000"/>
                <w:szCs w:val="21"/>
                <w:highlight w:val="none"/>
              </w:rPr>
            </w:r>
            <w:r/>
          </w:p>
        </w:tc>
        <w:tc>
          <w:tcPr>
            <w:tcW w:w="4709" w:type="dxa"/>
            <w:vAlign w:val="center"/>
            <w:textDirection w:val="lrTb"/>
            <w:noWrap w:val="false"/>
          </w:tcPr>
          <w:p>
            <w:pPr>
              <w:pStyle w:val="682"/>
              <w:jc w:val="left"/>
              <w:rPr>
                <w:color w:val="000000"/>
                <w:highlight w:val="none"/>
              </w:rPr>
            </w:pPr>
            <w:r>
              <w:rPr>
                <w:rFonts w:hint="eastAsia"/>
                <w:color w:val="000000"/>
                <w:highlight w:val="none"/>
              </w:rPr>
              <w:t xml:space="preserve">监控中心接到报警信号后，保安人员应立即赶到现场进行处理。</w:t>
            </w:r>
            <w:r>
              <w:rPr>
                <w:color w:val="000000"/>
                <w:highlight w:val="none"/>
              </w:rPr>
            </w:r>
            <w:r/>
          </w:p>
          <w:p>
            <w:pPr>
              <w:pStyle w:val="682"/>
              <w:jc w:val="left"/>
              <w:rPr>
                <w:rFonts w:hint="eastAsia" w:ascii="宋体" w:hAnsi="宋体" w:cs="宋体"/>
                <w:color w:val="000000"/>
                <w:szCs w:val="21"/>
                <w:highlight w:val="none"/>
              </w:rPr>
            </w:pPr>
            <w:r>
              <w:rPr>
                <w:rFonts w:hint="eastAsia"/>
                <w:color w:val="000000"/>
                <w:highlight w:val="none"/>
              </w:rPr>
              <w:t xml:space="preserve">应有火警、水警、警情应急预案，并在监控中心控制室内悬挂。</w:t>
            </w:r>
            <w:r>
              <w:rPr>
                <w:rFonts w:hint="eastAsia" w:ascii="宋体" w:hAnsi="宋体" w:cs="宋体"/>
                <w:color w:val="000000"/>
                <w:szCs w:val="21"/>
                <w:highlight w:val="none"/>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2638" w:type="dxa"/>
            <w:vAlign w:val="center"/>
            <w:textDirection w:val="lrTb"/>
            <w:noWrap w:val="false"/>
          </w:tcPr>
          <w:p>
            <w:pPr>
              <w:pStyle w:val="682"/>
              <w:rPr>
                <w:color w:val="000000"/>
                <w:highlight w:val="none"/>
              </w:rPr>
            </w:pPr>
            <w:r>
              <w:rPr>
                <w:rFonts w:hint="eastAsia"/>
                <w:color w:val="000000"/>
                <w:highlight w:val="none"/>
              </w:rPr>
              <w:t xml:space="preserve">消控岗</w:t>
            </w:r>
            <w:r>
              <w:rPr>
                <w:color w:val="000000"/>
                <w:highlight w:val="none"/>
              </w:rPr>
            </w:r>
            <w:r/>
          </w:p>
        </w:tc>
        <w:tc>
          <w:tcPr>
            <w:tcW w:w="4709" w:type="dxa"/>
            <w:vAlign w:val="center"/>
            <w:textDirection w:val="lrTb"/>
            <w:noWrap w:val="false"/>
          </w:tcPr>
          <w:p>
            <w:pPr>
              <w:pStyle w:val="682"/>
              <w:numPr>
                <w:ilvl w:val="0"/>
                <w:numId w:val="6"/>
              </w:numPr>
              <w:rPr>
                <w:color w:val="000000"/>
                <w:highlight w:val="none"/>
              </w:rPr>
            </w:pPr>
            <w:r>
              <w:rPr>
                <w:rFonts w:hint="eastAsia"/>
                <w:color w:val="000000"/>
                <w:highlight w:val="none"/>
              </w:rPr>
              <w:t xml:space="preserve">持证上岗，24小时双人在岗。</w:t>
            </w:r>
            <w:r>
              <w:rPr>
                <w:color w:val="000000"/>
                <w:highlight w:val="none"/>
              </w:rPr>
            </w:r>
            <w:r/>
          </w:p>
          <w:p>
            <w:pPr>
              <w:pStyle w:val="682"/>
              <w:numPr>
                <w:ilvl w:val="0"/>
                <w:numId w:val="0"/>
              </w:numPr>
              <w:rPr>
                <w:rFonts w:hint="eastAsia" w:ascii="宋体" w:hAnsi="宋体"/>
                <w:color w:val="000000"/>
                <w:highlight w:val="none"/>
              </w:rPr>
            </w:pPr>
            <w:r>
              <w:rPr>
                <w:rFonts w:hint="eastAsia"/>
                <w:color w:val="000000"/>
                <w:highlight w:val="none"/>
              </w:rPr>
              <w:t xml:space="preserve">2、</w:t>
            </w:r>
            <w:r>
              <w:rPr>
                <w:rFonts w:hint="eastAsia" w:ascii="宋体" w:hAnsi="宋体"/>
                <w:color w:val="000000"/>
                <w:highlight w:val="none"/>
              </w:rPr>
              <w:t xml:space="preserve">定期检查消防器材；</w:t>
            </w:r>
            <w:r>
              <w:rPr>
                <w:rFonts w:hint="eastAsia" w:ascii="宋体" w:hAnsi="宋体"/>
                <w:color w:val="000000"/>
                <w:highlight w:val="none"/>
              </w:rPr>
            </w:r>
            <w:r/>
          </w:p>
          <w:p>
            <w:pPr>
              <w:pStyle w:val="682"/>
              <w:jc w:val="left"/>
              <w:rPr>
                <w:color w:val="000000"/>
                <w:highlight w:val="none"/>
              </w:rPr>
            </w:pPr>
            <w:r>
              <w:rPr>
                <w:color w:val="000000"/>
                <w:highlight w:val="none"/>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2638" w:type="dxa"/>
            <w:vAlign w:val="center"/>
            <w:textDirection w:val="lrTb"/>
            <w:noWrap w:val="false"/>
          </w:tcPr>
          <w:p>
            <w:pPr>
              <w:pStyle w:val="682"/>
              <w:rPr>
                <w:rFonts w:hint="eastAsia" w:ascii="宋体" w:hAnsi="宋体" w:cs="宋体"/>
                <w:color w:val="000000"/>
                <w:szCs w:val="21"/>
                <w:highlight w:val="none"/>
                <w:lang w:eastAsia="en-US"/>
              </w:rPr>
            </w:pPr>
            <w:r>
              <w:rPr>
                <w:rFonts w:hint="eastAsia" w:ascii="宋体" w:hAnsi="宋体"/>
                <w:color w:val="000000"/>
                <w:highlight w:val="none"/>
              </w:rPr>
              <w:t xml:space="preserve">车位管理</w:t>
            </w:r>
            <w:r>
              <w:rPr>
                <w:rFonts w:hint="eastAsia" w:ascii="宋体" w:hAnsi="宋体" w:cs="宋体"/>
                <w:color w:val="000000"/>
                <w:szCs w:val="21"/>
                <w:highlight w:val="none"/>
                <w:lang w:eastAsia="en-US"/>
              </w:rPr>
            </w:r>
            <w:r/>
          </w:p>
        </w:tc>
        <w:tc>
          <w:tcPr>
            <w:tcW w:w="4709" w:type="dxa"/>
            <w:vAlign w:val="center"/>
            <w:textDirection w:val="lrTb"/>
            <w:noWrap w:val="false"/>
          </w:tcPr>
          <w:p>
            <w:pPr>
              <w:pStyle w:val="682"/>
              <w:rPr>
                <w:rFonts w:hint="eastAsia" w:ascii="宋体" w:hAnsi="宋体"/>
                <w:color w:val="000000"/>
                <w:highlight w:val="none"/>
              </w:rPr>
            </w:pPr>
            <w:r>
              <w:rPr>
                <w:rFonts w:hint="eastAsia" w:ascii="宋体" w:hAnsi="宋体"/>
                <w:color w:val="000000"/>
                <w:highlight w:val="none"/>
              </w:rPr>
              <w:t xml:space="preserve">1、制定完善的停车库（场）管理制度，并遵照执行。</w:t>
            </w:r>
            <w:r>
              <w:rPr>
                <w:rFonts w:hint="eastAsia" w:ascii="宋体" w:hAnsi="宋体"/>
                <w:color w:val="000000"/>
                <w:highlight w:val="none"/>
              </w:rPr>
            </w:r>
            <w:r/>
          </w:p>
          <w:p>
            <w:pPr>
              <w:pStyle w:val="682"/>
              <w:rPr>
                <w:rFonts w:hint="eastAsia" w:ascii="宋体" w:hAnsi="宋体"/>
                <w:color w:val="000000"/>
                <w:highlight w:val="none"/>
              </w:rPr>
            </w:pPr>
            <w:r>
              <w:rPr>
                <w:rFonts w:hint="eastAsia" w:ascii="宋体" w:hAnsi="宋体"/>
                <w:color w:val="000000"/>
                <w:highlight w:val="none"/>
              </w:rPr>
              <w:t xml:space="preserve">2、车场配置显著的出入口指示牌、限高标志、禁鸣标识、限速标志、车场管理须知等。</w:t>
            </w:r>
            <w:r>
              <w:rPr>
                <w:rFonts w:hint="eastAsia" w:ascii="宋体" w:hAnsi="宋体"/>
                <w:color w:val="000000"/>
                <w:highlight w:val="none"/>
              </w:rPr>
            </w:r>
            <w:r/>
          </w:p>
          <w:p>
            <w:pPr>
              <w:pStyle w:val="682"/>
              <w:rPr>
                <w:rFonts w:hint="eastAsia" w:ascii="宋体" w:hAnsi="宋体"/>
                <w:color w:val="000000"/>
                <w:highlight w:val="none"/>
              </w:rPr>
            </w:pPr>
            <w:r>
              <w:rPr>
                <w:rFonts w:hint="eastAsia" w:ascii="宋体" w:hAnsi="宋体"/>
                <w:color w:val="000000"/>
                <w:highlight w:val="none"/>
              </w:rPr>
              <w:t xml:space="preserve">3、安保人员文明礼貌待人、热情周到。</w:t>
            </w:r>
            <w:r>
              <w:rPr>
                <w:rFonts w:hint="eastAsia" w:ascii="宋体" w:hAnsi="宋体"/>
                <w:color w:val="000000"/>
                <w:highlight w:val="none"/>
              </w:rPr>
            </w:r>
            <w:r/>
          </w:p>
          <w:p>
            <w:pPr>
              <w:pStyle w:val="682"/>
              <w:rPr>
                <w:rFonts w:hint="eastAsia" w:ascii="宋体" w:hAnsi="宋体"/>
                <w:color w:val="000000"/>
                <w:highlight w:val="none"/>
              </w:rPr>
            </w:pPr>
            <w:r>
              <w:rPr>
                <w:rFonts w:hint="eastAsia" w:ascii="宋体" w:hAnsi="宋体"/>
                <w:color w:val="000000"/>
                <w:highlight w:val="none"/>
              </w:rPr>
              <w:t xml:space="preserve">4、对易燃易爆物品、烟火等涉及安全的一切事项严格把关，提高警惕性，杜绝隐患。</w:t>
            </w:r>
            <w:r>
              <w:rPr>
                <w:rFonts w:hint="eastAsia" w:ascii="宋体" w:hAnsi="宋体"/>
                <w:color w:val="000000"/>
                <w:highlight w:val="none"/>
              </w:rPr>
            </w:r>
            <w:r/>
          </w:p>
          <w:p>
            <w:pPr>
              <w:pStyle w:val="682"/>
              <w:rPr>
                <w:rFonts w:hint="eastAsia" w:ascii="宋体" w:hAnsi="宋体"/>
                <w:color w:val="000000"/>
                <w:highlight w:val="none"/>
              </w:rPr>
            </w:pPr>
            <w:r>
              <w:rPr>
                <w:rFonts w:hint="eastAsia" w:ascii="宋体" w:hAnsi="宋体"/>
                <w:color w:val="000000"/>
                <w:highlight w:val="none"/>
              </w:rPr>
              <w:t xml:space="preserve">5、随时巡查车辆停放情况，遇有门未锁、灯未关、漏油、漏水、漏气等现象发生时，及时通知车主；主动有礼貌提醒车主不要将贵重物品留在车内，同时阻止闲杂人员进入车场。</w:t>
            </w:r>
            <w:r>
              <w:rPr>
                <w:rFonts w:hint="eastAsia" w:ascii="宋体" w:hAnsi="宋体"/>
                <w:color w:val="000000"/>
                <w:highlight w:val="none"/>
              </w:rPr>
            </w:r>
            <w:r/>
          </w:p>
          <w:p>
            <w:pPr>
              <w:pStyle w:val="682"/>
              <w:rPr>
                <w:rFonts w:hint="eastAsia" w:ascii="宋体" w:hAnsi="宋体"/>
                <w:color w:val="000000"/>
                <w:highlight w:val="none"/>
              </w:rPr>
            </w:pPr>
            <w:r>
              <w:rPr>
                <w:rFonts w:hint="eastAsia" w:ascii="宋体" w:hAnsi="宋体"/>
                <w:color w:val="000000"/>
                <w:highlight w:val="none"/>
              </w:rPr>
              <w:t xml:space="preserve">6、安保人员对停车库（场）实施巡查管理，并引导车辆停放，提供问询服务。</w:t>
            </w:r>
            <w:r>
              <w:rPr>
                <w:rFonts w:hint="eastAsia" w:ascii="宋体" w:hAnsi="宋体"/>
                <w:color w:val="000000"/>
                <w:highlight w:val="none"/>
              </w:rPr>
            </w:r>
            <w:r/>
          </w:p>
          <w:p>
            <w:pPr>
              <w:pStyle w:val="682"/>
              <w:rPr>
                <w:rFonts w:hint="eastAsia" w:ascii="宋体" w:hAnsi="宋体"/>
                <w:color w:val="000000"/>
                <w:highlight w:val="none"/>
              </w:rPr>
            </w:pPr>
            <w:r>
              <w:rPr>
                <w:rFonts w:hint="eastAsia" w:ascii="宋体" w:hAnsi="宋体"/>
                <w:color w:val="000000"/>
                <w:highlight w:val="none"/>
              </w:rPr>
              <w:t xml:space="preserve">7、凡装有易燃、易爆、剧毒品或有污染物品的车辆一律不准驶入。</w:t>
            </w:r>
            <w:r>
              <w:rPr>
                <w:rFonts w:hint="eastAsia" w:ascii="宋体" w:hAnsi="宋体"/>
                <w:color w:val="000000"/>
                <w:highlight w:val="none"/>
              </w:rPr>
            </w:r>
            <w:r/>
          </w:p>
          <w:p>
            <w:pPr>
              <w:pStyle w:val="682"/>
              <w:rPr>
                <w:rFonts w:hint="eastAsia" w:ascii="宋体" w:hAnsi="宋体" w:cs="宋体"/>
                <w:color w:val="000000"/>
                <w:szCs w:val="21"/>
                <w:highlight w:val="none"/>
              </w:rPr>
            </w:pPr>
            <w:r>
              <w:rPr>
                <w:rFonts w:hint="eastAsia" w:ascii="宋体" w:hAnsi="宋体"/>
                <w:color w:val="000000"/>
                <w:highlight w:val="none"/>
              </w:rPr>
              <w:t xml:space="preserve">8、进出车辆有登记，完成率100%，准确率100%，不发生丢失事故。</w:t>
            </w:r>
            <w:r>
              <w:rPr>
                <w:rFonts w:hint="eastAsia" w:ascii="宋体" w:hAnsi="宋体" w:cs="宋体"/>
                <w:color w:val="000000"/>
                <w:szCs w:val="21"/>
                <w:highlight w:val="none"/>
              </w:rPr>
            </w:r>
            <w:r/>
          </w:p>
        </w:tc>
      </w:tr>
    </w:tbl>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3.7  其他服务</w:t>
      </w:r>
      <w:r>
        <w:rPr>
          <w:rFonts w:hint="eastAsia"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2624"/>
        <w:gridCol w:w="4727"/>
      </w:tblGrid>
      <w:tr>
        <w:trPr/>
        <w:tc>
          <w:tcPr>
            <w:tcW w:w="117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序号</w:t>
            </w:r>
            <w:r>
              <w:rPr>
                <w:rFonts w:hint="eastAsia" w:ascii="微软雅黑" w:hAnsi="微软雅黑" w:eastAsia="微软雅黑" w:cs="微软雅黑"/>
                <w:color w:val="000000"/>
                <w:spacing w:val="-1"/>
                <w:szCs w:val="21"/>
                <w:highlight w:val="none"/>
                <w:lang w:eastAsia="en-US"/>
              </w:rPr>
            </w:r>
            <w:r/>
          </w:p>
        </w:tc>
        <w:tc>
          <w:tcPr>
            <w:tcW w:w="2624"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服务内容</w:t>
            </w:r>
            <w:r>
              <w:rPr>
                <w:rFonts w:hint="eastAsia" w:ascii="微软雅黑" w:hAnsi="微软雅黑" w:eastAsia="微软雅黑" w:cs="微软雅黑"/>
                <w:color w:val="000000"/>
                <w:spacing w:val="-1"/>
                <w:szCs w:val="21"/>
                <w:highlight w:val="none"/>
                <w:lang w:eastAsia="en-US"/>
              </w:rPr>
            </w:r>
            <w:r/>
          </w:p>
        </w:tc>
        <w:tc>
          <w:tcPr>
            <w:tcW w:w="4727"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服务标准</w:t>
            </w:r>
            <w:r>
              <w:rPr>
                <w:rFonts w:hint="eastAsia" w:ascii="微软雅黑" w:hAnsi="微软雅黑" w:eastAsia="微软雅黑" w:cs="微软雅黑"/>
                <w:color w:val="000000"/>
                <w:spacing w:val="-1"/>
                <w:szCs w:val="21"/>
                <w:highlight w:val="none"/>
                <w:lang w:eastAsia="en-US"/>
              </w:rPr>
            </w:r>
            <w:r/>
          </w:p>
        </w:tc>
      </w:tr>
      <w:tr>
        <w:trPr/>
        <w:tc>
          <w:tcPr>
            <w:tcW w:w="117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1</w:t>
            </w:r>
            <w:r>
              <w:rPr>
                <w:rFonts w:hint="eastAsia" w:ascii="微软雅黑" w:hAnsi="微软雅黑" w:eastAsia="微软雅黑" w:cs="微软雅黑"/>
                <w:color w:val="000000"/>
                <w:spacing w:val="-1"/>
                <w:szCs w:val="21"/>
                <w:highlight w:val="none"/>
                <w:lang w:eastAsia="en-US"/>
              </w:rPr>
            </w:r>
            <w:r/>
          </w:p>
        </w:tc>
        <w:tc>
          <w:tcPr>
            <w:tcW w:w="2624"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其他服务</w:t>
            </w:r>
            <w:r>
              <w:rPr>
                <w:rFonts w:hint="eastAsia" w:ascii="微软雅黑" w:hAnsi="微软雅黑" w:eastAsia="微软雅黑" w:cs="微软雅黑"/>
                <w:color w:val="000000"/>
                <w:spacing w:val="-1"/>
                <w:szCs w:val="21"/>
                <w:highlight w:val="none"/>
              </w:rPr>
            </w:r>
            <w:r/>
          </w:p>
        </w:tc>
        <w:tc>
          <w:tcPr>
            <w:tcW w:w="4727" w:type="dxa"/>
            <w:vAlign w:val="top"/>
            <w:textDirection w:val="lrTb"/>
            <w:noWrap w:val="false"/>
          </w:tcPr>
          <w:p>
            <w:pPr>
              <w:pStyle w:val="682"/>
              <w:jc w:val="left"/>
              <w:spacing w:line="360" w:lineRule="auto"/>
              <w:rPr>
                <w:rFonts w:hint="eastAsia" w:ascii="微软雅黑" w:hAnsi="微软雅黑" w:eastAsia="微软雅黑" w:cs="微软雅黑"/>
                <w:color w:val="000000"/>
                <w:spacing w:val="-1"/>
                <w:szCs w:val="21"/>
                <w:highlight w:val="none"/>
              </w:rPr>
            </w:pPr>
            <w:r>
              <w:rPr>
                <w:rFonts w:hint="eastAsia" w:ascii="宋体" w:hAnsi="宋体"/>
                <w:color w:val="000000"/>
                <w:szCs w:val="21"/>
                <w:highlight w:val="none"/>
              </w:rPr>
              <w:t xml:space="preserve">根据甲方需求，提供必要的支持服务。</w:t>
            </w:r>
            <w:r>
              <w:rPr>
                <w:rFonts w:hint="eastAsia" w:ascii="微软雅黑" w:hAnsi="微软雅黑" w:eastAsia="微软雅黑" w:cs="微软雅黑"/>
                <w:color w:val="000000"/>
                <w:spacing w:val="-1"/>
                <w:szCs w:val="21"/>
                <w:highlight w:val="none"/>
              </w:rPr>
            </w:r>
            <w:r/>
          </w:p>
        </w:tc>
      </w:tr>
    </w:tbl>
    <w:p>
      <w:pPr>
        <w:pStyle w:val="68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68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4.供应商履行合同所需的设备</w:t>
      </w:r>
      <w:r>
        <w:rPr>
          <w:rFonts w:hint="eastAsia" w:ascii="宋体" w:hAnsi="宋体"/>
          <w:b/>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根据项目实际需求，需要供应商提供作业设备（自有或租赁）用于物业管理服务的，可在下表中列出，举例如下：</w:t>
      </w:r>
      <w:r>
        <w:rPr>
          <w:rFonts w:hint="eastAsia" w:ascii="宋体" w:hAnsi="宋体"/>
          <w:color w:val="000000"/>
          <w:sz w:val="24"/>
          <w:highlight w:val="none"/>
        </w:rPr>
      </w:r>
      <w:r/>
    </w:p>
    <w:tbl>
      <w:tblPr>
        <w:tblStyle w:val="799"/>
        <w:tblW w:w="871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3"/>
        <w:gridCol w:w="2409"/>
        <w:gridCol w:w="3633"/>
        <w:gridCol w:w="936"/>
        <w:gridCol w:w="937"/>
      </w:tblGrid>
      <w:tr>
        <w:trPr>
          <w:trHeight w:val="367"/>
        </w:trPr>
        <w:tc>
          <w:tcPr>
            <w:tcW w:w="803" w:type="dxa"/>
            <w:vAlign w:val="top"/>
            <w:textDirection w:val="lrTb"/>
            <w:noWrap w:val="false"/>
          </w:tcPr>
          <w:p>
            <w:pPr>
              <w:pStyle w:val="682"/>
              <w:jc w:val="center"/>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hint="eastAsia" w:ascii="微软雅黑" w:hAnsi="微软雅黑" w:eastAsia="微软雅黑" w:cs="微软雅黑"/>
                <w:color w:val="000000"/>
                <w:szCs w:val="21"/>
                <w:highlight w:val="none"/>
                <w:lang w:eastAsia="en-US"/>
              </w:rPr>
            </w:r>
            <w:r/>
          </w:p>
        </w:tc>
        <w:tc>
          <w:tcPr>
            <w:tcW w:w="2409" w:type="dxa"/>
            <w:vAlign w:val="top"/>
            <w:textDirection w:val="lrTb"/>
            <w:noWrap w:val="false"/>
          </w:tcPr>
          <w:p>
            <w:pPr>
              <w:pStyle w:val="682"/>
              <w:jc w:val="center"/>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hint="eastAsia" w:ascii="微软雅黑" w:hAnsi="微软雅黑" w:eastAsia="微软雅黑" w:cs="微软雅黑"/>
                <w:color w:val="000000"/>
                <w:szCs w:val="21"/>
                <w:highlight w:val="none"/>
                <w:lang w:eastAsia="en-US"/>
              </w:rPr>
            </w:r>
            <w:r/>
          </w:p>
        </w:tc>
        <w:tc>
          <w:tcPr>
            <w:tcW w:w="3633" w:type="dxa"/>
            <w:vAlign w:val="top"/>
            <w:textDirection w:val="lrTb"/>
            <w:noWrap w:val="false"/>
          </w:tcPr>
          <w:p>
            <w:pPr>
              <w:pStyle w:val="682"/>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hint="eastAsia" w:ascii="微软雅黑" w:hAnsi="微软雅黑" w:eastAsia="微软雅黑" w:cs="微软雅黑"/>
                <w:color w:val="000000"/>
                <w:szCs w:val="21"/>
                <w:highlight w:val="none"/>
                <w:lang w:eastAsia="en-US"/>
              </w:rPr>
            </w:r>
            <w:r/>
          </w:p>
        </w:tc>
        <w:tc>
          <w:tcPr>
            <w:tcW w:w="936" w:type="dxa"/>
            <w:vAlign w:val="top"/>
            <w:textDirection w:val="lrTb"/>
            <w:noWrap w:val="false"/>
          </w:tcPr>
          <w:p>
            <w:pPr>
              <w:pStyle w:val="682"/>
              <w:jc w:val="center"/>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hint="eastAsia" w:ascii="微软雅黑" w:hAnsi="微软雅黑" w:eastAsia="微软雅黑" w:cs="微软雅黑"/>
                <w:color w:val="000000"/>
                <w:szCs w:val="21"/>
                <w:highlight w:val="none"/>
                <w:lang w:eastAsia="en-US"/>
              </w:rPr>
            </w:r>
            <w:r/>
          </w:p>
        </w:tc>
        <w:tc>
          <w:tcPr>
            <w:tcW w:w="937" w:type="dxa"/>
            <w:vAlign w:val="top"/>
            <w:textDirection w:val="lrTb"/>
            <w:noWrap w:val="false"/>
          </w:tcPr>
          <w:p>
            <w:pPr>
              <w:pStyle w:val="682"/>
              <w:jc w:val="center"/>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hint="eastAsia" w:ascii="微软雅黑" w:hAnsi="微软雅黑" w:eastAsia="微软雅黑" w:cs="微软雅黑"/>
                <w:color w:val="000000"/>
                <w:szCs w:val="21"/>
                <w:highlight w:val="none"/>
                <w:lang w:eastAsia="en-US"/>
              </w:rPr>
            </w:r>
            <w:r/>
          </w:p>
        </w:tc>
      </w:tr>
      <w:tr>
        <w:trPr>
          <w:trHeight w:val="278"/>
        </w:trPr>
        <w:tc>
          <w:tcPr>
            <w:tcW w:w="803" w:type="dxa"/>
            <w:vAlign w:val="top"/>
            <w:textDirection w:val="lrTb"/>
            <w:noWrap w:val="false"/>
          </w:tcPr>
          <w:p>
            <w:pPr>
              <w:pStyle w:val="682"/>
              <w:jc w:val="center"/>
              <w:rPr>
                <w:rFonts w:eastAsia="Calibri" w:cs="Calibri"/>
                <w:color w:val="000000"/>
                <w:szCs w:val="21"/>
                <w:highlight w:val="none"/>
                <w:lang w:eastAsia="en-US"/>
              </w:rPr>
            </w:pPr>
            <w:r>
              <w:rPr>
                <w:rFonts w:eastAsia="Calibri" w:cs="Calibri"/>
                <w:color w:val="000000"/>
                <w:szCs w:val="21"/>
                <w:highlight w:val="none"/>
                <w:lang w:eastAsia="en-US"/>
              </w:rPr>
              <w:t xml:space="preserve">1</w:t>
            </w:r>
            <w:r>
              <w:rPr>
                <w:rFonts w:eastAsia="Calibri"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highlight w:val="none"/>
              </w:rPr>
            </w:pPr>
            <w:r>
              <w:rPr>
                <w:color w:val="000000"/>
                <w:spacing w:val="-2"/>
                <w:highlight w:val="none"/>
              </w:rPr>
              <w:t xml:space="preserve">基本服务</w:t>
            </w:r>
            <w:r>
              <w:rPr>
                <w:rFonts w:hint="eastAsia"/>
                <w:color w:val="000000"/>
                <w:highlight w:val="none"/>
              </w:rPr>
            </w:r>
            <w:r/>
          </w:p>
        </w:tc>
        <w:tc>
          <w:tcPr>
            <w:tcW w:w="3633" w:type="dxa"/>
            <w:vAlign w:val="top"/>
            <w:textDirection w:val="lrTb"/>
            <w:noWrap w:val="false"/>
          </w:tcPr>
          <w:p>
            <w:pPr>
              <w:pStyle w:val="800"/>
              <w:jc w:val="center"/>
              <w:rPr>
                <w:rFonts w:ascii="Calibri" w:hAnsi="Calibri" w:cs="Calibri"/>
                <w:color w:val="000000"/>
                <w:highlight w:val="none"/>
                <w:lang w:eastAsia="zh-CN"/>
              </w:rPr>
            </w:pPr>
            <w:r>
              <w:rPr>
                <w:rFonts w:hint="eastAsia"/>
                <w:color w:val="000000"/>
                <w:spacing w:val="-2"/>
                <w:highlight w:val="none"/>
                <w:lang w:eastAsia="zh-CN"/>
              </w:rPr>
              <w:t xml:space="preserve">/</w:t>
            </w:r>
            <w:r>
              <w:rPr>
                <w:rFonts w:ascii="Calibri" w:hAnsi="Calibri" w:cs="Calibri"/>
                <w:color w:val="000000"/>
                <w:highlight w:val="none"/>
                <w:lang w:eastAsia="zh-CN"/>
              </w:rPr>
            </w:r>
            <w:r/>
          </w:p>
        </w:tc>
        <w:tc>
          <w:tcPr>
            <w:tcW w:w="936" w:type="dxa"/>
            <w:vAlign w:val="top"/>
            <w:textDirection w:val="lrTb"/>
            <w:noWrap w:val="false"/>
          </w:tcPr>
          <w:p>
            <w:pPr>
              <w:pStyle w:val="682"/>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90"/>
        </w:trPr>
        <w:tc>
          <w:tcPr>
            <w:tcW w:w="803" w:type="dxa"/>
            <w:vAlign w:val="top"/>
            <w:textDirection w:val="lrTb"/>
            <w:noWrap w:val="false"/>
          </w:tcPr>
          <w:p>
            <w:pPr>
              <w:pStyle w:val="682"/>
              <w:jc w:val="center"/>
              <w:rPr>
                <w:rFonts w:eastAsia="Calibri" w:cs="Calibri"/>
                <w:color w:val="000000"/>
                <w:szCs w:val="21"/>
                <w:highlight w:val="none"/>
                <w:lang w:eastAsia="en-US"/>
              </w:rPr>
            </w:pPr>
            <w:r>
              <w:rPr>
                <w:rFonts w:eastAsia="Calibri" w:cs="Calibri"/>
                <w:color w:val="000000"/>
                <w:szCs w:val="21"/>
                <w:highlight w:val="none"/>
                <w:lang w:eastAsia="en-US"/>
              </w:rPr>
              <w:t xml:space="preserve">2</w:t>
            </w:r>
            <w:r>
              <w:rPr>
                <w:rFonts w:eastAsia="Calibri"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highlight w:val="none"/>
              </w:rPr>
            </w:pPr>
            <w:r>
              <w:rPr>
                <w:color w:val="000000"/>
                <w:spacing w:val="-1"/>
                <w:highlight w:val="none"/>
              </w:rPr>
              <w:t xml:space="preserve">房屋维修服务</w:t>
            </w:r>
            <w:r>
              <w:rPr>
                <w:rFonts w:hint="eastAsia"/>
                <w:color w:val="000000"/>
                <w:highlight w:val="none"/>
              </w:rPr>
            </w:r>
            <w:r/>
          </w:p>
        </w:tc>
        <w:tc>
          <w:tcPr>
            <w:tcW w:w="3633" w:type="dxa"/>
            <w:vAlign w:val="top"/>
            <w:textDirection w:val="lrTb"/>
            <w:noWrap w:val="false"/>
          </w:tcPr>
          <w:p>
            <w:pPr>
              <w:pStyle w:val="800"/>
              <w:jc w:val="center"/>
              <w:rPr>
                <w:rFonts w:ascii="Calibri" w:hAnsi="Calibri" w:cs="Calibri"/>
                <w:color w:val="000000"/>
                <w:highlight w:val="none"/>
                <w:lang w:eastAsia="zh-CN"/>
              </w:rPr>
            </w:pPr>
            <w:r>
              <w:rPr>
                <w:rFonts w:hint="eastAsia" w:ascii="Calibri" w:hAnsi="Calibri" w:cs="Calibri"/>
                <w:color w:val="000000"/>
                <w:highlight w:val="none"/>
                <w:lang w:eastAsia="zh-CN"/>
              </w:rPr>
              <w:t xml:space="preserve">/</w:t>
            </w:r>
            <w:r>
              <w:rPr>
                <w:rFonts w:ascii="Calibri" w:hAnsi="Calibri" w:cs="Calibri"/>
                <w:color w:val="000000"/>
                <w:highlight w:val="none"/>
                <w:lang w:eastAsia="zh-CN"/>
              </w:rPr>
            </w:r>
            <w:r/>
          </w:p>
        </w:tc>
        <w:tc>
          <w:tcPr>
            <w:tcW w:w="936" w:type="dxa"/>
            <w:vAlign w:val="top"/>
            <w:textDirection w:val="lrTb"/>
            <w:noWrap w:val="false"/>
          </w:tcPr>
          <w:p>
            <w:pPr>
              <w:pStyle w:val="682"/>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682"/>
              <w:jc w:val="center"/>
              <w:rPr>
                <w:rFonts w:eastAsia="Calibri" w:cs="Calibri"/>
                <w:color w:val="000000"/>
                <w:szCs w:val="21"/>
                <w:highlight w:val="none"/>
                <w:lang w:eastAsia="en-US"/>
              </w:rPr>
            </w:pPr>
            <w:r>
              <w:rPr>
                <w:rFonts w:eastAsia="Calibri" w:cs="Calibri"/>
                <w:color w:val="000000"/>
                <w:szCs w:val="21"/>
                <w:highlight w:val="none"/>
                <w:lang w:eastAsia="en-US"/>
              </w:rPr>
              <w:t xml:space="preserve">3</w:t>
            </w:r>
            <w:r>
              <w:rPr>
                <w:rFonts w:eastAsia="Calibri"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highlight w:val="none"/>
                <w:lang w:eastAsia="zh-CN"/>
              </w:rPr>
            </w:pPr>
            <w:r>
              <w:rPr>
                <w:color w:val="000000"/>
                <w:spacing w:val="-2"/>
                <w:highlight w:val="none"/>
                <w:lang w:eastAsia="zh-CN"/>
              </w:rPr>
              <w:t xml:space="preserve">公用设施设备维护服务</w:t>
            </w:r>
            <w:r>
              <w:rPr>
                <w:rFonts w:hint="eastAsia"/>
                <w:color w:val="000000"/>
                <w:highlight w:val="none"/>
                <w:lang w:eastAsia="zh-CN"/>
              </w:rPr>
            </w:r>
            <w:r/>
          </w:p>
        </w:tc>
        <w:tc>
          <w:tcPr>
            <w:tcW w:w="3633" w:type="dxa"/>
            <w:vAlign w:val="top"/>
            <w:textDirection w:val="lrTb"/>
            <w:noWrap w:val="false"/>
          </w:tcPr>
          <w:p>
            <w:pPr>
              <w:pStyle w:val="800"/>
              <w:jc w:val="center"/>
              <w:rPr>
                <w:rFonts w:ascii="Calibri" w:hAnsi="Calibri" w:cs="Calibri"/>
                <w:color w:val="000000"/>
                <w:highlight w:val="none"/>
                <w:lang w:eastAsia="zh-CN"/>
              </w:rPr>
            </w:pPr>
            <w:r>
              <w:rPr>
                <w:rFonts w:hint="eastAsia" w:ascii="Calibri" w:hAnsi="Calibri" w:cs="Calibri"/>
                <w:color w:val="000000"/>
                <w:highlight w:val="none"/>
                <w:lang w:eastAsia="zh-CN"/>
              </w:rPr>
              <w:t xml:space="preserve">/</w:t>
            </w:r>
            <w:r>
              <w:rPr>
                <w:rFonts w:ascii="Calibri" w:hAnsi="Calibri" w:cs="Calibri"/>
                <w:color w:val="000000"/>
                <w:highlight w:val="none"/>
                <w:lang w:eastAsia="zh-CN"/>
              </w:rPr>
            </w:r>
            <w:r/>
          </w:p>
        </w:tc>
        <w:tc>
          <w:tcPr>
            <w:tcW w:w="936" w:type="dxa"/>
            <w:vAlign w:val="top"/>
            <w:textDirection w:val="lrTb"/>
            <w:noWrap w:val="false"/>
          </w:tcPr>
          <w:p>
            <w:pPr>
              <w:pStyle w:val="682"/>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682"/>
              <w:jc w:val="center"/>
              <w:rPr>
                <w:rFonts w:eastAsia="Calibri" w:cs="Calibri"/>
                <w:color w:val="000000"/>
                <w:szCs w:val="21"/>
                <w:highlight w:val="none"/>
                <w:lang w:eastAsia="en-US"/>
              </w:rPr>
            </w:pPr>
            <w:r>
              <w:rPr>
                <w:rFonts w:eastAsia="Calibri" w:cs="Calibri"/>
                <w:color w:val="000000"/>
                <w:szCs w:val="21"/>
                <w:highlight w:val="none"/>
                <w:lang w:eastAsia="en-US"/>
              </w:rPr>
              <w:t xml:space="preserve">4</w:t>
            </w:r>
            <w:r>
              <w:rPr>
                <w:rFonts w:eastAsia="Calibri"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highlight w:val="none"/>
              </w:rPr>
            </w:pPr>
            <w:r>
              <w:rPr>
                <w:color w:val="000000"/>
                <w:spacing w:val="-2"/>
                <w:highlight w:val="none"/>
              </w:rPr>
              <w:t xml:space="preserve">保洁服务</w:t>
            </w:r>
            <w:r>
              <w:rPr>
                <w:rFonts w:hint="eastAsia"/>
                <w:color w:val="000000"/>
                <w:highlight w:val="none"/>
              </w:rPr>
            </w:r>
            <w:r/>
          </w:p>
        </w:tc>
        <w:tc>
          <w:tcPr>
            <w:tcW w:w="3633" w:type="dxa"/>
            <w:vAlign w:val="top"/>
            <w:textDirection w:val="lrTb"/>
            <w:noWrap w:val="false"/>
          </w:tcPr>
          <w:p>
            <w:pPr>
              <w:pStyle w:val="800"/>
              <w:jc w:val="center"/>
              <w:rPr>
                <w:rFonts w:ascii="Calibri" w:hAnsi="Calibri" w:cs="Calibri"/>
                <w:color w:val="000000"/>
                <w:highlight w:val="none"/>
                <w:lang w:eastAsia="zh-CN"/>
              </w:rPr>
            </w:pPr>
            <w:r>
              <w:rPr>
                <w:rFonts w:hint="eastAsia" w:ascii="Calibri" w:hAnsi="Calibri" w:cs="Calibri"/>
                <w:color w:val="000000"/>
                <w:highlight w:val="none"/>
                <w:lang w:eastAsia="zh-CN"/>
              </w:rPr>
              <w:t xml:space="preserve">/</w:t>
            </w:r>
            <w:r>
              <w:rPr>
                <w:rFonts w:ascii="Calibri" w:hAnsi="Calibri" w:cs="Calibri"/>
                <w:color w:val="000000"/>
                <w:highlight w:val="none"/>
                <w:lang w:eastAsia="zh-CN"/>
              </w:rPr>
            </w:r>
            <w:r/>
          </w:p>
        </w:tc>
        <w:tc>
          <w:tcPr>
            <w:tcW w:w="936" w:type="dxa"/>
            <w:vAlign w:val="top"/>
            <w:textDirection w:val="lrTb"/>
            <w:noWrap w:val="false"/>
          </w:tcPr>
          <w:p>
            <w:pPr>
              <w:pStyle w:val="682"/>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43"/>
        </w:trPr>
        <w:tc>
          <w:tcPr>
            <w:tcW w:w="803" w:type="dxa"/>
            <w:vAlign w:val="top"/>
            <w:textDirection w:val="lrTb"/>
            <w:noWrap w:val="false"/>
          </w:tcPr>
          <w:p>
            <w:pPr>
              <w:pStyle w:val="682"/>
              <w:jc w:val="center"/>
              <w:rPr>
                <w:rFonts w:eastAsia="Calibri" w:cs="Calibri"/>
                <w:color w:val="000000"/>
                <w:szCs w:val="21"/>
                <w:highlight w:val="none"/>
                <w:lang w:eastAsia="en-US"/>
              </w:rPr>
            </w:pPr>
            <w:r>
              <w:rPr>
                <w:rFonts w:eastAsia="Calibri" w:cs="Calibri"/>
                <w:color w:val="000000"/>
                <w:szCs w:val="21"/>
                <w:highlight w:val="none"/>
                <w:lang w:eastAsia="en-US"/>
              </w:rPr>
              <w:t xml:space="preserve">5</w:t>
            </w:r>
            <w:r>
              <w:rPr>
                <w:rFonts w:eastAsia="Calibri"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highlight w:val="none"/>
              </w:rPr>
            </w:pPr>
            <w:r>
              <w:rPr>
                <w:color w:val="000000"/>
                <w:spacing w:val="-2"/>
                <w:highlight w:val="none"/>
              </w:rPr>
              <w:t xml:space="preserve">绿化服务</w:t>
            </w:r>
            <w:r>
              <w:rPr>
                <w:rFonts w:hint="eastAsia"/>
                <w:color w:val="000000"/>
                <w:highlight w:val="none"/>
              </w:rPr>
            </w:r>
            <w:r/>
          </w:p>
        </w:tc>
        <w:tc>
          <w:tcPr>
            <w:tcW w:w="3633" w:type="dxa"/>
            <w:vAlign w:val="top"/>
            <w:textDirection w:val="lrTb"/>
            <w:noWrap w:val="false"/>
          </w:tcPr>
          <w:p>
            <w:pPr>
              <w:pStyle w:val="800"/>
              <w:jc w:val="center"/>
              <w:rPr>
                <w:rFonts w:ascii="Calibri" w:hAnsi="Calibri" w:cs="Calibri"/>
                <w:color w:val="000000"/>
                <w:highlight w:val="none"/>
                <w:lang w:eastAsia="zh-CN"/>
              </w:rPr>
            </w:pPr>
            <w:r>
              <w:rPr>
                <w:rFonts w:hint="eastAsia" w:ascii="Calibri" w:hAnsi="Calibri" w:cs="Calibri"/>
                <w:color w:val="000000"/>
                <w:highlight w:val="none"/>
                <w:lang w:eastAsia="zh-CN"/>
              </w:rPr>
              <w:t xml:space="preserve">/</w:t>
            </w:r>
            <w:r>
              <w:rPr>
                <w:rFonts w:ascii="Calibri" w:hAnsi="Calibri" w:cs="Calibri"/>
                <w:color w:val="000000"/>
                <w:highlight w:val="none"/>
                <w:lang w:eastAsia="zh-CN"/>
              </w:rPr>
            </w:r>
            <w:r/>
          </w:p>
        </w:tc>
        <w:tc>
          <w:tcPr>
            <w:tcW w:w="936" w:type="dxa"/>
            <w:vAlign w:val="top"/>
            <w:textDirection w:val="lrTb"/>
            <w:noWrap w:val="false"/>
          </w:tcPr>
          <w:p>
            <w:pPr>
              <w:pStyle w:val="682"/>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682"/>
              <w:jc w:val="center"/>
              <w:rPr>
                <w:rFonts w:eastAsia="Calibri" w:cs="Calibri"/>
                <w:color w:val="000000"/>
                <w:szCs w:val="21"/>
                <w:highlight w:val="none"/>
                <w:lang w:eastAsia="en-US"/>
              </w:rPr>
            </w:pPr>
            <w:r>
              <w:rPr>
                <w:rFonts w:eastAsia="Calibri" w:cs="Calibri"/>
                <w:color w:val="000000"/>
                <w:szCs w:val="21"/>
                <w:highlight w:val="none"/>
                <w:lang w:eastAsia="en-US"/>
              </w:rPr>
              <w:t xml:space="preserve">6</w:t>
            </w:r>
            <w:r>
              <w:rPr>
                <w:rFonts w:eastAsia="Calibri"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highlight w:val="none"/>
              </w:rPr>
            </w:pPr>
            <w:r>
              <w:rPr>
                <w:color w:val="000000"/>
                <w:spacing w:val="-2"/>
                <w:highlight w:val="none"/>
              </w:rPr>
              <w:t xml:space="preserve">保安服务</w:t>
            </w:r>
            <w:r>
              <w:rPr>
                <w:rFonts w:hint="eastAsia"/>
                <w:color w:val="000000"/>
                <w:highlight w:val="none"/>
              </w:rPr>
            </w:r>
            <w:r/>
          </w:p>
        </w:tc>
        <w:tc>
          <w:tcPr>
            <w:tcW w:w="3633" w:type="dxa"/>
            <w:vAlign w:val="top"/>
            <w:textDirection w:val="lrTb"/>
            <w:noWrap w:val="false"/>
          </w:tcPr>
          <w:p>
            <w:pPr>
              <w:pStyle w:val="800"/>
              <w:jc w:val="center"/>
              <w:rPr>
                <w:rFonts w:hint="eastAsia"/>
                <w:color w:val="000000"/>
                <w:highlight w:val="none"/>
              </w:rPr>
            </w:pPr>
            <w:r>
              <w:rPr>
                <w:rFonts w:hint="eastAsia" w:ascii="Calibri" w:hAnsi="Calibri" w:cs="Calibri"/>
                <w:color w:val="000000"/>
                <w:highlight w:val="none"/>
                <w:lang w:eastAsia="zh-CN"/>
              </w:rPr>
              <w:t xml:space="preserve">/</w:t>
            </w:r>
            <w:r>
              <w:rPr>
                <w:rFonts w:hint="eastAsia"/>
                <w:color w:val="000000"/>
                <w:highlight w:val="none"/>
              </w:rPr>
            </w:r>
            <w:r/>
          </w:p>
        </w:tc>
        <w:tc>
          <w:tcPr>
            <w:tcW w:w="936" w:type="dxa"/>
            <w:vAlign w:val="top"/>
            <w:textDirection w:val="lrTb"/>
            <w:noWrap w:val="false"/>
          </w:tcPr>
          <w:p>
            <w:pPr>
              <w:pStyle w:val="682"/>
              <w:jc w:val="center"/>
              <w:rPr>
                <w:rFonts w:cs="Calibri"/>
                <w:color w:val="000000"/>
                <w:szCs w:val="21"/>
                <w:highlight w:val="none"/>
                <w:lang w:eastAsia="en-US"/>
              </w:rPr>
            </w:pPr>
            <w:r>
              <w:rPr>
                <w:rFonts w:hint="eastAsia" w:cs="Arial"/>
                <w:color w:val="000000"/>
                <w:spacing w:val="-2"/>
                <w:highlight w:val="none"/>
                <w:lang w:eastAsia="en-US"/>
              </w:rPr>
              <w:t xml:space="preserve">/</w:t>
            </w:r>
            <w:r>
              <w:rPr>
                <w:rFonts w:cs="Calibri"/>
                <w:color w:val="000000"/>
                <w:szCs w:val="21"/>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682"/>
              <w:jc w:val="center"/>
              <w:rPr>
                <w:rFonts w:eastAsia="Calibri" w:cs="Calibri"/>
                <w:color w:val="000000"/>
                <w:szCs w:val="21"/>
                <w:highlight w:val="none"/>
                <w:lang w:eastAsia="en-US"/>
              </w:rPr>
            </w:pPr>
            <w:r>
              <w:rPr>
                <w:rFonts w:eastAsia="Calibri" w:cs="Calibri"/>
                <w:color w:val="000000"/>
                <w:szCs w:val="21"/>
                <w:highlight w:val="none"/>
                <w:lang w:eastAsia="en-US"/>
              </w:rPr>
              <w:t xml:space="preserve">7</w:t>
            </w:r>
            <w:r>
              <w:rPr>
                <w:rFonts w:eastAsia="Calibri"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highlight w:val="none"/>
              </w:rPr>
            </w:pPr>
            <w:r>
              <w:rPr>
                <w:color w:val="000000"/>
                <w:spacing w:val="-1"/>
                <w:highlight w:val="none"/>
              </w:rPr>
              <w:t xml:space="preserve">会议服务</w:t>
            </w:r>
            <w:r>
              <w:rPr>
                <w:rFonts w:hint="eastAsia"/>
                <w:color w:val="000000"/>
                <w:highlight w:val="none"/>
              </w:rPr>
            </w:r>
            <w:r/>
          </w:p>
        </w:tc>
        <w:tc>
          <w:tcPr>
            <w:tcW w:w="3633" w:type="dxa"/>
            <w:vAlign w:val="top"/>
            <w:textDirection w:val="lrTb"/>
            <w:noWrap w:val="false"/>
          </w:tcPr>
          <w:p>
            <w:pPr>
              <w:pStyle w:val="800"/>
              <w:jc w:val="center"/>
              <w:rPr>
                <w:rFonts w:hint="eastAsia"/>
                <w:color w:val="000000"/>
                <w:highlight w:val="none"/>
              </w:rPr>
            </w:pPr>
            <w:r>
              <w:rPr>
                <w:rFonts w:hint="eastAsia" w:ascii="Calibri" w:hAnsi="Calibri" w:cs="Calibri"/>
                <w:color w:val="000000"/>
                <w:highlight w:val="none"/>
                <w:lang w:eastAsia="zh-CN"/>
              </w:rPr>
              <w:t xml:space="preserve">/</w:t>
            </w:r>
            <w:r>
              <w:rPr>
                <w:rFonts w:hint="eastAsia"/>
                <w:color w:val="000000"/>
                <w:highlight w:val="none"/>
              </w:rPr>
            </w:r>
            <w:r/>
          </w:p>
        </w:tc>
        <w:tc>
          <w:tcPr>
            <w:tcW w:w="936" w:type="dxa"/>
            <w:vAlign w:val="top"/>
            <w:textDirection w:val="lrTb"/>
            <w:noWrap w:val="false"/>
          </w:tcPr>
          <w:p>
            <w:pPr>
              <w:pStyle w:val="682"/>
              <w:jc w:val="center"/>
              <w:rPr>
                <w:rFonts w:eastAsia="Calibri" w:cs="Calibri"/>
                <w:color w:val="000000"/>
                <w:highlight w:val="none"/>
                <w:lang w:eastAsia="en-US"/>
              </w:rPr>
            </w:pPr>
            <w:r>
              <w:rPr>
                <w:rFonts w:hint="eastAsia" w:cs="Arial"/>
                <w:color w:val="000000"/>
                <w:spacing w:val="-2"/>
                <w:highlight w:val="none"/>
                <w:lang w:eastAsia="en-US"/>
              </w:rPr>
              <w:t xml:space="preserve">/</w:t>
            </w:r>
            <w:r>
              <w:rPr>
                <w:rFonts w:eastAsia="Calibri" w:cs="Calibri"/>
                <w:color w:val="000000"/>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682"/>
              <w:jc w:val="center"/>
              <w:rPr>
                <w:rFonts w:cs="Calibri"/>
                <w:color w:val="000000"/>
                <w:szCs w:val="21"/>
                <w:highlight w:val="none"/>
                <w:lang w:eastAsia="en-US"/>
              </w:rPr>
            </w:pPr>
            <w:r>
              <w:rPr>
                <w:rFonts w:hint="eastAsia" w:cs="Calibri"/>
                <w:color w:val="000000"/>
                <w:szCs w:val="21"/>
                <w:highlight w:val="none"/>
                <w:lang w:eastAsia="en-US"/>
              </w:rPr>
              <w:t xml:space="preserve">8</w:t>
            </w:r>
            <w:r>
              <w:rPr>
                <w:rFonts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spacing w:val="-1"/>
                <w:highlight w:val="none"/>
                <w:lang w:eastAsia="zh-CN"/>
              </w:rPr>
            </w:pPr>
            <w:r>
              <w:rPr>
                <w:rFonts w:hint="eastAsia"/>
                <w:color w:val="000000"/>
                <w:spacing w:val="-1"/>
                <w:highlight w:val="none"/>
              </w:rPr>
              <w:t xml:space="preserve">突发防爆</w:t>
            </w:r>
            <w:r>
              <w:rPr>
                <w:rFonts w:hint="eastAsia"/>
                <w:color w:val="000000"/>
                <w:spacing w:val="-1"/>
                <w:highlight w:val="none"/>
                <w:lang w:eastAsia="zh-CN"/>
              </w:rPr>
            </w:r>
            <w:r/>
          </w:p>
        </w:tc>
        <w:tc>
          <w:tcPr>
            <w:tcW w:w="3633" w:type="dxa"/>
            <w:vAlign w:val="top"/>
            <w:textDirection w:val="lrTb"/>
            <w:noWrap w:val="false"/>
          </w:tcPr>
          <w:p>
            <w:pPr>
              <w:pStyle w:val="800"/>
              <w:jc w:val="center"/>
              <w:rPr>
                <w:rFonts w:hint="eastAsia"/>
                <w:color w:val="000000"/>
                <w:spacing w:val="-2"/>
                <w:highlight w:val="none"/>
                <w:lang w:eastAsia="zh-CN"/>
              </w:rPr>
            </w:pPr>
            <w:r>
              <w:rPr>
                <w:rFonts w:hint="eastAsia" w:ascii="Calibri" w:hAnsi="Calibri" w:cs="Calibri"/>
                <w:color w:val="000000"/>
                <w:highlight w:val="none"/>
                <w:lang w:eastAsia="zh-CN"/>
              </w:rPr>
              <w:t xml:space="preserve">/</w:t>
            </w:r>
            <w:r>
              <w:rPr>
                <w:rFonts w:hint="eastAsia"/>
                <w:color w:val="000000"/>
                <w:spacing w:val="-2"/>
                <w:highlight w:val="none"/>
                <w:lang w:eastAsia="zh-CN"/>
              </w:rPr>
            </w:r>
            <w:r/>
          </w:p>
        </w:tc>
        <w:tc>
          <w:tcPr>
            <w:tcW w:w="936" w:type="dxa"/>
            <w:vAlign w:val="top"/>
            <w:textDirection w:val="lrTb"/>
            <w:noWrap w:val="false"/>
          </w:tcPr>
          <w:p>
            <w:pPr>
              <w:pStyle w:val="682"/>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bl>
    <w:p>
      <w:pPr>
        <w:pStyle w:val="682"/>
        <w:spacing w:line="360" w:lineRule="auto"/>
        <w:rPr>
          <w:rFonts w:hint="eastAsia" w:ascii="宋体" w:hAnsi="宋体"/>
          <w:color w:val="000000"/>
          <w:sz w:val="24"/>
          <w:highlight w:val="none"/>
        </w:rPr>
      </w:pPr>
      <w:r>
        <w:rPr>
          <w:rFonts w:hint="eastAsia" w:ascii="宋体" w:hAnsi="宋体"/>
          <w:color w:val="000000"/>
          <w:sz w:val="24"/>
          <w:highlight w:val="none"/>
        </w:rPr>
        <w:t xml:space="preserve">注：采购人已无偿提供的作业设备，或准备放置评分项中作考察的，不在此重复要求。</w:t>
      </w:r>
      <w:r>
        <w:rPr>
          <w:rFonts w:hint="eastAsia" w:ascii="宋体" w:hAnsi="宋体"/>
          <w:color w:val="000000"/>
          <w:sz w:val="24"/>
          <w:highlight w:val="none"/>
        </w:rPr>
      </w:r>
      <w:r/>
    </w:p>
    <w:p>
      <w:pPr>
        <w:pStyle w:val="68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82"/>
        <w:numPr>
          <w:ilvl w:val="0"/>
          <w:numId w:val="7"/>
        </w:numPr>
        <w:ind w:firstLine="482"/>
        <w:spacing w:line="360" w:lineRule="auto"/>
        <w:tabs>
          <w:tab w:val="left" w:pos="312" w:leader="none"/>
        </w:tabs>
        <w:rPr>
          <w:rFonts w:hint="eastAsia" w:ascii="宋体" w:hAnsi="宋体"/>
          <w:b/>
          <w:color w:val="000000"/>
          <w:sz w:val="24"/>
          <w:highlight w:val="none"/>
        </w:rPr>
      </w:pPr>
      <w:r>
        <w:rPr>
          <w:rFonts w:hint="eastAsia" w:ascii="宋体" w:hAnsi="宋体"/>
          <w:b/>
          <w:color w:val="000000"/>
          <w:sz w:val="24"/>
          <w:highlight w:val="none"/>
        </w:rPr>
        <w:t xml:space="preserve">物业管理服务人员需求</w:t>
      </w:r>
      <w:r>
        <w:rPr>
          <w:rFonts w:hint="eastAsia" w:ascii="宋体" w:hAnsi="宋体"/>
          <w:b/>
          <w:color w:val="000000"/>
          <w:sz w:val="24"/>
          <w:highlight w:val="none"/>
        </w:rPr>
      </w:r>
      <w:r/>
    </w:p>
    <w:p>
      <w:pPr>
        <w:pStyle w:val="682"/>
        <w:ind w:firstLine="480"/>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本项目是否允许配置按国家规定可不缴纳社保的人员（是/否）：</w:t>
      </w:r>
      <w:r>
        <w:rPr>
          <w:rFonts w:hint="eastAsia" w:ascii="宋体" w:hAnsi="宋体"/>
          <w:color w:val="000000"/>
          <w:sz w:val="24"/>
          <w:highlight w:val="none"/>
          <w:u w:val="single"/>
        </w:rPr>
        <w:t xml:space="preserve">是</w:t>
      </w:r>
      <w:r>
        <w:rPr>
          <w:rFonts w:hint="eastAsia" w:ascii="宋体" w:hAnsi="宋体"/>
          <w:color w:val="000000"/>
          <w:sz w:val="24"/>
          <w:highlight w:val="none"/>
          <w:u w:val="single"/>
        </w:rPr>
      </w:r>
      <w:r/>
    </w:p>
    <w:p>
      <w:pPr>
        <w:pStyle w:val="682"/>
        <w:ind w:firstLine="480"/>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如允许配置，</w:t>
      </w:r>
      <w:r>
        <w:rPr>
          <w:rFonts w:hint="eastAsia" w:ascii="宋体" w:hAnsi="宋体"/>
          <w:color w:val="000000"/>
          <w:sz w:val="24"/>
          <w:highlight w:val="none"/>
          <w:lang w:eastAsia="zh-CN"/>
        </w:rPr>
        <w:t xml:space="preserve">缴纳社保人员数量不低于本项目总配置人数的</w:t>
      </w:r>
      <w:r>
        <w:rPr>
          <w:rFonts w:hint="eastAsia" w:ascii="宋体" w:hAnsi="宋体"/>
          <w:color w:val="000000"/>
          <w:sz w:val="24"/>
          <w:highlight w:val="none"/>
          <w:lang w:val="en-US" w:eastAsia="zh-CN"/>
        </w:rPr>
        <w:t xml:space="preserve">20%。</w:t>
      </w:r>
      <w:r>
        <w:rPr>
          <w:rFonts w:hint="eastAsia" w:ascii="宋体" w:hAnsi="宋体"/>
          <w:color w:val="000000"/>
          <w:sz w:val="24"/>
          <w:highlight w:val="none"/>
          <w:u w:val="single"/>
        </w:rPr>
      </w:r>
      <w:r/>
    </w:p>
    <w:tbl>
      <w:tblPr>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0"/>
        <w:gridCol w:w="785"/>
        <w:gridCol w:w="6809"/>
      </w:tblGrid>
      <w:tr>
        <w:trPr>
          <w:trHeight w:val="889"/>
        </w:trPr>
        <w:tc>
          <w:tcPr>
            <w:tcW w:w="870" w:type="dxa"/>
            <w:vAlign w:val="center"/>
            <w:textDirection w:val="lrTb"/>
            <w:noWrap/>
          </w:tcPr>
          <w:p>
            <w:pPr>
              <w:pStyle w:val="682"/>
              <w:jc w:val="center"/>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en-US"/>
              </w:rPr>
              <w:t xml:space="preserve">类别</w:t>
            </w:r>
            <w:r>
              <w:rPr>
                <w:rFonts w:hint="eastAsia" w:ascii="微软雅黑" w:hAnsi="微软雅黑" w:eastAsia="微软雅黑" w:cs="微软雅黑"/>
                <w:color w:val="000000"/>
                <w:szCs w:val="21"/>
                <w:highlight w:val="none"/>
                <w:lang w:eastAsia="en-US"/>
              </w:rPr>
            </w:r>
            <w:r/>
          </w:p>
        </w:tc>
        <w:tc>
          <w:tcPr>
            <w:tcW w:w="970" w:type="dxa"/>
            <w:vAlign w:val="center"/>
            <w:textDirection w:val="lrTb"/>
            <w:noWrap/>
          </w:tcPr>
          <w:p>
            <w:pPr>
              <w:pStyle w:val="682"/>
              <w:jc w:val="center"/>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en-US"/>
              </w:rPr>
              <w:t xml:space="preserve">岗位</w:t>
            </w:r>
            <w:r>
              <w:rPr>
                <w:rFonts w:hint="eastAsia" w:ascii="微软雅黑" w:hAnsi="微软雅黑" w:eastAsia="微软雅黑" w:cs="微软雅黑"/>
                <w:color w:val="000000"/>
                <w:szCs w:val="21"/>
                <w:highlight w:val="none"/>
                <w:lang w:eastAsia="en-US"/>
              </w:rPr>
            </w:r>
            <w:r/>
          </w:p>
        </w:tc>
        <w:tc>
          <w:tcPr>
            <w:tcW w:w="785" w:type="dxa"/>
            <w:vAlign w:val="center"/>
            <w:textDirection w:val="lrTb"/>
            <w:noWrap/>
          </w:tcPr>
          <w:p>
            <w:pPr>
              <w:pStyle w:val="682"/>
              <w:jc w:val="center"/>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en-US"/>
              </w:rPr>
              <w:t xml:space="preserve">人数</w:t>
            </w:r>
            <w:r>
              <w:rPr>
                <w:rFonts w:hint="eastAsia" w:ascii="微软雅黑" w:hAnsi="微软雅黑" w:eastAsia="微软雅黑" w:cs="微软雅黑"/>
                <w:color w:val="000000"/>
                <w:szCs w:val="21"/>
                <w:highlight w:val="none"/>
                <w:lang w:eastAsia="en-US"/>
              </w:rPr>
            </w:r>
            <w:r/>
          </w:p>
        </w:tc>
        <w:tc>
          <w:tcPr>
            <w:tcW w:w="6809" w:type="dxa"/>
            <w:vAlign w:val="center"/>
            <w:textDirection w:val="lrTb"/>
            <w:noWrap/>
          </w:tcPr>
          <w:p>
            <w:pPr>
              <w:pStyle w:val="682"/>
              <w:jc w:val="center"/>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en-US"/>
              </w:rPr>
              <w:t xml:space="preserve">备注</w:t>
            </w:r>
            <w:r>
              <w:rPr>
                <w:rFonts w:hint="eastAsia" w:ascii="微软雅黑" w:hAnsi="微软雅黑" w:eastAsia="微软雅黑" w:cs="微软雅黑"/>
                <w:color w:val="000000"/>
                <w:szCs w:val="21"/>
                <w:highlight w:val="none"/>
                <w:lang w:eastAsia="en-US"/>
              </w:rPr>
            </w:r>
            <w:r/>
          </w:p>
        </w:tc>
      </w:tr>
      <w:tr>
        <w:trPr/>
        <w:tc>
          <w:tcPr>
            <w:tcW w:w="870" w:type="dxa"/>
            <w:vAlign w:val="center"/>
            <w:vMerge w:val="restart"/>
            <w:textDirection w:val="lrTb"/>
            <w:noWrap/>
          </w:tcPr>
          <w:p>
            <w:pPr>
              <w:pStyle w:val="682"/>
              <w:jc w:val="center"/>
              <w:widowControl/>
              <w:rPr>
                <w:rFonts w:hint="eastAsia" w:ascii="宋体" w:hAnsi="宋体" w:cs="宋体"/>
                <w:b/>
                <w:bCs/>
                <w:color w:val="000000"/>
                <w:szCs w:val="21"/>
                <w:highlight w:val="none"/>
                <w:lang w:eastAsia="en-US"/>
              </w:rPr>
            </w:pPr>
            <w:r>
              <w:rPr>
                <w:rFonts w:ascii="宋体" w:hAnsi="宋体" w:cs="宋体"/>
                <w:b/>
                <w:bCs/>
                <w:color w:val="000000"/>
                <w:szCs w:val="21"/>
                <w:highlight w:val="none"/>
                <w:lang w:eastAsia="en-US"/>
              </w:rPr>
              <w:t xml:space="preserve">管理</w:t>
            </w:r>
            <w:r>
              <w:rPr>
                <w:rFonts w:hint="eastAsia" w:ascii="宋体" w:hAnsi="宋体" w:cs="宋体"/>
                <w:b/>
                <w:bCs/>
                <w:color w:val="000000"/>
                <w:szCs w:val="21"/>
                <w:highlight w:val="none"/>
                <w:lang w:eastAsia="en-US"/>
              </w:rPr>
            </w:r>
            <w:r/>
          </w:p>
        </w:tc>
        <w:tc>
          <w:tcPr>
            <w:tcW w:w="970" w:type="dxa"/>
            <w:vAlign w:val="center"/>
            <w:textDirection w:val="lrTb"/>
            <w:noWrap/>
          </w:tcPr>
          <w:p>
            <w:pPr>
              <w:pStyle w:val="682"/>
              <w:jc w:val="center"/>
              <w:widowControl/>
              <w:rPr>
                <w:rFonts w:eastAsia="Calibri" w:cs="Calibri"/>
                <w:b/>
                <w:bCs/>
                <w:color w:val="000000"/>
                <w:szCs w:val="21"/>
                <w:highlight w:val="none"/>
                <w:lang w:eastAsia="en-US"/>
              </w:rPr>
            </w:pPr>
            <w:r>
              <w:rPr>
                <w:rFonts w:hint="eastAsia" w:cs="Calibri"/>
                <w:b/>
                <w:bCs/>
                <w:color w:val="000000"/>
                <w:szCs w:val="21"/>
                <w:highlight w:val="none"/>
              </w:rPr>
              <w:t xml:space="preserve">项目</w:t>
            </w:r>
            <w:r>
              <w:rPr>
                <w:rFonts w:hint="eastAsia" w:eastAsia="Calibri" w:cs="Calibri"/>
                <w:b/>
                <w:bCs/>
                <w:color w:val="000000"/>
                <w:szCs w:val="21"/>
                <w:highlight w:val="none"/>
                <w:lang w:eastAsia="en-US"/>
              </w:rPr>
              <w:t xml:space="preserve">经理</w:t>
            </w:r>
            <w:r>
              <w:rPr>
                <w:rFonts w:eastAsia="Calibri" w:cs="Calibri"/>
                <w:b/>
                <w:bCs/>
                <w:color w:val="000000"/>
                <w:szCs w:val="21"/>
                <w:highlight w:val="none"/>
                <w:lang w:eastAsia="en-US"/>
              </w:rPr>
            </w:r>
            <w:r/>
          </w:p>
        </w:tc>
        <w:tc>
          <w:tcPr>
            <w:tcW w:w="785" w:type="dxa"/>
            <w:vAlign w:val="center"/>
            <w:textDirection w:val="lrTb"/>
            <w:noWrap/>
          </w:tcPr>
          <w:p>
            <w:pPr>
              <w:pStyle w:val="682"/>
              <w:jc w:val="center"/>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1</w:t>
            </w:r>
            <w:r>
              <w:rPr>
                <w:rFonts w:ascii="Arial" w:hAnsi="Arial" w:cs="Calibri"/>
                <w:b/>
                <w:bCs/>
                <w:color w:val="000000"/>
                <w:szCs w:val="21"/>
                <w:highlight w:val="none"/>
                <w:lang w:eastAsia="en-US"/>
              </w:rPr>
            </w:r>
            <w:r/>
          </w:p>
        </w:tc>
        <w:tc>
          <w:tcPr>
            <w:tcW w:w="6809" w:type="dxa"/>
            <w:vAlign w:val="center"/>
            <w:textDirection w:val="lrTb"/>
            <w:noWrap/>
          </w:tcPr>
          <w:p>
            <w:pPr>
              <w:pStyle w:val="682"/>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1、基本要求：男女不限，男性不超过63周岁，女性不超过58周岁</w:t>
            </w:r>
            <w:r>
              <w:rPr>
                <w:rFonts w:hint="eastAsia" w:ascii="宋体" w:hAnsi="宋体" w:cs="宋体"/>
                <w:color w:val="000000"/>
                <w:szCs w:val="21"/>
                <w:highlight w:val="none"/>
              </w:rPr>
              <w:t xml:space="preserve">。本项目的物业负责人不能任意更换，如确需更换，应取得甲方书面认可，并且更换的新的物业经理的要求不低于原负责人。</w:t>
            </w:r>
            <w:r>
              <w:rPr>
                <w:rFonts w:hint="eastAsia" w:ascii="宋体" w:hAnsi="宋体" w:cs="宋体"/>
                <w:color w:val="000000"/>
                <w:szCs w:val="21"/>
                <w:highlight w:val="none"/>
              </w:rPr>
            </w:r>
            <w:r/>
          </w:p>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（1）主持物业管理人员的招聘、面试工作，具备相当的组织管理能力；</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（2）领导项目物业管理团队做好物业竣工前施工现场及租售处的物业管理，能够为物业管理人员提供日常培训；</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（3）定期与委托方代表展开前期物业工作会议；主持制订、完善物业管理规章制度及流程；</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（4）协助选择合适的物业保险及其他需要外包的物业管理服务供应商；协助物业管理费标准的确定；</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（5）领导项目物业管理团队做好装修改造、保安、清洁、工程设施维护保养等日常管理服务；</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（6）定期主持业主对物业服务之满意度调查，并能够根据反馈，在提供给业主的服务项目及质量上，不断提高；</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（7）具备良好的沟通协调能力，能够与委托方、业主保持良好的关系；</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（8）协助统筹物管的人事及财务管理，能够良好执行年度财务预算计划；</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（9）对外推广物业的优质服务和管理形象；能够不断完善物管制度及管理体系，并对物业管理人员提供定期培训。</w:t>
            </w:r>
            <w:r>
              <w:rPr>
                <w:rFonts w:hint="eastAsia" w:ascii="宋体" w:hAnsi="宋体" w:cs="宋体"/>
                <w:color w:val="000000"/>
                <w:szCs w:val="21"/>
                <w:highlight w:val="none"/>
              </w:rPr>
            </w:r>
            <w:r/>
          </w:p>
        </w:tc>
      </w:tr>
      <w:tr>
        <w:trPr>
          <w:trHeight w:val="90"/>
        </w:trPr>
        <w:tc>
          <w:tcPr>
            <w:tcW w:w="870" w:type="dxa"/>
            <w:vAlign w:val="top"/>
            <w:vMerge w:val="continue"/>
            <w:textDirection w:val="lrTb"/>
            <w:noWrap/>
          </w:tcPr>
          <w:p>
            <w:pPr>
              <w:pStyle w:val="68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970" w:type="dxa"/>
            <w:vAlign w:val="center"/>
            <w:textDirection w:val="lrTb"/>
            <w:noWrap/>
          </w:tcPr>
          <w:p>
            <w:pPr>
              <w:pStyle w:val="682"/>
              <w:jc w:val="center"/>
              <w:widowControl/>
              <w:rPr>
                <w:rFonts w:cs="Calibri"/>
                <w:b/>
                <w:bCs/>
                <w:color w:val="000000"/>
                <w:szCs w:val="21"/>
                <w:highlight w:val="none"/>
              </w:rPr>
            </w:pPr>
            <w:r>
              <w:rPr>
                <w:rFonts w:hint="eastAsia" w:cs="Calibri"/>
                <w:b/>
                <w:bCs/>
                <w:color w:val="000000"/>
                <w:szCs w:val="21"/>
                <w:highlight w:val="none"/>
              </w:rPr>
              <w:t xml:space="preserve">项目主管</w:t>
            </w:r>
            <w:r>
              <w:rPr>
                <w:rFonts w:cs="Calibri"/>
                <w:b/>
                <w:bCs/>
                <w:color w:val="000000"/>
                <w:szCs w:val="21"/>
                <w:highlight w:val="none"/>
              </w:rPr>
            </w:r>
            <w:r/>
          </w:p>
        </w:tc>
        <w:tc>
          <w:tcPr>
            <w:tcW w:w="785" w:type="dxa"/>
            <w:vAlign w:val="center"/>
            <w:textDirection w:val="lrTb"/>
            <w:noWrap/>
          </w:tcPr>
          <w:p>
            <w:pPr>
              <w:pStyle w:val="682"/>
              <w:jc w:val="center"/>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1</w:t>
            </w:r>
            <w:r>
              <w:rPr>
                <w:rFonts w:ascii="Arial" w:hAnsi="Arial" w:cs="Calibri"/>
                <w:b/>
                <w:bCs/>
                <w:color w:val="000000"/>
                <w:szCs w:val="21"/>
                <w:highlight w:val="none"/>
                <w:lang w:eastAsia="en-US"/>
              </w:rPr>
            </w:r>
            <w:r/>
          </w:p>
        </w:tc>
        <w:tc>
          <w:tcPr>
            <w:tcW w:w="6809" w:type="dxa"/>
            <w:vAlign w:val="center"/>
            <w:textDirection w:val="lrTb"/>
            <w:noWrap/>
          </w:tcPr>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1、基本要求：男女不限，男性不超过63周岁，女性不超过58周岁</w:t>
            </w:r>
            <w:r>
              <w:rPr>
                <w:rFonts w:hint="eastAsia" w:ascii="宋体" w:hAnsi="宋体" w:cs="宋体"/>
                <w:b/>
                <w:bCs/>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2、岗位职责与要求：</w:t>
            </w:r>
            <w:r>
              <w:rPr>
                <w:rFonts w:hint="eastAsia" w:ascii="宋体" w:hAnsi="宋体" w:cs="宋体"/>
                <w:color w:val="000000"/>
                <w:szCs w:val="21"/>
                <w:highlight w:val="none"/>
              </w:rPr>
              <w:t xml:space="preserve">协助项目经理完成相应工作</w:t>
            </w:r>
            <w:r>
              <w:rPr>
                <w:rFonts w:hint="eastAsia" w:ascii="宋体" w:hAnsi="宋体" w:cs="宋体"/>
                <w:color w:val="000000"/>
                <w:szCs w:val="21"/>
                <w:highlight w:val="none"/>
              </w:rPr>
            </w:r>
            <w:r/>
          </w:p>
        </w:tc>
      </w:tr>
      <w:tr>
        <w:trPr/>
        <w:tc>
          <w:tcPr>
            <w:tcW w:w="870" w:type="dxa"/>
            <w:vAlign w:val="top"/>
            <w:vMerge w:val="continue"/>
            <w:textDirection w:val="lrTb"/>
            <w:noWrap/>
          </w:tcPr>
          <w:p>
            <w:pPr>
              <w:pStyle w:val="68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970" w:type="dxa"/>
            <w:vAlign w:val="center"/>
            <w:textDirection w:val="lrTb"/>
            <w:noWrap/>
          </w:tcPr>
          <w:p>
            <w:pPr>
              <w:pStyle w:val="682"/>
              <w:jc w:val="center"/>
              <w:widowControl/>
              <w:rPr>
                <w:rFonts w:cs="Calibri"/>
                <w:b/>
                <w:bCs/>
                <w:color w:val="000000"/>
                <w:szCs w:val="21"/>
                <w:highlight w:val="none"/>
              </w:rPr>
            </w:pPr>
            <w:r>
              <w:rPr>
                <w:rFonts w:hint="eastAsia" w:cs="Calibri"/>
                <w:b/>
                <w:bCs/>
                <w:color w:val="000000"/>
                <w:szCs w:val="21"/>
                <w:highlight w:val="none"/>
              </w:rPr>
              <w:t xml:space="preserve">客服</w:t>
            </w:r>
            <w:r>
              <w:rPr>
                <w:rFonts w:cs="Calibri"/>
                <w:b/>
                <w:bCs/>
                <w:color w:val="000000"/>
                <w:szCs w:val="21"/>
                <w:highlight w:val="none"/>
              </w:rPr>
            </w:r>
            <w:r/>
          </w:p>
        </w:tc>
        <w:tc>
          <w:tcPr>
            <w:tcW w:w="785" w:type="dxa"/>
            <w:vAlign w:val="center"/>
            <w:textDirection w:val="lrTb"/>
            <w:noWrap/>
          </w:tcPr>
          <w:p>
            <w:pPr>
              <w:pStyle w:val="682"/>
              <w:jc w:val="center"/>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2</w:t>
            </w:r>
            <w:r>
              <w:rPr>
                <w:rFonts w:ascii="Arial" w:hAnsi="Arial" w:cs="Calibri"/>
                <w:b/>
                <w:bCs/>
                <w:color w:val="000000"/>
                <w:szCs w:val="21"/>
                <w:highlight w:val="none"/>
                <w:lang w:eastAsia="en-US"/>
              </w:rPr>
            </w:r>
            <w:r/>
          </w:p>
        </w:tc>
        <w:tc>
          <w:tcPr>
            <w:tcW w:w="6809" w:type="dxa"/>
            <w:vAlign w:val="center"/>
            <w:textDirection w:val="lrTb"/>
            <w:noWrap/>
          </w:tcPr>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1、基本要求：男女不限，男性不超过63周岁，女性不超过58周岁</w:t>
            </w:r>
            <w:r>
              <w:rPr>
                <w:rFonts w:hint="eastAsia" w:ascii="宋体" w:hAnsi="宋体" w:cs="宋体"/>
                <w:b/>
                <w:bCs/>
                <w:color w:val="000000"/>
                <w:szCs w:val="21"/>
                <w:highlight w:val="none"/>
              </w:rPr>
            </w:r>
            <w:r/>
          </w:p>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2、岗位职责与要求：</w:t>
            </w:r>
            <w:r>
              <w:rPr>
                <w:rFonts w:hint="eastAsia" w:ascii="宋体" w:hAnsi="宋体" w:cs="宋体"/>
                <w:b/>
                <w:bCs/>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（1）熟悉物业公司各项管理制度、收费标准及其他部门的工作职能，工作范围。</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（2）熟悉四中心环境及各种配套设施的公共设施的位置，各楼宇的外观结构等楼宇的综合情况。</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与业主保持良好的关系，定期开展回访工作，向业主解释说明物业公司的有关管理工作细则、管理公约、住户手册等，能灵活正确运用国家有关的法律法规和公司的有关规定，巧妙地处理好每件事情维护公司的利益和声誉。</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负责区域内物业管理各项工作的巡查，督查园区内各岗位工作质量，善于发现工作中存在的问题或安全隐患，跟进、处理有关违章整改事宜，认真做好巡查记录，及时将巡查发现的问题以《工作联系单》报相关部门处理。</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（5）全面负责收楼及收楼后的遗留工程以及日常维修工程的跟进完成，受理业主在保修期内的房屋维保修事项，及时联系相关主管部门处理。</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（7）受理前台传达的工作信息，接受住户提出的投诉或服务要求及时到现场实地了解，经有效分析后转交相关主管部门跟进处理。</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（8）起草对四个中心发出的温馨提示、通知、通告等文件，督促各部门通告按序张告及归档，包括文本格式、定期拆撕等，</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（9）跟进《保安日报表》中反映的事项，制定当天工作维修单及时监督相关部门的维修和验收情况。每月整理《保安日报表》和公共维修单并存档。</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（10）全面负责四中心车位管理工作，分析车位租赁管理问题，制定管理方案。</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（11）负责协助保安部、工程部处理突发事件，并及时上报上级领导。</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（12）协助四中心开展各类活动。</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（13）执行上级所指派的其他工作。</w:t>
            </w:r>
            <w:r>
              <w:rPr>
                <w:rFonts w:hint="eastAsia" w:ascii="宋体" w:hAnsi="宋体" w:cs="宋体"/>
                <w:color w:val="000000"/>
                <w:szCs w:val="21"/>
                <w:highlight w:val="none"/>
              </w:rPr>
            </w:r>
            <w:r/>
          </w:p>
        </w:tc>
      </w:tr>
      <w:tr>
        <w:trPr>
          <w:trHeight w:val="1522"/>
        </w:trPr>
        <w:tc>
          <w:tcPr>
            <w:tcW w:w="870" w:type="dxa"/>
            <w:vAlign w:val="center"/>
            <w:vMerge w:val="restart"/>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秩序维护</w:t>
            </w:r>
            <w:r>
              <w:rPr>
                <w:rFonts w:hint="eastAsia" w:ascii="宋体" w:hAnsi="宋体" w:cs="宋体"/>
                <w:b/>
                <w:bCs/>
                <w:color w:val="000000"/>
                <w:szCs w:val="21"/>
                <w:highlight w:val="none"/>
              </w:rPr>
            </w:r>
            <w:r/>
          </w:p>
        </w:tc>
        <w:tc>
          <w:tcPr>
            <w:tcW w:w="970" w:type="dxa"/>
            <w:vAlign w:val="center"/>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保安（含保安主管）</w:t>
            </w:r>
            <w:r>
              <w:rPr>
                <w:rFonts w:hint="eastAsia" w:ascii="宋体" w:hAnsi="宋体" w:cs="宋体"/>
                <w:b/>
                <w:bCs/>
                <w:color w:val="000000"/>
                <w:szCs w:val="21"/>
                <w:highlight w:val="none"/>
              </w:rPr>
            </w:r>
            <w:r/>
          </w:p>
        </w:tc>
        <w:tc>
          <w:tcPr>
            <w:tcW w:w="785" w:type="dxa"/>
            <w:vAlign w:val="center"/>
            <w:textDirection w:val="lrTb"/>
            <w:noWrap/>
          </w:tcPr>
          <w:p>
            <w:pPr>
              <w:pStyle w:val="682"/>
              <w:jc w:val="center"/>
              <w:rPr>
                <w:rFonts w:ascii="Arial" w:hAnsi="Arial" w:cs="Calibri"/>
                <w:b/>
                <w:bCs/>
                <w:color w:val="000000"/>
                <w:szCs w:val="21"/>
                <w:highlight w:val="none"/>
              </w:rPr>
            </w:pPr>
            <w:r>
              <w:rPr>
                <w:rFonts w:hint="eastAsia" w:ascii="Arial" w:hAnsi="Arial" w:cs="Calibri"/>
                <w:b/>
                <w:bCs/>
                <w:color w:val="000000"/>
                <w:szCs w:val="21"/>
                <w:highlight w:val="none"/>
                <w:lang w:eastAsia="en-US"/>
              </w:rPr>
              <w:t xml:space="preserve">1</w:t>
            </w:r>
            <w:r>
              <w:rPr>
                <w:rFonts w:hint="eastAsia" w:ascii="Arial" w:hAnsi="Arial" w:cs="Calibri"/>
                <w:b/>
                <w:bCs/>
                <w:color w:val="000000"/>
                <w:szCs w:val="21"/>
                <w:highlight w:val="none"/>
              </w:rPr>
              <w:t xml:space="preserve">8</w:t>
            </w:r>
            <w:r>
              <w:rPr>
                <w:rFonts w:ascii="Arial" w:hAnsi="Arial" w:cs="Calibri"/>
                <w:b/>
                <w:bCs/>
                <w:color w:val="000000"/>
                <w:szCs w:val="21"/>
                <w:highlight w:val="none"/>
              </w:rPr>
            </w:r>
            <w:r/>
          </w:p>
        </w:tc>
        <w:tc>
          <w:tcPr>
            <w:tcW w:w="6809" w:type="dxa"/>
            <w:vAlign w:val="center"/>
            <w:vMerge w:val="restart"/>
            <w:textDirection w:val="lrTb"/>
            <w:noWrap/>
          </w:tcPr>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1、基本要求：保安队长与消、监控人员：男女不限，男性不超过63周岁，女性不超过58周岁；</w:t>
            </w:r>
            <w:r>
              <w:rPr>
                <w:rFonts w:hint="eastAsia" w:ascii="宋体" w:hAnsi="宋体" w:cs="宋体"/>
                <w:b/>
                <w:bCs/>
                <w:color w:val="000000"/>
                <w:szCs w:val="21"/>
                <w:highlight w:val="none"/>
              </w:rPr>
            </w:r>
            <w:r/>
          </w:p>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巡逻与门岗：男女不限，男性不超过63周岁，女性不超过58周岁。</w:t>
            </w:r>
            <w:r>
              <w:rPr>
                <w:rFonts w:hint="eastAsia" w:ascii="宋体" w:hAnsi="宋体" w:cs="宋体"/>
                <w:b/>
                <w:bCs/>
                <w:color w:val="000000"/>
                <w:szCs w:val="21"/>
                <w:highlight w:val="none"/>
              </w:rPr>
            </w:r>
            <w:r/>
          </w:p>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（1）负责治安防范、安全保卫和消防管理工作；</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（2）负责把守大门，礼貌接待问询。主动热情为四中心提供便利服务，诸如提携物品、备好打气筒、代招出租车等；</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（3）严格核对外来人员务工者，遇访客登记或征得业主的同意后方能进入；大宗物品搬运出，须办理物品出门手续，经业主认可方能放行；</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维护道路和停车库秩序，保持道路畅通，制止车辆违规停放和乱卸货物的行为；加强巡逻，发现可疑迹象，要跟踪盘查，并及时报告主管领导，采取有效措施确保平安，巡逻中发现的其他问题，应做好记录，及时通知有关人员解决；</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（5）定期测试消防设施，参加消防演练；遇突发事件，须按规定的程序，负责执行本职范围内的工作；</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（6）熟悉四中心运行情况，与四中心建立友好关系，及时反馈业主的意见和要求；</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（7）对改进管理处工作提出建议；监督检查二次装修有无违规行为，施工人员是否有证；</w:t>
            </w:r>
            <w:r>
              <w:rPr>
                <w:rFonts w:hint="eastAsia" w:ascii="宋体" w:hAnsi="宋体" w:cs="宋体"/>
                <w:color w:val="000000"/>
                <w:szCs w:val="21"/>
                <w:highlight w:val="none"/>
              </w:rPr>
            </w:r>
            <w:r/>
          </w:p>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3、岗位要求：</w:t>
            </w:r>
            <w:r>
              <w:rPr>
                <w:rFonts w:hint="eastAsia" w:ascii="宋体" w:hAnsi="宋体" w:cs="宋体"/>
                <w:b/>
                <w:bCs/>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（1）门岗保安岗位要求：</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①自身条件：性别：男/女，视力良好、外表端正，初中以上文化，普通话良好，沟通良好；</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②主动热情帮助四个中心做好协助工作：比如小件物品的搬运工作等；</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③熟悉四中心的日常工作方式；</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④按标准着装、仪表整洁端正；</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⑤上下班、开门敬礼，用文明礼貌语言。大门开关准确及时、灵活操作。</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（2）巡逻保安岗位要求：</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①按标准着装、仪表整洁端正；</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②具备独立公共秩序维护工作能力，能掌握发生事件，事故等应急预案的基本要求和处理方法；</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③巡逻要点：一轻（走路说话要轻）；二望（对被检查场所仔细看，认真查，靠眼睛观察实现所及范围的情况）；三听（靠耳朵来听有没有异常的声音，及时发现异常的源头）；五摸（用手去摸各个门锁是否正常关闭，发现各类问题按有关规定及时处理），发现任何非正常情况，应该立即报告上级并做好记录。</w:t>
            </w:r>
            <w:r>
              <w:rPr>
                <w:rFonts w:hint="eastAsia" w:ascii="宋体" w:hAnsi="宋体" w:cs="宋体"/>
                <w:color w:val="000000"/>
                <w:szCs w:val="21"/>
                <w:highlight w:val="none"/>
              </w:rPr>
            </w:r>
            <w:r/>
          </w:p>
        </w:tc>
      </w:tr>
      <w:tr>
        <w:trPr/>
        <w:tc>
          <w:tcPr>
            <w:tcW w:w="870" w:type="dxa"/>
            <w:vAlign w:val="center"/>
            <w:vMerge w:val="continue"/>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970" w:type="dxa"/>
            <w:vAlign w:val="center"/>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消、监控人员</w:t>
            </w:r>
            <w:r>
              <w:rPr>
                <w:rFonts w:hint="eastAsia" w:ascii="宋体" w:hAnsi="宋体" w:cs="宋体"/>
                <w:b/>
                <w:bCs/>
                <w:color w:val="000000"/>
                <w:szCs w:val="21"/>
                <w:highlight w:val="none"/>
              </w:rPr>
            </w:r>
            <w:r/>
          </w:p>
        </w:tc>
        <w:tc>
          <w:tcPr>
            <w:tcW w:w="785" w:type="dxa"/>
            <w:vAlign w:val="center"/>
            <w:textDirection w:val="lrTb"/>
            <w:noWrap/>
          </w:tcPr>
          <w:p>
            <w:pPr>
              <w:pStyle w:val="682"/>
              <w:jc w:val="center"/>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9</w:t>
            </w:r>
            <w:r>
              <w:rPr>
                <w:rFonts w:ascii="Arial" w:hAnsi="Arial" w:cs="Calibri"/>
                <w:b/>
                <w:bCs/>
                <w:color w:val="000000"/>
                <w:szCs w:val="21"/>
                <w:highlight w:val="none"/>
                <w:lang w:eastAsia="en-US"/>
              </w:rPr>
            </w:r>
            <w:r/>
          </w:p>
        </w:tc>
        <w:tc>
          <w:tcPr>
            <w:tcW w:w="6809" w:type="dxa"/>
            <w:vAlign w:val="center"/>
            <w:vMerge w:val="continue"/>
            <w:textDirection w:val="lrTb"/>
            <w:noWrap/>
          </w:tcPr>
          <w:p>
            <w:pPr>
              <w:pStyle w:val="682"/>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r>
      <w:tr>
        <w:trPr>
          <w:trHeight w:val="987"/>
        </w:trPr>
        <w:tc>
          <w:tcPr>
            <w:tcW w:w="870" w:type="dxa"/>
            <w:vAlign w:val="center"/>
            <w:vMerge w:val="restart"/>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保洁服务</w:t>
            </w:r>
            <w:r>
              <w:rPr>
                <w:rFonts w:hint="eastAsia" w:ascii="宋体" w:hAnsi="宋体" w:cs="宋体"/>
                <w:b/>
                <w:bCs/>
                <w:color w:val="000000"/>
                <w:szCs w:val="21"/>
                <w:highlight w:val="none"/>
              </w:rPr>
            </w:r>
            <w:r/>
          </w:p>
        </w:tc>
        <w:tc>
          <w:tcPr>
            <w:tcW w:w="970" w:type="dxa"/>
            <w:vAlign w:val="center"/>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eastAsia="en-US"/>
              </w:rPr>
              <w:t xml:space="preserve">保洁</w:t>
            </w:r>
            <w:r>
              <w:rPr>
                <w:rFonts w:hint="eastAsia" w:ascii="宋体" w:hAnsi="宋体" w:cs="宋体"/>
                <w:b/>
                <w:bCs/>
                <w:color w:val="000000"/>
                <w:szCs w:val="21"/>
                <w:highlight w:val="none"/>
              </w:rPr>
              <w:t xml:space="preserve">主管</w:t>
            </w:r>
            <w:r>
              <w:rPr>
                <w:rFonts w:hint="eastAsia" w:ascii="宋体" w:hAnsi="宋体" w:cs="宋体"/>
                <w:b/>
                <w:bCs/>
                <w:color w:val="000000"/>
                <w:szCs w:val="21"/>
                <w:highlight w:val="none"/>
              </w:rPr>
            </w:r>
            <w:r/>
          </w:p>
        </w:tc>
        <w:tc>
          <w:tcPr>
            <w:tcW w:w="785" w:type="dxa"/>
            <w:vAlign w:val="center"/>
            <w:textDirection w:val="lrTb"/>
            <w:noWrap/>
          </w:tcPr>
          <w:p>
            <w:pPr>
              <w:pStyle w:val="682"/>
              <w:jc w:val="center"/>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1</w:t>
            </w:r>
            <w:r>
              <w:rPr>
                <w:rFonts w:ascii="Arial" w:hAnsi="Arial" w:cs="Calibri"/>
                <w:b/>
                <w:bCs/>
                <w:color w:val="000000"/>
                <w:szCs w:val="21"/>
                <w:highlight w:val="none"/>
                <w:lang w:eastAsia="en-US"/>
              </w:rPr>
            </w:r>
            <w:r/>
          </w:p>
        </w:tc>
        <w:tc>
          <w:tcPr>
            <w:tcW w:w="6809" w:type="dxa"/>
            <w:vAlign w:val="center"/>
            <w:vMerge w:val="restart"/>
            <w:textDirection w:val="lrTb"/>
            <w:noWrap/>
          </w:tcPr>
          <w:p>
            <w:pPr>
              <w:pStyle w:val="682"/>
              <w:numPr>
                <w:ilvl w:val="0"/>
                <w:numId w:val="8"/>
              </w:numP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基本要求：男女不限，男性不超过63周岁，女性不超过58周岁。</w:t>
            </w:r>
            <w:r>
              <w:rPr>
                <w:rFonts w:hint="eastAsia" w:ascii="宋体" w:hAnsi="宋体" w:cs="宋体"/>
                <w:b/>
                <w:bCs/>
                <w:color w:val="000000"/>
                <w:szCs w:val="21"/>
                <w:highlight w:val="none"/>
              </w:rPr>
            </w:r>
            <w:r/>
          </w:p>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负责物业管理范围公共部位和公共设施的保洁；负责物业管理范围装饰材料的定期专业养护；负责物业管理范围垃圾的收集和分类（做好垃圾分类宣传、定时收放垃圾桶，满箱即清，设置专用的装修垃圾点位，定时垃圾回收，劝导居民不乱倒垃圾，满足区级垃圾分类要求）；负责洗手间的保洁和物品的更换；负责洗手间内装饰材料的专业养护；负责物业管理范围内每日的环境消毒、病虫害防治。</w:t>
            </w:r>
            <w:r>
              <w:rPr>
                <w:rFonts w:hint="eastAsia" w:ascii="宋体" w:hAnsi="宋体" w:cs="宋体"/>
                <w:color w:val="000000"/>
                <w:szCs w:val="21"/>
                <w:highlight w:val="none"/>
              </w:rPr>
            </w:r>
            <w:r/>
          </w:p>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3、岗位要求：</w:t>
            </w:r>
            <w:r>
              <w:rPr>
                <w:rFonts w:hint="eastAsia" w:ascii="宋体" w:hAnsi="宋体" w:cs="宋体"/>
                <w:b/>
                <w:bCs/>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（1）着装仪表：上岗时按规定的方式和位置佩戴工作牌，制服穿着统一整齐，工作鞋要洗刷干净；</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（2）保洁工作时间安排，尽量做到不影响四中心内部工作；</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（3）重点区域重点对待。</w:t>
            </w:r>
            <w:r>
              <w:rPr>
                <w:rFonts w:hint="eastAsia" w:ascii="宋体" w:hAnsi="宋体" w:cs="宋体"/>
                <w:color w:val="000000"/>
                <w:szCs w:val="21"/>
                <w:highlight w:val="none"/>
              </w:rPr>
            </w:r>
            <w:r/>
          </w:p>
        </w:tc>
      </w:tr>
      <w:tr>
        <w:trPr/>
        <w:tc>
          <w:tcPr>
            <w:tcW w:w="870" w:type="dxa"/>
            <w:vAlign w:val="center"/>
            <w:vMerge w:val="continue"/>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970" w:type="dxa"/>
            <w:vAlign w:val="center"/>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保洁员</w:t>
            </w:r>
            <w:r>
              <w:rPr>
                <w:rFonts w:hint="eastAsia" w:ascii="宋体" w:hAnsi="宋体" w:cs="宋体"/>
                <w:b/>
                <w:bCs/>
                <w:color w:val="000000"/>
                <w:szCs w:val="21"/>
                <w:highlight w:val="none"/>
              </w:rPr>
            </w:r>
            <w:r/>
          </w:p>
        </w:tc>
        <w:tc>
          <w:tcPr>
            <w:tcW w:w="785" w:type="dxa"/>
            <w:vAlign w:val="center"/>
            <w:textDirection w:val="lrTb"/>
            <w:noWrap/>
          </w:tcPr>
          <w:p>
            <w:pPr>
              <w:pStyle w:val="682"/>
              <w:jc w:val="center"/>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42</w:t>
            </w:r>
            <w:r>
              <w:rPr>
                <w:rFonts w:ascii="Arial" w:hAnsi="Arial" w:cs="Calibri"/>
                <w:b/>
                <w:bCs/>
                <w:color w:val="000000"/>
                <w:szCs w:val="21"/>
                <w:highlight w:val="none"/>
                <w:lang w:eastAsia="en-US"/>
              </w:rPr>
            </w:r>
            <w:r/>
          </w:p>
        </w:tc>
        <w:tc>
          <w:tcPr>
            <w:tcW w:w="6809" w:type="dxa"/>
            <w:vAlign w:val="center"/>
            <w:vMerge w:val="continue"/>
            <w:textDirection w:val="lrTb"/>
            <w:noWrap/>
          </w:tcPr>
          <w:p>
            <w:pPr>
              <w:pStyle w:val="682"/>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r>
      <w:tr>
        <w:trPr/>
        <w:tc>
          <w:tcPr>
            <w:tcW w:w="870" w:type="dxa"/>
            <w:vAlign w:val="center"/>
            <w:textDirection w:val="lrTb"/>
            <w:noWrap/>
          </w:tcPr>
          <w:p>
            <w:pPr>
              <w:pStyle w:val="682"/>
              <w:jc w:val="center"/>
              <w:widowControl/>
              <w:rPr>
                <w:rFonts w:hint="eastAsia" w:ascii="宋体" w:hAnsi="宋体" w:cs="宋体"/>
                <w:b/>
                <w:bCs/>
                <w:color w:val="000000"/>
                <w:spacing w:val="-1"/>
                <w:szCs w:val="21"/>
                <w:highlight w:val="none"/>
              </w:rPr>
            </w:pPr>
            <w:r>
              <w:rPr>
                <w:rFonts w:hint="eastAsia" w:ascii="宋体" w:hAnsi="宋体" w:cs="宋体"/>
                <w:b/>
                <w:bCs/>
                <w:color w:val="000000"/>
                <w:spacing w:val="-1"/>
                <w:szCs w:val="21"/>
                <w:highlight w:val="none"/>
              </w:rPr>
              <w:t xml:space="preserve">工程（水电）维修服务</w:t>
            </w:r>
            <w:r>
              <w:rPr>
                <w:rFonts w:hint="eastAsia" w:ascii="宋体" w:hAnsi="宋体" w:cs="宋体"/>
                <w:b/>
                <w:bCs/>
                <w:color w:val="000000"/>
                <w:spacing w:val="-1"/>
                <w:szCs w:val="21"/>
                <w:highlight w:val="none"/>
              </w:rPr>
            </w:r>
            <w:r/>
          </w:p>
        </w:tc>
        <w:tc>
          <w:tcPr>
            <w:tcW w:w="970" w:type="dxa"/>
            <w:vAlign w:val="center"/>
            <w:textDirection w:val="lrTb"/>
            <w:noWrap/>
          </w:tcPr>
          <w:p>
            <w:pPr>
              <w:pStyle w:val="682"/>
              <w:jc w:val="center"/>
              <w:widowControl/>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维修人员（含工程主管变电所值班人员）</w:t>
            </w:r>
            <w:r>
              <w:rPr>
                <w:rFonts w:hint="eastAsia" w:ascii="宋体" w:hAnsi="宋体" w:cs="宋体"/>
                <w:b/>
                <w:bCs/>
                <w:color w:val="000000"/>
                <w:spacing w:val="-2"/>
                <w:szCs w:val="21"/>
                <w:highlight w:val="none"/>
              </w:rPr>
            </w:r>
            <w:r/>
          </w:p>
        </w:tc>
        <w:tc>
          <w:tcPr>
            <w:tcW w:w="785" w:type="dxa"/>
            <w:vAlign w:val="center"/>
            <w:textDirection w:val="lrTb"/>
            <w:noWrap/>
          </w:tcPr>
          <w:p>
            <w:pPr>
              <w:pStyle w:val="682"/>
              <w:jc w:val="center"/>
              <w:rPr>
                <w:rFonts w:ascii="Arial" w:hAnsi="Arial" w:cs="Calibri"/>
                <w:b/>
                <w:bCs/>
                <w:color w:val="000000"/>
                <w:szCs w:val="21"/>
                <w:highlight w:val="none"/>
              </w:rPr>
            </w:pPr>
            <w:r>
              <w:rPr>
                <w:rFonts w:hint="eastAsia" w:ascii="Arial" w:hAnsi="Arial" w:cs="Calibri"/>
                <w:b/>
                <w:bCs/>
                <w:color w:val="000000"/>
                <w:szCs w:val="21"/>
                <w:highlight w:val="none"/>
              </w:rPr>
              <w:t xml:space="preserve">9</w:t>
            </w:r>
            <w:r>
              <w:rPr>
                <w:rFonts w:ascii="Arial" w:hAnsi="Arial" w:cs="Calibri"/>
                <w:b/>
                <w:bCs/>
                <w:color w:val="000000"/>
                <w:szCs w:val="21"/>
                <w:highlight w:val="none"/>
              </w:rPr>
            </w:r>
            <w:r/>
          </w:p>
        </w:tc>
        <w:tc>
          <w:tcPr>
            <w:tcW w:w="6809" w:type="dxa"/>
            <w:vAlign w:val="center"/>
            <w:textDirection w:val="lrTb"/>
            <w:noWrap/>
          </w:tcPr>
          <w:p>
            <w:pPr>
              <w:pStyle w:val="682"/>
              <w:ind w:firstLine="420"/>
              <w:jc w:val="left"/>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1、基本要求：男女不限，男性不超过63周岁，女性不超过58周岁；</w:t>
            </w:r>
            <w:r>
              <w:rPr>
                <w:rFonts w:hint="eastAsia" w:ascii="宋体" w:hAnsi="宋体" w:cs="宋体"/>
                <w:color w:val="000000"/>
                <w:szCs w:val="21"/>
                <w:highlight w:val="none"/>
              </w:rPr>
            </w:r>
            <w:r/>
          </w:p>
          <w:p>
            <w:pPr>
              <w:pStyle w:val="682"/>
              <w:ind w:firstLine="420"/>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（1）负责对设施及设备的接收工作，熟悉各项设备、设施。</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（2）负责工程部人员的选配和管理；负责工程部员工的专业技术培训工作，提高工程部人员的职业道德，专业技能和服务意识；负责工程部人员的年度考评工作；</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（3）负责监督公用设施、设备的正常运行工作，并负责计划的审定；负责监督公用设施设备的保养、维修安全检查的计划的审定；</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（4）完善工程部的各项规章制度，并报上级批准实施；负责制定工程部的低值易耗品、物料、固定资产的每月采购计划，并报管理处审批，协同采购；</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（5）组织并参与设备的大检修，负责制定设备大检修计划并监督实施；每月召开工程部例会，布置、协调工程部内部各项事务；</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（6）负责外包服务合同的接洽，并报管理处审批；负责物业使用人对工程部工作的投诉处理，回访；负责工程部不合格服务的处理、纠正和预防措施的实施，跟踪检查等。</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（7）因夕阳红、残联、老龄中心有家电设备运行，需负责夕阳红、残联、老龄中心的家电维修。</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3.变电所岗位职责与要求：</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（1）对区域内供电系统高、低压电器设备、电气照明装置等设备进行日常管理和维护，保持正常运行。</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（2）持证上岗，身体健康，工作认真负责并定期接受培训。</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（3）建立严格的高配供电室岗位责任制，高低配交接班制度、高低配室操作规程制度、高配倒闸操作制度、工作票制度、高低配及维修巡回检查等制度。</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（4）按照规定周期对变配电设备设施进行检查、维护、清洁，并做好记录，确保高（低）压变（配）电柜操作运行正常，各计量检测表计显示正常，并做好记录。</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（5）变（配）电柜直流操作系统、低压配电柜运行正常，蓄电池组充、放电量稳定，符合工作要求，各类表计显示正常，并做好记录。</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（6）功率因素自动补偿电容器（组）运行正常，自动切换准确可靠。</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（7）变（配）电系统联络自切正常。</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（8）对公共照明、亮化和室内照明装置进行日常管理和维修，保持正常运行。</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（9）应急供电系统运行正常。</w:t>
            </w:r>
            <w:r>
              <w:rPr>
                <w:rFonts w:hint="eastAsia" w:ascii="宋体" w:hAnsi="宋体" w:eastAsia="宋体" w:cs="宋体"/>
                <w:color w:val="000000"/>
                <w:szCs w:val="21"/>
                <w:highlight w:val="none"/>
              </w:rPr>
            </w:r>
            <w:r/>
          </w:p>
          <w:p>
            <w:pPr>
              <w:pStyle w:val="682"/>
              <w:widowControl/>
              <w:rPr>
                <w:rFonts w:ascii="Arial" w:hAnsi="Arial" w:cs="Arial"/>
                <w:color w:val="000000"/>
                <w:szCs w:val="21"/>
                <w:highlight w:val="none"/>
              </w:rPr>
            </w:pPr>
            <w:r>
              <w:rPr>
                <w:rFonts w:hint="eastAsia" w:ascii="宋体" w:hAnsi="宋体" w:eastAsia="宋体" w:cs="宋体"/>
                <w:color w:val="000000"/>
                <w:szCs w:val="21"/>
                <w:highlight w:val="none"/>
              </w:rPr>
              <w:t xml:space="preserve">（10）通过有效的管理措施及技术措施，积极开展节能管理工作。</w:t>
            </w:r>
            <w:r>
              <w:rPr>
                <w:rFonts w:ascii="Arial" w:hAnsi="Arial" w:cs="Arial"/>
                <w:color w:val="000000"/>
                <w:szCs w:val="21"/>
                <w:highlight w:val="none"/>
              </w:rPr>
            </w:r>
            <w:r/>
          </w:p>
        </w:tc>
      </w:tr>
      <w:tr>
        <w:trPr>
          <w:trHeight w:val="527"/>
        </w:trPr>
        <w:tc>
          <w:tcPr>
            <w:gridSpan w:val="2"/>
            <w:tcW w:w="1840" w:type="dxa"/>
            <w:vAlign w:val="center"/>
            <w:textDirection w:val="lrTb"/>
            <w:noWrap/>
          </w:tcPr>
          <w:p>
            <w:pPr>
              <w:pStyle w:val="682"/>
              <w:jc w:val="center"/>
              <w:widowControl/>
              <w:rPr>
                <w:rFonts w:hint="eastAsia" w:ascii="宋体" w:hAnsi="宋体" w:cs="宋体"/>
                <w:b/>
                <w:color w:val="000000"/>
                <w:spacing w:val="-2"/>
                <w:szCs w:val="21"/>
                <w:highlight w:val="none"/>
              </w:rPr>
            </w:pPr>
            <w:r>
              <w:rPr>
                <w:rFonts w:hint="eastAsia" w:ascii="宋体" w:hAnsi="宋体" w:cs="宋体"/>
                <w:b/>
                <w:color w:val="000000"/>
                <w:spacing w:val="-2"/>
                <w:szCs w:val="21"/>
                <w:highlight w:val="none"/>
              </w:rPr>
              <w:t xml:space="preserve">人员总数</w:t>
            </w:r>
            <w:r>
              <w:rPr>
                <w:rFonts w:hint="eastAsia" w:ascii="宋体" w:hAnsi="宋体" w:cs="宋体"/>
                <w:b/>
                <w:color w:val="000000"/>
                <w:spacing w:val="-2"/>
                <w:szCs w:val="21"/>
                <w:highlight w:val="none"/>
              </w:rPr>
            </w:r>
            <w:r/>
          </w:p>
        </w:tc>
        <w:tc>
          <w:tcPr>
            <w:tcW w:w="785" w:type="dxa"/>
            <w:vAlign w:val="center"/>
            <w:textDirection w:val="lrTb"/>
            <w:noWrap/>
          </w:tcPr>
          <w:p>
            <w:pPr>
              <w:pStyle w:val="682"/>
              <w:jc w:val="center"/>
              <w:rPr>
                <w:rFonts w:ascii="Arial" w:hAnsi="Arial" w:cs="Calibri"/>
                <w:b/>
                <w:color w:val="000000"/>
                <w:szCs w:val="21"/>
                <w:highlight w:val="none"/>
                <w:lang w:eastAsia="en-US"/>
              </w:rPr>
            </w:pPr>
            <w:r>
              <w:rPr>
                <w:rFonts w:hint="eastAsia" w:ascii="Arial" w:hAnsi="Arial" w:cs="Calibri"/>
                <w:b/>
                <w:color w:val="000000"/>
                <w:szCs w:val="21"/>
                <w:highlight w:val="none"/>
                <w:lang w:eastAsia="en-US"/>
              </w:rPr>
              <w:t xml:space="preserve">83</w:t>
            </w:r>
            <w:r>
              <w:rPr>
                <w:rFonts w:ascii="Arial" w:hAnsi="Arial" w:cs="Calibri"/>
                <w:b/>
                <w:color w:val="000000"/>
                <w:szCs w:val="21"/>
                <w:highlight w:val="none"/>
                <w:lang w:eastAsia="en-US"/>
              </w:rPr>
            </w:r>
            <w:r/>
          </w:p>
        </w:tc>
        <w:tc>
          <w:tcPr>
            <w:tcW w:w="6809" w:type="dxa"/>
            <w:vAlign w:val="center"/>
            <w:textDirection w:val="lrTb"/>
            <w:noWrap/>
          </w:tcPr>
          <w:p>
            <w:pPr>
              <w:pStyle w:val="682"/>
              <w:jc w:val="center"/>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r>
    </w:tbl>
    <w:p>
      <w:pPr>
        <w:pStyle w:val="682"/>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hint="eastAsia" w:ascii="宋体" w:hAnsi="宋体"/>
          <w:b/>
          <w:color w:val="000000"/>
          <w:sz w:val="24"/>
          <w:highlight w:val="none"/>
        </w:rPr>
      </w:r>
      <w:r/>
    </w:p>
    <w:p>
      <w:pPr>
        <w:pStyle w:val="68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6.验收标准与要求</w:t>
      </w:r>
      <w:r>
        <w:rPr>
          <w:rFonts w:hint="eastAsia" w:ascii="宋体" w:hAnsi="宋体"/>
          <w:b/>
          <w:color w:val="000000"/>
          <w:sz w:val="24"/>
          <w:highlight w:val="none"/>
        </w:rPr>
      </w:r>
      <w:r/>
    </w:p>
    <w:p>
      <w:pPr>
        <w:pStyle w:val="682"/>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按照采购合同约定对供应商提供的物业管理服务进行验收，对于供应商未按合同约定提供物业管理服务的，采购人有权依法追究其违约责任。</w:t>
      </w:r>
      <w:r>
        <w:rPr>
          <w:rFonts w:hint="eastAsia" w:ascii="宋体" w:hAnsi="宋体"/>
          <w:bCs/>
          <w:color w:val="000000"/>
          <w:sz w:val="24"/>
          <w:highlight w:val="none"/>
        </w:rPr>
      </w:r>
      <w:r/>
    </w:p>
    <w:p>
      <w:pPr>
        <w:pStyle w:val="68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履约验收主体：</w:t>
      </w:r>
      <w:r>
        <w:rPr>
          <w:rFonts w:hint="eastAsia" w:ascii="宋体" w:hAnsi="宋体"/>
          <w:bCs/>
          <w:color w:val="000000"/>
          <w:sz w:val="24"/>
          <w:highlight w:val="none"/>
          <w:u w:val="single"/>
        </w:rPr>
        <w:t xml:space="preserve">江溪街道社区卫生服务中心、无锡市老龄工作发展促进中心、无锡市残疾人综合服务中心、江溪夕阳红休养中心</w:t>
      </w:r>
      <w:r>
        <w:rPr>
          <w:rFonts w:hint="eastAsia" w:ascii="宋体" w:hAnsi="宋体"/>
          <w:bCs/>
          <w:color w:val="000000"/>
          <w:sz w:val="24"/>
          <w:highlight w:val="none"/>
        </w:rPr>
      </w:r>
      <w:r/>
    </w:p>
    <w:p>
      <w:pPr>
        <w:pStyle w:val="68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履约验收时间：</w:t>
      </w:r>
      <w:r>
        <w:rPr>
          <w:rFonts w:hint="eastAsia" w:ascii="宋体" w:hAnsi="宋体"/>
          <w:bCs/>
          <w:color w:val="000000"/>
          <w:sz w:val="24"/>
          <w:highlight w:val="none"/>
          <w:u w:val="single"/>
        </w:rPr>
        <w:t xml:space="preserve">每月考核</w:t>
      </w:r>
      <w:r>
        <w:rPr>
          <w:rFonts w:hint="eastAsia" w:ascii="宋体" w:hAnsi="宋体"/>
          <w:bCs/>
          <w:color w:val="000000"/>
          <w:sz w:val="24"/>
          <w:highlight w:val="none"/>
        </w:rPr>
      </w:r>
      <w:r/>
    </w:p>
    <w:p>
      <w:pPr>
        <w:pStyle w:val="68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履约验收方式：</w:t>
      </w:r>
      <w:r>
        <w:rPr>
          <w:rFonts w:hint="eastAsia" w:ascii="宋体" w:hAnsi="宋体"/>
          <w:bCs/>
          <w:color w:val="000000"/>
          <w:sz w:val="24"/>
          <w:highlight w:val="none"/>
          <w:u w:val="single"/>
        </w:rPr>
        <w:t xml:space="preserve">四个中心组成考核小组</w:t>
      </w:r>
      <w:r>
        <w:rPr>
          <w:rFonts w:hint="eastAsia" w:ascii="宋体" w:hAnsi="宋体"/>
          <w:bCs/>
          <w:color w:val="000000"/>
          <w:sz w:val="24"/>
          <w:highlight w:val="none"/>
        </w:rPr>
      </w:r>
      <w:r/>
    </w:p>
    <w:p>
      <w:pPr>
        <w:pStyle w:val="68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履约验收程序：</w:t>
      </w:r>
      <w:r>
        <w:rPr>
          <w:rFonts w:hint="eastAsia" w:ascii="宋体" w:hAnsi="宋体"/>
          <w:bCs/>
          <w:color w:val="000000"/>
          <w:sz w:val="24"/>
          <w:highlight w:val="none"/>
          <w:u w:val="single"/>
        </w:rPr>
        <w:t xml:space="preserve">详见考核表</w:t>
      </w:r>
      <w:r>
        <w:rPr>
          <w:rFonts w:hint="eastAsia" w:ascii="宋体" w:hAnsi="宋体"/>
          <w:bCs/>
          <w:color w:val="000000"/>
          <w:sz w:val="24"/>
          <w:highlight w:val="none"/>
        </w:rPr>
      </w:r>
      <w:r/>
    </w:p>
    <w:p>
      <w:pPr>
        <w:pStyle w:val="682"/>
        <w:ind w:firstLine="480"/>
        <w:spacing w:line="360" w:lineRule="auto"/>
        <w:rPr>
          <w:rFonts w:hint="eastAsia" w:ascii="宋体" w:hAnsi="宋体"/>
          <w:b/>
          <w:color w:val="000000"/>
          <w:sz w:val="24"/>
          <w:highlight w:val="none"/>
        </w:rPr>
      </w:pPr>
      <w:r>
        <w:rPr>
          <w:rFonts w:hint="eastAsia" w:ascii="宋体" w:hAnsi="宋体"/>
          <w:bCs/>
          <w:color w:val="000000"/>
          <w:sz w:val="24"/>
          <w:highlight w:val="none"/>
        </w:rPr>
        <w:t xml:space="preserve">履约验收内容和标准：</w:t>
      </w:r>
      <w:r>
        <w:rPr>
          <w:rFonts w:hint="eastAsia" w:ascii="宋体" w:hAnsi="宋体"/>
          <w:bCs/>
          <w:color w:val="000000"/>
          <w:sz w:val="24"/>
          <w:highlight w:val="none"/>
          <w:u w:val="single"/>
        </w:rPr>
        <w:t xml:space="preserve">详见考核表</w:t>
      </w:r>
      <w:r>
        <w:rPr>
          <w:rFonts w:hint="eastAsia" w:ascii="宋体" w:hAnsi="宋体"/>
          <w:b/>
          <w:color w:val="000000"/>
          <w:sz w:val="24"/>
          <w:highlight w:val="none"/>
        </w:rPr>
      </w:r>
      <w:r/>
    </w:p>
    <w:p>
      <w:pPr>
        <w:pStyle w:val="68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7.其他要求: </w:t>
      </w:r>
      <w:r>
        <w:rPr>
          <w:rFonts w:hint="eastAsia" w:ascii="宋体" w:hAnsi="宋体" w:cs="宋体"/>
          <w:b/>
          <w:color w:val="000000"/>
          <w:sz w:val="24"/>
          <w:highlight w:val="none"/>
        </w:rPr>
      </w:r>
      <w:r/>
    </w:p>
    <w:p>
      <w:pPr>
        <w:pStyle w:val="68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7.1以下相关费用由供应商承担： </w:t>
      </w:r>
      <w:r>
        <w:rPr>
          <w:rFonts w:hint="eastAsia" w:ascii="宋体" w:hAnsi="宋体" w:cs="宋体"/>
          <w:color w:val="000000"/>
          <w:sz w:val="24"/>
          <w:highlight w:val="none"/>
        </w:rPr>
      </w:r>
      <w:r/>
    </w:p>
    <w:p>
      <w:pPr>
        <w:pStyle w:val="682"/>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本项目涉及的零星维修材料、低值易耗品、苗木、客耗品等费用，不论是由供应商，还是采购人承担，涉及的相关服务由供应商承担，服务费用包含在物业服务项目合同金额之内。</w:t>
      </w:r>
      <w:r>
        <w:rPr>
          <w:rFonts w:hint="eastAsia" w:ascii="宋体" w:hAnsi="宋体"/>
          <w:color w:val="000000"/>
          <w:sz w:val="24"/>
          <w:szCs w:val="21"/>
          <w:highlight w:val="none"/>
        </w:rPr>
      </w:r>
      <w:r/>
    </w:p>
    <w:p>
      <w:pPr>
        <w:pStyle w:val="682"/>
        <w:ind w:firstLine="482"/>
        <w:spacing w:line="360" w:lineRule="auto"/>
        <w:rPr>
          <w:rFonts w:hint="eastAsia" w:ascii="宋体" w:hAnsi="宋体" w:cs="宋体"/>
          <w:color w:val="000000"/>
          <w:sz w:val="24"/>
          <w:szCs w:val="21"/>
          <w:highlight w:val="none"/>
        </w:rPr>
      </w:pPr>
      <w:r>
        <w:rPr>
          <w:rFonts w:hint="eastAsia" w:ascii="宋体" w:hAnsi="宋体"/>
          <w:b/>
          <w:bCs/>
          <w:color w:val="000000"/>
          <w:sz w:val="24"/>
          <w:szCs w:val="21"/>
          <w:highlight w:val="none"/>
        </w:rPr>
        <w:t xml:space="preserve">（1）物业管理的维修和保养</w:t>
      </w:r>
      <w:r>
        <w:rPr>
          <w:rFonts w:hint="eastAsia" w:ascii="宋体" w:hAnsi="宋体"/>
          <w:color w:val="000000"/>
          <w:sz w:val="24"/>
          <w:szCs w:val="21"/>
          <w:highlight w:val="none"/>
        </w:rPr>
        <w:t xml:space="preserve">：</w:t>
      </w:r>
      <w:r>
        <w:rPr>
          <w:rFonts w:hint="eastAsia" w:ascii="宋体" w:hAnsi="宋体" w:cs="宋体"/>
          <w:color w:val="000000"/>
          <w:sz w:val="24"/>
          <w:szCs w:val="21"/>
          <w:highlight w:val="none"/>
        </w:rPr>
        <w:t xml:space="preserve">中标单位必须加强对无锡市“南山慈善家园”大楼及其附属设施、设备的维修、养护、管理，价格不超2000元的由中标单位承担，超出2000元的维修报采购方，按采购方相关维修规定执行；夕阳红、残联、老龄中心的家电维修，更换零配件不超200元的由中标单位承担，更换零配件超200元的维修报采购方，按采购方相关维修规定执行。上述维修和保养事项中标单位应分别规范建立台账，确保维修记录完善，相关支出真实完整，且清晰明了，相关台账定期报甲方。</w:t>
      </w:r>
      <w:r>
        <w:rPr>
          <w:rFonts w:hint="eastAsia" w:ascii="宋体" w:hAnsi="宋体" w:cs="宋体"/>
          <w:color w:val="000000"/>
          <w:sz w:val="24"/>
          <w:szCs w:val="21"/>
          <w:highlight w:val="none"/>
        </w:rPr>
      </w:r>
      <w:r/>
    </w:p>
    <w:p>
      <w:pPr>
        <w:pStyle w:val="682"/>
        <w:ind w:firstLine="482"/>
        <w:spacing w:before="5" w:line="360" w:lineRule="auto"/>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（2）物业费用有关说明：</w:t>
      </w:r>
      <w:r>
        <w:rPr>
          <w:rFonts w:hint="eastAsia" w:ascii="宋体" w:hAnsi="宋体"/>
          <w:color w:val="000000"/>
          <w:sz w:val="24"/>
          <w:szCs w:val="21"/>
          <w:highlight w:val="none"/>
        </w:rPr>
        <w:t xml:space="preserve">投标报价除应包括物业管理服务人员的工资（员工工资不得低于规定的无锡市最低工资标准、工作时间不得超过每月最高工作时间的相关规定，鼓励工作人员缴纳养老、医疗、失业、生育、工伤等在内的社会保险）、社保福利费、</w:t>
      </w:r>
      <w:r>
        <w:rPr>
          <w:rFonts w:hint="eastAsia" w:ascii="宋体" w:hAnsi="宋体" w:cs="宋体"/>
          <w:color w:val="000000"/>
          <w:sz w:val="24"/>
          <w:szCs w:val="21"/>
          <w:highlight w:val="none"/>
        </w:rPr>
        <w:t xml:space="preserve">加班费、物业管理区域清洁费、垃圾清运费、办公费、</w:t>
      </w:r>
      <w:r>
        <w:rPr>
          <w:rFonts w:hint="eastAsia" w:ascii="宋体" w:hAnsi="宋体"/>
          <w:color w:val="000000"/>
          <w:sz w:val="24"/>
          <w:szCs w:val="21"/>
          <w:highlight w:val="none"/>
        </w:rPr>
        <w:t xml:space="preserve">管理费、法定税费、物业共用部位、共用设施设备及公众责任保险费和合理利润外，还应包括检测、管理、劳务、服装、培训、保修、通讯、安全保卫、会务安排、环境布置、宣传服务、风险及政策性文件规定等各项应有费用，以及为完成招标文件规定的物业管理工作所涉及到的一切相关费用。</w:t>
      </w:r>
      <w:r>
        <w:rPr>
          <w:rFonts w:hint="eastAsia" w:ascii="宋体" w:hAnsi="宋体"/>
          <w:bCs/>
          <w:color w:val="000000"/>
          <w:sz w:val="24"/>
          <w:szCs w:val="21"/>
          <w:highlight w:val="none"/>
        </w:rPr>
        <w:t xml:space="preserve">报价包括空调、电梯、消防、监控、供电、供水、供气、家电等在内的专业设备设施维保及年检费用。如果一些项目由于各种原因采购人没有要求中标单位完成，则扣除此次项目所产生的费用。中标后，在合同范围内，实际人员的配备数根据采购方的实际需求来确定，并按增减人员后实际人员的成本计算增减服务费用。</w:t>
      </w:r>
      <w:r>
        <w:rPr>
          <w:rFonts w:hint="eastAsia" w:ascii="宋体" w:hAnsi="宋体"/>
          <w:bCs/>
          <w:color w:val="000000"/>
          <w:sz w:val="24"/>
          <w:szCs w:val="21"/>
          <w:highlight w:val="none"/>
        </w:rPr>
      </w:r>
      <w:r/>
    </w:p>
    <w:p>
      <w:pPr>
        <w:pStyle w:val="682"/>
        <w:ind w:firstLine="480"/>
        <w:spacing w:line="360" w:lineRule="auto"/>
        <w:rPr>
          <w:rFonts w:hint="eastAsia" w:ascii="宋体" w:hAnsi="宋体" w:cs="宋体"/>
          <w:color w:val="000000"/>
          <w:sz w:val="24"/>
          <w:highlight w:val="none"/>
        </w:rPr>
      </w:pPr>
      <w:r>
        <w:rPr>
          <w:rFonts w:hint="eastAsia" w:ascii="宋体" w:hAnsi="宋体"/>
          <w:color w:val="000000"/>
          <w:sz w:val="24"/>
          <w:szCs w:val="21"/>
          <w:highlight w:val="none"/>
        </w:rPr>
        <w:t xml:space="preserve">投标人报价时应充分考虑服务期内所有可能影响到报价的因素（包括最低工资标准及社保基数的政策性调整），一旦中标，总价将包定，即为合同价，不予调整。如发生漏、缺、少项，都将被认为是投标人的报价让利行为，损失自负。</w:t>
      </w:r>
      <w:r>
        <w:rPr>
          <w:rFonts w:hint="eastAsia" w:ascii="宋体" w:hAnsi="宋体" w:cs="宋体"/>
          <w:color w:val="000000"/>
          <w:sz w:val="24"/>
          <w:highlight w:val="none"/>
        </w:rPr>
      </w:r>
      <w:r/>
    </w:p>
    <w:p>
      <w:pPr>
        <w:pStyle w:val="68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7.2物业管理服务的考核</w:t>
      </w:r>
      <w:r>
        <w:rPr>
          <w:rFonts w:hint="eastAsia" w:ascii="宋体" w:hAnsi="宋体" w:cs="宋体"/>
          <w:color w:val="000000"/>
          <w:sz w:val="24"/>
          <w:highlight w:val="none"/>
        </w:rPr>
      </w:r>
      <w:r/>
    </w:p>
    <w:p>
      <w:pPr>
        <w:pStyle w:val="682"/>
        <w:ind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具体考核工作由四中心负责：</w:t>
      </w:r>
      <w:r>
        <w:rPr>
          <w:rFonts w:hint="eastAsia" w:ascii="宋体" w:hAnsi="宋体" w:cs="宋体"/>
          <w:bCs/>
          <w:color w:val="000000"/>
          <w:sz w:val="24"/>
          <w:highlight w:val="none"/>
        </w:rPr>
      </w:r>
      <w:r/>
    </w:p>
    <w:p>
      <w:pPr>
        <w:pStyle w:val="682"/>
        <w:ind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考核综合得分≧</w:t>
      </w:r>
      <w:r>
        <w:rPr>
          <w:rFonts w:ascii="宋体" w:hAnsi="宋体" w:cs="宋体"/>
          <w:bCs/>
          <w:color w:val="000000"/>
          <w:sz w:val="24"/>
          <w:highlight w:val="none"/>
        </w:rPr>
        <w:t xml:space="preserve">95</w:t>
      </w:r>
      <w:r>
        <w:rPr>
          <w:rFonts w:hint="eastAsia" w:ascii="宋体" w:hAnsi="宋体" w:cs="宋体"/>
          <w:bCs/>
          <w:color w:val="000000"/>
          <w:sz w:val="24"/>
          <w:highlight w:val="none"/>
        </w:rPr>
        <w:t xml:space="preserve">分</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付当月全额服务费；</w:t>
      </w:r>
      <w:r>
        <w:rPr>
          <w:rFonts w:hint="eastAsia" w:ascii="宋体" w:hAnsi="宋体" w:cs="宋体"/>
          <w:bCs/>
          <w:color w:val="000000"/>
          <w:sz w:val="24"/>
          <w:highlight w:val="none"/>
        </w:rPr>
      </w:r>
      <w:r/>
    </w:p>
    <w:p>
      <w:pPr>
        <w:pStyle w:val="682"/>
        <w:ind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考核综合得分90-94分,不足95分部分每分扣除200元，扣除当月服务费为200*（95-当月分值）元；</w:t>
      </w:r>
      <w:r>
        <w:rPr>
          <w:rFonts w:hint="eastAsia" w:ascii="宋体" w:hAnsi="宋体" w:cs="宋体"/>
          <w:bCs/>
          <w:color w:val="000000"/>
          <w:sz w:val="24"/>
          <w:highlight w:val="none"/>
        </w:rPr>
      </w:r>
      <w:r/>
    </w:p>
    <w:p>
      <w:pPr>
        <w:pStyle w:val="682"/>
        <w:ind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考核综合得分80-89分,不足90分部分每分扣除300元，扣除当月费用为1000+300*（90-当月分值）元；</w:t>
      </w:r>
      <w:r>
        <w:rPr>
          <w:rFonts w:hint="eastAsia" w:ascii="宋体" w:hAnsi="宋体" w:cs="宋体"/>
          <w:bCs/>
          <w:color w:val="000000"/>
          <w:sz w:val="24"/>
          <w:highlight w:val="none"/>
        </w:rPr>
      </w:r>
      <w:r/>
    </w:p>
    <w:p>
      <w:pPr>
        <w:pStyle w:val="682"/>
        <w:ind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4、考核综合得分&lt;80分，不足80分部分每分扣除500元，扣除当月费用为4000+500*（80-当月分值）元；</w:t>
      </w:r>
      <w:r>
        <w:rPr>
          <w:rFonts w:hint="eastAsia" w:ascii="宋体" w:hAnsi="宋体" w:cs="宋体"/>
          <w:bCs/>
          <w:color w:val="000000"/>
          <w:sz w:val="24"/>
          <w:highlight w:val="none"/>
        </w:rPr>
      </w:r>
      <w:r/>
    </w:p>
    <w:p>
      <w:pPr>
        <w:pStyle w:val="682"/>
        <w:ind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5、未按规定执行，情节严重者开具处罚单另行处理，月度考核不再重复扣分。</w:t>
      </w:r>
      <w:r>
        <w:rPr>
          <w:rFonts w:hint="eastAsia" w:ascii="宋体" w:hAnsi="宋体" w:cs="宋体"/>
          <w:bCs/>
          <w:color w:val="000000"/>
          <w:sz w:val="24"/>
          <w:highlight w:val="none"/>
        </w:rPr>
      </w:r>
      <w:r/>
    </w:p>
    <w:tbl>
      <w:tblPr>
        <w:tblW w:w="9349" w:type="dxa"/>
        <w:tblInd w:w="-15" w:type="dxa"/>
        <w:tblLayout w:type="fixed"/>
        <w:tblCellMar>
          <w:left w:w="108" w:type="dxa"/>
          <w:top w:w="0" w:type="dxa"/>
          <w:right w:w="108" w:type="dxa"/>
          <w:bottom w:w="0" w:type="dxa"/>
        </w:tblCellMar>
        <w:tblLook w:val="04A0" w:firstRow="1" w:lastRow="0" w:firstColumn="1" w:lastColumn="0" w:noHBand="0" w:noVBand="1"/>
      </w:tblPr>
      <w:tblGrid>
        <w:gridCol w:w="866"/>
        <w:gridCol w:w="2974"/>
        <w:gridCol w:w="3915"/>
        <w:gridCol w:w="827"/>
        <w:gridCol w:w="767"/>
      </w:tblGrid>
      <w:tr>
        <w:trPr>
          <w:trHeight w:val="57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考核项目</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考核内容</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考核标准</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扣分</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扣分原因</w:t>
            </w:r>
            <w:r>
              <w:rPr>
                <w:rFonts w:hint="eastAsia" w:ascii="宋体" w:hAnsi="宋体" w:cs="宋体"/>
                <w:b/>
                <w:bCs/>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一、内部管理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1、公司管理制度健全，各岗位职责、考核标准明确、台帐记录规范</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①无岗位职责，扣1分/项；②制度、各类台帐不健全规范，扣1分；③各岗位考核标准缺失，扣1分/项。</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99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2、按约定人数、持证上岗，着装规范，定期现场巡检查</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①保障人员缺岗，影响保障工作的，扣1分/人次;②管理、技术人员、未持证上岗的，扣1分/人次; ③工作时间，各岗位未按规定着装，扣1分/人次; ④物业管理人员对各值班岗位未定期（尤其是晚上）巡检查每月少于2次或无记录的，扣5分</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3、员工培训有计划</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①无计划、台帐记录扣1分；②时间、人员落实不到位扣1分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4、提倡节能降耗，爱护中心所配设施设备</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①发现人为因素有长明灯、长流水、无人空调现象，扣1分；②发现人为损坏的除按原价赔偿外，扣1分/人次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5、服从管理，听从现场指派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①不服从现场领导指挥或跟踪不到位的，扣1分/人次；②做有损中心声誉的，扣1分/人次；③发现员工上班吵架现象扣1分/人次</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6、健全考勤制度，按时到岗，不迟到、早退</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①不按规定考勤、出勤率低于合同标准，扣1分/人次；②发现有迟到、早退、离岗现象，扣1分/人次；③上班做私事，扣1分/人次。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7、遵守中心各项规定</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①违反中心各项规定的扣1分/人次；②发现员工有故意行为，除追究其责任外扣1分/人次；③不服从管理或推诿扯皮的扣1分/次。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285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8、服务规范，态度热情，整改及时，严格落实设备的操作维修规定，定期维护</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①态度冷漠、蛮横粗鲁，与服务对象发生争吵扣2分/次；</w:t>
            </w:r>
            <w:r>
              <w:rPr>
                <w:rFonts w:ascii="宋体" w:hAnsi="宋体" w:eastAsia="宋体" w:cs="宋体"/>
                <w:color w:val="000000"/>
                <w:szCs w:val="21"/>
                <w:highlight w:val="none"/>
              </w:rPr>
              <w:t xml:space="preserve">②服务对象向中心投诉，查实的扣2分/次；③未按要求，在指定区域放置警示标志的，扣1分/次，造成事故的，物业承担相应责任；④出现违规操作设施设备的，扣1分/次，造成事故的，物业承担相应责任；⑤上月存在的问题，次月未整改或重复出现的，以2倍分扣除。</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9、档案管理科学，规范</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①未对现有施、竣工图进行整理熟悉的</w:t>
            </w:r>
            <w:r>
              <w:rPr>
                <w:rFonts w:ascii="宋体" w:hAnsi="宋体" w:eastAsia="宋体" w:cs="宋体"/>
                <w:color w:val="000000"/>
                <w:szCs w:val="21"/>
                <w:highlight w:val="none"/>
              </w:rPr>
              <w:t xml:space="preserve">，扣1分/次；②日常报修维护记录，归档存档不连续的，扣1分/次。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68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710"/>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二、供电运维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1、制定供电设备安全运行岗位责任和值班制，定期对供电设备和线路进行巡查维保</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①线路设备巡检、保养记录不全，扣1分/次；②各设备安全操作章程未按规定上墙的，扣1分/次；③因配电间(含楼层巡检)值班责任心不强，造成事故的，物业承担相应责任，扣2分/次。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2、做好设备和强弱电房间的卫生清理工作</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①检查发现有堆杂物，扣1分/次；②发现有灰尘、鼠虫害现象，扣1分/次; ③无巡检维保台帐记录，扣1分/次。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jc w:val="lef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3、做好“四中心”正常的供电保障和停电前主备供转换工作</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①发现有私拉乱接现象，扣1分/次</w:t>
            </w:r>
            <w:r>
              <w:rPr>
                <w:rFonts w:ascii="宋体" w:hAnsi="宋体" w:eastAsia="宋体" w:cs="宋体"/>
                <w:color w:val="000000"/>
                <w:szCs w:val="21"/>
                <w:highlight w:val="none"/>
              </w:rPr>
              <w:t xml:space="preserve">。②检修停电无提前通知，扣1分/次；③临时用电未报中心领导批准，扣1分/次。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三、弱电运维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1、保证弱电各系统正常运行</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①未按规定巡查和督促维保单位维保记录的，扣2分/次</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99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2、监控系统运行正常，24小时值班，并按规定时间保存录像</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①有脱岗、睡岗现象，扣3分/次，造成事故的，物业承担相应责任；②有未经领导批准进入监控室调看录像，扣2分/次；③未按规定期限保存或私自删除录像，扣2分/次，物业承担相应责任；④</w:t>
            </w:r>
            <w:r>
              <w:rPr>
                <w:rFonts w:ascii="宋体" w:hAnsi="宋体" w:eastAsia="宋体" w:cs="宋体"/>
                <w:color w:val="000000"/>
                <w:szCs w:val="21"/>
                <w:highlight w:val="none"/>
              </w:rPr>
              <w:t xml:space="preserve">未及时上报损坏监控设备的，扣2分/次，产生费用物业承担。</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四、消防运维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1、消控室实行24小时双人值班，交接班记录详实</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发现有违反值班制度的行为或在岗不履职行为的，分别扣1—6分，视情况，按扣分值比例，扣除当月消控人员费用。</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56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2、加强巡检维护，确保消防设备设施齐全、完好无损，可随时启用</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按中心要求维修更换或漏换设备设施的，扣1分/次，扣当月维保费用；②未提醒监督维保单位做好维保的，扣1分/次；③消防设备不可用，引发事故的，本项目不得分，并扣除当月消防维保费用,物业承担相应责任。④未对消防安全进行巡检（白、晚各一次）并做好登记的，扣1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五、电梯运维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1、按要求进行维保检修，确保电梯运行良好</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①未按规定对电梯进行维保送检，无记录的，扣1分/次；②在规定时间内未到达维修现场的，扣2分/次，扣当月物业管理费。</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2、电梯通风、照明完好，安全警示齐全</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①紧急情况下电话无人接听或打不通，扣2分/次，造成事故的，物业承担相应责任；②检查发现通风、照明不正常、扣1分/次。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六、空调运维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1、监督维保单位按要求进行检修维保，确保中央空调运行正常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①未提醒和现场监督维保单位及时进行保养，影响使用扣3分/次；②未按约定时间到现场抢修的，扣5分/次和当月空调维保费50%。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68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七、安保管理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1、队伍专业、执勤文明，训练有素、认真负责</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①着装不规范，执勤不文明的，扣1分/次；②因责任心不强，发生责任事故的，除扣1分/次，造成事故的，物业承担相应责任。</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71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2、严格执行24小时双人双岗和定时巡检制度，做好台帐记录</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①出现单岗、脱岗和睡岗或其它违反值班规定的，扣5分/次；②未落实2小时巡检一次的（尤其晚上），扣2分/次，造成事故的，物业承担相应责任；③未落实上下班站岗制度的，扣2分/次。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99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3、人员和车辆进出中心，手续齐全,检查到位</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进出中心外来人员未登记，外来车辆未在在指定位置停放的，扣2分/次；②未对驶离中心车辆进行检查，或放手续不全的入住对象外出的，扣2分/次；③未按疫情防控要求执行，视情况扣2-5分/次。造成事故的，损失由物业承担。</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4、严格落实大宗物资出中心查验制度</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①大宗物资运出中心未查验相关手续的，扣2分/次，造成损失的，物业承担。</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八、环卫管理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1清扫及时、垃圾入桶，外场环境整洁</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①外场发现垃圾或乱堆乱放的，扣2分/次；②外场垃圾未做到日产日清，扣1分/次；③垃圾桶未定期清洗消毒的，扣1分/次。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199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2、楼层内部和公共部位卫生清洁、消毒</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公共部位未巡检或楼内垃圾未及时清运的，扣2分/次；②天台未定期清理或有积水的，扣2分/次；③楼层卫生不到位，有垃圾、灰尘和污垢的，扣2分/次；④未按防疫要求做好公共区域消毒的，扣2分/次。造成损失的，由物业承担。</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3、保洁用具按规定摆放、使用，定期消毒</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①未按要求摆放保洁用具的，除扣1分/次，引发事故的，物业承担相应责任；②未对保洁用具定期消毒或无记录的，扣1分/次；③未按区域分划使用保洁用具的，扣2分/次。。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jc w:val="left"/>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九、房屋养护</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楼房维护、巡检制度完善，维修及时，记录完整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①未按规定的路线、内容进行巡检到位、无记录，扣3分/次，造成损失的，由物业承担；②维修、巡检记录不完整的，扣2分/次。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十、绿化管理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花草树木定期修剪养护，长势良好，无杂草枯枝</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①未对绿化进行季节性维护的，扣1分/次；②未及时对绿化进行除草除害的，1分/次；③因维护不当引起绿植死亡的，除扣3分/次外，更换所产生的费用，由物业承担。</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2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十一、给排水运维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对给排水系统进行日常维护保养，保持正常运行</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定期对给排水系统进行维护、润滑，未做扣2分；②每季对楼宇排水总管进行检查，定期对水泵、管道进行防锈处理，未做扣1分③每天检查一次污水泵、提升泵、排水泵、阀门等，未完成扣2分；④生活水箱定期清洗，确保水质无污染，不符要求扣5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68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4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十二、日常维修</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对各类报修响应及时；根据维修难易程度在合理的时间内及时修复；室外设施经常保持完好</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w:t>
            </w:r>
            <w:r>
              <w:rPr>
                <w:rFonts w:ascii="宋体" w:hAnsi="宋体" w:eastAsia="宋体" w:cs="宋体"/>
                <w:color w:val="000000"/>
                <w:szCs w:val="21"/>
                <w:highlight w:val="none"/>
              </w:rPr>
              <w:t xml:space="preserve">建立日常巡检制度，能及时发现问题并修复。无制度扣3分，巡检效果差视情扣2-5分。②接到报修通知后维修人员一般应在15钟内到达现场，否则扣2分/次；③简单维修当场完成，维修难度大的制定方案，报业主审核确定后按时完成,不能按时完成维修的，扣2分/次；④确保维修质量，维修完成后应请由业主方有关人员确认，否则扣1分/次；⑤园内设施不及时修复的，根据情况扣2-5分；⑥外来工程施工维护，未派现场协调监督的，扣2分/次；⑦所有需更换维修零配件，无询价、发票等手续不全的，均由物业承担。</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171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十三、安全生产</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安全管理要求</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安全岗位责任、安全检查、安全整改、安全教育、安全会议、安全活动、应急处置、特殊岗位作业、施工、维保作业、安全应知应会等相关方面未按相关安全要求执行，按照安全员检查实际情况考核扣分。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十三、加分项目</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工作尽心尽责，积极参加中心的各种活动，积极维护集体荣誉，并做出显著成绩</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①得到中心服务对象表扬信，加3-5分/次；</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②及时发现或积极参与各类突发事件处理，取得较好成效，加5分/次。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jc w:val="lef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7755" w:type="dxa"/>
            <w:vAlign w:val="center"/>
            <w:textDirection w:val="lrTb"/>
            <w:noWrap w:val="false"/>
          </w:tcPr>
          <w:p>
            <w:pPr>
              <w:pStyle w:val="68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合计得分        </w:t>
            </w:r>
            <w:r>
              <w:rPr>
                <w:rFonts w:hint="eastAsia" w:ascii="宋体" w:hAnsi="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68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682"/>
        <w:rPr>
          <w:color w:val="000000"/>
          <w:sz w:val="28"/>
          <w:szCs w:val="28"/>
          <w:highlight w:val="none"/>
        </w:rPr>
      </w:pPr>
      <w:r>
        <w:rPr>
          <w:rFonts w:hint="eastAsia" w:ascii="宋体" w:hAnsi="宋体"/>
          <w:bCs/>
          <w:color w:val="000000"/>
          <w:sz w:val="24"/>
          <w:szCs w:val="24"/>
          <w:highlight w:val="none"/>
          <w:lang w:val="en-US" w:eastAsia="zh-CN"/>
        </w:rPr>
        <w:t xml:space="preserve">8.</w:t>
      </w:r>
      <w:r>
        <w:rPr>
          <w:color w:val="000000"/>
          <w:sz w:val="28"/>
          <w:szCs w:val="28"/>
          <w:highlight w:val="none"/>
        </w:rPr>
        <w:t xml:space="preserve">关于中标后项目进行分包的要求</w:t>
      </w:r>
      <w:r>
        <w:rPr>
          <w:color w:val="000000"/>
          <w:sz w:val="28"/>
          <w:szCs w:val="28"/>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（1）分包内容及要求</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本项目中的【</w:t>
      </w:r>
      <w:r>
        <w:rPr>
          <w:rFonts w:hint="eastAsia" w:ascii="宋体" w:hAnsi="宋体"/>
          <w:bCs/>
          <w:color w:val="000000"/>
          <w:sz w:val="24"/>
          <w:szCs w:val="24"/>
          <w:highlight w:val="none"/>
          <w:lang w:val="en-US" w:eastAsia="zh-CN"/>
        </w:rPr>
        <w:t xml:space="preserve">电梯系统维保</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消防系统</w:t>
      </w:r>
      <w:r>
        <w:rPr>
          <w:rFonts w:hint="eastAsia" w:ascii="宋体" w:hAnsi="宋体" w:eastAsia="宋体" w:cs="宋体"/>
          <w:b w:val="0"/>
          <w:bCs/>
          <w:color w:val="000000"/>
          <w:sz w:val="24"/>
          <w:szCs w:val="24"/>
          <w:highlight w:val="none"/>
          <w:shd w:val="clear" w:color="auto" w:fill="auto"/>
          <w:lang w:val="en-US" w:eastAsia="zh-CN"/>
        </w:rPr>
        <w:t xml:space="preserve">维护</w:t>
      </w:r>
      <w:r>
        <w:rPr>
          <w:rFonts w:hint="eastAsia" w:ascii="宋体" w:hAnsi="宋体"/>
          <w:bCs/>
          <w:color w:val="000000"/>
          <w:sz w:val="24"/>
          <w:szCs w:val="24"/>
          <w:highlight w:val="none"/>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rPr>
          <w:rFonts w:ascii="宋体" w:hAnsi="宋体"/>
          <w:bCs/>
          <w:color w:val="000000"/>
          <w:sz w:val="24"/>
          <w:szCs w:val="24"/>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【分包事项1】</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分包具体内容：电梯系统维保。</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分包金额或比例：不超过预算金额1.3%</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或分包供应商资质条件：具备有效的质量技术监督行政主管部门颁发的电梯安装、维修C级（含）以上资质或者市场监督管理部门颁发的《中华人民共和国特种设备生产许可证》（具备许可项目为电梯安装（含修理），许可子项目为曳引驱动乘客电梯）。</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【分包事项2】</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分包具体内容：消防系统维保</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分包金额或比例：不超过预算金额1.6%</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投标人或分包供应商资质条件：供应商具备社会消防技术服务信息系统中消防设施维护保养检测类企业，以“社会消防技术服务信息系统”网站查询结果为准。</w:t>
      </w:r>
      <w:r>
        <w:rPr>
          <w:rFonts w:hint="eastAsia" w:ascii="宋体" w:hAnsi="宋体"/>
          <w:bCs/>
          <w:color w:val="000000"/>
          <w:sz w:val="24"/>
          <w:szCs w:val="21"/>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（3）投标人须提供的材料</w:t>
      </w:r>
      <w:r>
        <w:rPr>
          <w:rFonts w:ascii="宋体" w:hAnsi="宋体"/>
          <w:bCs/>
          <w:color w:val="000000"/>
          <w:sz w:val="24"/>
          <w:szCs w:val="24"/>
          <w:highlight w:val="none"/>
        </w:rPr>
      </w:r>
      <w:r/>
    </w:p>
    <w:p>
      <w:pPr>
        <w:pStyle w:val="682"/>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针对分包事项，如投标人中标后需要采取分包方式履行合同的，则投标人须在投标文件中载明分包承担主体（即分包供应商）名称，</w:t>
      </w:r>
      <w:r>
        <w:rPr>
          <w:rFonts w:hint="eastAsia" w:ascii="宋体" w:hAnsi="宋体"/>
          <w:b/>
          <w:bCs/>
          <w:color w:val="000000"/>
          <w:sz w:val="24"/>
          <w:szCs w:val="24"/>
          <w:highlight w:val="none"/>
          <w:u w:val="single"/>
        </w:rPr>
        <w:t xml:space="preserve">投标时须提供相应分包事项的《分包意向协议》（格式自拟），《分包意向协议》中须明确分包供应商的名称，且盖有投标人公章及分包供应商公章。</w:t>
      </w:r>
      <w:r>
        <w:rPr>
          <w:rFonts w:hint="eastAsia" w:ascii="宋体" w:hAnsi="宋体"/>
          <w:bCs/>
          <w:color w:val="000000"/>
          <w:sz w:val="24"/>
          <w:szCs w:val="24"/>
          <w:highlight w:val="none"/>
        </w:rPr>
        <w:t xml:space="preserve">针对分包事项，如投标人中标后能够独立履行合同的，</w:t>
      </w:r>
      <w:r>
        <w:rPr>
          <w:rFonts w:hint="eastAsia" w:ascii="宋体" w:hAnsi="宋体"/>
          <w:b/>
          <w:bCs/>
          <w:color w:val="000000"/>
          <w:sz w:val="24"/>
          <w:szCs w:val="24"/>
          <w:highlight w:val="none"/>
          <w:u w:val="single"/>
        </w:rPr>
        <w:t xml:space="preserve">则投标时须提供投标人承诺函（格式自拟），并加盖投标人公章。</w:t>
      </w:r>
      <w:r>
        <w:rPr>
          <w:rFonts w:ascii="宋体" w:hAnsi="宋体"/>
          <w:b/>
          <w:bCs/>
          <w:color w:val="000000"/>
          <w:sz w:val="24"/>
          <w:szCs w:val="24"/>
          <w:highlight w:val="none"/>
        </w:rPr>
      </w:r>
      <w:r/>
    </w:p>
    <w:p>
      <w:pPr>
        <w:pStyle w:val="682"/>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针对分包事项应具备的资质条件要求，如投标人中标后需要采取分包方式履行合同的，</w:t>
      </w:r>
      <w:r>
        <w:rPr>
          <w:rFonts w:hint="eastAsia" w:ascii="宋体" w:hAnsi="宋体"/>
          <w:b/>
          <w:bCs/>
          <w:color w:val="000000"/>
          <w:sz w:val="24"/>
          <w:szCs w:val="24"/>
          <w:highlight w:val="none"/>
          <w:u w:val="single"/>
        </w:rPr>
        <w:t xml:space="preserve">投标时须提供分包供应商的相应资质证明扫描件或复印件并上传至投标系统。</w:t>
      </w:r>
      <w:r>
        <w:rPr>
          <w:rFonts w:hint="eastAsia" w:ascii="宋体" w:hAnsi="宋体"/>
          <w:bCs/>
          <w:color w:val="000000"/>
          <w:sz w:val="24"/>
          <w:szCs w:val="24"/>
          <w:highlight w:val="none"/>
        </w:rPr>
        <w:t xml:space="preserve">针对分包事项应具备的资质条件要求，如投标人中标后能够独立履行合同的，</w:t>
      </w:r>
      <w:r>
        <w:rPr>
          <w:rFonts w:hint="eastAsia" w:ascii="宋体" w:hAnsi="宋体"/>
          <w:b/>
          <w:bCs/>
          <w:color w:val="000000"/>
          <w:sz w:val="24"/>
          <w:szCs w:val="24"/>
          <w:highlight w:val="none"/>
          <w:u w:val="single"/>
        </w:rPr>
        <w:t xml:space="preserve">则投标时须提供投标人的相应资质证明扫描件或复印件并上传至投标系统。</w:t>
      </w:r>
      <w:r>
        <w:rPr>
          <w:rFonts w:ascii="宋体" w:hAnsi="宋体"/>
          <w:b/>
          <w:bCs/>
          <w:color w:val="000000"/>
          <w:sz w:val="24"/>
          <w:szCs w:val="24"/>
          <w:highlight w:val="none"/>
        </w:rPr>
      </w:r>
      <w:r/>
    </w:p>
    <w:p>
      <w:pPr>
        <w:pStyle w:val="682"/>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投标人须根据上述情况提供相应证明材料，并上传至投标系统，否则投标文件无效。</w:t>
      </w:r>
      <w:r>
        <w:rPr>
          <w:rFonts w:ascii="宋体" w:hAnsi="宋体"/>
          <w:b/>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（4）关于中小企业的要求</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（5）其他要求</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color w:val="000000"/>
          <w:sz w:val="24"/>
          <w:szCs w:val="24"/>
          <w:highlight w:val="none"/>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color w:val="000000"/>
          <w:sz w:val="24"/>
          <w:szCs w:val="24"/>
          <w:highlight w:val="none"/>
        </w:rPr>
      </w:r>
      <w:r/>
    </w:p>
    <w:p>
      <w:pPr>
        <w:pStyle w:val="68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82"/>
        <w:ind w:firstLine="480"/>
        <w:spacing w:line="360" w:lineRule="auto"/>
        <w:rPr>
          <w:rFonts w:ascii="宋体" w:hAnsi="宋体"/>
          <w:b/>
          <w:color w:val="000000"/>
          <w:sz w:val="30"/>
          <w:szCs w:val="30"/>
          <w:highlight w:val="none"/>
        </w:rPr>
      </w:pPr>
      <w:r>
        <w:rPr>
          <w:rFonts w:ascii="宋体" w:hAnsi="宋体"/>
          <w:bCs/>
          <w:color w:val="000000"/>
          <w:sz w:val="24"/>
          <w:szCs w:val="24"/>
          <w:highlight w:val="none"/>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682"/>
        <w:numPr>
          <w:ilvl w:val="1"/>
          <w:numId w:val="9"/>
        </w:numPr>
        <w:ind w:left="0" w:firstLine="480"/>
        <w:spacing w:line="360" w:lineRule="auto"/>
        <w:tabs>
          <w:tab w:val="left" w:pos="780" w:leader="none"/>
          <w:tab w:val="left" w:pos="945" w:leader="none"/>
        </w:tabs>
        <w:rPr>
          <w:rFonts w:ascii="宋体"/>
          <w:bCs/>
          <w:color w:val="000000"/>
          <w:sz w:val="24"/>
          <w:szCs w:val="24"/>
          <w:highlight w:val="none"/>
        </w:rPr>
      </w:pPr>
      <w:r>
        <w:rPr>
          <w:rFonts w:hint="eastAsia" w:ascii="宋体" w:hAnsi="宋体"/>
          <w:color w:val="000000"/>
          <w:sz w:val="24"/>
          <w:szCs w:val="24"/>
          <w:highlight w:val="none"/>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highlight w:val="none"/>
        </w:rPr>
      </w:r>
      <w:r/>
    </w:p>
    <w:p>
      <w:pPr>
        <w:pStyle w:val="682"/>
        <w:numPr>
          <w:ilvl w:val="1"/>
          <w:numId w:val="9"/>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olor w:val="000000"/>
          <w:sz w:val="24"/>
          <w:highlight w:val="none"/>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highlight w:val="none"/>
        </w:rPr>
      </w:r>
      <w:r/>
    </w:p>
    <w:p>
      <w:pPr>
        <w:pStyle w:val="682"/>
        <w:numPr>
          <w:ilvl w:val="1"/>
          <w:numId w:val="9"/>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中标单位应按照相关规定，与所有聘用人员依法签订劳动合同。</w:t>
      </w:r>
      <w:r>
        <w:rPr>
          <w:rFonts w:ascii="宋体"/>
          <w:bCs/>
          <w:color w:val="000000"/>
          <w:sz w:val="24"/>
          <w:szCs w:val="24"/>
          <w:highlight w:val="none"/>
        </w:rPr>
      </w:r>
      <w:r/>
    </w:p>
    <w:p>
      <w:pPr>
        <w:pStyle w:val="682"/>
        <w:numPr>
          <w:ilvl w:val="1"/>
          <w:numId w:val="9"/>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投标人必须在满足采购文件要求的基础上进行报价，如有服务偏离请于投标偏离表中说明。</w:t>
      </w:r>
      <w:r>
        <w:rPr>
          <w:rFonts w:ascii="宋体"/>
          <w:bCs/>
          <w:color w:val="000000"/>
          <w:sz w:val="24"/>
          <w:szCs w:val="24"/>
          <w:highlight w:val="none"/>
        </w:rPr>
      </w:r>
      <w:r/>
    </w:p>
    <w:p>
      <w:pPr>
        <w:pStyle w:val="682"/>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服务期限：自签订服务合同生效之日起一年。</w:t>
      </w:r>
      <w:r>
        <w:rPr>
          <w:rFonts w:hint="eastAsia" w:ascii="宋体" w:hAnsi="宋体" w:eastAsia="宋体" w:cs="Times New Roman"/>
          <w:bCs/>
          <w:color w:val="000000"/>
          <w:sz w:val="24"/>
          <w:szCs w:val="24"/>
          <w:highlight w:val="none"/>
        </w:rPr>
      </w:r>
      <w:r/>
    </w:p>
    <w:p>
      <w:pPr>
        <w:pStyle w:val="682"/>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付款方式：物业管理费自签订合同生效之日起算，每个月经四中心考核后支付服务费，其中不可竞争费按照残疾人托养中心和无锡市老龄工作发展促进中心的结算方式单独结算。</w:t>
      </w:r>
      <w:r>
        <w:rPr>
          <w:rFonts w:hint="eastAsia" w:ascii="宋体" w:hAnsi="宋体" w:eastAsia="宋体" w:cs="Times New Roman"/>
          <w:bCs/>
          <w:color w:val="000000"/>
          <w:sz w:val="24"/>
          <w:szCs w:val="24"/>
          <w:highlight w:val="none"/>
        </w:rPr>
      </w:r>
      <w:r/>
    </w:p>
    <w:p>
      <w:pPr>
        <w:pStyle w:val="682"/>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中标（成交）供应商以履约保函（保险）形式按签约合同价的</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%提供履约担保。中标（成交）供应商可采用电子履约保函（保险）形式,具体操作可登录江苏政府采购网的保险保函模块进行办理。</w:t>
      </w:r>
      <w:r>
        <w:rPr>
          <w:rFonts w:hint="eastAsia" w:ascii="宋体" w:hAnsi="宋体" w:eastAsia="宋体" w:cs="Times New Roman"/>
          <w:bCs/>
          <w:color w:val="000000"/>
          <w:sz w:val="24"/>
          <w:szCs w:val="24"/>
          <w:highlight w:val="none"/>
        </w:rPr>
      </w:r>
      <w:r/>
    </w:p>
    <w:p>
      <w:pPr>
        <w:pStyle w:val="682"/>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本项目合同履行地点：江溪街道南山慈善家园。中标方必须按采购人要求将本项目中货物送到指定地点(包括可能的分布范围)，并分地实施安装调试。</w:t>
      </w:r>
      <w:r>
        <w:rPr>
          <w:rFonts w:hint="eastAsia" w:ascii="宋体" w:hAnsi="宋体" w:eastAsia="宋体" w:cs="Times New Roman"/>
          <w:bCs/>
          <w:color w:val="000000"/>
          <w:sz w:val="24"/>
          <w:szCs w:val="24"/>
          <w:highlight w:val="none"/>
        </w:rPr>
      </w:r>
      <w:r/>
    </w:p>
    <w:p>
      <w:pPr>
        <w:pStyle w:val="682"/>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682"/>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82"/>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82"/>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82"/>
        <w:ind w:left="525"/>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bCs/>
          <w:color w:val="000000"/>
          <w:sz w:val="24"/>
          <w:szCs w:val="24"/>
          <w:highlight w:val="none"/>
        </w:rPr>
      </w:r>
      <w:r/>
    </w:p>
    <w:p>
      <w:pPr>
        <w:pStyle w:val="682"/>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rFonts w:hint="eastAsia" w:ascii="宋体" w:hAnsi="宋体"/>
          <w:b/>
          <w:bCs/>
          <w:color w:val="000000"/>
          <w:sz w:val="30"/>
          <w:szCs w:val="30"/>
          <w:highlight w:val="none"/>
        </w:rPr>
      </w:r>
      <w:r/>
    </w:p>
    <w:p>
      <w:pPr>
        <w:pStyle w:val="682"/>
        <w:numPr>
          <w:ilvl w:val="1"/>
          <w:numId w:val="10"/>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682"/>
        <w:numPr>
          <w:ilvl w:val="1"/>
          <w:numId w:val="10"/>
        </w:numPr>
        <w:ind w:left="0" w:firstLine="525"/>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highlight w:val="none"/>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highlight w:val="none"/>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000000"/>
          <w:sz w:val="24"/>
          <w:szCs w:val="24"/>
          <w:highlight w:val="none"/>
        </w:rPr>
      </w:r>
      <w:r/>
    </w:p>
    <w:p>
      <w:pPr>
        <w:pStyle w:val="682"/>
        <w:numPr>
          <w:ilvl w:val="1"/>
          <w:numId w:val="10"/>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682"/>
        <w:numPr>
          <w:ilvl w:val="1"/>
          <w:numId w:val="10"/>
        </w:numPr>
        <w:ind w:left="0" w:firstLine="525"/>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ascii="宋体"/>
          <w:bCs/>
          <w:color w:val="000000"/>
          <w:sz w:val="24"/>
          <w:szCs w:val="24"/>
          <w:highlight w:val="none"/>
        </w:rPr>
      </w:r>
      <w:r/>
    </w:p>
    <w:p>
      <w:pPr>
        <w:pStyle w:val="682"/>
        <w:numPr>
          <w:ilvl w:val="1"/>
          <w:numId w:val="10"/>
        </w:numPr>
        <w:ind w:left="0" w:firstLine="525"/>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ascii="宋体" w:hAnsi="宋体" w:cs="宋体"/>
          <w:color w:val="000000"/>
          <w:sz w:val="24"/>
          <w:szCs w:val="24"/>
          <w:highlight w:val="none"/>
        </w:rPr>
      </w:r>
      <w:r/>
    </w:p>
    <w:p>
      <w:pPr>
        <w:pStyle w:val="682"/>
        <w:numPr>
          <w:ilvl w:val="1"/>
          <w:numId w:val="10"/>
        </w:numPr>
        <w:ind w:left="0" w:firstLine="525"/>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highlight w:val="none"/>
        </w:rPr>
      </w:r>
      <w:r/>
    </w:p>
    <w:p>
      <w:pPr>
        <w:pStyle w:val="682"/>
        <w:ind w:firstLine="48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highlight w:val="none"/>
        </w:rPr>
      </w:r>
      <w:r/>
    </w:p>
    <w:p>
      <w:pPr>
        <w:pStyle w:val="682"/>
        <w:numPr>
          <w:ilvl w:val="1"/>
          <w:numId w:val="1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682"/>
        <w:numPr>
          <w:ilvl w:val="1"/>
          <w:numId w:val="1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lang w:val="en"/>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lang w:val="en"/>
        </w:rPr>
      </w:r>
      <w:r/>
    </w:p>
    <w:p>
      <w:pPr>
        <w:pStyle w:val="682"/>
        <w:numPr>
          <w:ilvl w:val="1"/>
          <w:numId w:val="1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rPr>
      </w:r>
      <w:r/>
    </w:p>
    <w:p>
      <w:pPr>
        <w:pStyle w:val="682"/>
        <w:numPr>
          <w:ilvl w:val="1"/>
          <w:numId w:val="1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93" w:name="OLE_LINK2"/>
      <w:r/>
      <w:bookmarkStart w:id="194" w:name="OLE_LINK1"/>
      <w:r>
        <w:rPr>
          <w:rFonts w:hint="eastAsia" w:ascii="宋体"/>
          <w:bCs/>
          <w:color w:val="000000"/>
          <w:sz w:val="24"/>
          <w:szCs w:val="24"/>
          <w:highlight w:val="none"/>
        </w:rPr>
        <w:t xml:space="preserve">《保障中小企业款项支付条例》（中华人民共和国国务院令第802号）</w:t>
      </w:r>
      <w:bookmarkEnd w:id="193"/>
      <w:r/>
      <w:bookmarkEnd w:id="194"/>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lang w:val="en"/>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lang w:val="en"/>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lang w:val="en"/>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682"/>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95" w:name="_Toc120614281"/>
      <w:r>
        <w:rPr>
          <w:rFonts w:hint="eastAsia" w:ascii="黑体" w:hAnsi="黑体" w:eastAsia="黑体"/>
          <w:color w:val="000000"/>
          <w:sz w:val="36"/>
          <w:szCs w:val="36"/>
          <w:highlight w:val="none"/>
        </w:rPr>
        <w:t xml:space="preserve">第五章  评标方法与评标标准</w:t>
      </w:r>
      <w:r>
        <w:rPr>
          <w:rFonts w:hint="eastAsia" w:ascii="黑体" w:hAnsi="黑体" w:eastAsia="黑体"/>
          <w:color w:val="000000"/>
          <w:sz w:val="36"/>
          <w:szCs w:val="36"/>
          <w:highlight w:val="none"/>
        </w:rPr>
      </w:r>
      <w:r/>
    </w:p>
    <w:p>
      <w:pPr>
        <w:pStyle w:val="770"/>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rPr>
          <w:rFonts w:hint="eastAsia" w:cs="Arial"/>
          <w:b/>
          <w:color w:val="000000"/>
          <w:sz w:val="30"/>
          <w:szCs w:val="30"/>
          <w:highlight w:val="none"/>
        </w:rPr>
      </w:r>
      <w:r/>
    </w:p>
    <w:p>
      <w:pPr>
        <w:pStyle w:val="770"/>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rPr>
          <w:rFonts w:hint="eastAsia" w:cs="Arial"/>
          <w:color w:val="000000"/>
          <w:highlight w:val="none"/>
        </w:rPr>
      </w:r>
      <w:r/>
    </w:p>
    <w:p>
      <w:pPr>
        <w:pStyle w:val="770"/>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rPr>
          <w:rFonts w:hint="eastAsia" w:cs="Arial"/>
          <w:color w:val="000000"/>
          <w:highlight w:val="none"/>
        </w:rPr>
      </w:r>
      <w:r/>
    </w:p>
    <w:p>
      <w:pPr>
        <w:pStyle w:val="770"/>
        <w:spacing w:before="0" w:after="0" w:line="500" w:lineRule="exact"/>
        <w:rPr>
          <w:rStyle w:val="759"/>
          <w:rFonts w:ascii="Times New Roman" w:hAnsi="Times New Roman"/>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759"/>
          <w:rFonts w:ascii="Times New Roman" w:hAnsi="Times New Roman"/>
          <w:color w:val="000000"/>
          <w:highlight w:val="none"/>
        </w:rPr>
      </w:r>
      <w:r/>
    </w:p>
    <w:p>
      <w:pPr>
        <w:pStyle w:val="770"/>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highlight w:val="none"/>
        </w:rPr>
      </w:r>
      <w:r/>
    </w:p>
    <w:p>
      <w:pPr>
        <w:pStyle w:val="770"/>
        <w:spacing w:before="0" w:after="0" w:line="500" w:lineRule="exact"/>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hint="eastAsia" w:cs="Arial"/>
          <w:b/>
          <w:color w:val="000000"/>
          <w:sz w:val="30"/>
          <w:szCs w:val="30"/>
          <w:highlight w:val="none"/>
        </w:rPr>
      </w:r>
      <w:r/>
    </w:p>
    <w:p>
      <w:pPr>
        <w:pStyle w:val="770"/>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hint="eastAsia" w:ascii="宋体" w:hAnsi="宋体"/>
          <w:b/>
          <w:color w:val="000000"/>
          <w:sz w:val="28"/>
          <w:szCs w:val="28"/>
          <w:highlight w:val="none"/>
        </w:rPr>
      </w:r>
      <w:r/>
    </w:p>
    <w:p>
      <w:pPr>
        <w:pStyle w:val="682"/>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8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68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highlight w:val="none"/>
        </w:rPr>
      </w:r>
      <w:r/>
    </w:p>
    <w:p>
      <w:pPr>
        <w:pStyle w:val="68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682"/>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rPr>
          <w:rFonts w:hint="eastAsia" w:ascii="宋体" w:hAnsi="宋体"/>
          <w:bCs/>
          <w:color w:val="000000"/>
          <w:sz w:val="24"/>
          <w:szCs w:val="24"/>
          <w:highlight w:val="none"/>
        </w:rPr>
      </w:r>
      <w:r/>
    </w:p>
    <w:p>
      <w:pPr>
        <w:pStyle w:val="68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68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82"/>
        <w:ind w:firstLine="480"/>
        <w:jc w:val="left"/>
        <w:spacing w:line="500" w:lineRule="exact"/>
        <w:rPr>
          <w:rFonts w:ascii="宋体" w:hAnsi="宋体"/>
          <w:color w:val="000000"/>
          <w:highlight w:val="none"/>
          <w:shd w:val="clear" w:color="ffffff" w:fill="d9d9d9"/>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rFonts w:ascii="宋体" w:hAnsi="宋体"/>
          <w:color w:val="000000"/>
          <w:highlight w:val="none"/>
          <w:shd w:val="clear" w:color="ffffff" w:fill="d9d9d9"/>
        </w:rPr>
      </w:r>
      <w:r/>
    </w:p>
    <w:p>
      <w:pPr>
        <w:pStyle w:val="770"/>
        <w:numPr>
          <w:ilvl w:val="0"/>
          <w:numId w:val="11"/>
        </w:numPr>
        <w:ind w:firstLine="42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评分标准</w:t>
      </w:r>
      <w:r>
        <w:rPr>
          <w:rFonts w:hint="eastAsia" w:ascii="宋体" w:hAnsi="宋体"/>
          <w:b/>
          <w:color w:val="000000"/>
          <w:sz w:val="28"/>
          <w:szCs w:val="28"/>
          <w:highlight w:val="none"/>
        </w:rPr>
      </w:r>
      <w:r/>
    </w:p>
    <w:p>
      <w:pPr>
        <w:pStyle w:val="682"/>
        <w:ind w:firstLine="562"/>
        <w:spacing w:line="500" w:lineRule="exact"/>
        <w:tabs>
          <w:tab w:val="left" w:pos="945" w:leader="none"/>
          <w:tab w:val="left" w:pos="1155" w:leader="none"/>
          <w:tab w:val="left" w:pos="3823" w:leader="none"/>
        </w:tabs>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highlight w:val="none"/>
          <w:u w:val="single"/>
        </w:rPr>
      </w:r>
      <w:r/>
    </w:p>
    <w:p>
      <w:pPr>
        <w:pStyle w:val="770"/>
        <w:ind w:firstLine="42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（一）商务部分（</w:t>
      </w:r>
      <w:r>
        <w:rPr>
          <w:rFonts w:hint="eastAsia" w:ascii="宋体" w:hAnsi="宋体"/>
          <w:b/>
          <w:color w:val="000000"/>
          <w:sz w:val="28"/>
          <w:szCs w:val="28"/>
          <w:highlight w:val="none"/>
          <w:lang w:val="en-US" w:eastAsia="zh-CN"/>
        </w:rPr>
        <w:t xml:space="preserve">50</w:t>
      </w:r>
      <w:r>
        <w:rPr>
          <w:rFonts w:hint="eastAsia" w:ascii="宋体" w:hAnsi="宋体"/>
          <w:b/>
          <w:color w:val="000000"/>
          <w:sz w:val="28"/>
          <w:szCs w:val="28"/>
          <w:highlight w:val="none"/>
        </w:rPr>
        <w:t xml:space="preserve">分）</w:t>
      </w:r>
      <w:r>
        <w:rPr>
          <w:rFonts w:hint="eastAsia" w:ascii="宋体" w:hAnsi="宋体"/>
          <w:b/>
          <w:color w:val="000000"/>
          <w:sz w:val="28"/>
          <w:szCs w:val="28"/>
          <w:highlight w:val="none"/>
        </w:rPr>
      </w:r>
      <w:r/>
    </w:p>
    <w:p>
      <w:pPr>
        <w:pStyle w:val="682"/>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25</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82"/>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highlight w:val="none"/>
        </w:rPr>
      </w:r>
      <w:r/>
    </w:p>
    <w:p>
      <w:pPr>
        <w:pStyle w:val="682"/>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82"/>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rPr>
          <w:rFonts w:hint="eastAsia" w:ascii="宋体" w:hAnsi="宋体"/>
          <w:bCs/>
          <w:color w:val="000000"/>
          <w:sz w:val="24"/>
          <w:szCs w:val="24"/>
          <w:highlight w:val="none"/>
        </w:rPr>
      </w:r>
      <w:r/>
    </w:p>
    <w:p>
      <w:pPr>
        <w:pStyle w:val="682"/>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人员配置情况（</w:t>
      </w:r>
      <w:r>
        <w:rPr>
          <w:rFonts w:hint="eastAsia" w:ascii="宋体" w:hAnsi="宋体"/>
          <w:b/>
          <w:bCs/>
          <w:color w:val="000000"/>
          <w:sz w:val="24"/>
          <w:szCs w:val="24"/>
          <w:highlight w:val="none"/>
          <w:lang w:val="en-US" w:eastAsia="zh-CN"/>
        </w:rPr>
        <w:t xml:space="preserve">19</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hint="eastAsia" w:ascii="宋体" w:hAnsi="宋体"/>
          <w:b/>
          <w:bCs/>
          <w:color w:val="000000"/>
          <w:sz w:val="24"/>
          <w:szCs w:val="21"/>
          <w:highlight w:val="none"/>
        </w:rPr>
        <w:t xml:space="preserve">实际到岗人员资质需与投标时一致。违反该条款，甲方有权拒绝支付相应报酬。</w:t>
      </w:r>
      <w:r>
        <w:rPr>
          <w:rFonts w:ascii="宋体" w:hAnsi="宋体"/>
          <w:b/>
          <w:bCs/>
          <w:color w:val="000000"/>
          <w:sz w:val="24"/>
          <w:szCs w:val="24"/>
          <w:highlight w:val="none"/>
        </w:rPr>
      </w:r>
      <w:r/>
    </w:p>
    <w:p>
      <w:pPr>
        <w:pStyle w:val="682"/>
        <w:numPr>
          <w:ilvl w:val="6"/>
          <w:numId w:val="13"/>
        </w:numPr>
        <w:ind w:left="0" w:firstLine="480"/>
        <w:spacing w:line="500" w:lineRule="exact"/>
        <w:tabs>
          <w:tab w:val="clear" w:pos="309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项目经理（4分）：</w:t>
      </w:r>
      <w:r>
        <w:rPr>
          <w:rFonts w:hint="eastAsia" w:ascii="宋体" w:hAnsi="宋体"/>
          <w:bCs/>
          <w:color w:val="000000"/>
          <w:sz w:val="24"/>
          <w:szCs w:val="21"/>
          <w:highlight w:val="none"/>
          <w:lang w:val="zh-CN"/>
        </w:rPr>
        <w:t xml:space="preserve">50周岁（</w:t>
      </w:r>
      <w:r>
        <w:rPr>
          <w:rFonts w:hint="eastAsia" w:ascii="宋体" w:hAnsi="宋体"/>
          <w:bCs/>
          <w:color w:val="000000"/>
          <w:sz w:val="24"/>
          <w:szCs w:val="21"/>
          <w:highlight w:val="none"/>
        </w:rPr>
        <w:t xml:space="preserve">含</w:t>
      </w:r>
      <w:r>
        <w:rPr>
          <w:rFonts w:hint="eastAsia" w:ascii="宋体" w:hAnsi="宋体"/>
          <w:bCs/>
          <w:color w:val="000000"/>
          <w:sz w:val="24"/>
          <w:szCs w:val="21"/>
          <w:highlight w:val="none"/>
          <w:lang w:val="zh-CN"/>
        </w:rPr>
        <w:t xml:space="preserve">）以下得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分，具有本科及以上学历得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分；持有行政主管部门颁发的中级及以上注册安全工程师证书得2分；消防设施操作员四级（中级工）或建（构）筑物消防员四级及以上职业资格证书得1分。</w:t>
      </w:r>
      <w:r>
        <w:rPr>
          <w:rFonts w:hint="eastAsia" w:ascii="宋体" w:hAnsi="宋体"/>
          <w:color w:val="000000"/>
          <w:sz w:val="24"/>
          <w:highlight w:val="none"/>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【提供项目经理相关证明材料扫描件（加盖投标人公章）及投标人</w:t>
      </w:r>
      <w:r>
        <w:rPr>
          <w:rFonts w:ascii="宋体" w:hAnsi="宋体"/>
          <w:bCs/>
          <w:color w:val="000000"/>
          <w:sz w:val="24"/>
          <w:szCs w:val="21"/>
          <w:highlight w:val="none"/>
          <w:lang w:val="zh-CN"/>
        </w:rPr>
        <w:t xml:space="preserve">近一年中任意一个月</w:t>
      </w:r>
      <w:r>
        <w:rPr>
          <w:rFonts w:hint="eastAsia" w:ascii="宋体" w:hAnsi="宋体"/>
          <w:bCs/>
          <w:color w:val="000000"/>
          <w:sz w:val="24"/>
          <w:szCs w:val="21"/>
          <w:highlight w:val="none"/>
          <w:lang w:val="zh-CN"/>
        </w:rPr>
        <w:t xml:space="preserve">（不含投标当月）为其缴纳社保的缴费证明（需提供带有清晰二维码的官网扫描件）上传系统，未按要求提供不得分】</w:t>
      </w:r>
      <w:r>
        <w:rPr>
          <w:rFonts w:hint="eastAsia" w:ascii="宋体" w:hAnsi="宋体"/>
          <w:bCs/>
          <w:color w:val="000000"/>
          <w:sz w:val="24"/>
          <w:szCs w:val="21"/>
          <w:highlight w:val="none"/>
          <w:lang w:val="zh-CN"/>
        </w:rPr>
      </w:r>
      <w:r/>
    </w:p>
    <w:p>
      <w:pPr>
        <w:pStyle w:val="682"/>
        <w:numPr>
          <w:ilvl w:val="6"/>
          <w:numId w:val="13"/>
        </w:numPr>
        <w:ind w:left="0" w:firstLine="480"/>
        <w:spacing w:line="500" w:lineRule="exact"/>
        <w:tabs>
          <w:tab w:val="clear" w:pos="3090" w:leader="none"/>
        </w:tabs>
        <w:rPr>
          <w:rFonts w:hint="eastAsia" w:ascii="宋体" w:hAnsi="宋体"/>
          <w:color w:val="000000"/>
          <w:sz w:val="24"/>
          <w:highlight w:val="none"/>
        </w:rPr>
      </w:pPr>
      <w:r>
        <w:rPr>
          <w:rFonts w:hint="eastAsia" w:ascii="宋体" w:hAnsi="宋体"/>
          <w:bCs/>
          <w:color w:val="000000"/>
          <w:sz w:val="24"/>
          <w:szCs w:val="21"/>
          <w:highlight w:val="none"/>
          <w:lang w:val="zh-CN"/>
        </w:rPr>
        <w:t xml:space="preserve">管理人员配置（</w:t>
      </w:r>
      <w:r>
        <w:rPr>
          <w:rFonts w:hint="eastAsia" w:ascii="宋体" w:hAnsi="宋体"/>
          <w:bCs/>
          <w:color w:val="000000"/>
          <w:sz w:val="24"/>
          <w:szCs w:val="21"/>
          <w:highlight w:val="none"/>
        </w:rPr>
        <w:t xml:space="preserve">7</w:t>
      </w:r>
      <w:r>
        <w:rPr>
          <w:rFonts w:hint="eastAsia" w:ascii="宋体" w:hAnsi="宋体"/>
          <w:bCs/>
          <w:color w:val="000000"/>
          <w:sz w:val="24"/>
          <w:szCs w:val="21"/>
          <w:highlight w:val="none"/>
          <w:lang w:val="zh-CN"/>
        </w:rPr>
        <w:t xml:space="preserve">分）</w:t>
      </w:r>
      <w:r>
        <w:rPr>
          <w:rFonts w:hint="eastAsia" w:ascii="宋体" w:hAnsi="宋体"/>
          <w:color w:val="000000"/>
          <w:sz w:val="24"/>
          <w:highlight w:val="none"/>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①工程主管（3分）：45周岁以下得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分，具有大专及以上学历得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分；持有工程师（含）以上（建筑工程专业）职称证书得2分。</w:t>
      </w:r>
      <w:r>
        <w:rPr>
          <w:rFonts w:hint="eastAsia" w:ascii="宋体" w:hAnsi="宋体"/>
          <w:bCs/>
          <w:color w:val="000000"/>
          <w:sz w:val="24"/>
          <w:szCs w:val="21"/>
          <w:highlight w:val="none"/>
          <w:lang w:val="zh-CN"/>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②保安主管（3分）：50周岁以下得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分，具有大专及以上学历得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分；持有政府主管颁发的特种设备管理员证书（A证）的得2分。</w:t>
      </w:r>
      <w:r>
        <w:rPr>
          <w:rFonts w:hint="eastAsia" w:ascii="宋体" w:hAnsi="宋体"/>
          <w:bCs/>
          <w:color w:val="000000"/>
          <w:sz w:val="24"/>
          <w:szCs w:val="21"/>
          <w:highlight w:val="none"/>
          <w:lang w:val="zh-CN"/>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③保洁主管（1分）：35周岁以下得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分，具有本科及以上学历得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 </w:t>
      </w:r>
      <w:r>
        <w:rPr>
          <w:rFonts w:hint="eastAsia" w:ascii="宋体" w:hAnsi="宋体"/>
          <w:bCs/>
          <w:color w:val="000000"/>
          <w:sz w:val="24"/>
          <w:szCs w:val="21"/>
          <w:highlight w:val="none"/>
          <w:lang w:val="zh-CN"/>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【以上①—③人员一人多证不重复得分。以上人员须提供相关证明材料扫描件（加盖投标人公章）及投标人</w:t>
      </w:r>
      <w:r>
        <w:rPr>
          <w:rFonts w:ascii="宋体" w:hAnsi="宋体"/>
          <w:bCs/>
          <w:color w:val="000000"/>
          <w:sz w:val="24"/>
          <w:szCs w:val="21"/>
          <w:highlight w:val="none"/>
          <w:lang w:val="zh-CN"/>
        </w:rPr>
        <w:t xml:space="preserve">近一年中任意一个月</w:t>
      </w:r>
      <w:r>
        <w:rPr>
          <w:rFonts w:hint="eastAsia" w:ascii="宋体" w:hAnsi="宋体"/>
          <w:bCs/>
          <w:color w:val="000000"/>
          <w:sz w:val="24"/>
          <w:szCs w:val="21"/>
          <w:highlight w:val="none"/>
          <w:lang w:val="zh-CN"/>
        </w:rPr>
        <w:t xml:space="preserve">（不含投标当月）为其缴纳社保的缴费证明（需提供带有清晰二维码的官网扫描件）上传系统，未按要求提供不得分】</w:t>
      </w:r>
      <w:r>
        <w:rPr>
          <w:rFonts w:hint="eastAsia" w:ascii="宋体" w:hAnsi="宋体"/>
          <w:bCs/>
          <w:color w:val="000000"/>
          <w:sz w:val="24"/>
          <w:szCs w:val="21"/>
          <w:highlight w:val="none"/>
          <w:lang w:val="zh-CN"/>
        </w:rPr>
      </w:r>
      <w:r/>
    </w:p>
    <w:p>
      <w:pPr>
        <w:pStyle w:val="682"/>
        <w:numPr>
          <w:ilvl w:val="6"/>
          <w:numId w:val="13"/>
        </w:numPr>
        <w:ind w:left="0" w:firstLine="480"/>
        <w:spacing w:line="500" w:lineRule="exact"/>
        <w:tabs>
          <w:tab w:val="clear" w:pos="3090" w:leader="none"/>
        </w:tabs>
        <w:rPr>
          <w:rFonts w:hint="eastAsia" w:ascii="宋体" w:hAnsi="宋体"/>
          <w:color w:val="000000"/>
          <w:sz w:val="24"/>
          <w:highlight w:val="none"/>
        </w:rPr>
      </w:pPr>
      <w:r>
        <w:rPr>
          <w:rFonts w:hint="eastAsia" w:ascii="宋体" w:hAnsi="宋体"/>
          <w:bCs/>
          <w:color w:val="000000"/>
          <w:sz w:val="24"/>
          <w:szCs w:val="21"/>
          <w:highlight w:val="none"/>
          <w:lang w:val="zh-CN"/>
        </w:rPr>
        <w:t xml:space="preserve">其他人员配置（</w:t>
      </w:r>
      <w:r>
        <w:rPr>
          <w:rFonts w:hint="eastAsia" w:ascii="宋体" w:hAnsi="宋体"/>
          <w:bCs/>
          <w:color w:val="000000"/>
          <w:sz w:val="24"/>
          <w:szCs w:val="21"/>
          <w:highlight w:val="none"/>
        </w:rPr>
        <w:t xml:space="preserve">8</w:t>
      </w:r>
      <w:r>
        <w:rPr>
          <w:rFonts w:hint="eastAsia" w:ascii="宋体" w:hAnsi="宋体"/>
          <w:bCs/>
          <w:color w:val="000000"/>
          <w:sz w:val="24"/>
          <w:szCs w:val="21"/>
          <w:highlight w:val="none"/>
          <w:lang w:val="zh-CN"/>
        </w:rPr>
        <w:t xml:space="preserve">分）</w:t>
      </w:r>
      <w:r>
        <w:rPr>
          <w:rFonts w:hint="eastAsia" w:ascii="宋体" w:hAnsi="宋体"/>
          <w:color w:val="000000"/>
          <w:sz w:val="24"/>
          <w:highlight w:val="none"/>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①消控室人员：持有行政主管部门颁发的消防设施操作员四级（中级工）或建（构）筑物消防员四级及以上职业资格证书，每张1分，最多得6分。</w:t>
      </w:r>
      <w:r>
        <w:rPr>
          <w:rFonts w:hint="eastAsia" w:ascii="宋体" w:hAnsi="宋体"/>
          <w:bCs/>
          <w:color w:val="000000"/>
          <w:sz w:val="24"/>
          <w:szCs w:val="21"/>
          <w:highlight w:val="none"/>
          <w:lang w:val="zh-CN"/>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②工程维修人员：持有</w:t>
      </w:r>
      <w:r>
        <w:rPr>
          <w:rFonts w:hint="eastAsia" w:ascii="宋体" w:hAnsi="宋体"/>
          <w:bCs/>
          <w:color w:val="000000"/>
          <w:sz w:val="24"/>
          <w:szCs w:val="21"/>
          <w:highlight w:val="none"/>
        </w:rPr>
        <w:t xml:space="preserve">应急管理厅</w:t>
      </w:r>
      <w:r>
        <w:rPr>
          <w:rFonts w:hint="eastAsia" w:ascii="宋体" w:hAnsi="宋体"/>
          <w:bCs/>
          <w:color w:val="000000"/>
          <w:sz w:val="24"/>
          <w:szCs w:val="21"/>
          <w:highlight w:val="none"/>
          <w:lang w:val="zh-CN"/>
        </w:rPr>
        <w:t xml:space="preserve">颁发高压电工作业证</w:t>
      </w:r>
      <w:r>
        <w:rPr>
          <w:rFonts w:hint="eastAsia" w:ascii="宋体" w:hAnsi="宋体"/>
          <w:bCs/>
          <w:color w:val="000000"/>
          <w:sz w:val="24"/>
          <w:szCs w:val="21"/>
          <w:highlight w:val="none"/>
        </w:rPr>
        <w:t xml:space="preserve">的</w:t>
      </w:r>
      <w:r>
        <w:rPr>
          <w:rFonts w:hint="eastAsia" w:ascii="宋体" w:hAnsi="宋体"/>
          <w:bCs/>
          <w:color w:val="000000"/>
          <w:sz w:val="24"/>
          <w:szCs w:val="21"/>
          <w:highlight w:val="none"/>
          <w:lang w:val="zh-CN"/>
        </w:rPr>
        <w:t xml:space="preserve">，有1人得1分；持有</w:t>
      </w:r>
      <w:r>
        <w:rPr>
          <w:rFonts w:hint="eastAsia" w:ascii="宋体" w:hAnsi="宋体"/>
          <w:bCs/>
          <w:color w:val="000000"/>
          <w:sz w:val="24"/>
          <w:szCs w:val="21"/>
          <w:highlight w:val="none"/>
        </w:rPr>
        <w:t xml:space="preserve">应急管理厅</w:t>
      </w:r>
      <w:r>
        <w:rPr>
          <w:rFonts w:hint="eastAsia" w:ascii="宋体" w:hAnsi="宋体"/>
          <w:bCs/>
          <w:color w:val="000000"/>
          <w:sz w:val="24"/>
          <w:szCs w:val="21"/>
          <w:highlight w:val="none"/>
          <w:lang w:val="zh-CN"/>
        </w:rPr>
        <w:t xml:space="preserve">颁发持有</w:t>
      </w:r>
      <w:r>
        <w:rPr>
          <w:rFonts w:hint="eastAsia" w:ascii="宋体" w:hAnsi="宋体"/>
          <w:bCs/>
          <w:color w:val="000000"/>
          <w:sz w:val="24"/>
          <w:szCs w:val="21"/>
          <w:highlight w:val="none"/>
        </w:rPr>
        <w:t xml:space="preserve">高处</w:t>
      </w:r>
      <w:r>
        <w:rPr>
          <w:rFonts w:hint="eastAsia" w:ascii="宋体" w:hAnsi="宋体"/>
          <w:bCs/>
          <w:color w:val="000000"/>
          <w:sz w:val="24"/>
          <w:szCs w:val="21"/>
          <w:highlight w:val="none"/>
          <w:lang w:val="zh-CN"/>
        </w:rPr>
        <w:t xml:space="preserve">作业</w:t>
      </w:r>
      <w:r>
        <w:rPr>
          <w:rFonts w:hint="eastAsia" w:ascii="宋体" w:hAnsi="宋体"/>
          <w:bCs/>
          <w:color w:val="000000"/>
          <w:sz w:val="24"/>
          <w:szCs w:val="21"/>
          <w:highlight w:val="none"/>
        </w:rPr>
        <w:t xml:space="preserve">操作</w:t>
      </w:r>
      <w:r>
        <w:rPr>
          <w:rFonts w:hint="eastAsia" w:ascii="宋体" w:hAnsi="宋体"/>
          <w:bCs/>
          <w:color w:val="000000"/>
          <w:sz w:val="24"/>
          <w:szCs w:val="21"/>
          <w:highlight w:val="none"/>
          <w:lang w:val="zh-CN"/>
        </w:rPr>
        <w:t xml:space="preserve">证</w:t>
      </w:r>
      <w:r>
        <w:rPr>
          <w:rFonts w:hint="eastAsia" w:ascii="宋体" w:hAnsi="宋体"/>
          <w:bCs/>
          <w:color w:val="000000"/>
          <w:sz w:val="24"/>
          <w:szCs w:val="21"/>
          <w:highlight w:val="none"/>
        </w:rPr>
        <w:t xml:space="preserve">的</w:t>
      </w:r>
      <w:r>
        <w:rPr>
          <w:rFonts w:hint="eastAsia" w:ascii="宋体" w:hAnsi="宋体"/>
          <w:bCs/>
          <w:color w:val="000000"/>
          <w:sz w:val="24"/>
          <w:szCs w:val="21"/>
          <w:highlight w:val="none"/>
          <w:lang w:val="zh-CN"/>
        </w:rPr>
        <w:t xml:space="preserve">，有1人得1分。</w:t>
      </w:r>
      <w:r>
        <w:rPr>
          <w:rFonts w:hint="eastAsia" w:ascii="宋体" w:hAnsi="宋体"/>
          <w:bCs/>
          <w:color w:val="000000"/>
          <w:sz w:val="24"/>
          <w:szCs w:val="21"/>
          <w:highlight w:val="none"/>
        </w:rPr>
        <w:t xml:space="preserve">本项</w:t>
      </w:r>
      <w:r>
        <w:rPr>
          <w:rFonts w:hint="eastAsia" w:ascii="宋体" w:hAnsi="宋体"/>
          <w:bCs/>
          <w:color w:val="000000"/>
          <w:sz w:val="24"/>
          <w:szCs w:val="21"/>
          <w:highlight w:val="none"/>
          <w:lang w:val="zh-CN"/>
        </w:rPr>
        <w:t xml:space="preserve">最多得</w:t>
      </w: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zh-CN"/>
        </w:rPr>
        <w:t xml:space="preserve">分。</w:t>
      </w:r>
      <w:r>
        <w:rPr>
          <w:rFonts w:hint="eastAsia" w:ascii="宋体" w:hAnsi="宋体"/>
          <w:bCs/>
          <w:color w:val="000000"/>
          <w:sz w:val="24"/>
          <w:szCs w:val="21"/>
          <w:highlight w:val="none"/>
          <w:lang w:val="zh-CN"/>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【提供</w:t>
      </w:r>
      <w:r>
        <w:rPr>
          <w:rFonts w:hint="eastAsia" w:ascii="宋体" w:hAnsi="宋体"/>
          <w:bCs/>
          <w:color w:val="000000"/>
          <w:sz w:val="24"/>
          <w:szCs w:val="21"/>
          <w:highlight w:val="none"/>
        </w:rPr>
        <w:t xml:space="preserve">上述</w:t>
      </w:r>
      <w:r>
        <w:rPr>
          <w:rFonts w:hint="eastAsia" w:ascii="宋体" w:hAnsi="宋体"/>
          <w:bCs/>
          <w:color w:val="000000"/>
          <w:sz w:val="24"/>
          <w:szCs w:val="21"/>
          <w:highlight w:val="none"/>
          <w:lang w:val="zh-CN"/>
        </w:rPr>
        <w:t xml:space="preserve">人员相关证明材料扫描件（加盖投标人公章）及投标人</w:t>
      </w:r>
      <w:r>
        <w:rPr>
          <w:rFonts w:ascii="宋体" w:hAnsi="宋体"/>
          <w:bCs/>
          <w:color w:val="000000"/>
          <w:sz w:val="24"/>
          <w:szCs w:val="21"/>
          <w:highlight w:val="none"/>
          <w:lang w:val="zh-CN"/>
        </w:rPr>
        <w:t xml:space="preserve">近一年中任意一个月</w:t>
      </w:r>
      <w:r>
        <w:rPr>
          <w:rFonts w:hint="eastAsia" w:ascii="宋体" w:hAnsi="宋体"/>
          <w:bCs/>
          <w:color w:val="000000"/>
          <w:sz w:val="24"/>
          <w:szCs w:val="21"/>
          <w:highlight w:val="none"/>
          <w:lang w:val="zh-CN"/>
        </w:rPr>
        <w:t xml:space="preserve">（不含投标当月）为其缴纳社保的缴费证明（需提供带有清晰二维码的官网扫描件）上传系统，未按要求提供不得分】</w:t>
      </w:r>
      <w:r>
        <w:rPr>
          <w:rFonts w:hint="eastAsia" w:ascii="宋体" w:hAnsi="宋体"/>
          <w:bCs/>
          <w:color w:val="000000"/>
          <w:sz w:val="24"/>
          <w:szCs w:val="21"/>
          <w:highlight w:val="none"/>
          <w:lang w:val="zh-CN"/>
        </w:rPr>
      </w:r>
      <w:r/>
    </w:p>
    <w:p>
      <w:pPr>
        <w:pStyle w:val="682"/>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投标人评价（</w:t>
      </w: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82"/>
        <w:numPr>
          <w:ilvl w:val="6"/>
          <w:numId w:val="14"/>
        </w:numPr>
        <w:ind w:left="0" w:firstLine="480"/>
        <w:spacing w:line="500" w:lineRule="exact"/>
        <w:tabs>
          <w:tab w:val="clear" w:pos="3090" w:leader="none"/>
        </w:tabs>
        <w:rPr>
          <w:rFonts w:ascii="宋体" w:hAnsi="宋体"/>
          <w:color w:val="000000"/>
          <w:sz w:val="24"/>
          <w:highlight w:val="none"/>
        </w:rPr>
      </w:pPr>
      <w:r>
        <w:rPr>
          <w:rFonts w:hint="eastAsia" w:ascii="宋体" w:hAnsi="宋体"/>
          <w:bCs/>
          <w:color w:val="000000"/>
          <w:sz w:val="24"/>
          <w:szCs w:val="21"/>
          <w:highlight w:val="none"/>
        </w:rPr>
        <w:t xml:space="preserve">业绩（3分）：投标人自</w:t>
      </w:r>
      <w:r>
        <w:rPr>
          <w:rFonts w:ascii="宋体" w:hAnsi="宋体"/>
          <w:bCs/>
          <w:color w:val="000000"/>
          <w:sz w:val="24"/>
          <w:szCs w:val="21"/>
          <w:highlight w:val="none"/>
        </w:rPr>
        <w:t xml:space="preserve">202</w:t>
      </w:r>
      <w:r>
        <w:rPr>
          <w:rFonts w:hint="eastAsia" w:ascii="宋体" w:hAnsi="宋体"/>
          <w:bCs/>
          <w:color w:val="000000"/>
          <w:sz w:val="24"/>
          <w:szCs w:val="21"/>
          <w:highlight w:val="none"/>
        </w:rPr>
        <w:t xml:space="preserve">3</w:t>
      </w:r>
      <w:r>
        <w:rPr>
          <w:rFonts w:ascii="宋体" w:hAnsi="宋体"/>
          <w:bCs/>
          <w:color w:val="000000"/>
          <w:sz w:val="24"/>
          <w:szCs w:val="21"/>
          <w:highlight w:val="none"/>
        </w:rPr>
        <w:t xml:space="preserve">年1月1日以来（以签约时间为准），具有</w:t>
      </w:r>
      <w:r>
        <w:rPr>
          <w:rFonts w:hint="eastAsia" w:ascii="宋体" w:hAnsi="宋体"/>
          <w:bCs/>
          <w:color w:val="000000"/>
          <w:sz w:val="24"/>
          <w:szCs w:val="21"/>
          <w:highlight w:val="none"/>
        </w:rPr>
        <w:t xml:space="preserve">类似</w:t>
      </w:r>
      <w:r>
        <w:rPr>
          <w:rFonts w:ascii="宋体" w:hAnsi="宋体"/>
          <w:bCs/>
          <w:color w:val="000000"/>
          <w:sz w:val="24"/>
          <w:szCs w:val="21"/>
          <w:highlight w:val="none"/>
        </w:rPr>
        <w:t xml:space="preserve">业绩的，</w:t>
      </w:r>
      <w:r>
        <w:rPr>
          <w:rFonts w:hint="eastAsia" w:ascii="宋体" w:hAnsi="宋体"/>
          <w:bCs/>
          <w:color w:val="000000"/>
          <w:sz w:val="24"/>
          <w:szCs w:val="21"/>
          <w:highlight w:val="none"/>
        </w:rPr>
        <w:t xml:space="preserve">提供合同及中标通知书扫描件加盖公章，</w:t>
      </w:r>
      <w:r>
        <w:rPr>
          <w:rFonts w:ascii="宋体" w:hAnsi="宋体"/>
          <w:bCs/>
          <w:color w:val="000000"/>
          <w:sz w:val="24"/>
          <w:szCs w:val="21"/>
          <w:highlight w:val="none"/>
        </w:rPr>
        <w:t xml:space="preserve">有1个得1分，本项共计得</w:t>
      </w:r>
      <w:r>
        <w:rPr>
          <w:rFonts w:hint="eastAsia" w:ascii="宋体" w:hAnsi="宋体"/>
          <w:bCs/>
          <w:color w:val="000000"/>
          <w:sz w:val="24"/>
          <w:szCs w:val="21"/>
          <w:highlight w:val="none"/>
        </w:rPr>
        <w:t xml:space="preserve">3</w:t>
      </w:r>
      <w:r>
        <w:rPr>
          <w:rFonts w:ascii="宋体" w:hAnsi="宋体"/>
          <w:bCs/>
          <w:color w:val="000000"/>
          <w:sz w:val="24"/>
          <w:szCs w:val="21"/>
          <w:highlight w:val="none"/>
        </w:rPr>
        <w:t xml:space="preserve">分</w:t>
      </w:r>
      <w:r>
        <w:rPr>
          <w:rFonts w:hint="eastAsia" w:ascii="宋体" w:hAnsi="宋体"/>
          <w:bCs/>
          <w:color w:val="000000"/>
          <w:sz w:val="24"/>
          <w:szCs w:val="21"/>
          <w:highlight w:val="none"/>
        </w:rPr>
        <w:t xml:space="preserve">。</w:t>
      </w:r>
      <w:r>
        <w:rPr>
          <w:rFonts w:ascii="宋体" w:hAnsi="宋体"/>
          <w:color w:val="000000"/>
          <w:sz w:val="24"/>
          <w:highlight w:val="none"/>
        </w:rPr>
      </w:r>
      <w:r/>
    </w:p>
    <w:p>
      <w:pPr>
        <w:pStyle w:val="682"/>
        <w:numPr>
          <w:ilvl w:val="6"/>
          <w:numId w:val="14"/>
        </w:numPr>
        <w:ind w:left="0" w:firstLine="480"/>
        <w:spacing w:line="500" w:lineRule="exact"/>
        <w:tabs>
          <w:tab w:val="clear" w:pos="3090" w:leader="none"/>
        </w:tabs>
        <w:rPr>
          <w:rFonts w:ascii="宋体" w:hAnsi="宋体"/>
          <w:color w:val="000000"/>
          <w:sz w:val="24"/>
          <w:highlight w:val="none"/>
        </w:rPr>
      </w:pPr>
      <w:r>
        <w:rPr>
          <w:rFonts w:hint="eastAsia" w:ascii="宋体" w:hAnsi="宋体"/>
          <w:bCs/>
          <w:color w:val="000000"/>
          <w:sz w:val="24"/>
          <w:szCs w:val="21"/>
          <w:highlight w:val="none"/>
        </w:rPr>
        <w:t xml:space="preserve">体系（3分）：</w:t>
      </w:r>
      <w:r>
        <w:rPr>
          <w:rFonts w:ascii="宋体" w:hAnsi="宋体"/>
          <w:color w:val="000000"/>
          <w:sz w:val="24"/>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①投标人具有质量管理体系认证证书（有效期内）1分；</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②投标人具有环境管理体系认证证书（有效期内）1分；</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③投标人具有职业安全健康管理体系认证证书（有效期内）1分；</w:t>
      </w:r>
      <w:r>
        <w:rPr>
          <w:rFonts w:hint="eastAsia" w:ascii="宋体" w:hAnsi="宋体"/>
          <w:bCs/>
          <w:color w:val="000000"/>
          <w:sz w:val="24"/>
          <w:szCs w:val="21"/>
          <w:highlight w:val="none"/>
        </w:rPr>
      </w:r>
      <w:r/>
    </w:p>
    <w:p>
      <w:pPr>
        <w:pStyle w:val="682"/>
        <w:ind w:firstLine="480"/>
        <w:spacing w:line="360" w:lineRule="auto"/>
        <w:rPr>
          <w:rFonts w:ascii="宋体" w:hAnsi="宋体"/>
          <w:color w:val="000000"/>
          <w:sz w:val="24"/>
          <w:highlight w:val="none"/>
        </w:rPr>
      </w:pPr>
      <w:r>
        <w:rPr>
          <w:rFonts w:hint="eastAsia" w:ascii="宋体" w:hAnsi="宋体"/>
          <w:bCs/>
          <w:color w:val="000000"/>
          <w:sz w:val="24"/>
          <w:szCs w:val="21"/>
          <w:highlight w:val="none"/>
        </w:rPr>
        <w:t xml:space="preserve">本项同时还须提供以上所有证书在“国家市场监督管理总局－全国认证认可信息公共服务平台”网站查询到的有效认证截图并加盖投标人公章。</w:t>
      </w:r>
      <w:r>
        <w:rPr>
          <w:rFonts w:ascii="宋体" w:hAnsi="宋体"/>
          <w:bCs/>
          <w:color w:val="000000"/>
          <w:sz w:val="24"/>
          <w:szCs w:val="21"/>
          <w:highlight w:val="none"/>
        </w:rPr>
        <w:t xml:space="preserve">有1个得</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分</w:t>
      </w:r>
      <w:r>
        <w:rPr>
          <w:rFonts w:hint="eastAsia" w:ascii="宋体" w:hAnsi="宋体"/>
          <w:bCs/>
          <w:color w:val="000000"/>
          <w:sz w:val="24"/>
          <w:szCs w:val="21"/>
          <w:highlight w:val="none"/>
        </w:rPr>
        <w:t xml:space="preserve">，最高得3分，须提供扫描件等证明材料并加盖单位公章，不提供不得分。</w:t>
      </w:r>
      <w:r>
        <w:rPr>
          <w:rFonts w:ascii="宋体" w:hAnsi="宋体"/>
          <w:color w:val="000000"/>
          <w:sz w:val="24"/>
          <w:highlight w:val="none"/>
        </w:rPr>
      </w:r>
      <w:r/>
    </w:p>
    <w:p>
      <w:pPr>
        <w:pStyle w:val="770"/>
        <w:ind w:firstLine="360"/>
        <w:spacing w:before="0" w:after="0" w:line="500" w:lineRule="exact"/>
        <w:rPr>
          <w:rFonts w:hint="eastAsia" w:ascii="宋体" w:hAnsi="宋体"/>
          <w:b/>
          <w:color w:val="000000"/>
          <w:sz w:val="28"/>
          <w:szCs w:val="28"/>
          <w:highlight w:val="none"/>
        </w:rPr>
      </w:pPr>
      <w:r>
        <w:rPr>
          <w:rFonts w:ascii="宋体" w:hAnsi="宋体"/>
          <w:color w:val="000000"/>
          <w:highlight w:val="none"/>
        </w:rPr>
        <w:br w:type="page" w:clear="all"/>
      </w:r>
      <w:r>
        <w:rPr>
          <w:rFonts w:hint="eastAsia" w:ascii="宋体" w:hAnsi="宋体"/>
          <w:b/>
          <w:color w:val="000000"/>
          <w:sz w:val="28"/>
          <w:szCs w:val="28"/>
          <w:highlight w:val="none"/>
        </w:rPr>
        <w:t xml:space="preserve">（二）技术部分（</w:t>
      </w:r>
      <w:r>
        <w:rPr>
          <w:rFonts w:hint="eastAsia" w:ascii="宋体" w:hAnsi="宋体"/>
          <w:b/>
          <w:color w:val="000000"/>
          <w:sz w:val="28"/>
          <w:szCs w:val="28"/>
          <w:highlight w:val="none"/>
          <w:lang w:val="en-US" w:eastAsia="zh-CN"/>
        </w:rPr>
        <w:t xml:space="preserve">50</w:t>
      </w:r>
      <w:r>
        <w:rPr>
          <w:rFonts w:hint="eastAsia" w:ascii="宋体" w:hAnsi="宋体"/>
          <w:b/>
          <w:color w:val="000000"/>
          <w:sz w:val="28"/>
          <w:szCs w:val="28"/>
          <w:highlight w:val="none"/>
        </w:rPr>
        <w:t xml:space="preserve">分）</w:t>
      </w:r>
      <w:r>
        <w:rPr>
          <w:rFonts w:hint="eastAsia" w:ascii="宋体" w:hAnsi="宋体"/>
          <w:b/>
          <w:color w:val="000000"/>
          <w:sz w:val="28"/>
          <w:szCs w:val="28"/>
          <w:highlight w:val="none"/>
        </w:rPr>
      </w:r>
      <w:r/>
    </w:p>
    <w:p>
      <w:pPr>
        <w:pStyle w:val="770"/>
        <w:ind w:firstLine="422"/>
        <w:spacing w:before="0" w:after="0" w:line="500" w:lineRule="exact"/>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注：技术部分属于暗标，投标人在制作技术部分相关内容时不得有体现投标人身份的内容，否则投标无效。</w:t>
      </w:r>
      <w:r>
        <w:rPr>
          <w:rFonts w:hint="eastAsia" w:ascii="宋体" w:hAnsi="宋体"/>
          <w:b/>
          <w:color w:val="000000"/>
          <w:sz w:val="28"/>
          <w:szCs w:val="28"/>
          <w:highlight w:val="none"/>
          <w:u w:val="single"/>
        </w:rPr>
      </w:r>
      <w:r/>
    </w:p>
    <w:p>
      <w:pPr>
        <w:pStyle w:val="682"/>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项目方案（</w:t>
      </w:r>
      <w:r>
        <w:rPr>
          <w:rFonts w:hint="eastAsia" w:ascii="宋体" w:hAnsi="宋体"/>
          <w:b/>
          <w:bCs/>
          <w:color w:val="000000"/>
          <w:sz w:val="24"/>
          <w:szCs w:val="24"/>
          <w:highlight w:val="none"/>
          <w:lang w:val="en-US" w:eastAsia="zh-CN"/>
        </w:rPr>
        <w:t xml:space="preserve">50</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sz w:val="24"/>
          <w:szCs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rPr>
        <w:t xml:space="preserve">.1  目标及整体设想（5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方案完整、科学合理，设计清晰详细，完全符合本项目需求，且能够提供上述5项全部方案的，得5分；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方案较完整，科学合理性较强，设计较清晰详细，能够符合本项目需求，能够提供上述4-5项方案的，得3分；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提供方案不足2项或无方案的，不得分。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rPr>
        <w:t xml:space="preserve">.2  管理服务体系（10分）：内容包括：①综合管理服务体系；②公共区域秩序维护服务体系；③公共区域清洁管理服务体系；④公用设施设备日常运行、保养、维修管理服务体系。⑤物资装备的配备及维保使用方案。</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方案完整、科学合理，设计清晰详细，完全符合本项目需求，且能够提供上述5项全部方案的，得10分；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方案较完整，科学合理性较强，设计较清晰详细，能够符合本项目需求，能够提供上述4-5项方案的，得7分；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提供方案不足2项或无方案的，不得分。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rPr>
        <w:t xml:space="preserve">.3  培训及日常管理标准和措施（10分）：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方案完整、科学合理，设计清晰详细，完全符合本项目需求，且能够提供上述5项全部方案的，得10分；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方案较完整，科学合理性较强，设计较清晰详细，能够符合本项目需求，能够提供上述4-5项方案的，得7分；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提供方案不足2项或无方案的，不得分。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rPr>
        <w:t xml:space="preserve">.4  综合协调方案和正式接管前具体措施（10分）：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方案完整、科学合理，设计清晰详细，完全符合本项目需求，且能够提供上述5项全部方案的，得10分；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方案较完整，科学合理性较强，设计较清晰详细，能够符合本项目需求，能够提供上述4-5项方案的，得7分；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提供方案不足2项或无方案的，不得分。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4.5  </w:t>
      </w:r>
      <w:r>
        <w:rPr>
          <w:rFonts w:hint="eastAsia" w:ascii="宋体" w:hAnsi="宋体" w:eastAsia="宋体" w:cs="Times New Roman"/>
          <w:bCs/>
          <w:color w:val="000000"/>
          <w:sz w:val="24"/>
          <w:highlight w:val="none"/>
        </w:rPr>
        <w:t xml:space="preserve">应急预案及措施、管理重点难点和措施（10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方案完整、科学合理，设计清晰详细，完全符合本项目需求，且能够提供上述5项全部方案的，得10分；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方案较完整，科学合理性较强，设计较清晰详细，能够符合本项目需求，能够提供上述4-5项方案的，得7分；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提供方案不足2项或无方案的，不得分。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4.6  </w:t>
      </w:r>
      <w:r>
        <w:rPr>
          <w:rFonts w:hint="eastAsia" w:ascii="宋体" w:hAnsi="宋体" w:eastAsia="宋体" w:cs="Times New Roman"/>
          <w:bCs/>
          <w:color w:val="000000"/>
          <w:sz w:val="24"/>
          <w:highlight w:val="none"/>
        </w:rPr>
        <w:t xml:space="preserve">服务响应、特色与创新（5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方案完整、科学合理，设计清晰详细，完全符合本项目需求，且能够提供上述5项全部方案的，得5分；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方案较完整，科学合理性较强，设计较清晰详细，能够符合本项目需求，能够提供上述4-5项方案的，得3分；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提供方案不足2项或无方案的，不得分。</w:t>
      </w:r>
      <w:r>
        <w:rPr>
          <w:rFonts w:hint="eastAsia" w:ascii="宋体" w:hAnsi="宋体" w:eastAsia="宋体" w:cs="Times New Roman"/>
          <w:bCs/>
          <w:color w:val="000000"/>
          <w:sz w:val="24"/>
          <w:highlight w:val="none"/>
        </w:rPr>
      </w:r>
      <w:r/>
    </w:p>
    <w:p>
      <w:pPr>
        <w:pStyle w:val="682"/>
        <w:ind w:left="480"/>
        <w:spacing w:line="500" w:lineRule="exact"/>
        <w:rPr>
          <w:rFonts w:ascii="宋体" w:hAnsi="宋体" w:eastAsia="宋体"/>
          <w:b/>
          <w:bCs/>
          <w:color w:val="000000"/>
          <w:sz w:val="24"/>
          <w:szCs w:val="24"/>
          <w:highlight w:val="none"/>
          <w:lang w:val="en-US" w:eastAsia="zh-CN"/>
        </w:rPr>
      </w:pPr>
      <w:r>
        <w:rPr>
          <w:rFonts w:ascii="宋体" w:hAnsi="宋体" w:eastAsia="宋体"/>
          <w:b/>
          <w:bCs/>
          <w:color w:val="000000"/>
          <w:sz w:val="24"/>
          <w:szCs w:val="24"/>
          <w:highlight w:val="none"/>
          <w:lang w:val="en-US" w:eastAsia="zh-CN"/>
        </w:rPr>
      </w:r>
      <w:r/>
    </w:p>
    <w:p>
      <w:pPr>
        <w:pStyle w:val="682"/>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color w:val="000000"/>
          <w:sz w:val="24"/>
          <w:highlight w:val="none"/>
        </w:rPr>
        <w:br w:type="page" w:clear="all"/>
      </w:r>
      <w:r>
        <w:rPr>
          <w:rFonts w:hint="eastAsia" w:ascii="黑体" w:hAnsi="黑体" w:eastAsia="黑体"/>
          <w:color w:val="000000"/>
          <w:sz w:val="36"/>
          <w:szCs w:val="36"/>
          <w:highlight w:val="none"/>
        </w:rPr>
        <w:t xml:space="preserve">第六章  </w:t>
      </w:r>
      <w:bookmarkEnd w:id="191"/>
      <w:r/>
      <w:bookmarkEnd w:id="192"/>
      <w:r/>
      <w:bookmarkEnd w:id="195"/>
      <w:r>
        <w:rPr>
          <w:rFonts w:hint="eastAsia" w:ascii="黑体" w:hAnsi="黑体" w:eastAsia="黑体"/>
          <w:color w:val="000000"/>
          <w:sz w:val="36"/>
          <w:szCs w:val="36"/>
          <w:highlight w:val="none"/>
        </w:rPr>
        <w:t xml:space="preserve">投标文件内容与格式</w:t>
      </w:r>
      <w:r>
        <w:rPr>
          <w:rFonts w:hint="eastAsia" w:ascii="黑体" w:hAnsi="黑体" w:eastAsia="黑体"/>
          <w:color w:val="000000"/>
          <w:sz w:val="36"/>
          <w:szCs w:val="36"/>
          <w:highlight w:val="none"/>
        </w:rPr>
      </w:r>
      <w:r/>
    </w:p>
    <w:p>
      <w:pPr>
        <w:pStyle w:val="770"/>
        <w:ind w:firstLine="602"/>
        <w:spacing w:before="0" w:after="0" w:line="500" w:lineRule="exact"/>
        <w:rPr>
          <w:rFonts w:hint="eastAsia" w:cs="Arial"/>
          <w:b/>
          <w:color w:val="000000"/>
          <w:sz w:val="30"/>
          <w:szCs w:val="30"/>
          <w:highlight w:val="none"/>
        </w:rPr>
      </w:pPr>
      <w:r/>
      <w:bookmarkStart w:id="196" w:name="_Hlt26671244"/>
      <w:r/>
      <w:bookmarkEnd w:id="196"/>
      <w:r/>
      <w:bookmarkStart w:id="197" w:name="_Hlt26955039"/>
      <w:r/>
      <w:bookmarkEnd w:id="197"/>
      <w:r/>
      <w:bookmarkStart w:id="198" w:name="_Toc120614282"/>
      <w:r/>
      <w:bookmarkStart w:id="199" w:name="_Toc49090576"/>
      <w:r/>
      <w:bookmarkStart w:id="200" w:name="_Toc26554094"/>
      <w:r>
        <w:rPr>
          <w:rFonts w:hint="eastAsia" w:cs="Arial"/>
          <w:b/>
          <w:color w:val="000000"/>
          <w:sz w:val="30"/>
          <w:szCs w:val="30"/>
          <w:highlight w:val="none"/>
        </w:rPr>
        <w:t xml:space="preserve">第一部分  投标文件内容</w:t>
      </w:r>
      <w:r>
        <w:rPr>
          <w:rFonts w:hint="eastAsia" w:cs="Arial"/>
          <w:b/>
          <w:color w:val="000000"/>
          <w:sz w:val="30"/>
          <w:szCs w:val="30"/>
          <w:highlight w:val="none"/>
        </w:rPr>
      </w:r>
      <w:r/>
    </w:p>
    <w:p>
      <w:pPr>
        <w:pStyle w:val="770"/>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hint="eastAsia"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70"/>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6104" w:type="dxa"/>
            <w:vAlign w:val="center"/>
            <w:textDirection w:val="lrTb"/>
            <w:noWrap w:val="false"/>
          </w:tcPr>
          <w:p>
            <w:pPr>
              <w:pStyle w:val="77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rPr>
                <w:rFonts w:hint="eastAsia" w:ascii="宋体" w:hAnsi="宋体" w:cs="宋体"/>
                <w:b/>
                <w:color w:val="000000"/>
                <w:highlight w:val="none"/>
              </w:rPr>
            </w:r>
            <w:r/>
          </w:p>
        </w:tc>
        <w:tc>
          <w:tcPr>
            <w:tcW w:w="2449" w:type="dxa"/>
            <w:vAlign w:val="center"/>
            <w:textDirection w:val="lrTb"/>
            <w:noWrap w:val="false"/>
          </w:tcPr>
          <w:p>
            <w:pPr>
              <w:pStyle w:val="770"/>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rPr>
                <w:rFonts w:hint="eastAsia" w:ascii="宋体" w:hAnsi="宋体" w:cs="宋体"/>
                <w:b/>
                <w:color w:val="000000"/>
                <w:highlight w:val="none"/>
              </w:rPr>
            </w:r>
            <w:r/>
          </w:p>
        </w:tc>
      </w:tr>
      <w:tr>
        <w:trPr>
          <w:trHeight w:val="1335"/>
        </w:trPr>
        <w:tc>
          <w:tcPr>
            <w:tcW w:w="719" w:type="dxa"/>
            <w:vAlign w:val="center"/>
            <w:textDirection w:val="lrTb"/>
            <w:noWrap w:val="false"/>
          </w:tcPr>
          <w:p>
            <w:pPr>
              <w:pStyle w:val="7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6104" w:type="dxa"/>
            <w:vAlign w:val="center"/>
            <w:textDirection w:val="lrTb"/>
            <w:noWrap w:val="false"/>
          </w:tcPr>
          <w:p>
            <w:pPr>
              <w:pStyle w:val="7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color w:val="000000"/>
                <w:highlight w:val="none"/>
              </w:rPr>
            </w:r>
            <w:r/>
          </w:p>
        </w:tc>
        <w:tc>
          <w:tcPr>
            <w:tcW w:w="2449" w:type="dxa"/>
            <w:vAlign w:val="center"/>
            <w:vMerge w:val="restart"/>
            <w:textDirection w:val="lrTb"/>
            <w:noWrap w:val="false"/>
          </w:tcPr>
          <w:p>
            <w:pPr>
              <w:pStyle w:val="7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hint="eastAsia" w:ascii="宋体" w:hAnsi="宋体" w:cs="宋体"/>
                <w:color w:val="000000"/>
                <w:highlight w:val="none"/>
              </w:rPr>
            </w:r>
            <w:r/>
          </w:p>
        </w:tc>
      </w:tr>
      <w:tr>
        <w:trPr>
          <w:trHeight w:val="812"/>
        </w:trPr>
        <w:tc>
          <w:tcPr>
            <w:tcW w:w="719" w:type="dxa"/>
            <w:vAlign w:val="center"/>
            <w:textDirection w:val="lrTb"/>
            <w:noWrap w:val="false"/>
          </w:tcPr>
          <w:p>
            <w:pPr>
              <w:pStyle w:val="7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6104" w:type="dxa"/>
            <w:vAlign w:val="center"/>
            <w:textDirection w:val="lrTb"/>
            <w:noWrap w:val="false"/>
          </w:tcPr>
          <w:p>
            <w:pPr>
              <w:pStyle w:val="7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hint="eastAsia" w:ascii="宋体" w:hAnsi="宋体" w:cs="宋体"/>
                <w:color w:val="000000"/>
                <w:highlight w:val="none"/>
              </w:rPr>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7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6104" w:type="dxa"/>
            <w:vAlign w:val="center"/>
            <w:textDirection w:val="lrTb"/>
            <w:noWrap w:val="false"/>
          </w:tcPr>
          <w:p>
            <w:pPr>
              <w:pStyle w:val="7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9"/>
                <w:rFonts w:hint="eastAsia" w:ascii="宋体" w:hAnsi="宋体" w:cs="宋体"/>
                <w:color w:val="000000"/>
                <w:sz w:val="24"/>
                <w:szCs w:val="24"/>
                <w:highlight w:val="none"/>
              </w:rPr>
              <w:t xml:space="preserve">。</w:t>
            </w:r>
            <w:r>
              <w:rPr>
                <w:rFonts w:hint="eastAsia" w:ascii="宋体" w:hAnsi="宋体" w:cs="宋体"/>
                <w:color w:val="000000"/>
                <w:highlight w:val="none"/>
              </w:rPr>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7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6104" w:type="dxa"/>
            <w:vAlign w:val="center"/>
            <w:textDirection w:val="lrTb"/>
            <w:noWrap w:val="false"/>
          </w:tcPr>
          <w:p>
            <w:pPr>
              <w:pStyle w:val="7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7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6104" w:type="dxa"/>
            <w:vAlign w:val="center"/>
            <w:textDirection w:val="lrTb"/>
            <w:noWrap w:val="false"/>
          </w:tcPr>
          <w:p>
            <w:pPr>
              <w:pStyle w:val="7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7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6104" w:type="dxa"/>
            <w:vAlign w:val="center"/>
            <w:textDirection w:val="lrTb"/>
            <w:noWrap w:val="false"/>
          </w:tcPr>
          <w:p>
            <w:pPr>
              <w:pStyle w:val="7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rFonts w:hint="eastAsia" w:ascii="宋体" w:hAnsi="宋体" w:cs="宋体"/>
                <w:color w:val="000000"/>
                <w:highlight w:val="none"/>
              </w:rPr>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770"/>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7</w:t>
            </w:r>
            <w:r>
              <w:rPr>
                <w:rFonts w:hint="eastAsia" w:ascii="宋体" w:hAnsi="宋体" w:cs="宋体"/>
                <w:bCs/>
                <w:color w:val="000000"/>
                <w:highlight w:val="none"/>
              </w:rPr>
            </w:r>
            <w:r/>
          </w:p>
        </w:tc>
        <w:tc>
          <w:tcPr>
            <w:tcW w:w="6104" w:type="dxa"/>
            <w:vAlign w:val="center"/>
            <w:textDirection w:val="lrTb"/>
            <w:noWrap w:val="false"/>
          </w:tcPr>
          <w:p>
            <w:pPr>
              <w:pStyle w:val="770"/>
              <w:ind w:firstLine="0"/>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满足中小企业政策的证明文件（如有中小企业政策要求的）。</w:t>
            </w:r>
            <w:r>
              <w:rPr>
                <w:rFonts w:hint="eastAsia" w:ascii="宋体" w:hAnsi="宋体" w:cs="宋体"/>
                <w:bCs/>
                <w:color w:val="000000"/>
                <w:highlight w:val="none"/>
              </w:rPr>
            </w:r>
            <w:r/>
          </w:p>
        </w:tc>
        <w:tc>
          <w:tcPr>
            <w:tcW w:w="2449" w:type="dxa"/>
            <w:vAlign w:val="center"/>
            <w:textDirection w:val="lrTb"/>
            <w:noWrap w:val="false"/>
          </w:tcPr>
          <w:p>
            <w:pPr>
              <w:pStyle w:val="770"/>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落实政府采购政策需满足的资格要求，详见第一章《投标邀请》</w:t>
            </w:r>
            <w:r>
              <w:rPr>
                <w:rFonts w:ascii="宋体" w:hAnsi="宋体" w:cs="宋体"/>
                <w:bCs/>
                <w:color w:val="000000"/>
                <w:highlight w:val="none"/>
              </w:rPr>
            </w:r>
            <w:r/>
          </w:p>
        </w:tc>
      </w:tr>
      <w:tr>
        <w:trPr>
          <w:trHeight w:val="726"/>
        </w:trPr>
        <w:tc>
          <w:tcPr>
            <w:tcW w:w="719" w:type="dxa"/>
            <w:vAlign w:val="center"/>
            <w:textDirection w:val="lrTb"/>
            <w:noWrap w:val="false"/>
          </w:tcPr>
          <w:p>
            <w:pPr>
              <w:pStyle w:val="770"/>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rPr>
                <w:rFonts w:hint="eastAsia" w:ascii="宋体" w:hAnsi="宋体" w:cs="宋体"/>
                <w:bCs/>
                <w:color w:val="000000"/>
                <w:highlight w:val="none"/>
              </w:rPr>
            </w:r>
            <w:r/>
          </w:p>
        </w:tc>
        <w:tc>
          <w:tcPr>
            <w:tcW w:w="6104" w:type="dxa"/>
            <w:vAlign w:val="center"/>
            <w:textDirection w:val="lrTb"/>
            <w:noWrap w:val="false"/>
          </w:tcPr>
          <w:p>
            <w:pPr>
              <w:pStyle w:val="770"/>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文件（如有特定资格要求的）。</w:t>
            </w:r>
            <w:r>
              <w:rPr>
                <w:rFonts w:hint="eastAsia" w:ascii="宋体" w:hAnsi="宋体" w:cs="宋体"/>
                <w:bCs/>
                <w:color w:val="000000"/>
                <w:highlight w:val="none"/>
              </w:rPr>
            </w:r>
            <w:r/>
          </w:p>
        </w:tc>
        <w:tc>
          <w:tcPr>
            <w:tcW w:w="2449" w:type="dxa"/>
            <w:vAlign w:val="center"/>
            <w:textDirection w:val="lrTb"/>
            <w:noWrap w:val="false"/>
          </w:tcPr>
          <w:p>
            <w:pPr>
              <w:pStyle w:val="770"/>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hint="eastAsia" w:ascii="宋体" w:hAnsi="宋体" w:cs="宋体"/>
                <w:bCs/>
                <w:color w:val="000000"/>
                <w:highlight w:val="none"/>
              </w:rPr>
            </w:r>
            <w:r/>
          </w:p>
        </w:tc>
      </w:tr>
      <w:tr>
        <w:trPr>
          <w:trHeight w:val="632"/>
        </w:trPr>
        <w:tc>
          <w:tcPr>
            <w:tcW w:w="719" w:type="dxa"/>
            <w:vAlign w:val="center"/>
            <w:textDirection w:val="lrTb"/>
            <w:noWrap w:val="false"/>
          </w:tcPr>
          <w:p>
            <w:pPr>
              <w:pStyle w:val="770"/>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rPr>
                <w:rFonts w:hint="eastAsia" w:ascii="宋体" w:hAnsi="宋体" w:cs="宋体"/>
                <w:bCs/>
                <w:color w:val="000000"/>
                <w:highlight w:val="none"/>
              </w:rPr>
            </w:r>
            <w:r/>
          </w:p>
        </w:tc>
        <w:tc>
          <w:tcPr>
            <w:gridSpan w:val="2"/>
            <w:tcW w:w="8553" w:type="dxa"/>
            <w:vAlign w:val="center"/>
            <w:textDirection w:val="lrTb"/>
            <w:noWrap w:val="false"/>
          </w:tcPr>
          <w:p>
            <w:pPr>
              <w:pStyle w:val="770"/>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《联合体协议》（如接受联合体投标且投标人为联合体时须提供，格式自拟）。</w:t>
            </w:r>
            <w:r>
              <w:rPr>
                <w:rFonts w:hint="eastAsia" w:ascii="宋体" w:hAnsi="宋体" w:cs="宋体"/>
                <w:color w:val="000000"/>
                <w:highlight w:val="none"/>
              </w:rPr>
            </w:r>
            <w:r/>
          </w:p>
        </w:tc>
      </w:tr>
    </w:tbl>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682"/>
        <w:numPr>
          <w:ilvl w:val="0"/>
          <w:numId w:val="15"/>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none"/>
        </w:rPr>
      </w:r>
      <w:r/>
    </w:p>
    <w:p>
      <w:pPr>
        <w:pStyle w:val="682"/>
        <w:numPr>
          <w:ilvl w:val="0"/>
          <w:numId w:val="15"/>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none"/>
        </w:rPr>
      </w:r>
      <w:r/>
    </w:p>
    <w:p>
      <w:pPr>
        <w:pStyle w:val="682"/>
        <w:numPr>
          <w:ilvl w:val="0"/>
          <w:numId w:val="15"/>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hint="eastAsia" w:ascii="宋体" w:hAnsi="宋体"/>
          <w:color w:val="000000"/>
          <w:sz w:val="24"/>
          <w:szCs w:val="24"/>
          <w:highlight w:val="none"/>
        </w:rPr>
      </w:r>
      <w:r/>
    </w:p>
    <w:p>
      <w:pPr>
        <w:pStyle w:val="682"/>
        <w:numPr>
          <w:ilvl w:val="0"/>
          <w:numId w:val="15"/>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sz w:val="24"/>
          <w:szCs w:val="24"/>
          <w:highlight w:val="none"/>
        </w:rPr>
      </w:r>
      <w:r/>
    </w:p>
    <w:p>
      <w:pPr>
        <w:pStyle w:val="682"/>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rFonts w:hint="eastAsia"/>
          <w:b/>
          <w:color w:val="000000"/>
          <w:sz w:val="28"/>
          <w:szCs w:val="28"/>
          <w:highlight w:val="none"/>
        </w:rPr>
      </w:r>
      <w:r/>
    </w:p>
    <w:p>
      <w:pPr>
        <w:pStyle w:val="682"/>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70"/>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770"/>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rPr>
                <w:rFonts w:hint="eastAsia" w:cs="Arial"/>
                <w:b/>
                <w:color w:val="000000"/>
                <w:highlight w:val="none"/>
              </w:rPr>
            </w:r>
            <w:r/>
          </w:p>
        </w:tc>
        <w:tc>
          <w:tcPr>
            <w:tcW w:w="1979" w:type="dxa"/>
            <w:vAlign w:val="center"/>
            <w:textDirection w:val="lrTb"/>
            <w:noWrap w:val="false"/>
          </w:tcPr>
          <w:p>
            <w:pPr>
              <w:pStyle w:val="770"/>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770"/>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投标函（给定格式）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770"/>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770"/>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770"/>
              <w:ind w:firstLine="0"/>
              <w:jc w:val="both"/>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770"/>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开标一览表（“苏采云”系统中给定格式）</w:t>
            </w:r>
            <w:r>
              <w:rPr>
                <w:rFonts w:hint="eastAsia" w:ascii="宋体" w:hAnsi="宋体" w:cs="Arial"/>
                <w:color w:val="000000"/>
                <w:highlight w:val="none"/>
              </w:rPr>
            </w:r>
            <w:r/>
          </w:p>
        </w:tc>
        <w:tc>
          <w:tcPr>
            <w:tcW w:w="1979" w:type="dxa"/>
            <w:vAlign w:val="center"/>
            <w:vMerge w:val="restart"/>
            <w:textDirection w:val="lrTb"/>
            <w:noWrap w:val="false"/>
          </w:tcPr>
          <w:p>
            <w:pPr>
              <w:pStyle w:val="770"/>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770"/>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rPr>
                <w:rFonts w:hint="eastAsia" w:ascii="宋体" w:hAnsi="宋体" w:cs="Arial"/>
                <w:color w:val="000000"/>
                <w:highlight w:val="none"/>
              </w:rPr>
            </w:r>
            <w:r/>
          </w:p>
        </w:tc>
        <w:tc>
          <w:tcPr>
            <w:tcW w:w="1979" w:type="dxa"/>
            <w:vAlign w:val="center"/>
            <w:vMerge w:val="continue"/>
            <w:textDirection w:val="lrTb"/>
            <w:noWrap w:val="false"/>
          </w:tcPr>
          <w:p>
            <w:pPr>
              <w:pStyle w:val="770"/>
              <w:ind w:firstLine="0"/>
              <w:jc w:val="both"/>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770"/>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770"/>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095" w:type="dxa"/>
            <w:vAlign w:val="center"/>
            <w:textDirection w:val="lrTb"/>
            <w:noWrap w:val="false"/>
          </w:tcPr>
          <w:p>
            <w:pPr>
              <w:pStyle w:val="770"/>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770"/>
              <w:ind w:firstLine="0"/>
              <w:jc w:val="both"/>
              <w:spacing w:before="0" w:after="0" w:line="240" w:lineRule="auto"/>
              <w:rPr>
                <w:rFonts w:hint="eastAsia" w:cs="Arial"/>
                <w:color w:val="000000"/>
                <w:highlight w:val="none"/>
              </w:rPr>
            </w:pPr>
            <w:r>
              <w:rPr>
                <w:rFonts w:hint="eastAsia" w:cs="Arial"/>
                <w:color w:val="000000"/>
                <w:highlight w:val="none"/>
              </w:rPr>
            </w:r>
            <w:r/>
          </w:p>
        </w:tc>
      </w:tr>
    </w:tbl>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682"/>
        <w:numPr>
          <w:ilvl w:val="0"/>
          <w:numId w:val="16"/>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highlight w:val="none"/>
        </w:rPr>
      </w:r>
      <w:r/>
    </w:p>
    <w:p>
      <w:pPr>
        <w:pStyle w:val="682"/>
        <w:numPr>
          <w:ilvl w:val="0"/>
          <w:numId w:val="16"/>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hint="eastAsia" w:ascii="宋体" w:hAnsi="宋体"/>
          <w:color w:val="000000"/>
          <w:sz w:val="24"/>
          <w:szCs w:val="24"/>
          <w:highlight w:val="none"/>
        </w:rPr>
      </w:r>
      <w:r/>
    </w:p>
    <w:p>
      <w:pPr>
        <w:pStyle w:val="682"/>
        <w:numPr>
          <w:ilvl w:val="0"/>
          <w:numId w:val="16"/>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none"/>
        </w:rPr>
      </w:r>
      <w:r/>
    </w:p>
    <w:p>
      <w:pPr>
        <w:pStyle w:val="682"/>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82"/>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682"/>
        <w:ind w:left="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hint="eastAsia" w:ascii="宋体" w:hAnsi="宋体"/>
          <w:color w:val="000000"/>
          <w:sz w:val="24"/>
          <w:szCs w:val="24"/>
          <w:highlight w:val="none"/>
        </w:rPr>
      </w:r>
      <w:r/>
    </w:p>
    <w:p>
      <w:pPr>
        <w:pStyle w:val="682"/>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ascii="宋体" w:hAnsi="宋体" w:cs="宋体"/>
          <w:color w:val="000000"/>
          <w:sz w:val="24"/>
          <w:szCs w:val="24"/>
          <w:highlight w:val="none"/>
        </w:rPr>
      </w:r>
      <w:r/>
    </w:p>
    <w:p>
      <w:pPr>
        <w:pStyle w:val="682"/>
        <w:ind w:firstLine="480"/>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hint="eastAsia" w:cs="Arial"/>
          <w:b/>
          <w:color w:val="000000"/>
          <w:sz w:val="30"/>
          <w:szCs w:val="30"/>
          <w:highlight w:val="none"/>
        </w:rPr>
      </w:r>
      <w:r/>
    </w:p>
    <w:p>
      <w:pPr>
        <w:pStyle w:val="770"/>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68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8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82"/>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68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8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8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8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82"/>
        <w:ind w:firstLine="1800"/>
        <w:rPr>
          <w:rFonts w:hint="eastAsia" w:ascii="黑体" w:hAnsi="华文中宋" w:eastAsia="黑体" w:cs="Times New Roman"/>
          <w:bCs/>
          <w:color w:val="000000"/>
          <w:sz w:val="30"/>
          <w:szCs w:val="30"/>
          <w:highlight w:val="none"/>
        </w:rPr>
      </w:pPr>
      <w:r>
        <w:rPr>
          <w:rFonts w:hint="eastAsia" w:ascii="黑体" w:hAnsi="华文中宋" w:eastAsia="黑体"/>
          <w:bCs/>
          <w:color w:val="000000"/>
          <w:sz w:val="30"/>
          <w:szCs w:val="30"/>
          <w:highlight w:val="none"/>
        </w:rPr>
        <w:t xml:space="preserve">项目</w:t>
      </w:r>
      <w:r>
        <w:rPr>
          <w:rFonts w:hint="eastAsia" w:ascii="黑体" w:hAnsi="华文中宋" w:eastAsia="黑体" w:cs="Times New Roman"/>
          <w:bCs/>
          <w:color w:val="000000"/>
          <w:sz w:val="30"/>
          <w:szCs w:val="30"/>
          <w:highlight w:val="none"/>
        </w:rPr>
        <w:t xml:space="preserve">编号：JSZC-320214-JZCG-G2026-0009</w:t>
      </w:r>
      <w:r>
        <w:rPr>
          <w:rFonts w:hint="eastAsia" w:ascii="黑体" w:hAnsi="华文中宋" w:eastAsia="黑体" w:cs="Times New Roman"/>
          <w:bCs/>
          <w:color w:val="000000"/>
          <w:sz w:val="30"/>
          <w:szCs w:val="30"/>
          <w:highlight w:val="none"/>
        </w:rPr>
      </w:r>
      <w:r/>
    </w:p>
    <w:p>
      <w:pPr>
        <w:pStyle w:val="682"/>
        <w:ind w:firstLine="1800"/>
        <w:rPr>
          <w:rFonts w:hint="eastAsia" w:ascii="黑体" w:hAnsi="华文中宋" w:eastAsia="黑体" w:cs="Times New Roman"/>
          <w:bCs/>
          <w:color w:val="000000"/>
          <w:sz w:val="30"/>
          <w:szCs w:val="30"/>
          <w:highlight w:val="none"/>
        </w:rPr>
      </w:pPr>
      <w:r>
        <w:rPr>
          <w:rFonts w:hint="eastAsia" w:ascii="黑体" w:hAnsi="华文中宋" w:eastAsia="黑体" w:cs="Times New Roman"/>
          <w:bCs/>
          <w:color w:val="000000"/>
          <w:sz w:val="30"/>
          <w:szCs w:val="30"/>
          <w:highlight w:val="none"/>
        </w:rPr>
        <w:t xml:space="preserve">项目名称：南山慈善家园物业服务项目</w:t>
      </w:r>
      <w:r>
        <w:rPr>
          <w:rFonts w:hint="eastAsia" w:ascii="黑体" w:hAnsi="华文中宋" w:eastAsia="黑体" w:cs="Times New Roman"/>
          <w:bCs/>
          <w:color w:val="000000"/>
          <w:sz w:val="30"/>
          <w:szCs w:val="30"/>
          <w:highlight w:val="none"/>
        </w:rPr>
      </w:r>
      <w:r/>
    </w:p>
    <w:p>
      <w:pPr>
        <w:pStyle w:val="682"/>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682"/>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682"/>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682"/>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76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Times New Roman" w:hAnsi="Times New Roman" w:eastAsia="宋体" w:cs="Times New Roman"/>
          <w:color w:val="000000"/>
          <w:sz w:val="24"/>
          <w:szCs w:val="24"/>
          <w:highlight w:val="none"/>
        </w:rPr>
        <w:t xml:space="preserve">JSZC-320214-JZCG-G2026-0009</w:t>
      </w:r>
      <w:r>
        <w:rPr>
          <w:rFonts w:hint="eastAsia" w:ascii="宋体" w:hAnsi="宋体"/>
          <w:bCs/>
          <w:color w:val="000000"/>
          <w:sz w:val="24"/>
          <w:szCs w:val="24"/>
          <w:highlight w:val="none"/>
        </w:rPr>
        <w:t xml:space="preserve">项目，兹授权：</w:t>
      </w:r>
      <w:r>
        <w:rPr>
          <w:rFonts w:hint="eastAsia"/>
          <w:color w:val="000000"/>
          <w:sz w:val="24"/>
          <w:szCs w:val="24"/>
          <w:highlight w:val="none"/>
        </w:rPr>
      </w:r>
      <w:r/>
    </w:p>
    <w:p>
      <w:pPr>
        <w:pStyle w:val="76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6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6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768"/>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76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768"/>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768"/>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768"/>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768"/>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r>
      <w:r/>
    </w:p>
    <w:p>
      <w:pPr>
        <w:pStyle w:val="768"/>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768"/>
        <w:numPr>
          <w:ilvl w:val="0"/>
          <w:numId w:val="17"/>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68"/>
        <w:numPr>
          <w:ilvl w:val="0"/>
          <w:numId w:val="17"/>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768"/>
        <w:numPr>
          <w:ilvl w:val="0"/>
          <w:numId w:val="17"/>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68"/>
        <w:numPr>
          <w:ilvl w:val="0"/>
          <w:numId w:val="17"/>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768"/>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682"/>
        <w:jc w:val="center"/>
        <w:rPr>
          <w:rFonts w:ascii="黑体" w:eastAsia="黑体"/>
          <w:bCs/>
          <w:color w:val="000000"/>
          <w:sz w:val="28"/>
          <w:szCs w:val="28"/>
          <w:highlight w:val="none"/>
        </w:rPr>
        <w:outlineLvl w:val="0"/>
      </w:pPr>
      <w:r/>
      <w:bookmarkStart w:id="201" w:name="报价方关于资格的声明函（格式）"/>
      <w:r/>
      <w:bookmarkEnd w:id="201"/>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682"/>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682"/>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8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Times New Roman" w:hAnsi="Times New Roman" w:eastAsia="宋体" w:cs="Times New Roman"/>
          <w:color w:val="000000"/>
          <w:sz w:val="24"/>
          <w:szCs w:val="24"/>
          <w:highlight w:val="none"/>
        </w:rPr>
        <w:t xml:space="preserve">JSZC-320214-JZCG-G2026-0009</w:t>
      </w:r>
      <w:r>
        <w:rPr>
          <w:rFonts w:hint="eastAsia" w:ascii="宋体" w:hAnsi="宋体"/>
          <w:bCs/>
          <w:color w:val="000000"/>
          <w:sz w:val="24"/>
          <w:szCs w:val="24"/>
          <w:highlight w:val="none"/>
        </w:rPr>
        <w:t xml:space="preserve">进行投标，并作如下声明</w:t>
      </w:r>
      <w:r>
        <w:rPr>
          <w:rFonts w:ascii="宋体" w:hAnsi="宋体"/>
          <w:bCs/>
          <w:color w:val="000000"/>
          <w:sz w:val="24"/>
          <w:szCs w:val="24"/>
          <w:highlight w:val="none"/>
        </w:rPr>
      </w:r>
      <w:r/>
    </w:p>
    <w:p>
      <w:pPr>
        <w:pStyle w:val="68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68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68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682"/>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682"/>
        <w:spacing w:line="480" w:lineRule="auto"/>
        <w:rPr>
          <w:rFonts w:ascii="宋体"/>
          <w:bCs/>
          <w:color w:val="000000"/>
          <w:sz w:val="24"/>
          <w:szCs w:val="24"/>
          <w:highlight w:val="none"/>
        </w:rPr>
      </w:pPr>
      <w:r>
        <w:rPr>
          <w:rFonts w:ascii="宋体"/>
          <w:bCs/>
          <w:color w:val="000000"/>
          <w:sz w:val="24"/>
          <w:szCs w:val="24"/>
          <w:highlight w:val="none"/>
        </w:rPr>
      </w:r>
      <w:r/>
    </w:p>
    <w:p>
      <w:pPr>
        <w:pStyle w:val="682"/>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682"/>
        <w:spacing w:line="440" w:lineRule="exact"/>
        <w:rPr>
          <w:rFonts w:hint="eastAsia"/>
          <w:color w:val="000000"/>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hint="eastAsia"/>
          <w:color w:val="000000"/>
          <w:highlight w:val="none"/>
        </w:rPr>
      </w:r>
      <w:r/>
    </w:p>
    <w:p>
      <w:pPr>
        <w:pStyle w:val="682"/>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682"/>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w:t>
      </w:r>
      <w:r>
        <w:rPr>
          <w:rFonts w:hint="eastAsia" w:ascii="宋体" w:hAnsi="宋体" w:eastAsia="宋体" w:cs="Times New Roman"/>
          <w:bCs/>
          <w:color w:val="000000"/>
          <w:sz w:val="24"/>
          <w:szCs w:val="24"/>
          <w:highlight w:val="none"/>
          <w:u w:val="single"/>
        </w:rPr>
        <w:t xml:space="preserve">务（不含电梯系统维保和消防系统维保）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 xml:space="preserve">电梯系统维保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u w:val="single"/>
        </w:rPr>
        <w:t xml:space="preserve"> 消防系统维保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682"/>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682"/>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82"/>
        <w:ind w:firstLine="420"/>
        <w:spacing w:line="360" w:lineRule="auto"/>
        <w:rPr>
          <w:color w:val="000000"/>
          <w:highlight w:val="none"/>
        </w:rPr>
      </w:pPr>
      <w:r>
        <w:rPr>
          <w:color w:val="000000"/>
          <w:highlight w:val="none"/>
        </w:rPr>
      </w:r>
      <w:r/>
    </w:p>
    <w:p>
      <w:pPr>
        <w:pStyle w:val="682"/>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000000"/>
          <w:highlight w:val="none"/>
          <w:u w:val="single"/>
        </w:rPr>
        <w:t xml:space="preserve">“企业名称”应填报为提供该项服务的承建（承接）商，“企业名称（盖章）”处须盖有相应承建（承接）商企业公章</w:t>
      </w:r>
      <w:r>
        <w:rPr>
          <w:rFonts w:hint="eastAsia" w:ascii="Times New Roman" w:hAnsi="Times New Roman" w:eastAsia="宋体" w:cs="Times New Roman"/>
          <w:b/>
          <w:color w:val="000000"/>
          <w:highlight w:val="none"/>
          <w:u w:val="single"/>
        </w:rPr>
        <w:t xml:space="preserve">（即电梯系统维</w:t>
      </w:r>
      <w:r>
        <w:rPr>
          <w:rFonts w:hint="eastAsia" w:ascii="Times New Roman" w:hAnsi="Times New Roman" w:eastAsia="宋体" w:cs="Times New Roman"/>
          <w:b/>
          <w:color w:val="000000"/>
          <w:highlight w:val="none"/>
          <w:u w:val="single"/>
          <w:lang w:val="en-US" w:eastAsia="zh-CN"/>
        </w:rPr>
        <w:t xml:space="preserve">保</w:t>
      </w:r>
      <w:r>
        <w:rPr>
          <w:rFonts w:hint="eastAsia" w:ascii="Times New Roman" w:hAnsi="Times New Roman" w:eastAsia="宋体" w:cs="Times New Roman"/>
          <w:b/>
          <w:color w:val="000000"/>
          <w:highlight w:val="none"/>
          <w:u w:val="single"/>
        </w:rPr>
        <w:t xml:space="preserve">和</w:t>
      </w:r>
      <w:r>
        <w:rPr>
          <w:rFonts w:hint="eastAsia" w:ascii="Times New Roman" w:hAnsi="Times New Roman" w:eastAsia="宋体" w:cs="Times New Roman"/>
          <w:b/>
          <w:color w:val="000000"/>
          <w:highlight w:val="none"/>
          <w:u w:val="single"/>
          <w:lang w:val="en-US" w:eastAsia="zh-CN"/>
        </w:rPr>
        <w:t xml:space="preserve">消防系统维保</w:t>
      </w:r>
      <w:r>
        <w:rPr>
          <w:rFonts w:hint="eastAsia" w:ascii="Times New Roman" w:hAnsi="Times New Roman" w:eastAsia="宋体" w:cs="Times New Roman"/>
          <w:b/>
          <w:color w:val="000000"/>
          <w:highlight w:val="none"/>
          <w:u w:val="single"/>
        </w:rPr>
        <w:t xml:space="preserve">如中标后由分包供应商承建（承接）的，则“企业名称（盖章）”处还须盖有该分包供应商单位公章）。</w:t>
      </w:r>
      <w:r>
        <w:rPr>
          <w:rFonts w:hint="eastAsia"/>
          <w:color w:val="000000"/>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682"/>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682"/>
        <w:ind w:firstLine="420"/>
        <w:spacing w:line="360" w:lineRule="auto"/>
        <w:rPr>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682"/>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682"/>
        <w:ind w:firstLine="420"/>
        <w:spacing w:line="360" w:lineRule="auto"/>
        <w:rPr>
          <w:color w:val="000000"/>
          <w:highlight w:val="none"/>
        </w:rPr>
      </w:pPr>
      <w:r>
        <w:rPr>
          <w:color w:val="000000"/>
          <w:highlight w:val="none"/>
        </w:rPr>
      </w:r>
      <w:r/>
    </w:p>
    <w:p>
      <w:pPr>
        <w:pStyle w:val="682"/>
        <w:spacing w:line="360" w:lineRule="auto"/>
        <w:rPr>
          <w:rFonts w:hint="eastAsia" w:ascii="宋体" w:hAnsi="宋体" w:cs="宋体"/>
          <w:b/>
          <w:color w:val="000000"/>
          <w:sz w:val="28"/>
          <w:szCs w:val="28"/>
          <w:highlight w:val="none"/>
        </w:rPr>
      </w:pPr>
      <w:r>
        <w:rPr>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682"/>
        <w:ind w:firstLine="482"/>
        <w:spacing w:line="440" w:lineRule="exact"/>
        <w:rPr>
          <w:rFonts w:ascii="Arial" w:hAnsi="Arial"/>
          <w:b/>
          <w:color w:val="000000"/>
          <w:sz w:val="24"/>
          <w:highlight w:val="none"/>
        </w:rPr>
      </w:pPr>
      <w:r>
        <w:rPr>
          <w:rFonts w:ascii="Arial" w:hAnsi="Arial"/>
          <w:b/>
          <w:color w:val="000000"/>
          <w:sz w:val="24"/>
          <w:highlight w:val="none"/>
        </w:rPr>
      </w:r>
      <w:r/>
    </w:p>
    <w:p>
      <w:pPr>
        <w:pStyle w:val="68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68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68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68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68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8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8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68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82"/>
        <w:spacing w:line="360" w:lineRule="auto"/>
        <w:rPr>
          <w:rFonts w:hint="eastAsia"/>
          <w:b/>
          <w:color w:val="000000"/>
          <w:sz w:val="30"/>
          <w:szCs w:val="30"/>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rFonts w:hint="eastAsia"/>
          <w:b/>
          <w:color w:val="000000"/>
          <w:sz w:val="30"/>
          <w:szCs w:val="30"/>
          <w:highlight w:val="none"/>
        </w:rPr>
      </w:r>
      <w:r/>
    </w:p>
    <w:p>
      <w:pPr>
        <w:pStyle w:val="682"/>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682"/>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82"/>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682"/>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w:t>
      </w:r>
      <w:r>
        <w:rPr>
          <w:rFonts w:hint="eastAsia" w:ascii="宋体" w:hAnsi="宋体" w:eastAsia="宋体" w:cs="Times New Roman"/>
          <w:bCs/>
          <w:color w:val="000000"/>
          <w:sz w:val="24"/>
          <w:szCs w:val="24"/>
          <w:highlight w:val="none"/>
        </w:rPr>
        <w:t xml:space="preserve">方JSZC-320214-JZCG-G2026-0009招标文件，</w:t>
      </w:r>
      <w:r>
        <w:rPr>
          <w:rFonts w:hint="eastAsia" w:ascii="宋体" w:hAnsi="宋体"/>
          <w:bCs/>
          <w:color w:val="000000"/>
          <w:sz w:val="24"/>
          <w:szCs w:val="24"/>
          <w:highlight w:val="none"/>
        </w:rPr>
        <w:t xml:space="preserve">经仔细阅读和研究，我方决定参加此项目的投标。</w:t>
      </w:r>
      <w:r>
        <w:rPr>
          <w:rFonts w:ascii="宋体"/>
          <w:bCs/>
          <w:color w:val="000000"/>
          <w:sz w:val="24"/>
          <w:szCs w:val="24"/>
          <w:highlight w:val="none"/>
        </w:rPr>
      </w:r>
      <w:r/>
    </w:p>
    <w:p>
      <w:pPr>
        <w:pStyle w:val="682"/>
        <w:numPr>
          <w:ilvl w:val="0"/>
          <w:numId w:val="18"/>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7"/>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在招标文件中要求的文件、资料。</w:t>
      </w:r>
      <w:r>
        <w:rPr>
          <w:rStyle w:val="757"/>
          <w:bCs/>
          <w:color w:val="000000"/>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682"/>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682"/>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682"/>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682"/>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682"/>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82"/>
        <w:ind w:firstLine="602"/>
        <w:rPr>
          <w:rFonts w:hint="eastAsia"/>
          <w:b/>
          <w:color w:val="000000"/>
          <w:sz w:val="30"/>
          <w:szCs w:val="30"/>
          <w:highlight w:val="none"/>
        </w:rPr>
        <w:outlineLvl w:val="0"/>
      </w:pPr>
      <w:r>
        <w:rPr>
          <w:rFonts w:hint="eastAsia"/>
          <w:b/>
          <w:color w:val="000000"/>
          <w:sz w:val="30"/>
          <w:szCs w:val="30"/>
          <w:highlight w:val="none"/>
        </w:rPr>
      </w:r>
      <w:r/>
    </w:p>
    <w:p>
      <w:pPr>
        <w:pStyle w:val="68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82"/>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eastAsia="宋体" w:cs="Times New Roman"/>
          <w:bCs/>
          <w:color w:val="000000"/>
          <w:sz w:val="24"/>
          <w:szCs w:val="24"/>
          <w:highlight w:val="none"/>
        </w:rPr>
        <w:t xml:space="preserve">JSZC-320214-JZCG-G2026-0009</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682"/>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）对本项目所提供的服务符合招标文件要求；</w:t>
      </w:r>
      <w:r>
        <w:rPr>
          <w:rFonts w:hint="eastAsia" w:ascii="宋体" w:hAnsi="宋体" w:cs="宋体"/>
          <w:color w:val="000000"/>
          <w:sz w:val="24"/>
          <w:szCs w:val="24"/>
          <w:highlight w:val="none"/>
        </w:rPr>
      </w:r>
      <w:r/>
    </w:p>
    <w:p>
      <w:pPr>
        <w:pStyle w:val="6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）保证中标并合同签订生效后，将按招标文件要求及所投的投标文件中做出的相应承诺将相关人员及时配置到位。</w:t>
      </w:r>
      <w:r>
        <w:rPr>
          <w:rFonts w:hint="eastAsia" w:ascii="宋体" w:hAnsi="宋体" w:cs="宋体"/>
          <w:color w:val="000000"/>
          <w:sz w:val="24"/>
          <w:szCs w:val="24"/>
          <w:highlight w:val="none"/>
        </w:rPr>
      </w:r>
      <w:r/>
    </w:p>
    <w:p>
      <w:pPr>
        <w:pStyle w:val="6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p>
      <w:pPr>
        <w:pStyle w:val="6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6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682"/>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682"/>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82"/>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682"/>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82"/>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68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82"/>
        <w:ind w:firstLine="420"/>
        <w:spacing w:line="480" w:lineRule="auto"/>
        <w:rPr>
          <w:rFonts w:ascii="宋体"/>
          <w:bCs/>
          <w:color w:val="000000"/>
          <w:sz w:val="24"/>
          <w:szCs w:val="24"/>
          <w:highlight w:val="none"/>
        </w:rPr>
      </w:pPr>
      <w:r>
        <w:rPr>
          <w:rFonts w:hint="eastAsia" w:ascii="宋体" w:hAnsi="宋体"/>
          <w:bCs/>
          <w:color w:val="000000"/>
          <w:highlight w:val="none"/>
        </w:rPr>
        <w:t xml:space="preserve">（注：以上内容由投标单位根据采购要求自行完善。）</w:t>
      </w:r>
      <w:r>
        <w:rPr>
          <w:rFonts w:ascii="宋体"/>
          <w:bCs/>
          <w:color w:val="000000"/>
          <w:sz w:val="24"/>
          <w:szCs w:val="24"/>
          <w:highlight w:val="none"/>
        </w:rPr>
      </w:r>
      <w:r/>
    </w:p>
    <w:p>
      <w:pPr>
        <w:pStyle w:val="682"/>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682"/>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682"/>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82"/>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2"/>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 项目编号：</w:t>
      </w:r>
      <w:r>
        <w:rPr>
          <w:rFonts w:hint="eastAsia" w:ascii="宋体" w:hAnsi="宋体" w:eastAsia="宋体" w:cs="Times New Roman"/>
          <w:bCs/>
          <w:color w:val="000000"/>
          <w:sz w:val="24"/>
          <w:szCs w:val="24"/>
          <w:highlight w:val="none"/>
        </w:rPr>
        <w:t xml:space="preserve">JSZC-320214-JZCG-G2026-0009</w:t>
      </w:r>
      <w:r>
        <w:rPr>
          <w:rFonts w:ascii="黑体" w:eastAsia="黑体"/>
          <w:bCs/>
          <w:color w:val="000000"/>
          <w:sz w:val="24"/>
          <w:szCs w:val="24"/>
          <w:highlight w:val="non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82"/>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682"/>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796"/>
              <w:jc w:val="center"/>
              <w:spacing w:line="400" w:lineRule="exact"/>
              <w:rPr>
                <w:rFonts w:hAnsi="宋体"/>
                <w:bCs/>
                <w:color w:val="000000"/>
                <w:szCs w:val="24"/>
                <w:highlight w:val="none"/>
              </w:rPr>
            </w:pPr>
            <w:r>
              <w:rPr>
                <w:rFonts w:hint="eastAsia" w:ascii="黑体" w:hAnsi="Times New Roman" w:eastAsia="黑体" w:cs="Times New Roman"/>
                <w:color w:val="000000"/>
                <w:sz w:val="24"/>
                <w:szCs w:val="21"/>
                <w:highlight w:val="none"/>
                <w:u w:val="none"/>
                <w:lang w:val="en-US" w:eastAsia="zh-CN" w:bidi="ar-SA"/>
              </w:rPr>
              <w:t xml:space="preserve">南山慈善家园物业服务项目</w:t>
            </w:r>
            <w:r>
              <w:rPr>
                <w:rFonts w:hAnsi="宋体"/>
                <w:bCs/>
                <w:color w:val="000000"/>
                <w:szCs w:val="24"/>
                <w:highlight w:val="none"/>
              </w:rPr>
            </w:r>
            <w:r/>
          </w:p>
        </w:tc>
        <w:tc>
          <w:tcPr>
            <w:tcW w:w="3188" w:type="dxa"/>
            <w:vAlign w:val="center"/>
            <w:textDirection w:val="lrTb"/>
            <w:noWrap w:val="false"/>
          </w:tcPr>
          <w:p>
            <w:pPr>
              <w:pStyle w:val="796"/>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682"/>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　　　</w:t>
            </w:r>
            <w:r>
              <w:rPr>
                <w:rFonts w:ascii="宋体"/>
                <w:bCs/>
                <w:color w:val="000000"/>
                <w:sz w:val="24"/>
                <w:szCs w:val="24"/>
                <w:highlight w:val="none"/>
              </w:rPr>
            </w:r>
            <w:r/>
          </w:p>
        </w:tc>
      </w:tr>
    </w:tbl>
    <w:p>
      <w:pPr>
        <w:pStyle w:val="682"/>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82"/>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82"/>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82"/>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682"/>
        <w:spacing w:line="400" w:lineRule="exact"/>
        <w:rPr>
          <w:rFonts w:hint="eastAsia" w:ascii="宋体" w:hAnsi="宋体"/>
          <w:bCs/>
          <w:color w:val="000000"/>
          <w:highlight w:val="none"/>
          <w:u w:val="single"/>
        </w:rPr>
        <w:outlineLvl w:val="0"/>
      </w:pPr>
      <w:r/>
      <w:bookmarkEnd w:id="198"/>
      <w:r/>
      <w:bookmarkEnd w:id="199"/>
      <w:r/>
      <w:bookmarkEnd w:id="200"/>
      <w:r/>
      <w:bookmarkStart w:id="202" w:name="_Toc120614284"/>
      <w:r>
        <w:rPr>
          <w:rFonts w:hint="eastAsia" w:ascii="宋体" w:hAnsi="宋体"/>
          <w:bCs/>
          <w:color w:val="000000"/>
          <w:highlight w:val="none"/>
          <w:u w:val="single"/>
        </w:rPr>
      </w:r>
      <w:r/>
    </w:p>
    <w:p>
      <w:pPr>
        <w:pStyle w:val="682"/>
        <w:ind w:firstLine="315"/>
        <w:jc w:val="center"/>
        <w:spacing w:line="400" w:lineRule="exact"/>
        <w:rPr>
          <w:rFonts w:hint="eastAsia" w:ascii="黑体" w:hAnsi="宋体" w:eastAsia="黑体"/>
          <w:bCs/>
          <w:color w:val="000000"/>
          <w:sz w:val="24"/>
          <w:szCs w:val="24"/>
          <w:highlight w:val="none"/>
        </w:rPr>
        <w:outlineLvl w:val="0"/>
      </w:pPr>
      <w:r>
        <w:rPr>
          <w:rFonts w:ascii="宋体" w:hAnsi="宋体"/>
          <w:bCs/>
          <w:color w:val="000000"/>
          <w:highlight w:val="none"/>
        </w:rPr>
        <w:br w:type="page" w:clear="all"/>
      </w:r>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82"/>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hAnsi="Times New Roman" w:eastAsia="黑体" w:cs="Times New Roman"/>
          <w:bCs/>
          <w:color w:val="000000"/>
          <w:sz w:val="24"/>
          <w:szCs w:val="24"/>
          <w:highlight w:val="none"/>
        </w:rPr>
        <w:t xml:space="preserve">：JSZC-320214-JZCG-G2026-0009</w:t>
      </w:r>
      <w:r>
        <w:rPr>
          <w:rFonts w:hint="eastAsia" w:ascii="黑体" w:eastAsia="黑体"/>
          <w:bCs/>
          <w:color w:val="000000"/>
          <w:sz w:val="24"/>
          <w:szCs w:val="24"/>
          <w:highlight w:val="none"/>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82"/>
              <w:jc w:val="center"/>
              <w:rPr>
                <w:rFonts w:hint="eastAsia" w:ascii="宋体" w:hAnsi="宋体"/>
                <w:b/>
                <w:color w:val="000000"/>
                <w:highlight w:val="none"/>
              </w:rPr>
            </w:pPr>
            <w:r>
              <w:rPr>
                <w:rFonts w:hint="eastAsia" w:ascii="宋体" w:hAnsi="宋体"/>
                <w:b/>
                <w:color w:val="000000"/>
                <w:highlight w:val="none"/>
              </w:rPr>
              <w:t xml:space="preserve">序号</w:t>
            </w:r>
            <w:r>
              <w:rPr>
                <w:rFonts w:hint="eastAsia" w:ascii="宋体" w:hAnsi="宋体"/>
                <w:b/>
                <w:color w:val="000000"/>
                <w:highlight w:val="none"/>
              </w:rPr>
            </w:r>
            <w:r/>
          </w:p>
        </w:tc>
        <w:tc>
          <w:tcPr>
            <w:tcW w:w="3575" w:type="dxa"/>
            <w:vAlign w:val="center"/>
            <w:textDirection w:val="lrTb"/>
            <w:noWrap w:val="false"/>
          </w:tcPr>
          <w:p>
            <w:pPr>
              <w:pStyle w:val="682"/>
              <w:jc w:val="center"/>
              <w:rPr>
                <w:rFonts w:hint="eastAsia" w:ascii="宋体" w:hAnsi="宋体"/>
                <w:b/>
                <w:color w:val="000000"/>
                <w:highlight w:val="none"/>
              </w:rPr>
            </w:pPr>
            <w:r>
              <w:rPr>
                <w:rFonts w:hint="eastAsia" w:ascii="宋体" w:hAnsi="宋体"/>
                <w:b/>
                <w:color w:val="000000"/>
                <w:highlight w:val="none"/>
              </w:rPr>
              <w:t xml:space="preserve">项目名称</w:t>
            </w:r>
            <w:r>
              <w:rPr>
                <w:rFonts w:hint="eastAsia" w:ascii="宋体" w:hAnsi="宋体"/>
                <w:b/>
                <w:color w:val="000000"/>
                <w:highlight w:val="none"/>
              </w:rPr>
            </w:r>
            <w:r/>
          </w:p>
        </w:tc>
        <w:tc>
          <w:tcPr>
            <w:tcW w:w="1465" w:type="dxa"/>
            <w:vAlign w:val="center"/>
            <w:textDirection w:val="lrTb"/>
            <w:noWrap w:val="false"/>
          </w:tcPr>
          <w:p>
            <w:pPr>
              <w:pStyle w:val="682"/>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682"/>
              <w:jc w:val="center"/>
              <w:rPr>
                <w:rFonts w:hint="eastAsia" w:ascii="宋体" w:hAnsi="宋体"/>
                <w:b/>
                <w:color w:val="000000"/>
                <w:highlight w:val="none"/>
              </w:rPr>
            </w:pPr>
            <w:r>
              <w:rPr>
                <w:rFonts w:hint="eastAsia" w:ascii="宋体" w:hAnsi="宋体"/>
                <w:b/>
                <w:color w:val="000000"/>
                <w:highlight w:val="none"/>
              </w:rPr>
              <w:t xml:space="preserve">（元/月）</w:t>
            </w:r>
            <w:r>
              <w:rPr>
                <w:rFonts w:hint="eastAsia" w:ascii="宋体" w:hAnsi="宋体"/>
                <w:b/>
                <w:color w:val="000000"/>
                <w:highlight w:val="none"/>
              </w:rPr>
            </w:r>
            <w:r/>
          </w:p>
        </w:tc>
        <w:tc>
          <w:tcPr>
            <w:tcW w:w="1418" w:type="dxa"/>
            <w:vAlign w:val="center"/>
            <w:textDirection w:val="lrTb"/>
            <w:noWrap w:val="false"/>
          </w:tcPr>
          <w:p>
            <w:pPr>
              <w:pStyle w:val="682"/>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682"/>
              <w:jc w:val="center"/>
              <w:rPr>
                <w:rFonts w:hint="eastAsia" w:ascii="宋体" w:hAnsi="宋体"/>
                <w:b/>
                <w:color w:val="000000"/>
                <w:highlight w:val="none"/>
              </w:rPr>
            </w:pPr>
            <w:r>
              <w:rPr>
                <w:rFonts w:hint="eastAsia" w:ascii="宋体" w:hAnsi="宋体"/>
                <w:b/>
                <w:color w:val="000000"/>
                <w:highlight w:val="none"/>
              </w:rPr>
              <w:t xml:space="preserve">（元/年）</w:t>
            </w:r>
            <w:r>
              <w:rPr>
                <w:rFonts w:hint="eastAsia" w:ascii="宋体" w:hAnsi="宋体"/>
                <w:b/>
                <w:color w:val="000000"/>
                <w:highlight w:val="none"/>
              </w:rPr>
            </w:r>
            <w:r/>
          </w:p>
        </w:tc>
        <w:tc>
          <w:tcPr>
            <w:tcW w:w="1842" w:type="dxa"/>
            <w:vAlign w:val="center"/>
            <w:textDirection w:val="lrTb"/>
            <w:noWrap w:val="false"/>
          </w:tcPr>
          <w:p>
            <w:pPr>
              <w:pStyle w:val="682"/>
              <w:jc w:val="center"/>
              <w:rPr>
                <w:rFonts w:hint="eastAsia" w:ascii="宋体" w:hAnsi="宋体"/>
                <w:b/>
                <w:color w:val="000000"/>
                <w:highlight w:val="none"/>
              </w:rPr>
            </w:pPr>
            <w:r>
              <w:rPr>
                <w:rFonts w:hint="eastAsia" w:ascii="宋体" w:hAnsi="宋体"/>
                <w:b/>
                <w:color w:val="000000"/>
                <w:highlight w:val="none"/>
              </w:rPr>
              <w:t xml:space="preserve">备注</w:t>
            </w:r>
            <w:r>
              <w:rPr>
                <w:rFonts w:hint="eastAsia" w:ascii="宋体" w:hAnsi="宋体"/>
                <w:b/>
                <w:color w:val="000000"/>
                <w:highlight w:val="none"/>
              </w:rPr>
            </w:r>
            <w:r/>
          </w:p>
        </w:tc>
      </w:tr>
      <w:tr>
        <w:trPr/>
        <w:tc>
          <w:tcPr>
            <w:tcW w:w="1050" w:type="dxa"/>
            <w:vAlign w:val="center"/>
            <w:textDirection w:val="lrTb"/>
            <w:noWrap w:val="false"/>
          </w:tcPr>
          <w:p>
            <w:pPr>
              <w:pStyle w:val="682"/>
              <w:jc w:val="center"/>
              <w:rPr>
                <w:rFonts w:hint="eastAsia" w:ascii="宋体" w:hAnsi="宋体"/>
                <w:b/>
                <w:color w:val="000000"/>
                <w:highlight w:val="none"/>
              </w:rPr>
            </w:pPr>
            <w:r>
              <w:rPr>
                <w:rFonts w:hint="eastAsia" w:ascii="宋体" w:hAnsi="宋体"/>
                <w:b/>
                <w:color w:val="000000"/>
                <w:highlight w:val="none"/>
              </w:rPr>
              <w:t xml:space="preserve">1</w:t>
            </w:r>
            <w:r>
              <w:rPr>
                <w:rFonts w:hint="eastAsia" w:ascii="宋体" w:hAnsi="宋体"/>
                <w:b/>
                <w:color w:val="000000"/>
                <w:highlight w:val="none"/>
              </w:rPr>
            </w:r>
            <w:r/>
          </w:p>
        </w:tc>
        <w:tc>
          <w:tcPr>
            <w:tcW w:w="3575" w:type="dxa"/>
            <w:vAlign w:val="center"/>
            <w:textDirection w:val="lrTb"/>
            <w:noWrap w:val="false"/>
          </w:tcPr>
          <w:p>
            <w:pPr>
              <w:pStyle w:val="682"/>
              <w:jc w:val="left"/>
              <w:rPr>
                <w:rFonts w:hint="eastAsia" w:ascii="宋体" w:hAnsi="宋体"/>
                <w:b/>
                <w:color w:val="000000"/>
                <w:highlight w:val="none"/>
              </w:rPr>
            </w:pPr>
            <w:r>
              <w:rPr>
                <w:rFonts w:hint="eastAsia" w:ascii="宋体" w:hAnsi="宋体"/>
                <w:b/>
                <w:color w:val="000000"/>
                <w:highlight w:val="none"/>
              </w:rPr>
              <w:t xml:space="preserve">员工工资、福利、法定计提费用</w:t>
            </w:r>
            <w:r>
              <w:rPr>
                <w:rFonts w:hint="eastAsia" w:ascii="宋体" w:hAnsi="宋体"/>
                <w:b/>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参照表（1）</w:t>
            </w: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b/>
                <w:color w:val="000000"/>
                <w:highlight w:val="none"/>
              </w:rPr>
            </w:pPr>
            <w:r>
              <w:rPr>
                <w:rFonts w:hint="eastAsia" w:ascii="宋体" w:hAnsi="宋体"/>
                <w:b/>
                <w:color w:val="000000"/>
                <w:highlight w:val="none"/>
              </w:rPr>
              <w:t xml:space="preserve">2</w:t>
            </w:r>
            <w:r>
              <w:rPr>
                <w:rFonts w:hint="eastAsia" w:ascii="宋体" w:hAnsi="宋体"/>
                <w:b/>
                <w:color w:val="000000"/>
                <w:highlight w:val="none"/>
              </w:rPr>
            </w:r>
            <w:r/>
          </w:p>
        </w:tc>
        <w:tc>
          <w:tcPr>
            <w:tcW w:w="3575" w:type="dxa"/>
            <w:vAlign w:val="center"/>
            <w:textDirection w:val="lrTb"/>
            <w:noWrap w:val="false"/>
          </w:tcPr>
          <w:p>
            <w:pPr>
              <w:pStyle w:val="682"/>
              <w:jc w:val="left"/>
              <w:rPr>
                <w:rFonts w:hint="eastAsia" w:ascii="宋体" w:hAnsi="宋体"/>
                <w:b/>
                <w:color w:val="000000"/>
                <w:highlight w:val="none"/>
              </w:rPr>
            </w:pPr>
            <w:r>
              <w:rPr>
                <w:rFonts w:hint="eastAsia" w:ascii="宋体" w:hAnsi="宋体"/>
                <w:b/>
                <w:color w:val="000000"/>
                <w:highlight w:val="none"/>
              </w:rPr>
              <w:t xml:space="preserve">行政办公费用</w:t>
            </w:r>
            <w:r>
              <w:rPr>
                <w:rFonts w:hint="eastAsia" w:ascii="宋体" w:hAnsi="宋体"/>
                <w:b/>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3575" w:type="dxa"/>
            <w:vAlign w:val="center"/>
            <w:textDirection w:val="lrTb"/>
            <w:noWrap w:val="false"/>
          </w:tcPr>
          <w:p>
            <w:pPr>
              <w:pStyle w:val="682"/>
              <w:rPr>
                <w:rFonts w:hint="eastAsia" w:ascii="宋体" w:hAnsi="宋体"/>
                <w:color w:val="000000"/>
                <w:highlight w:val="none"/>
              </w:rPr>
            </w:pPr>
            <w:r>
              <w:rPr>
                <w:rFonts w:hint="eastAsia" w:ascii="宋体" w:hAnsi="宋体"/>
                <w:color w:val="000000"/>
                <w:highlight w:val="none"/>
              </w:rPr>
              <w:t xml:space="preserve">办公用品、耗材费</w:t>
            </w:r>
            <w:r>
              <w:rPr>
                <w:rFonts w:hint="eastAsia" w:ascii="宋体" w:hAnsi="宋体"/>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参照表（2）、（3）</w:t>
            </w: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3575" w:type="dxa"/>
            <w:vAlign w:val="center"/>
            <w:textDirection w:val="lrTb"/>
            <w:noWrap w:val="false"/>
          </w:tcPr>
          <w:p>
            <w:pPr>
              <w:pStyle w:val="682"/>
              <w:rPr>
                <w:rFonts w:hint="eastAsia" w:ascii="宋体" w:hAnsi="宋体"/>
                <w:color w:val="000000"/>
                <w:highlight w:val="none"/>
              </w:rPr>
            </w:pPr>
            <w:r>
              <w:rPr>
                <w:rFonts w:hint="eastAsia" w:ascii="宋体" w:hAnsi="宋体"/>
                <w:color w:val="000000"/>
                <w:highlight w:val="none"/>
              </w:rPr>
              <w:t xml:space="preserve">交通费</w:t>
            </w:r>
            <w:r>
              <w:rPr>
                <w:rFonts w:hint="eastAsia" w:ascii="宋体" w:hAnsi="宋体"/>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82"/>
              <w:rPr>
                <w:rFonts w:hint="eastAsia" w:ascii="宋体" w:hAnsi="宋体"/>
                <w:color w:val="000000"/>
                <w:highlight w:val="none"/>
              </w:rPr>
            </w:pPr>
            <w:r>
              <w:rPr>
                <w:rFonts w:hint="eastAsia" w:ascii="宋体" w:hAnsi="宋体"/>
                <w:color w:val="000000"/>
                <w:highlight w:val="none"/>
              </w:rPr>
              <w:t xml:space="preserve">通讯费</w:t>
            </w:r>
            <w:r>
              <w:rPr>
                <w:rFonts w:hint="eastAsia" w:ascii="宋体" w:hAnsi="宋体"/>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3575" w:type="dxa"/>
            <w:vAlign w:val="center"/>
            <w:textDirection w:val="lrTb"/>
            <w:noWrap w:val="false"/>
          </w:tcPr>
          <w:p>
            <w:pPr>
              <w:pStyle w:val="682"/>
              <w:rPr>
                <w:rFonts w:hint="eastAsia" w:ascii="宋体" w:hAnsi="宋体"/>
                <w:color w:val="000000"/>
                <w:highlight w:val="none"/>
              </w:rPr>
            </w:pPr>
            <w:r>
              <w:rPr>
                <w:rFonts w:hint="eastAsia" w:ascii="宋体" w:hAnsi="宋体"/>
                <w:color w:val="000000"/>
                <w:highlight w:val="none"/>
              </w:rPr>
              <w:t xml:space="preserve">培训费</w:t>
            </w:r>
            <w:r>
              <w:rPr>
                <w:rFonts w:hint="eastAsia" w:ascii="宋体" w:hAnsi="宋体"/>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3575" w:type="dxa"/>
            <w:vAlign w:val="center"/>
            <w:textDirection w:val="lrTb"/>
            <w:noWrap w:val="false"/>
          </w:tcPr>
          <w:p>
            <w:pPr>
              <w:pStyle w:val="682"/>
              <w:rPr>
                <w:rFonts w:hint="eastAsia" w:ascii="宋体" w:hAnsi="宋体"/>
                <w:color w:val="000000"/>
                <w:highlight w:val="none"/>
              </w:rPr>
            </w:pPr>
            <w:r>
              <w:rPr>
                <w:rFonts w:hint="eastAsia" w:ascii="宋体" w:hAnsi="宋体"/>
                <w:color w:val="000000"/>
                <w:highlight w:val="none"/>
              </w:rPr>
              <w:t xml:space="preserve">员工餐费</w:t>
            </w:r>
            <w:r>
              <w:rPr>
                <w:rFonts w:hint="eastAsia" w:ascii="宋体" w:hAnsi="宋体"/>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3575" w:type="dxa"/>
            <w:vAlign w:val="center"/>
            <w:textDirection w:val="lrTb"/>
            <w:noWrap w:val="false"/>
          </w:tcPr>
          <w:p>
            <w:pPr>
              <w:pStyle w:val="682"/>
              <w:rPr>
                <w:rFonts w:hint="eastAsia" w:ascii="宋体" w:hAnsi="宋体"/>
                <w:color w:val="000000"/>
                <w:highlight w:val="none"/>
              </w:rPr>
            </w:pPr>
            <w:r>
              <w:rPr>
                <w:rFonts w:hint="eastAsia" w:ascii="宋体" w:hAnsi="宋体"/>
                <w:color w:val="000000"/>
                <w:highlight w:val="none"/>
              </w:rPr>
              <w:t xml:space="preserve">标识标牌等费用</w:t>
            </w:r>
            <w:r>
              <w:rPr>
                <w:rFonts w:hint="eastAsia" w:ascii="宋体" w:hAnsi="宋体"/>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（7）</w:t>
            </w:r>
            <w:r>
              <w:rPr>
                <w:rFonts w:hint="eastAsia" w:ascii="宋体" w:hAnsi="宋体"/>
                <w:color w:val="000000"/>
                <w:highlight w:val="none"/>
              </w:rPr>
            </w:r>
            <w:r/>
          </w:p>
        </w:tc>
        <w:tc>
          <w:tcPr>
            <w:tcW w:w="3575" w:type="dxa"/>
            <w:vAlign w:val="center"/>
            <w:textDirection w:val="lrTb"/>
            <w:noWrap w:val="false"/>
          </w:tcPr>
          <w:p>
            <w:pPr>
              <w:pStyle w:val="682"/>
              <w:rPr>
                <w:rFonts w:hint="eastAsia" w:ascii="宋体" w:hAnsi="宋体"/>
                <w:color w:val="000000"/>
                <w:highlight w:val="none"/>
              </w:rPr>
            </w:pPr>
            <w:r>
              <w:rPr>
                <w:rFonts w:hint="eastAsia" w:ascii="宋体" w:hAnsi="宋体"/>
                <w:color w:val="000000"/>
                <w:highlight w:val="none"/>
              </w:rPr>
              <w:t xml:space="preserve">其他费用</w:t>
            </w:r>
            <w:r>
              <w:rPr>
                <w:rFonts w:hint="eastAsia" w:ascii="宋体" w:hAnsi="宋体"/>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color w:val="000000"/>
                <w:highlight w:val="none"/>
              </w:rPr>
            </w:pPr>
            <w:r>
              <w:rPr>
                <w:rFonts w:hint="eastAsia" w:ascii="宋体" w:hAnsi="宋体"/>
                <w:b/>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82"/>
              <w:rPr>
                <w:rFonts w:hint="eastAsia" w:ascii="宋体" w:hAnsi="宋体"/>
                <w:color w:val="000000"/>
                <w:highlight w:val="none"/>
              </w:rPr>
            </w:pPr>
            <w:r>
              <w:rPr>
                <w:rFonts w:hint="eastAsia" w:ascii="宋体" w:hAnsi="宋体"/>
                <w:b/>
                <w:color w:val="000000"/>
                <w:highlight w:val="none"/>
              </w:rPr>
              <w:t xml:space="preserve">服装费</w:t>
            </w:r>
            <w:r>
              <w:rPr>
                <w:rFonts w:hint="eastAsia" w:ascii="宋体" w:hAnsi="宋体"/>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b/>
                <w:color w:val="000000"/>
                <w:highlight w:val="none"/>
              </w:rPr>
            </w:pPr>
            <w:r>
              <w:rPr>
                <w:rFonts w:hint="eastAsia" w:ascii="宋体" w:hAnsi="宋体"/>
                <w:b/>
                <w:color w:val="000000"/>
                <w:highlight w:val="none"/>
              </w:rPr>
              <w:t xml:space="preserve">4</w:t>
            </w:r>
            <w:r>
              <w:rPr>
                <w:rFonts w:hint="eastAsia" w:ascii="宋体" w:hAnsi="宋体"/>
                <w:b/>
                <w:color w:val="000000"/>
                <w:highlight w:val="none"/>
              </w:rPr>
            </w:r>
            <w:r/>
          </w:p>
        </w:tc>
        <w:tc>
          <w:tcPr>
            <w:tcW w:w="3575" w:type="dxa"/>
            <w:vAlign w:val="center"/>
            <w:textDirection w:val="lrTb"/>
            <w:noWrap w:val="false"/>
          </w:tcPr>
          <w:p>
            <w:pPr>
              <w:pStyle w:val="682"/>
              <w:jc w:val="left"/>
              <w:rPr>
                <w:rFonts w:hint="eastAsia" w:ascii="宋体" w:hAnsi="宋体"/>
                <w:b/>
                <w:color w:val="000000"/>
                <w:highlight w:val="none"/>
              </w:rPr>
            </w:pPr>
            <w:r>
              <w:rPr>
                <w:rFonts w:hint="eastAsia" w:ascii="宋体" w:hAnsi="宋体"/>
                <w:b/>
                <w:color w:val="000000"/>
                <w:highlight w:val="none"/>
              </w:rPr>
              <w:t xml:space="preserve">卫生清洁费</w:t>
            </w:r>
            <w:r>
              <w:rPr>
                <w:rFonts w:hint="eastAsia" w:ascii="宋体" w:hAnsi="宋体"/>
                <w:b/>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3575" w:type="dxa"/>
            <w:vAlign w:val="center"/>
            <w:textDirection w:val="lrTb"/>
            <w:noWrap w:val="false"/>
          </w:tcPr>
          <w:p>
            <w:pPr>
              <w:pStyle w:val="682"/>
              <w:rPr>
                <w:rFonts w:hint="eastAsia" w:ascii="宋体" w:hAnsi="宋体"/>
                <w:color w:val="000000"/>
                <w:highlight w:val="none"/>
              </w:rPr>
            </w:pPr>
            <w:r>
              <w:rPr>
                <w:rFonts w:hint="eastAsia" w:ascii="宋体" w:hAnsi="宋体"/>
                <w:color w:val="000000"/>
                <w:highlight w:val="none"/>
              </w:rPr>
              <w:t xml:space="preserve">保洁工具</w:t>
            </w:r>
            <w:r>
              <w:rPr>
                <w:rFonts w:hint="eastAsia" w:ascii="宋体" w:hAnsi="宋体"/>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3575" w:type="dxa"/>
            <w:vAlign w:val="center"/>
            <w:textDirection w:val="lrTb"/>
            <w:noWrap w:val="false"/>
          </w:tcPr>
          <w:p>
            <w:pPr>
              <w:pStyle w:val="682"/>
              <w:rPr>
                <w:rFonts w:hint="eastAsia" w:ascii="宋体" w:hAnsi="宋体"/>
                <w:color w:val="000000"/>
                <w:highlight w:val="none"/>
              </w:rPr>
            </w:pPr>
            <w:r>
              <w:rPr>
                <w:rFonts w:hint="eastAsia" w:ascii="宋体" w:hAnsi="宋体"/>
                <w:bCs/>
                <w:color w:val="000000"/>
                <w:highlight w:val="none"/>
              </w:rPr>
              <w:t xml:space="preserve">卫生保洁耗材</w:t>
            </w:r>
            <w:r>
              <w:rPr>
                <w:rFonts w:hint="eastAsia" w:ascii="宋体" w:hAnsi="宋体"/>
                <w:color w:val="000000"/>
                <w:highlight w:val="none"/>
              </w:rPr>
              <w:t xml:space="preserve">费</w:t>
            </w:r>
            <w:r>
              <w:rPr>
                <w:rFonts w:hint="eastAsia" w:ascii="宋体" w:hAnsi="宋体"/>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参照表（3）</w:t>
            </w: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82"/>
              <w:rPr>
                <w:rFonts w:hint="eastAsia" w:ascii="宋体" w:hAnsi="宋体"/>
                <w:color w:val="000000"/>
                <w:highlight w:val="none"/>
              </w:rPr>
            </w:pPr>
            <w:r>
              <w:rPr>
                <w:rFonts w:hint="eastAsia" w:ascii="宋体" w:hAnsi="宋体"/>
                <w:color w:val="000000"/>
                <w:highlight w:val="none"/>
              </w:rPr>
              <w:t xml:space="preserve">消杀防疫等费用</w:t>
            </w:r>
            <w:r>
              <w:rPr>
                <w:rFonts w:hint="eastAsia" w:ascii="宋体" w:hAnsi="宋体"/>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3575" w:type="dxa"/>
            <w:vAlign w:val="center"/>
            <w:textDirection w:val="lrTb"/>
            <w:noWrap w:val="false"/>
          </w:tcPr>
          <w:p>
            <w:pPr>
              <w:pStyle w:val="682"/>
              <w:rPr>
                <w:rFonts w:hint="eastAsia" w:ascii="宋体" w:hAnsi="宋体"/>
                <w:color w:val="000000"/>
                <w:highlight w:val="none"/>
              </w:rPr>
            </w:pPr>
            <w:r>
              <w:rPr>
                <w:rFonts w:hint="eastAsia" w:ascii="宋体" w:hAnsi="宋体"/>
                <w:color w:val="000000"/>
                <w:highlight w:val="none"/>
              </w:rPr>
              <w:t xml:space="preserve">其他费用</w:t>
            </w:r>
            <w:r>
              <w:rPr>
                <w:rFonts w:hint="eastAsia" w:ascii="宋体" w:hAnsi="宋体"/>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82"/>
              <w:jc w:val="center"/>
              <w:rPr>
                <w:rFonts w:ascii="宋体" w:hAnsi="宋体"/>
                <w:b/>
                <w:color w:val="000000"/>
                <w:highlight w:val="none"/>
              </w:rPr>
            </w:pPr>
            <w:r>
              <w:rPr>
                <w:rFonts w:hint="eastAsia" w:ascii="宋体" w:hAnsi="宋体"/>
                <w:b/>
                <w:color w:val="000000"/>
                <w:highlight w:val="none"/>
              </w:rPr>
              <w:t xml:space="preserve">5</w:t>
            </w:r>
            <w:r>
              <w:rPr>
                <w:rFonts w:ascii="宋体" w:hAnsi="宋体"/>
                <w:b/>
                <w:color w:val="000000"/>
                <w:highlight w:val="none"/>
              </w:rPr>
            </w:r>
            <w:r/>
          </w:p>
        </w:tc>
        <w:tc>
          <w:tcPr>
            <w:tcW w:w="3575" w:type="dxa"/>
            <w:vAlign w:val="center"/>
            <w:textDirection w:val="lrTb"/>
            <w:noWrap w:val="false"/>
          </w:tcPr>
          <w:p>
            <w:pPr>
              <w:pStyle w:val="682"/>
              <w:jc w:val="left"/>
              <w:rPr>
                <w:rFonts w:hint="eastAsia" w:ascii="宋体" w:hAnsi="宋体"/>
                <w:b/>
                <w:color w:val="000000"/>
                <w:highlight w:val="none"/>
              </w:rPr>
            </w:pPr>
            <w:r>
              <w:rPr>
                <w:rFonts w:hint="eastAsia" w:ascii="宋体" w:hAnsi="宋体"/>
                <w:b/>
                <w:color w:val="000000"/>
                <w:highlight w:val="none"/>
              </w:rPr>
              <w:t xml:space="preserve">安保器械装备费</w:t>
            </w:r>
            <w:r>
              <w:rPr>
                <w:rFonts w:hint="eastAsia" w:ascii="宋体" w:hAnsi="宋体"/>
                <w:b/>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682"/>
              <w:jc w:val="center"/>
              <w:rPr>
                <w:rFonts w:ascii="宋体" w:hAnsi="宋体"/>
                <w:b/>
                <w:color w:val="000000"/>
                <w:highlight w:val="none"/>
              </w:rPr>
            </w:pPr>
            <w:r>
              <w:rPr>
                <w:rFonts w:hint="eastAsia" w:ascii="宋体" w:hAnsi="宋体"/>
                <w:b/>
                <w:color w:val="000000"/>
                <w:highlight w:val="none"/>
              </w:rPr>
              <w:t xml:space="preserve">6</w:t>
            </w:r>
            <w:r>
              <w:rPr>
                <w:rFonts w:ascii="宋体" w:hAnsi="宋体"/>
                <w:b/>
                <w:color w:val="000000"/>
                <w:highlight w:val="none"/>
              </w:rPr>
            </w:r>
            <w:r/>
          </w:p>
        </w:tc>
        <w:tc>
          <w:tcPr>
            <w:tcW w:w="3575" w:type="dxa"/>
            <w:vAlign w:val="center"/>
            <w:textDirection w:val="lrTb"/>
            <w:noWrap w:val="false"/>
          </w:tcPr>
          <w:p>
            <w:pPr>
              <w:pStyle w:val="682"/>
              <w:jc w:val="left"/>
              <w:rPr>
                <w:rFonts w:hint="eastAsia" w:ascii="宋体" w:hAnsi="宋体"/>
                <w:b/>
                <w:color w:val="000000"/>
                <w:highlight w:val="none"/>
              </w:rPr>
            </w:pPr>
            <w:r>
              <w:rPr>
                <w:rFonts w:hint="eastAsia" w:ascii="宋体" w:hAnsi="宋体"/>
                <w:b/>
                <w:color w:val="000000"/>
                <w:highlight w:val="none"/>
              </w:rPr>
              <w:t xml:space="preserve">餐饮服务相关费用</w:t>
            </w:r>
            <w:r>
              <w:rPr>
                <w:rFonts w:hint="eastAsia" w:ascii="宋体" w:hAnsi="宋体"/>
                <w:b/>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b/>
                <w:color w:val="000000"/>
                <w:highlight w:val="none"/>
              </w:rPr>
            </w:pPr>
            <w:r>
              <w:rPr>
                <w:rFonts w:hint="eastAsia" w:ascii="宋体" w:hAnsi="宋体"/>
                <w:b/>
                <w:color w:val="000000"/>
                <w:highlight w:val="none"/>
              </w:rPr>
              <w:t xml:space="preserve">7</w:t>
            </w:r>
            <w:r>
              <w:rPr>
                <w:rFonts w:hint="eastAsia" w:ascii="宋体" w:hAnsi="宋体"/>
                <w:b/>
                <w:color w:val="000000"/>
                <w:highlight w:val="none"/>
              </w:rPr>
            </w:r>
            <w:r/>
          </w:p>
        </w:tc>
        <w:tc>
          <w:tcPr>
            <w:tcW w:w="3575" w:type="dxa"/>
            <w:vAlign w:val="center"/>
            <w:textDirection w:val="lrTb"/>
            <w:noWrap w:val="false"/>
          </w:tcPr>
          <w:p>
            <w:pPr>
              <w:pStyle w:val="682"/>
              <w:jc w:val="left"/>
              <w:rPr>
                <w:rFonts w:hint="eastAsia" w:ascii="宋体" w:hAnsi="宋体"/>
                <w:b/>
                <w:color w:val="000000"/>
                <w:highlight w:val="none"/>
              </w:rPr>
            </w:pPr>
            <w:r>
              <w:rPr>
                <w:rFonts w:hint="eastAsia" w:ascii="宋体" w:hAnsi="宋体"/>
                <w:b/>
                <w:color w:val="000000"/>
                <w:highlight w:val="none"/>
              </w:rPr>
              <w:t xml:space="preserve">维修维保费用</w:t>
            </w:r>
            <w:r>
              <w:rPr>
                <w:rFonts w:hint="eastAsia" w:ascii="宋体" w:hAnsi="宋体"/>
                <w:b/>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t xml:space="preserve">参照表（4）</w:t>
            </w: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b/>
                <w:color w:val="000000"/>
                <w:highlight w:val="none"/>
              </w:rPr>
            </w:pPr>
            <w:r>
              <w:rPr>
                <w:rFonts w:hint="eastAsia" w:ascii="宋体" w:hAnsi="宋体"/>
                <w:b/>
                <w:color w:val="000000"/>
                <w:highlight w:val="none"/>
              </w:rPr>
              <w:t xml:space="preserve">8</w:t>
            </w:r>
            <w:r>
              <w:rPr>
                <w:rFonts w:hint="eastAsia" w:ascii="宋体" w:hAnsi="宋体"/>
                <w:b/>
                <w:color w:val="000000"/>
                <w:highlight w:val="none"/>
              </w:rPr>
            </w:r>
            <w:r/>
          </w:p>
        </w:tc>
        <w:tc>
          <w:tcPr>
            <w:tcW w:w="3575" w:type="dxa"/>
            <w:vAlign w:val="center"/>
            <w:textDirection w:val="lrTb"/>
            <w:noWrap w:val="false"/>
          </w:tcPr>
          <w:p>
            <w:pPr>
              <w:pStyle w:val="682"/>
              <w:jc w:val="left"/>
              <w:rPr>
                <w:rFonts w:hint="eastAsia" w:ascii="宋体" w:hAnsi="宋体"/>
                <w:b/>
                <w:color w:val="000000"/>
                <w:highlight w:val="none"/>
              </w:rPr>
            </w:pPr>
            <w:r>
              <w:rPr>
                <w:rFonts w:hint="eastAsia" w:ascii="宋体" w:hAnsi="宋体"/>
                <w:b/>
                <w:color w:val="000000"/>
                <w:highlight w:val="none"/>
              </w:rPr>
              <w:t xml:space="preserve">合理利润</w:t>
            </w:r>
            <w:r>
              <w:rPr>
                <w:rFonts w:hint="eastAsia" w:ascii="宋体" w:hAnsi="宋体"/>
                <w:b/>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82"/>
              <w:jc w:val="center"/>
              <w:rPr>
                <w:rFonts w:ascii="宋体" w:hAnsi="宋体"/>
                <w:b/>
                <w:color w:val="000000"/>
                <w:highlight w:val="none"/>
              </w:rPr>
            </w:pPr>
            <w:r>
              <w:rPr>
                <w:rFonts w:hint="eastAsia" w:ascii="宋体" w:hAnsi="宋体"/>
                <w:b/>
                <w:color w:val="000000"/>
                <w:highlight w:val="none"/>
              </w:rPr>
              <w:t xml:space="preserve">9</w:t>
            </w:r>
            <w:r>
              <w:rPr>
                <w:rFonts w:ascii="宋体" w:hAnsi="宋体"/>
                <w:b/>
                <w:color w:val="000000"/>
                <w:highlight w:val="none"/>
              </w:rPr>
            </w:r>
            <w:r/>
          </w:p>
        </w:tc>
        <w:tc>
          <w:tcPr>
            <w:tcW w:w="3575" w:type="dxa"/>
            <w:vAlign w:val="center"/>
            <w:textDirection w:val="lrTb"/>
            <w:noWrap w:val="false"/>
          </w:tcPr>
          <w:p>
            <w:pPr>
              <w:pStyle w:val="682"/>
              <w:jc w:val="left"/>
              <w:rPr>
                <w:rFonts w:hint="eastAsia" w:ascii="宋体" w:hAnsi="宋体"/>
                <w:b/>
                <w:color w:val="000000"/>
                <w:highlight w:val="none"/>
              </w:rPr>
            </w:pPr>
            <w:r>
              <w:rPr>
                <w:rFonts w:hint="eastAsia" w:ascii="宋体" w:hAnsi="宋体"/>
                <w:b/>
                <w:color w:val="000000"/>
                <w:highlight w:val="none"/>
              </w:rPr>
              <w:t xml:space="preserve">税金</w:t>
            </w:r>
            <w:r>
              <w:rPr>
                <w:rFonts w:hint="eastAsia" w:ascii="宋体" w:hAnsi="宋体"/>
                <w:b/>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82"/>
              <w:jc w:val="center"/>
              <w:rPr>
                <w:rFonts w:ascii="宋体" w:hAnsi="宋体"/>
                <w:b/>
                <w:color w:val="000000"/>
                <w:highlight w:val="none"/>
              </w:rPr>
            </w:pPr>
            <w:r>
              <w:rPr>
                <w:rFonts w:hint="eastAsia" w:ascii="宋体" w:hAnsi="宋体"/>
                <w:b/>
                <w:color w:val="000000"/>
                <w:highlight w:val="none"/>
              </w:rPr>
              <w:t xml:space="preserve">10</w:t>
            </w:r>
            <w:r>
              <w:rPr>
                <w:rFonts w:ascii="宋体" w:hAnsi="宋体"/>
                <w:b/>
                <w:color w:val="000000"/>
                <w:highlight w:val="none"/>
              </w:rPr>
            </w:r>
            <w:r/>
          </w:p>
        </w:tc>
        <w:tc>
          <w:tcPr>
            <w:tcW w:w="3575" w:type="dxa"/>
            <w:vAlign w:val="center"/>
            <w:textDirection w:val="lrTb"/>
            <w:noWrap w:val="false"/>
          </w:tcPr>
          <w:p>
            <w:pPr>
              <w:pStyle w:val="682"/>
              <w:jc w:val="left"/>
              <w:rPr>
                <w:rFonts w:hint="eastAsia" w:ascii="宋体" w:hAnsi="宋体"/>
                <w:b/>
                <w:color w:val="000000"/>
                <w:highlight w:val="none"/>
              </w:rPr>
            </w:pPr>
            <w:r>
              <w:rPr>
                <w:rFonts w:hint="eastAsia" w:ascii="宋体" w:hAnsi="宋体"/>
                <w:b/>
                <w:color w:val="000000"/>
                <w:highlight w:val="none"/>
              </w:rPr>
              <w:t xml:space="preserve">其他支出（按需求自行列举）</w:t>
            </w:r>
            <w:r>
              <w:rPr>
                <w:rFonts w:hint="eastAsia" w:ascii="宋体" w:hAnsi="宋体"/>
                <w:b/>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82"/>
              <w:jc w:val="center"/>
              <w:rPr>
                <w:rFonts w:hint="eastAsia" w:ascii="宋体" w:hAnsi="宋体"/>
                <w:b/>
                <w:color w:val="000000"/>
                <w:highlight w:val="none"/>
              </w:rPr>
            </w:pPr>
            <w:r>
              <w:rPr>
                <w:rFonts w:ascii="宋体" w:hAnsi="宋体"/>
                <w:color w:val="000000"/>
                <w:highlight w:val="none"/>
              </w:rPr>
              <w:t xml:space="preserve">…</w:t>
            </w:r>
            <w:r>
              <w:rPr>
                <w:rFonts w:hint="eastAsia" w:ascii="宋体" w:hAnsi="宋体"/>
                <w:color w:val="000000"/>
                <w:highlight w:val="none"/>
              </w:rPr>
              <w:t xml:space="preserve"> </w:t>
            </w:r>
            <w:r>
              <w:rPr>
                <w:rFonts w:ascii="宋体" w:hAnsi="宋体"/>
                <w:color w:val="000000"/>
                <w:highlight w:val="none"/>
              </w:rPr>
              <w:t xml:space="preserve">…</w:t>
            </w:r>
            <w:r>
              <w:rPr>
                <w:rFonts w:hint="eastAsia" w:ascii="宋体" w:hAnsi="宋体"/>
                <w:b/>
                <w:color w:val="000000"/>
                <w:highlight w:val="none"/>
              </w:rPr>
            </w:r>
            <w:r/>
          </w:p>
        </w:tc>
        <w:tc>
          <w:tcPr>
            <w:tcW w:w="3575" w:type="dxa"/>
            <w:vAlign w:val="center"/>
            <w:textDirection w:val="lrTb"/>
            <w:noWrap w:val="false"/>
          </w:tcPr>
          <w:p>
            <w:pPr>
              <w:pStyle w:val="682"/>
              <w:jc w:val="left"/>
              <w:rPr>
                <w:rFonts w:hint="eastAsia" w:ascii="宋体" w:hAnsi="宋体"/>
                <w:b/>
                <w:color w:val="000000"/>
                <w:highlight w:val="none"/>
              </w:rPr>
            </w:pPr>
            <w:r>
              <w:rPr>
                <w:rFonts w:hint="eastAsia" w:ascii="宋体" w:hAnsi="宋体"/>
                <w:b/>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82"/>
              <w:jc w:val="center"/>
              <w:rPr>
                <w:rFonts w:ascii="宋体" w:hAnsi="宋体"/>
                <w:color w:val="000000"/>
                <w:highlight w:val="none"/>
              </w:rPr>
            </w:pPr>
            <w:r>
              <w:rPr>
                <w:rFonts w:ascii="宋体" w:hAnsi="宋体"/>
                <w:color w:val="000000"/>
                <w:highlight w:val="none"/>
              </w:rPr>
            </w:r>
            <w:r/>
          </w:p>
        </w:tc>
        <w:tc>
          <w:tcPr>
            <w:tcW w:w="3575" w:type="dxa"/>
            <w:vAlign w:val="center"/>
            <w:textDirection w:val="lrTb"/>
            <w:noWrap w:val="false"/>
          </w:tcPr>
          <w:p>
            <w:pPr>
              <w:pStyle w:val="682"/>
              <w:jc w:val="left"/>
              <w:rPr>
                <w:rFonts w:hint="eastAsia" w:ascii="宋体" w:hAnsi="宋体"/>
                <w:b/>
                <w:color w:val="000000"/>
                <w:highlight w:val="none"/>
              </w:rPr>
            </w:pPr>
            <w:r>
              <w:rPr>
                <w:rFonts w:hint="eastAsia" w:ascii="宋体" w:hAnsi="宋体"/>
                <w:b/>
                <w:color w:val="000000"/>
                <w:highlight w:val="none"/>
              </w:rPr>
              <w:t xml:space="preserve">合计：</w:t>
            </w:r>
            <w:r>
              <w:rPr>
                <w:rFonts w:hint="eastAsia" w:ascii="宋体" w:hAnsi="宋体"/>
                <w:b/>
                <w:color w:val="000000"/>
                <w:highlight w:val="none"/>
              </w:rPr>
            </w:r>
            <w:r/>
          </w:p>
        </w:tc>
        <w:tc>
          <w:tcPr>
            <w:tcW w:w="1465"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82"/>
              <w:jc w:val="center"/>
              <w:rPr>
                <w:rFonts w:hint="eastAsia" w:ascii="宋体" w:hAnsi="宋体"/>
                <w:color w:val="000000"/>
                <w:highlight w:val="none"/>
              </w:rPr>
            </w:pPr>
            <w:r>
              <w:rPr>
                <w:rFonts w:hint="eastAsia" w:ascii="宋体" w:hAnsi="宋体"/>
                <w:color w:val="000000"/>
                <w:highlight w:val="none"/>
              </w:rPr>
            </w:r>
            <w:r/>
          </w:p>
        </w:tc>
      </w:tr>
    </w:tbl>
    <w:p>
      <w:pPr>
        <w:pStyle w:val="682"/>
        <w:spacing w:line="400" w:lineRule="exact"/>
        <w:rPr>
          <w:rFonts w:hint="eastAsia" w:ascii="黑体" w:eastAsia="黑体"/>
          <w:bCs/>
          <w:color w:val="000000"/>
          <w:sz w:val="32"/>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32"/>
          <w:highlight w:val="none"/>
        </w:rPr>
      </w:r>
      <w:r/>
    </w:p>
    <w:p>
      <w:pPr>
        <w:pStyle w:val="682"/>
        <w:rPr>
          <w:rFonts w:hint="eastAsia" w:ascii="宋体" w:hAnsi="宋体"/>
          <w:bCs/>
          <w:color w:val="000000"/>
          <w:highlight w:val="none"/>
        </w:rPr>
      </w:pPr>
      <w:r>
        <w:rPr>
          <w:rFonts w:hint="eastAsia" w:ascii="宋体" w:hAnsi="宋体"/>
          <w:bCs/>
          <w:color w:val="000000"/>
          <w:highlight w:val="none"/>
        </w:rPr>
      </w:r>
      <w:r/>
    </w:p>
    <w:p>
      <w:pPr>
        <w:pStyle w:val="682"/>
        <w:rPr>
          <w:rFonts w:hint="eastAsia" w:ascii="宋体" w:hAnsi="宋体"/>
          <w:bCs/>
          <w:color w:val="000000"/>
          <w:highlight w:val="none"/>
        </w:rPr>
      </w:pPr>
      <w:r>
        <w:rPr>
          <w:rFonts w:hint="eastAsia" w:ascii="宋体" w:hAnsi="宋体"/>
          <w:bCs/>
          <w:color w:val="000000"/>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highlight w:val="none"/>
        </w:rPr>
      </w:r>
      <w:r/>
    </w:p>
    <w:p>
      <w:pPr>
        <w:pStyle w:val="682"/>
        <w:ind w:firstLine="420"/>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rPr>
          <w:rFonts w:hint="eastAsia" w:ascii="宋体" w:hAnsi="宋体"/>
          <w:bCs/>
          <w:color w:val="000000"/>
          <w:highlight w:val="none"/>
        </w:rPr>
      </w:r>
      <w:r/>
    </w:p>
    <w:p>
      <w:pPr>
        <w:pStyle w:val="682"/>
        <w:ind w:firstLine="420"/>
        <w:rPr>
          <w:rFonts w:ascii="宋体" w:hAnsi="Calibri"/>
          <w:bCs/>
          <w:color w:val="000000"/>
          <w:highlight w:val="none"/>
        </w:rPr>
        <w:outlineLvl w:val="0"/>
      </w:pPr>
      <w:r>
        <w:rPr>
          <w:rFonts w:hint="eastAsia" w:ascii="宋体" w:hAnsi="宋体"/>
          <w:bCs/>
          <w:color w:val="000000"/>
          <w:highlight w:val="none"/>
        </w:rPr>
        <w:t xml:space="preserve">3、</w:t>
      </w:r>
      <w:r>
        <w:rPr>
          <w:rFonts w:hint="eastAsia" w:ascii="宋体" w:hAnsi="Calibri"/>
          <w:bCs/>
          <w:color w:val="000000"/>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highlight w:val="none"/>
          <w:lang w:eastAsia="zh-CN"/>
        </w:rPr>
        <w:t xml:space="preserve">无锡市公共资源交易中心新吴分中心</w:t>
      </w:r>
      <w:r>
        <w:rPr>
          <w:rFonts w:hint="eastAsia" w:ascii="宋体" w:hAnsi="Calibri"/>
          <w:bCs/>
          <w:color w:val="000000"/>
          <w:highlight w:val="none"/>
        </w:rPr>
        <w:t xml:space="preserve">有权将相关内容进行公示；</w:t>
      </w:r>
      <w:r>
        <w:rPr>
          <w:rFonts w:ascii="宋体" w:hAnsi="Calibri"/>
          <w:bCs/>
          <w:color w:val="000000"/>
          <w:highlight w:val="none"/>
        </w:rPr>
      </w:r>
      <w:r/>
    </w:p>
    <w:p>
      <w:pPr>
        <w:pStyle w:val="682"/>
        <w:ind w:firstLine="420"/>
        <w:rPr>
          <w:rFonts w:hint="eastAsia" w:ascii="宋体" w:hAnsi="宋体"/>
          <w:b/>
          <w:bCs/>
          <w:color w:val="000000"/>
          <w:sz w:val="24"/>
          <w:szCs w:val="24"/>
          <w:highlight w:val="none"/>
        </w:rPr>
        <w:outlineLvl w:val="0"/>
      </w:pPr>
      <w:r>
        <w:rPr>
          <w:rFonts w:ascii="宋体" w:hAnsi="Calibri"/>
          <w:bCs/>
          <w:color w:val="000000"/>
          <w:highlight w:val="none"/>
        </w:rPr>
        <w:br w:type="page" w:clear="all"/>
      </w:r>
      <w:r>
        <w:rPr>
          <w:rFonts w:hint="eastAsia" w:ascii="宋体" w:hAnsi="宋体"/>
          <w:b/>
          <w:bCs/>
          <w:color w:val="000000"/>
          <w:sz w:val="24"/>
          <w:szCs w:val="24"/>
          <w:highlight w:val="none"/>
        </w:rPr>
        <w:t xml:space="preserve">表（1）：员工工资福利及法定计提费用明细表</w:t>
      </w:r>
      <w:r>
        <w:rPr>
          <w:rFonts w:hint="eastAsia" w:ascii="宋体" w:hAnsi="宋体"/>
          <w:b/>
          <w:bCs/>
          <w:color w:val="000000"/>
          <w:sz w:val="24"/>
          <w:szCs w:val="24"/>
          <w:highlight w:val="none"/>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1985"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项目名称</w:t>
            </w:r>
            <w:r>
              <w:rPr>
                <w:rFonts w:hint="eastAsia" w:ascii="宋体" w:hAnsi="宋体"/>
                <w:b/>
                <w:color w:val="000000"/>
                <w:sz w:val="18"/>
                <w:szCs w:val="18"/>
                <w:highlight w:val="none"/>
              </w:rPr>
            </w:r>
            <w:r/>
          </w:p>
        </w:tc>
        <w:tc>
          <w:tcPr>
            <w:tcW w:w="992"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人数配置</w:t>
            </w:r>
            <w:r>
              <w:rPr>
                <w:rFonts w:hint="eastAsia" w:ascii="宋体" w:hAnsi="宋体"/>
                <w:b/>
                <w:color w:val="000000"/>
                <w:sz w:val="18"/>
                <w:szCs w:val="18"/>
                <w:highlight w:val="none"/>
              </w:rPr>
            </w:r>
            <w:r/>
          </w:p>
        </w:tc>
        <w:tc>
          <w:tcPr>
            <w:tcW w:w="1412"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人员费用标准</w:t>
            </w:r>
            <w:r>
              <w:rPr>
                <w:rFonts w:hint="eastAsia" w:ascii="宋体" w:hAnsi="宋体"/>
                <w:b/>
                <w:color w:val="000000"/>
                <w:sz w:val="18"/>
                <w:szCs w:val="18"/>
                <w:highlight w:val="none"/>
              </w:rPr>
            </w:r>
            <w:r/>
          </w:p>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134"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134"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（元/年）</w:t>
            </w:r>
            <w:r>
              <w:rPr>
                <w:rFonts w:hint="eastAsia" w:ascii="宋体" w:hAnsi="宋体"/>
                <w:b/>
                <w:color w:val="000000"/>
                <w:sz w:val="18"/>
                <w:szCs w:val="18"/>
                <w:highlight w:val="none"/>
              </w:rPr>
            </w:r>
            <w:r/>
          </w:p>
        </w:tc>
        <w:tc>
          <w:tcPr>
            <w:tcW w:w="1842"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备注</w:t>
            </w:r>
            <w:r>
              <w:rPr>
                <w:rFonts w:hint="eastAsia" w:ascii="宋体" w:hAnsi="宋体"/>
                <w:b/>
                <w:color w:val="000000"/>
                <w:sz w:val="18"/>
                <w:szCs w:val="18"/>
                <w:highlight w:val="none"/>
              </w:rPr>
            </w:r>
            <w:r/>
          </w:p>
        </w:tc>
      </w:tr>
      <w:tr>
        <w:trPr/>
        <w:tc>
          <w:tcPr>
            <w:tcW w:w="681"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1</w:t>
            </w:r>
            <w:r>
              <w:rPr>
                <w:rFonts w:hint="eastAsia" w:ascii="宋体" w:hAnsi="宋体"/>
                <w:b/>
                <w:color w:val="000000"/>
                <w:sz w:val="18"/>
                <w:szCs w:val="18"/>
                <w:highlight w:val="none"/>
              </w:rPr>
            </w:r>
            <w:r/>
          </w:p>
        </w:tc>
        <w:tc>
          <w:tcPr>
            <w:tcW w:w="1985" w:type="dxa"/>
            <w:vAlign w:val="center"/>
            <w:textDirection w:val="lrTb"/>
            <w:noWrap w:val="false"/>
          </w:tcPr>
          <w:p>
            <w:pPr>
              <w:pStyle w:val="682"/>
              <w:rPr>
                <w:rFonts w:hint="eastAsia" w:ascii="宋体" w:hAnsi="宋体"/>
                <w:b/>
                <w:color w:val="000000"/>
                <w:sz w:val="18"/>
                <w:szCs w:val="18"/>
                <w:highlight w:val="none"/>
              </w:rPr>
            </w:pPr>
            <w:r>
              <w:rPr>
                <w:rFonts w:hint="eastAsia" w:ascii="宋体" w:hAnsi="宋体"/>
                <w:b/>
                <w:color w:val="000000"/>
                <w:sz w:val="18"/>
                <w:szCs w:val="18"/>
                <w:highlight w:val="none"/>
              </w:rPr>
              <w:t xml:space="preserve">员工工资及福利</w:t>
            </w:r>
            <w:r>
              <w:rPr>
                <w:rFonts w:hint="eastAsia" w:ascii="宋体" w:hAnsi="宋体"/>
                <w:b/>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rPr>
                <w:rFonts w:hint="eastAsia" w:ascii="宋体" w:hAnsi="宋体"/>
                <w:color w:val="000000"/>
                <w:sz w:val="18"/>
                <w:szCs w:val="18"/>
                <w:highlight w:val="none"/>
              </w:rPr>
            </w:pPr>
            <w:r>
              <w:rPr>
                <w:rFonts w:hint="eastAsia" w:ascii="宋体" w:hAnsi="宋体"/>
                <w:color w:val="000000"/>
                <w:sz w:val="18"/>
                <w:szCs w:val="18"/>
                <w:highlight w:val="none"/>
              </w:rPr>
              <w:t xml:space="preserve">按人员配置总数计算</w:t>
            </w:r>
            <w:r>
              <w:rPr>
                <w:rFonts w:hint="eastAsia" w:ascii="宋体" w:hAnsi="宋体"/>
                <w:color w:val="000000"/>
                <w:sz w:val="18"/>
                <w:szCs w:val="18"/>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项目经理</w:t>
            </w:r>
            <w:r>
              <w:rPr>
                <w:rFonts w:hint="eastAsia" w:ascii="宋体" w:hAnsi="宋体"/>
                <w:color w:val="000000"/>
                <w:sz w:val="18"/>
                <w:szCs w:val="18"/>
                <w:highlight w:val="none"/>
              </w:rPr>
            </w:r>
            <w:r/>
          </w:p>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（项目负责人）</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XX人员</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rPr>
                <w:rFonts w:hint="eastAsia" w:ascii="宋体" w:hAnsi="宋体"/>
                <w:color w:val="000000"/>
                <w:sz w:val="18"/>
                <w:szCs w:val="18"/>
                <w:highlight w:val="none"/>
              </w:rPr>
            </w:pPr>
            <w:r>
              <w:rPr>
                <w:rFonts w:hint="eastAsia" w:ascii="宋体" w:hAnsi="宋体"/>
                <w:color w:val="000000"/>
                <w:sz w:val="18"/>
                <w:szCs w:val="18"/>
                <w:highlight w:val="none"/>
              </w:rPr>
              <w:t xml:space="preserve">自行添行明确</w:t>
            </w:r>
            <w:r>
              <w:rPr>
                <w:rFonts w:hint="eastAsia" w:ascii="宋体" w:hAnsi="宋体"/>
                <w:color w:val="000000"/>
                <w:sz w:val="18"/>
                <w:szCs w:val="18"/>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法定节假日加班工资</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82"/>
              <w:rPr>
                <w:color w:val="000000"/>
                <w:highlight w:val="none"/>
              </w:rPr>
            </w:pPr>
            <w:r>
              <w:rPr>
                <w:color w:val="000000"/>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（4）</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员工人身意外保险费</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8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82"/>
              <w:jc w:val="center"/>
              <w:rPr>
                <w:rFonts w:ascii="宋体" w:hAnsi="宋体"/>
                <w:b/>
                <w:color w:val="000000"/>
                <w:sz w:val="18"/>
                <w:szCs w:val="18"/>
                <w:highlight w:val="none"/>
              </w:rPr>
            </w:pPr>
            <w:r>
              <w:rPr>
                <w:rFonts w:hint="eastAsia" w:ascii="宋体" w:hAnsi="宋体"/>
                <w:b/>
                <w:color w:val="000000"/>
                <w:sz w:val="18"/>
                <w:szCs w:val="18"/>
                <w:highlight w:val="none"/>
              </w:rPr>
              <w:t xml:space="preserve">2</w:t>
            </w:r>
            <w:r>
              <w:rPr>
                <w:rFonts w:ascii="宋体" w:hAnsi="宋体"/>
                <w:b/>
                <w:color w:val="000000"/>
                <w:sz w:val="18"/>
                <w:szCs w:val="18"/>
                <w:highlight w:val="none"/>
              </w:rPr>
            </w:r>
            <w:r/>
          </w:p>
        </w:tc>
        <w:tc>
          <w:tcPr>
            <w:tcW w:w="1985"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法定计提费用</w:t>
            </w:r>
            <w:r>
              <w:rPr>
                <w:rFonts w:hint="eastAsia" w:ascii="宋体" w:hAnsi="宋体"/>
                <w:b/>
                <w:color w:val="000000"/>
                <w:sz w:val="18"/>
                <w:szCs w:val="18"/>
                <w:highlight w:val="none"/>
              </w:rPr>
            </w:r>
            <w:r/>
          </w:p>
        </w:tc>
        <w:tc>
          <w:tcPr>
            <w:tcW w:w="992"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82"/>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养老保险</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8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医疗统筹</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8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失业</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8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（4）</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工伤</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8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（5）</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生育</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8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（6）</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2"/>
            <w:tcW w:w="2666"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w:t>
            </w:r>
            <w:r>
              <w:rPr>
                <w:rFonts w:hint="eastAsia" w:ascii="宋体" w:hAnsi="宋体"/>
                <w:b/>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82"/>
        <w:rPr>
          <w:rFonts w:hint="eastAsia" w:ascii="宋体" w:hAnsi="宋体"/>
          <w:bCs/>
          <w:color w:val="000000"/>
          <w:highlight w:val="none"/>
        </w:rPr>
      </w:pPr>
      <w:r>
        <w:rPr>
          <w:rFonts w:hint="eastAsia" w:ascii="宋体" w:hAnsi="宋体"/>
          <w:bCs/>
          <w:color w:val="000000"/>
          <w:highlight w:val="none"/>
        </w:rPr>
        <w:t xml:space="preserve">注：1、以上人员费用须包括工资、社保等内容，须符合国家、省、市相关政策规定</w:t>
      </w:r>
      <w:r>
        <w:rPr>
          <w:rFonts w:hint="eastAsia" w:ascii="宋体" w:hAnsi="宋体"/>
          <w:bCs/>
          <w:color w:val="000000"/>
          <w:highlight w:val="none"/>
          <w:lang w:eastAsia="zh-CN"/>
        </w:rPr>
        <w:t xml:space="preserve">；</w:t>
      </w:r>
      <w:r>
        <w:rPr>
          <w:rFonts w:hint="eastAsia" w:ascii="宋体" w:hAnsi="宋体"/>
          <w:bCs/>
          <w:color w:val="000000"/>
          <w:highlight w:val="none"/>
        </w:rPr>
        <w:t xml:space="preserve">本项目如有允许配置按国家规定可不缴纳社保的人员(详见第四章《采购需求》)，上表“法定计提费用”中的人员配置总数可扣除上述人员。</w:t>
      </w:r>
      <w:r>
        <w:rPr>
          <w:rFonts w:hint="eastAsia" w:ascii="宋体" w:hAnsi="宋体"/>
          <w:bCs/>
          <w:color w:val="000000"/>
          <w:highlight w:val="none"/>
        </w:rPr>
      </w:r>
      <w:r/>
    </w:p>
    <w:p>
      <w:pPr>
        <w:pStyle w:val="682"/>
        <w:ind w:firstLine="405"/>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rPr>
          <w:rFonts w:hint="eastAsia" w:ascii="宋体" w:hAnsi="宋体"/>
          <w:bCs/>
          <w:color w:val="000000"/>
          <w:highlight w:val="none"/>
        </w:rPr>
      </w:r>
      <w:r/>
    </w:p>
    <w:p>
      <w:pPr>
        <w:pStyle w:val="682"/>
        <w:jc w:val="left"/>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表（2）：投入本项目的工具设备物资明细表</w:t>
      </w:r>
      <w:r>
        <w:rPr>
          <w:rFonts w:hint="eastAsia" w:ascii="宋体" w:hAnsi="宋体"/>
          <w:b/>
          <w:bCs/>
          <w:color w:val="000000"/>
          <w:sz w:val="24"/>
          <w:szCs w:val="24"/>
          <w:highlight w:val="none"/>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992" w:type="dxa"/>
            <w:vAlign w:val="center"/>
            <w:textDirection w:val="lrTb"/>
            <w:noWrap w:val="false"/>
          </w:tcPr>
          <w:p>
            <w:pPr>
              <w:pStyle w:val="682"/>
              <w:rPr>
                <w:rFonts w:hint="eastAsia" w:ascii="宋体" w:hAnsi="宋体"/>
                <w:b/>
                <w:color w:val="000000"/>
                <w:sz w:val="18"/>
                <w:szCs w:val="18"/>
                <w:highlight w:val="none"/>
              </w:rPr>
            </w:pPr>
            <w:r>
              <w:rPr>
                <w:rFonts w:hint="eastAsia" w:ascii="宋体" w:hAnsi="宋体"/>
                <w:b/>
                <w:color w:val="000000"/>
                <w:sz w:val="18"/>
                <w:szCs w:val="18"/>
                <w:highlight w:val="none"/>
              </w:rPr>
              <w:t xml:space="preserve">物品名称</w:t>
            </w:r>
            <w:r>
              <w:rPr>
                <w:rFonts w:hint="eastAsia" w:ascii="宋体" w:hAnsi="宋体"/>
                <w:b/>
                <w:color w:val="000000"/>
                <w:sz w:val="18"/>
                <w:szCs w:val="18"/>
                <w:highlight w:val="none"/>
              </w:rPr>
            </w:r>
            <w:r/>
          </w:p>
        </w:tc>
        <w:tc>
          <w:tcPr>
            <w:tcW w:w="709" w:type="dxa"/>
            <w:vAlign w:val="center"/>
            <w:textDirection w:val="lrTb"/>
            <w:noWrap w:val="false"/>
          </w:tcPr>
          <w:p>
            <w:pPr>
              <w:pStyle w:val="682"/>
              <w:rPr>
                <w:rFonts w:hint="eastAsia" w:ascii="宋体" w:hAnsi="宋体"/>
                <w:b/>
                <w:color w:val="000000"/>
                <w:sz w:val="18"/>
                <w:szCs w:val="18"/>
                <w:highlight w:val="none"/>
              </w:rPr>
            </w:pPr>
            <w:r>
              <w:rPr>
                <w:rFonts w:hint="eastAsia" w:ascii="宋体" w:hAnsi="宋体"/>
                <w:b/>
                <w:color w:val="000000"/>
                <w:sz w:val="18"/>
                <w:szCs w:val="18"/>
                <w:highlight w:val="none"/>
              </w:rPr>
              <w:t xml:space="preserve">品牌</w:t>
            </w:r>
            <w:r>
              <w:rPr>
                <w:rFonts w:hint="eastAsia" w:ascii="宋体" w:hAnsi="宋体"/>
                <w:b/>
                <w:color w:val="000000"/>
                <w:sz w:val="18"/>
                <w:szCs w:val="18"/>
                <w:highlight w:val="none"/>
              </w:rPr>
            </w:r>
            <w:r/>
          </w:p>
          <w:p>
            <w:pPr>
              <w:pStyle w:val="682"/>
              <w:rPr>
                <w:rFonts w:hint="eastAsia" w:ascii="宋体" w:hAnsi="宋体"/>
                <w:b/>
                <w:color w:val="000000"/>
                <w:sz w:val="18"/>
                <w:szCs w:val="18"/>
                <w:highlight w:val="none"/>
              </w:rPr>
            </w:pPr>
            <w:r>
              <w:rPr>
                <w:rFonts w:hint="eastAsia" w:ascii="宋体" w:hAnsi="宋体"/>
                <w:b/>
                <w:color w:val="000000"/>
                <w:sz w:val="18"/>
                <w:szCs w:val="18"/>
                <w:highlight w:val="none"/>
              </w:rPr>
              <w:t xml:space="preserve">型号</w:t>
            </w:r>
            <w:r>
              <w:rPr>
                <w:rFonts w:hint="eastAsia" w:ascii="宋体" w:hAnsi="宋体"/>
                <w:b/>
                <w:color w:val="000000"/>
                <w:sz w:val="18"/>
                <w:szCs w:val="18"/>
                <w:highlight w:val="none"/>
              </w:rPr>
            </w:r>
            <w:r/>
          </w:p>
        </w:tc>
        <w:tc>
          <w:tcPr>
            <w:tcW w:w="709"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数量</w:t>
            </w:r>
            <w:r>
              <w:rPr>
                <w:rFonts w:hint="eastAsia" w:ascii="宋体" w:hAnsi="宋体"/>
                <w:b/>
                <w:color w:val="000000"/>
                <w:sz w:val="18"/>
                <w:szCs w:val="18"/>
                <w:highlight w:val="none"/>
              </w:rPr>
            </w:r>
            <w:r/>
          </w:p>
        </w:tc>
        <w:tc>
          <w:tcPr>
            <w:tcW w:w="850"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单位</w:t>
            </w:r>
            <w:r>
              <w:rPr>
                <w:rFonts w:hint="eastAsia" w:ascii="宋体" w:hAnsi="宋体"/>
                <w:b/>
                <w:color w:val="000000"/>
                <w:sz w:val="18"/>
                <w:szCs w:val="18"/>
                <w:highlight w:val="none"/>
              </w:rPr>
            </w:r>
            <w:r/>
          </w:p>
        </w:tc>
        <w:tc>
          <w:tcPr>
            <w:tcW w:w="1134"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单价（元）</w:t>
            </w:r>
            <w:r>
              <w:rPr>
                <w:rFonts w:hint="eastAsia" w:ascii="宋体" w:hAnsi="宋体"/>
                <w:b/>
                <w:color w:val="000000"/>
                <w:sz w:val="18"/>
                <w:szCs w:val="18"/>
                <w:highlight w:val="none"/>
              </w:rPr>
            </w:r>
            <w:r/>
          </w:p>
        </w:tc>
        <w:tc>
          <w:tcPr>
            <w:tcW w:w="1276"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276"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（元/年）</w:t>
            </w:r>
            <w:r>
              <w:rPr>
                <w:rFonts w:hint="eastAsia" w:ascii="宋体" w:hAnsi="宋体"/>
                <w:b/>
                <w:color w:val="000000"/>
                <w:sz w:val="18"/>
                <w:szCs w:val="18"/>
                <w:highlight w:val="none"/>
              </w:rPr>
            </w:r>
            <w:r/>
          </w:p>
        </w:tc>
        <w:tc>
          <w:tcPr>
            <w:tcW w:w="1134" w:type="dxa"/>
            <w:vAlign w:val="center"/>
            <w:textDirection w:val="lrTb"/>
            <w:noWrap w:val="false"/>
          </w:tcPr>
          <w:p>
            <w:pPr>
              <w:pStyle w:val="682"/>
              <w:rPr>
                <w:rFonts w:hint="eastAsia" w:ascii="宋体" w:hAnsi="宋体"/>
                <w:b/>
                <w:color w:val="000000"/>
                <w:sz w:val="18"/>
                <w:szCs w:val="18"/>
                <w:highlight w:val="none"/>
              </w:rPr>
            </w:pPr>
            <w:r>
              <w:rPr>
                <w:rFonts w:hint="eastAsia" w:ascii="宋体" w:hAnsi="宋体"/>
                <w:b/>
                <w:color w:val="000000"/>
                <w:sz w:val="18"/>
                <w:szCs w:val="18"/>
                <w:highlight w:val="none"/>
              </w:rPr>
              <w:t xml:space="preserve">产地</w:t>
            </w:r>
            <w:r>
              <w:rPr>
                <w:rFonts w:hint="eastAsia" w:ascii="宋体" w:hAnsi="宋体"/>
                <w:b/>
                <w:color w:val="000000"/>
                <w:sz w:val="18"/>
                <w:szCs w:val="18"/>
                <w:highlight w:val="none"/>
              </w:rPr>
            </w:r>
            <w:r/>
          </w:p>
        </w:tc>
      </w:tr>
      <w:tr>
        <w:trPr/>
        <w:tc>
          <w:tcPr>
            <w:tcW w:w="817"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9"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9"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850"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6"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6"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817" w:type="dxa"/>
            <w:vAlign w:val="center"/>
            <w:textDirection w:val="lrTb"/>
            <w:noWrap w:val="false"/>
          </w:tcPr>
          <w:p>
            <w:pPr>
              <w:pStyle w:val="682"/>
              <w:jc w:val="center"/>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850"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6"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6"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6"/>
            <w:tcW w:w="521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合计：</w:t>
            </w:r>
            <w:r>
              <w:rPr>
                <w:rFonts w:hint="eastAsia" w:ascii="宋体" w:hAnsi="宋体"/>
                <w:color w:val="000000"/>
                <w:sz w:val="18"/>
                <w:szCs w:val="18"/>
                <w:highlight w:val="none"/>
              </w:rPr>
            </w:r>
            <w:r/>
          </w:p>
        </w:tc>
        <w:tc>
          <w:tcPr>
            <w:tcW w:w="1276"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6"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82"/>
        <w:jc w:val="left"/>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表（3）：投入本项目的耗材明细表</w:t>
      </w:r>
      <w:r>
        <w:rPr>
          <w:rFonts w:hint="eastAsia" w:ascii="宋体" w:hAnsi="宋体"/>
          <w:b/>
          <w:bCs/>
          <w:color w:val="000000"/>
          <w:sz w:val="24"/>
          <w:szCs w:val="24"/>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851"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名称</w:t>
            </w:r>
            <w:r>
              <w:rPr>
                <w:rFonts w:hint="eastAsia" w:ascii="宋体" w:hAnsi="宋体"/>
                <w:b/>
                <w:color w:val="000000"/>
                <w:sz w:val="18"/>
                <w:szCs w:val="18"/>
                <w:highlight w:val="none"/>
              </w:rPr>
            </w:r>
            <w:r/>
          </w:p>
        </w:tc>
        <w:tc>
          <w:tcPr>
            <w:tcW w:w="708"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品牌</w:t>
            </w:r>
            <w:r>
              <w:rPr>
                <w:rFonts w:hint="eastAsia" w:ascii="宋体" w:hAnsi="宋体"/>
                <w:b/>
                <w:color w:val="000000"/>
                <w:sz w:val="18"/>
                <w:szCs w:val="18"/>
                <w:highlight w:val="none"/>
              </w:rPr>
            </w:r>
            <w:r/>
          </w:p>
        </w:tc>
        <w:tc>
          <w:tcPr>
            <w:tcW w:w="993"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单价（元）</w:t>
            </w:r>
            <w:r>
              <w:rPr>
                <w:rFonts w:hint="eastAsia" w:ascii="宋体" w:hAnsi="宋体"/>
                <w:b/>
                <w:color w:val="000000"/>
                <w:sz w:val="18"/>
                <w:szCs w:val="18"/>
                <w:highlight w:val="none"/>
              </w:rPr>
            </w:r>
            <w:r/>
          </w:p>
        </w:tc>
        <w:tc>
          <w:tcPr>
            <w:tcW w:w="992"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每年用量</w:t>
            </w:r>
            <w:r>
              <w:rPr>
                <w:rFonts w:hint="eastAsia" w:ascii="宋体" w:hAnsi="宋体"/>
                <w:b/>
                <w:color w:val="000000"/>
                <w:sz w:val="18"/>
                <w:szCs w:val="18"/>
                <w:highlight w:val="none"/>
              </w:rPr>
            </w:r>
            <w:r/>
          </w:p>
        </w:tc>
        <w:tc>
          <w:tcPr>
            <w:tcW w:w="709"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单位</w:t>
            </w:r>
            <w:r>
              <w:rPr>
                <w:rFonts w:hint="eastAsia" w:ascii="宋体" w:hAnsi="宋体"/>
                <w:b/>
                <w:color w:val="000000"/>
                <w:sz w:val="18"/>
                <w:szCs w:val="18"/>
                <w:highlight w:val="none"/>
              </w:rPr>
            </w:r>
            <w:r/>
          </w:p>
        </w:tc>
        <w:tc>
          <w:tcPr>
            <w:tcW w:w="1275"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金额（元/月）</w:t>
            </w:r>
            <w:r>
              <w:rPr>
                <w:rFonts w:hint="eastAsia" w:ascii="宋体" w:hAnsi="宋体"/>
                <w:b/>
                <w:color w:val="000000"/>
                <w:sz w:val="18"/>
                <w:szCs w:val="18"/>
                <w:highlight w:val="none"/>
              </w:rPr>
            </w:r>
            <w:r/>
          </w:p>
        </w:tc>
        <w:tc>
          <w:tcPr>
            <w:tcW w:w="1560"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金额（元/年）</w:t>
            </w:r>
            <w:r>
              <w:rPr>
                <w:rFonts w:hint="eastAsia" w:ascii="宋体" w:hAnsi="宋体"/>
                <w:b/>
                <w:color w:val="000000"/>
                <w:sz w:val="18"/>
                <w:szCs w:val="18"/>
                <w:highlight w:val="none"/>
              </w:rPr>
            </w:r>
            <w:r/>
          </w:p>
        </w:tc>
        <w:tc>
          <w:tcPr>
            <w:tcW w:w="1134"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产地</w:t>
            </w:r>
            <w:r>
              <w:rPr>
                <w:rFonts w:hint="eastAsia" w:ascii="宋体" w:hAnsi="宋体"/>
                <w:b/>
                <w:color w:val="000000"/>
                <w:sz w:val="18"/>
                <w:szCs w:val="18"/>
                <w:highlight w:val="none"/>
              </w:rPr>
            </w:r>
            <w:r/>
          </w:p>
        </w:tc>
      </w:tr>
      <w:tr>
        <w:trPr/>
        <w:tc>
          <w:tcPr>
            <w:tcW w:w="817"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85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8"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3"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817" w:type="dxa"/>
            <w:vAlign w:val="center"/>
            <w:textDirection w:val="lrTb"/>
            <w:noWrap w:val="false"/>
          </w:tcPr>
          <w:p>
            <w:pPr>
              <w:pStyle w:val="682"/>
              <w:jc w:val="center"/>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hint="eastAsia" w:ascii="宋体" w:hAnsi="宋体"/>
                <w:color w:val="000000"/>
                <w:sz w:val="18"/>
                <w:szCs w:val="18"/>
                <w:highlight w:val="none"/>
              </w:rPr>
            </w:r>
            <w:r/>
          </w:p>
        </w:tc>
        <w:tc>
          <w:tcPr>
            <w:tcW w:w="85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8"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3"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6"/>
            <w:tcW w:w="5070"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合计：</w:t>
            </w:r>
            <w:r>
              <w:rPr>
                <w:rFonts w:hint="eastAsia" w:ascii="宋体" w:hAnsi="宋体"/>
                <w:color w:val="000000"/>
                <w:sz w:val="18"/>
                <w:szCs w:val="18"/>
                <w:highlight w:val="none"/>
              </w:rPr>
            </w:r>
            <w:r/>
          </w:p>
        </w:tc>
        <w:tc>
          <w:tcPr>
            <w:tcW w:w="127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82"/>
        <w:jc w:val="left"/>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表（4）：投入本项目的维修维保费用明细表</w:t>
      </w:r>
      <w:r>
        <w:rPr>
          <w:rFonts w:ascii="宋体" w:hAnsi="宋体"/>
          <w:b/>
          <w:bCs/>
          <w:color w:val="000000"/>
          <w:sz w:val="24"/>
          <w:szCs w:val="24"/>
          <w:highlight w:val="none"/>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682"/>
              <w:jc w:val="center"/>
              <w:rPr>
                <w:rFonts w:ascii="宋体" w:hAnsi="宋体"/>
                <w:b/>
                <w:color w:val="000000"/>
                <w:sz w:val="18"/>
                <w:szCs w:val="18"/>
                <w:highlight w:val="none"/>
              </w:rPr>
            </w:pPr>
            <w:r>
              <w:rPr>
                <w:rFonts w:hint="eastAsia" w:ascii="宋体" w:hAnsi="宋体"/>
                <w:b/>
                <w:color w:val="000000"/>
                <w:sz w:val="18"/>
                <w:szCs w:val="18"/>
                <w:highlight w:val="none"/>
              </w:rPr>
              <w:t xml:space="preserve">序号</w:t>
            </w:r>
            <w:r>
              <w:rPr>
                <w:rFonts w:ascii="宋体" w:hAnsi="宋体"/>
                <w:b/>
                <w:color w:val="000000"/>
                <w:sz w:val="18"/>
                <w:szCs w:val="18"/>
                <w:highlight w:val="none"/>
              </w:rPr>
            </w:r>
            <w:r/>
          </w:p>
        </w:tc>
        <w:tc>
          <w:tcPr>
            <w:tcW w:w="3023" w:type="dxa"/>
            <w:vAlign w:val="center"/>
            <w:textDirection w:val="lrTb"/>
            <w:noWrap w:val="false"/>
          </w:tcPr>
          <w:p>
            <w:pPr>
              <w:pStyle w:val="682"/>
              <w:jc w:val="center"/>
              <w:rPr>
                <w:rFonts w:ascii="宋体" w:hAnsi="宋体"/>
                <w:b/>
                <w:color w:val="000000"/>
                <w:sz w:val="18"/>
                <w:szCs w:val="18"/>
                <w:highlight w:val="none"/>
              </w:rPr>
            </w:pPr>
            <w:r>
              <w:rPr>
                <w:rFonts w:hint="eastAsia" w:ascii="宋体" w:hAnsi="宋体"/>
                <w:b/>
                <w:color w:val="000000"/>
                <w:sz w:val="18"/>
                <w:szCs w:val="18"/>
                <w:highlight w:val="none"/>
              </w:rPr>
              <w:t xml:space="preserve">维保内容</w:t>
            </w:r>
            <w:r>
              <w:rPr>
                <w:rFonts w:ascii="宋体" w:hAnsi="宋体"/>
                <w:b/>
                <w:color w:val="000000"/>
                <w:sz w:val="18"/>
                <w:szCs w:val="18"/>
                <w:highlight w:val="none"/>
              </w:rPr>
            </w:r>
            <w:r/>
          </w:p>
        </w:tc>
        <w:tc>
          <w:tcPr>
            <w:tcW w:w="1214" w:type="dxa"/>
            <w:vAlign w:val="center"/>
            <w:textDirection w:val="lrTb"/>
            <w:noWrap w:val="false"/>
          </w:tcPr>
          <w:p>
            <w:pPr>
              <w:pStyle w:val="682"/>
              <w:jc w:val="center"/>
              <w:rPr>
                <w:rFonts w:ascii="宋体" w:hAnsi="宋体"/>
                <w:b/>
                <w:color w:val="000000"/>
                <w:sz w:val="18"/>
                <w:szCs w:val="18"/>
                <w:highlight w:val="none"/>
              </w:rPr>
            </w:pPr>
            <w:r>
              <w:rPr>
                <w:rFonts w:hint="eastAsia" w:ascii="宋体" w:hAnsi="宋体"/>
                <w:b/>
                <w:color w:val="000000"/>
                <w:sz w:val="18"/>
                <w:szCs w:val="18"/>
                <w:highlight w:val="none"/>
              </w:rPr>
              <w:t xml:space="preserve">单价（元）</w:t>
            </w:r>
            <w:r>
              <w:rPr>
                <w:rFonts w:ascii="宋体" w:hAnsi="宋体"/>
                <w:b/>
                <w:color w:val="000000"/>
                <w:sz w:val="18"/>
                <w:szCs w:val="18"/>
                <w:highlight w:val="none"/>
              </w:rPr>
            </w:r>
            <w:r/>
          </w:p>
        </w:tc>
        <w:tc>
          <w:tcPr>
            <w:tcW w:w="1442"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82"/>
              <w:jc w:val="center"/>
              <w:rPr>
                <w:rFonts w:ascii="宋体" w:hAnsi="宋体"/>
                <w:b/>
                <w:color w:val="000000"/>
                <w:sz w:val="18"/>
                <w:szCs w:val="18"/>
                <w:highlight w:val="none"/>
              </w:rPr>
            </w:pPr>
            <w:r>
              <w:rPr>
                <w:rFonts w:hint="eastAsia" w:ascii="宋体" w:hAnsi="宋体"/>
                <w:b/>
                <w:color w:val="000000"/>
                <w:sz w:val="18"/>
                <w:szCs w:val="18"/>
                <w:highlight w:val="none"/>
              </w:rPr>
              <w:t xml:space="preserve">（元/月）</w:t>
            </w:r>
            <w:r>
              <w:rPr>
                <w:rFonts w:ascii="宋体" w:hAnsi="宋体"/>
                <w:b/>
                <w:color w:val="000000"/>
                <w:sz w:val="18"/>
                <w:szCs w:val="18"/>
                <w:highlight w:val="none"/>
              </w:rPr>
            </w:r>
            <w:r/>
          </w:p>
        </w:tc>
        <w:tc>
          <w:tcPr>
            <w:tcW w:w="1413"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82"/>
              <w:jc w:val="center"/>
              <w:rPr>
                <w:rFonts w:ascii="宋体" w:hAnsi="宋体"/>
                <w:b/>
                <w:color w:val="000000"/>
                <w:sz w:val="18"/>
                <w:szCs w:val="18"/>
                <w:highlight w:val="none"/>
              </w:rPr>
            </w:pPr>
            <w:r>
              <w:rPr>
                <w:rFonts w:hint="eastAsia" w:ascii="宋体" w:hAnsi="宋体"/>
                <w:b/>
                <w:color w:val="000000"/>
                <w:sz w:val="18"/>
                <w:szCs w:val="18"/>
                <w:highlight w:val="none"/>
              </w:rPr>
              <w:t xml:space="preserve">（元/年）</w:t>
            </w:r>
            <w:r>
              <w:rPr>
                <w:rFonts w:ascii="宋体" w:hAnsi="宋体"/>
                <w:b/>
                <w:color w:val="000000"/>
                <w:sz w:val="18"/>
                <w:szCs w:val="18"/>
                <w:highlight w:val="none"/>
              </w:rPr>
            </w:r>
            <w:r/>
          </w:p>
        </w:tc>
        <w:tc>
          <w:tcPr>
            <w:tcW w:w="988" w:type="dxa"/>
            <w:vAlign w:val="center"/>
            <w:textDirection w:val="lrTb"/>
            <w:noWrap w:val="false"/>
          </w:tcPr>
          <w:p>
            <w:pPr>
              <w:pStyle w:val="682"/>
              <w:jc w:val="center"/>
              <w:rPr>
                <w:rFonts w:ascii="宋体" w:hAnsi="宋体"/>
                <w:b/>
                <w:color w:val="000000"/>
                <w:sz w:val="18"/>
                <w:szCs w:val="18"/>
                <w:highlight w:val="none"/>
              </w:rPr>
            </w:pPr>
            <w:r>
              <w:rPr>
                <w:rFonts w:hint="eastAsia" w:ascii="宋体" w:hAnsi="宋体"/>
                <w:b/>
                <w:color w:val="000000"/>
                <w:sz w:val="18"/>
                <w:szCs w:val="18"/>
                <w:highlight w:val="none"/>
              </w:rPr>
              <w:t xml:space="preserve">备注</w:t>
            </w:r>
            <w:r>
              <w:rPr>
                <w:rFonts w:ascii="宋体" w:hAnsi="宋体"/>
                <w:b/>
                <w:color w:val="000000"/>
                <w:sz w:val="18"/>
                <w:szCs w:val="18"/>
                <w:highlight w:val="none"/>
              </w:rPr>
            </w:r>
            <w:r/>
          </w:p>
        </w:tc>
      </w:tr>
      <w:tr>
        <w:trPr/>
        <w:tc>
          <w:tcPr>
            <w:tcW w:w="867" w:type="dxa"/>
            <w:vAlign w:val="center"/>
            <w:textDirection w:val="lrTb"/>
            <w:noWrap w:val="false"/>
          </w:tcPr>
          <w:p>
            <w:pPr>
              <w:pStyle w:val="682"/>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3023" w:type="dxa"/>
            <w:vAlign w:val="center"/>
            <w:textDirection w:val="lrTb"/>
            <w:noWrap w:val="false"/>
          </w:tcPr>
          <w:p>
            <w:pPr>
              <w:pStyle w:val="682"/>
              <w:jc w:val="center"/>
              <w:rPr>
                <w:rFonts w:ascii="宋体" w:hAnsi="宋体"/>
                <w:b/>
                <w:color w:val="000000"/>
                <w:sz w:val="18"/>
                <w:szCs w:val="18"/>
                <w:highlight w:val="none"/>
              </w:rPr>
            </w:pPr>
            <w:r>
              <w:rPr>
                <w:rFonts w:ascii="宋体" w:hAnsi="宋体"/>
                <w:b/>
                <w:color w:val="000000"/>
                <w:sz w:val="18"/>
                <w:szCs w:val="18"/>
                <w:highlight w:val="none"/>
              </w:rPr>
            </w:r>
            <w:r/>
          </w:p>
        </w:tc>
        <w:tc>
          <w:tcPr>
            <w:tcW w:w="1214"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1442"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1413"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988"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867"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w:t>
            </w:r>
            <w:r>
              <w:rPr>
                <w:rFonts w:hint="eastAsia" w:ascii="宋体" w:hAnsi="宋体"/>
                <w:color w:val="000000"/>
                <w:sz w:val="18"/>
                <w:szCs w:val="18"/>
                <w:highlight w:val="none"/>
              </w:rPr>
            </w:r>
            <w:r/>
          </w:p>
        </w:tc>
        <w:tc>
          <w:tcPr>
            <w:tcW w:w="3023" w:type="dxa"/>
            <w:vAlign w:val="center"/>
            <w:textDirection w:val="lrTb"/>
            <w:noWrap w:val="false"/>
          </w:tcPr>
          <w:p>
            <w:pPr>
              <w:pStyle w:val="682"/>
              <w:jc w:val="center"/>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tc>
        <w:tc>
          <w:tcPr>
            <w:tcW w:w="1214"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1442"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1413"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988"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r>
      <w:tr>
        <w:trPr/>
        <w:tc>
          <w:tcPr>
            <w:gridSpan w:val="3"/>
            <w:tcW w:w="5104" w:type="dxa"/>
            <w:vAlign w:val="center"/>
            <w:textDirection w:val="lrTb"/>
            <w:noWrap w:val="false"/>
          </w:tcPr>
          <w:p>
            <w:pPr>
              <w:pStyle w:val="682"/>
              <w:jc w:val="center"/>
              <w:rPr>
                <w:rFonts w:ascii="宋体" w:hAnsi="宋体"/>
                <w:color w:val="000000"/>
                <w:sz w:val="18"/>
                <w:szCs w:val="18"/>
                <w:highlight w:val="none"/>
              </w:rPr>
            </w:pPr>
            <w:r>
              <w:rPr>
                <w:rFonts w:hint="eastAsia" w:ascii="宋体" w:hAnsi="宋体"/>
                <w:color w:val="000000"/>
                <w:sz w:val="18"/>
                <w:szCs w:val="18"/>
                <w:highlight w:val="none"/>
              </w:rPr>
              <w:t xml:space="preserve">合计：</w:t>
            </w:r>
            <w:r>
              <w:rPr>
                <w:rFonts w:ascii="宋体" w:hAnsi="宋体"/>
                <w:color w:val="000000"/>
                <w:sz w:val="18"/>
                <w:szCs w:val="18"/>
                <w:highlight w:val="none"/>
              </w:rPr>
            </w:r>
            <w:r/>
          </w:p>
        </w:tc>
        <w:tc>
          <w:tcPr>
            <w:tcW w:w="1442"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1413"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988"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r>
    </w:tbl>
    <w:p>
      <w:pPr>
        <w:pStyle w:val="682"/>
        <w:rPr>
          <w:rFonts w:ascii="宋体" w:hAnsi="宋体" w:cs="宋体"/>
          <w:color w:val="000000"/>
          <w:highlight w:val="none"/>
          <w:lang w:val="zh-CN"/>
        </w:rPr>
      </w:pPr>
      <w:r>
        <w:rPr>
          <w:rFonts w:hint="eastAsia" w:ascii="宋体" w:hAnsi="宋体"/>
          <w:bCs/>
          <w:color w:val="000000"/>
          <w:highlight w:val="none"/>
        </w:rPr>
        <w:t xml:space="preserve">注：表（2）（3）（4）由投标人根据采购需求自行测算含在投标报价中。表格不够</w:t>
      </w:r>
      <w:r>
        <w:rPr>
          <w:rFonts w:hint="eastAsia" w:ascii="宋体" w:hAnsi="宋体" w:cs="宋体"/>
          <w:color w:val="000000"/>
          <w:highlight w:val="none"/>
          <w:lang w:val="zh-CN"/>
        </w:rPr>
        <w:t xml:space="preserve">可自行延长。</w:t>
      </w:r>
      <w:r>
        <w:rPr>
          <w:rFonts w:ascii="宋体" w:hAnsi="宋体" w:cs="宋体"/>
          <w:color w:val="000000"/>
          <w:highlight w:val="none"/>
          <w:lang w:val="zh-CN"/>
        </w:rPr>
      </w:r>
      <w:r/>
    </w:p>
    <w:p>
      <w:pPr>
        <w:pStyle w:val="682"/>
        <w:spacing w:line="360" w:lineRule="auto"/>
        <w:rPr>
          <w:rFonts w:hint="eastAsia"/>
          <w:b/>
          <w:color w:val="000000"/>
          <w:sz w:val="28"/>
          <w:szCs w:val="28"/>
          <w:highlight w:val="none"/>
        </w:rPr>
      </w:pPr>
      <w:r>
        <w:rPr>
          <w:rFonts w:hint="eastAsia" w:ascii="宋体" w:hAnsi="宋体"/>
          <w:bCs/>
          <w:color w:val="000000"/>
          <w:highlight w:val="none"/>
        </w:rPr>
        <w:br w:type="page" w:clear="all"/>
      </w: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rFonts w:hint="eastAsia"/>
          <w:b/>
          <w:color w:val="000000"/>
          <w:sz w:val="28"/>
          <w:szCs w:val="28"/>
          <w:highlight w:val="none"/>
        </w:rPr>
      </w:r>
      <w:r/>
    </w:p>
    <w:p>
      <w:pPr>
        <w:pStyle w:val="682"/>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2"/>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682"/>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2"/>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2"/>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Segoe UI" w:hAnsi="Segoe UI" w:eastAsia="Segoe UI" w:cs="Segoe UI"/>
          <w:i w:val="0"/>
          <w:iCs w:val="0"/>
          <w:caps w:val="0"/>
          <w:color w:val="000000"/>
          <w:spacing w:val="0"/>
          <w:sz w:val="21"/>
          <w:szCs w:val="21"/>
          <w:highlight w:val="none"/>
          <w:u w:val="none"/>
        </w:rPr>
        <w:t xml:space="preserve">JSZC-320214-JZCG-G2026-0009</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2"/>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2"/>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2"/>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2"/>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2"/>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2"/>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2"/>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2"/>
              <w:jc w:val="center"/>
              <w:rPr>
                <w:rFonts w:ascii="宋体"/>
                <w:bCs/>
                <w:color w:val="000000"/>
                <w:highlight w:val="none"/>
              </w:rPr>
            </w:pPr>
            <w:r>
              <w:rPr>
                <w:rFonts w:ascii="宋体"/>
                <w:bCs/>
                <w:color w:val="000000"/>
                <w:highlight w:val="none"/>
              </w:rPr>
            </w:r>
            <w:r/>
          </w:p>
        </w:tc>
      </w:tr>
    </w:tbl>
    <w:p>
      <w:pPr>
        <w:pStyle w:val="682"/>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682"/>
        <w:rPr>
          <w:rFonts w:ascii="宋体"/>
          <w:bCs/>
          <w:color w:val="000000"/>
          <w:sz w:val="30"/>
          <w:highlight w:val="none"/>
        </w:rPr>
      </w:pPr>
      <w:r>
        <w:rPr>
          <w:rFonts w:ascii="宋体"/>
          <w:bCs/>
          <w:color w:val="000000"/>
          <w:sz w:val="30"/>
          <w:highlight w:val="none"/>
        </w:rPr>
      </w:r>
      <w:r/>
    </w:p>
    <w:p>
      <w:pPr>
        <w:pStyle w:val="682"/>
        <w:ind w:firstLine="420"/>
        <w:rPr>
          <w:rFonts w:ascii="宋体" w:hAnsi="宋体"/>
          <w:bCs/>
          <w:color w:val="000000"/>
          <w:sz w:val="24"/>
          <w:szCs w:val="24"/>
          <w:highlight w:val="none"/>
        </w:rPr>
        <w:outlineLvl w:val="0"/>
      </w:pPr>
      <w:r/>
      <w:bookmarkEnd w:id="189"/>
      <w:r/>
      <w:bookmarkEnd w:id="190"/>
      <w:r/>
      <w:bookmarkEnd w:id="202"/>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682"/>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rPr>
          <w:rFonts w:ascii="宋体" w:hAnsi="宋体"/>
          <w:bCs/>
          <w:color w:val="000000"/>
          <w:sz w:val="24"/>
          <w:szCs w:val="24"/>
          <w:highlight w:val="none"/>
        </w:rPr>
      </w:r>
      <w:r/>
    </w:p>
    <w:p>
      <w:pPr>
        <w:pStyle w:val="682"/>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hAnsi="宋体"/>
          <w:bCs/>
          <w:color w:val="000000"/>
          <w:sz w:val="24"/>
          <w:szCs w:val="24"/>
          <w:highlight w:val="none"/>
        </w:rPr>
      </w:r>
      <w:r/>
    </w:p>
    <w:p>
      <w:pPr>
        <w:pStyle w:val="682"/>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682"/>
        <w:rPr>
          <w:color w:val="000000"/>
          <w:highlight w:val="none"/>
        </w:rPr>
      </w:pPr>
      <w:r>
        <w:rPr>
          <w:color w:val="000000"/>
          <w:highlight w:val="none"/>
        </w:rPr>
      </w:r>
      <w:r/>
    </w:p>
    <w:p>
      <w:pPr>
        <w:pStyle w:val="682"/>
        <w:rPr>
          <w:rFonts w:hint="eastAsia"/>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682"/>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682"/>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682"/>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82"/>
        <w:ind w:firstLine="480"/>
        <w:rPr>
          <w:rFonts w:ascii="黑体" w:eastAsia="黑体"/>
          <w:bCs/>
          <w:color w:val="000000"/>
          <w:sz w:val="24"/>
          <w:szCs w:val="24"/>
          <w:highlight w:val="none"/>
        </w:rPr>
      </w:pPr>
      <w:r>
        <w:rPr>
          <w:rFonts w:hint="eastAsia" w:ascii="黑体" w:eastAsia="黑体"/>
          <w:bCs/>
          <w:color w:val="000000"/>
          <w:sz w:val="24"/>
          <w:szCs w:val="24"/>
          <w:highlight w:val="none"/>
        </w:rPr>
        <w:t xml:space="preserve">项目</w:t>
      </w:r>
      <w:r>
        <w:rPr>
          <w:rFonts w:hint="eastAsia" w:ascii="黑体" w:hAnsi="Times New Roman" w:eastAsia="黑体" w:cs="Times New Roman"/>
          <w:bCs/>
          <w:color w:val="000000"/>
          <w:sz w:val="24"/>
          <w:szCs w:val="24"/>
          <w:highlight w:val="none"/>
        </w:rPr>
        <w:t xml:space="preserve">编号：JSZC-320214-JZCG-G2026-0009</w:t>
      </w:r>
      <w:r>
        <w:rPr>
          <w:rFonts w:ascii="黑体" w:eastAsia="黑体"/>
          <w:bCs/>
          <w:color w:val="000000"/>
          <w:sz w:val="24"/>
          <w:szCs w:val="24"/>
          <w:highlight w:val="none"/>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82"/>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682"/>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682"/>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682"/>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682"/>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682"/>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682"/>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682"/>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682"/>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682"/>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82"/>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82"/>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82"/>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682"/>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82"/>
        <w:rPr>
          <w:rFonts w:hint="eastAsia" w:ascii="宋体" w:hAnsi="宋体"/>
          <w:bCs/>
          <w:color w:val="000000"/>
          <w:highlight w:val="none"/>
        </w:rPr>
      </w:pPr>
      <w:r>
        <w:rPr>
          <w:rFonts w:hint="eastAsia" w:ascii="宋体" w:hAnsi="宋体"/>
          <w:bCs/>
          <w:color w:val="000000"/>
          <w:highlight w:val="none"/>
        </w:rPr>
      </w:r>
      <w:r/>
    </w:p>
    <w:p>
      <w:pPr>
        <w:pStyle w:val="682"/>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682"/>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color w:val="000000"/>
          <w:highlight w:val="none"/>
        </w:rPr>
      </w:r>
      <w:r/>
    </w:p>
    <w:p>
      <w:pPr>
        <w:pStyle w:val="682"/>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682"/>
        <w:rPr>
          <w:rFonts w:hint="eastAsia" w:ascii="宋体" w:hAnsi="宋体"/>
          <w:bCs/>
          <w:color w:val="000000"/>
          <w:highlight w:val="none"/>
        </w:rPr>
      </w:pPr>
      <w:r>
        <w:rPr>
          <w:rFonts w:hint="eastAsia" w:ascii="宋体" w:hAnsi="宋体"/>
          <w:bCs/>
          <w:color w:val="000000"/>
          <w:highlight w:val="none"/>
        </w:rPr>
        <w:t xml:space="preserve">4.证明材料均请附在本表之后。</w:t>
      </w: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rPr>
        <w:rStyle w:val="755"/>
        <w:rFonts w:ascii="宋体" w:hAnsi="宋体"/>
      </w:rPr>
      <w:framePr w:wrap="around" w:vAnchor="text" w:hAnchor="margin" w:xAlign="center" w:y="1"/>
    </w:pPr>
    <w:r>
      <w:rPr>
        <w:rFonts w:ascii="宋体" w:hAnsi="宋体"/>
      </w:rPr>
      <w:fldChar w:fldCharType="begin"/>
    </w:r>
    <w:r>
      <w:rPr>
        <w:rStyle w:val="755"/>
        <w:rFonts w:ascii="宋体" w:hAnsi="宋体"/>
      </w:rPr>
      <w:instrText xml:space="preserve">PAGE  </w:instrText>
    </w:r>
    <w:r>
      <w:rPr>
        <w:rFonts w:ascii="宋体" w:hAnsi="宋体"/>
      </w:rPr>
      <w:fldChar w:fldCharType="separate"/>
    </w:r>
    <w:r>
      <w:rPr>
        <w:rStyle w:val="755"/>
        <w:rFonts w:ascii="宋体" w:hAnsi="宋体"/>
      </w:rPr>
      <w:t xml:space="preserve">１５</w:t>
    </w:r>
    <w:r>
      <w:rPr>
        <w:rFonts w:ascii="宋体" w:hAnsi="宋体"/>
      </w:rPr>
      <w:fldChar w:fldCharType="end"/>
    </w:r>
    <w:r>
      <w:rPr>
        <w:rStyle w:val="755"/>
        <w:rFonts w:ascii="宋体" w:hAnsi="宋体"/>
      </w:rPr>
    </w:r>
    <w:r/>
  </w:p>
  <w:p>
    <w:pPr>
      <w:pStyle w:val="7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rPr>
        <w:rStyle w:val="755"/>
      </w:rPr>
      <w:framePr w:wrap="around" w:vAnchor="text" w:hAnchor="margin" w:xAlign="center" w:y="1"/>
    </w:pPr>
    <w:r>
      <w:fldChar w:fldCharType="begin"/>
    </w:r>
    <w:r>
      <w:rPr>
        <w:rStyle w:val="755"/>
      </w:rPr>
      <w:instrText xml:space="preserve">PAGE  </w:instrText>
    </w:r>
    <w:r>
      <w:fldChar w:fldCharType="separate"/>
    </w:r>
    <w:r>
      <w:rPr>
        <w:rStyle w:val="755"/>
      </w:rPr>
      <w:t xml:space="preserve">1</w:t>
    </w:r>
    <w:r>
      <w:fldChar w:fldCharType="end"/>
    </w:r>
    <w:r>
      <w:rPr>
        <w:rStyle w:val="755"/>
      </w:rPr>
    </w:r>
    <w:r/>
  </w:p>
  <w:p>
    <w:pPr>
      <w:pStyle w:val="7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82"/>
        <w:ind w:left="1080" w:hanging="1080"/>
        <w:tabs>
          <w:tab w:val="num" w:pos="1080" w:leader="none"/>
        </w:tabs>
      </w:pPr>
      <w:rPr>
        <w:rFonts w:hint="eastAsia" w:cs="Times New Roman"/>
      </w:rPr>
    </w:lvl>
    <w:lvl w:ilvl="1">
      <w:start w:val="1"/>
      <w:numFmt w:val="decimal"/>
      <w:isLgl w:val="false"/>
      <w:suff w:val="tab"/>
      <w:lvlText w:val="%2."/>
      <w:lvlJc w:val="left"/>
      <w:pPr>
        <w:pStyle w:val="68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2"/>
        <w:ind w:left="1260" w:hanging="420"/>
        <w:tabs>
          <w:tab w:val="num" w:pos="1260" w:leader="none"/>
        </w:tabs>
      </w:pPr>
      <w:rPr>
        <w:rFonts w:cs="Times New Roman"/>
      </w:rPr>
    </w:lvl>
    <w:lvl w:ilvl="3">
      <w:start w:val="1"/>
      <w:numFmt w:val="decimal"/>
      <w:isLgl w:val="false"/>
      <w:suff w:val="tab"/>
      <w:lvlText w:val="%4."/>
      <w:lvlJc w:val="left"/>
      <w:pPr>
        <w:pStyle w:val="682"/>
        <w:ind w:left="1680" w:hanging="420"/>
        <w:tabs>
          <w:tab w:val="num" w:pos="1680" w:leader="none"/>
        </w:tabs>
      </w:pPr>
      <w:rPr>
        <w:rFonts w:cs="Times New Roman"/>
      </w:rPr>
    </w:lvl>
    <w:lvl w:ilvl="4">
      <w:start w:val="1"/>
      <w:numFmt w:val="lowerLetter"/>
      <w:isLgl w:val="false"/>
      <w:suff w:val="tab"/>
      <w:lvlText w:val="%5)"/>
      <w:lvlJc w:val="left"/>
      <w:pPr>
        <w:pStyle w:val="682"/>
        <w:ind w:left="2100" w:hanging="420"/>
        <w:tabs>
          <w:tab w:val="num" w:pos="2100" w:leader="none"/>
        </w:tabs>
      </w:pPr>
      <w:rPr>
        <w:rFonts w:cs="Times New Roman"/>
      </w:rPr>
    </w:lvl>
    <w:lvl w:ilvl="5">
      <w:start w:val="1"/>
      <w:numFmt w:val="lowerRoman"/>
      <w:isLgl w:val="false"/>
      <w:suff w:val="tab"/>
      <w:lvlText w:val="%6."/>
      <w:lvlJc w:val="right"/>
      <w:pPr>
        <w:pStyle w:val="682"/>
        <w:ind w:left="2520" w:hanging="420"/>
        <w:tabs>
          <w:tab w:val="num" w:pos="2520" w:leader="none"/>
        </w:tabs>
      </w:pPr>
      <w:rPr>
        <w:rFonts w:cs="Times New Roman"/>
      </w:rPr>
    </w:lvl>
    <w:lvl w:ilvl="6">
      <w:start w:val="1"/>
      <w:numFmt w:val="decimal"/>
      <w:isLgl w:val="false"/>
      <w:suff w:val="tab"/>
      <w:lvlText w:val="%7."/>
      <w:lvlJc w:val="left"/>
      <w:pPr>
        <w:pStyle w:val="682"/>
        <w:ind w:left="2940" w:hanging="420"/>
        <w:tabs>
          <w:tab w:val="num" w:pos="2940" w:leader="none"/>
        </w:tabs>
      </w:pPr>
      <w:rPr>
        <w:rFonts w:cs="Times New Roman"/>
      </w:rPr>
    </w:lvl>
    <w:lvl w:ilvl="7">
      <w:start w:val="1"/>
      <w:numFmt w:val="lowerLetter"/>
      <w:isLgl w:val="false"/>
      <w:suff w:val="tab"/>
      <w:lvlText w:val="%8)"/>
      <w:lvlJc w:val="left"/>
      <w:pPr>
        <w:pStyle w:val="682"/>
        <w:ind w:left="3360" w:hanging="420"/>
        <w:tabs>
          <w:tab w:val="num" w:pos="3360" w:leader="none"/>
        </w:tabs>
      </w:pPr>
      <w:rPr>
        <w:rFonts w:cs="Times New Roman"/>
      </w:rPr>
    </w:lvl>
    <w:lvl w:ilvl="8">
      <w:start w:val="1"/>
      <w:numFmt w:val="lowerRoman"/>
      <w:isLgl w:val="false"/>
      <w:suff w:val="tab"/>
      <w:lvlText w:val="%9."/>
      <w:lvlJc w:val="right"/>
      <w:pPr>
        <w:pStyle w:val="682"/>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62"/>
      <w:isLgl w:val="false"/>
      <w:suff w:val="tab"/>
      <w:lvlText w:val="附录%1."/>
      <w:lvlJc w:val="left"/>
      <w:pPr>
        <w:pStyle w:val="6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682"/>
        <w:ind w:left="510" w:hanging="360"/>
        <w:tabs>
          <w:tab w:val="num" w:pos="510" w:leader="none"/>
        </w:tabs>
      </w:pPr>
      <w:rPr>
        <w:rFonts w:hint="eastAsia" w:cs="Times New Roman"/>
      </w:rPr>
    </w:lvl>
    <w:lvl w:ilvl="1">
      <w:start w:val="1"/>
      <w:numFmt w:val="decimal"/>
      <w:isLgl w:val="false"/>
      <w:suff w:val="tab"/>
      <w:lvlText w:val="%2．"/>
      <w:lvlJc w:val="left"/>
      <w:pPr>
        <w:pStyle w:val="682"/>
        <w:ind w:left="1290" w:hanging="720"/>
        <w:tabs>
          <w:tab w:val="num" w:pos="1290" w:leader="none"/>
        </w:tabs>
      </w:pPr>
      <w:rPr>
        <w:rFonts w:hint="eastAsia" w:cs="Times New Roman"/>
      </w:rPr>
    </w:lvl>
    <w:lvl w:ilvl="2">
      <w:start w:val="3"/>
      <w:numFmt w:val="decimal"/>
      <w:isLgl w:val="false"/>
      <w:suff w:val="tab"/>
      <w:lvlText w:val="（%3）"/>
      <w:lvlJc w:val="left"/>
      <w:pPr>
        <w:pStyle w:val="682"/>
        <w:ind w:left="1140" w:hanging="720"/>
        <w:tabs>
          <w:tab w:val="num" w:pos="1140" w:leader="none"/>
        </w:tabs>
      </w:pPr>
      <w:rPr>
        <w:rFonts w:hint="eastAsia" w:cs="Times New Roman"/>
      </w:rPr>
    </w:lvl>
    <w:lvl w:ilvl="3">
      <w:start w:val="1"/>
      <w:numFmt w:val="decimal"/>
      <w:isLgl w:val="false"/>
      <w:suff w:val="tab"/>
      <w:lvlText w:val="（%4）"/>
      <w:lvlJc w:val="left"/>
      <w:pPr>
        <w:pStyle w:val="68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2"/>
        <w:ind w:left="2250" w:hanging="420"/>
        <w:tabs>
          <w:tab w:val="num" w:pos="2250" w:leader="none"/>
        </w:tabs>
      </w:pPr>
      <w:rPr>
        <w:rFonts w:hint="eastAsia"/>
        <w:b/>
        <w:lang w:val="en-US"/>
      </w:rPr>
    </w:lvl>
    <w:lvl w:ilvl="5">
      <w:start w:val="10"/>
      <w:numFmt w:val="japaneseCounting"/>
      <w:isLgl w:val="false"/>
      <w:suff w:val="tab"/>
      <w:lvlText w:val="（%6）"/>
      <w:lvlJc w:val="left"/>
      <w:pPr>
        <w:pStyle w:val="682"/>
        <w:ind w:left="2970" w:hanging="720"/>
      </w:pPr>
      <w:rPr>
        <w:rFonts w:cs="Times New Roman"/>
      </w:rPr>
    </w:lvl>
    <w:lvl w:ilvl="6">
      <w:start w:val="1"/>
      <w:numFmt w:val="decimal"/>
      <w:isLgl w:val="false"/>
      <w:suff w:val="tab"/>
      <w:lvlText w:val="（%7）"/>
      <w:lvlJc w:val="left"/>
      <w:pPr>
        <w:pStyle w:val="68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2"/>
        <w:ind w:left="3510" w:hanging="420"/>
        <w:tabs>
          <w:tab w:val="num" w:pos="3510" w:leader="none"/>
        </w:tabs>
      </w:pPr>
      <w:rPr>
        <w:rFonts w:cs="Times New Roman"/>
      </w:rPr>
    </w:lvl>
    <w:lvl w:ilvl="8">
      <w:start w:val="1"/>
      <w:numFmt w:val="lowerRoman"/>
      <w:isLgl w:val="false"/>
      <w:suff w:val="tab"/>
      <w:lvlText w:val="%9."/>
      <w:lvlJc w:val="right"/>
      <w:pPr>
        <w:pStyle w:val="682"/>
        <w:ind w:left="3930" w:hanging="420"/>
        <w:tabs>
          <w:tab w:val="num" w:pos="3930" w:leader="none"/>
        </w:tabs>
      </w:pPr>
      <w:rPr>
        <w:rFonts w:cs="Times New Roman"/>
      </w:rPr>
    </w:lvl>
  </w:abstractNum>
  <w:abstractNum w:abstractNumId="6">
    <w:multiLevelType w:val="hybridMultilevel"/>
    <w:lvl w:ilvl="0">
      <w:start w:val="5"/>
      <w:numFmt w:val="decimal"/>
      <w:isLgl w:val="false"/>
      <w:suff w:val="tab"/>
      <w:lvlText w:val="%1."/>
      <w:lvlJc w:val="left"/>
      <w:pPr>
        <w:pStyle w:val="68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682"/>
        <w:ind w:left="510" w:hanging="360"/>
        <w:tabs>
          <w:tab w:val="num" w:pos="510" w:leader="none"/>
        </w:tabs>
      </w:pPr>
      <w:rPr>
        <w:rFonts w:hint="eastAsia" w:cs="Times New Roman"/>
      </w:rPr>
    </w:lvl>
    <w:lvl w:ilvl="1">
      <w:start w:val="1"/>
      <w:numFmt w:val="decimal"/>
      <w:isLgl w:val="false"/>
      <w:suff w:val="tab"/>
      <w:lvlText w:val="%2．"/>
      <w:lvlJc w:val="left"/>
      <w:pPr>
        <w:pStyle w:val="682"/>
        <w:ind w:left="1290" w:hanging="720"/>
        <w:tabs>
          <w:tab w:val="num" w:pos="1290" w:leader="none"/>
        </w:tabs>
      </w:pPr>
      <w:rPr>
        <w:rFonts w:hint="eastAsia" w:cs="Times New Roman"/>
      </w:rPr>
    </w:lvl>
    <w:lvl w:ilvl="2">
      <w:start w:val="3"/>
      <w:numFmt w:val="decimal"/>
      <w:isLgl w:val="false"/>
      <w:suff w:val="tab"/>
      <w:lvlText w:val="（%3）"/>
      <w:lvlJc w:val="left"/>
      <w:pPr>
        <w:pStyle w:val="682"/>
        <w:ind w:left="1140" w:hanging="720"/>
        <w:tabs>
          <w:tab w:val="num" w:pos="1140" w:leader="none"/>
        </w:tabs>
      </w:pPr>
      <w:rPr>
        <w:rFonts w:hint="eastAsia" w:cs="Times New Roman"/>
      </w:rPr>
    </w:lvl>
    <w:lvl w:ilvl="3">
      <w:start w:val="1"/>
      <w:numFmt w:val="decimal"/>
      <w:isLgl w:val="false"/>
      <w:suff w:val="tab"/>
      <w:lvlText w:val="（%4）"/>
      <w:lvlJc w:val="left"/>
      <w:pPr>
        <w:pStyle w:val="68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2"/>
        <w:ind w:left="2250" w:hanging="420"/>
        <w:tabs>
          <w:tab w:val="num" w:pos="2250" w:leader="none"/>
        </w:tabs>
      </w:pPr>
      <w:rPr>
        <w:rFonts w:hint="eastAsia"/>
        <w:b/>
        <w:lang w:val="en-US"/>
      </w:rPr>
    </w:lvl>
    <w:lvl w:ilvl="5">
      <w:start w:val="10"/>
      <w:numFmt w:val="japaneseCounting"/>
      <w:isLgl w:val="false"/>
      <w:suff w:val="tab"/>
      <w:lvlText w:val="（%6）"/>
      <w:lvlJc w:val="left"/>
      <w:pPr>
        <w:pStyle w:val="682"/>
        <w:ind w:left="2970" w:hanging="720"/>
      </w:pPr>
      <w:rPr>
        <w:rFonts w:cs="Times New Roman"/>
      </w:rPr>
    </w:lvl>
    <w:lvl w:ilvl="6">
      <w:start w:val="1"/>
      <w:numFmt w:val="decimal"/>
      <w:isLgl w:val="false"/>
      <w:suff w:val="tab"/>
      <w:lvlText w:val="（%7）"/>
      <w:lvlJc w:val="left"/>
      <w:pPr>
        <w:pStyle w:val="68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2"/>
        <w:ind w:left="3510" w:hanging="420"/>
        <w:tabs>
          <w:tab w:val="num" w:pos="3510" w:leader="none"/>
        </w:tabs>
      </w:pPr>
      <w:rPr>
        <w:rFonts w:cs="Times New Roman"/>
      </w:rPr>
    </w:lvl>
    <w:lvl w:ilvl="8">
      <w:start w:val="1"/>
      <w:numFmt w:val="lowerRoman"/>
      <w:isLgl w:val="false"/>
      <w:suff w:val="tab"/>
      <w:lvlText w:val="%9."/>
      <w:lvlJc w:val="right"/>
      <w:pPr>
        <w:pStyle w:val="682"/>
        <w:ind w:left="3930" w:hanging="420"/>
        <w:tabs>
          <w:tab w:val="num" w:pos="3930" w:leader="none"/>
        </w:tabs>
      </w:pPr>
      <w:rPr>
        <w:rFonts w:cs="Times New Roman"/>
      </w:rPr>
    </w:lvl>
  </w:abstractNum>
  <w:abstractNum w:abstractNumId="9">
    <w:multiLevelType w:val="hybridMultilevel"/>
    <w:lvl w:ilvl="0">
      <w:start w:val="1"/>
      <w:numFmt w:val="decimal"/>
      <w:isLgl w:val="false"/>
      <w:suff w:val="tab"/>
      <w:lvlText w:val="%1."/>
      <w:lvlJc w:val="left"/>
      <w:pPr>
        <w:pStyle w:val="682"/>
        <w:ind w:left="510" w:hanging="360"/>
        <w:tabs>
          <w:tab w:val="num" w:pos="510" w:leader="none"/>
        </w:tabs>
      </w:pPr>
      <w:rPr>
        <w:rFonts w:hint="eastAsia" w:cs="Times New Roman"/>
      </w:rPr>
    </w:lvl>
    <w:lvl w:ilvl="1">
      <w:start w:val="1"/>
      <w:numFmt w:val="decimal"/>
      <w:isLgl w:val="false"/>
      <w:suff w:val="tab"/>
      <w:lvlText w:val="%2．"/>
      <w:lvlJc w:val="left"/>
      <w:pPr>
        <w:pStyle w:val="682"/>
        <w:ind w:left="1290" w:hanging="720"/>
        <w:tabs>
          <w:tab w:val="num" w:pos="1290" w:leader="none"/>
        </w:tabs>
      </w:pPr>
      <w:rPr>
        <w:rFonts w:hint="eastAsia" w:cs="Times New Roman"/>
      </w:rPr>
    </w:lvl>
    <w:lvl w:ilvl="2">
      <w:start w:val="3"/>
      <w:numFmt w:val="decimal"/>
      <w:isLgl w:val="false"/>
      <w:suff w:val="tab"/>
      <w:lvlText w:val="（%3）"/>
      <w:lvlJc w:val="left"/>
      <w:pPr>
        <w:pStyle w:val="682"/>
        <w:ind w:left="1140" w:hanging="720"/>
        <w:tabs>
          <w:tab w:val="num" w:pos="1140" w:leader="none"/>
        </w:tabs>
      </w:pPr>
      <w:rPr>
        <w:rFonts w:hint="eastAsia" w:cs="Times New Roman"/>
      </w:rPr>
    </w:lvl>
    <w:lvl w:ilvl="3">
      <w:start w:val="1"/>
      <w:numFmt w:val="decimal"/>
      <w:isLgl w:val="false"/>
      <w:suff w:val="tab"/>
      <w:lvlText w:val="（%4）"/>
      <w:lvlJc w:val="left"/>
      <w:pPr>
        <w:pStyle w:val="68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2"/>
        <w:ind w:left="2250" w:hanging="420"/>
        <w:tabs>
          <w:tab w:val="num" w:pos="2250" w:leader="none"/>
        </w:tabs>
      </w:pPr>
      <w:rPr>
        <w:rFonts w:hint="eastAsia"/>
        <w:b/>
        <w:lang w:val="en-US"/>
      </w:rPr>
    </w:lvl>
    <w:lvl w:ilvl="5">
      <w:start w:val="10"/>
      <w:numFmt w:val="japaneseCounting"/>
      <w:isLgl w:val="false"/>
      <w:suff w:val="tab"/>
      <w:lvlText w:val="（%6）"/>
      <w:lvlJc w:val="left"/>
      <w:pPr>
        <w:pStyle w:val="682"/>
        <w:ind w:left="2970" w:hanging="720"/>
      </w:pPr>
      <w:rPr>
        <w:rFonts w:cs="Times New Roman"/>
      </w:rPr>
    </w:lvl>
    <w:lvl w:ilvl="6">
      <w:start w:val="1"/>
      <w:numFmt w:val="decimal"/>
      <w:isLgl w:val="false"/>
      <w:suff w:val="tab"/>
      <w:lvlText w:val="（%7）"/>
      <w:lvlJc w:val="left"/>
      <w:pPr>
        <w:pStyle w:val="68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2"/>
        <w:ind w:left="3510" w:hanging="420"/>
        <w:tabs>
          <w:tab w:val="num" w:pos="3510" w:leader="none"/>
        </w:tabs>
      </w:pPr>
      <w:rPr>
        <w:rFonts w:cs="Times New Roman"/>
      </w:rPr>
    </w:lvl>
    <w:lvl w:ilvl="8">
      <w:start w:val="1"/>
      <w:numFmt w:val="lowerRoman"/>
      <w:isLgl w:val="false"/>
      <w:suff w:val="tab"/>
      <w:lvlText w:val="%9."/>
      <w:lvlJc w:val="right"/>
      <w:pPr>
        <w:pStyle w:val="682"/>
        <w:ind w:left="3930" w:hanging="420"/>
        <w:tabs>
          <w:tab w:val="num" w:pos="3930" w:leader="none"/>
        </w:tabs>
      </w:pPr>
      <w:rPr>
        <w:rFonts w:cs="Times New Roman"/>
      </w:rPr>
    </w:lvl>
  </w:abstractNum>
  <w:abstractNum w:abstractNumId="10">
    <w:multiLevelType w:val="hybridMultilevel"/>
    <w:lvl w:ilvl="0">
      <w:start w:val="1"/>
      <w:numFmt w:val="decimal"/>
      <w:pStyle w:val="779"/>
      <w:isLgl w:val="false"/>
      <w:suff w:val="tab"/>
      <w:lvlText w:val="%1."/>
      <w:lvlJc w:val="left"/>
      <w:pPr>
        <w:pStyle w:val="682"/>
        <w:ind w:left="709" w:hanging="709"/>
        <w:tabs>
          <w:tab w:val="num" w:pos="709" w:leader="none"/>
        </w:tabs>
      </w:pPr>
      <w:rPr>
        <w:rFonts w:hint="eastAsia"/>
      </w:rPr>
    </w:lvl>
    <w:lvl w:ilvl="1">
      <w:start w:val="1"/>
      <w:numFmt w:val="decimal"/>
      <w:isLgl w:val="false"/>
      <w:suff w:val="tab"/>
      <w:lvlText w:val="%1.%2"/>
      <w:lvlJc w:val="left"/>
      <w:pPr>
        <w:pStyle w:val="682"/>
        <w:ind w:left="709" w:hanging="709"/>
        <w:tabs>
          <w:tab w:val="num" w:pos="709" w:leader="none"/>
        </w:tabs>
      </w:pPr>
      <w:rPr>
        <w:rFonts w:hint="eastAsia"/>
      </w:rPr>
    </w:lvl>
    <w:lvl w:ilvl="2">
      <w:start w:val="1"/>
      <w:numFmt w:val="decimal"/>
      <w:isLgl w:val="false"/>
      <w:suff w:val="tab"/>
      <w:lvlText w:val="%1.%2.%3."/>
      <w:lvlJc w:val="left"/>
      <w:pPr>
        <w:pStyle w:val="682"/>
        <w:ind w:left="425" w:hanging="425"/>
        <w:tabs>
          <w:tab w:val="num" w:pos="425" w:leader="none"/>
        </w:tabs>
      </w:pPr>
      <w:rPr>
        <w:rFonts w:hint="eastAsia"/>
      </w:rPr>
    </w:lvl>
    <w:lvl w:ilvl="3">
      <w:start w:val="1"/>
      <w:numFmt w:val="decimal"/>
      <w:isLgl w:val="false"/>
      <w:suff w:val="tab"/>
      <w:lvlText w:val="%1.%2.%3.%4."/>
      <w:lvlJc w:val="left"/>
      <w:pPr>
        <w:pStyle w:val="682"/>
        <w:ind w:left="851" w:hanging="851"/>
        <w:tabs>
          <w:tab w:val="num" w:pos="851" w:leader="none"/>
        </w:tabs>
      </w:pPr>
      <w:rPr>
        <w:rFonts w:hint="eastAsia"/>
      </w:rPr>
    </w:lvl>
    <w:lvl w:ilvl="4">
      <w:start w:val="1"/>
      <w:numFmt w:val="decimal"/>
      <w:isLgl w:val="false"/>
      <w:suff w:val="tab"/>
      <w:lvlText w:val="%1.%2.%3.%4.%5."/>
      <w:lvlJc w:val="left"/>
      <w:pPr>
        <w:pStyle w:val="682"/>
        <w:ind w:left="992" w:hanging="992"/>
        <w:tabs>
          <w:tab w:val="num" w:pos="992" w:leader="none"/>
        </w:tabs>
      </w:pPr>
      <w:rPr>
        <w:rFonts w:hint="eastAsia"/>
      </w:rPr>
    </w:lvl>
    <w:lvl w:ilvl="5">
      <w:start w:val="1"/>
      <w:numFmt w:val="decimal"/>
      <w:isLgl w:val="false"/>
      <w:suff w:val="tab"/>
      <w:lvlText w:val="%1.%2.%3.%4.%5.%6."/>
      <w:lvlJc w:val="left"/>
      <w:pPr>
        <w:pStyle w:val="682"/>
        <w:ind w:left="1134" w:hanging="1134"/>
        <w:tabs>
          <w:tab w:val="num" w:pos="1134" w:leader="none"/>
        </w:tabs>
      </w:pPr>
      <w:rPr>
        <w:rFonts w:hint="eastAsia"/>
      </w:rPr>
    </w:lvl>
    <w:lvl w:ilvl="6">
      <w:start w:val="1"/>
      <w:numFmt w:val="decimal"/>
      <w:isLgl w:val="false"/>
      <w:suff w:val="tab"/>
      <w:lvlText w:val="%1.%2.%3.%4.%5.%6.%7."/>
      <w:lvlJc w:val="left"/>
      <w:pPr>
        <w:pStyle w:val="682"/>
        <w:ind w:left="1276" w:hanging="1276"/>
        <w:tabs>
          <w:tab w:val="num" w:pos="1276" w:leader="none"/>
        </w:tabs>
      </w:pPr>
      <w:rPr>
        <w:rFonts w:hint="eastAsia"/>
      </w:rPr>
    </w:lvl>
    <w:lvl w:ilvl="7">
      <w:start w:val="1"/>
      <w:numFmt w:val="decimal"/>
      <w:isLgl w:val="false"/>
      <w:suff w:val="tab"/>
      <w:lvlText w:val="%1.%2.%3.%4.%5.%6.%7.%8."/>
      <w:lvlJc w:val="left"/>
      <w:pPr>
        <w:pStyle w:val="682"/>
        <w:ind w:left="1418" w:hanging="1418"/>
        <w:tabs>
          <w:tab w:val="num" w:pos="1418" w:leader="none"/>
        </w:tabs>
      </w:pPr>
      <w:rPr>
        <w:rFonts w:hint="eastAsia"/>
      </w:rPr>
    </w:lvl>
    <w:lvl w:ilvl="8">
      <w:start w:val="1"/>
      <w:numFmt w:val="decimal"/>
      <w:isLgl w:val="false"/>
      <w:suff w:val="tab"/>
      <w:lvlText w:val="%1.%2.%3.%4.%5.%6.%7.%8.%9."/>
      <w:lvlJc w:val="left"/>
      <w:pPr>
        <w:pStyle w:val="682"/>
        <w:ind w:left="1559" w:hanging="1559"/>
        <w:tabs>
          <w:tab w:val="num" w:pos="1559" w:leader="none"/>
        </w:tabs>
      </w:pPr>
      <w:rPr>
        <w:rFonts w:hint="eastAsia"/>
      </w:rPr>
    </w:lvl>
  </w:abstractNum>
  <w:abstractNum w:abstractNumId="11">
    <w:multiLevelType w:val="hybridMultilevel"/>
    <w:lvl w:ilvl="0">
      <w:start w:val="1"/>
      <w:numFmt w:val="japaneseCounting"/>
      <w:isLgl w:val="false"/>
      <w:suff w:val="tab"/>
      <w:lvlText w:val="（%1）"/>
      <w:lvlJc w:val="left"/>
      <w:pPr>
        <w:pStyle w:val="682"/>
        <w:ind w:left="1080" w:hanging="1080"/>
        <w:tabs>
          <w:tab w:val="num" w:pos="1080" w:leader="none"/>
        </w:tabs>
      </w:pPr>
      <w:rPr>
        <w:rFonts w:hint="eastAsia" w:cs="Times New Roman"/>
      </w:rPr>
    </w:lvl>
    <w:lvl w:ilvl="1">
      <w:start w:val="1"/>
      <w:numFmt w:val="decimal"/>
      <w:isLgl w:val="false"/>
      <w:suff w:val="tab"/>
      <w:lvlText w:val="%2."/>
      <w:lvlJc w:val="left"/>
      <w:pPr>
        <w:pStyle w:val="68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2"/>
        <w:ind w:left="1260" w:hanging="420"/>
        <w:tabs>
          <w:tab w:val="num" w:pos="1260" w:leader="none"/>
        </w:tabs>
      </w:pPr>
      <w:rPr>
        <w:rFonts w:cs="Times New Roman"/>
      </w:rPr>
    </w:lvl>
    <w:lvl w:ilvl="3">
      <w:start w:val="1"/>
      <w:numFmt w:val="decimal"/>
      <w:isLgl w:val="false"/>
      <w:suff w:val="tab"/>
      <w:lvlText w:val="%4."/>
      <w:lvlJc w:val="left"/>
      <w:pPr>
        <w:pStyle w:val="682"/>
        <w:ind w:left="1680" w:hanging="420"/>
        <w:tabs>
          <w:tab w:val="num" w:pos="1680" w:leader="none"/>
        </w:tabs>
      </w:pPr>
      <w:rPr>
        <w:rFonts w:cs="Times New Roman"/>
      </w:rPr>
    </w:lvl>
    <w:lvl w:ilvl="4">
      <w:start w:val="1"/>
      <w:numFmt w:val="lowerLetter"/>
      <w:isLgl w:val="false"/>
      <w:suff w:val="tab"/>
      <w:lvlText w:val="%5)"/>
      <w:lvlJc w:val="left"/>
      <w:pPr>
        <w:pStyle w:val="682"/>
        <w:ind w:left="2100" w:hanging="420"/>
        <w:tabs>
          <w:tab w:val="num" w:pos="2100" w:leader="none"/>
        </w:tabs>
      </w:pPr>
      <w:rPr>
        <w:rFonts w:cs="Times New Roman"/>
      </w:rPr>
    </w:lvl>
    <w:lvl w:ilvl="5">
      <w:start w:val="1"/>
      <w:numFmt w:val="lowerRoman"/>
      <w:isLgl w:val="false"/>
      <w:suff w:val="tab"/>
      <w:lvlText w:val="%6."/>
      <w:lvlJc w:val="right"/>
      <w:pPr>
        <w:pStyle w:val="682"/>
        <w:ind w:left="2520" w:hanging="420"/>
        <w:tabs>
          <w:tab w:val="num" w:pos="2520" w:leader="none"/>
        </w:tabs>
      </w:pPr>
      <w:rPr>
        <w:rFonts w:cs="Times New Roman"/>
      </w:rPr>
    </w:lvl>
    <w:lvl w:ilvl="6">
      <w:start w:val="1"/>
      <w:numFmt w:val="decimal"/>
      <w:isLgl w:val="false"/>
      <w:suff w:val="tab"/>
      <w:lvlText w:val="%7."/>
      <w:lvlJc w:val="left"/>
      <w:pPr>
        <w:pStyle w:val="682"/>
        <w:ind w:left="2940" w:hanging="420"/>
        <w:tabs>
          <w:tab w:val="num" w:pos="2940" w:leader="none"/>
        </w:tabs>
      </w:pPr>
      <w:rPr>
        <w:rFonts w:cs="Times New Roman"/>
      </w:rPr>
    </w:lvl>
    <w:lvl w:ilvl="7">
      <w:start w:val="1"/>
      <w:numFmt w:val="lowerLetter"/>
      <w:isLgl w:val="false"/>
      <w:suff w:val="tab"/>
      <w:lvlText w:val="%8)"/>
      <w:lvlJc w:val="left"/>
      <w:pPr>
        <w:pStyle w:val="682"/>
        <w:ind w:left="3360" w:hanging="420"/>
        <w:tabs>
          <w:tab w:val="num" w:pos="3360" w:leader="none"/>
        </w:tabs>
      </w:pPr>
      <w:rPr>
        <w:rFonts w:cs="Times New Roman"/>
      </w:rPr>
    </w:lvl>
    <w:lvl w:ilvl="8">
      <w:start w:val="1"/>
      <w:numFmt w:val="lowerRoman"/>
      <w:isLgl w:val="false"/>
      <w:suff w:val="tab"/>
      <w:lvlText w:val="%9."/>
      <w:lvlJc w:val="right"/>
      <w:pPr>
        <w:pStyle w:val="682"/>
        <w:ind w:left="3780" w:hanging="420"/>
        <w:tabs>
          <w:tab w:val="num"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pStyle w:val="682"/>
        <w:ind w:left="0" w:firstLine="0"/>
      </w:pPr>
      <w:rPr>
        <w:rFonts w:hint="eastAsia"/>
      </w:rPr>
    </w:lvl>
    <w:lvl w:ilvl="1">
      <w:start w:val="1"/>
      <w:numFmt w:val="decimal"/>
      <w:isLgl w:val="false"/>
      <w:suff w:val="nothing"/>
      <w:lvlText w:val="%2、"/>
      <w:lvlJc w:val="left"/>
      <w:pPr>
        <w:pStyle w:val="682"/>
        <w:ind w:left="0" w:firstLine="0"/>
      </w:pPr>
      <w:rPr>
        <w:rFonts w:hint="eastAsia"/>
      </w:rPr>
    </w:lvl>
    <w:lvl w:ilvl="2">
      <w:start w:val="1"/>
      <w:numFmt w:val="decimal"/>
      <w:isLgl w:val="false"/>
      <w:suff w:val="nothing"/>
      <w:lvlText w:val="%2.%3 "/>
      <w:lvlJc w:val="left"/>
      <w:pPr>
        <w:pStyle w:val="682"/>
        <w:ind w:left="0" w:firstLine="0"/>
      </w:pPr>
      <w:rPr>
        <w:rFonts w:hint="eastAsia"/>
      </w:rPr>
    </w:lvl>
    <w:lvl w:ilvl="3">
      <w:start w:val="1"/>
      <w:numFmt w:val="decimal"/>
      <w:isLgl w:val="false"/>
      <w:suff w:val="nothing"/>
      <w:lvlText w:val="%2.%3.%4 "/>
      <w:lvlJc w:val="left"/>
      <w:pPr>
        <w:pStyle w:val="682"/>
        <w:ind w:left="0" w:firstLine="0"/>
      </w:pPr>
      <w:rPr>
        <w:rFonts w:hint="eastAsia"/>
      </w:rPr>
    </w:lvl>
    <w:lvl w:ilvl="4">
      <w:start w:val="1"/>
      <w:numFmt w:val="decimal"/>
      <w:isLgl w:val="false"/>
      <w:suff w:val="nothing"/>
      <w:lvlText w:val="%2.%3.%4.%5 "/>
      <w:lvlJc w:val="left"/>
      <w:pPr>
        <w:pStyle w:val="682"/>
        <w:ind w:left="0" w:firstLine="0"/>
      </w:pPr>
      <w:rPr>
        <w:rFonts w:hint="eastAsia"/>
      </w:rPr>
    </w:lvl>
    <w:lvl w:ilvl="5">
      <w:start w:val="1"/>
      <w:numFmt w:val="decimal"/>
      <w:pStyle w:val="688"/>
      <w:isLgl w:val="false"/>
      <w:suff w:val="nothing"/>
      <w:lvlText w:val=""/>
      <w:lvlJc w:val="left"/>
      <w:pPr>
        <w:pStyle w:val="682"/>
        <w:ind w:left="0" w:firstLine="0"/>
      </w:pPr>
      <w:rPr>
        <w:rFonts w:hint="eastAsia"/>
      </w:rPr>
    </w:lvl>
    <w:lvl w:ilvl="6">
      <w:start w:val="1"/>
      <w:numFmt w:val="decimal"/>
      <w:pStyle w:val="689"/>
      <w:isLgl w:val="false"/>
      <w:suff w:val="nothing"/>
      <w:lvlText w:val=""/>
      <w:lvlJc w:val="left"/>
      <w:pPr>
        <w:pStyle w:val="682"/>
        <w:ind w:left="0" w:firstLine="0"/>
      </w:pPr>
      <w:rPr>
        <w:rFonts w:hint="eastAsia"/>
      </w:rPr>
    </w:lvl>
    <w:lvl w:ilvl="7">
      <w:start w:val="1"/>
      <w:numFmt w:val="decimal"/>
      <w:pStyle w:val="690"/>
      <w:isLgl w:val="false"/>
      <w:suff w:val="nothing"/>
      <w:lvlText w:val=""/>
      <w:lvlJc w:val="left"/>
      <w:pPr>
        <w:pStyle w:val="682"/>
        <w:ind w:left="0" w:firstLine="0"/>
      </w:pPr>
      <w:rPr>
        <w:rFonts w:hint="eastAsia"/>
      </w:rPr>
    </w:lvl>
    <w:lvl w:ilvl="8">
      <w:start w:val="1"/>
      <w:numFmt w:val="decimal"/>
      <w:pStyle w:val="691"/>
      <w:isLgl w:val="false"/>
      <w:suff w:val="nothing"/>
      <w:lvlText w:val=""/>
      <w:lvlJc w:val="left"/>
      <w:pPr>
        <w:pStyle w:val="682"/>
        <w:ind w:left="0" w:firstLine="0"/>
      </w:pPr>
      <w:rPr>
        <w:rFonts w:hint="eastAsia"/>
      </w:rPr>
    </w:lvl>
  </w:abstractNum>
  <w:abstractNum w:abstractNumId="13">
    <w:multiLevelType w:val="hybridMultilevel"/>
    <w:lvl w:ilvl="0">
      <w:start w:val="1"/>
      <w:numFmt w:val="japaneseCounting"/>
      <w:isLgl w:val="false"/>
      <w:suff w:val="tab"/>
      <w:lvlText w:val="%1、"/>
      <w:lvlJc w:val="left"/>
      <w:pPr>
        <w:pStyle w:val="68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82"/>
        <w:ind w:left="840" w:hanging="420"/>
        <w:tabs>
          <w:tab w:val="num" w:pos="840" w:leader="none"/>
        </w:tabs>
      </w:pPr>
      <w:rPr>
        <w:rFonts w:cs="Times New Roman"/>
      </w:rPr>
    </w:lvl>
    <w:lvl w:ilvl="2">
      <w:start w:val="10"/>
      <w:numFmt w:val="decimal"/>
      <w:isLgl w:val="false"/>
      <w:suff w:val="tab"/>
      <w:lvlText w:val="%3."/>
      <w:lvlJc w:val="left"/>
      <w:pPr>
        <w:pStyle w:val="682"/>
        <w:ind w:left="1200" w:hanging="360"/>
        <w:tabs>
          <w:tab w:val="num" w:pos="1200" w:leader="none"/>
        </w:tabs>
      </w:pPr>
      <w:rPr>
        <w:rFonts w:cs="Times New Roman"/>
      </w:rPr>
    </w:lvl>
    <w:lvl w:ilvl="3">
      <w:start w:val="1"/>
      <w:numFmt w:val="decimal"/>
      <w:isLgl w:val="false"/>
      <w:suff w:val="tab"/>
      <w:lvlText w:val="%4."/>
      <w:lvlJc w:val="left"/>
      <w:pPr>
        <w:pStyle w:val="682"/>
        <w:ind w:left="1680" w:hanging="420"/>
        <w:tabs>
          <w:tab w:val="num" w:pos="1680" w:leader="none"/>
        </w:tabs>
      </w:pPr>
      <w:rPr>
        <w:rFonts w:cs="Times New Roman"/>
      </w:rPr>
    </w:lvl>
    <w:lvl w:ilvl="4">
      <w:start w:val="1"/>
      <w:numFmt w:val="lowerLetter"/>
      <w:isLgl w:val="false"/>
      <w:suff w:val="tab"/>
      <w:lvlText w:val="%5)"/>
      <w:lvlJc w:val="left"/>
      <w:pPr>
        <w:pStyle w:val="682"/>
        <w:ind w:left="2100" w:hanging="420"/>
        <w:tabs>
          <w:tab w:val="num" w:pos="2100" w:leader="none"/>
        </w:tabs>
      </w:pPr>
      <w:rPr>
        <w:rFonts w:cs="Times New Roman"/>
      </w:rPr>
    </w:lvl>
    <w:lvl w:ilvl="5">
      <w:start w:val="1"/>
      <w:numFmt w:val="lowerRoman"/>
      <w:isLgl w:val="false"/>
      <w:suff w:val="tab"/>
      <w:lvlText w:val="%6."/>
      <w:lvlJc w:val="right"/>
      <w:pPr>
        <w:pStyle w:val="682"/>
        <w:ind w:left="2520" w:hanging="420"/>
        <w:tabs>
          <w:tab w:val="num" w:pos="2520" w:leader="none"/>
        </w:tabs>
      </w:pPr>
      <w:rPr>
        <w:rFonts w:cs="Times New Roman"/>
      </w:rPr>
    </w:lvl>
    <w:lvl w:ilvl="6">
      <w:start w:val="1"/>
      <w:numFmt w:val="decimal"/>
      <w:isLgl w:val="false"/>
      <w:suff w:val="tab"/>
      <w:lvlText w:val="%7."/>
      <w:lvlJc w:val="left"/>
      <w:pPr>
        <w:pStyle w:val="682"/>
        <w:ind w:left="2940" w:hanging="420"/>
        <w:tabs>
          <w:tab w:val="num" w:pos="2940" w:leader="none"/>
        </w:tabs>
      </w:pPr>
      <w:rPr>
        <w:rFonts w:cs="Times New Roman"/>
      </w:rPr>
    </w:lvl>
    <w:lvl w:ilvl="7">
      <w:start w:val="1"/>
      <w:numFmt w:val="lowerLetter"/>
      <w:isLgl w:val="false"/>
      <w:suff w:val="tab"/>
      <w:lvlText w:val="%8)"/>
      <w:lvlJc w:val="left"/>
      <w:pPr>
        <w:pStyle w:val="682"/>
        <w:ind w:left="3360" w:hanging="420"/>
        <w:tabs>
          <w:tab w:val="num" w:pos="3360" w:leader="none"/>
        </w:tabs>
      </w:pPr>
      <w:rPr>
        <w:rFonts w:cs="Times New Roman"/>
      </w:rPr>
    </w:lvl>
    <w:lvl w:ilvl="8">
      <w:start w:val="1"/>
      <w:numFmt w:val="lowerRoman"/>
      <w:isLgl w:val="false"/>
      <w:suff w:val="tab"/>
      <w:lvlText w:val="%9."/>
      <w:lvlJc w:val="right"/>
      <w:pPr>
        <w:pStyle w:val="682"/>
        <w:ind w:left="3780" w:hanging="420"/>
        <w:tabs>
          <w:tab w:val="num" w:pos="3780" w:leader="none"/>
        </w:tabs>
      </w:pPr>
      <w:rPr>
        <w:rFonts w:cs="Times New Roman"/>
      </w:rPr>
    </w:lvl>
  </w:abstractNum>
  <w:abstractNum w:abstractNumId="14">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pStyle w:val="682"/>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pStyle w:val="6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pStyle w:val="682"/>
        <w:ind w:left="1440" w:hanging="360"/>
      </w:pPr>
      <w:rPr>
        <w:rFonts w:ascii="Courier New" w:hAnsi="Courier New" w:eastAsia="Courier New" w:cs="Courier New"/>
      </w:rPr>
    </w:lvl>
    <w:lvl w:ilvl="2">
      <w:start w:val="1"/>
      <w:numFmt w:val="bullet"/>
      <w:isLgl w:val="false"/>
      <w:suff w:val="tab"/>
      <w:lvlText w:val="§"/>
      <w:lvlJc w:val="left"/>
      <w:pPr>
        <w:pStyle w:val="682"/>
        <w:ind w:left="2160" w:hanging="360"/>
      </w:pPr>
      <w:rPr>
        <w:rFonts w:ascii="Wingdings" w:hAnsi="Wingdings" w:eastAsia="Wingdings" w:cs="Wingdings"/>
      </w:rPr>
    </w:lvl>
    <w:lvl w:ilvl="3">
      <w:start w:val="1"/>
      <w:numFmt w:val="bullet"/>
      <w:isLgl w:val="false"/>
      <w:suff w:val="tab"/>
      <w:lvlText w:val="·"/>
      <w:lvlJc w:val="left"/>
      <w:pPr>
        <w:pStyle w:val="682"/>
        <w:ind w:left="2880" w:hanging="360"/>
      </w:pPr>
      <w:rPr>
        <w:rFonts w:ascii="Symbol" w:hAnsi="Symbol" w:eastAsia="Symbol" w:cs="Symbol"/>
      </w:rPr>
    </w:lvl>
    <w:lvl w:ilvl="4">
      <w:start w:val="1"/>
      <w:numFmt w:val="bullet"/>
      <w:isLgl w:val="false"/>
      <w:suff w:val="tab"/>
      <w:lvlText w:val="o"/>
      <w:lvlJc w:val="left"/>
      <w:pPr>
        <w:pStyle w:val="682"/>
        <w:ind w:left="3600" w:hanging="360"/>
      </w:pPr>
      <w:rPr>
        <w:rFonts w:ascii="Courier New" w:hAnsi="Courier New" w:eastAsia="Courier New" w:cs="Courier New"/>
      </w:rPr>
    </w:lvl>
    <w:lvl w:ilvl="5">
      <w:start w:val="1"/>
      <w:numFmt w:val="bullet"/>
      <w:isLgl w:val="false"/>
      <w:suff w:val="tab"/>
      <w:lvlText w:val="§"/>
      <w:lvlJc w:val="left"/>
      <w:pPr>
        <w:pStyle w:val="682"/>
        <w:ind w:left="4320" w:hanging="360"/>
      </w:pPr>
      <w:rPr>
        <w:rFonts w:ascii="Wingdings" w:hAnsi="Wingdings" w:eastAsia="Wingdings" w:cs="Wingdings"/>
      </w:rPr>
    </w:lvl>
    <w:lvl w:ilvl="6">
      <w:start w:val="1"/>
      <w:numFmt w:val="bullet"/>
      <w:isLgl w:val="false"/>
      <w:suff w:val="tab"/>
      <w:lvlText w:val="·"/>
      <w:lvlJc w:val="left"/>
      <w:pPr>
        <w:pStyle w:val="682"/>
        <w:ind w:left="5040" w:hanging="360"/>
      </w:pPr>
      <w:rPr>
        <w:rFonts w:ascii="Symbol" w:hAnsi="Symbol" w:eastAsia="Symbol" w:cs="Symbol"/>
      </w:rPr>
    </w:lvl>
    <w:lvl w:ilvl="7">
      <w:start w:val="1"/>
      <w:numFmt w:val="bullet"/>
      <w:isLgl w:val="false"/>
      <w:suff w:val="tab"/>
      <w:lvlText w:val="o"/>
      <w:lvlJc w:val="left"/>
      <w:pPr>
        <w:pStyle w:val="682"/>
        <w:ind w:left="5760" w:hanging="360"/>
      </w:pPr>
      <w:rPr>
        <w:rFonts w:ascii="Courier New" w:hAnsi="Courier New" w:eastAsia="Courier New" w:cs="Courier New"/>
      </w:rPr>
    </w:lvl>
    <w:lvl w:ilvl="8">
      <w:start w:val="1"/>
      <w:numFmt w:val="bullet"/>
      <w:isLgl w:val="false"/>
      <w:suff w:val="tab"/>
      <w:lvlText w:val="§"/>
      <w:lvlJc w:val="left"/>
      <w:pPr>
        <w:pStyle w:val="682"/>
        <w:ind w:left="6480" w:hanging="360"/>
      </w:pPr>
      <w:rPr>
        <w:rFonts w:ascii="Wingdings" w:hAnsi="Wingdings" w:eastAsia="Wingdings" w:cs="Wingdings"/>
      </w:rPr>
    </w:lvl>
  </w:abstractNum>
  <w:num w:numId="1">
    <w:abstractNumId w:val="12"/>
  </w:num>
  <w:num w:numId="2">
    <w:abstractNumId w:val="4"/>
  </w:num>
  <w:num w:numId="3">
    <w:abstractNumId w:val="10"/>
  </w:num>
  <w:num w:numId="4">
    <w:abstractNumId w:val="15"/>
  </w:num>
  <w:num w:numId="5">
    <w:abstractNumId w:val="7"/>
  </w:num>
  <w:num w:numId="6">
    <w:abstractNumId w:val="2"/>
  </w:num>
  <w:num w:numId="7">
    <w:abstractNumId w:val="6"/>
  </w:num>
  <w:num w:numId="8">
    <w:abstractNumId w:val="17"/>
  </w:num>
  <w:num w:numId="9">
    <w:abstractNumId w:val="11"/>
  </w:num>
  <w:num w:numId="10">
    <w:abstractNumId w:val="1"/>
  </w:num>
  <w:num w:numId="11">
    <w:abstractNumId w:val="16"/>
  </w:num>
  <w:num w:numId="12">
    <w:abstractNumId w:val="5"/>
  </w:num>
  <w:num w:numId="13">
    <w:abstractNumId w:val="8"/>
  </w:num>
  <w:num w:numId="14">
    <w:abstractNumId w:val="9"/>
  </w:num>
  <w:num w:numId="15">
    <w:abstractNumId w:val="3"/>
  </w:num>
  <w:num w:numId="16">
    <w:abstractNumId w:val="14"/>
  </w:num>
  <w:num w:numId="17">
    <w:abstractNumId w:val="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2"/>
    <w:next w:val="6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2"/>
    <w:next w:val="6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2"/>
    <w:next w:val="6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next w:val="694"/>
    <w:link w:val="682"/>
    <w:qFormat/>
    <w:pPr>
      <w:jc w:val="both"/>
      <w:widowControl w:val="off"/>
    </w:pPr>
    <w:rPr>
      <w:rFonts w:ascii="Times New Roman" w:hAnsi="Times New Roman"/>
      <w:sz w:val="21"/>
      <w:szCs w:val="21"/>
      <w:lang w:val="en-US" w:eastAsia="zh-CN" w:bidi="ar-SA"/>
    </w:rPr>
  </w:style>
  <w:style w:type="paragraph" w:styleId="683">
    <w:name w:val="标题 1"/>
    <w:basedOn w:val="682"/>
    <w:next w:val="682"/>
    <w:link w:val="695"/>
    <w:qFormat/>
    <w:pPr>
      <w:jc w:val="center"/>
      <w:keepNext/>
      <w:outlineLvl w:val="0"/>
    </w:pPr>
    <w:rPr>
      <w:rFonts w:ascii="楷体_GB2312" w:eastAsia="楷体_GB2312"/>
      <w:sz w:val="28"/>
      <w:szCs w:val="28"/>
    </w:rPr>
  </w:style>
  <w:style w:type="paragraph" w:styleId="684">
    <w:name w:val="标题 2"/>
    <w:basedOn w:val="682"/>
    <w:next w:val="697"/>
    <w:link w:val="696"/>
    <w:qFormat/>
    <w:pPr>
      <w:jc w:val="center"/>
      <w:keepLines/>
      <w:keepNext/>
      <w:spacing w:before="260" w:after="260" w:line="416" w:lineRule="auto"/>
      <w:outlineLvl w:val="1"/>
    </w:pPr>
    <w:rPr>
      <w:rFonts w:ascii="Arial" w:hAnsi="Arial" w:eastAsia="幼圆"/>
      <w:b/>
      <w:bCs/>
      <w:sz w:val="44"/>
      <w:szCs w:val="44"/>
    </w:rPr>
  </w:style>
  <w:style w:type="paragraph" w:styleId="685">
    <w:name w:val="标题 3"/>
    <w:basedOn w:val="682"/>
    <w:next w:val="697"/>
    <w:link w:val="699"/>
    <w:qFormat/>
    <w:pPr>
      <w:keepLines/>
      <w:keepNext/>
      <w:spacing w:before="260" w:after="260" w:line="416" w:lineRule="auto"/>
      <w:outlineLvl w:val="2"/>
    </w:pPr>
    <w:rPr>
      <w:b/>
      <w:bCs/>
      <w:sz w:val="32"/>
      <w:szCs w:val="32"/>
    </w:rPr>
  </w:style>
  <w:style w:type="paragraph" w:styleId="686">
    <w:name w:val="标题 4"/>
    <w:basedOn w:val="682"/>
    <w:next w:val="697"/>
    <w:link w:val="700"/>
    <w:qFormat/>
    <w:pPr>
      <w:keepLines/>
      <w:keepNext/>
      <w:spacing w:before="280" w:after="290" w:line="376" w:lineRule="auto"/>
      <w:outlineLvl w:val="3"/>
    </w:pPr>
    <w:rPr>
      <w:rFonts w:ascii="Arial" w:hAnsi="Arial" w:eastAsia="黑体"/>
      <w:b/>
      <w:bCs/>
      <w:sz w:val="28"/>
      <w:szCs w:val="28"/>
    </w:rPr>
  </w:style>
  <w:style w:type="paragraph" w:styleId="687">
    <w:name w:val="标题 5"/>
    <w:basedOn w:val="682"/>
    <w:next w:val="697"/>
    <w:link w:val="701"/>
    <w:qFormat/>
    <w:pPr>
      <w:keepNext/>
      <w:outlineLvl w:val="4"/>
    </w:pPr>
    <w:rPr>
      <w:rFonts w:ascii="宋体"/>
      <w:color w:val="000000"/>
      <w:sz w:val="28"/>
      <w:szCs w:val="28"/>
    </w:rPr>
  </w:style>
  <w:style w:type="paragraph" w:styleId="688">
    <w:name w:val="标题 6"/>
    <w:basedOn w:val="682"/>
    <w:next w:val="682"/>
    <w:link w:val="702"/>
    <w:qFormat/>
    <w:pPr>
      <w:numPr>
        <w:ilvl w:val="5"/>
        <w:numId w:val="1"/>
      </w:numPr>
      <w:keepLines/>
      <w:keepNext/>
      <w:spacing w:before="240" w:after="64" w:line="320" w:lineRule="auto"/>
      <w:outlineLvl w:val="5"/>
    </w:pPr>
    <w:rPr>
      <w:rFonts w:ascii="Arial" w:hAnsi="Arial" w:eastAsia="黑体"/>
      <w:b/>
      <w:bCs/>
      <w:sz w:val="24"/>
      <w:szCs w:val="24"/>
    </w:rPr>
  </w:style>
  <w:style w:type="paragraph" w:styleId="689">
    <w:name w:val="标题 7"/>
    <w:basedOn w:val="682"/>
    <w:next w:val="682"/>
    <w:link w:val="703"/>
    <w:qFormat/>
    <w:pPr>
      <w:numPr>
        <w:ilvl w:val="6"/>
        <w:numId w:val="1"/>
      </w:numPr>
      <w:keepLines/>
      <w:keepNext/>
      <w:spacing w:before="240" w:after="64" w:line="320" w:lineRule="auto"/>
      <w:outlineLvl w:val="6"/>
    </w:pPr>
    <w:rPr>
      <w:b/>
      <w:bCs/>
      <w:sz w:val="24"/>
      <w:szCs w:val="24"/>
    </w:rPr>
  </w:style>
  <w:style w:type="paragraph" w:styleId="690">
    <w:name w:val="标题 8"/>
    <w:basedOn w:val="682"/>
    <w:next w:val="682"/>
    <w:link w:val="704"/>
    <w:qFormat/>
    <w:pPr>
      <w:numPr>
        <w:ilvl w:val="7"/>
        <w:numId w:val="1"/>
      </w:numPr>
      <w:keepLines/>
      <w:keepNext/>
      <w:spacing w:before="240" w:after="64" w:line="320" w:lineRule="auto"/>
      <w:outlineLvl w:val="7"/>
    </w:pPr>
    <w:rPr>
      <w:rFonts w:ascii="Arial" w:hAnsi="Arial" w:eastAsia="黑体"/>
      <w:sz w:val="24"/>
      <w:szCs w:val="24"/>
    </w:rPr>
  </w:style>
  <w:style w:type="paragraph" w:styleId="691">
    <w:name w:val="标题 9"/>
    <w:basedOn w:val="682"/>
    <w:next w:val="682"/>
    <w:link w:val="705"/>
    <w:qFormat/>
    <w:pPr>
      <w:numPr>
        <w:ilvl w:val="8"/>
        <w:numId w:val="1"/>
      </w:numPr>
      <w:keepLines/>
      <w:keepNext/>
      <w:spacing w:before="240" w:after="64" w:line="320" w:lineRule="auto"/>
      <w:outlineLvl w:val="8"/>
    </w:pPr>
    <w:rPr>
      <w:rFonts w:ascii="Arial" w:hAnsi="Arial" w:eastAsia="黑体"/>
      <w:sz w:val="20"/>
    </w:rPr>
  </w:style>
  <w:style w:type="character" w:styleId="692">
    <w:name w:val="默认段落字体"/>
    <w:next w:val="692"/>
    <w:link w:val="682"/>
    <w:uiPriority w:val="1"/>
    <w:unhideWhenUsed/>
  </w:style>
  <w:style w:type="table" w:styleId="693">
    <w:name w:val="普通表格"/>
    <w:next w:val="693"/>
    <w:link w:val="682"/>
    <w:uiPriority w:val="99"/>
    <w:unhideWhenUsed/>
    <w:tblPr/>
  </w:style>
  <w:style w:type="paragraph" w:styleId="694">
    <w:name w:val="正文文本11"/>
    <w:next w:val="694"/>
    <w:link w:val="682"/>
    <w:qFormat/>
    <w:pPr>
      <w:jc w:val="both"/>
      <w:widowControl w:val="off"/>
    </w:pPr>
    <w:rPr>
      <w:rFonts w:ascii="Times New Roman" w:hAnsi="Times New Roman" w:eastAsia="宋体" w:cs="Times New Roman"/>
      <w:sz w:val="18"/>
      <w:szCs w:val="20"/>
      <w:lang w:val="en-US" w:eastAsia="zh-CN" w:bidi="ar-SA"/>
    </w:rPr>
  </w:style>
  <w:style w:type="character" w:styleId="695">
    <w:name w:val="标题 1 Char"/>
    <w:next w:val="695"/>
    <w:link w:val="683"/>
    <w:rPr>
      <w:rFonts w:ascii="楷体_GB2312" w:hAnsi="Times New Roman" w:eastAsia="楷体_GB2312" w:cs="Times New Roman"/>
      <w:sz w:val="28"/>
      <w:szCs w:val="28"/>
    </w:rPr>
  </w:style>
  <w:style w:type="character" w:styleId="696">
    <w:name w:val="标题 2 Char"/>
    <w:next w:val="696"/>
    <w:link w:val="684"/>
    <w:rPr>
      <w:rFonts w:ascii="Arial" w:hAnsi="Arial" w:eastAsia="幼圆" w:cs="Arial"/>
      <w:b/>
      <w:bCs/>
      <w:sz w:val="44"/>
      <w:szCs w:val="44"/>
    </w:rPr>
  </w:style>
  <w:style w:type="paragraph" w:styleId="697">
    <w:name w:val="正文缩进"/>
    <w:basedOn w:val="682"/>
    <w:next w:val="697"/>
    <w:link w:val="698"/>
    <w:pPr>
      <w:ind w:firstLine="420"/>
    </w:pPr>
    <w:rPr>
      <w:sz w:val="20"/>
    </w:rPr>
  </w:style>
  <w:style w:type="character" w:styleId="698">
    <w:name w:val="正文缩进 Char"/>
    <w:next w:val="698"/>
    <w:link w:val="697"/>
    <w:rPr>
      <w:rFonts w:ascii="Times New Roman" w:hAnsi="Times New Roman" w:eastAsia="宋体" w:cs="Times New Roman"/>
      <w:szCs w:val="21"/>
    </w:rPr>
  </w:style>
  <w:style w:type="character" w:styleId="699">
    <w:name w:val="标题 3 Char"/>
    <w:next w:val="699"/>
    <w:link w:val="685"/>
    <w:rPr>
      <w:rFonts w:ascii="Times New Roman" w:hAnsi="Times New Roman" w:eastAsia="宋体" w:cs="Times New Roman"/>
      <w:b/>
      <w:bCs/>
      <w:sz w:val="32"/>
      <w:szCs w:val="32"/>
    </w:rPr>
  </w:style>
  <w:style w:type="character" w:styleId="700">
    <w:name w:val="标题 4 Char"/>
    <w:next w:val="700"/>
    <w:link w:val="686"/>
    <w:rPr>
      <w:rFonts w:ascii="Arial" w:hAnsi="Arial" w:eastAsia="黑体" w:cs="Arial"/>
      <w:b/>
      <w:bCs/>
      <w:sz w:val="28"/>
      <w:szCs w:val="28"/>
    </w:rPr>
  </w:style>
  <w:style w:type="character" w:styleId="701">
    <w:name w:val="标题 5 Char"/>
    <w:next w:val="701"/>
    <w:link w:val="687"/>
    <w:rPr>
      <w:rFonts w:ascii="宋体" w:hAnsi="Times New Roman" w:eastAsia="宋体" w:cs="Times New Roman"/>
      <w:color w:val="000000"/>
      <w:sz w:val="28"/>
      <w:szCs w:val="28"/>
    </w:rPr>
  </w:style>
  <w:style w:type="character" w:styleId="702">
    <w:name w:val="标题 6 Char"/>
    <w:next w:val="702"/>
    <w:link w:val="688"/>
    <w:rPr>
      <w:rFonts w:ascii="Arial" w:hAnsi="Arial" w:eastAsia="黑体" w:cs="Times New Roman"/>
      <w:b/>
      <w:bCs/>
      <w:sz w:val="24"/>
      <w:szCs w:val="24"/>
    </w:rPr>
  </w:style>
  <w:style w:type="character" w:styleId="703">
    <w:name w:val="标题 7 Char"/>
    <w:next w:val="703"/>
    <w:link w:val="689"/>
    <w:rPr>
      <w:rFonts w:ascii="Times New Roman" w:hAnsi="Times New Roman" w:eastAsia="宋体" w:cs="Times New Roman"/>
      <w:b/>
      <w:bCs/>
      <w:sz w:val="24"/>
      <w:szCs w:val="24"/>
    </w:rPr>
  </w:style>
  <w:style w:type="character" w:styleId="704">
    <w:name w:val="标题 8 Char"/>
    <w:next w:val="704"/>
    <w:link w:val="690"/>
    <w:rPr>
      <w:rFonts w:ascii="Arial" w:hAnsi="Arial" w:eastAsia="黑体" w:cs="Times New Roman"/>
      <w:sz w:val="24"/>
      <w:szCs w:val="24"/>
    </w:rPr>
  </w:style>
  <w:style w:type="character" w:styleId="705">
    <w:name w:val="标题 9 Char"/>
    <w:next w:val="705"/>
    <w:link w:val="691"/>
    <w:rPr>
      <w:rFonts w:ascii="Arial" w:hAnsi="Arial" w:eastAsia="黑体" w:cs="Times New Roman"/>
      <w:szCs w:val="21"/>
    </w:rPr>
  </w:style>
  <w:style w:type="paragraph" w:styleId="706">
    <w:name w:val="列表 3"/>
    <w:basedOn w:val="682"/>
    <w:next w:val="706"/>
    <w:link w:val="682"/>
    <w:pPr>
      <w:ind w:left="100" w:hanging="200"/>
    </w:pPr>
  </w:style>
  <w:style w:type="paragraph" w:styleId="707">
    <w:name w:val="目录 7"/>
    <w:basedOn w:val="682"/>
    <w:next w:val="682"/>
    <w:link w:val="682"/>
    <w:semiHidden/>
    <w:pPr>
      <w:ind w:left="1260"/>
      <w:jc w:val="left"/>
    </w:pPr>
  </w:style>
  <w:style w:type="paragraph" w:styleId="708">
    <w:name w:val="文档结构图"/>
    <w:basedOn w:val="682"/>
    <w:next w:val="708"/>
    <w:link w:val="709"/>
    <w:semiHidden/>
    <w:pPr>
      <w:shd w:val="clear" w:color="auto" w:fill="000080"/>
    </w:pPr>
    <w:rPr>
      <w:sz w:val="20"/>
    </w:rPr>
  </w:style>
  <w:style w:type="character" w:styleId="709">
    <w:name w:val="文档结构图 Char"/>
    <w:next w:val="709"/>
    <w:link w:val="708"/>
    <w:semiHidden/>
    <w:rPr>
      <w:rFonts w:ascii="Times New Roman" w:hAnsi="Times New Roman" w:eastAsia="宋体" w:cs="Times New Roman"/>
      <w:szCs w:val="21"/>
      <w:shd w:val="clear" w:color="auto" w:fill="000080"/>
    </w:rPr>
  </w:style>
  <w:style w:type="paragraph" w:styleId="710">
    <w:name w:val="批注文字"/>
    <w:basedOn w:val="682"/>
    <w:next w:val="710"/>
    <w:link w:val="711"/>
    <w:semiHidden/>
    <w:pPr>
      <w:jc w:val="left"/>
    </w:pPr>
    <w:rPr>
      <w:sz w:val="20"/>
    </w:rPr>
  </w:style>
  <w:style w:type="character" w:styleId="711">
    <w:name w:val="批注文字 Char"/>
    <w:next w:val="711"/>
    <w:link w:val="710"/>
    <w:semiHidden/>
    <w:rPr>
      <w:rFonts w:ascii="Times New Roman" w:hAnsi="Times New Roman" w:eastAsia="宋体" w:cs="Times New Roman"/>
      <w:szCs w:val="21"/>
    </w:rPr>
  </w:style>
  <w:style w:type="paragraph" w:styleId="712">
    <w:name w:val="正文文本 3"/>
    <w:basedOn w:val="682"/>
    <w:next w:val="712"/>
    <w:link w:val="713"/>
    <w:rPr>
      <w:rFonts w:ascii="仿宋_GB2312" w:hAnsi="Arial" w:eastAsia="仿宋_GB2312"/>
      <w:sz w:val="32"/>
      <w:szCs w:val="32"/>
    </w:rPr>
  </w:style>
  <w:style w:type="character" w:styleId="713">
    <w:name w:val="正文文本 3 Char"/>
    <w:next w:val="713"/>
    <w:link w:val="712"/>
    <w:rPr>
      <w:rFonts w:ascii="仿宋_GB2312" w:hAnsi="Arial" w:eastAsia="仿宋_GB2312" w:cs="Times New Roman"/>
      <w:sz w:val="32"/>
      <w:szCs w:val="32"/>
    </w:rPr>
  </w:style>
  <w:style w:type="paragraph" w:styleId="714">
    <w:name w:val="正文文本"/>
    <w:basedOn w:val="682"/>
    <w:next w:val="714"/>
    <w:link w:val="715"/>
    <w:rPr>
      <w:rFonts w:ascii="楷体_GB2312" w:hAnsi="Arial" w:eastAsia="楷体_GB2312"/>
      <w:sz w:val="28"/>
      <w:szCs w:val="28"/>
    </w:rPr>
  </w:style>
  <w:style w:type="character" w:styleId="715">
    <w:name w:val="正文文本 Char"/>
    <w:next w:val="715"/>
    <w:link w:val="714"/>
    <w:rPr>
      <w:rFonts w:ascii="楷体_GB2312" w:hAnsi="Arial" w:eastAsia="楷体_GB2312" w:cs="Times New Roman"/>
      <w:sz w:val="28"/>
      <w:szCs w:val="28"/>
    </w:rPr>
  </w:style>
  <w:style w:type="paragraph" w:styleId="716">
    <w:name w:val="正文文本缩进"/>
    <w:basedOn w:val="682"/>
    <w:next w:val="716"/>
    <w:link w:val="717"/>
    <w:pPr>
      <w:ind w:firstLine="645"/>
    </w:pPr>
    <w:rPr>
      <w:rFonts w:ascii="楷体_GB2312" w:eastAsia="楷体_GB2312"/>
      <w:sz w:val="32"/>
      <w:szCs w:val="32"/>
    </w:rPr>
  </w:style>
  <w:style w:type="character" w:styleId="717">
    <w:name w:val="正文文本缩进 Char"/>
    <w:next w:val="717"/>
    <w:link w:val="716"/>
    <w:rPr>
      <w:rFonts w:ascii="楷体_GB2312" w:hAnsi="Times New Roman" w:eastAsia="楷体_GB2312" w:cs="Times New Roman"/>
      <w:sz w:val="32"/>
      <w:szCs w:val="32"/>
    </w:rPr>
  </w:style>
  <w:style w:type="paragraph" w:styleId="718">
    <w:name w:val="列表 2"/>
    <w:basedOn w:val="682"/>
    <w:next w:val="718"/>
    <w:link w:val="682"/>
    <w:pPr>
      <w:ind w:left="100" w:hanging="200"/>
    </w:pPr>
  </w:style>
  <w:style w:type="paragraph" w:styleId="719">
    <w:name w:val="目录 5"/>
    <w:basedOn w:val="682"/>
    <w:next w:val="682"/>
    <w:link w:val="682"/>
    <w:semiHidden/>
    <w:pPr>
      <w:ind w:left="840"/>
      <w:jc w:val="left"/>
    </w:pPr>
  </w:style>
  <w:style w:type="paragraph" w:styleId="720">
    <w:name w:val="目录 3"/>
    <w:basedOn w:val="682"/>
    <w:next w:val="682"/>
    <w:link w:val="682"/>
    <w:semiHidden/>
    <w:pPr>
      <w:ind w:left="420"/>
      <w:jc w:val="left"/>
    </w:pPr>
    <w:rPr>
      <w:i/>
      <w:iCs/>
      <w:szCs w:val="24"/>
    </w:rPr>
  </w:style>
  <w:style w:type="paragraph" w:styleId="721">
    <w:name w:val="纯文本"/>
    <w:basedOn w:val="682"/>
    <w:next w:val="721"/>
    <w:link w:val="722"/>
    <w:rPr>
      <w:rFonts w:ascii="宋体" w:hAnsi="Courier New"/>
      <w:sz w:val="20"/>
    </w:rPr>
  </w:style>
  <w:style w:type="character" w:styleId="722">
    <w:name w:val="纯文本 Char"/>
    <w:next w:val="722"/>
    <w:link w:val="721"/>
    <w:rPr>
      <w:rFonts w:ascii="宋体" w:hAnsi="Courier New" w:eastAsia="宋体" w:cs="Courier New"/>
      <w:szCs w:val="21"/>
    </w:rPr>
  </w:style>
  <w:style w:type="paragraph" w:styleId="723">
    <w:name w:val="目录 8"/>
    <w:basedOn w:val="682"/>
    <w:next w:val="682"/>
    <w:link w:val="682"/>
    <w:semiHidden/>
    <w:pPr>
      <w:ind w:left="1470"/>
      <w:jc w:val="left"/>
    </w:pPr>
  </w:style>
  <w:style w:type="paragraph" w:styleId="724">
    <w:name w:val="日期"/>
    <w:basedOn w:val="682"/>
    <w:next w:val="682"/>
    <w:link w:val="725"/>
    <w:rPr>
      <w:sz w:val="24"/>
      <w:szCs w:val="24"/>
    </w:rPr>
  </w:style>
  <w:style w:type="character" w:styleId="725">
    <w:name w:val="日期 Char"/>
    <w:next w:val="725"/>
    <w:link w:val="724"/>
    <w:rPr>
      <w:rFonts w:ascii="Times New Roman" w:hAnsi="Times New Roman" w:eastAsia="宋体" w:cs="Times New Roman"/>
      <w:sz w:val="24"/>
      <w:szCs w:val="24"/>
    </w:rPr>
  </w:style>
  <w:style w:type="paragraph" w:styleId="726">
    <w:name w:val="正文文本缩进 2"/>
    <w:basedOn w:val="682"/>
    <w:next w:val="726"/>
    <w:link w:val="727"/>
    <w:pPr>
      <w:ind w:left="630" w:firstLine="645"/>
    </w:pPr>
    <w:rPr>
      <w:rFonts w:ascii="Arial" w:hAnsi="Arial" w:eastAsia="仿宋_GB2312"/>
      <w:sz w:val="32"/>
      <w:szCs w:val="32"/>
    </w:rPr>
  </w:style>
  <w:style w:type="character" w:styleId="727">
    <w:name w:val="正文文本缩进 2 Char"/>
    <w:next w:val="727"/>
    <w:link w:val="726"/>
    <w:rPr>
      <w:rFonts w:ascii="Arial" w:hAnsi="Arial" w:eastAsia="仿宋_GB2312" w:cs="Arial"/>
      <w:sz w:val="32"/>
      <w:szCs w:val="32"/>
    </w:rPr>
  </w:style>
  <w:style w:type="paragraph" w:styleId="728">
    <w:name w:val="批注框文本"/>
    <w:basedOn w:val="682"/>
    <w:next w:val="728"/>
    <w:link w:val="729"/>
    <w:semiHidden/>
    <w:rPr>
      <w:sz w:val="18"/>
      <w:szCs w:val="18"/>
    </w:rPr>
  </w:style>
  <w:style w:type="character" w:styleId="729">
    <w:name w:val="批注框文本 Char"/>
    <w:next w:val="729"/>
    <w:link w:val="728"/>
    <w:semiHidden/>
    <w:rPr>
      <w:rFonts w:ascii="Times New Roman" w:hAnsi="Times New Roman" w:eastAsia="宋体" w:cs="Times New Roman"/>
      <w:sz w:val="18"/>
      <w:szCs w:val="18"/>
    </w:rPr>
  </w:style>
  <w:style w:type="paragraph" w:styleId="730">
    <w:name w:val="页脚"/>
    <w:basedOn w:val="682"/>
    <w:next w:val="730"/>
    <w:link w:val="731"/>
    <w:pPr>
      <w:jc w:val="left"/>
      <w:tabs>
        <w:tab w:val="center" w:pos="4153" w:leader="none"/>
        <w:tab w:val="right" w:pos="8306" w:leader="none"/>
      </w:tabs>
    </w:pPr>
    <w:rPr>
      <w:sz w:val="18"/>
      <w:szCs w:val="18"/>
    </w:rPr>
  </w:style>
  <w:style w:type="character" w:styleId="731">
    <w:name w:val="页脚 Char"/>
    <w:next w:val="731"/>
    <w:link w:val="730"/>
    <w:rPr>
      <w:rFonts w:ascii="Times New Roman" w:hAnsi="Times New Roman" w:eastAsia="宋体" w:cs="Times New Roman"/>
      <w:sz w:val="18"/>
      <w:szCs w:val="18"/>
    </w:rPr>
  </w:style>
  <w:style w:type="paragraph" w:styleId="732">
    <w:name w:val="页眉"/>
    <w:basedOn w:val="682"/>
    <w:next w:val="732"/>
    <w:link w:val="733"/>
    <w:uiPriority w:val="99"/>
    <w:qFormat/>
    <w:pPr>
      <w:jc w:val="center"/>
      <w:tabs>
        <w:tab w:val="center" w:pos="4153" w:leader="none"/>
        <w:tab w:val="right" w:pos="8306" w:leader="none"/>
      </w:tabs>
      <w:pBdr>
        <w:bottom w:val="single" w:color="000000" w:sz="6" w:space="1"/>
      </w:pBdr>
    </w:pPr>
    <w:rPr>
      <w:sz w:val="18"/>
      <w:szCs w:val="18"/>
    </w:rPr>
  </w:style>
  <w:style w:type="character" w:styleId="733">
    <w:name w:val="页眉 Char"/>
    <w:next w:val="733"/>
    <w:link w:val="732"/>
    <w:uiPriority w:val="99"/>
    <w:qFormat/>
    <w:rPr>
      <w:rFonts w:ascii="Times New Roman" w:hAnsi="Times New Roman" w:eastAsia="宋体" w:cs="Times New Roman"/>
      <w:sz w:val="18"/>
      <w:szCs w:val="18"/>
    </w:rPr>
  </w:style>
  <w:style w:type="paragraph" w:styleId="734">
    <w:name w:val="目录 1"/>
    <w:basedOn w:val="682"/>
    <w:next w:val="682"/>
    <w:link w:val="682"/>
    <w:semiHidden/>
    <w:pPr>
      <w:jc w:val="left"/>
      <w:spacing w:before="120" w:after="120" w:line="400" w:lineRule="exact"/>
      <w:tabs>
        <w:tab w:val="right" w:pos="8720" w:leader="dot"/>
      </w:tabs>
    </w:pPr>
    <w:rPr>
      <w:rFonts w:ascii="宋体" w:hAnsi="宋体"/>
      <w:caps/>
      <w:sz w:val="24"/>
      <w:szCs w:val="24"/>
    </w:rPr>
  </w:style>
  <w:style w:type="paragraph" w:styleId="735">
    <w:name w:val="目录 4"/>
    <w:basedOn w:val="682"/>
    <w:next w:val="682"/>
    <w:link w:val="682"/>
    <w:semiHidden/>
    <w:pPr>
      <w:ind w:left="630"/>
      <w:jc w:val="left"/>
    </w:pPr>
  </w:style>
  <w:style w:type="paragraph" w:styleId="736">
    <w:name w:val="列表"/>
    <w:basedOn w:val="682"/>
    <w:next w:val="736"/>
    <w:link w:val="682"/>
    <w:pPr>
      <w:ind w:left="200" w:hanging="200"/>
    </w:pPr>
  </w:style>
  <w:style w:type="paragraph" w:styleId="737">
    <w:name w:val="目录 6"/>
    <w:basedOn w:val="682"/>
    <w:next w:val="682"/>
    <w:link w:val="682"/>
    <w:semiHidden/>
    <w:pPr>
      <w:ind w:left="1050"/>
      <w:jc w:val="left"/>
    </w:pPr>
  </w:style>
  <w:style w:type="paragraph" w:styleId="738">
    <w:name w:val="正文文本缩进 3"/>
    <w:basedOn w:val="682"/>
    <w:next w:val="738"/>
    <w:link w:val="739"/>
    <w:pPr>
      <w:ind w:left="645" w:firstLine="645"/>
    </w:pPr>
    <w:rPr>
      <w:rFonts w:ascii="Arial" w:hAnsi="Arial" w:eastAsia="仿宋_GB2312"/>
      <w:color w:val="ffff00"/>
      <w:sz w:val="32"/>
      <w:szCs w:val="32"/>
    </w:rPr>
  </w:style>
  <w:style w:type="character" w:styleId="739">
    <w:name w:val="正文文本缩进 3 Char"/>
    <w:next w:val="739"/>
    <w:link w:val="738"/>
    <w:rPr>
      <w:rFonts w:ascii="Arial" w:hAnsi="Arial" w:eastAsia="仿宋_GB2312" w:cs="Arial"/>
      <w:color w:val="ffff00"/>
      <w:sz w:val="32"/>
      <w:szCs w:val="32"/>
    </w:rPr>
  </w:style>
  <w:style w:type="paragraph" w:styleId="740">
    <w:name w:val="图表目录"/>
    <w:basedOn w:val="682"/>
    <w:next w:val="682"/>
    <w:link w:val="682"/>
    <w:semiHidden/>
    <w:pPr>
      <w:ind w:left="840" w:hanging="420"/>
    </w:pPr>
  </w:style>
  <w:style w:type="paragraph" w:styleId="741">
    <w:name w:val="目录 2"/>
    <w:basedOn w:val="682"/>
    <w:next w:val="682"/>
    <w:link w:val="682"/>
    <w:semiHidden/>
    <w:pPr>
      <w:ind w:left="210"/>
      <w:jc w:val="left"/>
    </w:pPr>
    <w:rPr>
      <w:smallCaps/>
      <w:szCs w:val="24"/>
    </w:rPr>
  </w:style>
  <w:style w:type="paragraph" w:styleId="742">
    <w:name w:val="目录 9"/>
    <w:basedOn w:val="682"/>
    <w:next w:val="682"/>
    <w:link w:val="682"/>
    <w:semiHidden/>
    <w:pPr>
      <w:ind w:left="1680"/>
      <w:jc w:val="left"/>
    </w:pPr>
  </w:style>
  <w:style w:type="paragraph" w:styleId="743">
    <w:name w:val="正文文本 2"/>
    <w:basedOn w:val="682"/>
    <w:next w:val="743"/>
    <w:link w:val="744"/>
    <w:pPr>
      <w:jc w:val="center"/>
      <w:widowControl/>
    </w:pPr>
    <w:rPr>
      <w:rFonts w:ascii="楷体_GB2312" w:eastAsia="楷体_GB2312"/>
      <w:sz w:val="28"/>
      <w:szCs w:val="28"/>
    </w:rPr>
  </w:style>
  <w:style w:type="character" w:styleId="744">
    <w:name w:val="正文文本 2 Char"/>
    <w:next w:val="744"/>
    <w:link w:val="743"/>
    <w:rPr>
      <w:rFonts w:ascii="楷体_GB2312" w:hAnsi="Times New Roman" w:eastAsia="楷体_GB2312" w:cs="Times New Roman"/>
      <w:sz w:val="28"/>
      <w:szCs w:val="28"/>
    </w:rPr>
  </w:style>
  <w:style w:type="paragraph" w:styleId="745">
    <w:name w:val="普通(网站)"/>
    <w:basedOn w:val="682"/>
    <w:next w:val="745"/>
    <w:link w:val="682"/>
    <w:uiPriority w:val="99"/>
    <w:pPr>
      <w:jc w:val="left"/>
      <w:spacing w:before="100" w:beforeAutospacing="1" w:after="100" w:afterAutospacing="1"/>
      <w:widowControl/>
    </w:pPr>
    <w:rPr>
      <w:rFonts w:ascii="宋体" w:hAnsi="宋体" w:cs="宋体"/>
      <w:sz w:val="24"/>
      <w:szCs w:val="24"/>
    </w:rPr>
  </w:style>
  <w:style w:type="paragraph" w:styleId="746">
    <w:name w:val="索引 1"/>
    <w:basedOn w:val="682"/>
    <w:next w:val="682"/>
    <w:link w:val="682"/>
    <w:semiHidden/>
    <w:pPr>
      <w:spacing w:line="240" w:lineRule="atLeast"/>
    </w:pPr>
    <w:rPr>
      <w:b/>
      <w:bCs/>
    </w:rPr>
  </w:style>
  <w:style w:type="paragraph" w:styleId="747">
    <w:name w:val="批注主题"/>
    <w:basedOn w:val="710"/>
    <w:next w:val="710"/>
    <w:link w:val="748"/>
    <w:semiHidden/>
    <w:rPr>
      <w:b/>
      <w:bCs/>
    </w:rPr>
  </w:style>
  <w:style w:type="character" w:styleId="748">
    <w:name w:val="批注主题 Char"/>
    <w:next w:val="748"/>
    <w:link w:val="747"/>
    <w:semiHidden/>
    <w:rPr>
      <w:rFonts w:ascii="Times New Roman" w:hAnsi="Times New Roman" w:eastAsia="宋体" w:cs="Times New Roman"/>
      <w:b/>
      <w:bCs/>
      <w:szCs w:val="21"/>
    </w:rPr>
  </w:style>
  <w:style w:type="paragraph" w:styleId="749">
    <w:name w:val="正文首行缩进"/>
    <w:basedOn w:val="682"/>
    <w:next w:val="749"/>
    <w:link w:val="750"/>
    <w:pPr>
      <w:ind w:firstLine="200"/>
      <w:spacing w:line="360" w:lineRule="auto"/>
    </w:pPr>
    <w:rPr>
      <w:rFonts w:ascii="仿宋_GB2312" w:eastAsia="仿宋_GB2312"/>
      <w:sz w:val="30"/>
      <w:szCs w:val="30"/>
    </w:rPr>
  </w:style>
  <w:style w:type="character" w:styleId="750">
    <w:name w:val="正文首行缩进 Char"/>
    <w:next w:val="750"/>
    <w:link w:val="749"/>
    <w:rPr>
      <w:rFonts w:ascii="仿宋_GB2312" w:hAnsi="Times New Roman" w:eastAsia="仿宋_GB2312" w:cs="Times New Roman"/>
      <w:sz w:val="30"/>
      <w:szCs w:val="30"/>
    </w:rPr>
  </w:style>
  <w:style w:type="paragraph" w:styleId="751">
    <w:name w:val="正文首行缩进 2"/>
    <w:basedOn w:val="716"/>
    <w:next w:val="751"/>
    <w:link w:val="752"/>
    <w:pPr>
      <w:ind w:firstLine="420"/>
      <w:spacing w:line="360" w:lineRule="auto"/>
    </w:pPr>
    <w:rPr>
      <w:rFonts w:ascii="宋体" w:hAnsi="宋体" w:eastAsia="宋体"/>
      <w:szCs w:val="20"/>
    </w:rPr>
  </w:style>
  <w:style w:type="character" w:styleId="752">
    <w:name w:val="正文首行缩进 2 Char"/>
    <w:next w:val="752"/>
    <w:link w:val="751"/>
    <w:rPr>
      <w:rFonts w:ascii="宋体" w:hAnsi="宋体" w:eastAsia="宋体" w:cs="Times New Roman"/>
      <w:sz w:val="32"/>
      <w:szCs w:val="20"/>
    </w:rPr>
  </w:style>
  <w:style w:type="table" w:styleId="753">
    <w:name w:val="网格型"/>
    <w:basedOn w:val="693"/>
    <w:next w:val="753"/>
    <w:link w:val="682"/>
    <w:pPr>
      <w:jc w:val="both"/>
      <w:widowControl w:val="off"/>
    </w:pPr>
    <w:rPr>
      <w:rFonts w:ascii="Times New Roman" w:hAnsi="Times New Roman" w:eastAsia="宋体" w:cs="Times New Roman"/>
      <w:sz w:val="20"/>
      <w:szCs w:val="20"/>
    </w:rPr>
    <w:tblPr/>
  </w:style>
  <w:style w:type="character" w:styleId="754">
    <w:name w:val="要点"/>
    <w:next w:val="754"/>
    <w:link w:val="682"/>
    <w:qFormat/>
    <w:rPr>
      <w:b/>
      <w:bCs/>
    </w:rPr>
  </w:style>
  <w:style w:type="character" w:styleId="755">
    <w:name w:val="页码"/>
    <w:next w:val="755"/>
    <w:link w:val="682"/>
  </w:style>
  <w:style w:type="character" w:styleId="756">
    <w:name w:val="已访问的超链接"/>
    <w:next w:val="756"/>
    <w:link w:val="682"/>
    <w:rPr>
      <w:color w:val="800080"/>
      <w:u w:val="single"/>
    </w:rPr>
  </w:style>
  <w:style w:type="character" w:styleId="757">
    <w:name w:val="HTML 打字机"/>
    <w:next w:val="757"/>
    <w:link w:val="682"/>
    <w:uiPriority w:val="99"/>
    <w:rPr>
      <w:rFonts w:ascii="宋体" w:hAnsi="宋体" w:eastAsia="宋体" w:cs="宋体"/>
      <w:sz w:val="24"/>
      <w:szCs w:val="24"/>
    </w:rPr>
  </w:style>
  <w:style w:type="character" w:styleId="758">
    <w:name w:val="超链接"/>
    <w:next w:val="758"/>
    <w:link w:val="682"/>
    <w:rPr>
      <w:color w:val="0000ff"/>
      <w:u w:val="single"/>
    </w:rPr>
  </w:style>
  <w:style w:type="character" w:styleId="759">
    <w:name w:val="批注引用"/>
    <w:next w:val="759"/>
    <w:link w:val="682"/>
    <w:semiHidden/>
    <w:rPr>
      <w:sz w:val="21"/>
      <w:szCs w:val="21"/>
    </w:rPr>
  </w:style>
  <w:style w:type="character" w:styleId="760">
    <w:name w:val="font5 Char"/>
    <w:next w:val="760"/>
    <w:link w:val="682"/>
    <w:rPr>
      <w:rFonts w:ascii="宋体" w:hAnsi="宋体" w:eastAsia="宋体"/>
      <w:sz w:val="28"/>
      <w:szCs w:val="28"/>
      <w:lang w:val="en-US" w:eastAsia="zh-CN" w:bidi="ar-SA"/>
    </w:rPr>
  </w:style>
  <w:style w:type="character" w:styleId="761">
    <w:name w:val="二级目录 Char"/>
    <w:next w:val="761"/>
    <w:link w:val="762"/>
    <w:rPr>
      <w:b/>
      <w:sz w:val="30"/>
      <w:szCs w:val="28"/>
      <w:lang w:val="en-US" w:eastAsia="zh-CN" w:bidi="ar-SA"/>
    </w:rPr>
  </w:style>
  <w:style w:type="paragraph" w:styleId="762">
    <w:name w:val="二级目录"/>
    <w:next w:val="682"/>
    <w:link w:val="761"/>
    <w:pPr>
      <w:numPr>
        <w:ilvl w:val="0"/>
        <w:numId w:val="2"/>
      </w:numPr>
      <w:tabs>
        <w:tab w:val="left" w:pos="907" w:leader="none"/>
        <w:tab w:val="left" w:pos="1145" w:leader="none"/>
      </w:tabs>
      <w:outlineLvl w:val="1"/>
    </w:pPr>
    <w:rPr>
      <w:b/>
      <w:sz w:val="30"/>
      <w:szCs w:val="28"/>
      <w:lang w:val="en-US" w:eastAsia="zh-CN" w:bidi="ar-SA"/>
    </w:rPr>
  </w:style>
  <w:style w:type="character" w:styleId="763">
    <w:name w:val="列出段落 Char,Bullet List Char,numbered Char,FooterText Char,List Paragraph1 Char,Paragraphe de liste1 Char"/>
    <w:next w:val="763"/>
    <w:link w:val="764"/>
    <w:rPr>
      <w:rFonts w:ascii="Calibri" w:hAnsi="Calibri"/>
      <w:sz w:val="24"/>
      <w:szCs w:val="24"/>
      <w:lang w:eastAsia="en-US" w:bidi="en-US"/>
    </w:rPr>
  </w:style>
  <w:style w:type="paragraph" w:styleId="764">
    <w:name w:val="列出段落1"/>
    <w:basedOn w:val="682"/>
    <w:next w:val="764"/>
    <w:link w:val="763"/>
    <w:qFormat/>
    <w:pPr>
      <w:contextualSpacing/>
      <w:ind w:left="720"/>
      <w:jc w:val="left"/>
      <w:widowControl/>
    </w:pPr>
    <w:rPr>
      <w:rFonts w:ascii="Calibri" w:hAnsi="Calibri"/>
      <w:sz w:val="24"/>
      <w:szCs w:val="24"/>
      <w:lang w:eastAsia="en-US" w:bidi="en-US"/>
    </w:rPr>
  </w:style>
  <w:style w:type="paragraph" w:styleId="765">
    <w:name w:val="Body Text(ch)"/>
    <w:basedOn w:val="682"/>
    <w:next w:val="714"/>
    <w:link w:val="682"/>
    <w:pPr>
      <w:spacing w:after="120"/>
    </w:pPr>
    <w:rPr>
      <w:rFonts w:ascii="宋体" w:hAnsi="Arial"/>
      <w:bCs/>
      <w:iCs/>
      <w:szCs w:val="24"/>
    </w:rPr>
  </w:style>
  <w:style w:type="paragraph" w:styleId="766">
    <w:name w:val="xl27"/>
    <w:basedOn w:val="682"/>
    <w:next w:val="766"/>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7">
    <w:name w:val="xl26"/>
    <w:basedOn w:val="682"/>
    <w:next w:val="767"/>
    <w:link w:val="6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8">
    <w:name w:val="Char"/>
    <w:basedOn w:val="682"/>
    <w:next w:val="768"/>
    <w:link w:val="682"/>
    <w:pPr>
      <w:ind w:firstLine="200"/>
      <w:tabs>
        <w:tab w:val="left" w:pos="360" w:leader="none"/>
      </w:tabs>
    </w:pPr>
    <w:rPr>
      <w:sz w:val="28"/>
      <w:szCs w:val="30"/>
    </w:rPr>
  </w:style>
  <w:style w:type="paragraph" w:styleId="769">
    <w:name w:val=" Char"/>
    <w:basedOn w:val="708"/>
    <w:next w:val="769"/>
    <w:link w:val="682"/>
    <w:rPr>
      <w:rFonts w:ascii="Tahoma" w:hAnsi="Tahoma"/>
      <w:sz w:val="24"/>
      <w:szCs w:val="24"/>
    </w:rPr>
  </w:style>
  <w:style w:type="paragraph" w:styleId="770">
    <w:name w:val="普通正文"/>
    <w:basedOn w:val="682"/>
    <w:next w:val="770"/>
    <w:link w:val="682"/>
    <w:pPr>
      <w:ind w:firstLine="480"/>
      <w:jc w:val="left"/>
      <w:spacing w:before="120" w:after="120" w:line="360" w:lineRule="auto"/>
    </w:pPr>
    <w:rPr>
      <w:rFonts w:ascii="Arial" w:hAnsi="Arial"/>
      <w:sz w:val="24"/>
      <w:szCs w:val="24"/>
    </w:rPr>
  </w:style>
  <w:style w:type="paragraph" w:styleId="771">
    <w:name w:val="table_lines"/>
    <w:basedOn w:val="682"/>
    <w:next w:val="771"/>
    <w:link w:val="682"/>
    <w:pPr>
      <w:jc w:val="left"/>
      <w:widowControl/>
    </w:pPr>
    <w:rPr>
      <w:sz w:val="20"/>
      <w:szCs w:val="20"/>
      <w:lang w:val="de-DE" w:eastAsia="de-DE"/>
    </w:rPr>
  </w:style>
  <w:style w:type="paragraph" w:styleId="772">
    <w:name w:val="附录1"/>
    <w:next w:val="772"/>
    <w:link w:val="68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3">
    <w:name w:val="font7"/>
    <w:basedOn w:val="682"/>
    <w:next w:val="773"/>
    <w:link w:val="682"/>
    <w:pPr>
      <w:jc w:val="left"/>
      <w:spacing w:before="100" w:beforeAutospacing="1" w:after="100" w:afterAutospacing="1"/>
      <w:widowControl/>
    </w:pPr>
    <w:rPr>
      <w:rFonts w:hint="eastAsia" w:ascii="宋体" w:hAnsi="宋体"/>
      <w:sz w:val="18"/>
      <w:szCs w:val="18"/>
    </w:rPr>
  </w:style>
  <w:style w:type="paragraph" w:styleId="774">
    <w:name w:val=" Char Char Char Char"/>
    <w:basedOn w:val="708"/>
    <w:next w:val="774"/>
    <w:link w:val="682"/>
    <w:pPr>
      <w:spacing w:line="360" w:lineRule="auto"/>
    </w:pPr>
    <w:rPr>
      <w:rFonts w:ascii="Tahoma" w:hAnsi="Tahoma"/>
      <w:sz w:val="24"/>
      <w:szCs w:val="24"/>
    </w:rPr>
  </w:style>
  <w:style w:type="paragraph" w:styleId="775">
    <w:name w:val="列出段落"/>
    <w:basedOn w:val="682"/>
    <w:next w:val="775"/>
    <w:link w:val="682"/>
    <w:uiPriority w:val="99"/>
    <w:qFormat/>
    <w:pPr>
      <w:contextualSpacing/>
      <w:ind w:left="720"/>
      <w:jc w:val="left"/>
      <w:widowControl/>
    </w:pPr>
    <w:rPr>
      <w:rFonts w:ascii="Calibri" w:hAnsi="Calibri"/>
      <w:sz w:val="24"/>
      <w:szCs w:val="24"/>
      <w:lang w:eastAsia="en-US" w:bidi="en-US"/>
    </w:rPr>
  </w:style>
  <w:style w:type="paragraph" w:styleId="776">
    <w:name w:val="4"/>
    <w:basedOn w:val="682"/>
    <w:next w:val="738"/>
    <w:link w:val="682"/>
    <w:pPr>
      <w:ind w:firstLine="420"/>
      <w:spacing w:line="360" w:lineRule="auto"/>
    </w:pPr>
    <w:rPr>
      <w:color w:val="ff0000"/>
      <w:sz w:val="24"/>
      <w:szCs w:val="24"/>
    </w:rPr>
  </w:style>
  <w:style w:type="paragraph" w:styleId="777">
    <w:name w:val="普通 (Web)"/>
    <w:basedOn w:val="682"/>
    <w:next w:val="777"/>
    <w:link w:val="682"/>
    <w:pPr>
      <w:jc w:val="left"/>
      <w:spacing w:before="100" w:beforeAutospacing="1" w:after="100" w:afterAutospacing="1"/>
      <w:widowControl/>
    </w:pPr>
    <w:rPr>
      <w:rFonts w:ascii="宋体" w:hAnsi="宋体"/>
      <w:sz w:val="24"/>
      <w:szCs w:val="24"/>
    </w:rPr>
  </w:style>
  <w:style w:type="paragraph" w:styleId="778">
    <w:name w:val=" Char Char Char Char Char Char Char Char Char Char"/>
    <w:basedOn w:val="682"/>
    <w:next w:val="778"/>
    <w:link w:val="682"/>
    <w:pPr>
      <w:spacing w:line="360" w:lineRule="auto"/>
    </w:pPr>
    <w:rPr>
      <w:sz w:val="24"/>
      <w:szCs w:val="20"/>
    </w:rPr>
  </w:style>
  <w:style w:type="paragraph" w:styleId="779">
    <w:name w:val="样式1"/>
    <w:basedOn w:val="682"/>
    <w:next w:val="779"/>
    <w:link w:val="682"/>
    <w:pPr>
      <w:numPr>
        <w:ilvl w:val="0"/>
        <w:numId w:val="3"/>
      </w:numPr>
      <w:tabs>
        <w:tab w:val="left" w:pos="709" w:leader="none"/>
      </w:tabs>
    </w:pPr>
    <w:rPr>
      <w:rFonts w:ascii="宋体" w:hAnsi="宋体"/>
    </w:rPr>
  </w:style>
  <w:style w:type="paragraph" w:styleId="780">
    <w:name w:val="font6"/>
    <w:basedOn w:val="682"/>
    <w:next w:val="780"/>
    <w:link w:val="682"/>
    <w:pPr>
      <w:jc w:val="left"/>
      <w:spacing w:before="100" w:beforeAutospacing="1" w:after="100" w:afterAutospacing="1"/>
      <w:widowControl/>
    </w:pPr>
    <w:rPr>
      <w:rFonts w:hint="eastAsia" w:ascii="宋体" w:hAnsi="宋体"/>
      <w:sz w:val="28"/>
      <w:szCs w:val="28"/>
      <w:u w:val="single"/>
    </w:rPr>
  </w:style>
  <w:style w:type="paragraph" w:styleId="781">
    <w:name w:val="xl25"/>
    <w:basedOn w:val="682"/>
    <w:next w:val="781"/>
    <w:link w:val="68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2">
    <w:name w:val="图标"/>
    <w:basedOn w:val="682"/>
    <w:next w:val="682"/>
    <w:link w:val="68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3">
    <w:name w:val="标题3"/>
    <w:basedOn w:val="682"/>
    <w:next w:val="682"/>
    <w:link w:val="682"/>
    <w:pPr>
      <w:ind w:firstLine="624"/>
      <w:spacing w:line="590" w:lineRule="atLeast"/>
    </w:pPr>
    <w:rPr>
      <w:rFonts w:ascii="方正黑体_GBK" w:eastAsia="方正黑体_GBK"/>
      <w:sz w:val="32"/>
      <w:szCs w:val="32"/>
    </w:rPr>
  </w:style>
  <w:style w:type="paragraph" w:styleId="784">
    <w:name w:val="xl24"/>
    <w:basedOn w:val="682"/>
    <w:next w:val="784"/>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5">
    <w:name w:val="xl29"/>
    <w:basedOn w:val="682"/>
    <w:next w:val="785"/>
    <w:link w:val="68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6">
    <w:name w:val="Char Char Char Char Char Char Char Char"/>
    <w:basedOn w:val="682"/>
    <w:next w:val="786"/>
    <w:link w:val="682"/>
    <w:pPr>
      <w:jc w:val="left"/>
      <w:spacing w:after="160" w:line="240" w:lineRule="exact"/>
      <w:widowControl/>
    </w:pPr>
    <w:rPr>
      <w:rFonts w:ascii="Verdana" w:hAnsi="Verdana"/>
      <w:sz w:val="20"/>
      <w:szCs w:val="20"/>
      <w:lang w:eastAsia="en-US"/>
    </w:rPr>
  </w:style>
  <w:style w:type="paragraph" w:styleId="787">
    <w:name w:val="xl28"/>
    <w:basedOn w:val="682"/>
    <w:next w:val="787"/>
    <w:link w:val="68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8">
    <w:name w:val=" Char Char Char Char Char Char Char Char"/>
    <w:basedOn w:val="682"/>
    <w:next w:val="788"/>
    <w:link w:val="682"/>
    <w:pPr>
      <w:jc w:val="left"/>
      <w:spacing w:after="160" w:line="240" w:lineRule="exact"/>
      <w:widowControl/>
    </w:pPr>
    <w:rPr>
      <w:rFonts w:ascii="Verdana" w:hAnsi="Verdana"/>
      <w:sz w:val="20"/>
      <w:szCs w:val="20"/>
      <w:lang w:eastAsia="en-US"/>
    </w:rPr>
  </w:style>
  <w:style w:type="paragraph" w:styleId="789">
    <w:name w:val="xl30"/>
    <w:basedOn w:val="682"/>
    <w:next w:val="789"/>
    <w:link w:val="682"/>
    <w:pPr>
      <w:jc w:val="center"/>
      <w:spacing w:before="100" w:beforeAutospacing="1" w:after="100" w:afterAutospacing="1"/>
      <w:widowControl/>
    </w:pPr>
    <w:rPr>
      <w:rFonts w:ascii="宋体" w:hAnsi="宋体"/>
      <w:b/>
      <w:bCs/>
      <w:sz w:val="36"/>
      <w:szCs w:val="36"/>
    </w:rPr>
  </w:style>
  <w:style w:type="paragraph" w:styleId="790">
    <w:name w:val="Char Char Char Char"/>
    <w:basedOn w:val="708"/>
    <w:next w:val="790"/>
    <w:link w:val="682"/>
    <w:pPr>
      <w:spacing w:line="360" w:lineRule="auto"/>
    </w:pPr>
    <w:rPr>
      <w:rFonts w:ascii="Tahoma" w:hAnsi="Tahoma"/>
      <w:sz w:val="24"/>
      <w:szCs w:val="24"/>
    </w:rPr>
  </w:style>
  <w:style w:type="paragraph" w:styleId="791">
    <w:name w:val="table_1stline"/>
    <w:basedOn w:val="682"/>
    <w:next w:val="791"/>
    <w:link w:val="682"/>
    <w:pPr>
      <w:jc w:val="left"/>
      <w:spacing w:before="120"/>
      <w:widowControl/>
    </w:pPr>
    <w:rPr>
      <w:bCs/>
      <w:sz w:val="20"/>
      <w:szCs w:val="20"/>
      <w:lang w:val="de-DE" w:eastAsia="de-DE"/>
    </w:rPr>
  </w:style>
  <w:style w:type="paragraph" w:styleId="792">
    <w:name w:val="font5"/>
    <w:basedOn w:val="682"/>
    <w:next w:val="792"/>
    <w:link w:val="682"/>
    <w:pPr>
      <w:jc w:val="left"/>
      <w:spacing w:before="100" w:beforeAutospacing="1" w:after="100" w:afterAutospacing="1"/>
      <w:widowControl/>
    </w:pPr>
    <w:rPr>
      <w:rFonts w:hint="eastAsia" w:ascii="宋体" w:hAnsi="宋体"/>
      <w:sz w:val="28"/>
      <w:szCs w:val="28"/>
    </w:rPr>
  </w:style>
  <w:style w:type="paragraph" w:styleId="793">
    <w:name w:val="标题1"/>
    <w:basedOn w:val="682"/>
    <w:next w:val="682"/>
    <w:link w:val="682"/>
    <w:pPr>
      <w:jc w:val="center"/>
      <w:spacing w:line="700" w:lineRule="atLeast"/>
      <w:tabs>
        <w:tab w:val="left" w:pos="9193" w:leader="none"/>
        <w:tab w:val="left" w:pos="9827" w:leader="none"/>
      </w:tabs>
    </w:pPr>
    <w:rPr>
      <w:rFonts w:ascii="方正小标宋_GBK" w:eastAsia="方正小标宋_GBK"/>
      <w:sz w:val="44"/>
      <w:szCs w:val="20"/>
    </w:rPr>
  </w:style>
  <w:style w:type="paragraph" w:styleId="794">
    <w:name w:val="修订"/>
    <w:next w:val="794"/>
    <w:link w:val="682"/>
    <w:uiPriority w:val="99"/>
    <w:semiHidden/>
    <w:rPr>
      <w:rFonts w:ascii="Times New Roman" w:hAnsi="Times New Roman"/>
      <w:sz w:val="21"/>
      <w:szCs w:val="21"/>
      <w:lang w:val="en-US" w:eastAsia="zh-CN" w:bidi="ar-SA"/>
    </w:rPr>
  </w:style>
  <w:style w:type="paragraph" w:styleId="795">
    <w:name w:val="无间隔"/>
    <w:next w:val="795"/>
    <w:link w:val="682"/>
    <w:uiPriority w:val="99"/>
    <w:qFormat/>
    <w:pPr>
      <w:jc w:val="both"/>
      <w:widowControl w:val="off"/>
    </w:pPr>
    <w:rPr>
      <w:rFonts w:ascii="Times New Roman" w:hAnsi="Times New Roman"/>
      <w:sz w:val="21"/>
      <w:szCs w:val="21"/>
      <w:lang w:val="en-US" w:eastAsia="zh-CN" w:bidi="ar-SA"/>
    </w:rPr>
  </w:style>
  <w:style w:type="paragraph" w:styleId="796">
    <w:name w:val="普通文字"/>
    <w:basedOn w:val="682"/>
    <w:next w:val="682"/>
    <w:link w:val="682"/>
    <w:uiPriority w:val="99"/>
    <w:rPr>
      <w:rFonts w:ascii="宋体" w:hAnsi="Times New Roman" w:eastAsia="宋体" w:cs="Times New Roman"/>
      <w:sz w:val="24"/>
      <w:szCs w:val="20"/>
      <w:u w:val="none"/>
    </w:rPr>
  </w:style>
  <w:style w:type="paragraph" w:styleId="797">
    <w:name w:val="目录 111"/>
    <w:basedOn w:val="682"/>
    <w:next w:val="682"/>
    <w:link w:val="682"/>
    <w:uiPriority w:val="39"/>
    <w:unhideWhenUsed/>
    <w:qFormat/>
    <w:pPr>
      <w:jc w:val="left"/>
      <w:spacing w:after="100" w:line="259" w:lineRule="auto"/>
      <w:widowControl/>
    </w:pPr>
    <w:rPr>
      <w:rFonts w:ascii="Calibri" w:hAnsi="Calibri" w:eastAsia="宋体"/>
      <w:sz w:val="22"/>
      <w:szCs w:val="22"/>
    </w:rPr>
  </w:style>
  <w:style w:type="paragraph" w:styleId="798">
    <w:name w:val="正文文本1"/>
    <w:basedOn w:val="682"/>
    <w:next w:val="798"/>
    <w:link w:val="682"/>
    <w:qFormat/>
    <w:rPr>
      <w:rFonts w:ascii="楷体_GB2312" w:hAnsi="Arial" w:eastAsia="楷体_GB2312"/>
      <w:sz w:val="28"/>
      <w:szCs w:val="28"/>
    </w:rPr>
  </w:style>
  <w:style w:type="table" w:styleId="799">
    <w:name w:val="Table Normal"/>
    <w:next w:val="799"/>
    <w:link w:val="682"/>
    <w:unhideWhenUsed/>
    <w:qFormat/>
    <w:rPr>
      <w:rFonts w:ascii="Arial" w:hAnsi="Arial" w:cs="Arial"/>
      <w:color w:val="000000"/>
      <w:szCs w:val="21"/>
      <w:lang w:eastAsia="en-US"/>
    </w:rPr>
    <w:tblPr/>
  </w:style>
  <w:style w:type="paragraph" w:styleId="800">
    <w:name w:val="Table Text"/>
    <w:basedOn w:val="682"/>
    <w:next w:val="800"/>
    <w:link w:val="682"/>
    <w:semiHidden/>
    <w:qFormat/>
    <w:pPr>
      <w:jc w:val="left"/>
      <w:widowControl/>
    </w:pPr>
    <w:rPr>
      <w:rFonts w:ascii="宋体" w:hAnsi="宋体" w:cs="宋体"/>
      <w:color w:val="000000"/>
      <w:szCs w:val="21"/>
      <w:lang w:eastAsia="en-US"/>
    </w:rPr>
  </w:style>
  <w:style w:type="character" w:styleId="801">
    <w:name w:val="font21"/>
    <w:basedOn w:val="692"/>
    <w:next w:val="801"/>
    <w:link w:val="682"/>
    <w:qFormat/>
    <w:rPr>
      <w:rFonts w:hint="eastAsia" w:ascii="宋体" w:hAnsi="宋体" w:eastAsia="宋体" w:cs="宋体"/>
      <w:b/>
      <w:bCs/>
      <w:color w:val="000000"/>
      <w:sz w:val="24"/>
      <w:szCs w:val="24"/>
      <w:u w:val="none"/>
    </w:rPr>
  </w:style>
  <w:style w:type="character" w:styleId="802">
    <w:name w:val="font31"/>
    <w:basedOn w:val="692"/>
    <w:next w:val="802"/>
    <w:link w:val="682"/>
    <w:qFormat/>
    <w:rPr>
      <w:rFonts w:hint="eastAsia" w:ascii="宋体" w:hAnsi="宋体" w:eastAsia="宋体" w:cs="宋体"/>
      <w:color w:val="000000"/>
      <w:sz w:val="24"/>
      <w:szCs w:val="24"/>
      <w:u w:val="none"/>
    </w:rPr>
  </w:style>
  <w:style w:type="character" w:styleId="803">
    <w:name w:val="font101"/>
    <w:basedOn w:val="692"/>
    <w:next w:val="803"/>
    <w:link w:val="682"/>
    <w:qFormat/>
    <w:rPr>
      <w:rFonts w:hint="eastAsia" w:ascii="宋体" w:hAnsi="宋体" w:eastAsia="宋体" w:cs="宋体"/>
      <w:b/>
      <w:bCs/>
      <w:color w:val="000000"/>
      <w:sz w:val="24"/>
      <w:szCs w:val="24"/>
      <w:u w:val="none"/>
    </w:rPr>
  </w:style>
  <w:style w:type="character" w:styleId="804">
    <w:name w:val="font61"/>
    <w:basedOn w:val="692"/>
    <w:next w:val="804"/>
    <w:link w:val="682"/>
    <w:qFormat/>
    <w:rPr>
      <w:rFonts w:hint="eastAsia" w:ascii="宋体" w:hAnsi="宋体" w:eastAsia="宋体" w:cs="宋体"/>
      <w:color w:val="000000"/>
      <w:sz w:val="24"/>
      <w:szCs w:val="24"/>
      <w:u w:val="none"/>
    </w:rPr>
  </w:style>
  <w:style w:type="character" w:styleId="16143" w:default="1">
    <w:name w:val="Default Paragraph Font"/>
    <w:uiPriority w:val="1"/>
    <w:semiHidden/>
    <w:unhideWhenUsed/>
  </w:style>
  <w:style w:type="numbering" w:styleId="16144" w:default="1">
    <w:name w:val="No List"/>
    <w:uiPriority w:val="99"/>
    <w:semiHidden/>
    <w:unhideWhenUsed/>
  </w:style>
  <w:style w:type="table" w:styleId="161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52</cp:revision>
  <dcterms:created xsi:type="dcterms:W3CDTF">2023-03-16T02:16:00Z</dcterms:created>
  <dcterms:modified xsi:type="dcterms:W3CDTF">2026-03-11T06:36:35Z</dcterms:modified>
</cp:coreProperties>
</file>