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7CD2A">
      <w:pPr>
        <w:pStyle w:val="211"/>
        <w:rPr>
          <w:rFonts w:hint="eastAsia" w:ascii="宋体" w:hAnsi="宋体" w:eastAsia="宋体" w:cs="宋体"/>
          <w:highlight w:val="none"/>
        </w:rPr>
      </w:pPr>
    </w:p>
    <w:p w14:paraId="1B59D6F6">
      <w:pPr>
        <w:pStyle w:val="211"/>
        <w:rPr>
          <w:rFonts w:hint="eastAsia" w:ascii="宋体" w:hAnsi="宋体" w:eastAsia="宋体" w:cs="宋体"/>
          <w:highlight w:val="none"/>
        </w:rPr>
      </w:pPr>
    </w:p>
    <w:p w14:paraId="2CA2CCBB">
      <w:pPr>
        <w:widowControl/>
        <w:shd w:val="clear" w:color="auto" w:fill="FFFFFF"/>
        <w:spacing w:line="360" w:lineRule="auto"/>
        <w:jc w:val="center"/>
        <w:rPr>
          <w:rFonts w:hint="eastAsia" w:ascii="宋体" w:hAnsi="宋体" w:eastAsia="宋体" w:cs="宋体"/>
          <w:b/>
          <w:sz w:val="44"/>
          <w:szCs w:val="44"/>
          <w:highlight w:val="none"/>
        </w:rPr>
      </w:pPr>
      <w:r>
        <w:rPr>
          <w:rFonts w:hint="eastAsia" w:ascii="宋体" w:hAnsi="宋体" w:cs="宋体"/>
          <w:b/>
          <w:sz w:val="44"/>
          <w:szCs w:val="44"/>
          <w:highlight w:val="none"/>
          <w:lang w:eastAsia="zh-CN"/>
        </w:rPr>
        <w:t>南京市公安局江宁分局在职民警、职工和离退休人员体检</w:t>
      </w:r>
    </w:p>
    <w:p w14:paraId="2229DAD0">
      <w:pPr>
        <w:pStyle w:val="18"/>
        <w:rPr>
          <w:rFonts w:hint="eastAsia" w:ascii="宋体" w:hAnsi="宋体" w:eastAsia="宋体" w:cs="宋体"/>
          <w:highlight w:val="none"/>
        </w:rPr>
      </w:pPr>
    </w:p>
    <w:p w14:paraId="012F3F1A">
      <w:pPr>
        <w:pStyle w:val="13"/>
        <w:rPr>
          <w:rFonts w:hint="eastAsia" w:ascii="宋体" w:hAnsi="宋体" w:eastAsia="宋体" w:cs="宋体"/>
          <w:highlight w:val="none"/>
        </w:rPr>
      </w:pPr>
    </w:p>
    <w:p w14:paraId="42821768">
      <w:pPr>
        <w:pStyle w:val="42"/>
        <w:rPr>
          <w:rFonts w:hint="eastAsia" w:ascii="宋体" w:hAnsi="宋体" w:eastAsia="宋体" w:cs="宋体"/>
          <w:highlight w:val="none"/>
        </w:rPr>
      </w:pPr>
    </w:p>
    <w:p w14:paraId="6F86AD88">
      <w:pPr>
        <w:pStyle w:val="42"/>
        <w:rPr>
          <w:rFonts w:hint="eastAsia" w:ascii="宋体" w:hAnsi="宋体" w:eastAsia="宋体" w:cs="宋体"/>
          <w:highlight w:val="none"/>
        </w:rPr>
      </w:pPr>
    </w:p>
    <w:p w14:paraId="627B438A">
      <w:pPr>
        <w:pStyle w:val="42"/>
        <w:rPr>
          <w:rFonts w:hint="eastAsia" w:ascii="宋体" w:hAnsi="宋体" w:eastAsia="宋体" w:cs="宋体"/>
          <w:highlight w:val="none"/>
        </w:rPr>
      </w:pPr>
    </w:p>
    <w:p w14:paraId="57A64018">
      <w:pPr>
        <w:pStyle w:val="42"/>
        <w:rPr>
          <w:rFonts w:hint="eastAsia" w:ascii="宋体" w:hAnsi="宋体" w:eastAsia="宋体" w:cs="宋体"/>
          <w:highlight w:val="none"/>
        </w:rPr>
      </w:pPr>
    </w:p>
    <w:p w14:paraId="2BE7463C">
      <w:pPr>
        <w:widowControl/>
        <w:spacing w:line="36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招标文件</w:t>
      </w:r>
    </w:p>
    <w:p w14:paraId="399CD6D1">
      <w:pPr>
        <w:widowControl/>
        <w:spacing w:line="360" w:lineRule="auto"/>
        <w:jc w:val="center"/>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项目编号：</w:t>
      </w:r>
      <w:r>
        <w:rPr>
          <w:rFonts w:hint="eastAsia" w:ascii="宋体" w:hAnsi="宋体" w:cs="宋体"/>
          <w:b/>
          <w:sz w:val="36"/>
          <w:szCs w:val="36"/>
          <w:highlight w:val="none"/>
          <w:lang w:eastAsia="zh-CN"/>
        </w:rPr>
        <w:t>JSZC-320115-NJLX-G2026-0002</w:t>
      </w:r>
    </w:p>
    <w:p w14:paraId="23FA4B67">
      <w:pPr>
        <w:widowControl/>
        <w:spacing w:line="360" w:lineRule="auto"/>
        <w:jc w:val="center"/>
        <w:rPr>
          <w:rFonts w:hint="eastAsia" w:ascii="宋体" w:hAnsi="宋体" w:eastAsia="宋体" w:cs="宋体"/>
          <w:b/>
          <w:sz w:val="72"/>
          <w:szCs w:val="72"/>
          <w:highlight w:val="none"/>
        </w:rPr>
      </w:pPr>
    </w:p>
    <w:p w14:paraId="5E0B9CBB">
      <w:pPr>
        <w:widowControl/>
        <w:spacing w:line="360" w:lineRule="auto"/>
        <w:jc w:val="center"/>
        <w:rPr>
          <w:rFonts w:hint="eastAsia" w:ascii="宋体" w:hAnsi="宋体" w:eastAsia="宋体" w:cs="宋体"/>
          <w:b/>
          <w:sz w:val="72"/>
          <w:szCs w:val="72"/>
          <w:highlight w:val="none"/>
        </w:rPr>
      </w:pPr>
    </w:p>
    <w:p w14:paraId="663C937F">
      <w:pPr>
        <w:pStyle w:val="18"/>
        <w:jc w:val="both"/>
        <w:rPr>
          <w:rFonts w:hint="eastAsia" w:ascii="宋体" w:hAnsi="宋体" w:eastAsia="宋体" w:cs="宋体"/>
          <w:highlight w:val="none"/>
        </w:rPr>
      </w:pPr>
    </w:p>
    <w:p w14:paraId="1A2B5645">
      <w:pPr>
        <w:widowControl/>
        <w:spacing w:line="360" w:lineRule="auto"/>
        <w:jc w:val="cente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采购人：</w:t>
      </w:r>
      <w:r>
        <w:rPr>
          <w:rFonts w:hint="eastAsia" w:ascii="宋体" w:hAnsi="宋体" w:eastAsia="宋体" w:cs="宋体"/>
          <w:b/>
          <w:sz w:val="36"/>
          <w:szCs w:val="36"/>
          <w:highlight w:val="none"/>
          <w:lang w:eastAsia="zh-CN"/>
        </w:rPr>
        <w:t>南京市公安局江宁分局</w:t>
      </w:r>
    </w:p>
    <w:p w14:paraId="2A109C22">
      <w:pPr>
        <w:widowControl/>
        <w:spacing w:line="360" w:lineRule="auto"/>
        <w:jc w:val="cente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采购代理机构：</w:t>
      </w:r>
      <w:r>
        <w:rPr>
          <w:rFonts w:hint="eastAsia" w:ascii="宋体" w:hAnsi="宋体" w:eastAsia="宋体" w:cs="宋体"/>
          <w:b/>
          <w:sz w:val="36"/>
          <w:szCs w:val="36"/>
          <w:highlight w:val="none"/>
          <w:lang w:eastAsia="zh-CN"/>
        </w:rPr>
        <w:t>南京陵新项目管理有限公司</w:t>
      </w:r>
    </w:p>
    <w:p w14:paraId="35E02154">
      <w:pPr>
        <w:widowControl/>
        <w:shd w:val="clear" w:color="auto" w:fill="FFFFFF"/>
        <w:spacing w:line="360" w:lineRule="auto"/>
        <w:jc w:val="center"/>
        <w:rPr>
          <w:rFonts w:hint="eastAsia" w:ascii="宋体" w:hAnsi="宋体" w:eastAsia="宋体" w:cs="宋体"/>
          <w:b/>
          <w:sz w:val="36"/>
          <w:szCs w:val="36"/>
          <w:highlight w:val="none"/>
          <w:lang w:eastAsia="zh-CN"/>
        </w:rPr>
      </w:pPr>
      <w:r>
        <w:rPr>
          <w:rFonts w:hint="eastAsia" w:ascii="宋体" w:hAnsi="宋体" w:cs="宋体"/>
          <w:b/>
          <w:sz w:val="36"/>
          <w:szCs w:val="36"/>
          <w:highlight w:val="none"/>
          <w:lang w:eastAsia="zh-CN"/>
        </w:rPr>
        <w:t>2026年</w:t>
      </w:r>
      <w:r>
        <w:rPr>
          <w:rFonts w:hint="eastAsia" w:ascii="宋体" w:hAnsi="宋体" w:cs="宋体"/>
          <w:b/>
          <w:sz w:val="36"/>
          <w:szCs w:val="36"/>
          <w:highlight w:val="none"/>
          <w:lang w:val="en-US" w:eastAsia="zh-CN"/>
        </w:rPr>
        <w:t>3</w:t>
      </w:r>
      <w:r>
        <w:rPr>
          <w:rFonts w:hint="eastAsia" w:ascii="宋体" w:hAnsi="宋体" w:cs="宋体"/>
          <w:b/>
          <w:sz w:val="36"/>
          <w:szCs w:val="36"/>
          <w:highlight w:val="none"/>
          <w:lang w:eastAsia="zh-CN"/>
        </w:rPr>
        <w:t>月</w:t>
      </w:r>
    </w:p>
    <w:p w14:paraId="313EDC23">
      <w:pPr>
        <w:pStyle w:val="314"/>
        <w:jc w:val="center"/>
        <w:rPr>
          <w:rFonts w:hint="eastAsia" w:ascii="宋体" w:hAnsi="宋体" w:eastAsia="宋体" w:cs="宋体"/>
          <w:color w:val="auto"/>
          <w:sz w:val="36"/>
          <w:szCs w:val="36"/>
          <w:highlight w:val="none"/>
          <w:lang w:val="zh-CN"/>
        </w:rPr>
        <w:sectPr>
          <w:footerReference r:id="rId5" w:type="default"/>
          <w:endnotePr>
            <w:numFmt w:val="decimal"/>
          </w:endnotePr>
          <w:pgSz w:w="11906" w:h="16838"/>
          <w:pgMar w:top="850" w:right="850" w:bottom="850" w:left="1418" w:header="227" w:footer="720" w:gutter="0"/>
          <w:cols w:space="720" w:num="1"/>
          <w:docGrid w:linePitch="360" w:charSpace="0"/>
        </w:sectPr>
      </w:pPr>
    </w:p>
    <w:p w14:paraId="15BB506E">
      <w:pPr>
        <w:pStyle w:val="314"/>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目录</w:t>
      </w:r>
    </w:p>
    <w:p w14:paraId="299C94F8">
      <w:pPr>
        <w:pStyle w:val="31"/>
        <w:tabs>
          <w:tab w:val="right" w:leader="dot" w:pos="8296"/>
        </w:tabs>
        <w:rPr>
          <w:rFonts w:hint="eastAsia" w:ascii="宋体" w:hAnsi="宋体" w:eastAsia="宋体" w:cs="宋体"/>
          <w:sz w:val="28"/>
          <w:szCs w:val="28"/>
          <w:highlight w:val="none"/>
        </w:rPr>
      </w:pPr>
    </w:p>
    <w:p w14:paraId="1E90D9EA">
      <w:pPr>
        <w:pStyle w:val="31"/>
        <w:tabs>
          <w:tab w:val="right" w:leader="dot" w:pos="9628"/>
        </w:tabs>
        <w:rPr>
          <w:rFonts w:hint="eastAsia" w:ascii="宋体" w:hAnsi="宋体" w:eastAsia="宋体" w:cs="宋体"/>
          <w:sz w:val="22"/>
          <w:highlight w:val="none"/>
          <w14:ligatures w14:val="standardContextual"/>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"_Toc193212819" \o "#_Toc193212819" </w:instrText>
      </w:r>
      <w:r>
        <w:rPr>
          <w:rFonts w:hint="eastAsia" w:ascii="宋体" w:hAnsi="宋体" w:eastAsia="宋体" w:cs="宋体"/>
          <w:highlight w:val="none"/>
        </w:rPr>
        <w:fldChar w:fldCharType="separate"/>
      </w:r>
      <w:r>
        <w:rPr>
          <w:rStyle w:val="56"/>
          <w:rFonts w:hint="eastAsia" w:ascii="宋体" w:hAnsi="宋体" w:eastAsia="宋体" w:cs="宋体"/>
          <w:highlight w:val="none"/>
        </w:rPr>
        <w:t>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_Toc193212819 \h </w:instrText>
      </w:r>
      <w:r>
        <w:rPr>
          <w:rFonts w:hint="eastAsia" w:ascii="宋体" w:hAnsi="宋体" w:eastAsia="宋体" w:cs="宋体"/>
          <w:highlight w:val="none"/>
        </w:rPr>
        <w:fldChar w:fldCharType="separate"/>
      </w:r>
      <w:r>
        <w:rPr>
          <w:rFonts w:hint="eastAsia" w:ascii="宋体" w:hAnsi="宋体" w:eastAsia="宋体" w:cs="宋体"/>
          <w:highlight w:val="none"/>
        </w:rPr>
        <w:t>2</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0D9740DD">
      <w:pPr>
        <w:pStyle w:val="31"/>
        <w:tabs>
          <w:tab w:val="right" w:leader="dot" w:pos="9628"/>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"_Toc193212820" \o "#_Toc193212820" </w:instrText>
      </w:r>
      <w:r>
        <w:rPr>
          <w:rFonts w:hint="eastAsia" w:ascii="宋体" w:hAnsi="宋体" w:eastAsia="宋体" w:cs="宋体"/>
          <w:highlight w:val="none"/>
        </w:rPr>
        <w:fldChar w:fldCharType="separate"/>
      </w:r>
      <w:r>
        <w:rPr>
          <w:rStyle w:val="56"/>
          <w:rFonts w:hint="eastAsia" w:ascii="宋体" w:hAnsi="宋体" w:eastAsia="宋体" w:cs="宋体"/>
          <w:highlight w:val="none"/>
        </w:rPr>
        <w:t>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_Toc193212820 \h </w:instrText>
      </w:r>
      <w:r>
        <w:rPr>
          <w:rFonts w:hint="eastAsia" w:ascii="宋体" w:hAnsi="宋体" w:eastAsia="宋体" w:cs="宋体"/>
          <w:highlight w:val="none"/>
        </w:rPr>
        <w:fldChar w:fldCharType="separate"/>
      </w:r>
      <w:r>
        <w:rPr>
          <w:rFonts w:hint="eastAsia" w:ascii="宋体" w:hAnsi="宋体" w:eastAsia="宋体" w:cs="宋体"/>
          <w:highlight w:val="none"/>
        </w:rPr>
        <w:t>7</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432BB4A6">
      <w:pPr>
        <w:pStyle w:val="31"/>
        <w:tabs>
          <w:tab w:val="right" w:leader="dot" w:pos="9628"/>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"_Toc193212821" \o "#_Toc193212821" </w:instrText>
      </w:r>
      <w:r>
        <w:rPr>
          <w:rFonts w:hint="eastAsia" w:ascii="宋体" w:hAnsi="宋体" w:eastAsia="宋体" w:cs="宋体"/>
          <w:highlight w:val="none"/>
        </w:rPr>
        <w:fldChar w:fldCharType="separate"/>
      </w:r>
      <w:r>
        <w:rPr>
          <w:rStyle w:val="56"/>
          <w:rFonts w:hint="eastAsia" w:ascii="宋体" w:hAnsi="宋体" w:eastAsia="宋体" w:cs="宋体"/>
          <w:highlight w:val="none"/>
        </w:rPr>
        <w:t>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_Toc193212821 \h </w:instrText>
      </w:r>
      <w:r>
        <w:rPr>
          <w:rFonts w:hint="eastAsia" w:ascii="宋体" w:hAnsi="宋体" w:eastAsia="宋体" w:cs="宋体"/>
          <w:highlight w:val="none"/>
        </w:rPr>
        <w:fldChar w:fldCharType="separate"/>
      </w:r>
      <w:r>
        <w:rPr>
          <w:rFonts w:hint="eastAsia" w:ascii="宋体" w:hAnsi="宋体" w:eastAsia="宋体" w:cs="宋体"/>
          <w:highlight w:val="none"/>
        </w:rPr>
        <w:t>22</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2A517203">
      <w:pPr>
        <w:pStyle w:val="31"/>
        <w:tabs>
          <w:tab w:val="right" w:leader="dot" w:pos="9628"/>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"_Toc193212822" \o "#_Toc193212822" </w:instrText>
      </w:r>
      <w:r>
        <w:rPr>
          <w:rFonts w:hint="eastAsia" w:ascii="宋体" w:hAnsi="宋体" w:eastAsia="宋体" w:cs="宋体"/>
          <w:highlight w:val="none"/>
        </w:rPr>
        <w:fldChar w:fldCharType="separate"/>
      </w:r>
      <w:r>
        <w:rPr>
          <w:rStyle w:val="56"/>
          <w:rFonts w:hint="eastAsia" w:ascii="宋体" w:hAnsi="宋体" w:eastAsia="宋体" w:cs="宋体"/>
          <w:highlight w:val="none"/>
        </w:rPr>
        <w:t>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_Toc193212822 \h </w:instrText>
      </w:r>
      <w:r>
        <w:rPr>
          <w:rFonts w:hint="eastAsia" w:ascii="宋体" w:hAnsi="宋体" w:eastAsia="宋体" w:cs="宋体"/>
          <w:highlight w:val="none"/>
        </w:rPr>
        <w:fldChar w:fldCharType="separate"/>
      </w:r>
      <w:r>
        <w:rPr>
          <w:rFonts w:hint="eastAsia" w:ascii="宋体" w:hAnsi="宋体" w:eastAsia="宋体" w:cs="宋体"/>
          <w:highlight w:val="none"/>
        </w:rPr>
        <w:t>26</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7B69302D">
      <w:pPr>
        <w:pStyle w:val="31"/>
        <w:tabs>
          <w:tab w:val="right" w:leader="dot" w:pos="9628"/>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"_Toc193212823" \o "#_Toc193212823" </w:instrText>
      </w:r>
      <w:r>
        <w:rPr>
          <w:rFonts w:hint="eastAsia" w:ascii="宋体" w:hAnsi="宋体" w:eastAsia="宋体" w:cs="宋体"/>
          <w:highlight w:val="none"/>
        </w:rPr>
        <w:fldChar w:fldCharType="separate"/>
      </w:r>
      <w:r>
        <w:rPr>
          <w:rStyle w:val="56"/>
          <w:rFonts w:hint="eastAsia" w:ascii="宋体" w:hAnsi="宋体" w:eastAsia="宋体" w:cs="宋体"/>
          <w:highlight w:val="none"/>
        </w:rPr>
        <w:t>第五章 合同主要条款及格式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_Toc193212823 \h </w:instrText>
      </w:r>
      <w:r>
        <w:rPr>
          <w:rFonts w:hint="eastAsia" w:ascii="宋体" w:hAnsi="宋体" w:eastAsia="宋体" w:cs="宋体"/>
          <w:highlight w:val="none"/>
        </w:rPr>
        <w:fldChar w:fldCharType="separate"/>
      </w:r>
      <w:r>
        <w:rPr>
          <w:rFonts w:hint="eastAsia" w:ascii="宋体" w:hAnsi="宋体" w:eastAsia="宋体" w:cs="宋体"/>
          <w:highlight w:val="none"/>
        </w:rPr>
        <w:t>29</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00BE5212">
      <w:pPr>
        <w:pStyle w:val="31"/>
        <w:tabs>
          <w:tab w:val="right" w:leader="dot" w:pos="9628"/>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"_Toc193212824" \o "#_Toc193212824" </w:instrText>
      </w:r>
      <w:r>
        <w:rPr>
          <w:rFonts w:hint="eastAsia" w:ascii="宋体" w:hAnsi="宋体" w:eastAsia="宋体" w:cs="宋体"/>
          <w:highlight w:val="none"/>
        </w:rPr>
        <w:fldChar w:fldCharType="separate"/>
      </w:r>
      <w:r>
        <w:rPr>
          <w:rStyle w:val="56"/>
          <w:rFonts w:hint="eastAsia" w:ascii="宋体" w:hAnsi="宋体" w:eastAsia="宋体" w:cs="宋体"/>
          <w:highlight w:val="none"/>
        </w:rPr>
        <w:t>第六章 投标文件格式及附件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_Toc193212824 \h </w:instrText>
      </w:r>
      <w:r>
        <w:rPr>
          <w:rFonts w:hint="eastAsia" w:ascii="宋体" w:hAnsi="宋体" w:eastAsia="宋体" w:cs="宋体"/>
          <w:highlight w:val="none"/>
        </w:rPr>
        <w:fldChar w:fldCharType="separate"/>
      </w:r>
      <w:r>
        <w:rPr>
          <w:rFonts w:hint="eastAsia" w:ascii="宋体" w:hAnsi="宋体" w:eastAsia="宋体" w:cs="宋体"/>
          <w:highlight w:val="none"/>
        </w:rPr>
        <w:t>34</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5AAF0E62">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p>
    <w:p w14:paraId="1D38B164">
      <w:pPr>
        <w:widowControl/>
        <w:shd w:val="clear" w:color="auto" w:fill="FFFFFF"/>
        <w:spacing w:line="360" w:lineRule="auto"/>
        <w:jc w:val="center"/>
        <w:rPr>
          <w:rFonts w:hint="eastAsia" w:ascii="宋体" w:hAnsi="宋体" w:eastAsia="宋体" w:cs="宋体"/>
          <w:b/>
          <w:sz w:val="36"/>
          <w:szCs w:val="36"/>
          <w:highlight w:val="none"/>
        </w:rPr>
      </w:pPr>
    </w:p>
    <w:p w14:paraId="502F5D9B">
      <w:pPr>
        <w:pStyle w:val="2"/>
        <w:rPr>
          <w:rFonts w:hint="eastAsia" w:ascii="宋体" w:hAnsi="宋体" w:eastAsia="宋体" w:cs="宋体"/>
          <w:szCs w:val="21"/>
          <w:highlight w:val="none"/>
        </w:rPr>
        <w:sectPr>
          <w:footerReference r:id="rId6" w:type="default"/>
          <w:endnotePr>
            <w:numFmt w:val="decimal"/>
          </w:endnotePr>
          <w:pgSz w:w="11906" w:h="16838"/>
          <w:pgMar w:top="850" w:right="850" w:bottom="850" w:left="1418" w:header="227" w:footer="720" w:gutter="0"/>
          <w:pgNumType w:start="1"/>
          <w:cols w:space="720" w:num="1"/>
          <w:docGrid w:linePitch="360" w:charSpace="0"/>
        </w:sectPr>
      </w:pPr>
      <w:bookmarkStart w:id="0" w:name="_Toc481057143"/>
      <w:bookmarkStart w:id="1" w:name="_Hlk52290185"/>
      <w:bookmarkStart w:id="2" w:name="_Hlk54715254"/>
    </w:p>
    <w:p w14:paraId="01C32943">
      <w:pPr>
        <w:pStyle w:val="2"/>
        <w:spacing w:line="360" w:lineRule="auto"/>
        <w:rPr>
          <w:rFonts w:hint="eastAsia" w:ascii="宋体" w:hAnsi="宋体" w:eastAsia="宋体" w:cs="宋体"/>
          <w:szCs w:val="21"/>
          <w:highlight w:val="none"/>
        </w:rPr>
      </w:pPr>
      <w:bookmarkStart w:id="25" w:name="_GoBack"/>
      <w:bookmarkEnd w:id="25"/>
      <w:r>
        <w:rPr>
          <w:rFonts w:hint="eastAsia" w:ascii="宋体" w:hAnsi="宋体" w:eastAsia="宋体" w:cs="宋体"/>
          <w:highlight w:val="none"/>
        </w:rPr>
        <w:t xml:space="preserve"> </w:t>
      </w:r>
      <w:bookmarkStart w:id="3" w:name="_Toc193212819"/>
      <w:r>
        <w:rPr>
          <w:rFonts w:hint="eastAsia" w:ascii="宋体" w:hAnsi="宋体" w:eastAsia="宋体" w:cs="宋体"/>
          <w:highlight w:val="none"/>
        </w:rPr>
        <w:t>招标公告</w:t>
      </w:r>
      <w:bookmarkEnd w:id="0"/>
      <w:bookmarkEnd w:id="3"/>
    </w:p>
    <w:p w14:paraId="15E11280">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项目概况</w:t>
      </w:r>
    </w:p>
    <w:p w14:paraId="66018AE3">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eastAsia="宋体" w:cs="宋体"/>
          <w:szCs w:val="21"/>
          <w:highlight w:val="none"/>
        </w:rPr>
      </w:pPr>
      <w:r>
        <w:rPr>
          <w:rFonts w:hint="eastAsia" w:ascii="宋体" w:hAnsi="宋体" w:cs="宋体"/>
          <w:b/>
          <w:bCs/>
          <w:szCs w:val="21"/>
          <w:highlight w:val="none"/>
          <w:u w:val="single"/>
          <w:lang w:eastAsia="zh-CN"/>
        </w:rPr>
        <w:t>南京市公安局江宁分局在职民警、职工和离退休人员体检</w:t>
      </w:r>
      <w:r>
        <w:rPr>
          <w:rFonts w:hint="eastAsia" w:ascii="宋体" w:hAnsi="宋体" w:eastAsia="宋体" w:cs="宋体"/>
          <w:spacing w:val="8"/>
          <w:szCs w:val="21"/>
          <w:highlight w:val="none"/>
        </w:rPr>
        <w:t>的潜在投标人应在</w:t>
      </w:r>
      <w:r>
        <w:rPr>
          <w:rFonts w:hint="eastAsia" w:ascii="宋体" w:hAnsi="宋体" w:eastAsia="宋体" w:cs="宋体"/>
          <w:b/>
          <w:bCs/>
          <w:szCs w:val="21"/>
          <w:highlight w:val="none"/>
          <w:u w:val="single"/>
        </w:rPr>
        <w:t>江苏政府采购网</w:t>
      </w:r>
      <w:r>
        <w:rPr>
          <w:rFonts w:hint="eastAsia" w:ascii="宋体" w:hAnsi="宋体" w:eastAsia="宋体" w:cs="宋体"/>
          <w:szCs w:val="21"/>
          <w:highlight w:val="none"/>
        </w:rPr>
        <w:t>获取采购文件，并于</w:t>
      </w:r>
      <w:r>
        <w:rPr>
          <w:rFonts w:hint="eastAsia" w:ascii="宋体" w:hAnsi="宋体" w:cs="宋体"/>
          <w:b/>
          <w:bCs/>
          <w:iCs/>
          <w:spacing w:val="8"/>
          <w:szCs w:val="21"/>
          <w:highlight w:val="none"/>
          <w:lang w:eastAsia="zh-CN"/>
        </w:rPr>
        <w:t>2026</w:t>
      </w:r>
      <w:r>
        <w:rPr>
          <w:rFonts w:hint="eastAsia" w:ascii="宋体" w:hAnsi="宋体" w:eastAsia="宋体" w:cs="宋体"/>
          <w:b/>
          <w:bCs/>
          <w:spacing w:val="8"/>
          <w:szCs w:val="21"/>
          <w:highlight w:val="none"/>
        </w:rPr>
        <w:t>年</w:t>
      </w:r>
      <w:r>
        <w:rPr>
          <w:rFonts w:hint="eastAsia" w:ascii="宋体" w:hAnsi="宋体" w:cs="宋体"/>
          <w:b/>
          <w:bCs/>
          <w:spacing w:val="8"/>
          <w:szCs w:val="21"/>
          <w:highlight w:val="none"/>
          <w:lang w:val="en-US" w:eastAsia="zh-CN"/>
        </w:rPr>
        <w:t xml:space="preserve"> 03</w:t>
      </w:r>
      <w:r>
        <w:rPr>
          <w:rFonts w:hint="eastAsia" w:ascii="宋体" w:hAnsi="宋体" w:eastAsia="宋体" w:cs="宋体"/>
          <w:b/>
          <w:bCs/>
          <w:spacing w:val="8"/>
          <w:szCs w:val="21"/>
          <w:highlight w:val="none"/>
        </w:rPr>
        <w:t>月</w:t>
      </w:r>
      <w:r>
        <w:rPr>
          <w:rFonts w:hint="eastAsia" w:ascii="宋体" w:hAnsi="宋体" w:cs="宋体"/>
          <w:b/>
          <w:bCs/>
          <w:spacing w:val="8"/>
          <w:szCs w:val="21"/>
          <w:highlight w:val="none"/>
          <w:lang w:val="en-US" w:eastAsia="zh-CN"/>
        </w:rPr>
        <w:t xml:space="preserve"> 23</w:t>
      </w:r>
      <w:r>
        <w:rPr>
          <w:rFonts w:hint="eastAsia" w:ascii="宋体" w:hAnsi="宋体" w:eastAsia="宋体" w:cs="宋体"/>
          <w:b/>
          <w:bCs/>
          <w:spacing w:val="8"/>
          <w:szCs w:val="21"/>
          <w:highlight w:val="none"/>
        </w:rPr>
        <w:t>日</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09</w:t>
      </w:r>
      <w:r>
        <w:rPr>
          <w:rFonts w:hint="eastAsia" w:ascii="宋体" w:hAnsi="宋体" w:eastAsia="宋体" w:cs="宋体"/>
          <w:b/>
          <w:bCs/>
          <w:szCs w:val="21"/>
          <w:highlight w:val="none"/>
        </w:rPr>
        <w:t>点</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30</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分</w:t>
      </w:r>
      <w:r>
        <w:rPr>
          <w:rFonts w:hint="eastAsia" w:ascii="宋体" w:hAnsi="宋体" w:eastAsia="宋体" w:cs="宋体"/>
          <w:szCs w:val="21"/>
          <w:highlight w:val="none"/>
        </w:rPr>
        <w:t>（北京时间）前递交投标文件。</w:t>
      </w:r>
    </w:p>
    <w:p w14:paraId="57CDF725">
      <w:pPr>
        <w:spacing w:line="360" w:lineRule="auto"/>
        <w:ind w:firstLine="452"/>
        <w:jc w:val="left"/>
        <w:rPr>
          <w:rFonts w:hint="eastAsia" w:ascii="宋体" w:hAnsi="宋体" w:eastAsia="宋体" w:cs="宋体"/>
          <w:spacing w:val="8"/>
          <w:szCs w:val="21"/>
          <w:highlight w:val="none"/>
        </w:rPr>
      </w:pPr>
    </w:p>
    <w:p w14:paraId="18AA1E8C">
      <w:pPr>
        <w:spacing w:line="360" w:lineRule="auto"/>
        <w:jc w:val="left"/>
        <w:rPr>
          <w:rFonts w:hint="eastAsia" w:ascii="宋体" w:hAnsi="宋体" w:eastAsia="宋体" w:cs="宋体"/>
          <w:b/>
          <w:bCs/>
          <w:sz w:val="24"/>
          <w:highlight w:val="none"/>
        </w:rPr>
      </w:pPr>
      <w:r>
        <w:rPr>
          <w:rFonts w:hint="eastAsia" w:ascii="宋体" w:hAnsi="宋体" w:eastAsia="宋体" w:cs="宋体"/>
          <w:b/>
          <w:bCs/>
          <w:sz w:val="24"/>
          <w:highlight w:val="none"/>
        </w:rPr>
        <w:t>一、项目基本情况</w:t>
      </w:r>
      <w:bookmarkEnd w:id="1"/>
      <w:bookmarkEnd w:id="2"/>
    </w:p>
    <w:p w14:paraId="1E38F3CC">
      <w:pPr>
        <w:spacing w:line="360" w:lineRule="auto"/>
        <w:ind w:firstLine="420"/>
        <w:rPr>
          <w:rFonts w:hint="eastAsia" w:ascii="宋体" w:hAnsi="宋体" w:eastAsia="宋体" w:cs="宋体"/>
          <w:bCs/>
          <w:szCs w:val="21"/>
          <w:highlight w:val="none"/>
          <w:lang w:eastAsia="zh-CN"/>
        </w:rPr>
      </w:pPr>
      <w:r>
        <w:rPr>
          <w:rFonts w:hint="eastAsia" w:ascii="宋体" w:hAnsi="宋体" w:eastAsia="宋体" w:cs="宋体"/>
          <w:bCs/>
          <w:szCs w:val="21"/>
          <w:highlight w:val="none"/>
        </w:rPr>
        <w:t>1.1项目编号：</w:t>
      </w:r>
      <w:r>
        <w:rPr>
          <w:rFonts w:hint="eastAsia" w:ascii="宋体" w:hAnsi="宋体" w:cs="宋体"/>
          <w:bCs/>
          <w:szCs w:val="21"/>
          <w:highlight w:val="none"/>
          <w:lang w:eastAsia="zh-CN"/>
        </w:rPr>
        <w:t>JSZC-320115-NJLX-G2026-0002</w:t>
      </w:r>
    </w:p>
    <w:p w14:paraId="652FB376">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1.2项目名称：</w:t>
      </w:r>
      <w:r>
        <w:rPr>
          <w:rFonts w:hint="eastAsia" w:ascii="宋体" w:hAnsi="宋体" w:cs="宋体"/>
          <w:bCs/>
          <w:szCs w:val="21"/>
          <w:highlight w:val="none"/>
          <w:lang w:eastAsia="zh-CN"/>
        </w:rPr>
        <w:t>南京市公安局江宁分局在职民警、职工和离退休人员体检</w:t>
      </w:r>
    </w:p>
    <w:p w14:paraId="0A9C83E0">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1.3预算金额：人民币</w:t>
      </w:r>
      <w:r>
        <w:rPr>
          <w:rFonts w:hint="eastAsia" w:ascii="宋体" w:hAnsi="宋体" w:cs="宋体"/>
          <w:bCs/>
          <w:szCs w:val="21"/>
          <w:highlight w:val="none"/>
          <w:lang w:val="en-US" w:eastAsia="zh-CN"/>
        </w:rPr>
        <w:t>191.4</w:t>
      </w:r>
      <w:r>
        <w:rPr>
          <w:rFonts w:hint="eastAsia" w:ascii="宋体" w:hAnsi="宋体" w:eastAsia="宋体" w:cs="宋体"/>
          <w:bCs/>
          <w:szCs w:val="21"/>
          <w:highlight w:val="none"/>
        </w:rPr>
        <w:t>万元</w:t>
      </w:r>
    </w:p>
    <w:p w14:paraId="311EBB24">
      <w:pPr>
        <w:spacing w:line="360" w:lineRule="auto"/>
        <w:ind w:firstLine="420"/>
        <w:rPr>
          <w:rFonts w:hint="default" w:ascii="宋体" w:hAnsi="宋体" w:eastAsia="宋体" w:cs="宋体"/>
          <w:spacing w:val="-1"/>
          <w:szCs w:val="21"/>
          <w:highlight w:val="none"/>
          <w:lang w:val="en-US" w:eastAsia="zh-CN"/>
        </w:rPr>
      </w:pPr>
      <w:r>
        <w:rPr>
          <w:rFonts w:hint="eastAsia" w:ascii="宋体" w:hAnsi="宋体" w:eastAsia="宋体" w:cs="宋体"/>
          <w:bCs/>
          <w:szCs w:val="21"/>
          <w:highlight w:val="none"/>
        </w:rPr>
        <w:t>1.4最高限价：人民币</w:t>
      </w:r>
      <w:r>
        <w:rPr>
          <w:rFonts w:hint="eastAsia" w:ascii="宋体" w:hAnsi="宋体" w:cs="宋体"/>
          <w:bCs/>
          <w:szCs w:val="21"/>
          <w:highlight w:val="none"/>
          <w:lang w:val="en-US" w:eastAsia="zh-CN"/>
        </w:rPr>
        <w:t>191.4</w:t>
      </w:r>
      <w:r>
        <w:rPr>
          <w:rFonts w:hint="eastAsia" w:ascii="宋体" w:hAnsi="宋体" w:eastAsia="宋体" w:cs="宋体"/>
          <w:bCs/>
          <w:szCs w:val="21"/>
          <w:highlight w:val="none"/>
        </w:rPr>
        <w:t>万元</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 xml:space="preserve"> 单价1120元/人。</w:t>
      </w:r>
    </w:p>
    <w:p w14:paraId="4A77369E">
      <w:pPr>
        <w:widowControl/>
        <w:shd w:val="clear" w:color="auto" w:fill="FFFFFF"/>
        <w:spacing w:line="360" w:lineRule="auto"/>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采购需求：</w:t>
      </w:r>
      <w:r>
        <w:rPr>
          <w:rFonts w:hint="eastAsia" w:ascii="宋体" w:hAnsi="宋体" w:cs="宋体"/>
          <w:bCs/>
          <w:szCs w:val="21"/>
          <w:highlight w:val="none"/>
          <w:lang w:val="en-US" w:eastAsia="zh-CN"/>
        </w:rPr>
        <w:t>江宁公安局分局拟采购2025年度民警、职工、及</w:t>
      </w:r>
      <w:r>
        <w:rPr>
          <w:rFonts w:hint="eastAsia" w:ascii="宋体" w:hAnsi="宋体" w:cs="宋体"/>
          <w:bCs/>
          <w:szCs w:val="21"/>
          <w:highlight w:val="none"/>
          <w:lang w:eastAsia="zh-CN"/>
        </w:rPr>
        <w:t>离退休人员</w:t>
      </w:r>
      <w:r>
        <w:rPr>
          <w:rFonts w:hint="eastAsia" w:ascii="宋体" w:hAnsi="宋体" w:cs="宋体"/>
          <w:bCs/>
          <w:szCs w:val="21"/>
          <w:highlight w:val="none"/>
          <w:lang w:val="en-US" w:eastAsia="zh-CN"/>
        </w:rPr>
        <w:t>常规体检</w:t>
      </w:r>
      <w:r>
        <w:rPr>
          <w:rFonts w:hint="eastAsia" w:ascii="宋体" w:hAnsi="宋体" w:eastAsia="宋体" w:cs="宋体"/>
          <w:bCs/>
          <w:szCs w:val="21"/>
          <w:highlight w:val="none"/>
        </w:rPr>
        <w:t>。参加体检人员共计1709人（男同志1470人，女同志239人）。</w:t>
      </w:r>
    </w:p>
    <w:p w14:paraId="718E7660">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6</w:t>
      </w:r>
      <w:r>
        <w:rPr>
          <w:rFonts w:hint="eastAsia" w:ascii="宋体" w:hAnsi="宋体" w:eastAsia="宋体" w:cs="宋体"/>
          <w:bCs/>
          <w:szCs w:val="21"/>
          <w:highlight w:val="none"/>
        </w:rPr>
        <w:t>合同履行期限：本项目服务期</w:t>
      </w:r>
      <w:r>
        <w:rPr>
          <w:rFonts w:hint="eastAsia" w:ascii="宋体" w:hAnsi="宋体" w:cs="宋体"/>
          <w:bCs/>
          <w:szCs w:val="21"/>
          <w:highlight w:val="none"/>
          <w:lang w:val="en-US" w:eastAsia="zh-CN"/>
        </w:rPr>
        <w:t>90</w:t>
      </w:r>
      <w:r>
        <w:rPr>
          <w:rFonts w:hint="eastAsia" w:ascii="宋体" w:hAnsi="宋体" w:eastAsia="宋体" w:cs="宋体"/>
          <w:bCs/>
          <w:szCs w:val="21"/>
          <w:highlight w:val="none"/>
          <w:lang w:val="en-US" w:eastAsia="zh-CN"/>
        </w:rPr>
        <w:t>天</w:t>
      </w:r>
      <w:r>
        <w:rPr>
          <w:rFonts w:hint="eastAsia" w:ascii="宋体" w:hAnsi="宋体" w:eastAsia="宋体" w:cs="宋体"/>
          <w:bCs/>
          <w:szCs w:val="21"/>
          <w:highlight w:val="none"/>
        </w:rPr>
        <w:t>，自合同签订之日起算。</w:t>
      </w:r>
    </w:p>
    <w:p w14:paraId="2D30C1B3">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7</w:t>
      </w:r>
      <w:r>
        <w:rPr>
          <w:rFonts w:hint="eastAsia" w:ascii="宋体" w:hAnsi="宋体" w:eastAsia="宋体" w:cs="宋体"/>
          <w:bCs/>
          <w:szCs w:val="21"/>
          <w:highlight w:val="none"/>
        </w:rPr>
        <w:t>行业划分：其他卫生活动。</w:t>
      </w:r>
    </w:p>
    <w:p w14:paraId="330EB98B">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8</w:t>
      </w:r>
      <w:r>
        <w:rPr>
          <w:rFonts w:hint="eastAsia" w:ascii="宋体" w:hAnsi="宋体" w:eastAsia="宋体" w:cs="宋体"/>
          <w:bCs/>
          <w:szCs w:val="21"/>
          <w:highlight w:val="none"/>
        </w:rPr>
        <w:t>本项目不接受联合体投标。</w:t>
      </w:r>
    </w:p>
    <w:p w14:paraId="388BB7F9">
      <w:pPr>
        <w:spacing w:line="360" w:lineRule="auto"/>
        <w:ind w:firstLine="452"/>
        <w:jc w:val="left"/>
        <w:rPr>
          <w:rFonts w:hint="eastAsia" w:ascii="宋体" w:hAnsi="宋体" w:eastAsia="宋体" w:cs="宋体"/>
          <w:spacing w:val="8"/>
          <w:szCs w:val="21"/>
          <w:highlight w:val="none"/>
        </w:rPr>
      </w:pPr>
    </w:p>
    <w:p w14:paraId="45544B32">
      <w:pPr>
        <w:spacing w:line="360" w:lineRule="auto"/>
        <w:jc w:val="left"/>
        <w:rPr>
          <w:rFonts w:hint="eastAsia" w:ascii="宋体" w:hAnsi="宋体" w:eastAsia="宋体" w:cs="宋体"/>
          <w:b/>
          <w:bCs/>
          <w:sz w:val="24"/>
          <w:highlight w:val="none"/>
        </w:rPr>
      </w:pPr>
      <w:r>
        <w:rPr>
          <w:rFonts w:hint="eastAsia" w:ascii="宋体" w:hAnsi="宋体" w:eastAsia="宋体" w:cs="宋体"/>
          <w:b/>
          <w:bCs/>
          <w:sz w:val="24"/>
          <w:highlight w:val="none"/>
        </w:rPr>
        <w:t>二、申请人的资格要求：</w:t>
      </w:r>
    </w:p>
    <w:p w14:paraId="7AD00398">
      <w:pPr>
        <w:spacing w:line="360" w:lineRule="auto"/>
        <w:ind w:firstLine="454"/>
        <w:jc w:val="left"/>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2.1满足《中华人民共和国政府采购法》第二十二条规定：</w:t>
      </w:r>
    </w:p>
    <w:p w14:paraId="67760E95">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（1）具有独立承担民事责任的能力（提供法人或者其他组织的营业执照；供应商为自然人的，提供其身份证）；</w:t>
      </w:r>
    </w:p>
    <w:p w14:paraId="56BE8586">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（2）具有良好的商业信誉和健全的财务会计制度（提供2023年度或2024年度的财务报表，或投标截止时间前六个月内银行出具的资信证明）；</w:t>
      </w:r>
    </w:p>
    <w:p w14:paraId="12F06903">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（3）具有履行合同所必需的设备和专业技术能力（供应商根据履行采购项目合同需要，提供履行合同所必需的设备和专业技术能力的证明材料）；</w:t>
      </w:r>
    </w:p>
    <w:p w14:paraId="712BD6BB">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缴纳社会保险的凭据），依法享受免缴、缓缴的，提供证明材料；</w:t>
      </w:r>
    </w:p>
    <w:p w14:paraId="6A9079D2">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（5）参加政府采购活动前三年内，在经营活动中没有重大违法记录（提供承诺书）；</w:t>
      </w:r>
    </w:p>
    <w:p w14:paraId="1D8EE31B">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（6）法律、行政法规规定的其他条件：无。</w:t>
      </w:r>
    </w:p>
    <w:p w14:paraId="006364D5">
      <w:pPr>
        <w:spacing w:line="360" w:lineRule="auto"/>
        <w:ind w:firstLine="454"/>
        <w:jc w:val="left"/>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2.2落实政府采购政策需满足的资格要求：本项目非专门面向中小企业（或监狱企业或残疾人福利性单位）采购。</w:t>
      </w:r>
    </w:p>
    <w:p w14:paraId="3543810B">
      <w:pPr>
        <w:spacing w:line="360" w:lineRule="auto"/>
        <w:ind w:firstLine="458"/>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2.3采购人根据采购项目的特殊要求规定的特定条件，并提供符合特殊要求的证明</w:t>
      </w:r>
      <w:r>
        <w:rPr>
          <w:rFonts w:hint="eastAsia" w:ascii="宋体" w:hAnsi="宋体" w:eastAsia="宋体" w:cs="宋体"/>
          <w:b/>
          <w:szCs w:val="21"/>
          <w:highlight w:val="none"/>
        </w:rPr>
        <w:t>材料或者情况</w:t>
      </w:r>
      <w:r>
        <w:rPr>
          <w:rFonts w:hint="eastAsia" w:ascii="宋体" w:hAnsi="宋体" w:eastAsia="宋体" w:cs="宋体"/>
          <w:b/>
          <w:spacing w:val="8"/>
          <w:szCs w:val="21"/>
          <w:highlight w:val="none"/>
        </w:rPr>
        <w:t>说明：</w:t>
      </w:r>
    </w:p>
    <w:p w14:paraId="35B32879">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1.未被“信用中国”网站（www.creditchina.gov.cn）</w:t>
      </w:r>
      <w:r>
        <w:rPr>
          <w:rFonts w:hint="eastAsia" w:ascii="宋体" w:hAnsi="宋体" w:cs="宋体"/>
          <w:b/>
          <w:szCs w:val="21"/>
          <w:highlight w:val="none"/>
          <w:lang w:eastAsia="zh-CN"/>
        </w:rPr>
        <w:t>“</w:t>
      </w:r>
      <w:r>
        <w:rPr>
          <w:rFonts w:hint="eastAsia" w:ascii="宋体" w:hAnsi="宋体" w:cs="宋体"/>
          <w:b/>
          <w:szCs w:val="21"/>
          <w:highlight w:val="none"/>
          <w:lang w:val="en-US" w:eastAsia="zh-CN"/>
        </w:rPr>
        <w:t>中国政府采购网</w:t>
      </w:r>
      <w:r>
        <w:rPr>
          <w:rFonts w:hint="eastAsia" w:ascii="宋体" w:hAnsi="宋体" w:cs="宋体"/>
          <w:b/>
          <w:szCs w:val="21"/>
          <w:highlight w:val="none"/>
          <w:lang w:eastAsia="zh-CN"/>
        </w:rPr>
        <w:t>”</w:t>
      </w:r>
      <w:r>
        <w:rPr>
          <w:rFonts w:hint="eastAsia" w:ascii="宋体" w:hAnsi="宋体" w:cs="宋体"/>
          <w:b/>
          <w:szCs w:val="21"/>
          <w:highlight w:val="none"/>
          <w:lang w:val="en-US" w:eastAsia="zh-CN"/>
        </w:rPr>
        <w:t>网站（https://www.ccgp.gov.cn/index.shtml）</w:t>
      </w:r>
      <w:r>
        <w:rPr>
          <w:rFonts w:hint="eastAsia" w:ascii="宋体" w:hAnsi="宋体" w:eastAsia="宋体" w:cs="宋体"/>
          <w:b/>
          <w:szCs w:val="21"/>
          <w:highlight w:val="none"/>
        </w:rPr>
        <w:t>列入失信被执行人、重大税收违法案件当事人名单、政府采购严重失信行为记录名单。</w:t>
      </w:r>
    </w:p>
    <w:p w14:paraId="44C0738A">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2.具备有效的国家《医疗机构执业许可证》。（提供证书复印件加盖公章）</w:t>
      </w:r>
    </w:p>
    <w:p w14:paraId="2DE35CEE">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3.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p>
    <w:p w14:paraId="069AE43E">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2.</w:t>
      </w:r>
      <w:r>
        <w:rPr>
          <w:rFonts w:hint="eastAsia" w:ascii="宋体" w:hAnsi="宋体" w:cs="宋体"/>
          <w:b/>
          <w:szCs w:val="21"/>
          <w:highlight w:val="none"/>
          <w:lang w:val="en-US" w:eastAsia="zh-CN"/>
        </w:rPr>
        <w:t>4</w:t>
      </w:r>
      <w:r>
        <w:rPr>
          <w:rFonts w:hint="eastAsia" w:ascii="宋体" w:hAnsi="宋体" w:eastAsia="宋体" w:cs="宋体"/>
          <w:b/>
          <w:szCs w:val="21"/>
          <w:highlight w:val="none"/>
        </w:rPr>
        <w:t xml:space="preserve"> 拒绝下述供应商参加本次招标活动：</w:t>
      </w:r>
    </w:p>
    <w:p w14:paraId="3C5588D4">
      <w:pPr>
        <w:spacing w:line="360" w:lineRule="auto"/>
        <w:ind w:firstLine="424"/>
        <w:rPr>
          <w:rFonts w:hint="eastAsia" w:ascii="宋体" w:hAnsi="宋体" w:eastAsia="宋体" w:cs="宋体"/>
          <w:bCs/>
          <w:szCs w:val="21"/>
          <w:highlight w:val="none"/>
        </w:rPr>
      </w:pPr>
      <w:r>
        <w:rPr>
          <w:rFonts w:hint="eastAsia" w:ascii="宋体" w:hAnsi="宋体" w:eastAsia="宋体" w:cs="宋体"/>
          <w:bCs/>
          <w:szCs w:val="21"/>
          <w:highlight w:val="none"/>
        </w:rPr>
        <w:t>（1）单位负责人为同一人或者存在直接控股、管理关系的不同供应商，不得参加同一合同项下的政府采购活动。</w:t>
      </w:r>
    </w:p>
    <w:p w14:paraId="383AA51A">
      <w:pPr>
        <w:spacing w:line="360" w:lineRule="auto"/>
        <w:ind w:firstLine="420"/>
        <w:rPr>
          <w:rFonts w:hint="eastAsia" w:ascii="宋体" w:hAnsi="宋体" w:eastAsia="宋体" w:cs="宋体"/>
          <w:bCs/>
          <w:szCs w:val="21"/>
          <w:highlight w:val="none"/>
        </w:rPr>
      </w:pPr>
    </w:p>
    <w:p w14:paraId="5F06F689">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三、获取招标文件</w:t>
      </w:r>
    </w:p>
    <w:p w14:paraId="02EC92F5">
      <w:pPr>
        <w:widowControl/>
        <w:shd w:val="clear" w:color="auto" w:fill="FFFFFF"/>
        <w:spacing w:line="360" w:lineRule="auto"/>
        <w:ind w:firstLine="454"/>
        <w:jc w:val="left"/>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3.1时间：自磋商文件公告发布之日起5个工作日。</w:t>
      </w:r>
    </w:p>
    <w:p w14:paraId="7C8E7010">
      <w:pPr>
        <w:widowControl/>
        <w:shd w:val="clear" w:color="auto" w:fill="FFFFFF"/>
        <w:spacing w:line="360" w:lineRule="auto"/>
        <w:ind w:firstLine="454"/>
        <w:jc w:val="left"/>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p>
    <w:p w14:paraId="2794AB5B">
      <w:pPr>
        <w:widowControl/>
        <w:shd w:val="clear" w:color="auto" w:fill="FFFFFF"/>
        <w:spacing w:line="360" w:lineRule="auto"/>
        <w:ind w:firstLine="454"/>
        <w:jc w:val="left"/>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075B86ED">
      <w:pPr>
        <w:widowControl/>
        <w:shd w:val="clear" w:color="auto" w:fill="FFFFFF"/>
        <w:spacing w:line="360" w:lineRule="auto"/>
        <w:ind w:firstLine="454"/>
        <w:jc w:val="left"/>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3.4</w:t>
      </w:r>
      <w:r>
        <w:rPr>
          <w:rFonts w:hint="eastAsia" w:ascii="宋体" w:hAnsi="宋体" w:eastAsia="宋体" w:cs="宋体"/>
          <w:b w:val="0"/>
          <w:bCs w:val="0"/>
          <w:spacing w:val="8"/>
          <w:szCs w:val="21"/>
          <w:highlight w:val="none"/>
        </w:rPr>
        <w:t>售价：0.00元</w:t>
      </w:r>
    </w:p>
    <w:p w14:paraId="6F5AC13E">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四、提交投标文件截止时间、开标时间和地点</w:t>
      </w:r>
    </w:p>
    <w:p w14:paraId="29E887DB">
      <w:pPr>
        <w:widowControl/>
        <w:spacing w:line="360" w:lineRule="auto"/>
        <w:ind w:firstLine="370"/>
        <w:rPr>
          <w:rFonts w:hint="eastAsia" w:ascii="宋体" w:hAnsi="宋体" w:eastAsia="宋体" w:cs="宋体"/>
          <w:spacing w:val="8"/>
          <w:szCs w:val="21"/>
          <w:highlight w:val="none"/>
        </w:rPr>
      </w:pPr>
      <w:r>
        <w:rPr>
          <w:rFonts w:hint="eastAsia" w:ascii="宋体" w:hAnsi="宋体" w:eastAsia="宋体" w:cs="宋体"/>
          <w:spacing w:val="8"/>
          <w:szCs w:val="21"/>
          <w:highlight w:val="none"/>
        </w:rPr>
        <w:t>4.1</w:t>
      </w:r>
      <w:r>
        <w:rPr>
          <w:rFonts w:hint="eastAsia" w:ascii="宋体" w:hAnsi="宋体" w:eastAsia="宋体" w:cs="宋体"/>
          <w:spacing w:val="15"/>
          <w:szCs w:val="21"/>
          <w:highlight w:val="none"/>
          <w:shd w:val="clear" w:color="auto" w:fill="FFFFFF"/>
        </w:rPr>
        <w:t>提交投标文件截止时间、开标时间：</w:t>
      </w:r>
      <w:r>
        <w:rPr>
          <w:rFonts w:hint="eastAsia" w:ascii="宋体" w:hAnsi="宋体" w:cs="宋体"/>
          <w:b/>
          <w:bCs/>
          <w:highlight w:val="none"/>
          <w:lang w:eastAsia="zh-CN"/>
        </w:rPr>
        <w:t>2026</w:t>
      </w:r>
      <w:r>
        <w:rPr>
          <w:rFonts w:hint="eastAsia" w:ascii="宋体" w:hAnsi="宋体" w:eastAsia="宋体" w:cs="宋体"/>
          <w:b/>
          <w:bCs/>
          <w:spacing w:val="8"/>
          <w:szCs w:val="21"/>
          <w:highlight w:val="none"/>
        </w:rPr>
        <w:t>年</w:t>
      </w:r>
      <w:r>
        <w:rPr>
          <w:rFonts w:hint="eastAsia" w:ascii="宋体" w:hAnsi="宋体" w:cs="宋体"/>
          <w:b/>
          <w:bCs/>
          <w:spacing w:val="8"/>
          <w:szCs w:val="21"/>
          <w:highlight w:val="none"/>
          <w:lang w:val="en-US" w:eastAsia="zh-CN"/>
        </w:rPr>
        <w:t xml:space="preserve"> 03</w:t>
      </w:r>
      <w:r>
        <w:rPr>
          <w:rFonts w:hint="eastAsia" w:ascii="宋体" w:hAnsi="宋体" w:eastAsia="宋体" w:cs="宋体"/>
          <w:b/>
          <w:bCs/>
          <w:spacing w:val="8"/>
          <w:szCs w:val="21"/>
          <w:highlight w:val="none"/>
        </w:rPr>
        <w:t>月</w:t>
      </w:r>
      <w:r>
        <w:rPr>
          <w:rFonts w:hint="eastAsia" w:ascii="宋体" w:hAnsi="宋体" w:cs="宋体"/>
          <w:b/>
          <w:bCs/>
          <w:spacing w:val="8"/>
          <w:szCs w:val="21"/>
          <w:highlight w:val="none"/>
          <w:lang w:val="en-US" w:eastAsia="zh-CN"/>
        </w:rPr>
        <w:t xml:space="preserve"> 23</w:t>
      </w:r>
      <w:r>
        <w:rPr>
          <w:rFonts w:hint="eastAsia" w:ascii="宋体" w:hAnsi="宋体" w:eastAsia="宋体" w:cs="宋体"/>
          <w:b/>
          <w:bCs/>
          <w:spacing w:val="8"/>
          <w:szCs w:val="21"/>
          <w:highlight w:val="none"/>
        </w:rPr>
        <w:t>日</w:t>
      </w:r>
      <w:r>
        <w:rPr>
          <w:rFonts w:hint="eastAsia" w:ascii="宋体" w:hAnsi="宋体" w:cs="宋体"/>
          <w:b/>
          <w:bCs/>
          <w:highlight w:val="none"/>
          <w:lang w:val="en-US" w:eastAsia="zh-CN"/>
        </w:rPr>
        <w:t>09</w:t>
      </w:r>
      <w:r>
        <w:rPr>
          <w:rFonts w:hint="eastAsia" w:ascii="宋体" w:hAnsi="宋体" w:eastAsia="宋体" w:cs="宋体"/>
          <w:b/>
          <w:bCs/>
          <w:spacing w:val="8"/>
          <w:szCs w:val="21"/>
          <w:highlight w:val="none"/>
        </w:rPr>
        <w:t>点</w:t>
      </w:r>
      <w:r>
        <w:rPr>
          <w:rFonts w:hint="eastAsia" w:ascii="宋体" w:hAnsi="宋体" w:cs="宋体"/>
          <w:b/>
          <w:bCs/>
          <w:highlight w:val="none"/>
          <w:lang w:val="en-US" w:eastAsia="zh-CN"/>
        </w:rPr>
        <w:t>3</w:t>
      </w:r>
      <w:r>
        <w:rPr>
          <w:rFonts w:hint="eastAsia" w:ascii="宋体" w:hAnsi="宋体" w:eastAsia="宋体" w:cs="宋体"/>
          <w:b/>
          <w:bCs/>
          <w:highlight w:val="none"/>
        </w:rPr>
        <w:t>0</w:t>
      </w:r>
      <w:r>
        <w:rPr>
          <w:rFonts w:hint="eastAsia" w:ascii="宋体" w:hAnsi="宋体" w:eastAsia="宋体" w:cs="宋体"/>
          <w:b/>
          <w:bCs/>
          <w:spacing w:val="8"/>
          <w:szCs w:val="21"/>
          <w:highlight w:val="none"/>
        </w:rPr>
        <w:t>分</w:t>
      </w:r>
      <w:r>
        <w:rPr>
          <w:rFonts w:hint="eastAsia" w:ascii="宋体" w:hAnsi="宋体" w:eastAsia="宋体" w:cs="宋体"/>
          <w:spacing w:val="8"/>
          <w:szCs w:val="21"/>
          <w:highlight w:val="none"/>
        </w:rPr>
        <w:t>（北京时间）</w:t>
      </w:r>
    </w:p>
    <w:p w14:paraId="5FFBCB3C">
      <w:pPr>
        <w:pStyle w:val="43"/>
        <w:spacing w:before="0" w:beforeAutospacing="0" w:after="0" w:afterAutospacing="0" w:line="360" w:lineRule="auto"/>
        <w:ind w:firstLine="375"/>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4.2提交投标文件地点：江苏省政府采购管理交易系统（苏采云）（以下简称“苏采云”）（网址： http://jszfcg.jsczt.cn/）</w:t>
      </w:r>
    </w:p>
    <w:p w14:paraId="61A56A0F">
      <w:pPr>
        <w:pStyle w:val="43"/>
        <w:spacing w:before="0" w:beforeAutospacing="0" w:after="0" w:afterAutospacing="0" w:line="360" w:lineRule="auto"/>
        <w:ind w:firstLine="375"/>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4.3开标地点：“苏采云”网上开标大厅。</w:t>
      </w:r>
    </w:p>
    <w:p w14:paraId="0ED5EE53">
      <w:pPr>
        <w:widowControl/>
        <w:spacing w:line="360" w:lineRule="auto"/>
        <w:ind w:firstLine="370"/>
        <w:rPr>
          <w:rFonts w:hint="eastAsia" w:ascii="宋体" w:hAnsi="宋体" w:eastAsia="宋体" w:cs="宋体"/>
          <w:spacing w:val="8"/>
          <w:szCs w:val="21"/>
          <w:highlight w:val="none"/>
        </w:rPr>
      </w:pPr>
    </w:p>
    <w:p w14:paraId="4BBF6E4C">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五、公告期限</w:t>
      </w:r>
    </w:p>
    <w:p w14:paraId="7F858BEC">
      <w:pPr>
        <w:widowControl/>
        <w:spacing w:line="360" w:lineRule="auto"/>
        <w:ind w:firstLine="370"/>
        <w:rPr>
          <w:rFonts w:hint="eastAsia" w:ascii="宋体" w:hAnsi="宋体" w:eastAsia="宋体" w:cs="宋体"/>
          <w:spacing w:val="8"/>
          <w:szCs w:val="21"/>
          <w:highlight w:val="none"/>
        </w:rPr>
      </w:pPr>
      <w:r>
        <w:rPr>
          <w:rFonts w:hint="eastAsia" w:ascii="宋体" w:hAnsi="宋体" w:eastAsia="宋体" w:cs="宋体"/>
          <w:spacing w:val="8"/>
          <w:szCs w:val="21"/>
          <w:highlight w:val="none"/>
        </w:rPr>
        <w:t>自本公告发布之日起5个工作日。</w:t>
      </w:r>
    </w:p>
    <w:p w14:paraId="217DA730">
      <w:pPr>
        <w:widowControl/>
        <w:spacing w:line="360" w:lineRule="auto"/>
        <w:ind w:firstLine="370"/>
        <w:rPr>
          <w:rFonts w:hint="eastAsia" w:ascii="宋体" w:hAnsi="宋体" w:eastAsia="宋体" w:cs="宋体"/>
          <w:spacing w:val="8"/>
          <w:szCs w:val="21"/>
          <w:highlight w:val="none"/>
        </w:rPr>
      </w:pPr>
    </w:p>
    <w:p w14:paraId="4427EA87">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六、其他补充事宜</w:t>
      </w:r>
    </w:p>
    <w:p w14:paraId="37A67483">
      <w:pPr>
        <w:widowControl/>
        <w:shd w:val="clear" w:color="auto" w:fill="FFFFFF" w:themeFill="background1"/>
        <w:spacing w:line="360" w:lineRule="auto"/>
        <w:ind w:firstLine="363"/>
        <w:rPr>
          <w:rFonts w:hint="eastAsia" w:ascii="宋体" w:hAnsi="宋体" w:eastAsia="宋体" w:cs="宋体"/>
          <w:szCs w:val="21"/>
          <w:highlight w:val="none"/>
          <w:lang w:val="zh-CN"/>
        </w:rPr>
      </w:pPr>
      <w:r>
        <w:rPr>
          <w:rFonts w:hint="eastAsia" w:ascii="宋体" w:hAnsi="宋体" w:eastAsia="宋体" w:cs="宋体"/>
          <w:szCs w:val="21"/>
          <w:highlight w:val="none"/>
          <w:lang w:val="zh-CN"/>
        </w:rPr>
        <w:t>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南京公共采购信息网</w:t>
      </w:r>
      <w:r>
        <w:rPr>
          <w:rFonts w:hint="eastAsia" w:ascii="宋体" w:hAnsi="宋体" w:eastAsia="宋体" w:cs="宋体"/>
          <w:b/>
          <w:bCs/>
          <w:highlight w:val="none"/>
        </w:rPr>
        <w:t>、</w:t>
      </w:r>
      <w:r>
        <w:rPr>
          <w:rFonts w:hint="eastAsia" w:ascii="宋体" w:hAnsi="宋体" w:eastAsia="宋体" w:cs="宋体"/>
          <w:b/>
          <w:bCs/>
          <w:szCs w:val="21"/>
          <w:highlight w:val="none"/>
          <w:lang w:val="zh-CN"/>
        </w:rPr>
        <w:t>江苏政府采购网、</w:t>
      </w:r>
      <w:r>
        <w:rPr>
          <w:rFonts w:hint="eastAsia" w:ascii="宋体" w:hAnsi="宋体" w:eastAsia="宋体" w:cs="宋体"/>
          <w:b/>
          <w:bCs/>
          <w:szCs w:val="21"/>
          <w:highlight w:val="none"/>
        </w:rPr>
        <w:t>中国政府采购网</w:t>
      </w:r>
      <w:r>
        <w:rPr>
          <w:rFonts w:hint="eastAsia" w:ascii="宋体" w:hAnsi="宋体" w:eastAsia="宋体" w:cs="宋体"/>
          <w:szCs w:val="21"/>
          <w:highlight w:val="none"/>
          <w:lang w:val="zh-CN"/>
        </w:rPr>
        <w:t>网站发布公告。</w:t>
      </w:r>
    </w:p>
    <w:p w14:paraId="3C7C190E">
      <w:pPr>
        <w:widowControl/>
        <w:shd w:val="clear" w:color="auto" w:fill="FFFFFF" w:themeFill="background1"/>
        <w:spacing w:line="360" w:lineRule="auto"/>
        <w:ind w:firstLine="363"/>
        <w:rPr>
          <w:rFonts w:hint="eastAsia" w:ascii="宋体" w:hAnsi="宋体" w:eastAsia="宋体" w:cs="宋体"/>
          <w:bCs/>
          <w:szCs w:val="21"/>
          <w:highlight w:val="none"/>
        </w:rPr>
      </w:pPr>
      <w:r>
        <w:rPr>
          <w:rFonts w:hint="eastAsia" w:ascii="宋体" w:hAnsi="宋体" w:eastAsia="宋体" w:cs="宋体"/>
          <w:szCs w:val="21"/>
          <w:highlight w:val="none"/>
          <w:lang w:val="zh-CN"/>
        </w:rPr>
        <w:t>6.</w:t>
      </w:r>
      <w:r>
        <w:rPr>
          <w:rFonts w:hint="eastAsia" w:ascii="宋体" w:hAnsi="宋体" w:eastAsia="宋体" w:cs="宋体"/>
          <w:szCs w:val="21"/>
          <w:highlight w:val="none"/>
        </w:rPr>
        <w:t>2</w:t>
      </w:r>
      <w:r>
        <w:rPr>
          <w:rFonts w:hint="eastAsia" w:ascii="宋体" w:hAnsi="宋体" w:eastAsia="宋体" w:cs="宋体"/>
          <w:bCs/>
          <w:szCs w:val="21"/>
          <w:highlight w:val="none"/>
        </w:rPr>
        <w:t>勘察现场：无。</w:t>
      </w:r>
    </w:p>
    <w:p w14:paraId="6636A30D">
      <w:pPr>
        <w:widowControl/>
        <w:shd w:val="clear" w:color="auto" w:fill="FFFFFF" w:themeFill="background1"/>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450DB6B">
      <w:pPr>
        <w:pStyle w:val="2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操作手册下载地址：http://www.ccgp-jiangsu.gov.cn/jiangsu/zlxz/ee/ee3a4bc5a3454aa2b0d9312230633ce9.html</w:t>
      </w:r>
    </w:p>
    <w:p w14:paraId="22C02A40">
      <w:pPr>
        <w:pStyle w:val="2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首次登录“苏采云”系统的新用户，登录网址后，点击“用户注册”--“新CA办理指南”--获取CA后绑定、登录系统--采购项目参与--下载采购文件（文件后缀名为“.kedt”）。</w:t>
      </w:r>
    </w:p>
    <w:p w14:paraId="10D2E549">
      <w:pPr>
        <w:pStyle w:val="2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“苏采云”南京地区客服热线025-83633744、025-83633743。</w:t>
      </w:r>
    </w:p>
    <w:p w14:paraId="72B1549D">
      <w:pPr>
        <w:pStyle w:val="211"/>
        <w:spacing w:line="360" w:lineRule="auto"/>
        <w:rPr>
          <w:rFonts w:hint="eastAsia" w:ascii="宋体" w:hAnsi="宋体" w:eastAsia="宋体" w:cs="宋体"/>
          <w:highlight w:val="none"/>
        </w:rPr>
      </w:pPr>
      <w:r>
        <w:rPr>
          <w:rFonts w:hint="eastAsia" w:ascii="宋体" w:hAnsi="宋体" w:eastAsia="宋体" w:cs="宋体"/>
          <w:bCs/>
          <w:szCs w:val="21"/>
          <w:highlight w:val="none"/>
        </w:rPr>
        <w:t>有关本次招标的事项若存在变动或修改，请及时关注“江苏政府采购网”（www.ccgp-jiangsu.gov.cn）更正公告。</w:t>
      </w:r>
    </w:p>
    <w:p w14:paraId="7FE9D80B">
      <w:pPr>
        <w:widowControl/>
        <w:shd w:val="clear" w:color="auto" w:fill="FFFFFF" w:themeFill="background1"/>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6.</w:t>
      </w:r>
      <w:r>
        <w:rPr>
          <w:rFonts w:hint="eastAsia" w:ascii="宋体" w:hAnsi="宋体" w:eastAsia="宋体" w:cs="宋体"/>
          <w:b/>
          <w:bCs/>
          <w:szCs w:val="21"/>
          <w:highlight w:val="none"/>
        </w:rPr>
        <w:t>4政府采购信用承诺</w:t>
      </w:r>
    </w:p>
    <w:p w14:paraId="54A19284">
      <w:pPr>
        <w:widowControl/>
        <w:spacing w:line="360" w:lineRule="auto"/>
        <w:ind w:firstLine="363"/>
        <w:jc w:val="left"/>
        <w:rPr>
          <w:rFonts w:hint="eastAsia" w:ascii="宋体" w:hAnsi="宋体" w:eastAsia="宋体" w:cs="宋体"/>
          <w:szCs w:val="21"/>
          <w:highlight w:val="none"/>
        </w:rPr>
      </w:pPr>
      <w:r>
        <w:rPr>
          <w:rFonts w:hint="eastAsia" w:ascii="宋体" w:hAnsi="宋体" w:eastAsia="宋体" w:cs="宋体"/>
          <w:szCs w:val="21"/>
          <w:highlight w:val="none"/>
          <w:lang w:val="zh-CN"/>
        </w:rPr>
        <w:t>根据《关于在政府采购活动中推行信用承诺制的通知》宁财购通〔2021〕5号规定，</w:t>
      </w:r>
      <w:r>
        <w:rPr>
          <w:rFonts w:hint="eastAsia" w:ascii="宋体" w:hAnsi="宋体" w:eastAsia="宋体" w:cs="宋体"/>
          <w:szCs w:val="21"/>
          <w:highlight w:val="none"/>
        </w:rPr>
        <w:t>参加</w:t>
      </w:r>
      <w:r>
        <w:rPr>
          <w:rFonts w:hint="eastAsia" w:ascii="宋体" w:hAnsi="宋体" w:eastAsia="宋体" w:cs="宋体"/>
          <w:szCs w:val="21"/>
          <w:highlight w:val="none"/>
          <w:lang w:val="zh-CN"/>
        </w:rPr>
        <w:t>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首页</w:t>
      </w:r>
      <w:r>
        <w:rPr>
          <w:rFonts w:hint="eastAsia" w:ascii="宋体" w:hAnsi="宋体" w:eastAsia="宋体" w:cs="宋体"/>
          <w:szCs w:val="21"/>
          <w:highlight w:val="none"/>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由</w:t>
      </w:r>
      <w:r>
        <w:rPr>
          <w:rFonts w:hint="eastAsia" w:ascii="宋体" w:hAnsi="宋体" w:eastAsia="宋体" w:cs="宋体"/>
          <w:b/>
          <w:bCs/>
          <w:szCs w:val="21"/>
          <w:highlight w:val="none"/>
        </w:rPr>
        <w:t>法定代表人</w:t>
      </w:r>
      <w:r>
        <w:rPr>
          <w:rFonts w:hint="eastAsia" w:ascii="宋体" w:hAnsi="宋体" w:eastAsia="宋体" w:cs="宋体"/>
          <w:b/>
          <w:bCs/>
          <w:szCs w:val="21"/>
          <w:highlight w:val="none"/>
          <w:lang w:val="zh-CN"/>
        </w:rPr>
        <w:t>签字并盖单位公章，</w:t>
      </w:r>
      <w:r>
        <w:rPr>
          <w:rFonts w:hint="eastAsia" w:ascii="宋体" w:hAnsi="宋体" w:eastAsia="宋体" w:cs="宋体"/>
          <w:b/>
          <w:bCs/>
          <w:szCs w:val="21"/>
          <w:highlight w:val="none"/>
        </w:rPr>
        <w:t>随响应文件一并递交。</w:t>
      </w:r>
      <w:r>
        <w:rPr>
          <w:rFonts w:hint="eastAsia" w:ascii="宋体" w:hAnsi="宋体" w:eastAsia="宋体" w:cs="宋体"/>
          <w:b/>
          <w:szCs w:val="21"/>
          <w:highlight w:val="none"/>
        </w:rPr>
        <w:t>“《南京市政府采购供应商信用记录表暨信用承诺书》”在线打印时间要求：必须是在采购文件发布之日起至提交响应文件截止时间前。</w:t>
      </w:r>
    </w:p>
    <w:p w14:paraId="56A31685">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供应商涉及以下情形的，不适用信用承诺： </w:t>
      </w:r>
    </w:p>
    <w:p w14:paraId="766BAAE3">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（1）供应商被列入严重失信主体名单； </w:t>
      </w:r>
    </w:p>
    <w:p w14:paraId="27619B90">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（2）被相关监管部门作出行政处罚且尚在处罚有效期内； </w:t>
      </w:r>
    </w:p>
    <w:p w14:paraId="6210B535">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（3）其他法律、行政法规规定的不适用信用承诺的情形。 </w:t>
      </w:r>
    </w:p>
    <w:p w14:paraId="50D07E3B">
      <w:pPr>
        <w:widowControl/>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供应商对信用承诺内容的真实性、合法性、有效性负责。如作出虚假信用承诺，视同为“提供虚假材料谋取中标、成交”的违法行为。</w:t>
      </w:r>
    </w:p>
    <w:p w14:paraId="70B6291E">
      <w:pPr>
        <w:pStyle w:val="207"/>
        <w:rPr>
          <w:rFonts w:hint="eastAsia" w:ascii="宋体" w:hAnsi="宋体" w:eastAsia="宋体" w:cs="宋体"/>
          <w:highlight w:val="none"/>
        </w:rPr>
      </w:pPr>
    </w:p>
    <w:p w14:paraId="262EF237">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七、对本次招标提出询问，请按以下方式联系</w:t>
      </w:r>
    </w:p>
    <w:p w14:paraId="61C675CF">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7.1采购人信息</w:t>
      </w:r>
    </w:p>
    <w:p w14:paraId="3F7C8E4C">
      <w:pPr>
        <w:widowControl/>
        <w:spacing w:line="360" w:lineRule="auto"/>
        <w:ind w:firstLine="363"/>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名称：南京市公安局江宁分局</w:t>
      </w:r>
    </w:p>
    <w:p w14:paraId="7E855FBC">
      <w:pPr>
        <w:widowControl/>
        <w:spacing w:line="360" w:lineRule="auto"/>
        <w:ind w:firstLine="363"/>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地址：</w:t>
      </w:r>
      <w:r>
        <w:rPr>
          <w:rFonts w:hint="eastAsia" w:ascii="宋体" w:hAnsi="宋体" w:eastAsia="宋体" w:cs="宋体"/>
          <w:bCs/>
          <w:szCs w:val="21"/>
          <w:highlight w:val="none"/>
        </w:rPr>
        <w:t>南京市江宁区天印大道2020号</w:t>
      </w:r>
    </w:p>
    <w:p w14:paraId="040ADDEC">
      <w:pPr>
        <w:widowControl/>
        <w:spacing w:line="360" w:lineRule="auto"/>
        <w:ind w:firstLine="363"/>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联系人：</w:t>
      </w:r>
      <w:r>
        <w:rPr>
          <w:rFonts w:hint="eastAsia" w:ascii="宋体" w:hAnsi="宋体" w:eastAsia="宋体" w:cs="宋体"/>
          <w:bCs/>
          <w:szCs w:val="21"/>
          <w:highlight w:val="none"/>
          <w:lang w:val="en-US" w:eastAsia="zh-CN"/>
        </w:rPr>
        <w:t>马主任</w:t>
      </w:r>
    </w:p>
    <w:p w14:paraId="112AF72D">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lang w:val="zh-CN"/>
        </w:rPr>
        <w:t>联系电话：</w:t>
      </w:r>
      <w:r>
        <w:rPr>
          <w:rFonts w:hint="eastAsia" w:ascii="宋体" w:hAnsi="宋体" w:eastAsia="宋体" w:cs="宋体"/>
          <w:bCs/>
          <w:szCs w:val="21"/>
          <w:highlight w:val="none"/>
          <w:lang w:val="en-US" w:eastAsia="zh-CN"/>
        </w:rPr>
        <w:t>/</w:t>
      </w:r>
    </w:p>
    <w:p w14:paraId="13C56B25">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7.2采购代理机构信息</w:t>
      </w:r>
    </w:p>
    <w:p w14:paraId="12FBF77E">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名称：</w:t>
      </w:r>
      <w:r>
        <w:rPr>
          <w:rFonts w:hint="eastAsia" w:ascii="宋体" w:hAnsi="宋体" w:eastAsia="宋体" w:cs="宋体"/>
          <w:bCs/>
          <w:szCs w:val="21"/>
          <w:highlight w:val="none"/>
          <w:lang w:eastAsia="zh-CN"/>
        </w:rPr>
        <w:t>南京陵新项目管理有限公司</w:t>
      </w:r>
    </w:p>
    <w:p w14:paraId="4CE96C13">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联系人：</w:t>
      </w:r>
      <w:r>
        <w:rPr>
          <w:rFonts w:hint="eastAsia" w:ascii="宋体" w:hAnsi="宋体" w:cs="宋体"/>
          <w:bCs/>
          <w:szCs w:val="21"/>
          <w:highlight w:val="none"/>
          <w:lang w:eastAsia="zh-CN"/>
        </w:rPr>
        <w:t>艾工</w:t>
      </w:r>
    </w:p>
    <w:p w14:paraId="0A70BD2A">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联系方式：</w:t>
      </w:r>
      <w:r>
        <w:rPr>
          <w:rFonts w:hint="eastAsia" w:ascii="宋体" w:hAnsi="宋体" w:cs="宋体"/>
          <w:bCs/>
          <w:szCs w:val="21"/>
          <w:highlight w:val="none"/>
          <w:lang w:eastAsia="zh-CN"/>
        </w:rPr>
        <w:t>17327715917</w:t>
      </w:r>
    </w:p>
    <w:p w14:paraId="35556153">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地址：</w:t>
      </w:r>
      <w:r>
        <w:rPr>
          <w:rFonts w:hint="eastAsia" w:ascii="宋体" w:hAnsi="宋体" w:eastAsia="宋体" w:cs="宋体"/>
          <w:bCs/>
          <w:szCs w:val="21"/>
          <w:highlight w:val="none"/>
          <w:lang w:eastAsia="zh-CN"/>
        </w:rPr>
        <w:t>南京市江宁区龙眠大道568号MAX科技园9幢B座</w:t>
      </w:r>
      <w:r>
        <w:rPr>
          <w:rFonts w:hint="eastAsia" w:ascii="宋体" w:hAnsi="宋体" w:eastAsia="宋体" w:cs="宋体"/>
          <w:bCs/>
          <w:szCs w:val="21"/>
          <w:highlight w:val="none"/>
        </w:rPr>
        <w:t xml:space="preserve"> </w:t>
      </w:r>
    </w:p>
    <w:p w14:paraId="3B6D0043">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7.3项目联系方式</w:t>
      </w:r>
    </w:p>
    <w:p w14:paraId="7052A9EA">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联系人：</w:t>
      </w:r>
      <w:r>
        <w:rPr>
          <w:rFonts w:hint="eastAsia" w:ascii="宋体" w:hAnsi="宋体" w:cs="宋体"/>
          <w:bCs/>
          <w:szCs w:val="21"/>
          <w:highlight w:val="none"/>
          <w:lang w:eastAsia="zh-CN"/>
        </w:rPr>
        <w:t>艾工</w:t>
      </w:r>
    </w:p>
    <w:p w14:paraId="1E08C48D">
      <w:pPr>
        <w:widowControl/>
        <w:spacing w:line="360" w:lineRule="auto"/>
        <w:ind w:firstLine="363"/>
        <w:rPr>
          <w:rFonts w:hint="eastAsia" w:ascii="宋体" w:hAnsi="宋体" w:eastAsia="宋体" w:cs="宋体"/>
          <w:highlight w:val="none"/>
        </w:rPr>
      </w:pPr>
      <w:r>
        <w:rPr>
          <w:rFonts w:hint="eastAsia" w:ascii="宋体" w:hAnsi="宋体" w:eastAsia="宋体" w:cs="宋体"/>
          <w:bCs/>
          <w:szCs w:val="21"/>
          <w:highlight w:val="none"/>
        </w:rPr>
        <w:t>电话：</w:t>
      </w:r>
      <w:r>
        <w:rPr>
          <w:rFonts w:hint="eastAsia" w:ascii="宋体" w:hAnsi="宋体" w:cs="宋体"/>
          <w:spacing w:val="8"/>
          <w:highlight w:val="none"/>
          <w:lang w:eastAsia="zh-CN"/>
        </w:rPr>
        <w:t>17327715917</w:t>
      </w:r>
      <w:r>
        <w:rPr>
          <w:rFonts w:hint="eastAsia" w:ascii="宋体" w:hAnsi="宋体" w:eastAsia="宋体" w:cs="宋体"/>
          <w:highlight w:val="none"/>
        </w:rPr>
        <w:br w:type="page" w:clear="all"/>
      </w:r>
    </w:p>
    <w:p w14:paraId="550FC65A">
      <w:pPr>
        <w:pStyle w:val="2"/>
        <w:spacing w:line="360" w:lineRule="auto"/>
        <w:rPr>
          <w:rFonts w:hint="eastAsia" w:ascii="宋体" w:hAnsi="宋体" w:eastAsia="宋体" w:cs="宋体"/>
          <w:highlight w:val="none"/>
        </w:rPr>
      </w:pPr>
      <w:bookmarkStart w:id="4" w:name="_Toc452625218"/>
      <w:bookmarkStart w:id="5" w:name="_Toc193212820"/>
      <w:r>
        <w:rPr>
          <w:rFonts w:hint="eastAsia" w:ascii="宋体" w:hAnsi="宋体" w:eastAsia="宋体" w:cs="宋体"/>
          <w:highlight w:val="none"/>
        </w:rPr>
        <w:t>投标人须知</w:t>
      </w:r>
      <w:bookmarkEnd w:id="4"/>
      <w:bookmarkEnd w:id="5"/>
    </w:p>
    <w:p w14:paraId="54AB2E73">
      <w:pPr>
        <w:widowControl/>
        <w:shd w:val="clear" w:color="auto" w:fill="FFFFFF"/>
        <w:spacing w:line="360" w:lineRule="auto"/>
        <w:ind w:firstLine="424"/>
        <w:rPr>
          <w:rFonts w:hint="eastAsia" w:ascii="宋体" w:hAnsi="宋体" w:eastAsia="宋体" w:cs="宋体"/>
          <w:szCs w:val="21"/>
          <w:highlight w:val="none"/>
        </w:rPr>
      </w:pPr>
      <w:r>
        <w:rPr>
          <w:rFonts w:hint="eastAsia" w:ascii="宋体" w:hAnsi="宋体" w:eastAsia="宋体" w:cs="宋体"/>
          <w:b/>
          <w:bCs/>
          <w:szCs w:val="21"/>
          <w:highlight w:val="none"/>
        </w:rPr>
        <w:t>一、总 则</w:t>
      </w:r>
    </w:p>
    <w:p w14:paraId="5CAC150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1、适用法律</w:t>
      </w:r>
    </w:p>
    <w:p w14:paraId="1BECB70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EE4347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2、定义</w:t>
      </w:r>
    </w:p>
    <w:p w14:paraId="4FA303D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2.1“采购人”是指依法进行政府采购的国家机关、事业单位、团体组织。</w:t>
      </w:r>
    </w:p>
    <w:p w14:paraId="1DB0F8C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2.2“投标人（供应商）”是指参加投标竞争，并符合招标文件规定资格条件的法人、其他组织或者自然人。</w:t>
      </w:r>
    </w:p>
    <w:p w14:paraId="7ECD2E0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2.3“采购代理机构”是指集中采购机构和集中采购机构以外的采购代理机构，集中采购机构以外的采购代理机构，是从事采购代理业务的社会中介机构。</w:t>
      </w:r>
    </w:p>
    <w:p w14:paraId="7318773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2.4“货物和服务”指本招标文件中所述</w:t>
      </w:r>
      <w:r>
        <w:rPr>
          <w:rFonts w:hint="eastAsia" w:ascii="宋体" w:hAnsi="宋体" w:eastAsia="宋体" w:cs="宋体"/>
          <w:bCs/>
          <w:szCs w:val="21"/>
          <w:highlight w:val="none"/>
        </w:rPr>
        <w:t>产品</w:t>
      </w:r>
      <w:r>
        <w:rPr>
          <w:rFonts w:hint="eastAsia" w:ascii="宋体" w:hAnsi="宋体" w:eastAsia="宋体" w:cs="宋体"/>
          <w:szCs w:val="21"/>
          <w:highlight w:val="none"/>
        </w:rPr>
        <w:t>及相关服务。</w:t>
      </w:r>
    </w:p>
    <w:p w14:paraId="35319F1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2.5“用户或使用单位”是指使用货物，接受服务的单位。</w:t>
      </w:r>
    </w:p>
    <w:p w14:paraId="39FF54D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3、政策功能</w:t>
      </w:r>
    </w:p>
    <w:p w14:paraId="58D8602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F8461D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2B7479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89C8C5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0DAF740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27B15CE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3.6进口产品政策</w:t>
      </w:r>
    </w:p>
    <w:p w14:paraId="1EB5743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（1）除招标公告载明接受进口产品参加外，不允许进口产品参加。进口产品认定依照《财政部关于政府采购进口产品管理有关问题的通知》（财办库〔2008〕248号）的规定。</w:t>
      </w:r>
    </w:p>
    <w:p w14:paraId="155AC96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（2）允许进口产品参加的，满足需求的国内产品可以参加。</w:t>
      </w:r>
    </w:p>
    <w:p w14:paraId="3494DC9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（3）允许进口产品参加的，优先采购向我国企业转让技术、与我国企业签订消化吸收再创新方案的投标人的进口产品。</w:t>
      </w:r>
    </w:p>
    <w:p w14:paraId="785DA96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3.7未按要求提供相关材料的，不享受相关政策。</w:t>
      </w:r>
    </w:p>
    <w:p w14:paraId="712902BA">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
          <w:bCs/>
          <w:szCs w:val="21"/>
          <w:highlight w:val="none"/>
        </w:rPr>
        <w:t>二、招标文件构成</w:t>
      </w:r>
    </w:p>
    <w:p w14:paraId="5F19107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4、招标文件组成</w:t>
      </w:r>
    </w:p>
    <w:p w14:paraId="666E9C0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4.1招标文件包括以下主要内容：</w:t>
      </w:r>
    </w:p>
    <w:p w14:paraId="11F4927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（1）招标公告；</w:t>
      </w:r>
    </w:p>
    <w:p w14:paraId="3C11BE5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（2）投标人须知；</w:t>
      </w:r>
    </w:p>
    <w:p w14:paraId="02C4163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（3）评标标准；</w:t>
      </w:r>
    </w:p>
    <w:p w14:paraId="5904587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（4）采购需求；</w:t>
      </w:r>
    </w:p>
    <w:p w14:paraId="3ADCCBB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（5）合同主要条款及格式；</w:t>
      </w:r>
    </w:p>
    <w:p w14:paraId="729D558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（6）投标文件格式及附件。</w:t>
      </w:r>
    </w:p>
    <w:p w14:paraId="3BD5BB6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如标书制作工具中格式和内容与“南京公共采购信息网/江苏政府采购网/中国政府采购网”发布的招标文件不一致的，以上述网站发布的招标文件为准。</w:t>
      </w:r>
    </w:p>
    <w:p w14:paraId="7736C9F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4.2 招标的最小单位是标包。招标货物（服务）数量及技术要求中未分标包的，投标人对要求提供的货物和服务不得部分投标；招标货物（服务）数量及技术要求中已经分标包的，可以以标包为单位投标。</w:t>
      </w:r>
    </w:p>
    <w:p w14:paraId="6269942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4.3 采购代理机构如果要求投标人按照招标文件规定提交备选投标方案的，投标人可以提交备选方案；否则，备选方案将被拒绝。</w:t>
      </w:r>
    </w:p>
    <w:p w14:paraId="2ED82BE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4.4招标文件中要求的产品品牌或型号，是采购人根据项目所要实现的功能推荐的品牌或型号，仅供投标人参考，并不是限制条件。</w:t>
      </w:r>
    </w:p>
    <w:p w14:paraId="2CEC6B9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5、招标文件的澄清或者修改</w:t>
      </w:r>
    </w:p>
    <w:p w14:paraId="434169F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B3C7ED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DB8E42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5F614C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三、投标文件的编制</w:t>
      </w:r>
    </w:p>
    <w:p w14:paraId="58C24CB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6、投标文件的语言、计量单位、货币和编制</w:t>
      </w:r>
    </w:p>
    <w:p w14:paraId="243D4E1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B6EF90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6.2投标人所使用的计量单位应为国家法定计量单位。</w:t>
      </w:r>
    </w:p>
    <w:p w14:paraId="319803C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6.3投标人应用人民币报价。投标产品如果是进口产品的，应提供人民币与</w:t>
      </w:r>
      <w:r>
        <w:rPr>
          <w:rFonts w:hint="eastAsia" w:ascii="宋体" w:hAnsi="宋体" w:eastAsia="宋体" w:cs="宋体"/>
          <w:b/>
          <w:bCs/>
          <w:szCs w:val="21"/>
          <w:highlight w:val="none"/>
        </w:rPr>
        <w:t>外币之间的汇率。</w:t>
      </w:r>
    </w:p>
    <w:p w14:paraId="6615917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6.4投标文件应按照招标文件的规定编写并制作目录。</w:t>
      </w:r>
    </w:p>
    <w:p w14:paraId="0262E93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6.5投标人应在投标文件中写清相应的项目编号、项目名称、投标人全称、地址、电话、传真等。</w:t>
      </w:r>
    </w:p>
    <w:p w14:paraId="05291572">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Cs/>
          <w:szCs w:val="21"/>
          <w:highlight w:val="none"/>
        </w:rPr>
        <w:t>6.6</w:t>
      </w:r>
      <w:r>
        <w:rPr>
          <w:rFonts w:hint="eastAsia" w:ascii="宋体" w:hAnsi="宋体" w:eastAsia="宋体" w:cs="宋体"/>
          <w:szCs w:val="21"/>
          <w:highlight w:val="none"/>
        </w:rPr>
        <w:t>投标人根据招标文件载明的标的采购项目实际情况，拟在中标后将中标项目的非主体、非关键性工作交由他人完成的，应当在投标文件中载明。</w:t>
      </w:r>
    </w:p>
    <w:p w14:paraId="0A70F095">
      <w:pPr>
        <w:widowControl/>
        <w:numPr>
          <w:ilvl w:val="0"/>
          <w:numId w:val="4"/>
        </w:numPr>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联合体投标</w:t>
      </w:r>
    </w:p>
    <w:p w14:paraId="0228CFA2">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7.1 两个以上的自然人、法人或者其他组织可以组成一个联合体，以一个投标人的身份共同参加政府采购。</w:t>
      </w:r>
    </w:p>
    <w:p w14:paraId="6591803E">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7.2 联合体中有同类资质的投标人按照联合体分工承担相同工作的，按照资质等级较低的投标人确定资质等级。</w:t>
      </w:r>
    </w:p>
    <w:p w14:paraId="643B676B">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7.3 联合体各方之间应当签订联合体协议，明确约定联合体各方承担的工作和相应的责任，并将联合体协议连同投标文件一同提交。</w:t>
      </w:r>
    </w:p>
    <w:p w14:paraId="36E531DA">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7.4 以联合体形式参加政府采购活动的，联合体各方不得再单独参加或者与其他投标人另外组成联合体参加同一合同项下的政府采购活动。</w:t>
      </w:r>
    </w:p>
    <w:p w14:paraId="018D34F9">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
          <w:bCs/>
          <w:szCs w:val="21"/>
          <w:highlight w:val="none"/>
        </w:rPr>
        <w:t>8、投标文件的组成</w:t>
      </w:r>
    </w:p>
    <w:p w14:paraId="1C508E82">
      <w:pPr>
        <w:widowControl/>
        <w:shd w:val="clear" w:color="auto" w:fill="FFFFFF"/>
        <w:spacing w:line="360" w:lineRule="auto"/>
        <w:ind w:firstLine="420"/>
        <w:jc w:val="left"/>
        <w:rPr>
          <w:rFonts w:hint="eastAsia" w:ascii="宋体" w:hAnsi="宋体" w:eastAsia="宋体" w:cs="宋体"/>
          <w:b/>
          <w:szCs w:val="21"/>
          <w:highlight w:val="none"/>
        </w:rPr>
      </w:pPr>
      <w:r>
        <w:rPr>
          <w:rFonts w:hint="eastAsia" w:ascii="宋体" w:hAnsi="宋体" w:eastAsia="宋体" w:cs="宋体"/>
          <w:szCs w:val="21"/>
          <w:highlight w:val="none"/>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对带</w:t>
      </w:r>
      <w:r>
        <w:rPr>
          <w:rFonts w:hint="eastAsia" w:ascii="宋体" w:hAnsi="宋体" w:eastAsia="宋体" w:cs="宋体"/>
          <w:b/>
          <w:bCs/>
          <w:szCs w:val="21"/>
          <w:highlight w:val="none"/>
        </w:rPr>
        <w:t>星号（“</w:t>
      </w:r>
      <w:r>
        <w:rPr>
          <w:rFonts w:hint="eastAsia" w:ascii="宋体" w:hAnsi="宋体" w:eastAsia="宋体" w:cs="宋体"/>
          <w:b/>
          <w:bCs/>
          <w:highlight w:val="none"/>
        </w:rPr>
        <w:t>*</w:t>
      </w:r>
      <w:r>
        <w:rPr>
          <w:rFonts w:hint="eastAsia" w:ascii="宋体" w:hAnsi="宋体" w:eastAsia="宋体" w:cs="宋体"/>
          <w:b/>
          <w:bCs/>
          <w:szCs w:val="21"/>
          <w:highlight w:val="none"/>
        </w:rPr>
        <w:t>”）的技术条款必须在投标文件中提供技术支持资料（如白皮书、彩页、手册、检测报告等），未提供技术支持资料的，视为未对招标文件实质性要求作出响应，评审时不予认可。</w:t>
      </w:r>
    </w:p>
    <w:p w14:paraId="0E85A5AB">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8.2 投标文件由商务、技术、价格以及其他部分内容组成。投标文件目录及有关格式按招标文件“第六章 投标文件格式及附件”的要求编制。</w:t>
      </w:r>
    </w:p>
    <w:p w14:paraId="06979FB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9、投标文件的商务内容</w:t>
      </w:r>
    </w:p>
    <w:p w14:paraId="77AF94C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（1）-（5）所述材料不得有缺失或提供不全或不满足招标文件的实质性要求</w:t>
      </w:r>
      <w:r>
        <w:rPr>
          <w:rFonts w:hint="eastAsia" w:ascii="宋体" w:hAnsi="宋体" w:eastAsia="宋体" w:cs="宋体"/>
          <w:szCs w:val="21"/>
          <w:highlight w:val="none"/>
        </w:rPr>
        <w:t>）：</w:t>
      </w:r>
    </w:p>
    <w:p w14:paraId="57FA1F8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（1）投标函（投标申请及声明）</w:t>
      </w:r>
      <w:r>
        <w:rPr>
          <w:rFonts w:hint="eastAsia" w:ascii="宋体" w:hAnsi="宋体" w:eastAsia="宋体" w:cs="宋体"/>
          <w:bCs/>
          <w:szCs w:val="21"/>
          <w:highlight w:val="none"/>
        </w:rPr>
        <w:t>（</w:t>
      </w:r>
      <w:r>
        <w:rPr>
          <w:rFonts w:hint="eastAsia" w:ascii="宋体" w:hAnsi="宋体" w:eastAsia="宋体" w:cs="宋体"/>
          <w:b/>
          <w:bCs/>
          <w:szCs w:val="21"/>
          <w:highlight w:val="none"/>
        </w:rPr>
        <w:t>格式见第六章</w:t>
      </w:r>
      <w:r>
        <w:rPr>
          <w:rFonts w:hint="eastAsia" w:ascii="宋体" w:hAnsi="宋体" w:eastAsia="宋体" w:cs="宋体"/>
          <w:bCs/>
          <w:szCs w:val="21"/>
          <w:highlight w:val="none"/>
        </w:rPr>
        <w:t>）</w:t>
      </w:r>
      <w:r>
        <w:rPr>
          <w:rFonts w:hint="eastAsia" w:ascii="宋体" w:hAnsi="宋体" w:eastAsia="宋体" w:cs="宋体"/>
          <w:szCs w:val="21"/>
          <w:highlight w:val="none"/>
        </w:rPr>
        <w:t>；</w:t>
      </w:r>
    </w:p>
    <w:p w14:paraId="196300BA">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（2）法人授权书</w:t>
      </w:r>
      <w:r>
        <w:rPr>
          <w:rFonts w:hint="eastAsia" w:ascii="宋体" w:hAnsi="宋体" w:eastAsia="宋体" w:cs="宋体"/>
          <w:bCs/>
          <w:szCs w:val="21"/>
          <w:highlight w:val="none"/>
        </w:rPr>
        <w:t>（</w:t>
      </w:r>
      <w:r>
        <w:rPr>
          <w:rFonts w:hint="eastAsia" w:ascii="宋体" w:hAnsi="宋体" w:eastAsia="宋体" w:cs="宋体"/>
          <w:b/>
          <w:bCs/>
          <w:szCs w:val="21"/>
          <w:highlight w:val="none"/>
        </w:rPr>
        <w:t>格式见第六章</w:t>
      </w:r>
      <w:r>
        <w:rPr>
          <w:rFonts w:hint="eastAsia" w:ascii="宋体" w:hAnsi="宋体" w:eastAsia="宋体" w:cs="宋体"/>
          <w:bCs/>
          <w:szCs w:val="21"/>
          <w:highlight w:val="none"/>
        </w:rPr>
        <w:t>）</w:t>
      </w:r>
      <w:r>
        <w:rPr>
          <w:rFonts w:hint="eastAsia" w:ascii="宋体" w:hAnsi="宋体" w:eastAsia="宋体" w:cs="宋体"/>
          <w:szCs w:val="21"/>
          <w:highlight w:val="none"/>
        </w:rPr>
        <w:t>；</w:t>
      </w:r>
    </w:p>
    <w:p w14:paraId="4A4CB6E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（3）投标人资格资信证明文件：</w:t>
      </w:r>
    </w:p>
    <w:p w14:paraId="5BCD16A8">
      <w:pPr>
        <w:numPr>
          <w:ilvl w:val="1"/>
          <w:numId w:val="5"/>
        </w:numPr>
        <w:tabs>
          <w:tab w:val="left" w:pos="840"/>
        </w:tabs>
        <w:spacing w:line="360" w:lineRule="auto"/>
        <w:ind w:left="0" w:firstLine="368"/>
        <w:rPr>
          <w:rFonts w:hint="eastAsia" w:ascii="宋体" w:hAnsi="宋体" w:eastAsia="宋体" w:cs="宋体"/>
          <w:bCs/>
          <w:szCs w:val="21"/>
          <w:highlight w:val="none"/>
        </w:rPr>
      </w:pPr>
      <w:r>
        <w:rPr>
          <w:rFonts w:hint="eastAsia" w:ascii="宋体" w:hAnsi="宋体" w:eastAsia="宋体" w:cs="宋体"/>
          <w:bCs/>
          <w:szCs w:val="21"/>
          <w:highlight w:val="none"/>
        </w:rPr>
        <w:t>第一章招标公告中 2.1《中华人民共和国政府采购法》规定的资格条件证明文件；</w:t>
      </w:r>
    </w:p>
    <w:p w14:paraId="5EC3099A">
      <w:pPr>
        <w:numPr>
          <w:ilvl w:val="1"/>
          <w:numId w:val="5"/>
        </w:numPr>
        <w:tabs>
          <w:tab w:val="left" w:pos="840"/>
        </w:tabs>
        <w:spacing w:line="360" w:lineRule="auto"/>
        <w:ind w:left="0" w:firstLine="368"/>
        <w:rPr>
          <w:rFonts w:hint="eastAsia" w:ascii="宋体" w:hAnsi="宋体" w:eastAsia="宋体" w:cs="宋体"/>
          <w:bCs/>
          <w:szCs w:val="21"/>
          <w:highlight w:val="none"/>
        </w:rPr>
      </w:pPr>
      <w:r>
        <w:rPr>
          <w:rFonts w:hint="eastAsia" w:ascii="宋体" w:hAnsi="宋体" w:eastAsia="宋体" w:cs="宋体"/>
          <w:bCs/>
          <w:szCs w:val="21"/>
          <w:highlight w:val="none"/>
        </w:rPr>
        <w:t>第一章招标公告中 2.2</w:t>
      </w:r>
      <w:r>
        <w:rPr>
          <w:rFonts w:hint="eastAsia" w:ascii="宋体" w:hAnsi="宋体" w:eastAsia="宋体" w:cs="宋体"/>
          <w:spacing w:val="8"/>
          <w:szCs w:val="21"/>
          <w:highlight w:val="none"/>
        </w:rPr>
        <w:t>落实政府采购政策需满足的资格要求；</w:t>
      </w:r>
    </w:p>
    <w:p w14:paraId="35070B46">
      <w:pPr>
        <w:numPr>
          <w:ilvl w:val="1"/>
          <w:numId w:val="5"/>
        </w:numPr>
        <w:tabs>
          <w:tab w:val="left" w:pos="840"/>
        </w:tabs>
        <w:spacing w:line="360" w:lineRule="auto"/>
        <w:ind w:left="0" w:firstLine="368"/>
        <w:rPr>
          <w:rFonts w:hint="eastAsia" w:ascii="宋体" w:hAnsi="宋体" w:eastAsia="宋体" w:cs="宋体"/>
          <w:bCs/>
          <w:szCs w:val="21"/>
          <w:highlight w:val="none"/>
        </w:rPr>
      </w:pPr>
      <w:r>
        <w:rPr>
          <w:rFonts w:hint="eastAsia" w:ascii="宋体" w:hAnsi="宋体" w:eastAsia="宋体" w:cs="宋体"/>
          <w:bCs/>
          <w:szCs w:val="21"/>
          <w:highlight w:val="none"/>
        </w:rPr>
        <w:t>第一章招标公告中 2.3 采购人根据采购项目的特殊要求规定的特定条件证明文件。</w:t>
      </w:r>
    </w:p>
    <w:p w14:paraId="0843140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（4）开标一览表及附表</w:t>
      </w:r>
      <w:r>
        <w:rPr>
          <w:rFonts w:hint="eastAsia" w:ascii="宋体" w:hAnsi="宋体" w:eastAsia="宋体" w:cs="宋体"/>
          <w:bCs/>
          <w:szCs w:val="21"/>
          <w:highlight w:val="none"/>
        </w:rPr>
        <w:t>（</w:t>
      </w:r>
      <w:r>
        <w:rPr>
          <w:rFonts w:hint="eastAsia" w:ascii="宋体" w:hAnsi="宋体" w:eastAsia="宋体" w:cs="宋体"/>
          <w:b/>
          <w:bCs/>
          <w:szCs w:val="21"/>
          <w:highlight w:val="none"/>
        </w:rPr>
        <w:t>格式见第六章</w:t>
      </w:r>
      <w:r>
        <w:rPr>
          <w:rFonts w:hint="eastAsia" w:ascii="宋体" w:hAnsi="宋体" w:eastAsia="宋体" w:cs="宋体"/>
          <w:bCs/>
          <w:szCs w:val="21"/>
          <w:highlight w:val="none"/>
        </w:rPr>
        <w:t>）；</w:t>
      </w:r>
    </w:p>
    <w:p w14:paraId="78D0791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（5）《南京市政府采购供应商信用记录表暨信用承诺书》</w:t>
      </w:r>
      <w:r>
        <w:rPr>
          <w:rFonts w:hint="eastAsia" w:ascii="宋体" w:hAnsi="宋体" w:eastAsia="宋体" w:cs="宋体"/>
          <w:b/>
          <w:szCs w:val="21"/>
          <w:highlight w:val="none"/>
          <w:lang w:val="zh-CN"/>
        </w:rPr>
        <w:t>；</w:t>
      </w:r>
    </w:p>
    <w:p w14:paraId="12518B26">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（6）《商务条款偏离表》；</w:t>
      </w:r>
    </w:p>
    <w:p w14:paraId="4E641B0E">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（7）第三章评标标准中对应的所需证明材料（如有自行添加）；</w:t>
      </w:r>
    </w:p>
    <w:p w14:paraId="01E7154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（8）要求采购人提供的配合（如有自拟并自行添加）；</w:t>
      </w:r>
    </w:p>
    <w:p w14:paraId="6790D032">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（9）其他（投标人认为有必要提供的声明和文件，如有，自行拟定并添加）。</w:t>
      </w:r>
    </w:p>
    <w:p w14:paraId="5802841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10、投标文件的技术内容</w:t>
      </w:r>
    </w:p>
    <w:p w14:paraId="173127AB">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技术部分</w:t>
      </w:r>
      <w:r>
        <w:rPr>
          <w:rFonts w:hint="eastAsia" w:ascii="宋体" w:hAnsi="宋体" w:eastAsia="宋体" w:cs="宋体"/>
          <w:szCs w:val="21"/>
          <w:highlight w:val="none"/>
        </w:rPr>
        <w:t>内容</w:t>
      </w:r>
      <w:r>
        <w:rPr>
          <w:rFonts w:hint="eastAsia" w:ascii="宋体" w:hAnsi="宋体" w:eastAsia="宋体" w:cs="宋体"/>
          <w:szCs w:val="21"/>
          <w:highlight w:val="none"/>
          <w:lang w:val="zh-CN"/>
        </w:rPr>
        <w:t>是证明</w:t>
      </w:r>
      <w:r>
        <w:rPr>
          <w:rFonts w:hint="eastAsia" w:ascii="宋体" w:hAnsi="宋体" w:eastAsia="宋体" w:cs="宋体"/>
          <w:szCs w:val="21"/>
          <w:highlight w:val="none"/>
        </w:rPr>
        <w:t>投标人提供的货物和服务是合格的、并符合招标文件要求的证明文件，以及</w:t>
      </w:r>
      <w:r>
        <w:rPr>
          <w:rFonts w:hint="eastAsia" w:ascii="宋体" w:hAnsi="宋体" w:eastAsia="宋体" w:cs="宋体"/>
          <w:szCs w:val="21"/>
          <w:highlight w:val="none"/>
          <w:lang w:val="zh-CN"/>
        </w:rPr>
        <w:t>对货物和服务的详细说明，这些文件可以是文字资料、图纸、数据</w:t>
      </w:r>
      <w:r>
        <w:rPr>
          <w:rFonts w:hint="eastAsia" w:ascii="宋体" w:hAnsi="宋体" w:eastAsia="宋体" w:cs="宋体"/>
          <w:szCs w:val="21"/>
          <w:highlight w:val="none"/>
        </w:rPr>
        <w:t>或其他证明文件</w:t>
      </w:r>
      <w:r>
        <w:rPr>
          <w:rFonts w:hint="eastAsia" w:ascii="宋体" w:hAnsi="宋体" w:eastAsia="宋体" w:cs="宋体"/>
          <w:szCs w:val="21"/>
          <w:highlight w:val="none"/>
          <w:lang w:val="zh-CN"/>
        </w:rPr>
        <w:t>等。提供的货物和服务如与招标文件要求有不符之处，应说明其差别之所在。包括但不限于下列文件：</w:t>
      </w:r>
    </w:p>
    <w:p w14:paraId="2F1DE725">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（1）技术说明或服务方案；</w:t>
      </w:r>
    </w:p>
    <w:p w14:paraId="70A1BF3D">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（2）《采购需求偏离表》；</w:t>
      </w:r>
    </w:p>
    <w:p w14:paraId="0A026B94">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（3）服务承诺；</w:t>
      </w:r>
    </w:p>
    <w:p w14:paraId="69EFBED0">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（4）投标人拟投入本项目的设备、人员情况一览表；</w:t>
      </w:r>
    </w:p>
    <w:p w14:paraId="484DE2B5">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（5）投标人认为需要提供的其他技术资料。</w:t>
      </w:r>
    </w:p>
    <w:p w14:paraId="3456B5F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11、投标文件的价格内容</w:t>
      </w:r>
    </w:p>
    <w:p w14:paraId="1BD2513C">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11.1价格部分内容是对采购标的价格构成的说明，招标文件如无特别说明，每一项货物及服务仅接受一个价格。</w:t>
      </w:r>
    </w:p>
    <w:p w14:paraId="09EA5F1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11.2报价应包含为履行本项目合同项下所有义务的全部含税费用</w:t>
      </w:r>
      <w:r>
        <w:rPr>
          <w:rFonts w:hint="eastAsia" w:ascii="宋体" w:hAnsi="宋体" w:eastAsia="宋体" w:cs="宋体"/>
          <w:szCs w:val="21"/>
          <w:highlight w:val="none"/>
          <w:lang w:val="zh-CN"/>
        </w:rPr>
        <w:t>，</w:t>
      </w:r>
      <w:r>
        <w:rPr>
          <w:rFonts w:hint="eastAsia" w:ascii="宋体" w:hAnsi="宋体" w:eastAsia="宋体" w:cs="宋体"/>
          <w:bCs/>
          <w:szCs w:val="21"/>
          <w:highlight w:val="none"/>
        </w:rPr>
        <w:t>采购人不再支付任何其他费用</w:t>
      </w:r>
      <w:r>
        <w:rPr>
          <w:rFonts w:hint="eastAsia" w:ascii="宋体" w:hAnsi="宋体" w:eastAsia="宋体" w:cs="宋体"/>
          <w:b/>
          <w:szCs w:val="21"/>
          <w:highlight w:val="none"/>
        </w:rPr>
        <w:t>。</w:t>
      </w:r>
    </w:p>
    <w:p w14:paraId="5855F0D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11.3投标人的任何错漏、优惠、竞争性报价不得作为减轻责任、减少服务、增加收费、降低质量的理由。</w:t>
      </w:r>
    </w:p>
    <w:p w14:paraId="033357F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无效投标处理</w:t>
      </w:r>
      <w:r>
        <w:rPr>
          <w:rFonts w:hint="eastAsia" w:ascii="宋体" w:hAnsi="宋体" w:eastAsia="宋体" w:cs="宋体"/>
          <w:szCs w:val="21"/>
          <w:highlight w:val="none"/>
        </w:rPr>
        <w:t>。</w:t>
      </w:r>
    </w:p>
    <w:p w14:paraId="5865200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11.5 投标人应在《开标一览表》《分项报价表》等标明投标货物和服务的单价、总价以及分项报价等。</w:t>
      </w:r>
    </w:p>
    <w:p w14:paraId="218A4ADE">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szCs w:val="21"/>
          <w:highlight w:val="none"/>
        </w:rPr>
        <w:t>11.6 对于采用货币报价的项目，开标一览表中的投标总报价应与投标报价明细表中的投标总报价一致，如不一致不作为无效投标处理，评标时以开标一览表中价格为准。</w:t>
      </w:r>
    </w:p>
    <w:p w14:paraId="15A9A991">
      <w:pPr>
        <w:widowControl/>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11.7本项目预算为：详见第一章</w:t>
      </w:r>
      <w:r>
        <w:rPr>
          <w:rFonts w:hint="eastAsia" w:ascii="宋体" w:hAnsi="宋体" w:eastAsia="宋体" w:cs="宋体"/>
          <w:bCs/>
          <w:szCs w:val="21"/>
          <w:highlight w:val="none"/>
        </w:rPr>
        <w:t>。</w:t>
      </w:r>
    </w:p>
    <w:p w14:paraId="67CEEE8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12、投标文件的其他部分</w:t>
      </w:r>
    </w:p>
    <w:p w14:paraId="3B191C9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12.1 其他部分由投标人根据编制投标文件需要提供的其他相关文件组成。</w:t>
      </w:r>
    </w:p>
    <w:p w14:paraId="7F356546">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szCs w:val="21"/>
          <w:highlight w:val="none"/>
        </w:rPr>
        <w:t>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如标书制作工具中格式和内容与“南京公共采购信息网、江苏政府采购网、中国政府采购网”发布的</w:t>
      </w:r>
      <w:r>
        <w:rPr>
          <w:rFonts w:hint="eastAsia" w:ascii="宋体" w:hAnsi="宋体" w:eastAsia="宋体" w:cs="宋体"/>
          <w:color w:val="000000"/>
          <w:szCs w:val="21"/>
          <w:highlight w:val="none"/>
        </w:rPr>
        <w:t>采购</w:t>
      </w:r>
      <w:r>
        <w:rPr>
          <w:rFonts w:hint="eastAsia" w:ascii="宋体" w:hAnsi="宋体" w:eastAsia="宋体" w:cs="宋体"/>
          <w:color w:val="000000"/>
          <w:szCs w:val="21"/>
          <w:highlight w:val="none"/>
          <w:lang w:val="zh-CN"/>
        </w:rPr>
        <w:t>文件不一致，以</w:t>
      </w:r>
      <w:r>
        <w:rPr>
          <w:rFonts w:hint="eastAsia" w:ascii="宋体" w:hAnsi="宋体" w:eastAsia="宋体" w:cs="宋体"/>
          <w:color w:val="000000"/>
          <w:szCs w:val="21"/>
          <w:highlight w:val="none"/>
        </w:rPr>
        <w:t>上述网站</w:t>
      </w:r>
      <w:r>
        <w:rPr>
          <w:rFonts w:hint="eastAsia" w:ascii="宋体" w:hAnsi="宋体" w:eastAsia="宋体" w:cs="宋体"/>
          <w:color w:val="000000"/>
          <w:szCs w:val="21"/>
          <w:highlight w:val="none"/>
          <w:lang w:val="zh-CN"/>
        </w:rPr>
        <w:t>发布的</w:t>
      </w:r>
      <w:r>
        <w:rPr>
          <w:rFonts w:hint="eastAsia" w:ascii="宋体" w:hAnsi="宋体" w:eastAsia="宋体" w:cs="宋体"/>
          <w:color w:val="000000"/>
          <w:szCs w:val="21"/>
          <w:highlight w:val="none"/>
        </w:rPr>
        <w:t>采购</w:t>
      </w:r>
      <w:r>
        <w:rPr>
          <w:rFonts w:hint="eastAsia" w:ascii="宋体" w:hAnsi="宋体" w:eastAsia="宋体" w:cs="宋体"/>
          <w:color w:val="000000"/>
          <w:szCs w:val="21"/>
          <w:highlight w:val="none"/>
          <w:lang w:val="zh-CN"/>
        </w:rPr>
        <w:t>文件为准。</w:t>
      </w:r>
    </w:p>
    <w:p w14:paraId="021833E2">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13、投标保证金（本项目无需缴纳投标保证金）</w:t>
      </w:r>
    </w:p>
    <w:p w14:paraId="2CE664F5">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14、投标有效期</w:t>
      </w:r>
    </w:p>
    <w:p w14:paraId="6851732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14.1 自开标之日起</w:t>
      </w:r>
      <w:r>
        <w:rPr>
          <w:rFonts w:hint="eastAsia" w:ascii="宋体" w:hAnsi="宋体" w:eastAsia="宋体" w:cs="宋体"/>
          <w:b/>
          <w:szCs w:val="21"/>
          <w:highlight w:val="none"/>
        </w:rPr>
        <w:t>90</w:t>
      </w:r>
      <w:r>
        <w:rPr>
          <w:rFonts w:hint="eastAsia" w:ascii="宋体" w:hAnsi="宋体" w:eastAsia="宋体" w:cs="宋体"/>
          <w:szCs w:val="21"/>
          <w:highlight w:val="none"/>
        </w:rPr>
        <w:t>天内投标有效</w:t>
      </w:r>
      <w:r>
        <w:rPr>
          <w:rFonts w:hint="eastAsia" w:ascii="宋体" w:hAnsi="宋体" w:eastAsia="宋体" w:cs="宋体"/>
          <w:b/>
          <w:highlight w:val="none"/>
        </w:rPr>
        <w:t>，投标有效期从提交投标文件的截止之日起算。投标文件中承诺的投标有效期应当不少于招标文件中载明的投标有效期。</w:t>
      </w:r>
    </w:p>
    <w:p w14:paraId="2DA2C13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61679D7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15、投标文件签署</w:t>
      </w:r>
    </w:p>
    <w:p w14:paraId="143DB60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 投标文件应按照招标文件要求加盖电子公章，否则视为无效投标。</w:t>
      </w:r>
    </w:p>
    <w:p w14:paraId="6BB1EB7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16、投标费用</w:t>
      </w:r>
    </w:p>
    <w:p w14:paraId="64C852A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16.1 投标人应承担所有与准备和参加投标有关的费用，无论招标结果如何，采购代理机构和采购人在任何情况下均无义务和责任承担这些费用。</w:t>
      </w:r>
    </w:p>
    <w:p w14:paraId="7982942A">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16.2 招标代理服务费：</w:t>
      </w:r>
    </w:p>
    <w:p w14:paraId="12D5C739">
      <w:pPr>
        <w:widowControl/>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本次招标代理服务费【按计价格</w:t>
      </w:r>
      <w:r>
        <w:rPr>
          <w:rFonts w:hint="eastAsia" w:ascii="宋体" w:hAnsi="宋体" w:eastAsia="宋体" w:cs="宋体"/>
          <w:bCs/>
          <w:szCs w:val="21"/>
          <w:highlight w:val="none"/>
        </w:rPr>
        <w:t>〔2002〕</w:t>
      </w:r>
      <w:r>
        <w:rPr>
          <w:rFonts w:hint="eastAsia" w:ascii="宋体" w:hAnsi="宋体" w:eastAsia="宋体" w:cs="宋体"/>
          <w:bCs/>
          <w:szCs w:val="21"/>
          <w:highlight w:val="none"/>
          <w:lang w:val="zh-CN"/>
        </w:rPr>
        <w:t>1980号文件标准计算】</w:t>
      </w:r>
      <w:r>
        <w:rPr>
          <w:rFonts w:hint="eastAsia" w:ascii="宋体" w:hAnsi="宋体" w:eastAsia="宋体" w:cs="宋体"/>
          <w:bCs/>
          <w:szCs w:val="21"/>
          <w:highlight w:val="none"/>
        </w:rPr>
        <w:t>，</w:t>
      </w:r>
      <w:r>
        <w:rPr>
          <w:rFonts w:hint="eastAsia" w:ascii="宋体" w:hAnsi="宋体" w:eastAsia="宋体" w:cs="宋体"/>
          <w:bCs/>
          <w:szCs w:val="21"/>
          <w:highlight w:val="none"/>
          <w:lang w:val="zh-CN"/>
        </w:rPr>
        <w:t>由中标单位在领取中标通知书时一次性支付。无论是否将该费用在报价中列明，均视为已含在总价中。</w:t>
      </w:r>
    </w:p>
    <w:p w14:paraId="067A0F3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16.3开标公证费：无。</w:t>
      </w:r>
    </w:p>
    <w:p w14:paraId="1C9500A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四、投标文件的递交</w:t>
      </w:r>
    </w:p>
    <w:p w14:paraId="21BCCE21">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17、投标文件的递交</w:t>
      </w:r>
    </w:p>
    <w:p w14:paraId="257C9EA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17.1 投标人应当按照《操作手册》规定，在招标公告规定的投标截止时间前制作并上传电子投标文件。招标代理机构拒绝接收提交投标文件截止时间后上传的任何电子投标文件。</w:t>
      </w:r>
    </w:p>
    <w:p w14:paraId="28924A1D">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18、投标文件的解密</w:t>
      </w:r>
    </w:p>
    <w:p w14:paraId="4E9E7AF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18.1 投标人应当按照《操作手册》规定，在“苏采云”系统规定的时间内对投标文件进行解密。</w:t>
      </w:r>
    </w:p>
    <w:p w14:paraId="390CB57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18.3 投标人应充分考虑网络环境、网络带宽等因素可能对投标产生的影响，如因投标人自身原因造成的电子投标文件解密不成功的，做无效投标处理。</w:t>
      </w:r>
    </w:p>
    <w:p w14:paraId="56BDEFB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19、投标文件的修改和撤回</w:t>
      </w:r>
    </w:p>
    <w:p w14:paraId="08AA536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3AC3A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19.2 投标截止时间之后，投标文件不得撤回；如撤回，投标保证金不予退还。</w:t>
      </w:r>
    </w:p>
    <w:p w14:paraId="1D822BA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20、诚实信用</w:t>
      </w:r>
    </w:p>
    <w:p w14:paraId="3FA8125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20.1投标人应当遵循公平竞争的原则，不得恶意串通，不得妨碍其他投标人的竞争行为，不得损害采购人或者其他投标人的合法权益。</w:t>
      </w:r>
    </w:p>
    <w:p w14:paraId="3F888B7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20.2在评标过程中发现投标人有上述情形的，评标委员会应当认定其投标无效，并书面报告本级财政部门。</w:t>
      </w:r>
    </w:p>
    <w:p w14:paraId="29B158D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五、开标、评标与定标</w:t>
      </w:r>
    </w:p>
    <w:p w14:paraId="3037B1D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21、开标</w:t>
      </w:r>
    </w:p>
    <w:p w14:paraId="231404FA">
      <w:pPr>
        <w:spacing w:line="360" w:lineRule="auto"/>
        <w:ind w:firstLine="420"/>
        <w:rPr>
          <w:rFonts w:hint="eastAsia" w:ascii="宋体" w:hAnsi="宋体" w:eastAsia="宋体" w:cs="宋体"/>
          <w:highlight w:val="none"/>
        </w:rPr>
      </w:pPr>
      <w:r>
        <w:rPr>
          <w:rFonts w:hint="eastAsia" w:ascii="宋体" w:hAnsi="宋体" w:eastAsia="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787058B3">
      <w:pPr>
        <w:spacing w:line="360" w:lineRule="auto"/>
        <w:ind w:firstLine="420"/>
        <w:rPr>
          <w:rFonts w:hint="eastAsia" w:ascii="宋体" w:hAnsi="宋体" w:eastAsia="宋体" w:cs="宋体"/>
          <w:highlight w:val="none"/>
        </w:rPr>
      </w:pPr>
      <w:r>
        <w:rPr>
          <w:rFonts w:hint="eastAsia" w:ascii="宋体" w:hAnsi="宋体" w:eastAsia="宋体" w:cs="宋体"/>
          <w:highlight w:val="none"/>
        </w:rPr>
        <w:t>21.2 投标人在开标过程中涉及到的投标文件解密、开标结果确认等工作，应按照《操作手册》规定执行。</w:t>
      </w:r>
    </w:p>
    <w:p w14:paraId="07714483">
      <w:pPr>
        <w:spacing w:line="360" w:lineRule="auto"/>
        <w:ind w:firstLine="420"/>
        <w:rPr>
          <w:rFonts w:hint="eastAsia" w:ascii="宋体" w:hAnsi="宋体" w:eastAsia="宋体" w:cs="宋体"/>
          <w:highlight w:val="none"/>
        </w:rPr>
      </w:pPr>
      <w:r>
        <w:rPr>
          <w:rFonts w:hint="eastAsia" w:ascii="宋体" w:hAnsi="宋体" w:eastAsia="宋体" w:cs="宋体"/>
          <w:highlight w:val="none"/>
        </w:rPr>
        <w:t>21.3投标人不足3家的，不得开标。</w:t>
      </w:r>
    </w:p>
    <w:p w14:paraId="2BF30131">
      <w:pPr>
        <w:spacing w:line="360" w:lineRule="auto"/>
        <w:ind w:firstLine="420"/>
        <w:rPr>
          <w:rFonts w:hint="eastAsia" w:ascii="宋体" w:hAnsi="宋体" w:eastAsia="宋体" w:cs="宋体"/>
          <w:highlight w:val="none"/>
        </w:rPr>
      </w:pPr>
      <w:r>
        <w:rPr>
          <w:rFonts w:hint="eastAsia" w:ascii="宋体" w:hAnsi="宋体" w:eastAsia="宋体" w:cs="宋体"/>
          <w:highlight w:val="none"/>
        </w:rPr>
        <w:t>21.4 投标人如果对开标过程和开标结果有疑义，应当根据《操作手册》规定提出，“苏采云”系统中《开标记录表》公布后5分钟内未提出的，视同认可开标结果。</w:t>
      </w:r>
    </w:p>
    <w:p w14:paraId="4F1B8AA2">
      <w:pPr>
        <w:spacing w:line="360" w:lineRule="auto"/>
        <w:ind w:firstLine="420"/>
        <w:rPr>
          <w:rFonts w:hint="eastAsia" w:ascii="宋体" w:hAnsi="宋体" w:eastAsia="宋体" w:cs="宋体"/>
          <w:highlight w:val="none"/>
        </w:rPr>
      </w:pPr>
      <w:r>
        <w:rPr>
          <w:rFonts w:hint="eastAsia" w:ascii="宋体" w:hAnsi="宋体" w:eastAsia="宋体" w:cs="宋体"/>
          <w:highlight w:val="none"/>
        </w:rPr>
        <w:t>21.5公开招标数额标准以上的采购项目，投标截止后投标人不足3家或者通过资格审查或符</w:t>
      </w:r>
    </w:p>
    <w:p w14:paraId="1D084B14">
      <w:pPr>
        <w:spacing w:line="360" w:lineRule="auto"/>
        <w:ind w:firstLine="420"/>
        <w:rPr>
          <w:rFonts w:hint="eastAsia" w:ascii="宋体" w:hAnsi="宋体" w:eastAsia="宋体" w:cs="宋体"/>
          <w:highlight w:val="none"/>
        </w:rPr>
      </w:pPr>
      <w:r>
        <w:rPr>
          <w:rFonts w:hint="eastAsia" w:ascii="宋体" w:hAnsi="宋体" w:eastAsia="宋体" w:cs="宋体"/>
          <w:highlight w:val="none"/>
        </w:rPr>
        <w:t>合性审查的投标人不足3家的，除采购任务取消情形外，按照以下方式处理：</w:t>
      </w:r>
    </w:p>
    <w:p w14:paraId="2359E1EF">
      <w:pPr>
        <w:spacing w:line="360" w:lineRule="auto"/>
        <w:ind w:firstLine="420"/>
        <w:rPr>
          <w:rFonts w:hint="eastAsia" w:ascii="宋体" w:hAnsi="宋体" w:eastAsia="宋体" w:cs="宋体"/>
          <w:highlight w:val="none"/>
        </w:rPr>
      </w:pPr>
      <w:r>
        <w:rPr>
          <w:rFonts w:hint="eastAsia" w:ascii="宋体" w:hAnsi="宋体" w:eastAsia="宋体" w:cs="宋体"/>
          <w:highlight w:val="none"/>
        </w:rPr>
        <w:t>（1）招标文件存在不合理条款或者招标程序不符合规定的，采购人、采购代理机构改正后依法重新招标；</w:t>
      </w:r>
    </w:p>
    <w:p w14:paraId="5854FD1A">
      <w:pPr>
        <w:spacing w:line="360" w:lineRule="auto"/>
        <w:ind w:firstLine="420"/>
        <w:rPr>
          <w:rFonts w:hint="eastAsia" w:ascii="宋体" w:hAnsi="宋体" w:eastAsia="宋体" w:cs="宋体"/>
          <w:highlight w:val="none"/>
        </w:rPr>
      </w:pPr>
      <w:r>
        <w:rPr>
          <w:rFonts w:hint="eastAsia" w:ascii="宋体" w:hAnsi="宋体" w:eastAsia="宋体" w:cs="宋体"/>
          <w:highlight w:val="none"/>
        </w:rPr>
        <w:t>（2）招标文件没有不合理条款、招标程序符合规定，需要采用其他采购方式采购的，采购人依法报财政部门批准，经批准后，可变更为其他采购方式采购。</w:t>
      </w:r>
    </w:p>
    <w:p w14:paraId="7F1CDF1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22、评标</w:t>
      </w:r>
    </w:p>
    <w:p w14:paraId="622ACA7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22.1 评标委员会</w:t>
      </w:r>
    </w:p>
    <w:p w14:paraId="324B0BB3">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
          <w:bCs/>
          <w:szCs w:val="21"/>
          <w:highlight w:val="none"/>
        </w:rPr>
        <w:t>22.1.1</w:t>
      </w:r>
      <w:r>
        <w:rPr>
          <w:rFonts w:hint="eastAsia" w:ascii="宋体" w:hAnsi="宋体" w:eastAsia="宋体" w:cs="宋体"/>
          <w:bCs/>
          <w:szCs w:val="21"/>
          <w:highlight w:val="none"/>
        </w:rPr>
        <w:t>评标委员会负责具体评标事务，并独立履行下列职责：</w:t>
      </w:r>
    </w:p>
    <w:p w14:paraId="746F911D">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（一）审查、评价投标文件是否符合招标文件的商务、技术等实质性要求；</w:t>
      </w:r>
    </w:p>
    <w:p w14:paraId="415411D5">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（二）要求投标人对投标文件有关事项作出澄清或者说明；</w:t>
      </w:r>
    </w:p>
    <w:p w14:paraId="02DAE340">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（三）对投标文件进行比较和评价；</w:t>
      </w:r>
    </w:p>
    <w:p w14:paraId="26ED4166">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（四）确定中标候选人名单，以及根据采购人委托直接确定中标人；</w:t>
      </w:r>
    </w:p>
    <w:p w14:paraId="399BFCB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Cs/>
          <w:szCs w:val="21"/>
          <w:highlight w:val="none"/>
        </w:rPr>
        <w:t>（五）向采购人、采购代理机构或者有关部门报告评标中发现的违法行为。</w:t>
      </w:r>
    </w:p>
    <w:p w14:paraId="07B37DB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评标委员会由</w:t>
      </w:r>
      <w:r>
        <w:rPr>
          <w:rFonts w:hint="eastAsia" w:ascii="宋体" w:hAnsi="宋体" w:eastAsia="宋体" w:cs="宋体"/>
          <w:bCs/>
          <w:szCs w:val="21"/>
          <w:highlight w:val="none"/>
        </w:rPr>
        <w:t>采购人</w:t>
      </w:r>
      <w:r>
        <w:rPr>
          <w:rFonts w:hint="eastAsia" w:ascii="宋体" w:hAnsi="宋体" w:eastAsia="宋体" w:cs="宋体"/>
          <w:szCs w:val="21"/>
          <w:highlight w:val="none"/>
        </w:rPr>
        <w:t>代表和有关技术、经济等方面的专家组成，独立开展评审工作。</w:t>
      </w:r>
    </w:p>
    <w:p w14:paraId="1F6C1575">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22.2  评标程序</w:t>
      </w:r>
    </w:p>
    <w:p w14:paraId="2765D236">
      <w:pPr>
        <w:widowControl/>
        <w:shd w:val="clear" w:color="auto" w:fill="FFFFFF"/>
        <w:spacing w:line="360" w:lineRule="auto"/>
        <w:ind w:firstLine="420"/>
        <w:jc w:val="left"/>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投标文件的资格性检查。</w:t>
      </w:r>
      <w:r>
        <w:rPr>
          <w:rFonts w:hint="eastAsia" w:ascii="宋体" w:hAnsi="宋体" w:eastAsia="宋体" w:cs="宋体"/>
          <w:szCs w:val="21"/>
          <w:highlight w:val="none"/>
        </w:rPr>
        <w:t>公开招标采购项目开标结束后，</w:t>
      </w:r>
      <w:r>
        <w:rPr>
          <w:rFonts w:hint="eastAsia" w:ascii="宋体" w:hAnsi="宋体" w:eastAsia="宋体" w:cs="宋体"/>
          <w:highlight w:val="none"/>
        </w:rPr>
        <w:t>采购人</w:t>
      </w:r>
      <w:r>
        <w:rPr>
          <w:rFonts w:hint="eastAsia" w:ascii="宋体" w:hAnsi="宋体" w:eastAsia="宋体" w:cs="宋体"/>
          <w:szCs w:val="21"/>
          <w:highlight w:val="none"/>
        </w:rPr>
        <w:t>或者</w:t>
      </w:r>
      <w:r>
        <w:rPr>
          <w:rFonts w:hint="eastAsia" w:ascii="宋体" w:hAnsi="宋体" w:eastAsia="宋体" w:cs="宋体"/>
          <w:highlight w:val="none"/>
        </w:rPr>
        <w:t>采购代理机构</w:t>
      </w:r>
      <w:r>
        <w:rPr>
          <w:rFonts w:hint="eastAsia" w:ascii="宋体" w:hAnsi="宋体" w:eastAsia="宋体" w:cs="宋体"/>
          <w:szCs w:val="21"/>
          <w:highlight w:val="none"/>
        </w:rPr>
        <w:t>应当依法对投标人的资格进行审查。合格投标人不足3家的，不得评标。</w:t>
      </w:r>
    </w:p>
    <w:p w14:paraId="27FCF29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22.2.2投标文件的符合性审查</w:t>
      </w:r>
      <w:r>
        <w:rPr>
          <w:rFonts w:hint="eastAsia" w:ascii="宋体" w:hAnsi="宋体" w:eastAsia="宋体" w:cs="宋体"/>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513D5652">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（1）投标人在“苏采云”系统规定的时间内未成功解密电子投标文件的；</w:t>
      </w:r>
    </w:p>
    <w:p w14:paraId="5FB0AB90">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（2）投标人未按照招标文件要求上传电子投标文件的；</w:t>
      </w:r>
    </w:p>
    <w:p w14:paraId="16C20DAB">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（3）同一投标人提交两个（含两个）以上不同的投标报价的；</w:t>
      </w:r>
    </w:p>
    <w:p w14:paraId="009E092F">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（4）投标文件未按照招标文件要求加盖电子公章的；</w:t>
      </w:r>
    </w:p>
    <w:p w14:paraId="4019374A">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（5）报价超过招标文件中规定的预算金额或者最高限价的；</w:t>
      </w:r>
    </w:p>
    <w:p w14:paraId="2D4DA1FD">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（6）投标文件含有采购人不能接受的附加条件的；</w:t>
      </w:r>
    </w:p>
    <w:p w14:paraId="7CB70297">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（7）投标文件内容不全或不符合招标文件中规定的其他实质性要求的；</w:t>
      </w:r>
    </w:p>
    <w:p w14:paraId="345EB616">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（8）现行法律、法规、规章和招标文件规定的其他无效情形。</w:t>
      </w:r>
    </w:p>
    <w:p w14:paraId="2A4298B5">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22.2.2.1 实质性要求是指本招标文件中用带星号（“</w:t>
      </w:r>
      <w:r>
        <w:rPr>
          <w:rFonts w:hint="eastAsia" w:ascii="宋体" w:hAnsi="宋体" w:eastAsia="宋体" w:cs="宋体"/>
          <w:b/>
          <w:bCs/>
          <w:highlight w:val="none"/>
        </w:rPr>
        <w:t>*</w:t>
      </w:r>
      <w:r>
        <w:rPr>
          <w:rFonts w:hint="eastAsia" w:ascii="宋体" w:hAnsi="宋体" w:eastAsia="宋体" w:cs="宋体"/>
          <w:b/>
          <w:bCs/>
          <w:szCs w:val="21"/>
          <w:highlight w:val="none"/>
        </w:rPr>
        <w:t>”）、“必须”或“应（应当）”等其他文字说明的商务和技术要求。</w:t>
      </w:r>
    </w:p>
    <w:p w14:paraId="4A8C0D87">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22.2.2.2未通过资格审查或符合性审查的投标人，代理机构将通过“苏采云”系统告知其具体原因，评标结束后不再接受有关询问。</w:t>
      </w:r>
    </w:p>
    <w:p w14:paraId="5BEC0C2B">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22.2.2.3有下列情形之一的予以废标：</w:t>
      </w:r>
    </w:p>
    <w:p w14:paraId="5B633D16">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（1）符合专业条件的投标人或者对招标文件作实质性响应的投标人不足三家的；</w:t>
      </w:r>
    </w:p>
    <w:p w14:paraId="3CCA6339">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（2）出现影响采购公正的违法、违规行为的；</w:t>
      </w:r>
    </w:p>
    <w:p w14:paraId="7488CF40">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（3）投标人的报价均超过了采购预算，采购人不能支付的；</w:t>
      </w:r>
    </w:p>
    <w:p w14:paraId="4312DA18">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（4）因苏采云系统故障造成开标不成功的；</w:t>
      </w:r>
    </w:p>
    <w:p w14:paraId="4CE38E75">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（5）因重大变故，采购任务取消的。</w:t>
      </w:r>
    </w:p>
    <w:p w14:paraId="1A2B8BCE">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（6）投标人以明显低于其他通过符合性审查投标人的报价，有可能影响产品质量或者不能诚信履约的，且不能证明其报价合理性的。</w:t>
      </w:r>
    </w:p>
    <w:p w14:paraId="112102E0">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w:t>
      </w:r>
      <w:r>
        <w:rPr>
          <w:rFonts w:hint="eastAsia" w:ascii="宋体" w:hAnsi="宋体" w:eastAsia="宋体" w:cs="宋体"/>
          <w:b/>
          <w:bCs/>
          <w:szCs w:val="21"/>
          <w:highlight w:val="none"/>
        </w:rPr>
        <w:t>澄清有关问题</w:t>
      </w:r>
      <w:r>
        <w:rPr>
          <w:rFonts w:hint="eastAsia" w:ascii="宋体" w:hAnsi="宋体" w:eastAsia="宋体" w:cs="宋体"/>
          <w:szCs w:val="21"/>
          <w:highlight w:val="none"/>
        </w:rPr>
        <w:t>。</w:t>
      </w:r>
    </w:p>
    <w:p w14:paraId="7881095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22.2.3.1 评标期间，评委会对投标文件中含义不明确、同类问题表述不一致或者有明显文字和计算错误的内容，有权要求投标人作出必要的澄清、说明或者补正。</w:t>
      </w:r>
    </w:p>
    <w:p w14:paraId="713A428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投标人的澄清、说明或者补正不得超出投标文件的范围或者改变投标文件的实质性内容。</w:t>
      </w:r>
    </w:p>
    <w:p w14:paraId="3C43A0EC">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评委会并非对每个投标人都做澄清要求。</w:t>
      </w:r>
    </w:p>
    <w:p w14:paraId="3771A99F">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4388CD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22.2.3.3 接到评委会澄清、说明和补正要求的，投标人如未按规定作出澄清、说明和补正，其风险由投标人自行承担。</w:t>
      </w:r>
    </w:p>
    <w:p w14:paraId="3BFB8D3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22.2.3.4投标文件报价出现前后不一致的，除招标文件另有规定外，按照下列规定修正：</w:t>
      </w:r>
    </w:p>
    <w:p w14:paraId="36C6798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（1）投标文件中开标一览表（报价表）内容与投标文件中相应内容不一致的，以开标一览表（报价表）为准；</w:t>
      </w:r>
    </w:p>
    <w:p w14:paraId="56F3B0A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（2）大写金额和小写金额不一致的，以大写金额为准；</w:t>
      </w:r>
    </w:p>
    <w:p w14:paraId="4814EE3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（3）单价金额小数点或者百分比有明显错位的，以开标一览表的总价为准，并修改单价；</w:t>
      </w:r>
    </w:p>
    <w:p w14:paraId="6AAD712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（4）总价金额与按单价汇总金额不一致的，以单价金额计算结果为准。</w:t>
      </w:r>
    </w:p>
    <w:p w14:paraId="3577A8F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344B4F3">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2.2.3.5投标人在开、评标全过程中应保持通讯畅通，及时登录苏采云系统查阅、答复相关信息，并安排专人与代理机构及评委会联系。</w:t>
      </w:r>
    </w:p>
    <w:p w14:paraId="5FB176CB">
      <w:pPr>
        <w:widowControl/>
        <w:shd w:val="clear" w:color="auto" w:fill="FFFFFF"/>
        <w:spacing w:line="360" w:lineRule="auto"/>
        <w:ind w:firstLine="420"/>
        <w:jc w:val="left"/>
        <w:rPr>
          <w:rFonts w:hint="eastAsia" w:ascii="宋体" w:hAnsi="宋体" w:eastAsia="宋体" w:cs="宋体"/>
          <w:b/>
          <w:highlight w:val="none"/>
        </w:rPr>
      </w:pPr>
      <w:r>
        <w:rPr>
          <w:rFonts w:hint="eastAsia" w:ascii="宋体" w:hAnsi="宋体" w:eastAsia="宋体" w:cs="宋体"/>
          <w:szCs w:val="21"/>
          <w:highlight w:val="none"/>
        </w:rPr>
        <w:t>22.2.3.6</w:t>
      </w:r>
      <w:r>
        <w:rPr>
          <w:rFonts w:hint="eastAsia" w:ascii="宋体" w:hAnsi="宋体" w:eastAsia="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投标人不能证明其报价合理性的，评标委员会将其作为无效投标处理。</w:t>
      </w:r>
    </w:p>
    <w:p w14:paraId="72AAB255">
      <w:pPr>
        <w:widowControl/>
        <w:shd w:val="clear" w:color="auto" w:fill="FFFFFF"/>
        <w:spacing w:line="360" w:lineRule="auto"/>
        <w:ind w:firstLine="420"/>
        <w:jc w:val="left"/>
        <w:rPr>
          <w:rFonts w:hint="eastAsia" w:ascii="宋体" w:hAnsi="宋体" w:cs="宋体"/>
          <w:b/>
          <w:highlight w:val="none"/>
          <w:lang w:val="en-US" w:eastAsia="zh-CN"/>
        </w:rPr>
      </w:pPr>
      <w:r>
        <w:rPr>
          <w:rFonts w:hint="eastAsia" w:ascii="宋体" w:hAnsi="宋体" w:cs="宋体"/>
          <w:b/>
          <w:highlight w:val="none"/>
          <w:lang w:val="en-US" w:eastAsia="zh-CN"/>
        </w:rPr>
        <w:t>22.2.3.7 异常低价响应审查</w:t>
      </w:r>
    </w:p>
    <w:p w14:paraId="21A2505E">
      <w:pPr>
        <w:widowControl/>
        <w:shd w:val="clear" w:color="auto" w:fill="FFFFFF"/>
        <w:spacing w:line="360" w:lineRule="auto"/>
        <w:ind w:firstLine="420"/>
        <w:jc w:val="left"/>
        <w:rPr>
          <w:rFonts w:hint="default" w:ascii="宋体" w:hAnsi="宋体" w:cs="宋体"/>
          <w:b/>
          <w:highlight w:val="none"/>
          <w:lang w:val="en-US" w:eastAsia="zh-CN"/>
        </w:rPr>
      </w:pPr>
      <w:r>
        <w:rPr>
          <w:rFonts w:hint="default" w:ascii="宋体" w:hAnsi="宋体" w:cs="宋体"/>
          <w:b/>
          <w:highlight w:val="none"/>
          <w:lang w:val="en-US" w:eastAsia="zh-CN"/>
        </w:rPr>
        <w:t>（一）评审过程中出现下列情形之一的，评审委员会应当启动异常低价投标（响应）审查程序：</w:t>
      </w:r>
    </w:p>
    <w:p w14:paraId="564D1F87">
      <w:pPr>
        <w:widowControl/>
        <w:shd w:val="clear" w:color="auto" w:fill="FFFFFF"/>
        <w:spacing w:line="360" w:lineRule="auto"/>
        <w:ind w:left="638" w:leftChars="304" w:firstLine="0" w:firstLineChars="0"/>
        <w:jc w:val="left"/>
        <w:rPr>
          <w:rFonts w:hint="default" w:ascii="宋体" w:hAnsi="宋体" w:cs="宋体"/>
          <w:b/>
          <w:highlight w:val="none"/>
          <w:lang w:val="en-US" w:eastAsia="zh-CN"/>
        </w:rPr>
      </w:pPr>
      <w:r>
        <w:rPr>
          <w:rFonts w:hint="default" w:ascii="宋体" w:hAnsi="宋体" w:cs="宋体"/>
          <w:b/>
          <w:highlight w:val="none"/>
          <w:lang w:val="en-US" w:eastAsia="zh-CN"/>
        </w:rPr>
        <w:t>1．投标（响应）报价低于采购项目预算50%的，即投标（响应）报价&lt;采购项目预算×50%；</w:t>
      </w:r>
    </w:p>
    <w:p w14:paraId="43B44BAA">
      <w:pPr>
        <w:widowControl/>
        <w:shd w:val="clear" w:color="auto" w:fill="FFFFFF"/>
        <w:spacing w:line="360" w:lineRule="auto"/>
        <w:ind w:left="638" w:leftChars="304" w:firstLine="0" w:firstLineChars="0"/>
        <w:jc w:val="left"/>
        <w:rPr>
          <w:rFonts w:hint="default" w:ascii="宋体" w:hAnsi="宋体" w:cs="宋体"/>
          <w:b/>
          <w:highlight w:val="none"/>
          <w:lang w:val="en-US" w:eastAsia="zh-CN"/>
        </w:rPr>
      </w:pPr>
      <w:r>
        <w:rPr>
          <w:rFonts w:hint="default" w:ascii="宋体" w:hAnsi="宋体" w:cs="宋体"/>
          <w:b/>
          <w:highlight w:val="none"/>
          <w:lang w:val="en-US" w:eastAsia="zh-CN"/>
        </w:rPr>
        <w:t>2．投标（响应）报价低于采购项目最高限价45%的，即投标（响应）报价&lt;采购项目最高限价×45%；</w:t>
      </w:r>
    </w:p>
    <w:p w14:paraId="1566ED56">
      <w:pPr>
        <w:widowControl/>
        <w:shd w:val="clear" w:color="auto" w:fill="FFFFFF"/>
        <w:spacing w:line="360" w:lineRule="auto"/>
        <w:ind w:left="638" w:leftChars="304" w:firstLine="0" w:firstLineChars="0"/>
        <w:jc w:val="left"/>
        <w:rPr>
          <w:rFonts w:hint="default" w:ascii="宋体" w:hAnsi="宋体" w:cs="宋体"/>
          <w:b/>
          <w:highlight w:val="none"/>
          <w:lang w:val="en-US" w:eastAsia="zh-CN"/>
        </w:rPr>
      </w:pPr>
      <w:r>
        <w:rPr>
          <w:rFonts w:hint="default" w:ascii="宋体" w:hAnsi="宋体" w:cs="宋体"/>
          <w:b/>
          <w:highlight w:val="none"/>
          <w:lang w:val="en-US" w:eastAsia="zh-CN"/>
        </w:rPr>
        <w:t>3. 评审委员会认定的供应商报价过低、有可能影响产品质量或者不能诚信履约的其他情形。</w:t>
      </w:r>
    </w:p>
    <w:p w14:paraId="0870E54B">
      <w:pPr>
        <w:widowControl/>
        <w:shd w:val="clear" w:color="auto" w:fill="FFFFFF"/>
        <w:spacing w:line="360" w:lineRule="auto"/>
        <w:ind w:left="637" w:leftChars="200" w:hanging="217" w:hangingChars="103"/>
        <w:jc w:val="left"/>
        <w:rPr>
          <w:rFonts w:hint="default" w:ascii="宋体" w:hAnsi="宋体" w:cs="宋体"/>
          <w:b/>
          <w:highlight w:val="none"/>
          <w:lang w:val="en-US" w:eastAsia="zh-CN"/>
        </w:rPr>
      </w:pPr>
      <w:r>
        <w:rPr>
          <w:rFonts w:hint="default" w:ascii="宋体" w:hAnsi="宋体" w:cs="宋体"/>
          <w:b/>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C69F664">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22.2.4</w:t>
      </w:r>
      <w:r>
        <w:rPr>
          <w:rFonts w:hint="eastAsia" w:ascii="宋体" w:hAnsi="宋体" w:eastAsia="宋体" w:cs="宋体"/>
          <w:bCs/>
          <w:szCs w:val="21"/>
          <w:highlight w:val="none"/>
        </w:rPr>
        <w:t>比较与评价。</w:t>
      </w:r>
      <w:r>
        <w:rPr>
          <w:rFonts w:hint="eastAsia" w:ascii="宋体" w:hAnsi="宋体" w:eastAsia="宋体" w:cs="宋体"/>
          <w:szCs w:val="21"/>
          <w:highlight w:val="none"/>
        </w:rPr>
        <w:t>评标委员会应当按照招标文件中规定的评标方法和标准，对符合性审查合格的投标文件进行商务和技术评估，综合比较与评价。</w:t>
      </w:r>
    </w:p>
    <w:p w14:paraId="14E372DC">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22.3 评标方法和标准</w:t>
      </w:r>
    </w:p>
    <w:p w14:paraId="0868590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22.3.1评标方法分为最低评标价法和综合评分法。本次招标的评标方法和标准，详见本招标文件第三章。</w:t>
      </w:r>
    </w:p>
    <w:p w14:paraId="256DA96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22.3.2最低评标价法，是指投标文件满足招标文件全部实质性要求，且投标报价最低的投标人为中标候选人的评标方法。</w:t>
      </w:r>
    </w:p>
    <w:p w14:paraId="1E85DA4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采用最低评标价法评标时，除了算术修正和落实政府采购政策需进行的价格扣除外，不对投标人的投标价格进行任何调整。</w:t>
      </w:r>
    </w:p>
    <w:p w14:paraId="50BF6008">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22.3.3综合评分法，是指投标文件满足招标文件全部实质性要求，且按照评审因素的量化指标评审得分最高的投标人为中标候选人的评标方法。</w:t>
      </w:r>
    </w:p>
    <w:p w14:paraId="3FDDF395">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评审因素，包括价格、技术、商务等。</w:t>
      </w:r>
    </w:p>
    <w:p w14:paraId="1843D96C">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评标时，评标委员会各成员应当独立对每个投标人的投标文件进行评价，并汇总每个投标人的得分。</w:t>
      </w:r>
    </w:p>
    <w:p w14:paraId="0FB3213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价格分采用低价优先法计算，即满足招标文件要求且投标价格最低的投标报价为评标基准价，其价格分为满分。</w:t>
      </w:r>
    </w:p>
    <w:p w14:paraId="06397836">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评标总得分＝F1×A1＋F2×A2＋……＋Fn×An</w:t>
      </w:r>
    </w:p>
    <w:p w14:paraId="55A46931">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F1、F2……Fn分别为各项评审因素的得分；</w:t>
      </w:r>
    </w:p>
    <w:p w14:paraId="48072405">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A1、A2、……An 分别为各项评审因素所占的权重(A1＋A2＋……＋An＝1)。</w:t>
      </w:r>
    </w:p>
    <w:p w14:paraId="20DC09B6">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因落实政府采购政策进行价格调整的，以调整后的价格计算评标基准价和投标报价。</w:t>
      </w:r>
    </w:p>
    <w:p w14:paraId="1969007D">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bCs/>
          <w:szCs w:val="21"/>
          <w:highlight w:val="none"/>
        </w:rPr>
        <w:t>23、</w:t>
      </w:r>
      <w:r>
        <w:rPr>
          <w:rFonts w:hint="eastAsia" w:ascii="宋体" w:hAnsi="宋体" w:eastAsia="宋体" w:cs="宋体"/>
          <w:b/>
          <w:szCs w:val="21"/>
          <w:highlight w:val="none"/>
        </w:rPr>
        <w:t>确定中标人</w:t>
      </w:r>
    </w:p>
    <w:p w14:paraId="6FC0670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420EC75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96CA67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3B848A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因系统存储空间有限，中标结果公告届满之日起三十日后，苏采云系统不再保证提供下载《中标通知书》服务，因未及时下载而造成的不利后果由中标人自行承担。</w:t>
      </w:r>
    </w:p>
    <w:p w14:paraId="3EC8DD38">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bCs/>
          <w:szCs w:val="21"/>
          <w:highlight w:val="none"/>
        </w:rPr>
        <w:t>23.4 中标通知书对采购人和中标人具有同等法律效力。中标通知书发出后，采购人不得</w:t>
      </w:r>
      <w:r>
        <w:rPr>
          <w:rFonts w:hint="eastAsia" w:ascii="宋体" w:hAnsi="宋体" w:eastAsia="宋体" w:cs="宋体"/>
          <w:b/>
          <w:szCs w:val="21"/>
          <w:highlight w:val="none"/>
        </w:rPr>
        <w:t>违法改变中标结果，中标人无正当理由不得放弃中标。</w:t>
      </w:r>
    </w:p>
    <w:p w14:paraId="794453C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23.5 所有投标文件不论中标与否，均不退回。</w:t>
      </w:r>
    </w:p>
    <w:p w14:paraId="29A57ED6">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
          <w:bCs/>
          <w:szCs w:val="21"/>
          <w:highlight w:val="none"/>
        </w:rPr>
        <w:t>24、编写评标报告</w:t>
      </w:r>
    </w:p>
    <w:p w14:paraId="65256BD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24.1评标委员会根据全体评标成员签字的原始评标记录和评标结果编写评标报告。</w:t>
      </w:r>
    </w:p>
    <w:p w14:paraId="1292305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25、评标过程的保密性</w:t>
      </w:r>
    </w:p>
    <w:p w14:paraId="7F74B02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25.1 采购人和采购代理机构将采取必要措施，保证评标在严格保密的情况下进行。</w:t>
      </w:r>
    </w:p>
    <w:p w14:paraId="09583E7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25.2 任何单位和个人不得非法干预、影响评标办法的确定，以及评标过程和结果。</w:t>
      </w:r>
    </w:p>
    <w:p w14:paraId="199060B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25.3 凡是与审查、澄清、评价和比较投标的有关资料等，均不向投标人及与评标无关的其他人员透露。</w:t>
      </w:r>
    </w:p>
    <w:p w14:paraId="716A945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六、签订合同</w:t>
      </w:r>
    </w:p>
    <w:p w14:paraId="0D5ED7D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26、签订合同</w:t>
      </w:r>
    </w:p>
    <w:p w14:paraId="4F79523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0F769A71">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szCs w:val="21"/>
          <w:highlight w:val="none"/>
        </w:rPr>
        <w:t>26.2</w:t>
      </w:r>
      <w:r>
        <w:rPr>
          <w:rFonts w:hint="eastAsia" w:ascii="宋体" w:hAnsi="宋体" w:eastAsia="宋体" w:cs="宋体"/>
          <w:szCs w:val="21"/>
          <w:highlight w:val="none"/>
        </w:rPr>
        <w:t>除继续履行将损害国家利益和社会公众利益的，政府采购合同的双方当事人不得擅自变更、中止或者终止合同。</w:t>
      </w:r>
      <w:r>
        <w:rPr>
          <w:rFonts w:hint="eastAsia" w:ascii="宋体" w:hAnsi="宋体" w:eastAsia="宋体" w:cs="宋体"/>
          <w:b/>
          <w:bCs/>
          <w:szCs w:val="21"/>
          <w:highlight w:val="none"/>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312D33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26.3采购人不得向中标人提出任何不合理的要求作为签订合同的条件。</w:t>
      </w:r>
    </w:p>
    <w:p w14:paraId="47D55BF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26.4中标人拒绝与采购人签订合同的，采购人可以按照评审报告推荐的中标或者成交候选人名单排序，确定下一候选人为中标或者成交供应商，也可以重新开展政府采购活动。</w:t>
      </w:r>
    </w:p>
    <w:p w14:paraId="4540BE5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13C001D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26.6 采购人与中标人应当根据合同的约定依法履行合同义务。</w:t>
      </w:r>
    </w:p>
    <w:p w14:paraId="6B49164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七、质疑和投诉</w:t>
      </w:r>
    </w:p>
    <w:p w14:paraId="57BE4BD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27、质疑</w:t>
      </w:r>
    </w:p>
    <w:p w14:paraId="4D10B02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w:t>
      </w:r>
    </w:p>
    <w:p w14:paraId="6922529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27.2提出质疑的供应商应当是参与所质疑项目采购活动的供应商。潜在供应商已依法获取其可质疑的采购文件的，可以对该文件提出质疑。</w:t>
      </w:r>
    </w:p>
    <w:p w14:paraId="76849BB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342D9B4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6540C94">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highlight w:val="none"/>
        </w:rPr>
        <w:t>供应商必须在法定质疑期内一次性提出针对同一采购程序环节的质疑。</w:t>
      </w:r>
    </w:p>
    <w:p w14:paraId="5B4D253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27.4 供应商提出质疑应当提交质疑函和必要的证明材料。质疑函应当包括下列内容：</w:t>
      </w:r>
    </w:p>
    <w:p w14:paraId="49846C2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（一）供应商的姓名或者名称、地址、邮编、联系人及联系电话；</w:t>
      </w:r>
    </w:p>
    <w:p w14:paraId="739C28F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（二）质疑项目的名称、编号；</w:t>
      </w:r>
    </w:p>
    <w:p w14:paraId="159B507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（三）具体、明确的质疑事项和与质疑事项相关的请求（具体条款）；</w:t>
      </w:r>
    </w:p>
    <w:p w14:paraId="0901C7D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（四）事实依据（具体条款）；</w:t>
      </w:r>
    </w:p>
    <w:p w14:paraId="5C15361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（五）必要的法律依据（具体条款）；</w:t>
      </w:r>
    </w:p>
    <w:p w14:paraId="798B310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（六）提出质疑的日期。</w:t>
      </w:r>
    </w:p>
    <w:p w14:paraId="4406E50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F8E2CE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质疑函应当使用中文。相关当事人提供外文书证或者外国语视听资料的，应当附有中文译本，由翻译机构盖章或者翻译人员签名。</w:t>
      </w:r>
    </w:p>
    <w:p w14:paraId="5EE17C5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27.5质疑函应当现场提交至采购代理机构联系人处，提交时应出示有效身份证明。未按上述要求提交质疑函的，质疑不予受理。</w:t>
      </w:r>
    </w:p>
    <w:p w14:paraId="44EEFEB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0C7604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27.7采购代理机构在收到投标人的书面质疑后将及时组织调查核实，在</w:t>
      </w:r>
      <w:r>
        <w:rPr>
          <w:rFonts w:hint="eastAsia" w:ascii="宋体" w:hAnsi="宋体" w:eastAsia="宋体" w:cs="宋体"/>
          <w:b/>
          <w:bCs/>
          <w:szCs w:val="21"/>
          <w:highlight w:val="none"/>
        </w:rPr>
        <w:t>七个工作日内</w:t>
      </w:r>
      <w:r>
        <w:rPr>
          <w:rFonts w:hint="eastAsia" w:ascii="宋体" w:hAnsi="宋体" w:eastAsia="宋体" w:cs="宋体"/>
          <w:szCs w:val="21"/>
          <w:highlight w:val="none"/>
        </w:rPr>
        <w:t>作出答复，并以书面或在网站公告形式通知质疑投标人和其他有关投标人，答复的内容不涉及商业秘密。</w:t>
      </w:r>
    </w:p>
    <w:p w14:paraId="148BC9CE">
      <w:pPr>
        <w:widowControl/>
        <w:shd w:val="clear" w:color="auto" w:fill="FFFFFF"/>
        <w:spacing w:line="420" w:lineRule="exact"/>
        <w:ind w:firstLine="420"/>
        <w:rPr>
          <w:rFonts w:hint="eastAsia" w:ascii="宋体" w:hAnsi="宋体" w:eastAsia="宋体" w:cs="宋体"/>
          <w:szCs w:val="21"/>
          <w:highlight w:val="none"/>
        </w:rPr>
      </w:pPr>
      <w:r>
        <w:rPr>
          <w:rFonts w:hint="eastAsia" w:ascii="宋体" w:hAnsi="宋体" w:eastAsia="宋体" w:cs="宋体"/>
          <w:b/>
          <w:bCs/>
          <w:szCs w:val="21"/>
          <w:highlight w:val="none"/>
        </w:rPr>
        <w:t>28、投诉</w:t>
      </w:r>
    </w:p>
    <w:p w14:paraId="7DF3C8E0">
      <w:pPr>
        <w:spacing w:line="420" w:lineRule="exact"/>
        <w:ind w:firstLine="420"/>
        <w:rPr>
          <w:rFonts w:hint="eastAsia" w:ascii="宋体" w:hAnsi="宋体" w:eastAsia="宋体" w:cs="宋体"/>
          <w:highlight w:val="none"/>
        </w:rPr>
      </w:pPr>
      <w:r>
        <w:rPr>
          <w:rFonts w:hint="eastAsia" w:ascii="宋体" w:hAnsi="宋体" w:eastAsia="宋体" w:cs="宋体"/>
          <w:highlight w:val="none"/>
        </w:rPr>
        <w:t>28.1质疑供应商对采购代理机构的答复不满意或者采购代理机构未在规定的时间内作出答复的，可以在答复期满后十五个工作日内向同级政府采购监督管理部门投诉。</w:t>
      </w:r>
    </w:p>
    <w:p w14:paraId="43B4672D">
      <w:pPr>
        <w:spacing w:line="420" w:lineRule="exact"/>
        <w:ind w:firstLine="420"/>
        <w:rPr>
          <w:rFonts w:hint="eastAsia" w:ascii="宋体" w:hAnsi="宋体" w:eastAsia="宋体" w:cs="宋体"/>
          <w:highlight w:val="none"/>
        </w:rPr>
      </w:pPr>
      <w:r>
        <w:rPr>
          <w:rFonts w:hint="eastAsia" w:ascii="宋体" w:hAnsi="宋体" w:eastAsia="宋体" w:cs="宋体"/>
          <w:szCs w:val="21"/>
          <w:highlight w:val="none"/>
        </w:rPr>
        <w:t>28.2供应商投诉应当有明确的请求和必要的证明材料。供应商投诉的事项不得超出已质疑事项的范围。</w:t>
      </w:r>
    </w:p>
    <w:p w14:paraId="0512B694">
      <w:pPr>
        <w:spacing w:line="420" w:lineRule="exact"/>
        <w:ind w:firstLine="420"/>
        <w:rPr>
          <w:rFonts w:hint="eastAsia" w:ascii="宋体" w:hAnsi="宋体" w:eastAsia="宋体" w:cs="宋体"/>
          <w:highlight w:val="none"/>
        </w:rPr>
      </w:pPr>
      <w:r>
        <w:rPr>
          <w:rFonts w:hint="eastAsia" w:ascii="宋体" w:hAnsi="宋体" w:eastAsia="宋体" w:cs="宋体"/>
          <w:szCs w:val="21"/>
          <w:highlight w:val="none"/>
        </w:rPr>
        <w:t>28.3投诉人对政府采购监督管理部门的投诉处理决定不服或者政府采购监督管理部门逾期未作处理的，可以依法申请行政复议或者向人民法院提起行政诉讼。</w:t>
      </w:r>
    </w:p>
    <w:p w14:paraId="2A5DBA89">
      <w:pPr>
        <w:spacing w:line="420" w:lineRule="exact"/>
        <w:ind w:firstLine="420"/>
        <w:rPr>
          <w:rFonts w:hint="eastAsia" w:ascii="宋体" w:hAnsi="宋体" w:eastAsia="宋体" w:cs="宋体"/>
          <w:szCs w:val="21"/>
          <w:highlight w:val="none"/>
        </w:rPr>
      </w:pPr>
      <w:r>
        <w:rPr>
          <w:rFonts w:hint="eastAsia" w:ascii="宋体" w:hAnsi="宋体" w:eastAsia="宋体" w:cs="宋体"/>
          <w:highlight w:val="none"/>
        </w:rPr>
        <w:t>28.4 投诉人有下列行为之一的，属于严重失信行为，</w:t>
      </w:r>
      <w:r>
        <w:rPr>
          <w:rFonts w:hint="eastAsia" w:ascii="宋体" w:hAnsi="宋体" w:eastAsia="宋体" w:cs="宋体"/>
          <w:szCs w:val="21"/>
          <w:highlight w:val="none"/>
        </w:rPr>
        <w:t>由财政部门列入不良行为记录名单，禁止其一至三年内参加政府采购活动。</w:t>
      </w:r>
    </w:p>
    <w:p w14:paraId="074BFA86">
      <w:pPr>
        <w:spacing w:line="420" w:lineRule="exact"/>
        <w:ind w:firstLine="420"/>
        <w:rPr>
          <w:rFonts w:hint="eastAsia" w:ascii="宋体" w:hAnsi="宋体" w:eastAsia="宋体" w:cs="宋体"/>
          <w:highlight w:val="none"/>
        </w:rPr>
      </w:pPr>
      <w:r>
        <w:rPr>
          <w:rFonts w:hint="eastAsia" w:ascii="宋体" w:hAnsi="宋体" w:eastAsia="宋体" w:cs="宋体"/>
          <w:highlight w:val="none"/>
        </w:rPr>
        <w:t>（1）投诉人在全国范围12个月内三次以上投诉查无实据的；</w:t>
      </w:r>
    </w:p>
    <w:p w14:paraId="7B86DB50">
      <w:pPr>
        <w:spacing w:line="420" w:lineRule="exact"/>
        <w:ind w:firstLine="420"/>
        <w:rPr>
          <w:rFonts w:hint="eastAsia" w:ascii="宋体" w:hAnsi="宋体" w:eastAsia="宋体" w:cs="宋体"/>
          <w:highlight w:val="none"/>
        </w:rPr>
      </w:pPr>
      <w:r>
        <w:rPr>
          <w:rFonts w:hint="eastAsia" w:ascii="宋体" w:hAnsi="宋体" w:eastAsia="宋体" w:cs="宋体"/>
          <w:highlight w:val="none"/>
        </w:rPr>
        <w:t>（2）采用捏造事实、提供虚假材料或者以非法手段取得证明材料等方式进行虚假、恶意投诉。</w:t>
      </w:r>
    </w:p>
    <w:p w14:paraId="4AB28727">
      <w:pPr>
        <w:spacing w:line="420" w:lineRule="exact"/>
        <w:ind w:firstLine="420"/>
        <w:rPr>
          <w:rFonts w:hint="eastAsia" w:ascii="宋体" w:hAnsi="宋体" w:eastAsia="宋体" w:cs="宋体"/>
          <w:highlight w:val="none"/>
        </w:rPr>
      </w:pPr>
      <w:r>
        <w:rPr>
          <w:rFonts w:hint="eastAsia" w:ascii="宋体" w:hAnsi="宋体" w:eastAsia="宋体" w:cs="宋体"/>
          <w:highlight w:val="none"/>
        </w:rPr>
        <w:t>证据来源的合法性存在明显疑问，投诉人无法证明其取得方式合法的，视为以非法手段取得证明材料。</w:t>
      </w:r>
    </w:p>
    <w:p w14:paraId="323CC9CB">
      <w:pPr>
        <w:widowControl/>
        <w:shd w:val="clear" w:color="auto" w:fill="FFFFFF"/>
        <w:spacing w:line="360" w:lineRule="auto"/>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29、其他</w:t>
      </w:r>
    </w:p>
    <w:p w14:paraId="62FE6FFA">
      <w:pPr>
        <w:spacing w:line="360" w:lineRule="auto"/>
        <w:ind w:firstLine="420"/>
        <w:rPr>
          <w:rFonts w:hint="eastAsia" w:ascii="宋体" w:hAnsi="宋体" w:eastAsia="宋体" w:cs="宋体"/>
          <w:szCs w:val="20"/>
          <w:highlight w:val="none"/>
        </w:rPr>
      </w:pPr>
      <w:r>
        <w:rPr>
          <w:rFonts w:hint="eastAsia" w:ascii="宋体" w:hAnsi="宋体" w:eastAsia="宋体" w:cs="宋体"/>
          <w:szCs w:val="20"/>
          <w:highlight w:val="none"/>
        </w:rPr>
        <w:t>29.1本项目根据江苏省财政厅关于加强政府绿色采购有关事项的通知（苏财购</w:t>
      </w:r>
      <w:r>
        <w:rPr>
          <w:rFonts w:hint="eastAsia" w:ascii="宋体" w:hAnsi="宋体" w:eastAsia="宋体" w:cs="宋体"/>
          <w:szCs w:val="21"/>
          <w:highlight w:val="none"/>
        </w:rPr>
        <w:t>〔2023〕65号</w:t>
      </w:r>
      <w:r>
        <w:rPr>
          <w:rFonts w:hint="eastAsia" w:ascii="宋体" w:hAnsi="宋体" w:eastAsia="宋体" w:cs="宋体"/>
          <w:szCs w:val="20"/>
          <w:highlight w:val="none"/>
        </w:rPr>
        <w:t>）规定，执行绿色采购需求标准。</w:t>
      </w:r>
    </w:p>
    <w:p w14:paraId="466E5C39">
      <w:pPr>
        <w:rPr>
          <w:rFonts w:hint="eastAsia" w:ascii="宋体" w:hAnsi="宋体" w:eastAsia="宋体" w:cs="宋体"/>
          <w:highlight w:val="none"/>
        </w:rPr>
      </w:pPr>
      <w:r>
        <w:rPr>
          <w:rFonts w:hint="eastAsia" w:ascii="宋体" w:hAnsi="宋体" w:eastAsia="宋体" w:cs="宋体"/>
          <w:highlight w:val="none"/>
        </w:rPr>
        <w:br w:type="page" w:clear="all"/>
      </w:r>
    </w:p>
    <w:p w14:paraId="290BC3B5">
      <w:pPr>
        <w:pStyle w:val="2"/>
        <w:spacing w:line="360" w:lineRule="auto"/>
        <w:rPr>
          <w:rFonts w:hint="eastAsia" w:ascii="宋体" w:hAnsi="宋体" w:eastAsia="宋体" w:cs="宋体"/>
          <w:highlight w:val="none"/>
        </w:rPr>
      </w:pPr>
      <w:bookmarkStart w:id="6" w:name="_Toc481057145"/>
      <w:r>
        <w:rPr>
          <w:rFonts w:hint="eastAsia" w:ascii="宋体" w:hAnsi="宋体" w:eastAsia="宋体" w:cs="宋体"/>
          <w:highlight w:val="none"/>
        </w:rPr>
        <w:t xml:space="preserve"> </w:t>
      </w:r>
      <w:bookmarkStart w:id="7" w:name="_Toc193212821"/>
      <w:r>
        <w:rPr>
          <w:rFonts w:hint="eastAsia" w:ascii="宋体" w:hAnsi="宋体" w:eastAsia="宋体" w:cs="宋体"/>
          <w:highlight w:val="none"/>
        </w:rPr>
        <w:t>评标标准</w:t>
      </w:r>
      <w:bookmarkEnd w:id="6"/>
      <w:bookmarkEnd w:id="7"/>
    </w:p>
    <w:p w14:paraId="0E9CE667">
      <w:pPr>
        <w:spacing w:line="360" w:lineRule="auto"/>
        <w:ind w:firstLine="420"/>
        <w:rPr>
          <w:rFonts w:hint="eastAsia" w:ascii="宋体" w:hAnsi="宋体" w:eastAsia="宋体" w:cs="宋体"/>
          <w:highlight w:val="none"/>
        </w:rPr>
      </w:pPr>
      <w:r>
        <w:rPr>
          <w:rFonts w:hint="eastAsia" w:ascii="宋体" w:hAnsi="宋体" w:eastAsia="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1161"/>
        <w:gridCol w:w="6249"/>
        <w:gridCol w:w="673"/>
      </w:tblGrid>
      <w:tr w14:paraId="5742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4A3389">
            <w:pPr>
              <w:rPr>
                <w:rFonts w:hint="eastAsia" w:ascii="宋体" w:hAnsi="宋体" w:eastAsia="宋体" w:cs="宋体"/>
                <w:highlight w:val="none"/>
              </w:rPr>
            </w:pPr>
            <w:r>
              <w:rPr>
                <w:rFonts w:hint="eastAsia" w:ascii="宋体" w:hAnsi="宋体" w:eastAsia="宋体" w:cs="宋体"/>
                <w:highlight w:val="none"/>
              </w:rPr>
              <w:t>序号</w:t>
            </w: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62A251">
            <w:pPr>
              <w:rPr>
                <w:rFonts w:hint="eastAsia" w:ascii="宋体" w:hAnsi="宋体" w:eastAsia="宋体" w:cs="宋体"/>
                <w:highlight w:val="none"/>
              </w:rPr>
            </w:pPr>
            <w:r>
              <w:rPr>
                <w:rFonts w:hint="eastAsia" w:ascii="宋体" w:hAnsi="宋体" w:eastAsia="宋体" w:cs="宋体"/>
                <w:highlight w:val="none"/>
              </w:rPr>
              <w:t>评分因素</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592C876">
            <w:pPr>
              <w:rPr>
                <w:rFonts w:hint="eastAsia" w:ascii="宋体" w:hAnsi="宋体" w:eastAsia="宋体" w:cs="宋体"/>
                <w:highlight w:val="none"/>
              </w:rPr>
            </w:pPr>
            <w:r>
              <w:rPr>
                <w:rFonts w:hint="eastAsia" w:ascii="宋体" w:hAnsi="宋体" w:eastAsia="宋体" w:cs="宋体"/>
                <w:highlight w:val="none"/>
              </w:rPr>
              <w:t>评审标准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523FCF">
            <w:pPr>
              <w:rPr>
                <w:rFonts w:hint="eastAsia" w:ascii="宋体" w:hAnsi="宋体" w:eastAsia="宋体" w:cs="宋体"/>
                <w:highlight w:val="none"/>
              </w:rPr>
            </w:pPr>
            <w:r>
              <w:rPr>
                <w:rFonts w:hint="eastAsia" w:ascii="宋体" w:hAnsi="宋体" w:eastAsia="宋体" w:cs="宋体"/>
                <w:highlight w:val="none"/>
              </w:rPr>
              <w:t>分值</w:t>
            </w:r>
          </w:p>
        </w:tc>
      </w:tr>
      <w:tr w14:paraId="49248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0" w:hRule="atLeast"/>
          <w:jc w:val="center"/>
        </w:trPr>
        <w:tc>
          <w:tcPr>
            <w:tcW w:w="361" w:type="pct"/>
            <w:tcBorders>
              <w:top w:val="single" w:color="auto" w:sz="4" w:space="0"/>
              <w:left w:val="single" w:color="auto" w:sz="4" w:space="0"/>
              <w:right w:val="single" w:color="auto" w:sz="4" w:space="0"/>
            </w:tcBorders>
            <w:shd w:val="clear" w:color="auto" w:fill="auto"/>
            <w:noWrap w:val="0"/>
            <w:vAlign w:val="center"/>
          </w:tcPr>
          <w:p w14:paraId="39ACF0EF">
            <w:pPr>
              <w:numPr>
                <w:ilvl w:val="0"/>
                <w:numId w:val="6"/>
              </w:numPr>
              <w:ind w:left="425" w:leftChars="0" w:hanging="425" w:firstLineChars="0"/>
              <w:rPr>
                <w:rFonts w:hint="eastAsia" w:ascii="宋体" w:hAnsi="宋体" w:eastAsia="宋体" w:cs="宋体"/>
                <w:highlight w:val="none"/>
                <w:lang w:val="zh-CN"/>
              </w:rPr>
            </w:pPr>
          </w:p>
        </w:tc>
        <w:tc>
          <w:tcPr>
            <w:tcW w:w="666" w:type="pct"/>
            <w:tcBorders>
              <w:top w:val="single" w:color="auto" w:sz="4" w:space="0"/>
              <w:left w:val="single" w:color="auto" w:sz="4" w:space="0"/>
              <w:right w:val="single" w:color="auto" w:sz="4" w:space="0"/>
            </w:tcBorders>
            <w:shd w:val="clear" w:color="auto" w:fill="auto"/>
            <w:noWrap w:val="0"/>
            <w:vAlign w:val="center"/>
          </w:tcPr>
          <w:p w14:paraId="739113E2">
            <w:pPr>
              <w:rPr>
                <w:rFonts w:hint="eastAsia" w:ascii="宋体" w:hAnsi="宋体" w:eastAsia="宋体" w:cs="宋体"/>
                <w:highlight w:val="none"/>
                <w:lang w:val="zh-CN"/>
              </w:rPr>
            </w:pPr>
            <w:r>
              <w:rPr>
                <w:rFonts w:hint="eastAsia" w:ascii="宋体" w:hAnsi="宋体" w:eastAsia="宋体" w:cs="宋体"/>
                <w:highlight w:val="none"/>
                <w:lang w:val="zh-CN"/>
              </w:rPr>
              <w:t>价格</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04BDC3">
            <w:pPr>
              <w:rPr>
                <w:rFonts w:hint="eastAsia" w:ascii="宋体" w:hAnsi="宋体" w:eastAsia="宋体" w:cs="宋体"/>
                <w:highlight w:val="none"/>
                <w:lang w:val="zh-CN"/>
              </w:rPr>
            </w:pPr>
            <w:r>
              <w:rPr>
                <w:rFonts w:hint="eastAsia" w:ascii="宋体" w:hAnsi="宋体" w:eastAsia="宋体" w:cs="宋体"/>
                <w:highlight w:val="none"/>
                <w:lang w:val="zh-CN"/>
              </w:rPr>
              <w:t>采用低价优先法计算，即满足招标文件要求且报价最低的供应商的价格为评标基准价，其价格分为满分。其他供应商的价格分统一按照下列公式计算：投标报价得分=（评标基准价/投标报价）×</w:t>
            </w:r>
            <w:r>
              <w:rPr>
                <w:rFonts w:hint="eastAsia" w:ascii="宋体" w:hAnsi="宋体" w:cs="宋体"/>
                <w:highlight w:val="none"/>
                <w:lang w:val="en-US" w:eastAsia="zh-CN"/>
              </w:rPr>
              <w:t>1</w:t>
            </w:r>
            <w:r>
              <w:rPr>
                <w:rFonts w:hint="eastAsia" w:ascii="宋体" w:hAnsi="宋体" w:eastAsia="宋体" w:cs="宋体"/>
                <w:highlight w:val="none"/>
                <w:lang w:val="en-US" w:eastAsia="zh-CN"/>
              </w:rPr>
              <w:t>0</w:t>
            </w:r>
            <w:r>
              <w:rPr>
                <w:rFonts w:hint="eastAsia" w:ascii="宋体" w:hAnsi="宋体" w:eastAsia="宋体" w:cs="宋体"/>
                <w:highlight w:val="none"/>
                <w:lang w:val="zh-CN"/>
              </w:rPr>
              <w:t>（小数点保留2位）</w:t>
            </w:r>
          </w:p>
          <w:p w14:paraId="20910091">
            <w:pPr>
              <w:rPr>
                <w:rFonts w:hint="eastAsia" w:ascii="宋体" w:hAnsi="宋体" w:eastAsia="宋体" w:cs="宋体"/>
                <w:highlight w:val="none"/>
                <w:lang w:val="zh-CN"/>
              </w:rPr>
            </w:pPr>
            <w:r>
              <w:rPr>
                <w:rFonts w:hint="eastAsia" w:ascii="宋体" w:hAnsi="宋体" w:eastAsia="宋体" w:cs="宋体"/>
                <w:highlight w:val="none"/>
                <w:lang w:val="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386" w:type="pct"/>
            <w:tcBorders>
              <w:top w:val="single" w:color="auto" w:sz="4" w:space="0"/>
              <w:left w:val="single" w:color="auto" w:sz="4" w:space="0"/>
              <w:right w:val="single" w:color="auto" w:sz="4" w:space="0"/>
            </w:tcBorders>
            <w:shd w:val="clear" w:color="auto" w:fill="auto"/>
            <w:noWrap w:val="0"/>
            <w:vAlign w:val="center"/>
          </w:tcPr>
          <w:p w14:paraId="73FAB16F">
            <w:pPr>
              <w:rPr>
                <w:rFonts w:hint="eastAsia" w:ascii="宋体" w:hAnsi="宋体" w:eastAsia="宋体" w:cs="宋体"/>
                <w:highlight w:val="none"/>
                <w:lang w:val="en-US" w:eastAsia="zh-CN"/>
              </w:rPr>
            </w:pPr>
            <w:r>
              <w:rPr>
                <w:rFonts w:hint="eastAsia" w:ascii="宋体" w:hAnsi="宋体" w:cs="宋体"/>
                <w:highlight w:val="none"/>
                <w:lang w:val="en-US" w:eastAsia="zh-CN"/>
              </w:rPr>
              <w:t>1</w:t>
            </w:r>
            <w:r>
              <w:rPr>
                <w:rFonts w:hint="eastAsia" w:ascii="宋体" w:hAnsi="宋体" w:eastAsia="宋体" w:cs="宋体"/>
                <w:highlight w:val="none"/>
                <w:lang w:val="en-US" w:eastAsia="zh-CN"/>
              </w:rPr>
              <w:t>0</w:t>
            </w:r>
          </w:p>
        </w:tc>
      </w:tr>
      <w:tr w14:paraId="67090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361" w:type="pct"/>
            <w:tcBorders>
              <w:top w:val="single" w:color="auto" w:sz="4" w:space="0"/>
              <w:left w:val="single" w:color="auto" w:sz="4" w:space="0"/>
              <w:right w:val="single" w:color="auto" w:sz="4" w:space="0"/>
            </w:tcBorders>
            <w:shd w:val="clear" w:color="auto" w:fill="auto"/>
            <w:noWrap w:val="0"/>
            <w:vAlign w:val="center"/>
          </w:tcPr>
          <w:p w14:paraId="4E99E2A8">
            <w:pPr>
              <w:numPr>
                <w:ilvl w:val="0"/>
                <w:numId w:val="6"/>
              </w:numPr>
              <w:ind w:left="425" w:leftChars="0" w:hanging="425" w:firstLineChars="0"/>
              <w:rPr>
                <w:rFonts w:hint="eastAsia" w:ascii="宋体" w:hAnsi="宋体" w:eastAsia="宋体" w:cs="宋体"/>
                <w:highlight w:val="none"/>
                <w:lang w:val="zh-CN"/>
              </w:rPr>
            </w:pPr>
          </w:p>
        </w:tc>
        <w:tc>
          <w:tcPr>
            <w:tcW w:w="666" w:type="pct"/>
            <w:tcBorders>
              <w:top w:val="single" w:color="auto" w:sz="4" w:space="0"/>
              <w:left w:val="single" w:color="auto" w:sz="4" w:space="0"/>
              <w:right w:val="single" w:color="auto" w:sz="4" w:space="0"/>
            </w:tcBorders>
            <w:shd w:val="clear" w:color="auto" w:fill="auto"/>
            <w:noWrap w:val="0"/>
            <w:vAlign w:val="center"/>
          </w:tcPr>
          <w:p w14:paraId="31BCFC2A">
            <w:pPr>
              <w:rPr>
                <w:rFonts w:hint="eastAsia" w:ascii="宋体" w:hAnsi="宋体" w:eastAsia="宋体" w:cs="宋体"/>
                <w:highlight w:val="none"/>
                <w:lang w:val="zh-CN"/>
              </w:rPr>
            </w:pPr>
            <w:r>
              <w:rPr>
                <w:rFonts w:hint="eastAsia" w:ascii="宋体" w:hAnsi="宋体" w:eastAsia="宋体" w:cs="宋体"/>
                <w:highlight w:val="none"/>
                <w:lang w:val="zh-CN"/>
              </w:rPr>
              <w:t>业绩</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BFB3C4">
            <w:pPr>
              <w:rPr>
                <w:rFonts w:hint="eastAsia" w:ascii="宋体" w:hAnsi="宋体" w:eastAsia="宋体" w:cs="宋体"/>
                <w:highlight w:val="none"/>
                <w:lang w:val="zh-CN"/>
              </w:rPr>
            </w:pPr>
            <w:r>
              <w:rPr>
                <w:rFonts w:hint="eastAsia" w:ascii="宋体" w:hAnsi="宋体" w:eastAsia="宋体" w:cs="宋体"/>
                <w:highlight w:val="none"/>
                <w:lang w:val="zh-CN"/>
              </w:rPr>
              <w:t>供应商自2021年1月1日（含）以来（以合同签订日期为准）承接过类似团体体检项目业绩（须提供合同或协议复印件，应完整涵盖合同主体、缔约双方的有效签章、合同生效日期）。每提供一个符合要求的业绩得</w:t>
            </w:r>
            <w:r>
              <w:rPr>
                <w:rFonts w:hint="eastAsia" w:ascii="宋体" w:hAnsi="宋体" w:cs="宋体"/>
                <w:highlight w:val="none"/>
                <w:lang w:val="en-US" w:eastAsia="zh-CN"/>
              </w:rPr>
              <w:t>2</w:t>
            </w:r>
            <w:r>
              <w:rPr>
                <w:rFonts w:hint="eastAsia" w:ascii="宋体" w:hAnsi="宋体" w:eastAsia="宋体" w:cs="宋体"/>
                <w:highlight w:val="none"/>
                <w:lang w:val="zh-CN"/>
              </w:rPr>
              <w:t>分，最多得</w:t>
            </w:r>
            <w:r>
              <w:rPr>
                <w:rFonts w:hint="eastAsia" w:ascii="宋体" w:hAnsi="宋体" w:cs="宋体"/>
                <w:highlight w:val="none"/>
                <w:lang w:val="en-US" w:eastAsia="zh-CN"/>
              </w:rPr>
              <w:t>6</w:t>
            </w:r>
            <w:r>
              <w:rPr>
                <w:rFonts w:hint="eastAsia" w:ascii="宋体" w:hAnsi="宋体" w:eastAsia="宋体" w:cs="宋体"/>
                <w:highlight w:val="none"/>
                <w:lang w:val="zh-CN"/>
              </w:rPr>
              <w:t>分。注：同一采购人（甲方单位）的多个业绩不重复累计得分。</w:t>
            </w:r>
          </w:p>
        </w:tc>
        <w:tc>
          <w:tcPr>
            <w:tcW w:w="386" w:type="pct"/>
            <w:tcBorders>
              <w:top w:val="single" w:color="auto" w:sz="4" w:space="0"/>
              <w:left w:val="single" w:color="auto" w:sz="4" w:space="0"/>
              <w:right w:val="single" w:color="auto" w:sz="4" w:space="0"/>
            </w:tcBorders>
            <w:shd w:val="clear" w:color="auto" w:fill="auto"/>
            <w:noWrap w:val="0"/>
            <w:vAlign w:val="center"/>
          </w:tcPr>
          <w:p w14:paraId="0022CFC7">
            <w:pPr>
              <w:rPr>
                <w:rFonts w:hint="eastAsia" w:ascii="宋体" w:hAnsi="宋体" w:eastAsia="宋体" w:cs="宋体"/>
                <w:highlight w:val="none"/>
                <w:lang w:val="en-US" w:eastAsia="zh-CN"/>
              </w:rPr>
            </w:pPr>
            <w:r>
              <w:rPr>
                <w:rFonts w:hint="eastAsia" w:ascii="宋体" w:hAnsi="宋体" w:cs="宋体"/>
                <w:highlight w:val="none"/>
                <w:lang w:val="en-US" w:eastAsia="zh-CN"/>
              </w:rPr>
              <w:t>6</w:t>
            </w:r>
          </w:p>
        </w:tc>
      </w:tr>
      <w:tr w14:paraId="57B3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361" w:type="pct"/>
            <w:vMerge w:val="restart"/>
            <w:tcBorders>
              <w:top w:val="single" w:color="auto" w:sz="4" w:space="0"/>
              <w:left w:val="single" w:color="auto" w:sz="4" w:space="0"/>
              <w:right w:val="single" w:color="auto" w:sz="4" w:space="0"/>
            </w:tcBorders>
            <w:shd w:val="clear" w:color="auto" w:fill="auto"/>
            <w:noWrap w:val="0"/>
            <w:vAlign w:val="center"/>
          </w:tcPr>
          <w:p w14:paraId="4B9F09AE">
            <w:pPr>
              <w:numPr>
                <w:ilvl w:val="0"/>
                <w:numId w:val="6"/>
              </w:numPr>
              <w:ind w:left="425" w:leftChars="0" w:hanging="425" w:firstLineChars="0"/>
              <w:rPr>
                <w:rFonts w:hint="eastAsia" w:ascii="宋体" w:hAnsi="宋体" w:eastAsia="宋体" w:cs="宋体"/>
                <w:highlight w:val="none"/>
                <w:lang w:val="en-US" w:eastAsia="zh-CN"/>
              </w:rPr>
            </w:pPr>
          </w:p>
        </w:tc>
        <w:tc>
          <w:tcPr>
            <w:tcW w:w="666" w:type="pct"/>
            <w:vMerge w:val="restart"/>
            <w:tcBorders>
              <w:top w:val="single" w:color="auto" w:sz="4" w:space="0"/>
              <w:left w:val="single" w:color="auto" w:sz="4" w:space="0"/>
              <w:right w:val="single" w:color="auto" w:sz="4" w:space="0"/>
            </w:tcBorders>
            <w:shd w:val="clear" w:color="auto" w:fill="auto"/>
            <w:noWrap w:val="0"/>
            <w:vAlign w:val="center"/>
          </w:tcPr>
          <w:p w14:paraId="08E3C38B">
            <w:pPr>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技术力量</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6A2C33A0">
            <w:pPr>
              <w:rPr>
                <w:rFonts w:hint="eastAsia" w:ascii="宋体" w:hAnsi="宋体" w:eastAsia="宋体" w:cs="宋体"/>
                <w:highlight w:val="none"/>
                <w:lang w:val="zh-CN"/>
              </w:rPr>
            </w:pPr>
            <w:r>
              <w:rPr>
                <w:rFonts w:hint="eastAsia" w:ascii="宋体" w:hAnsi="宋体" w:eastAsia="宋体" w:cs="宋体"/>
                <w:highlight w:val="none"/>
                <w:lang w:val="zh-CN"/>
              </w:rPr>
              <w:t>针对本项目实施服务的医生及其他所有工作人员（除主检医生）应为投标单位自有员工（总人数不少于20人），其中高级职称专家（或研究生学历）占比超过70%得9分；占比50%（不含）-70%（含）得6分；占比30%（不含）-50%（含）得3分；其余或人数不足不得分。</w:t>
            </w:r>
          </w:p>
          <w:p w14:paraId="5766FA49">
            <w:pPr>
              <w:rPr>
                <w:rFonts w:hint="eastAsia" w:ascii="宋体" w:hAnsi="宋体" w:eastAsia="宋体" w:cs="宋体"/>
                <w:highlight w:val="none"/>
                <w:lang w:val="zh-CN"/>
              </w:rPr>
            </w:pPr>
            <w:r>
              <w:rPr>
                <w:rFonts w:hint="eastAsia" w:ascii="宋体" w:hAnsi="宋体" w:eastAsia="宋体" w:cs="宋体"/>
                <w:highlight w:val="none"/>
                <w:lang w:val="zh-CN"/>
              </w:rPr>
              <w:t>注：</w:t>
            </w:r>
          </w:p>
          <w:p w14:paraId="3C91D855">
            <w:pPr>
              <w:pStyle w:val="207"/>
              <w:numPr>
                <w:ilvl w:val="0"/>
                <w:numId w:val="7"/>
              </w:numPr>
              <w:spacing w:before="0" w:beforeAutospacing="0" w:after="0" w:afterAutospacing="0" w:line="360" w:lineRule="auto"/>
              <w:ind w:left="0" w:leftChars="0" w:firstLine="0" w:firstLineChars="0"/>
              <w:contextualSpacing/>
              <w:jc w:val="both"/>
              <w:rPr>
                <w:rFonts w:hint="eastAsia" w:ascii="宋体" w:hAnsi="宋体" w:eastAsia="宋体" w:cs="宋体"/>
                <w:highlight w:val="none"/>
                <w:lang w:val="zh-CN"/>
              </w:rPr>
            </w:pPr>
            <w:r>
              <w:rPr>
                <w:rFonts w:hint="eastAsia" w:ascii="宋体" w:hAnsi="宋体" w:eastAsia="宋体" w:cs="宋体"/>
                <w:highlight w:val="none"/>
                <w:lang w:val="zh-CN"/>
              </w:rPr>
              <w:t>提供服务团队所有人员的执业资格证书复印件（执业地点须在投标单位）、职称证书复印件或学历证书复印件；</w:t>
            </w:r>
          </w:p>
          <w:p w14:paraId="7F18F57A">
            <w:pPr>
              <w:pStyle w:val="207"/>
              <w:numPr>
                <w:ilvl w:val="0"/>
                <w:numId w:val="7"/>
              </w:numPr>
              <w:spacing w:before="0" w:beforeAutospacing="0" w:after="0" w:afterAutospacing="0" w:line="360" w:lineRule="auto"/>
              <w:ind w:left="0" w:leftChars="0" w:firstLine="0" w:firstLineChars="0"/>
              <w:contextualSpacing/>
              <w:jc w:val="both"/>
              <w:rPr>
                <w:rFonts w:hint="eastAsia" w:ascii="宋体" w:hAnsi="宋体" w:eastAsia="宋体" w:cs="宋体"/>
                <w:highlight w:val="none"/>
                <w:lang w:val="zh-CN"/>
              </w:rPr>
            </w:pPr>
            <w:r>
              <w:rPr>
                <w:rFonts w:hint="eastAsia" w:ascii="宋体" w:hAnsi="宋体" w:eastAsia="宋体" w:cs="宋体"/>
                <w:highlight w:val="none"/>
                <w:lang w:val="zh-CN"/>
              </w:rPr>
              <w:t>自有员工证明：可提供医师电子化注册信息系统查询页面或202</w:t>
            </w:r>
            <w:r>
              <w:rPr>
                <w:rFonts w:hint="eastAsia" w:ascii="宋体" w:hAnsi="宋体" w:eastAsia="宋体" w:cs="宋体"/>
                <w:highlight w:val="none"/>
                <w:lang w:val="en-US" w:eastAsia="zh-CN"/>
              </w:rPr>
              <w:t>5</w:t>
            </w:r>
            <w:r>
              <w:rPr>
                <w:rFonts w:hint="eastAsia" w:ascii="宋体" w:hAnsi="宋体" w:eastAsia="宋体" w:cs="宋体"/>
                <w:highlight w:val="none"/>
                <w:lang w:val="zh-CN"/>
              </w:rPr>
              <w:t>年1月至投标截止之日任意一个月的社保缴纳证明（事业单位无法提供社保证明材料的提供单位证明）；</w:t>
            </w:r>
          </w:p>
          <w:p w14:paraId="32CC376B">
            <w:pPr>
              <w:pStyle w:val="207"/>
              <w:numPr>
                <w:ilvl w:val="0"/>
                <w:numId w:val="7"/>
              </w:numPr>
              <w:spacing w:before="0" w:beforeAutospacing="0" w:after="0" w:afterAutospacing="0" w:line="360" w:lineRule="auto"/>
              <w:ind w:left="0" w:leftChars="0" w:firstLine="0" w:firstLineChars="0"/>
              <w:contextualSpacing/>
              <w:jc w:val="both"/>
              <w:rPr>
                <w:rFonts w:hint="eastAsia" w:ascii="宋体" w:hAnsi="宋体" w:eastAsia="宋体" w:cs="宋体"/>
                <w:highlight w:val="none"/>
                <w:lang w:val="zh-CN"/>
              </w:rPr>
            </w:pPr>
            <w:r>
              <w:rPr>
                <w:rFonts w:hint="eastAsia" w:ascii="宋体" w:hAnsi="宋体" w:eastAsia="宋体" w:cs="宋体"/>
                <w:highlight w:val="none"/>
                <w:lang w:val="zh-CN"/>
              </w:rPr>
              <w:t>不提供相关信息或不符合不得分。</w:t>
            </w:r>
          </w:p>
        </w:tc>
        <w:tc>
          <w:tcPr>
            <w:tcW w:w="386" w:type="pct"/>
            <w:tcBorders>
              <w:top w:val="single" w:color="auto" w:sz="4" w:space="0"/>
              <w:left w:val="single" w:color="auto" w:sz="4" w:space="0"/>
              <w:right w:val="single" w:color="auto" w:sz="4" w:space="0"/>
            </w:tcBorders>
            <w:shd w:val="clear" w:color="auto" w:fill="auto"/>
            <w:noWrap w:val="0"/>
            <w:vAlign w:val="center"/>
          </w:tcPr>
          <w:p w14:paraId="0B841203">
            <w:pPr>
              <w:rPr>
                <w:rFonts w:hint="eastAsia" w:ascii="宋体" w:hAnsi="宋体" w:eastAsia="宋体" w:cs="宋体"/>
                <w:highlight w:val="none"/>
                <w:lang w:val="en-US" w:eastAsia="zh-CN"/>
              </w:rPr>
            </w:pPr>
            <w:r>
              <w:rPr>
                <w:rFonts w:hint="eastAsia" w:ascii="宋体" w:hAnsi="宋体" w:cs="宋体"/>
                <w:highlight w:val="none"/>
                <w:lang w:val="en-US" w:eastAsia="zh-CN"/>
              </w:rPr>
              <w:t>9</w:t>
            </w:r>
          </w:p>
        </w:tc>
      </w:tr>
      <w:tr w14:paraId="06DC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361" w:type="pct"/>
            <w:vMerge w:val="continue"/>
            <w:tcBorders>
              <w:left w:val="single" w:color="auto" w:sz="4" w:space="0"/>
              <w:right w:val="single" w:color="auto" w:sz="4" w:space="0"/>
            </w:tcBorders>
            <w:shd w:val="clear" w:color="auto" w:fill="auto"/>
            <w:noWrap w:val="0"/>
            <w:vAlign w:val="center"/>
          </w:tcPr>
          <w:p w14:paraId="2E437E05">
            <w:pPr>
              <w:rPr>
                <w:rFonts w:hint="eastAsia" w:ascii="宋体" w:hAnsi="宋体" w:eastAsia="宋体" w:cs="宋体"/>
                <w:highlight w:val="none"/>
                <w:lang w:val="en-US" w:eastAsia="zh-CN"/>
              </w:rPr>
            </w:pPr>
          </w:p>
        </w:tc>
        <w:tc>
          <w:tcPr>
            <w:tcW w:w="666" w:type="pct"/>
            <w:vMerge w:val="continue"/>
            <w:tcBorders>
              <w:left w:val="single" w:color="auto" w:sz="4" w:space="0"/>
              <w:right w:val="single" w:color="auto" w:sz="4" w:space="0"/>
            </w:tcBorders>
            <w:shd w:val="clear" w:color="auto" w:fill="auto"/>
            <w:noWrap w:val="0"/>
            <w:vAlign w:val="center"/>
          </w:tcPr>
          <w:p w14:paraId="706D0E83">
            <w:pPr>
              <w:rPr>
                <w:rFonts w:hint="eastAsia" w:ascii="宋体" w:hAnsi="宋体" w:eastAsia="宋体" w:cs="宋体"/>
                <w:highlight w:val="none"/>
                <w:lang w:val="en-US" w:eastAsia="zh-CN"/>
              </w:rPr>
            </w:pP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2EBAF4AD">
            <w:pPr>
              <w:rPr>
                <w:rFonts w:hint="eastAsia" w:ascii="宋体" w:hAnsi="宋体" w:eastAsia="宋体" w:cs="宋体"/>
                <w:highlight w:val="none"/>
                <w:lang w:val="zh-CN"/>
              </w:rPr>
            </w:pPr>
            <w:r>
              <w:rPr>
                <w:rFonts w:hint="eastAsia" w:ascii="宋体" w:hAnsi="宋体" w:eastAsia="宋体" w:cs="宋体"/>
                <w:highlight w:val="none"/>
                <w:lang w:val="zh-CN"/>
              </w:rPr>
              <w:t>主检医生具有正高级职称医师的得3分，提供主检医生工作经历证明材料</w:t>
            </w:r>
            <w:r>
              <w:rPr>
                <w:rFonts w:hint="eastAsia" w:ascii="宋体" w:hAnsi="宋体" w:cs="宋体"/>
                <w:highlight w:val="none"/>
                <w:lang w:val="zh-CN"/>
              </w:rPr>
              <w:t>、</w:t>
            </w:r>
            <w:r>
              <w:rPr>
                <w:rFonts w:hint="eastAsia" w:ascii="宋体" w:hAnsi="宋体" w:eastAsia="宋体" w:cs="宋体"/>
                <w:highlight w:val="none"/>
                <w:lang w:val="zh-CN"/>
              </w:rPr>
              <w:t>职称证书复印件</w:t>
            </w:r>
            <w:r>
              <w:rPr>
                <w:rFonts w:hint="eastAsia" w:ascii="宋体" w:hAnsi="宋体" w:cs="宋体"/>
                <w:highlight w:val="none"/>
                <w:lang w:val="en-US" w:eastAsia="zh-CN"/>
              </w:rPr>
              <w:t>及执业资格证书复印件（执业地点须在投标单位）</w:t>
            </w:r>
            <w:r>
              <w:rPr>
                <w:rFonts w:hint="eastAsia" w:ascii="宋体" w:hAnsi="宋体" w:eastAsia="宋体" w:cs="宋体"/>
                <w:highlight w:val="none"/>
                <w:lang w:val="zh-CN"/>
              </w:rPr>
              <w:t>加盖公章，不提供或不符合不得分。</w:t>
            </w:r>
          </w:p>
        </w:tc>
        <w:tc>
          <w:tcPr>
            <w:tcW w:w="386" w:type="pct"/>
            <w:tcBorders>
              <w:top w:val="single" w:color="auto" w:sz="4" w:space="0"/>
              <w:left w:val="single" w:color="auto" w:sz="4" w:space="0"/>
              <w:right w:val="single" w:color="auto" w:sz="4" w:space="0"/>
            </w:tcBorders>
            <w:shd w:val="clear" w:color="auto" w:fill="auto"/>
            <w:noWrap w:val="0"/>
            <w:vAlign w:val="center"/>
          </w:tcPr>
          <w:p w14:paraId="37D79B78">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3</w:t>
            </w:r>
          </w:p>
        </w:tc>
      </w:tr>
      <w:tr w14:paraId="025B5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361" w:type="pct"/>
            <w:vMerge w:val="continue"/>
            <w:tcBorders>
              <w:left w:val="single" w:color="auto" w:sz="4" w:space="0"/>
              <w:bottom w:val="single" w:color="auto" w:sz="4" w:space="0"/>
              <w:right w:val="single" w:color="auto" w:sz="4" w:space="0"/>
            </w:tcBorders>
            <w:shd w:val="clear" w:color="auto" w:fill="auto"/>
            <w:noWrap w:val="0"/>
            <w:vAlign w:val="center"/>
          </w:tcPr>
          <w:p w14:paraId="178F746A">
            <w:pPr>
              <w:rPr>
                <w:rFonts w:hint="eastAsia" w:ascii="宋体" w:hAnsi="宋体" w:eastAsia="宋体" w:cs="宋体"/>
                <w:sz w:val="21"/>
                <w:szCs w:val="24"/>
                <w:highlight w:val="none"/>
                <w:lang w:val="zh-CN" w:eastAsia="zh-CN"/>
              </w:rPr>
            </w:pPr>
          </w:p>
        </w:tc>
        <w:tc>
          <w:tcPr>
            <w:tcW w:w="666" w:type="pct"/>
            <w:vMerge w:val="continue"/>
            <w:tcBorders>
              <w:left w:val="single" w:color="auto" w:sz="4" w:space="0"/>
              <w:bottom w:val="single" w:color="auto" w:sz="4" w:space="0"/>
              <w:right w:val="single" w:color="auto" w:sz="4" w:space="0"/>
            </w:tcBorders>
            <w:shd w:val="clear" w:color="auto" w:fill="auto"/>
            <w:noWrap w:val="0"/>
            <w:vAlign w:val="center"/>
          </w:tcPr>
          <w:p w14:paraId="44F72E4F">
            <w:pPr>
              <w:rPr>
                <w:rFonts w:hint="eastAsia" w:ascii="宋体" w:hAnsi="宋体" w:eastAsia="宋体" w:cs="宋体"/>
                <w:highlight w:val="none"/>
                <w:lang w:val="zh-CN"/>
              </w:rPr>
            </w:pP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7B334C">
            <w:pPr>
              <w:rPr>
                <w:rFonts w:hint="eastAsia" w:ascii="宋体" w:hAnsi="宋体" w:eastAsia="宋体" w:cs="宋体"/>
                <w:highlight w:val="none"/>
                <w:lang w:val="zh-CN"/>
              </w:rPr>
            </w:pPr>
            <w:r>
              <w:rPr>
                <w:rFonts w:hint="eastAsia" w:ascii="宋体" w:hAnsi="宋体" w:eastAsia="宋体" w:cs="宋体"/>
                <w:highlight w:val="none"/>
                <w:lang w:val="zh-CN"/>
              </w:rPr>
              <w:t xml:space="preserve">投标人提供拟投入本项目的护士在单个体检点的数量： </w:t>
            </w:r>
          </w:p>
          <w:p w14:paraId="72F3320B">
            <w:pPr>
              <w:rPr>
                <w:rFonts w:hint="eastAsia" w:ascii="宋体" w:hAnsi="宋体" w:eastAsia="宋体" w:cs="宋体"/>
                <w:highlight w:val="none"/>
                <w:lang w:val="zh-CN"/>
              </w:rPr>
            </w:pPr>
            <w:r>
              <w:rPr>
                <w:rFonts w:hint="eastAsia" w:ascii="宋体" w:hAnsi="宋体" w:eastAsia="宋体" w:cs="宋体"/>
                <w:highlight w:val="none"/>
                <w:lang w:val="zh-CN"/>
              </w:rPr>
              <w:t>护士≥5 人得 3 分；</w:t>
            </w:r>
          </w:p>
          <w:p w14:paraId="4C97683B">
            <w:pPr>
              <w:rPr>
                <w:rFonts w:hint="eastAsia" w:ascii="宋体" w:hAnsi="宋体" w:eastAsia="宋体" w:cs="宋体"/>
                <w:highlight w:val="none"/>
                <w:lang w:val="zh-CN"/>
              </w:rPr>
            </w:pPr>
            <w:r>
              <w:rPr>
                <w:rFonts w:hint="eastAsia" w:ascii="宋体" w:hAnsi="宋体" w:eastAsia="宋体" w:cs="宋体"/>
                <w:highlight w:val="none"/>
                <w:lang w:val="zh-CN"/>
              </w:rPr>
              <w:t>以上提供护士人员名单及202</w:t>
            </w:r>
            <w:r>
              <w:rPr>
                <w:rFonts w:hint="eastAsia" w:ascii="宋体" w:hAnsi="宋体" w:cs="宋体"/>
                <w:highlight w:val="none"/>
                <w:lang w:val="en-US" w:eastAsia="zh-CN"/>
              </w:rPr>
              <w:t>5</w:t>
            </w:r>
            <w:r>
              <w:rPr>
                <w:rFonts w:hint="eastAsia" w:ascii="宋体" w:hAnsi="宋体" w:eastAsia="宋体" w:cs="宋体"/>
                <w:highlight w:val="none"/>
                <w:lang w:val="zh-CN"/>
              </w:rPr>
              <w:t>年1月至投标截止之日任意一个月的社保缴纳证明（事业单位无法提供社保证明材料的提供单位证明）</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FB0CA1">
            <w:pPr>
              <w:rPr>
                <w:rFonts w:hint="default" w:ascii="宋体" w:hAnsi="宋体" w:eastAsia="宋体" w:cs="宋体"/>
                <w:highlight w:val="none"/>
                <w:lang w:val="en-US" w:eastAsia="zh-CN"/>
              </w:rPr>
            </w:pPr>
            <w:r>
              <w:rPr>
                <w:rFonts w:hint="eastAsia" w:ascii="宋体" w:hAnsi="宋体" w:cs="宋体"/>
                <w:highlight w:val="none"/>
                <w:lang w:val="en-US" w:eastAsia="zh-CN"/>
              </w:rPr>
              <w:t>3</w:t>
            </w:r>
          </w:p>
        </w:tc>
      </w:tr>
      <w:tr w14:paraId="0715E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361" w:type="pct"/>
            <w:vMerge w:val="restart"/>
            <w:tcBorders>
              <w:top w:val="single" w:color="auto" w:sz="4" w:space="0"/>
              <w:left w:val="single" w:color="auto" w:sz="4" w:space="0"/>
              <w:right w:val="single" w:color="auto" w:sz="4" w:space="0"/>
            </w:tcBorders>
            <w:shd w:val="clear" w:color="auto" w:fill="auto"/>
            <w:noWrap w:val="0"/>
            <w:vAlign w:val="center"/>
          </w:tcPr>
          <w:p w14:paraId="3EC357BC">
            <w:pPr>
              <w:numPr>
                <w:ilvl w:val="0"/>
                <w:numId w:val="6"/>
              </w:numPr>
              <w:ind w:left="425" w:leftChars="0" w:hanging="425" w:firstLineChars="0"/>
              <w:rPr>
                <w:rFonts w:hint="default" w:ascii="宋体" w:hAnsi="宋体" w:eastAsia="宋体" w:cs="宋体"/>
                <w:highlight w:val="none"/>
                <w:lang w:val="en-US" w:eastAsia="zh-CN"/>
              </w:rPr>
            </w:pPr>
          </w:p>
        </w:tc>
        <w:tc>
          <w:tcPr>
            <w:tcW w:w="666" w:type="pct"/>
            <w:vMerge w:val="restart"/>
            <w:tcBorders>
              <w:top w:val="single" w:color="auto" w:sz="4" w:space="0"/>
              <w:left w:val="single" w:color="auto" w:sz="4" w:space="0"/>
              <w:right w:val="single" w:color="auto" w:sz="4" w:space="0"/>
            </w:tcBorders>
            <w:shd w:val="clear" w:color="auto" w:fill="auto"/>
            <w:noWrap w:val="0"/>
            <w:vAlign w:val="center"/>
          </w:tcPr>
          <w:p w14:paraId="51B03EEF">
            <w:pPr>
              <w:rPr>
                <w:rFonts w:hint="eastAsia" w:ascii="宋体" w:hAnsi="宋体" w:eastAsia="宋体" w:cs="宋体"/>
                <w:highlight w:val="none"/>
                <w:lang w:val="zh-CN"/>
              </w:rPr>
            </w:pPr>
            <w:r>
              <w:rPr>
                <w:rFonts w:hint="eastAsia" w:ascii="宋体" w:hAnsi="宋体" w:eastAsia="宋体" w:cs="宋体"/>
                <w:highlight w:val="none"/>
                <w:lang w:val="zh-CN"/>
              </w:rPr>
              <w:t>检验能力</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6A2EBFEE">
            <w:pPr>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为保证体检质量，投标单位应当具备自行检测的能力，所有体检项目不得进行外包，所有检测及化验项目不得进行外包。提供承诺书及化验室及化验设备照片作为证明材料得</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分，材料不全不得分。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C5FC39">
            <w:pPr>
              <w:rPr>
                <w:rFonts w:hint="eastAsia" w:ascii="宋体" w:hAnsi="宋体" w:eastAsia="宋体" w:cs="宋体"/>
                <w:highlight w:val="none"/>
                <w:lang w:val="en-US" w:eastAsia="zh-CN"/>
              </w:rPr>
            </w:pPr>
            <w:r>
              <w:rPr>
                <w:rFonts w:hint="eastAsia" w:ascii="宋体" w:hAnsi="宋体" w:cs="宋体"/>
                <w:highlight w:val="none"/>
                <w:lang w:val="en-US" w:eastAsia="zh-CN"/>
              </w:rPr>
              <w:t>8</w:t>
            </w:r>
          </w:p>
        </w:tc>
      </w:tr>
      <w:tr w14:paraId="4687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361" w:type="pct"/>
            <w:vMerge w:val="continue"/>
            <w:tcBorders>
              <w:left w:val="single" w:color="auto" w:sz="4" w:space="0"/>
              <w:bottom w:val="single" w:color="auto" w:sz="4" w:space="0"/>
              <w:right w:val="single" w:color="auto" w:sz="4" w:space="0"/>
            </w:tcBorders>
            <w:shd w:val="clear" w:color="auto" w:fill="auto"/>
            <w:noWrap w:val="0"/>
            <w:vAlign w:val="center"/>
          </w:tcPr>
          <w:p w14:paraId="57D559D3">
            <w:pPr>
              <w:numPr>
                <w:ilvl w:val="0"/>
                <w:numId w:val="6"/>
              </w:numPr>
              <w:ind w:left="425" w:leftChars="0" w:hanging="425" w:firstLineChars="0"/>
              <w:rPr>
                <w:rFonts w:hint="eastAsia" w:ascii="宋体" w:hAnsi="宋体" w:eastAsia="宋体" w:cs="宋体"/>
                <w:highlight w:val="none"/>
                <w:lang w:val="en-US" w:eastAsia="zh-CN"/>
              </w:rPr>
            </w:pPr>
          </w:p>
        </w:tc>
        <w:tc>
          <w:tcPr>
            <w:tcW w:w="666" w:type="pct"/>
            <w:vMerge w:val="continue"/>
            <w:tcBorders>
              <w:left w:val="single" w:color="auto" w:sz="4" w:space="0"/>
              <w:bottom w:val="single" w:color="auto" w:sz="4" w:space="0"/>
              <w:right w:val="single" w:color="auto" w:sz="4" w:space="0"/>
            </w:tcBorders>
            <w:shd w:val="clear" w:color="auto" w:fill="auto"/>
            <w:noWrap w:val="0"/>
            <w:vAlign w:val="center"/>
          </w:tcPr>
          <w:p w14:paraId="5DCE0D9D">
            <w:pPr>
              <w:rPr>
                <w:rFonts w:hint="eastAsia" w:ascii="宋体" w:hAnsi="宋体" w:eastAsia="宋体" w:cs="宋体"/>
                <w:highlight w:val="none"/>
                <w:lang w:val="en-US" w:eastAsia="zh-CN"/>
              </w:rPr>
            </w:pP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742F10B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投标人提供体检专用（仅计算单个体检点）的超声诊断仪和 CT 数量：</w:t>
            </w:r>
          </w:p>
          <w:p w14:paraId="0E2ED865">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1、超声诊断仪及CT的总数≥</w:t>
            </w:r>
            <w:r>
              <w:rPr>
                <w:rFonts w:hint="eastAsia"/>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t xml:space="preserve">台，得 </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分；</w:t>
            </w:r>
          </w:p>
          <w:p w14:paraId="1CF0162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t xml:space="preserve"> 台＞超声诊断仪及CT的总数≥</w:t>
            </w:r>
            <w:r>
              <w:rPr>
                <w:rFonts w:hint="eastAsia"/>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t xml:space="preserve">台，得 </w:t>
            </w:r>
            <w:r>
              <w:rPr>
                <w:rFonts w:hint="eastAsia"/>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t xml:space="preserve"> 分；</w:t>
            </w:r>
          </w:p>
          <w:p w14:paraId="5DDE635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3、其他或未提供的不得分。 </w:t>
            </w:r>
          </w:p>
          <w:p w14:paraId="76080FC7">
            <w:pPr>
              <w:rPr>
                <w:rFonts w:hint="eastAsia" w:ascii="宋体" w:hAnsi="宋体" w:eastAsia="宋体" w:cs="宋体"/>
                <w:highlight w:val="none"/>
                <w:lang w:val="en-US" w:eastAsia="zh-CN"/>
              </w:rPr>
            </w:pPr>
            <w:r>
              <w:rPr>
                <w:color w:val="000000" w:themeColor="text1"/>
                <w:highlight w:val="none"/>
                <w14:textFill>
                  <w14:solidFill>
                    <w14:schemeClr w14:val="tx1"/>
                  </w14:solidFill>
                </w14:textFill>
              </w:rPr>
              <w:t>以上提供体检专用</w:t>
            </w:r>
            <w:r>
              <w:rPr>
                <w:rFonts w:hint="eastAsia"/>
                <w:color w:val="000000" w:themeColor="text1"/>
                <w:highlight w:val="none"/>
                <w:lang w:val="en-US" w:eastAsia="zh-CN"/>
                <w14:textFill>
                  <w14:solidFill>
                    <w14:schemeClr w14:val="tx1"/>
                  </w14:solidFill>
                </w14:textFill>
              </w:rPr>
              <w:t>设备</w:t>
            </w:r>
            <w:r>
              <w:rPr>
                <w:color w:val="000000" w:themeColor="text1"/>
                <w:highlight w:val="none"/>
                <w14:textFill>
                  <w14:solidFill>
                    <w14:schemeClr w14:val="tx1"/>
                  </w14:solidFill>
                </w14:textFill>
              </w:rPr>
              <w:t>数量</w:t>
            </w:r>
            <w:r>
              <w:rPr>
                <w:rFonts w:hint="eastAsia"/>
                <w:color w:val="000000" w:themeColor="text1"/>
                <w:highlight w:val="none"/>
                <w:lang w:val="en-US" w:eastAsia="zh-CN"/>
                <w14:textFill>
                  <w14:solidFill>
                    <w14:schemeClr w14:val="tx1"/>
                  </w14:solidFill>
                </w14:textFill>
              </w:rPr>
              <w:t>清单和</w:t>
            </w:r>
            <w:r>
              <w:rPr>
                <w:color w:val="000000" w:themeColor="text1"/>
                <w:highlight w:val="none"/>
                <w14:textFill>
                  <w14:solidFill>
                    <w14:schemeClr w14:val="tx1"/>
                  </w14:solidFill>
                </w14:textFill>
              </w:rPr>
              <w:t>承诺书。</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A49A10">
            <w:pPr>
              <w:rPr>
                <w:rFonts w:hint="eastAsia" w:ascii="宋体" w:hAnsi="宋体" w:eastAsia="宋体" w:cs="宋体"/>
                <w:highlight w:val="none"/>
                <w:lang w:val="en-US" w:eastAsia="zh-CN"/>
              </w:rPr>
            </w:pPr>
            <w:r>
              <w:rPr>
                <w:rFonts w:hint="eastAsia" w:ascii="宋体" w:hAnsi="宋体" w:cs="宋体"/>
                <w:highlight w:val="none"/>
                <w:lang w:val="en-US" w:eastAsia="zh-CN"/>
              </w:rPr>
              <w:t>7</w:t>
            </w:r>
          </w:p>
        </w:tc>
      </w:tr>
      <w:tr w14:paraId="26AC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1D45BF">
            <w:pPr>
              <w:numPr>
                <w:ilvl w:val="0"/>
                <w:numId w:val="6"/>
              </w:numPr>
              <w:ind w:left="425" w:leftChars="0" w:hanging="425" w:firstLineChars="0"/>
              <w:rPr>
                <w:rFonts w:hint="eastAsia" w:ascii="宋体" w:hAnsi="宋体" w:eastAsia="宋体" w:cs="宋体"/>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8FDB4A">
            <w:pPr>
              <w:spacing w:beforeLines="50"/>
              <w:jc w:val="center"/>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时间进度安排及体检流程</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0D60BC">
            <w:pPr>
              <w:rPr>
                <w:rFonts w:hint="eastAsia" w:ascii="宋体" w:hAnsi="宋体" w:eastAsia="宋体" w:cs="宋体"/>
                <w:highlight w:val="none"/>
                <w:lang w:val="zh-CN" w:eastAsia="zh-CN"/>
              </w:rPr>
            </w:pPr>
            <w:r>
              <w:rPr>
                <w:rFonts w:hint="eastAsia" w:ascii="宋体" w:hAnsi="宋体" w:eastAsia="宋体" w:cs="宋体"/>
                <w:highlight w:val="none"/>
                <w:lang w:val="zh-CN" w:eastAsia="zh-CN"/>
              </w:rPr>
              <w:t>针对本项目提供的体检时间进度安排、体检流程等方面进行打分：时间进度安排完善合理、针对性强，体检流程有序高效的得</w:t>
            </w:r>
            <w:r>
              <w:rPr>
                <w:rFonts w:hint="eastAsia" w:ascii="宋体" w:hAnsi="宋体" w:cs="宋体"/>
                <w:highlight w:val="none"/>
                <w:lang w:val="en-US" w:eastAsia="zh-CN"/>
              </w:rPr>
              <w:t>9</w:t>
            </w:r>
            <w:r>
              <w:rPr>
                <w:rFonts w:hint="eastAsia" w:ascii="宋体" w:hAnsi="宋体" w:eastAsia="宋体" w:cs="宋体"/>
                <w:highlight w:val="none"/>
                <w:lang w:val="zh-CN" w:eastAsia="zh-CN"/>
              </w:rPr>
              <w:t>分；时间进度安排完整，体检流程方便快捷，基本满足采购人需求的得</w:t>
            </w:r>
            <w:r>
              <w:rPr>
                <w:rFonts w:hint="eastAsia" w:ascii="宋体" w:hAnsi="宋体" w:cs="宋体"/>
                <w:highlight w:val="none"/>
                <w:lang w:val="en-US" w:eastAsia="zh-CN"/>
              </w:rPr>
              <w:t>6</w:t>
            </w:r>
            <w:r>
              <w:rPr>
                <w:rFonts w:hint="eastAsia" w:ascii="宋体" w:hAnsi="宋体" w:eastAsia="宋体" w:cs="宋体"/>
                <w:highlight w:val="none"/>
                <w:lang w:val="zh-CN" w:eastAsia="zh-CN"/>
              </w:rPr>
              <w:t>分；仅提供部分内容或部分满足采购人需求的得</w:t>
            </w:r>
            <w:r>
              <w:rPr>
                <w:rFonts w:hint="eastAsia" w:ascii="宋体" w:hAnsi="宋体" w:cs="宋体"/>
                <w:highlight w:val="none"/>
                <w:lang w:val="en-US" w:eastAsia="zh-CN"/>
              </w:rPr>
              <w:t>3</w:t>
            </w:r>
            <w:r>
              <w:rPr>
                <w:rFonts w:hint="eastAsia" w:ascii="宋体" w:hAnsi="宋体" w:eastAsia="宋体" w:cs="宋体"/>
                <w:highlight w:val="none"/>
                <w:lang w:val="zh-CN" w:eastAsia="zh-CN"/>
              </w:rPr>
              <w:t>分；未提供或不可行不得分。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D6FB4F">
            <w:pPr>
              <w:rPr>
                <w:rFonts w:hint="eastAsia" w:ascii="宋体" w:hAnsi="宋体" w:eastAsia="宋体" w:cs="宋体"/>
                <w:highlight w:val="none"/>
                <w:lang w:val="en-US" w:eastAsia="zh-CN"/>
              </w:rPr>
            </w:pPr>
            <w:r>
              <w:rPr>
                <w:rFonts w:hint="eastAsia" w:ascii="宋体" w:hAnsi="宋体" w:cs="宋体"/>
                <w:highlight w:val="none"/>
                <w:lang w:val="en-US" w:eastAsia="zh-CN"/>
              </w:rPr>
              <w:t>9</w:t>
            </w:r>
          </w:p>
        </w:tc>
      </w:tr>
      <w:tr w14:paraId="450C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365F51B">
            <w:pPr>
              <w:numPr>
                <w:ilvl w:val="0"/>
                <w:numId w:val="6"/>
              </w:numPr>
              <w:ind w:left="425" w:leftChars="0" w:hanging="425" w:firstLineChars="0"/>
              <w:rPr>
                <w:rFonts w:hint="eastAsia" w:ascii="宋体" w:hAnsi="宋体" w:eastAsia="宋体" w:cs="宋体"/>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8A01B2">
            <w:pPr>
              <w:spacing w:beforeLines="50"/>
              <w:jc w:val="center"/>
              <w:rPr>
                <w:rFonts w:hint="eastAsia" w:ascii="宋体" w:hAnsi="宋体" w:eastAsia="宋体" w:cs="宋体"/>
                <w:highlight w:val="none"/>
              </w:rPr>
            </w:pPr>
            <w:r>
              <w:rPr>
                <w:rFonts w:hint="eastAsia"/>
                <w:color w:val="000000" w:themeColor="text1"/>
                <w:highlight w:val="none"/>
                <w14:textFill>
                  <w14:solidFill>
                    <w14:schemeClr w14:val="tx1"/>
                  </w14:solidFill>
                </w14:textFill>
              </w:rPr>
              <w:t>体检</w:t>
            </w:r>
            <w:r>
              <w:rPr>
                <w:color w:val="000000" w:themeColor="text1"/>
                <w:highlight w:val="none"/>
                <w14:textFill>
                  <w14:solidFill>
                    <w14:schemeClr w14:val="tx1"/>
                  </w14:solidFill>
                </w14:textFill>
              </w:rPr>
              <w:t>中期、</w:t>
            </w:r>
            <w:r>
              <w:rPr>
                <w:rFonts w:hint="eastAsia"/>
                <w:color w:val="000000" w:themeColor="text1"/>
                <w:highlight w:val="none"/>
                <w14:textFill>
                  <w14:solidFill>
                    <w14:schemeClr w14:val="tx1"/>
                  </w14:solidFill>
                </w14:textFill>
              </w:rPr>
              <w:t>后期的服务方案</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ECF063">
            <w:pPr>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针对本项目提供的体检过程中代表行业内高水平的主任医师的免费咨询、</w:t>
            </w:r>
            <w:r>
              <w:rPr>
                <w:color w:val="000000" w:themeColor="text1"/>
                <w:highlight w:val="none"/>
                <w14:textFill>
                  <w14:solidFill>
                    <w14:schemeClr w14:val="tx1"/>
                  </w14:solidFill>
                </w14:textFill>
              </w:rPr>
              <w:t>健康讲座、</w:t>
            </w:r>
            <w:r>
              <w:rPr>
                <w:rFonts w:hint="eastAsia"/>
                <w:color w:val="000000" w:themeColor="text1"/>
                <w:highlight w:val="none"/>
                <w14:textFill>
                  <w14:solidFill>
                    <w14:schemeClr w14:val="tx1"/>
                  </w14:solidFill>
                </w14:textFill>
              </w:rPr>
              <w:t>健康档案管理及检后服务方案</w:t>
            </w:r>
            <w:r>
              <w:rPr>
                <w:rFonts w:hint="eastAsia" w:cs="宋体"/>
                <w:color w:val="000000" w:themeColor="text1"/>
                <w:kern w:val="0"/>
                <w:highlight w:val="none"/>
                <w14:textFill>
                  <w14:solidFill>
                    <w14:schemeClr w14:val="tx1"/>
                  </w14:solidFill>
                </w14:textFill>
              </w:rPr>
              <w:t>等</w:t>
            </w:r>
            <w:r>
              <w:rPr>
                <w:rFonts w:hint="eastAsia"/>
                <w:color w:val="000000" w:themeColor="text1"/>
                <w:highlight w:val="none"/>
                <w14:textFill>
                  <w14:solidFill>
                    <w14:schemeClr w14:val="tx1"/>
                  </w14:solidFill>
                </w14:textFill>
              </w:rPr>
              <w:t>相关特色服务承诺方面进行打分：方案完善</w:t>
            </w:r>
            <w:r>
              <w:rPr>
                <w:color w:val="000000" w:themeColor="text1"/>
                <w:highlight w:val="none"/>
                <w14:textFill>
                  <w14:solidFill>
                    <w14:schemeClr w14:val="tx1"/>
                  </w14:solidFill>
                </w14:textFill>
              </w:rPr>
              <w:t>合理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适用性、针对性强</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得</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分；方案完整，基本满足采购人需求的得</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分；仅提供部分内容或部分满足采购人需求的得</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分；未提供或不可行不得分。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FBC08C">
            <w:pPr>
              <w:rPr>
                <w:rFonts w:hint="eastAsia" w:ascii="宋体" w:hAnsi="宋体" w:eastAsia="宋体" w:cs="宋体"/>
                <w:highlight w:val="none"/>
                <w:lang w:eastAsia="zh-CN"/>
              </w:rPr>
            </w:pPr>
            <w:r>
              <w:rPr>
                <w:rFonts w:hint="eastAsia" w:ascii="宋体" w:hAnsi="宋体" w:cs="宋体"/>
                <w:highlight w:val="none"/>
                <w:lang w:val="en-US" w:eastAsia="zh-CN"/>
              </w:rPr>
              <w:t>9</w:t>
            </w:r>
          </w:p>
        </w:tc>
      </w:tr>
      <w:tr w14:paraId="6F5F3A44">
        <w:tblPrEx>
          <w:tblCellMar>
            <w:top w:w="0" w:type="dxa"/>
            <w:left w:w="108" w:type="dxa"/>
            <w:bottom w:w="0" w:type="dxa"/>
            <w:right w:w="108" w:type="dxa"/>
          </w:tblCellMar>
        </w:tblPrEx>
        <w:trPr>
          <w:trHeight w:val="273"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78925B">
            <w:pPr>
              <w:numPr>
                <w:ilvl w:val="0"/>
                <w:numId w:val="6"/>
              </w:numPr>
              <w:ind w:left="425" w:leftChars="0" w:hanging="425" w:firstLineChars="0"/>
              <w:rPr>
                <w:rFonts w:hint="eastAsia" w:ascii="宋体" w:hAnsi="宋体" w:eastAsia="宋体" w:cs="宋体"/>
                <w:sz w:val="21"/>
                <w:szCs w:val="24"/>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18A6539">
            <w:pPr>
              <w:spacing w:beforeLines="50"/>
              <w:jc w:val="center"/>
              <w:rPr>
                <w:rFonts w:hint="eastAsia" w:ascii="宋体" w:hAnsi="宋体" w:eastAsia="宋体" w:cs="宋体"/>
                <w:highlight w:val="none"/>
                <w:lang w:val="zh-CN" w:eastAsia="zh-CN"/>
              </w:rPr>
            </w:pPr>
            <w:r>
              <w:rPr>
                <w:rFonts w:hint="eastAsia" w:cs="宋体"/>
                <w:color w:val="000000" w:themeColor="text1"/>
                <w:kern w:val="0"/>
                <w:highlight w:val="none"/>
                <w14:textFill>
                  <w14:solidFill>
                    <w14:schemeClr w14:val="tx1"/>
                  </w14:solidFill>
                </w14:textFill>
              </w:rPr>
              <w:t>便利交通方案</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7560AEB">
            <w:pPr>
              <w:widowControl/>
              <w:rPr>
                <w:rFonts w:hint="eastAsia" w:ascii="宋体" w:hAnsi="宋体" w:eastAsia="宋体" w:cs="宋体"/>
                <w:highlight w:val="none"/>
                <w:lang w:val="zh-CN" w:eastAsia="zh-CN"/>
              </w:rPr>
            </w:pPr>
            <w:r>
              <w:rPr>
                <w:rFonts w:hint="eastAsia"/>
                <w:color w:val="000000" w:themeColor="text1"/>
                <w:highlight w:val="none"/>
                <w14:textFill>
                  <w14:solidFill>
                    <w14:schemeClr w14:val="tx1"/>
                  </w14:solidFill>
                </w14:textFill>
              </w:rPr>
              <w:t>针对本项目提供的便利交通方案（如投标单位距离采购人单位的直线距离、公共交通的选择性和便利性等方面）进行打分：</w:t>
            </w:r>
            <w:r>
              <w:rPr>
                <w:rFonts w:hint="eastAsia" w:cs="宋体"/>
                <w:color w:val="000000" w:themeColor="text1"/>
                <w:kern w:val="0"/>
                <w:highlight w:val="none"/>
                <w14:textFill>
                  <w14:solidFill>
                    <w14:schemeClr w14:val="tx1"/>
                  </w14:solidFill>
                </w14:textFill>
              </w:rPr>
              <w:t>方案</w:t>
            </w:r>
            <w:r>
              <w:rPr>
                <w:rFonts w:hint="eastAsia"/>
                <w:color w:val="000000" w:themeColor="text1"/>
                <w:highlight w:val="none"/>
                <w14:textFill>
                  <w14:solidFill>
                    <w14:schemeClr w14:val="tx1"/>
                  </w14:solidFill>
                </w14:textFill>
              </w:rPr>
              <w:t>完善、合理、针对性强的得</w:t>
            </w:r>
            <w:r>
              <w:rPr>
                <w:rFonts w:hint="eastAsia"/>
                <w:color w:val="000000" w:themeColor="text1"/>
                <w:highlight w:val="none"/>
                <w:lang w:val="en-US" w:eastAsia="zh-CN"/>
                <w14:textFill>
                  <w14:solidFill>
                    <w14:schemeClr w14:val="tx1"/>
                  </w14:solidFill>
                </w14:textFill>
              </w:rPr>
              <w:t>9</w:t>
            </w:r>
            <w:r>
              <w:rPr>
                <w:color w:val="000000" w:themeColor="text1"/>
                <w:highlight w:val="none"/>
                <w14:textFill>
                  <w14:solidFill>
                    <w14:schemeClr w14:val="tx1"/>
                  </w14:solidFill>
                </w14:textFill>
              </w:rPr>
              <w:t>分；</w:t>
            </w:r>
            <w:r>
              <w:rPr>
                <w:rFonts w:hint="eastAsia" w:cs="宋体"/>
                <w:color w:val="000000" w:themeColor="text1"/>
                <w:kern w:val="0"/>
                <w:highlight w:val="none"/>
                <w14:textFill>
                  <w14:solidFill>
                    <w14:schemeClr w14:val="tx1"/>
                  </w14:solidFill>
                </w14:textFill>
              </w:rPr>
              <w:t>方案</w:t>
            </w:r>
            <w:r>
              <w:rPr>
                <w:color w:val="000000" w:themeColor="text1"/>
                <w:highlight w:val="none"/>
                <w14:textFill>
                  <w14:solidFill>
                    <w14:schemeClr w14:val="tx1"/>
                  </w14:solidFill>
                </w14:textFill>
              </w:rPr>
              <w:t>完整，基本满足采购人需求的得</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分；仅提供部分内容或部分满足采购人需求的得</w:t>
            </w:r>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分；未提供或不可行不得分。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0659CF">
            <w:pPr>
              <w:rPr>
                <w:rFonts w:hint="default" w:ascii="宋体" w:hAnsi="宋体" w:eastAsia="宋体" w:cs="宋体"/>
                <w:highlight w:val="none"/>
                <w:lang w:val="en-US" w:eastAsia="zh-CN"/>
              </w:rPr>
            </w:pPr>
            <w:r>
              <w:rPr>
                <w:rFonts w:hint="eastAsia" w:ascii="宋体" w:hAnsi="宋体" w:cs="宋体"/>
                <w:highlight w:val="none"/>
                <w:lang w:val="en-US" w:eastAsia="zh-CN"/>
              </w:rPr>
              <w:t>9</w:t>
            </w:r>
          </w:p>
        </w:tc>
      </w:tr>
      <w:tr w14:paraId="3ABFE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8B6B93">
            <w:pPr>
              <w:numPr>
                <w:ilvl w:val="0"/>
                <w:numId w:val="6"/>
              </w:numPr>
              <w:ind w:left="425" w:leftChars="0" w:hanging="425" w:firstLineChars="0"/>
              <w:rPr>
                <w:rFonts w:hint="eastAsia" w:ascii="宋体" w:hAnsi="宋体" w:eastAsia="宋体" w:cs="宋体"/>
                <w:sz w:val="21"/>
                <w:szCs w:val="24"/>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1957D4">
            <w:pPr>
              <w:spacing w:beforeLines="50"/>
              <w:jc w:val="center"/>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体检仪器设备性能及服务能力</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F25BF33">
            <w:pPr>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针对本项目提供的主要体检仪器（胸部CT设备和彩超设备具体型号配置数量情况）进行打分：设备类型技术先进、成像高效清晰、获取源头数据精准的得</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分；技术满足使用要求、达到市场通用水平，基本满足采购人需求的得</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分；仅提供部分内容或部分满足采购人需求的得</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分；未提供或不可行不得分。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9272B6">
            <w:pPr>
              <w:rPr>
                <w:rFonts w:hint="eastAsia" w:ascii="宋体" w:hAnsi="宋体" w:eastAsia="宋体" w:cs="宋体"/>
                <w:highlight w:val="none"/>
                <w:lang w:val="en-US" w:eastAsia="zh-CN"/>
              </w:rPr>
            </w:pPr>
            <w:r>
              <w:rPr>
                <w:rFonts w:hint="eastAsia" w:ascii="宋体" w:hAnsi="宋体" w:cs="宋体"/>
                <w:highlight w:val="none"/>
                <w:lang w:val="en-US" w:eastAsia="zh-CN"/>
              </w:rPr>
              <w:t>9</w:t>
            </w:r>
          </w:p>
        </w:tc>
      </w:tr>
      <w:tr w14:paraId="1093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15A32D">
            <w:pPr>
              <w:numPr>
                <w:ilvl w:val="0"/>
                <w:numId w:val="6"/>
              </w:numPr>
              <w:ind w:left="425" w:leftChars="0" w:hanging="425" w:firstLineChars="0"/>
              <w:rPr>
                <w:rFonts w:hint="eastAsia" w:ascii="宋体" w:hAnsi="宋体" w:eastAsia="宋体" w:cs="宋体"/>
                <w:sz w:val="21"/>
                <w:szCs w:val="24"/>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521CB4">
            <w:pPr>
              <w:spacing w:beforeLines="50"/>
              <w:jc w:val="center"/>
              <w:rPr>
                <w:rFonts w:hint="eastAsia" w:ascii="宋体" w:hAnsi="宋体" w:eastAsia="宋体" w:cs="宋体"/>
                <w:highlight w:val="none"/>
              </w:rPr>
            </w:pPr>
            <w:r>
              <w:rPr>
                <w:color w:val="000000" w:themeColor="text1"/>
                <w:highlight w:val="none"/>
                <w14:textFill>
                  <w14:solidFill>
                    <w14:schemeClr w14:val="tx1"/>
                  </w14:solidFill>
                </w14:textFill>
              </w:rPr>
              <w:t>报告解读</w:t>
            </w:r>
            <w:r>
              <w:rPr>
                <w:rFonts w:hint="eastAsia"/>
                <w:color w:val="000000" w:themeColor="text1"/>
                <w:highlight w:val="none"/>
                <w14:textFill>
                  <w14:solidFill>
                    <w14:schemeClr w14:val="tx1"/>
                  </w14:solidFill>
                </w14:textFill>
              </w:rPr>
              <w:t>方式、</w:t>
            </w:r>
            <w:r>
              <w:rPr>
                <w:color w:val="000000" w:themeColor="text1"/>
                <w:highlight w:val="none"/>
                <w14:textFill>
                  <w14:solidFill>
                    <w14:schemeClr w14:val="tx1"/>
                  </w14:solidFill>
                </w14:textFill>
              </w:rPr>
              <w:t>转诊建议、健康指导</w:t>
            </w:r>
            <w:r>
              <w:rPr>
                <w:rFonts w:hint="eastAsia"/>
                <w:color w:val="000000" w:themeColor="text1"/>
                <w:highlight w:val="none"/>
                <w14:textFill>
                  <w14:solidFill>
                    <w14:schemeClr w14:val="tx1"/>
                  </w14:solidFill>
                </w14:textFill>
              </w:rPr>
              <w:t>方案</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4DC6C0">
            <w:pPr>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针对本项目提供的个人体检报告解读方式、</w:t>
            </w:r>
            <w:r>
              <w:rPr>
                <w:color w:val="000000" w:themeColor="text1"/>
                <w:highlight w:val="none"/>
                <w14:textFill>
                  <w14:solidFill>
                    <w14:schemeClr w14:val="tx1"/>
                  </w14:solidFill>
                </w14:textFill>
              </w:rPr>
              <w:t>转诊建议、健康指导</w:t>
            </w:r>
            <w:r>
              <w:rPr>
                <w:rFonts w:hint="eastAsia"/>
                <w:color w:val="000000" w:themeColor="text1"/>
                <w:highlight w:val="none"/>
                <w14:textFill>
                  <w14:solidFill>
                    <w14:schemeClr w14:val="tx1"/>
                  </w14:solidFill>
                </w14:textFill>
              </w:rPr>
              <w:t>方案进行打分：能提供多种报告解读、</w:t>
            </w:r>
            <w:r>
              <w:rPr>
                <w:color w:val="000000" w:themeColor="text1"/>
                <w:highlight w:val="none"/>
                <w14:textFill>
                  <w14:solidFill>
                    <w14:schemeClr w14:val="tx1"/>
                  </w14:solidFill>
                </w14:textFill>
              </w:rPr>
              <w:t>转诊建议、健康指导</w:t>
            </w:r>
            <w:r>
              <w:rPr>
                <w:rFonts w:hint="eastAsia"/>
                <w:color w:val="000000" w:themeColor="text1"/>
                <w:highlight w:val="none"/>
                <w14:textFill>
                  <w14:solidFill>
                    <w14:schemeClr w14:val="tx1"/>
                  </w14:solidFill>
                </w14:textFill>
              </w:rPr>
              <w:t>渠道的得</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分；有专门的个人体检报告解读</w:t>
            </w:r>
            <w:r>
              <w:rPr>
                <w:color w:val="000000" w:themeColor="text1"/>
                <w:highlight w:val="none"/>
                <w14:textFill>
                  <w14:solidFill>
                    <w14:schemeClr w14:val="tx1"/>
                  </w14:solidFill>
                </w14:textFill>
              </w:rPr>
              <w:t>转诊建议、健康指导</w:t>
            </w:r>
            <w:r>
              <w:rPr>
                <w:rFonts w:hint="eastAsia"/>
                <w:color w:val="000000" w:themeColor="text1"/>
                <w:highlight w:val="none"/>
                <w14:textFill>
                  <w14:solidFill>
                    <w14:schemeClr w14:val="tx1"/>
                  </w14:solidFill>
                </w14:textFill>
              </w:rPr>
              <w:t>的得</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分；种类单一或不方便操作的得</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分；未提供或不可行不得分。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98E377">
            <w:pPr>
              <w:rPr>
                <w:rFonts w:hint="eastAsia" w:ascii="宋体" w:hAnsi="宋体" w:eastAsia="宋体" w:cs="宋体"/>
                <w:highlight w:val="none"/>
                <w:lang w:val="en-US" w:eastAsia="zh-CN"/>
              </w:rPr>
            </w:pPr>
            <w:r>
              <w:rPr>
                <w:rFonts w:hint="eastAsia" w:ascii="宋体" w:hAnsi="宋体" w:cs="宋体"/>
                <w:highlight w:val="none"/>
                <w:lang w:val="en-US" w:eastAsia="zh-CN"/>
              </w:rPr>
              <w:t>9</w:t>
            </w:r>
          </w:p>
        </w:tc>
      </w:tr>
      <w:tr w14:paraId="08A1F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915803">
            <w:pPr>
              <w:numPr>
                <w:ilvl w:val="0"/>
                <w:numId w:val="6"/>
              </w:numPr>
              <w:ind w:left="425" w:leftChars="0" w:hanging="425" w:firstLineChars="0"/>
              <w:rPr>
                <w:rFonts w:hint="eastAsia" w:ascii="宋体" w:hAnsi="宋体" w:eastAsia="宋体" w:cs="宋体"/>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E29FC5">
            <w:pPr>
              <w:spacing w:beforeLines="50"/>
              <w:jc w:val="center"/>
              <w:rPr>
                <w:rFonts w:hint="eastAsia" w:ascii="宋体" w:hAnsi="宋体" w:eastAsia="宋体" w:cs="宋体"/>
                <w:highlight w:val="none"/>
              </w:rPr>
            </w:pPr>
            <w:r>
              <w:rPr>
                <w:rFonts w:hint="eastAsia"/>
                <w:color w:val="000000" w:themeColor="text1"/>
                <w:highlight w:val="none"/>
                <w14:textFill>
                  <w14:solidFill>
                    <w14:schemeClr w14:val="tx1"/>
                  </w14:solidFill>
                </w14:textFill>
              </w:rPr>
              <w:t>重大疾病响应安排</w:t>
            </w:r>
          </w:p>
        </w:tc>
        <w:tc>
          <w:tcPr>
            <w:tcW w:w="35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A84BC0">
            <w:pPr>
              <w:spacing w:beforeLines="50"/>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针对本项目提供的发现重大疾病做出的响应安排等方面进行打分：响应安排完善、合理、</w:t>
            </w:r>
            <w:r>
              <w:rPr>
                <w:color w:val="000000" w:themeColor="text1"/>
                <w:highlight w:val="none"/>
                <w14:textFill>
                  <w14:solidFill>
                    <w14:schemeClr w14:val="tx1"/>
                  </w14:solidFill>
                </w14:textFill>
              </w:rPr>
              <w:t>针对性强</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得</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分；响应安排完整，基本满足采购人需求的得</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分；仅提供部分内容或部分满足采购人需求的得</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分；未提供或不可行不得分。</w:t>
            </w:r>
          </w:p>
        </w:tc>
        <w:tc>
          <w:tcPr>
            <w:tcW w:w="38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C6398E">
            <w:pPr>
              <w:rPr>
                <w:rFonts w:hint="default" w:ascii="宋体" w:hAnsi="宋体" w:eastAsia="宋体" w:cs="宋体"/>
                <w:highlight w:val="none"/>
                <w:lang w:val="en-US" w:eastAsia="zh-CN"/>
              </w:rPr>
            </w:pPr>
            <w:r>
              <w:rPr>
                <w:rFonts w:hint="eastAsia" w:ascii="宋体" w:hAnsi="宋体" w:cs="宋体"/>
                <w:highlight w:val="none"/>
                <w:lang w:val="en-US" w:eastAsia="zh-CN"/>
              </w:rPr>
              <w:t>9</w:t>
            </w:r>
          </w:p>
        </w:tc>
      </w:tr>
    </w:tbl>
    <w:p w14:paraId="792C5432">
      <w:pPr>
        <w:pStyle w:val="207"/>
        <w:rPr>
          <w:rFonts w:hint="eastAsia" w:ascii="宋体" w:hAnsi="宋体" w:eastAsia="宋体" w:cs="宋体"/>
          <w:highlight w:val="none"/>
        </w:rPr>
      </w:pPr>
    </w:p>
    <w:p w14:paraId="3E9DC1DB">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说明：</w:t>
      </w:r>
    </w:p>
    <w:p w14:paraId="29517441">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1.所有认证、证明和业绩均以有效清晰的证明文件的复印件为依据，原件备查。</w:t>
      </w:r>
    </w:p>
    <w:p w14:paraId="1F03A3C6">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2.小微企业价格扣除</w:t>
      </w:r>
    </w:p>
    <w:p w14:paraId="58C4094E">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2.1对于专门面向中小企业或小型、微型企业的项目，只面向中小企业或小型、微型企业采购。对于非专门面向中小企业的项目，对小型和微型企业的价格给予</w:t>
      </w:r>
      <w:r>
        <w:rPr>
          <w:rFonts w:hint="eastAsia" w:ascii="宋体" w:hAnsi="宋体" w:cs="宋体"/>
          <w:bCs/>
          <w:szCs w:val="21"/>
          <w:highlight w:val="none"/>
          <w:lang w:val="en-US" w:eastAsia="zh-CN"/>
        </w:rPr>
        <w:t>10</w:t>
      </w:r>
      <w:r>
        <w:rPr>
          <w:rFonts w:hint="eastAsia" w:ascii="宋体" w:hAnsi="宋体" w:eastAsia="宋体" w:cs="宋体"/>
          <w:bCs/>
          <w:szCs w:val="21"/>
          <w:highlight w:val="none"/>
        </w:rPr>
        <w:t>%的扣除，用扣除后的价格参与评审。</w:t>
      </w:r>
    </w:p>
    <w:p w14:paraId="60D694D6">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685B605">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3.监狱和戒毒企业的价格扣除</w:t>
      </w:r>
    </w:p>
    <w:p w14:paraId="46F80519">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3.1 本项目对监狱和戒毒企业，给予10%的价格扣除，用扣除后的价格参与评审。</w:t>
      </w:r>
    </w:p>
    <w:p w14:paraId="625043BE">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3.2 监狱企业需提供由省级以上监狱管理局、戒毒管理局（含新疆生产建设兵团）出具的属于监狱企业的证明文件。</w:t>
      </w:r>
    </w:p>
    <w:p w14:paraId="7E4B7D0C">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3.3 监狱企业标准请参照《关于政府采购支持监狱企业发展有关问题的通知》（财库〔2014〕68号）。</w:t>
      </w:r>
    </w:p>
    <w:p w14:paraId="223CCEAB">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4.残疾人福利性单位的价格扣除</w:t>
      </w:r>
    </w:p>
    <w:p w14:paraId="175C8ED5">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4.1 本项目对残疾人福利性单位，给予10%的价格扣除，用扣除后的价格参与评审。</w:t>
      </w:r>
    </w:p>
    <w:p w14:paraId="51DF10D3">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4.2 残疾人福利性单位需提供《残疾人福利性单位声明函》。</w:t>
      </w:r>
    </w:p>
    <w:p w14:paraId="492FEA79">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4.3 残疾人福利性单位标准请参照《关于促进残疾人就业政府采购政策的通知》（财库〔2017〕141号）。</w:t>
      </w:r>
    </w:p>
    <w:p w14:paraId="06EF8E02">
      <w:pPr>
        <w:spacing w:line="360" w:lineRule="auto"/>
        <w:rPr>
          <w:rFonts w:hint="eastAsia" w:ascii="宋体" w:hAnsi="宋体" w:eastAsia="宋体" w:cs="宋体"/>
          <w:b/>
          <w:bCs/>
          <w:szCs w:val="21"/>
          <w:highlight w:val="none"/>
        </w:rPr>
      </w:pPr>
      <w:r>
        <w:rPr>
          <w:rFonts w:hint="eastAsia" w:ascii="宋体" w:hAnsi="宋体" w:eastAsia="宋体" w:cs="宋体"/>
          <w:bCs/>
          <w:szCs w:val="21"/>
          <w:highlight w:val="none"/>
        </w:rPr>
        <w:t>5. 监狱企业、残疾人福利性单位属于小型、微型企业的，不重复享受政策。</w:t>
      </w:r>
      <w:r>
        <w:rPr>
          <w:rFonts w:hint="eastAsia" w:ascii="宋体" w:hAnsi="宋体" w:eastAsia="宋体" w:cs="宋体"/>
          <w:szCs w:val="21"/>
          <w:highlight w:val="none"/>
        </w:rPr>
        <w:br w:type="page" w:clear="all"/>
      </w:r>
    </w:p>
    <w:p w14:paraId="408BB65D">
      <w:pPr>
        <w:pStyle w:val="2"/>
        <w:spacing w:line="360" w:lineRule="auto"/>
        <w:rPr>
          <w:rFonts w:hint="eastAsia" w:ascii="宋体" w:hAnsi="宋体" w:eastAsia="宋体" w:cs="宋体"/>
          <w:highlight w:val="none"/>
        </w:rPr>
      </w:pPr>
      <w:bookmarkStart w:id="8" w:name="_Toc31739"/>
      <w:bookmarkStart w:id="9" w:name="_Hlk96071152"/>
      <w:bookmarkStart w:id="10" w:name="_Toc481057147"/>
      <w:r>
        <w:rPr>
          <w:rFonts w:hint="eastAsia" w:ascii="宋体" w:hAnsi="宋体" w:eastAsia="宋体" w:cs="宋体"/>
          <w:highlight w:val="none"/>
        </w:rPr>
        <w:t xml:space="preserve"> </w:t>
      </w:r>
      <w:bookmarkStart w:id="11" w:name="_Toc193212822"/>
      <w:r>
        <w:rPr>
          <w:rFonts w:hint="eastAsia" w:ascii="宋体" w:hAnsi="宋体" w:eastAsia="宋体" w:cs="宋体"/>
          <w:highlight w:val="none"/>
        </w:rPr>
        <w:t>采购需求</w:t>
      </w:r>
      <w:bookmarkEnd w:id="8"/>
      <w:bookmarkEnd w:id="11"/>
    </w:p>
    <w:p w14:paraId="5B33CB18">
      <w:pPr>
        <w:spacing w:line="360" w:lineRule="auto"/>
        <w:ind w:firstLine="470" w:firstLineChars="200"/>
        <w:rPr>
          <w:rFonts w:hint="eastAsia" w:ascii="宋体" w:hAnsi="宋体" w:eastAsia="宋体" w:cs="宋体"/>
          <w:b/>
          <w:bCs/>
          <w:spacing w:val="-3"/>
          <w:position w:val="10"/>
          <w:szCs w:val="21"/>
          <w:highlight w:val="none"/>
        </w:rPr>
      </w:pPr>
      <w:bookmarkStart w:id="12" w:name="_Toc481604677"/>
      <w:r>
        <w:rPr>
          <w:rFonts w:hint="eastAsia" w:ascii="宋体" w:hAnsi="宋体" w:eastAsia="宋体" w:cs="宋体"/>
          <w:b/>
          <w:bCs/>
          <w:spacing w:val="-3"/>
          <w:position w:val="10"/>
          <w:sz w:val="24"/>
          <w:highlight w:val="none"/>
        </w:rPr>
        <w:t>一、</w:t>
      </w:r>
      <w:r>
        <w:rPr>
          <w:rFonts w:hint="eastAsia" w:ascii="宋体" w:hAnsi="宋体" w:eastAsia="宋体" w:cs="宋体"/>
          <w:b/>
          <w:bCs/>
          <w:spacing w:val="-3"/>
          <w:position w:val="10"/>
          <w:szCs w:val="21"/>
          <w:highlight w:val="none"/>
        </w:rPr>
        <w:t>参检人</w:t>
      </w:r>
      <w:r>
        <w:rPr>
          <w:rFonts w:hint="eastAsia" w:ascii="宋体" w:hAnsi="宋体" w:cs="宋体"/>
          <w:b/>
          <w:bCs/>
          <w:spacing w:val="-3"/>
          <w:position w:val="10"/>
          <w:szCs w:val="21"/>
          <w:highlight w:val="none"/>
          <w:lang w:val="en-US" w:eastAsia="zh-CN"/>
        </w:rPr>
        <w:t>数</w:t>
      </w:r>
      <w:r>
        <w:rPr>
          <w:rFonts w:hint="eastAsia" w:ascii="宋体" w:hAnsi="宋体" w:eastAsia="宋体" w:cs="宋体"/>
          <w:b/>
          <w:bCs/>
          <w:spacing w:val="-3"/>
          <w:position w:val="10"/>
          <w:szCs w:val="21"/>
          <w:highlight w:val="none"/>
          <w:lang w:val="en-US" w:eastAsia="zh-CN"/>
        </w:rPr>
        <w:t>统计</w:t>
      </w:r>
      <w:r>
        <w:rPr>
          <w:rFonts w:hint="eastAsia" w:ascii="宋体" w:hAnsi="宋体" w:eastAsia="宋体" w:cs="宋体"/>
          <w:b/>
          <w:bCs/>
          <w:spacing w:val="-3"/>
          <w:position w:val="10"/>
          <w:szCs w:val="21"/>
          <w:highlight w:val="none"/>
        </w:rPr>
        <w:t>：</w:t>
      </w:r>
    </w:p>
    <w:p w14:paraId="7CE1D0ED">
      <w:pPr>
        <w:spacing w:line="360" w:lineRule="auto"/>
        <w:ind w:firstLine="396"/>
        <w:rPr>
          <w:rFonts w:hint="eastAsia" w:ascii="宋体" w:hAnsi="宋体" w:eastAsia="宋体" w:cs="宋体"/>
          <w:spacing w:val="-3"/>
          <w:position w:val="10"/>
          <w:szCs w:val="21"/>
          <w:highlight w:val="none"/>
          <w:u w:val="none"/>
        </w:rPr>
      </w:pPr>
      <w:r>
        <w:rPr>
          <w:rFonts w:hint="eastAsia" w:ascii="宋体" w:hAnsi="宋体" w:cs="宋体"/>
          <w:spacing w:val="-6"/>
          <w:szCs w:val="21"/>
          <w:highlight w:val="none"/>
          <w:u w:val="none"/>
          <w:lang w:val="en-US" w:eastAsia="zh-CN"/>
        </w:rPr>
        <w:t>参加体检人员共计1709人（男同志1470人，女同志239人）</w:t>
      </w:r>
      <w:r>
        <w:rPr>
          <w:rFonts w:hint="eastAsia" w:ascii="宋体" w:hAnsi="宋体" w:eastAsia="宋体" w:cs="宋体"/>
          <w:spacing w:val="-1"/>
          <w:szCs w:val="21"/>
          <w:highlight w:val="none"/>
          <w:u w:val="none"/>
        </w:rPr>
        <w:t>。</w:t>
      </w:r>
    </w:p>
    <w:p w14:paraId="2E61F490">
      <w:pPr>
        <w:numPr>
          <w:ilvl w:val="0"/>
          <w:numId w:val="8"/>
        </w:numPr>
        <w:spacing w:line="360" w:lineRule="auto"/>
        <w:ind w:left="420" w:leftChars="0" w:right="5" w:firstLineChars="0"/>
        <w:rPr>
          <w:rFonts w:hint="eastAsia" w:ascii="宋体" w:hAnsi="宋体" w:eastAsia="宋体" w:cs="宋体"/>
          <w:b/>
          <w:bCs/>
          <w:spacing w:val="11"/>
          <w:position w:val="12"/>
          <w:szCs w:val="21"/>
          <w:highlight w:val="none"/>
          <w:u w:val="none"/>
        </w:rPr>
      </w:pPr>
      <w:r>
        <w:rPr>
          <w:rFonts w:hint="eastAsia" w:ascii="宋体" w:hAnsi="宋体" w:eastAsia="宋体" w:cs="宋体"/>
          <w:b/>
          <w:bCs/>
          <w:spacing w:val="11"/>
          <w:position w:val="12"/>
          <w:szCs w:val="21"/>
          <w:highlight w:val="none"/>
          <w:u w:val="none"/>
        </w:rPr>
        <w:t>体检时间及服务期限：</w:t>
      </w:r>
    </w:p>
    <w:p w14:paraId="306904C5">
      <w:pPr>
        <w:spacing w:line="360" w:lineRule="auto"/>
        <w:ind w:right="5" w:firstLine="420"/>
        <w:rPr>
          <w:rFonts w:hint="eastAsia" w:ascii="宋体" w:hAnsi="宋体" w:eastAsia="宋体" w:cs="宋体"/>
          <w:spacing w:val="-1"/>
          <w:szCs w:val="21"/>
          <w:highlight w:val="none"/>
        </w:rPr>
      </w:pPr>
      <w:r>
        <w:rPr>
          <w:rFonts w:hint="eastAsia" w:ascii="宋体" w:hAnsi="宋体" w:eastAsia="宋体" w:cs="宋体"/>
          <w:bCs/>
          <w:szCs w:val="21"/>
          <w:highlight w:val="none"/>
        </w:rPr>
        <w:t>本项目服务期</w:t>
      </w:r>
      <w:r>
        <w:rPr>
          <w:rFonts w:hint="eastAsia" w:ascii="宋体" w:hAnsi="宋体" w:cs="宋体"/>
          <w:bCs/>
          <w:szCs w:val="21"/>
          <w:highlight w:val="none"/>
          <w:lang w:val="en-US" w:eastAsia="zh-CN"/>
        </w:rPr>
        <w:t>9</w:t>
      </w:r>
      <w:r>
        <w:rPr>
          <w:rFonts w:hint="eastAsia" w:ascii="宋体" w:hAnsi="宋体" w:eastAsia="宋体" w:cs="宋体"/>
          <w:bCs/>
          <w:szCs w:val="21"/>
          <w:highlight w:val="none"/>
          <w:lang w:val="en-US" w:eastAsia="zh-CN"/>
        </w:rPr>
        <w:t>0天</w:t>
      </w:r>
      <w:r>
        <w:rPr>
          <w:rFonts w:hint="eastAsia" w:ascii="宋体" w:hAnsi="宋体" w:eastAsia="宋体" w:cs="宋体"/>
          <w:bCs/>
          <w:szCs w:val="21"/>
          <w:highlight w:val="none"/>
        </w:rPr>
        <w:t>，自合同签订之日起算</w:t>
      </w:r>
      <w:r>
        <w:rPr>
          <w:rFonts w:hint="eastAsia" w:ascii="宋体" w:hAnsi="宋体" w:eastAsia="宋体" w:cs="宋体"/>
          <w:spacing w:val="-1"/>
          <w:szCs w:val="21"/>
          <w:highlight w:val="none"/>
        </w:rPr>
        <w:t>。</w:t>
      </w:r>
    </w:p>
    <w:p w14:paraId="2CED2BAA">
      <w:pPr>
        <w:spacing w:line="360" w:lineRule="auto"/>
        <w:ind w:right="5" w:firstLine="420"/>
        <w:rPr>
          <w:rFonts w:hint="default" w:ascii="宋体" w:hAnsi="宋体" w:eastAsia="宋体" w:cs="宋体"/>
          <w:spacing w:val="-1"/>
          <w:szCs w:val="21"/>
          <w:highlight w:val="none"/>
          <w:lang w:val="en-US" w:eastAsia="zh-CN"/>
        </w:rPr>
      </w:pPr>
      <w:r>
        <w:rPr>
          <w:rFonts w:hint="eastAsia"/>
          <w:b/>
          <w:bCs/>
          <w:highlight w:val="none"/>
          <w:lang w:val="en-US" w:eastAsia="zh-CN"/>
        </w:rPr>
        <w:t>特别注意：有部分人员存在需延期体检的情况，该需求人员经采购方审批同意后可延期体检，在两年内完成所需检查。</w:t>
      </w:r>
    </w:p>
    <w:p w14:paraId="61290D0C">
      <w:pPr>
        <w:numPr>
          <w:ilvl w:val="0"/>
          <w:numId w:val="8"/>
        </w:numPr>
        <w:spacing w:line="360" w:lineRule="auto"/>
        <w:ind w:left="420" w:leftChars="0" w:firstLineChars="0"/>
        <w:rPr>
          <w:rFonts w:hint="eastAsia" w:ascii="宋体" w:hAnsi="宋体" w:eastAsia="宋体" w:cs="宋体"/>
          <w:b/>
          <w:bCs/>
          <w:szCs w:val="21"/>
          <w:highlight w:val="none"/>
        </w:rPr>
      </w:pPr>
      <w:r>
        <w:rPr>
          <w:rFonts w:hint="eastAsia" w:ascii="宋体" w:hAnsi="宋体" w:eastAsia="宋体" w:cs="宋体"/>
          <w:b/>
          <w:bCs/>
          <w:szCs w:val="21"/>
          <w:highlight w:val="none"/>
        </w:rPr>
        <w:t>体检信息：</w:t>
      </w:r>
      <w:r>
        <w:rPr>
          <w:rFonts w:hint="eastAsia" w:ascii="宋体" w:hAnsi="宋体" w:cs="宋体"/>
          <w:b/>
          <w:bCs/>
          <w:szCs w:val="21"/>
          <w:highlight w:val="none"/>
          <w:lang w:val="en-US" w:eastAsia="zh-CN"/>
        </w:rPr>
        <w:t>特别注意</w:t>
      </w:r>
    </w:p>
    <w:p w14:paraId="30FF7FD3">
      <w:pPr>
        <w:tabs>
          <w:tab w:val="left" w:pos="312"/>
        </w:tabs>
        <w:spacing w:line="360" w:lineRule="auto"/>
        <w:ind w:right="21" w:firstLine="432"/>
        <w:rPr>
          <w:rFonts w:hint="eastAsia" w:ascii="宋体" w:hAnsi="宋体" w:eastAsia="宋体" w:cs="宋体"/>
          <w:spacing w:val="3"/>
          <w:szCs w:val="21"/>
          <w:highlight w:val="none"/>
        </w:rPr>
      </w:pPr>
      <w:r>
        <w:rPr>
          <w:rFonts w:hint="eastAsia" w:ascii="宋体" w:hAnsi="宋体" w:eastAsia="宋体" w:cs="宋体"/>
          <w:spacing w:val="3"/>
          <w:szCs w:val="21"/>
          <w:highlight w:val="none"/>
        </w:rPr>
        <w:t>1、采购方提前统计参加体检职工信息，提交体检机构。</w:t>
      </w:r>
    </w:p>
    <w:p w14:paraId="571CEC78">
      <w:pPr>
        <w:tabs>
          <w:tab w:val="left" w:pos="312"/>
        </w:tabs>
        <w:spacing w:line="360" w:lineRule="auto"/>
        <w:ind w:right="21" w:firstLine="432"/>
        <w:rPr>
          <w:rFonts w:hint="eastAsia" w:ascii="宋体" w:hAnsi="宋体" w:eastAsia="宋体" w:cs="宋体"/>
          <w:spacing w:val="3"/>
          <w:szCs w:val="21"/>
          <w:highlight w:val="none"/>
        </w:rPr>
      </w:pPr>
      <w:r>
        <w:rPr>
          <w:rFonts w:hint="eastAsia" w:ascii="宋体" w:hAnsi="宋体" w:eastAsia="宋体" w:cs="宋体"/>
          <w:spacing w:val="3"/>
          <w:szCs w:val="21"/>
          <w:highlight w:val="none"/>
        </w:rPr>
        <w:t>2、体检机构在体检过程中须准确核对受检人各项信息，若出现受检人与登记信息不符情况，采购方拒绝支付该体检费用。</w:t>
      </w:r>
    </w:p>
    <w:p w14:paraId="038D0725">
      <w:pPr>
        <w:numPr>
          <w:ilvl w:val="0"/>
          <w:numId w:val="8"/>
        </w:numPr>
        <w:spacing w:line="360" w:lineRule="auto"/>
        <w:ind w:left="420" w:leftChars="0" w:firstLineChars="0"/>
        <w:rPr>
          <w:rFonts w:hint="eastAsia" w:ascii="宋体" w:hAnsi="宋体" w:eastAsia="宋体" w:cs="宋体"/>
          <w:b/>
          <w:bCs/>
          <w:szCs w:val="21"/>
          <w:highlight w:val="none"/>
        </w:rPr>
      </w:pPr>
      <w:r>
        <w:rPr>
          <w:rFonts w:hint="eastAsia" w:ascii="宋体" w:hAnsi="宋体" w:eastAsia="宋体" w:cs="宋体"/>
          <w:b/>
          <w:bCs/>
          <w:spacing w:val="-6"/>
          <w:szCs w:val="21"/>
          <w:highlight w:val="none"/>
        </w:rPr>
        <w:t>体检结论：</w:t>
      </w:r>
    </w:p>
    <w:p w14:paraId="05764552">
      <w:pPr>
        <w:tabs>
          <w:tab w:val="left" w:pos="312"/>
        </w:tabs>
        <w:spacing w:line="360" w:lineRule="auto"/>
        <w:ind w:right="21" w:firstLine="432"/>
        <w:rPr>
          <w:rFonts w:hint="eastAsia" w:ascii="宋体" w:hAnsi="宋体" w:eastAsia="宋体" w:cs="宋体"/>
          <w:spacing w:val="3"/>
          <w:szCs w:val="21"/>
          <w:highlight w:val="none"/>
        </w:rPr>
      </w:pPr>
      <w:r>
        <w:rPr>
          <w:rFonts w:hint="eastAsia" w:ascii="宋体" w:hAnsi="宋体" w:eastAsia="宋体" w:cs="宋体"/>
          <w:spacing w:val="3"/>
          <w:szCs w:val="21"/>
          <w:highlight w:val="none"/>
        </w:rPr>
        <w:t>1、体检机构在为采购人服务期间，每15个工作日，整理体检结果，并向采购人提供纸质体检报告</w:t>
      </w:r>
      <w:r>
        <w:rPr>
          <w:rFonts w:hint="eastAsia" w:ascii="宋体" w:hAnsi="宋体" w:cs="宋体"/>
          <w:spacing w:val="3"/>
          <w:szCs w:val="21"/>
          <w:highlight w:val="none"/>
          <w:lang w:val="en-US" w:eastAsia="zh-CN"/>
        </w:rPr>
        <w:t>或</w:t>
      </w:r>
      <w:r>
        <w:rPr>
          <w:rFonts w:hint="eastAsia" w:ascii="宋体" w:hAnsi="宋体" w:eastAsia="宋体" w:cs="宋体"/>
          <w:spacing w:val="3"/>
          <w:szCs w:val="21"/>
          <w:highlight w:val="none"/>
          <w:lang w:val="zh-CN"/>
        </w:rPr>
        <w:t>通过移动端获取个人电子体检报告</w:t>
      </w:r>
      <w:r>
        <w:rPr>
          <w:rFonts w:hint="eastAsia" w:ascii="宋体" w:hAnsi="宋体" w:eastAsia="宋体" w:cs="宋体"/>
          <w:spacing w:val="3"/>
          <w:szCs w:val="21"/>
          <w:highlight w:val="none"/>
        </w:rPr>
        <w:t>，由采购人统一向职工提供纸质体检报告。如部分职工急需体检报告的，需经采购人同意后，体检机构可向职工个人提供纸质体检报告。</w:t>
      </w:r>
    </w:p>
    <w:p w14:paraId="6A38C83B">
      <w:pPr>
        <w:tabs>
          <w:tab w:val="left" w:pos="312"/>
        </w:tabs>
        <w:spacing w:line="360" w:lineRule="auto"/>
        <w:ind w:right="21" w:firstLine="432"/>
        <w:rPr>
          <w:rFonts w:hint="eastAsia" w:ascii="宋体" w:hAnsi="宋体" w:eastAsia="宋体" w:cs="宋体"/>
          <w:spacing w:val="3"/>
          <w:szCs w:val="21"/>
          <w:highlight w:val="none"/>
        </w:rPr>
      </w:pPr>
      <w:r>
        <w:rPr>
          <w:rFonts w:hint="eastAsia" w:ascii="宋体" w:hAnsi="宋体" w:eastAsia="宋体" w:cs="宋体"/>
          <w:spacing w:val="3"/>
          <w:szCs w:val="21"/>
          <w:highlight w:val="none"/>
        </w:rPr>
        <w:t>2、在体检工作全部结束后15日内，体检机构向采购人提供采购人要求格式的体检数据及结论汇总，并在提供保密承诺函的情况下，体检结束一个月内提供所有参检人员个人电子报告。</w:t>
      </w:r>
    </w:p>
    <w:p w14:paraId="1D0B8DD2">
      <w:pPr>
        <w:tabs>
          <w:tab w:val="left" w:pos="312"/>
        </w:tabs>
        <w:spacing w:line="360" w:lineRule="auto"/>
        <w:ind w:right="21" w:firstLine="432"/>
        <w:rPr>
          <w:rFonts w:hint="default" w:ascii="宋体" w:hAnsi="宋体" w:eastAsia="宋体" w:cs="宋体"/>
          <w:spacing w:val="3"/>
          <w:szCs w:val="21"/>
          <w:highlight w:val="none"/>
          <w:lang w:val="en-US" w:eastAsia="zh-CN"/>
        </w:rPr>
      </w:pPr>
      <w:r>
        <w:rPr>
          <w:rFonts w:hint="eastAsia" w:ascii="宋体" w:hAnsi="宋体" w:cs="宋体"/>
          <w:b/>
          <w:bCs/>
          <w:spacing w:val="3"/>
          <w:szCs w:val="21"/>
          <w:highlight w:val="none"/>
          <w:lang w:val="en-US" w:eastAsia="zh-CN"/>
        </w:rPr>
        <w:t>特殊情况</w:t>
      </w:r>
      <w:r>
        <w:rPr>
          <w:rFonts w:hint="eastAsia"/>
          <w:b/>
          <w:bCs/>
          <w:color w:val="auto"/>
          <w:highlight w:val="none"/>
          <w:lang w:eastAsia="zh-CN"/>
        </w:rPr>
        <w:t>：</w:t>
      </w:r>
      <w:r>
        <w:rPr>
          <w:rFonts w:hint="eastAsia"/>
          <w:b/>
          <w:bCs/>
          <w:color w:val="auto"/>
          <w:highlight w:val="none"/>
          <w:lang w:val="en-US" w:eastAsia="zh-CN"/>
        </w:rPr>
        <w:t>如报告中有异常情况，发现后该人员报告需2日内反馈通知采购方联系人。</w:t>
      </w:r>
    </w:p>
    <w:p w14:paraId="56E5DFC7">
      <w:pPr>
        <w:numPr>
          <w:ilvl w:val="0"/>
          <w:numId w:val="8"/>
        </w:numPr>
        <w:spacing w:line="360" w:lineRule="auto"/>
        <w:ind w:left="420" w:leftChars="0" w:firstLineChars="0"/>
        <w:rPr>
          <w:rFonts w:hint="eastAsia" w:ascii="宋体" w:hAnsi="宋体" w:eastAsia="宋体" w:cs="宋体"/>
          <w:b/>
          <w:bCs/>
          <w:szCs w:val="21"/>
          <w:highlight w:val="none"/>
        </w:rPr>
      </w:pPr>
      <w:r>
        <w:rPr>
          <w:rFonts w:hint="eastAsia" w:ascii="宋体" w:hAnsi="宋体" w:eastAsia="宋体" w:cs="宋体"/>
          <w:b/>
          <w:bCs/>
          <w:spacing w:val="-7"/>
          <w:szCs w:val="21"/>
          <w:highlight w:val="none"/>
        </w:rPr>
        <w:t>付款方式：</w:t>
      </w:r>
    </w:p>
    <w:p w14:paraId="528FF8D4">
      <w:pPr>
        <w:tabs>
          <w:tab w:val="left" w:pos="312"/>
        </w:tabs>
        <w:spacing w:line="360" w:lineRule="auto"/>
        <w:ind w:right="21" w:firstLine="432"/>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rPr>
        <w:t>体检完成并提交体检报告和体检名单（单位、身份证、姓名），审核无误后，中标供应商按要求开具发票，采购人在体检完成后 30 日内支付合同金额。</w:t>
      </w:r>
      <w:r>
        <w:rPr>
          <w:rFonts w:hint="eastAsia" w:ascii="宋体" w:hAnsi="宋体" w:cs="宋体"/>
          <w:spacing w:val="3"/>
          <w:szCs w:val="21"/>
          <w:highlight w:val="none"/>
          <w:lang w:eastAsia="zh-CN"/>
        </w:rPr>
        <w:t>（</w:t>
      </w:r>
      <w:r>
        <w:rPr>
          <w:rFonts w:hint="eastAsia" w:ascii="宋体" w:hAnsi="宋体" w:cs="宋体"/>
          <w:spacing w:val="3"/>
          <w:szCs w:val="21"/>
          <w:highlight w:val="none"/>
          <w:lang w:val="en-US" w:eastAsia="zh-CN"/>
        </w:rPr>
        <w:t>延期体检人员另行结算。</w:t>
      </w:r>
      <w:r>
        <w:rPr>
          <w:rFonts w:hint="eastAsia" w:ascii="宋体" w:hAnsi="宋体" w:cs="宋体"/>
          <w:spacing w:val="3"/>
          <w:szCs w:val="21"/>
          <w:highlight w:val="none"/>
          <w:lang w:eastAsia="zh-CN"/>
        </w:rPr>
        <w:t>）</w:t>
      </w:r>
    </w:p>
    <w:p w14:paraId="068D6D05">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最终体检服务费用按中标单价*实际体检人数结算，但实际结算金额不得超过采购预算。</w:t>
      </w:r>
    </w:p>
    <w:p w14:paraId="1C8EF111">
      <w:pPr>
        <w:numPr>
          <w:ilvl w:val="0"/>
          <w:numId w:val="0"/>
        </w:numPr>
        <w:spacing w:line="360" w:lineRule="auto"/>
        <w:ind w:firstLine="394" w:firstLineChars="200"/>
        <w:rPr>
          <w:rFonts w:hint="default" w:ascii="宋体" w:hAnsi="宋体" w:eastAsia="宋体" w:cs="宋体"/>
          <w:b/>
          <w:color w:val="FF0000"/>
          <w:sz w:val="28"/>
          <w:szCs w:val="28"/>
          <w:highlight w:val="none"/>
          <w:lang w:val="en-US" w:eastAsia="zh-CN"/>
        </w:rPr>
      </w:pPr>
      <w:r>
        <w:rPr>
          <w:rFonts w:hint="eastAsia" w:ascii="宋体" w:hAnsi="宋体" w:eastAsia="宋体" w:cs="宋体"/>
          <w:b/>
          <w:bCs/>
          <w:spacing w:val="-7"/>
          <w:szCs w:val="21"/>
          <w:highlight w:val="none"/>
          <w:lang w:val="en-US" w:eastAsia="zh-CN"/>
        </w:rPr>
        <w:t>六、体检内容</w:t>
      </w:r>
    </w:p>
    <w:bookmarkEnd w:id="9"/>
    <w:bookmarkEnd w:id="10"/>
    <w:bookmarkEnd w:id="12"/>
    <w:tbl>
      <w:tblPr>
        <w:tblStyle w:val="4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1436"/>
        <w:gridCol w:w="5254"/>
        <w:gridCol w:w="1402"/>
      </w:tblGrid>
      <w:tr w14:paraId="7B0AC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04643">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F863">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检查项目</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0884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项目内容及临床意义</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DC2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2FA11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0A6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7CE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一般项目</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48A9">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血压、内科、外科、眼底（40岁↑查）检查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EE8B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（40岁↑查）</w:t>
            </w:r>
          </w:p>
        </w:tc>
      </w:tr>
      <w:tr w14:paraId="633F8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3BFBC">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1992C">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血液常规</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F70A7">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含白细胞、红细胞、血色素、血小板等18项</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05AA9">
            <w:pPr>
              <w:keepNext w:val="0"/>
              <w:keepLines w:val="0"/>
              <w:pageBreakBefore w:val="0"/>
              <w:kinsoku/>
              <w:wordWrap/>
              <w:overflowPunct/>
              <w:topLinePunct w:val="0"/>
              <w:autoSpaceDE/>
              <w:autoSpaceDN/>
              <w:bidi w:val="0"/>
              <w:adjustRightInd/>
              <w:snapToGrid/>
              <w:spacing w:after="0" w:line="279" w:lineRule="auto"/>
              <w:jc w:val="center"/>
              <w:rPr>
                <w:rFonts w:hint="eastAsia" w:ascii="宋体" w:hAnsi="宋体" w:eastAsia="宋体" w:cs="宋体"/>
                <w:b w:val="0"/>
                <w:bCs w:val="0"/>
                <w:i w:val="0"/>
                <w:iCs w:val="0"/>
                <w:color w:val="auto"/>
                <w:sz w:val="21"/>
                <w:szCs w:val="21"/>
                <w:highlight w:val="none"/>
                <w:u w:val="none"/>
              </w:rPr>
            </w:pPr>
          </w:p>
        </w:tc>
      </w:tr>
      <w:tr w14:paraId="0176E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AD9DB">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965F">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尿液常规</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5643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尿液中蛋白、隐血、尿糖、白（红）细胞、管型等</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F78AC">
            <w:pPr>
              <w:keepNext w:val="0"/>
              <w:keepLines w:val="0"/>
              <w:pageBreakBefore w:val="0"/>
              <w:kinsoku/>
              <w:wordWrap/>
              <w:overflowPunct/>
              <w:topLinePunct w:val="0"/>
              <w:autoSpaceDE/>
              <w:autoSpaceDN/>
              <w:bidi w:val="0"/>
              <w:adjustRightInd/>
              <w:snapToGrid/>
              <w:spacing w:after="0" w:line="279" w:lineRule="auto"/>
              <w:jc w:val="center"/>
              <w:rPr>
                <w:rFonts w:hint="eastAsia" w:ascii="宋体" w:hAnsi="宋体" w:eastAsia="宋体" w:cs="宋体"/>
                <w:b w:val="0"/>
                <w:bCs w:val="0"/>
                <w:i w:val="0"/>
                <w:iCs w:val="0"/>
                <w:color w:val="auto"/>
                <w:sz w:val="21"/>
                <w:szCs w:val="21"/>
                <w:highlight w:val="none"/>
                <w:u w:val="none"/>
              </w:rPr>
            </w:pPr>
          </w:p>
        </w:tc>
      </w:tr>
      <w:tr w14:paraId="5E092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5B06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0D5D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尿微量白蛋白</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EE8F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早期肾损伤指标（男50岁↑查女55岁↑查）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6D94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（男50岁↑查女55岁↑查）</w:t>
            </w:r>
          </w:p>
        </w:tc>
      </w:tr>
      <w:tr w14:paraId="15D00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9EB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F417">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粪便隐血</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AD09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消化道疾患筛查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D489F">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6CD10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CAC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A84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肝功能8项</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3528">
            <w:pPr>
              <w:keepNext w:val="0"/>
              <w:keepLines w:val="0"/>
              <w:pageBreakBefore w:val="0"/>
              <w:widowControl/>
              <w:suppressLineNumbers w:val="0"/>
              <w:kinsoku/>
              <w:wordWrap/>
              <w:overflowPunct/>
              <w:topLinePunct w:val="0"/>
              <w:autoSpaceDE/>
              <w:autoSpaceDN/>
              <w:bidi w:val="0"/>
              <w:adjustRightInd/>
              <w:snapToGrid/>
              <w:spacing w:after="0" w:line="279" w:lineRule="auto"/>
              <w:jc w:val="left"/>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谷丙转氨酶、γ-谷氨酰转肽酶、总胆红素、直接胆红素等</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D029">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52C40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F2F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16CB3">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肾功能4项</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6861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尿素氮、肌酐、尿酸、空腹血糖</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94001">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4C3E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2F40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52F6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血脂4项</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E6D5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胆固醇、甘油三酯、高密度脂蛋白、低密脂蛋白</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01DCA">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307EF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C992B">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1A2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糖化血红蛋白</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615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用于近二个月平均血糖浓度检测</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2B172">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2DBCC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424F">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75273">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甲状腺功能三项</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B0B3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甲亢、甲减等疾患检查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64DE">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5F427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4819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5782">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胸部CT</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573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心肺、膈等器官早期疾患筛查（妊娠期、哺乳期禁查）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07518">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09559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4B2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402D9">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甲胎蛋白（AFP）</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D59A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肝癌肿瘤标志物检查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3AD1">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71655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52F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84649">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癌胚抗原（CEA)</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CE1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肿瘤早期基础血液筛查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C53D">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6792D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94E4">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332E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CA-199</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0B95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胆道、胰腺、胃肠道等系统方面肿瘤筛查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E8F5">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02756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B5E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2DFF">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总前列腺抗原</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BE1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前列腺增生、肥大以及前列腺癌的早期筛查（50岁↑查）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D869">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（50岁↑男查）</w:t>
            </w:r>
          </w:p>
        </w:tc>
      </w:tr>
      <w:tr w14:paraId="5B875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7557">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A9A7F">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彩色B超</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E298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肝、胆、胰、脾、双肾的疾患检查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0B675">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23BAC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0"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348F">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17</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0A4C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甲状腺B超</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BEAEB">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甲状腺结节、囊肿以及甲状腺癌等疾患的筛查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8A15F">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4F812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364BAD2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C44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颈动脉超声</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066B">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颈部血管斑块、狭窄等检查（40岁↑查）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ADF5">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（40岁↑查）</w:t>
            </w:r>
          </w:p>
        </w:tc>
      </w:tr>
      <w:tr w14:paraId="04799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82EAA3">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19</w:t>
            </w:r>
          </w:p>
        </w:tc>
        <w:tc>
          <w:tcPr>
            <w:tcW w:w="823"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4FB8F2A4">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心电图</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0E6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12导联常规心脏电生理检查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E0A9">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02E96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9105DC">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w:t>
            </w:r>
          </w:p>
        </w:tc>
        <w:tc>
          <w:tcPr>
            <w:tcW w:w="823"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70FF4E0B">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口腔CT</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56E7">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口腔牙齿、骨骼等结构显像</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2F29">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3FE66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36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E1C87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21</w:t>
            </w:r>
          </w:p>
        </w:tc>
        <w:tc>
          <w:tcPr>
            <w:tcW w:w="823"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5C3050A6">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口腔全景检查</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0CE9">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用于口腔疾病前评估</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429E4">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74602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361"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0B9BE7C5">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32A0">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7F5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女士加查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C470">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60F44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90C45">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E00EA">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妇科超声</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B140C">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子宫、卵巢、附件等器官疾患筛查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B22B">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6426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C1FD">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D706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乳房B超</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F44A1">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双侧乳腺结节、包块、肿瘤等疾患筛查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C3BF">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0E82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4A6BC">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A9E3">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HPV(21分型)</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4192">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Style w:val="401"/>
                <w:rFonts w:hint="eastAsia" w:ascii="宋体" w:hAnsi="宋体" w:eastAsia="宋体" w:cs="宋体"/>
                <w:b w:val="0"/>
                <w:bCs w:val="0"/>
                <w:color w:val="auto"/>
                <w:sz w:val="21"/>
                <w:szCs w:val="21"/>
                <w:highlight w:val="none"/>
                <w:lang w:val="en-US" w:eastAsia="zh-CN" w:bidi="ar"/>
              </w:rPr>
              <w:t>人乳头瘤病毒感染筛查（宫颈癌高危致病因素）</w:t>
            </w:r>
            <w:r>
              <w:rPr>
                <w:rStyle w:val="402"/>
                <w:rFonts w:hint="eastAsia" w:ascii="宋体" w:hAnsi="宋体" w:eastAsia="宋体" w:cs="宋体"/>
                <w:b w:val="0"/>
                <w:bCs w:val="0"/>
                <w:color w:val="auto"/>
                <w:sz w:val="21"/>
                <w:szCs w:val="21"/>
                <w:highlight w:val="none"/>
                <w:lang w:val="en-US" w:eastAsia="zh-CN" w:bidi="ar"/>
              </w:rPr>
              <w:t>（已婚）</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27C3">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1ADFA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A6A70">
            <w:pPr>
              <w:keepNext w:val="0"/>
              <w:keepLines w:val="0"/>
              <w:pageBreakBefore w:val="0"/>
              <w:kinsoku/>
              <w:wordWrap/>
              <w:overflowPunct/>
              <w:topLinePunct w:val="0"/>
              <w:autoSpaceDE/>
              <w:autoSpaceDN/>
              <w:bidi w:val="0"/>
              <w:adjustRightInd/>
              <w:snapToGrid/>
              <w:spacing w:after="0" w:line="279" w:lineRule="auto"/>
              <w:jc w:val="center"/>
              <w:rPr>
                <w:rFonts w:hint="eastAsia" w:ascii="宋体" w:hAnsi="宋体" w:eastAsia="宋体" w:cs="宋体"/>
                <w:b w:val="0"/>
                <w:bCs w:val="0"/>
                <w:i w:val="0"/>
                <w:iCs w:val="0"/>
                <w:color w:val="auto"/>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D932">
            <w:pPr>
              <w:keepNext w:val="0"/>
              <w:keepLines w:val="0"/>
              <w:pageBreakBefore w:val="0"/>
              <w:kinsoku/>
              <w:wordWrap/>
              <w:overflowPunct/>
              <w:topLinePunct w:val="0"/>
              <w:autoSpaceDE/>
              <w:autoSpaceDN/>
              <w:bidi w:val="0"/>
              <w:adjustRightInd/>
              <w:snapToGrid/>
              <w:spacing w:after="0" w:line="279" w:lineRule="auto"/>
              <w:jc w:val="center"/>
              <w:rPr>
                <w:rFonts w:hint="eastAsia" w:ascii="宋体" w:hAnsi="宋体" w:eastAsia="宋体" w:cs="宋体"/>
                <w:b w:val="0"/>
                <w:bCs w:val="0"/>
                <w:i w:val="0"/>
                <w:iCs w:val="0"/>
                <w:color w:val="auto"/>
                <w:sz w:val="21"/>
                <w:szCs w:val="21"/>
                <w:highlight w:val="none"/>
                <w:u w:val="none"/>
              </w:rPr>
            </w:pP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AAC5">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特殊警种加查项目</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2CEE">
            <w:pPr>
              <w:keepNext w:val="0"/>
              <w:keepLines w:val="0"/>
              <w:pageBreakBefore w:val="0"/>
              <w:kinsoku/>
              <w:wordWrap/>
              <w:overflowPunct/>
              <w:topLinePunct w:val="0"/>
              <w:autoSpaceDE/>
              <w:autoSpaceDN/>
              <w:bidi w:val="0"/>
              <w:adjustRightInd/>
              <w:snapToGrid/>
              <w:spacing w:after="0" w:line="279" w:lineRule="auto"/>
              <w:rPr>
                <w:rFonts w:hint="eastAsia" w:ascii="宋体" w:hAnsi="宋体" w:eastAsia="宋体" w:cs="宋体"/>
                <w:b w:val="0"/>
                <w:bCs w:val="0"/>
                <w:i w:val="0"/>
                <w:iCs w:val="0"/>
                <w:color w:val="auto"/>
                <w:sz w:val="21"/>
                <w:szCs w:val="21"/>
                <w:highlight w:val="none"/>
                <w:u w:val="none"/>
              </w:rPr>
            </w:pPr>
          </w:p>
        </w:tc>
      </w:tr>
      <w:tr w14:paraId="26682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BB70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B3A7">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C13呼气试验</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DFF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Style w:val="401"/>
                <w:rFonts w:hint="eastAsia" w:ascii="宋体" w:hAnsi="宋体" w:eastAsia="宋体" w:cs="宋体"/>
                <w:b w:val="0"/>
                <w:bCs w:val="0"/>
                <w:color w:val="auto"/>
                <w:sz w:val="21"/>
                <w:szCs w:val="21"/>
                <w:highlight w:val="none"/>
                <w:lang w:val="en-US" w:eastAsia="zh-CN" w:bidi="ar"/>
              </w:rPr>
              <w:t>胃是否被幽门螺旋杆菌感染的筛查</w:t>
            </w:r>
            <w:r>
              <w:rPr>
                <w:rStyle w:val="402"/>
                <w:rFonts w:hint="eastAsia" w:ascii="宋体" w:hAnsi="宋体" w:eastAsia="宋体" w:cs="宋体"/>
                <w:b w:val="0"/>
                <w:bCs w:val="0"/>
                <w:color w:val="auto"/>
                <w:sz w:val="21"/>
                <w:szCs w:val="21"/>
                <w:highlight w:val="none"/>
                <w:lang w:val="en-US" w:eastAsia="zh-CN" w:bidi="ar"/>
              </w:rPr>
              <w:t>（50岁↓查）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B799">
            <w:pPr>
              <w:keepNext w:val="0"/>
              <w:keepLines w:val="0"/>
              <w:pageBreakBefore w:val="0"/>
              <w:widowControl/>
              <w:suppressLineNumbers w:val="0"/>
              <w:kinsoku/>
              <w:wordWrap/>
              <w:overflowPunct/>
              <w:topLinePunct w:val="0"/>
              <w:autoSpaceDE/>
              <w:autoSpaceDN/>
              <w:bidi w:val="0"/>
              <w:adjustRightInd/>
              <w:snapToGrid/>
              <w:spacing w:after="0" w:line="279"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特警支队</w:t>
            </w:r>
          </w:p>
        </w:tc>
      </w:tr>
      <w:tr w14:paraId="4F678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514B">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0AF8">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心脏二维彩超</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9CCCE">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Style w:val="401"/>
                <w:rFonts w:hint="eastAsia" w:ascii="宋体" w:hAnsi="宋体" w:eastAsia="宋体" w:cs="宋体"/>
                <w:b w:val="0"/>
                <w:bCs w:val="0"/>
                <w:color w:val="auto"/>
                <w:sz w:val="21"/>
                <w:szCs w:val="21"/>
                <w:highlight w:val="none"/>
                <w:lang w:val="en-US" w:eastAsia="zh-CN" w:bidi="ar"/>
              </w:rPr>
              <w:t>心脏疾患检查</w:t>
            </w:r>
            <w:r>
              <w:rPr>
                <w:rStyle w:val="402"/>
                <w:rFonts w:hint="eastAsia" w:ascii="宋体" w:hAnsi="宋体" w:eastAsia="宋体" w:cs="宋体"/>
                <w:b w:val="0"/>
                <w:bCs w:val="0"/>
                <w:color w:val="auto"/>
                <w:sz w:val="21"/>
                <w:szCs w:val="21"/>
                <w:highlight w:val="none"/>
                <w:lang w:val="en-US" w:eastAsia="zh-CN" w:bidi="ar"/>
              </w:rPr>
              <w:t>（男50岁↑查女55岁↑查）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47A0A">
            <w:pPr>
              <w:keepNext w:val="0"/>
              <w:keepLines w:val="0"/>
              <w:pageBreakBefore w:val="0"/>
              <w:widowControl/>
              <w:suppressLineNumbers w:val="0"/>
              <w:kinsoku/>
              <w:wordWrap/>
              <w:overflowPunct/>
              <w:topLinePunct w:val="0"/>
              <w:autoSpaceDE/>
              <w:autoSpaceDN/>
              <w:bidi w:val="0"/>
              <w:adjustRightInd/>
              <w:snapToGrid/>
              <w:spacing w:after="0" w:line="279"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交警</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刑警、看守所</w:t>
            </w:r>
          </w:p>
        </w:tc>
      </w:tr>
      <w:tr w14:paraId="19E43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jc w:val="center"/>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4670">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9BA75">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抗核抗体</w:t>
            </w:r>
          </w:p>
        </w:tc>
        <w:tc>
          <w:tcPr>
            <w:tcW w:w="30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747EF">
            <w:pPr>
              <w:keepNext w:val="0"/>
              <w:keepLines w:val="0"/>
              <w:pageBreakBefore w:val="0"/>
              <w:widowControl/>
              <w:suppressLineNumbers w:val="0"/>
              <w:kinsoku/>
              <w:wordWrap/>
              <w:overflowPunct/>
              <w:topLinePunct w:val="0"/>
              <w:autoSpaceDE/>
              <w:autoSpaceDN/>
              <w:bidi w:val="0"/>
              <w:adjustRightInd/>
              <w:snapToGrid/>
              <w:spacing w:after="0" w:line="279" w:lineRule="auto"/>
              <w:jc w:val="center"/>
              <w:textAlignment w:val="bottom"/>
              <w:rPr>
                <w:rFonts w:hint="eastAsia" w:ascii="宋体" w:hAnsi="宋体" w:eastAsia="宋体" w:cs="宋体"/>
                <w:b w:val="0"/>
                <w:bCs w:val="0"/>
                <w:i w:val="0"/>
                <w:iCs w:val="0"/>
                <w:color w:val="auto"/>
                <w:sz w:val="21"/>
                <w:szCs w:val="21"/>
                <w:highlight w:val="none"/>
                <w:u w:val="none"/>
              </w:rPr>
            </w:pPr>
            <w:r>
              <w:rPr>
                <w:rStyle w:val="401"/>
                <w:rFonts w:hint="eastAsia" w:ascii="宋体" w:hAnsi="宋体" w:eastAsia="宋体" w:cs="宋体"/>
                <w:b w:val="0"/>
                <w:bCs w:val="0"/>
                <w:color w:val="auto"/>
                <w:sz w:val="21"/>
                <w:szCs w:val="21"/>
                <w:highlight w:val="none"/>
                <w:lang w:val="en-US" w:eastAsia="zh-CN" w:bidi="ar"/>
              </w:rPr>
              <w:t>免疫系统指标检测</w:t>
            </w:r>
            <w:r>
              <w:rPr>
                <w:rStyle w:val="402"/>
                <w:rFonts w:hint="eastAsia" w:ascii="宋体" w:hAnsi="宋体" w:eastAsia="宋体" w:cs="宋体"/>
                <w:b w:val="0"/>
                <w:bCs w:val="0"/>
                <w:color w:val="auto"/>
                <w:sz w:val="21"/>
                <w:szCs w:val="21"/>
                <w:highlight w:val="none"/>
                <w:lang w:val="en-US" w:eastAsia="zh-CN" w:bidi="ar"/>
              </w:rPr>
              <w:t>（50岁↓查）</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CE8D3">
            <w:pPr>
              <w:keepNext w:val="0"/>
              <w:keepLines w:val="0"/>
              <w:pageBreakBefore w:val="0"/>
              <w:widowControl/>
              <w:suppressLineNumbers w:val="0"/>
              <w:kinsoku/>
              <w:wordWrap/>
              <w:overflowPunct/>
              <w:topLinePunct w:val="0"/>
              <w:autoSpaceDE/>
              <w:autoSpaceDN/>
              <w:bidi w:val="0"/>
              <w:adjustRightInd/>
              <w:snapToGrid/>
              <w:spacing w:after="0" w:line="279"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特警支队</w:t>
            </w:r>
          </w:p>
        </w:tc>
      </w:tr>
    </w:tbl>
    <w:p w14:paraId="0633C866">
      <w:pPr>
        <w:tabs>
          <w:tab w:val="left" w:pos="312"/>
        </w:tabs>
        <w:spacing w:line="360" w:lineRule="auto"/>
        <w:ind w:right="21" w:firstLine="432"/>
        <w:rPr>
          <w:rFonts w:hint="eastAsia" w:ascii="宋体" w:hAnsi="宋体" w:eastAsia="宋体" w:cs="宋体"/>
          <w:spacing w:val="3"/>
          <w:szCs w:val="21"/>
          <w:highlight w:val="none"/>
          <w:lang w:eastAsia="zh-CN"/>
        </w:rPr>
      </w:pPr>
    </w:p>
    <w:p w14:paraId="7DCC908A">
      <w:pPr>
        <w:tabs>
          <w:tab w:val="left" w:pos="312"/>
        </w:tabs>
        <w:spacing w:line="360" w:lineRule="auto"/>
        <w:ind w:right="21" w:firstLine="432"/>
        <w:rPr>
          <w:rFonts w:hint="eastAsia" w:ascii="宋体" w:hAnsi="宋体" w:eastAsia="宋体" w:cs="宋体"/>
          <w:spacing w:val="3"/>
          <w:szCs w:val="21"/>
          <w:highlight w:val="none"/>
          <w:lang w:eastAsia="zh-CN"/>
        </w:rPr>
      </w:pPr>
    </w:p>
    <w:p w14:paraId="21E8FC0B">
      <w:pPr>
        <w:rPr>
          <w:rFonts w:hint="eastAsia" w:ascii="宋体" w:hAnsi="宋体" w:eastAsia="宋体" w:cs="宋体"/>
          <w:highlight w:val="none"/>
        </w:rPr>
      </w:pPr>
      <w:r>
        <w:rPr>
          <w:rFonts w:hint="eastAsia" w:ascii="宋体" w:hAnsi="宋体" w:eastAsia="宋体" w:cs="宋体"/>
          <w:highlight w:val="none"/>
        </w:rPr>
        <w:br w:type="page"/>
      </w:r>
    </w:p>
    <w:p w14:paraId="1A74CB11">
      <w:pPr>
        <w:pStyle w:val="2"/>
        <w:numPr>
          <w:ilvl w:val="0"/>
          <w:numId w:val="9"/>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3" w:name="_Toc193212823"/>
      <w:bookmarkStart w:id="14" w:name="_Toc28129"/>
      <w:r>
        <w:rPr>
          <w:rFonts w:hint="eastAsia" w:ascii="宋体" w:hAnsi="宋体" w:eastAsia="宋体" w:cs="宋体"/>
          <w:highlight w:val="none"/>
        </w:rPr>
        <w:t>合同主要条款及格式</w:t>
      </w:r>
      <w:bookmarkEnd w:id="13"/>
      <w:bookmarkEnd w:id="14"/>
    </w:p>
    <w:p w14:paraId="388329CF">
      <w:pPr>
        <w:rPr>
          <w:rFonts w:hint="eastAsia" w:ascii="宋体" w:hAnsi="宋体" w:eastAsia="宋体" w:cs="宋体"/>
          <w:highlight w:val="none"/>
        </w:rPr>
      </w:pPr>
      <w:bookmarkStart w:id="15" w:name="_Toc513029243"/>
      <w:bookmarkStart w:id="16" w:name="_Toc20823315"/>
      <w:bookmarkStart w:id="17" w:name="_Toc16938559"/>
    </w:p>
    <w:bookmarkEnd w:id="15"/>
    <w:bookmarkEnd w:id="16"/>
    <w:bookmarkEnd w:id="17"/>
    <w:p w14:paraId="5130DDC5">
      <w:pPr>
        <w:widowControl/>
        <w:shd w:val="clear" w:color="auto" w:fill="FFFFFF"/>
        <w:spacing w:line="360" w:lineRule="auto"/>
        <w:jc w:val="center"/>
        <w:rPr>
          <w:rFonts w:hint="eastAsia" w:ascii="宋体" w:hAnsi="宋体" w:eastAsia="宋体" w:cs="宋体"/>
          <w:sz w:val="44"/>
          <w:szCs w:val="44"/>
          <w:highlight w:val="none"/>
        </w:rPr>
      </w:pPr>
      <w:bookmarkStart w:id="18" w:name="_Toc15886"/>
      <w:r>
        <w:rPr>
          <w:rFonts w:hint="eastAsia" w:ascii="宋体" w:hAnsi="宋体" w:eastAsia="宋体" w:cs="宋体"/>
          <w:sz w:val="44"/>
          <w:szCs w:val="44"/>
          <w:highlight w:val="none"/>
        </w:rPr>
        <w:t>南京市政府采购合同</w:t>
      </w:r>
    </w:p>
    <w:p w14:paraId="51325E67">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b/>
          <w:bCs/>
          <w:sz w:val="32"/>
          <w:szCs w:val="32"/>
          <w:highlight w:val="none"/>
        </w:rPr>
        <w:t>           </w:t>
      </w:r>
      <w:r>
        <w:rPr>
          <w:rFonts w:hint="eastAsia" w:ascii="宋体" w:hAnsi="宋体" w:eastAsia="宋体" w:cs="宋体"/>
          <w:b/>
          <w:bCs/>
          <w:sz w:val="32"/>
          <w:highlight w:val="none"/>
        </w:rPr>
        <w:t> </w:t>
      </w:r>
      <w:r>
        <w:rPr>
          <w:rFonts w:hint="eastAsia" w:ascii="宋体" w:hAnsi="宋体" w:eastAsia="宋体" w:cs="宋体"/>
          <w:sz w:val="32"/>
          <w:szCs w:val="32"/>
          <w:highlight w:val="none"/>
        </w:rPr>
        <w:t> </w:t>
      </w:r>
    </w:p>
    <w:p w14:paraId="4FABE2E9">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sz w:val="32"/>
          <w:szCs w:val="32"/>
          <w:highlight w:val="none"/>
        </w:rPr>
        <w:t> </w:t>
      </w:r>
    </w:p>
    <w:p w14:paraId="0429B265">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b/>
          <w:bCs/>
          <w:sz w:val="36"/>
          <w:szCs w:val="36"/>
          <w:highlight w:val="none"/>
        </w:rPr>
        <w:t> </w:t>
      </w:r>
    </w:p>
    <w:p w14:paraId="4388ECC7">
      <w:pPr>
        <w:widowControl/>
        <w:shd w:val="clear" w:color="auto" w:fill="FFFFFF"/>
        <w:spacing w:line="360" w:lineRule="auto"/>
        <w:ind w:firstLine="1918"/>
        <w:rPr>
          <w:rFonts w:hint="eastAsia" w:ascii="宋体" w:hAnsi="宋体" w:eastAsia="宋体" w:cs="宋体"/>
          <w:sz w:val="32"/>
          <w:szCs w:val="32"/>
          <w:highlight w:val="none"/>
        </w:rPr>
      </w:pPr>
      <w:r>
        <w:rPr>
          <w:rFonts w:hint="eastAsia" w:ascii="宋体" w:hAnsi="宋体" w:eastAsia="宋体" w:cs="宋体"/>
          <w:b/>
          <w:bCs/>
          <w:sz w:val="32"/>
          <w:szCs w:val="32"/>
          <w:highlight w:val="none"/>
        </w:rPr>
        <w:t>合同编号 ：</w:t>
      </w:r>
      <w:r>
        <w:rPr>
          <w:rFonts w:hint="eastAsia" w:ascii="宋体" w:hAnsi="宋体" w:eastAsia="宋体" w:cs="宋体"/>
          <w:b/>
          <w:bCs/>
          <w:sz w:val="32"/>
          <w:szCs w:val="32"/>
          <w:highlight w:val="none"/>
          <w:u w:val="single"/>
        </w:rPr>
        <w:t>          </w:t>
      </w:r>
    </w:p>
    <w:p w14:paraId="74DA44E6">
      <w:pPr>
        <w:widowControl/>
        <w:shd w:val="clear" w:color="auto" w:fill="FFFFFF"/>
        <w:spacing w:line="360" w:lineRule="auto"/>
        <w:ind w:firstLine="1918"/>
        <w:rPr>
          <w:rFonts w:hint="eastAsia" w:ascii="宋体" w:hAnsi="宋体" w:eastAsia="宋体" w:cs="宋体"/>
          <w:sz w:val="32"/>
          <w:szCs w:val="32"/>
          <w:highlight w:val="none"/>
        </w:rPr>
      </w:pPr>
      <w:r>
        <w:rPr>
          <w:rFonts w:hint="eastAsia" w:ascii="宋体" w:hAnsi="宋体" w:eastAsia="宋体" w:cs="宋体"/>
          <w:b/>
          <w:bCs/>
          <w:sz w:val="32"/>
          <w:szCs w:val="32"/>
          <w:highlight w:val="none"/>
        </w:rPr>
        <w:t>项目名称 ：</w:t>
      </w:r>
      <w:r>
        <w:rPr>
          <w:rFonts w:hint="eastAsia" w:ascii="宋体" w:hAnsi="宋体" w:eastAsia="宋体" w:cs="宋体"/>
          <w:b/>
          <w:bCs/>
          <w:sz w:val="32"/>
          <w:szCs w:val="32"/>
          <w:highlight w:val="none"/>
          <w:u w:val="single"/>
        </w:rPr>
        <w:t>          </w:t>
      </w:r>
    </w:p>
    <w:p w14:paraId="4F3A6714">
      <w:pPr>
        <w:widowControl/>
        <w:shd w:val="clear" w:color="auto" w:fill="FFFFFF"/>
        <w:spacing w:line="360" w:lineRule="auto"/>
        <w:ind w:firstLine="1918"/>
        <w:rPr>
          <w:rFonts w:hint="eastAsia" w:ascii="宋体" w:hAnsi="宋体" w:eastAsia="宋体" w:cs="宋体"/>
          <w:sz w:val="32"/>
          <w:szCs w:val="32"/>
          <w:highlight w:val="none"/>
        </w:rPr>
      </w:pPr>
      <w:r>
        <w:rPr>
          <w:rFonts w:hint="eastAsia" w:ascii="宋体" w:hAnsi="宋体" w:eastAsia="宋体" w:cs="宋体"/>
          <w:b/>
          <w:bCs/>
          <w:sz w:val="32"/>
          <w:szCs w:val="32"/>
          <w:highlight w:val="none"/>
        </w:rPr>
        <w:t>使用单位 ：</w:t>
      </w:r>
      <w:r>
        <w:rPr>
          <w:rFonts w:hint="eastAsia" w:ascii="宋体" w:hAnsi="宋体" w:eastAsia="宋体" w:cs="宋体"/>
          <w:b/>
          <w:bCs/>
          <w:sz w:val="32"/>
          <w:szCs w:val="32"/>
          <w:highlight w:val="none"/>
          <w:u w:val="single"/>
        </w:rPr>
        <w:t>          </w:t>
      </w:r>
    </w:p>
    <w:p w14:paraId="1F49B803">
      <w:pPr>
        <w:widowControl/>
        <w:shd w:val="clear" w:color="auto" w:fill="FFFFFF"/>
        <w:spacing w:line="360" w:lineRule="auto"/>
        <w:ind w:firstLine="1916"/>
        <w:rPr>
          <w:rFonts w:hint="eastAsia" w:ascii="宋体" w:hAnsi="宋体" w:eastAsia="宋体" w:cs="宋体"/>
          <w:sz w:val="32"/>
          <w:szCs w:val="32"/>
          <w:highlight w:val="none"/>
        </w:rPr>
      </w:pPr>
      <w:r>
        <w:rPr>
          <w:rFonts w:hint="eastAsia" w:ascii="宋体" w:hAnsi="宋体" w:eastAsia="宋体" w:cs="宋体"/>
          <w:b/>
          <w:bCs/>
          <w:sz w:val="32"/>
          <w:szCs w:val="32"/>
          <w:highlight w:val="none"/>
        </w:rPr>
        <w:t>供货单位 ：</w:t>
      </w:r>
      <w:r>
        <w:rPr>
          <w:rFonts w:hint="eastAsia" w:ascii="宋体" w:hAnsi="宋体" w:eastAsia="宋体" w:cs="宋体"/>
          <w:b/>
          <w:bCs/>
          <w:sz w:val="32"/>
          <w:szCs w:val="32"/>
          <w:highlight w:val="none"/>
          <w:u w:val="single"/>
        </w:rPr>
        <w:t>          </w:t>
      </w:r>
    </w:p>
    <w:p w14:paraId="5A5D0935">
      <w:pPr>
        <w:widowControl/>
        <w:shd w:val="clear" w:color="auto" w:fill="FFFFFF"/>
        <w:spacing w:line="360" w:lineRule="auto"/>
        <w:ind w:firstLine="1916"/>
        <w:rPr>
          <w:rFonts w:hint="eastAsia" w:ascii="宋体" w:hAnsi="宋体" w:eastAsia="宋体" w:cs="宋体"/>
          <w:sz w:val="32"/>
          <w:szCs w:val="32"/>
          <w:highlight w:val="none"/>
        </w:rPr>
      </w:pPr>
      <w:r>
        <w:rPr>
          <w:rFonts w:hint="eastAsia" w:ascii="宋体" w:hAnsi="宋体" w:eastAsia="宋体" w:cs="宋体"/>
          <w:b/>
          <w:bCs/>
          <w:sz w:val="32"/>
          <w:szCs w:val="32"/>
          <w:highlight w:val="none"/>
        </w:rPr>
        <w:t>签订日期 ：</w:t>
      </w:r>
      <w:r>
        <w:rPr>
          <w:rFonts w:hint="eastAsia" w:ascii="宋体" w:hAnsi="宋体" w:eastAsia="宋体" w:cs="宋体"/>
          <w:b/>
          <w:bCs/>
          <w:sz w:val="32"/>
          <w:szCs w:val="32"/>
          <w:highlight w:val="none"/>
          <w:u w:val="single"/>
        </w:rPr>
        <w:t>          </w:t>
      </w:r>
    </w:p>
    <w:p w14:paraId="6778C81F">
      <w:pPr>
        <w:widowControl/>
        <w:shd w:val="clear" w:color="auto" w:fill="FFFFFF"/>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w:t>
      </w:r>
      <w:r>
        <w:rPr>
          <w:rFonts w:hint="eastAsia" w:ascii="宋体" w:hAnsi="宋体" w:eastAsia="宋体" w:cs="宋体"/>
          <w:b/>
          <w:bCs/>
          <w:sz w:val="32"/>
          <w:szCs w:val="32"/>
          <w:highlight w:val="none"/>
        </w:rPr>
        <w:t>   </w:t>
      </w:r>
    </w:p>
    <w:p w14:paraId="0635E8A0">
      <w:pPr>
        <w:widowControl/>
        <w:shd w:val="clear" w:color="auto" w:fill="FFFFFF"/>
        <w:spacing w:line="360" w:lineRule="auto"/>
        <w:ind w:firstLine="2984"/>
        <w:rPr>
          <w:rFonts w:hint="eastAsia" w:ascii="宋体" w:hAnsi="宋体" w:eastAsia="宋体" w:cs="宋体"/>
          <w:sz w:val="32"/>
          <w:szCs w:val="32"/>
          <w:highlight w:val="none"/>
        </w:rPr>
      </w:pPr>
      <w:r>
        <w:rPr>
          <w:rFonts w:hint="eastAsia" w:ascii="宋体" w:hAnsi="宋体" w:eastAsia="宋体" w:cs="宋体"/>
          <w:b/>
          <w:bCs/>
          <w:sz w:val="32"/>
          <w:szCs w:val="32"/>
          <w:highlight w:val="none"/>
        </w:rPr>
        <w:t> </w:t>
      </w:r>
    </w:p>
    <w:p w14:paraId="434D04C5">
      <w:pPr>
        <w:widowControl/>
        <w:shd w:val="clear" w:color="auto" w:fill="FFFFFF"/>
        <w:spacing w:line="360" w:lineRule="auto"/>
        <w:rPr>
          <w:rFonts w:hint="eastAsia" w:ascii="宋体" w:hAnsi="宋体" w:eastAsia="宋体" w:cs="宋体"/>
          <w:sz w:val="32"/>
          <w:szCs w:val="32"/>
          <w:highlight w:val="none"/>
        </w:rPr>
      </w:pPr>
    </w:p>
    <w:p w14:paraId="61B0140B">
      <w:pPr>
        <w:widowControl/>
        <w:shd w:val="clear" w:color="auto" w:fill="FFFFFF"/>
        <w:spacing w:line="360" w:lineRule="auto"/>
        <w:jc w:val="center"/>
        <w:rPr>
          <w:rFonts w:hint="eastAsia" w:ascii="宋体" w:hAnsi="宋体" w:eastAsia="宋体" w:cs="宋体"/>
          <w:sz w:val="32"/>
          <w:szCs w:val="32"/>
          <w:highlight w:val="none"/>
        </w:rPr>
      </w:pPr>
      <w:r>
        <w:rPr>
          <w:rFonts w:hint="eastAsia" w:ascii="宋体" w:hAnsi="宋体" w:eastAsia="宋体" w:cs="宋体"/>
          <w:b/>
          <w:bCs/>
          <w:sz w:val="32"/>
          <w:szCs w:val="32"/>
          <w:highlight w:val="none"/>
        </w:rPr>
        <w:t>南 京 市 财 政 局 监 制</w:t>
      </w:r>
    </w:p>
    <w:p w14:paraId="7C9A4633">
      <w:pPr>
        <w:widowControl/>
        <w:shd w:val="clear" w:color="auto" w:fill="FFFFFF"/>
        <w:spacing w:line="360" w:lineRule="auto"/>
        <w:rPr>
          <w:rFonts w:hint="eastAsia" w:ascii="宋体" w:hAnsi="宋体" w:eastAsia="宋体" w:cs="宋体"/>
          <w:szCs w:val="21"/>
          <w:highlight w:val="none"/>
        </w:rPr>
      </w:pPr>
      <w:r>
        <w:rPr>
          <w:rFonts w:hint="eastAsia" w:ascii="宋体" w:hAnsi="宋体" w:eastAsia="宋体" w:cs="宋体"/>
          <w:sz w:val="24"/>
          <w:highlight w:val="none"/>
        </w:rPr>
        <w:br w:type="page" w:clear="all"/>
      </w:r>
      <w:r>
        <w:rPr>
          <w:rFonts w:hint="eastAsia" w:ascii="宋体" w:hAnsi="宋体" w:eastAsia="宋体" w:cs="宋体"/>
          <w:szCs w:val="21"/>
          <w:highlight w:val="none"/>
        </w:rPr>
        <w:t>合同编号：</w:t>
      </w:r>
    </w:p>
    <w:p w14:paraId="0C9FA665">
      <w:pPr>
        <w:widowControl/>
        <w:shd w:val="clear" w:color="auto" w:fill="FFFFFF"/>
        <w:spacing w:line="360" w:lineRule="auto"/>
        <w:rPr>
          <w:rFonts w:hint="eastAsia" w:ascii="宋体" w:hAnsi="宋体" w:eastAsia="宋体" w:cs="宋体"/>
          <w:szCs w:val="21"/>
          <w:highlight w:val="none"/>
        </w:rPr>
      </w:pPr>
      <w:r>
        <w:rPr>
          <w:rFonts w:hint="eastAsia" w:ascii="宋体" w:hAnsi="宋体" w:eastAsia="宋体" w:cs="宋体"/>
          <w:szCs w:val="21"/>
          <w:highlight w:val="none"/>
        </w:rPr>
        <w:t>政府采购计划号：</w:t>
      </w:r>
    </w:p>
    <w:p w14:paraId="7A36E5D6">
      <w:pPr>
        <w:widowControl/>
        <w:shd w:val="clear" w:color="auto" w:fill="FFFFFF"/>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bl>
      <w:tblPr>
        <w:tblStyle w:val="48"/>
        <w:tblW w:w="8522" w:type="dxa"/>
        <w:tblInd w:w="-216" w:type="dxa"/>
        <w:shd w:val="clear" w:color="auto" w:fill="FFFFFF"/>
        <w:tblLayout w:type="fixed"/>
        <w:tblCellMar>
          <w:top w:w="0" w:type="dxa"/>
          <w:left w:w="0" w:type="dxa"/>
          <w:bottom w:w="0" w:type="dxa"/>
          <w:right w:w="0" w:type="dxa"/>
        </w:tblCellMar>
      </w:tblPr>
      <w:tblGrid>
        <w:gridCol w:w="4271"/>
        <w:gridCol w:w="4251"/>
      </w:tblGrid>
      <w:tr w14:paraId="14D23D18">
        <w:tblPrEx>
          <w:shd w:val="clear" w:color="auto" w:fill="FFFFFF"/>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tcPr>
          <w:p w14:paraId="16081C34">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甲方（以下称甲方）：</w:t>
            </w:r>
          </w:p>
        </w:tc>
        <w:tc>
          <w:tcPr>
            <w:tcW w:w="4251" w:type="dxa"/>
            <w:tcBorders>
              <w:top w:val="nil"/>
              <w:left w:val="nil"/>
              <w:bottom w:val="nil"/>
              <w:right w:val="nil"/>
            </w:tcBorders>
            <w:shd w:val="clear" w:color="auto" w:fill="FFFFFF"/>
            <w:noWrap w:val="0"/>
            <w:tcMar>
              <w:top w:w="0" w:type="dxa"/>
              <w:left w:w="108" w:type="dxa"/>
              <w:bottom w:w="0" w:type="dxa"/>
              <w:right w:w="108" w:type="dxa"/>
            </w:tcMar>
          </w:tcPr>
          <w:p w14:paraId="653F6D77">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乙方：（以下称乙方）</w:t>
            </w:r>
          </w:p>
        </w:tc>
      </w:tr>
      <w:tr w14:paraId="568CB355">
        <w:tblPrEx>
          <w:shd w:val="clear" w:color="auto" w:fill="FFFFFF"/>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tcPr>
          <w:p w14:paraId="158CECF3">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住所地：</w:t>
            </w:r>
          </w:p>
        </w:tc>
        <w:tc>
          <w:tcPr>
            <w:tcW w:w="4251" w:type="dxa"/>
            <w:tcBorders>
              <w:top w:val="nil"/>
              <w:left w:val="nil"/>
              <w:bottom w:val="nil"/>
              <w:right w:val="nil"/>
            </w:tcBorders>
            <w:shd w:val="clear" w:color="auto" w:fill="FFFFFF"/>
            <w:noWrap w:val="0"/>
            <w:tcMar>
              <w:top w:w="0" w:type="dxa"/>
              <w:left w:w="108" w:type="dxa"/>
              <w:bottom w:w="0" w:type="dxa"/>
              <w:right w:w="108" w:type="dxa"/>
            </w:tcMar>
          </w:tcPr>
          <w:p w14:paraId="1E8BA38C">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住所地：</w:t>
            </w:r>
          </w:p>
        </w:tc>
      </w:tr>
    </w:tbl>
    <w:p w14:paraId="4FD06F7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根据《中华人民共和国民法典》及相关法律、法规的规定，甲方将</w:t>
      </w:r>
      <w:r>
        <w:rPr>
          <w:rFonts w:hint="eastAsia" w:ascii="宋体" w:hAnsi="宋体" w:eastAsia="宋体" w:cs="宋体"/>
          <w:spacing w:val="-6"/>
          <w:szCs w:val="21"/>
          <w:highlight w:val="none"/>
          <w:u w:val="single"/>
          <w:lang w:eastAsia="zh-CN"/>
        </w:rPr>
        <w:t>南京市公安局江宁分局在职民警、职工和离退休人员体检</w:t>
      </w:r>
      <w:r>
        <w:rPr>
          <w:rFonts w:hint="eastAsia" w:ascii="宋体" w:hAnsi="宋体" w:cs="宋体"/>
          <w:spacing w:val="-6"/>
          <w:szCs w:val="21"/>
          <w:highlight w:val="none"/>
          <w:u w:val="none"/>
          <w:lang w:val="en-US" w:eastAsia="zh-CN"/>
        </w:rPr>
        <w:t>项</w:t>
      </w:r>
      <w:r>
        <w:rPr>
          <w:rFonts w:hint="eastAsia" w:ascii="宋体" w:hAnsi="宋体" w:eastAsia="宋体" w:cs="宋体"/>
          <w:spacing w:val="-6"/>
          <w:szCs w:val="21"/>
          <w:highlight w:val="none"/>
          <w:u w:val="none"/>
          <w:lang w:eastAsia="zh-CN"/>
        </w:rPr>
        <w:t>目委</w:t>
      </w:r>
      <w:r>
        <w:rPr>
          <w:rFonts w:hint="eastAsia" w:ascii="宋体" w:hAnsi="宋体" w:eastAsia="宋体" w:cs="宋体"/>
          <w:szCs w:val="21"/>
          <w:highlight w:val="none"/>
        </w:rPr>
        <w:t>托乙方，经双方协商一致,就相关事宜达成以下协议：</w:t>
      </w:r>
    </w:p>
    <w:p w14:paraId="1584C0B5">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一、项目内容</w:t>
      </w:r>
    </w:p>
    <w:p w14:paraId="42C91AD9">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spacing w:val="-6"/>
          <w:szCs w:val="21"/>
          <w:highlight w:val="none"/>
          <w:u w:val="single"/>
          <w:lang w:eastAsia="zh-CN"/>
        </w:rPr>
        <w:t>南京市公安局江宁分局在职民警、职工和离退休人员体检</w:t>
      </w:r>
      <w:r>
        <w:rPr>
          <w:rFonts w:hint="eastAsia" w:ascii="宋体" w:hAnsi="宋体" w:cs="宋体"/>
          <w:spacing w:val="-6"/>
          <w:szCs w:val="21"/>
          <w:highlight w:val="none"/>
          <w:u w:val="single"/>
          <w:lang w:eastAsia="zh-CN"/>
        </w:rPr>
        <w:t>，参加体检人员共计1709人（男同志1470人，女同志239人）</w:t>
      </w:r>
      <w:r>
        <w:rPr>
          <w:rFonts w:hint="eastAsia" w:ascii="宋体" w:hAnsi="宋体" w:eastAsia="宋体" w:cs="宋体"/>
          <w:szCs w:val="21"/>
          <w:highlight w:val="none"/>
        </w:rPr>
        <w:t>。</w:t>
      </w:r>
    </w:p>
    <w:p w14:paraId="093B6DC1">
      <w:pPr>
        <w:tabs>
          <w:tab w:val="left" w:pos="570"/>
        </w:tabs>
        <w:spacing w:line="360" w:lineRule="auto"/>
        <w:rPr>
          <w:rFonts w:hint="eastAsia" w:ascii="宋体" w:hAnsi="宋体" w:cs="宋体"/>
          <w:szCs w:val="21"/>
          <w:highlight w:val="none"/>
          <w:u w:val="single"/>
          <w:lang w:val="en-US" w:eastAsia="zh-CN"/>
        </w:rPr>
      </w:pPr>
      <w:r>
        <w:rPr>
          <w:rFonts w:hint="eastAsia" w:ascii="宋体" w:hAnsi="宋体" w:eastAsia="宋体" w:cs="宋体"/>
          <w:b/>
          <w:bCs/>
          <w:szCs w:val="21"/>
          <w:highlight w:val="none"/>
        </w:rPr>
        <w:t>二、服务地点：</w:t>
      </w:r>
      <w:r>
        <w:rPr>
          <w:rFonts w:hint="eastAsia" w:ascii="宋体" w:hAnsi="宋体" w:cs="宋体"/>
          <w:szCs w:val="21"/>
          <w:highlight w:val="none"/>
          <w:u w:val="single"/>
          <w:lang w:val="en-US" w:eastAsia="zh-CN"/>
        </w:rPr>
        <w:t xml:space="preserve">      </w:t>
      </w:r>
    </w:p>
    <w:p w14:paraId="72F69FCE">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三、服务费用</w:t>
      </w:r>
    </w:p>
    <w:p w14:paraId="469D60AF">
      <w:pPr>
        <w:tabs>
          <w:tab w:val="left" w:pos="570"/>
        </w:tabs>
        <w:spacing w:line="360" w:lineRule="auto"/>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3.1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元/人，合同总价为：</w:t>
      </w:r>
      <w:r>
        <w:rPr>
          <w:rFonts w:hint="eastAsia" w:ascii="宋体" w:hAnsi="宋体" w:cs="宋体"/>
          <w:szCs w:val="21"/>
          <w:highlight w:val="none"/>
          <w:u w:val="single"/>
          <w:lang w:val="en-US" w:eastAsia="zh-CN"/>
        </w:rPr>
        <w:t xml:space="preserve">          元</w:t>
      </w:r>
      <w:r>
        <w:rPr>
          <w:rFonts w:hint="eastAsia" w:ascii="宋体" w:hAnsi="宋体" w:cs="宋体"/>
          <w:szCs w:val="21"/>
          <w:highlight w:val="none"/>
          <w:u w:val="none"/>
          <w:lang w:val="en-US" w:eastAsia="zh-CN"/>
        </w:rPr>
        <w:t>。</w:t>
      </w:r>
    </w:p>
    <w:p w14:paraId="007E0F7C">
      <w:pPr>
        <w:tabs>
          <w:tab w:val="left" w:pos="570"/>
        </w:tabs>
        <w:spacing w:line="360" w:lineRule="auto"/>
        <w:ind w:firstLine="416"/>
        <w:rPr>
          <w:rFonts w:hint="eastAsia" w:ascii="宋体" w:hAnsi="宋体" w:eastAsia="宋体" w:cs="宋体"/>
          <w:color w:val="auto"/>
          <w:szCs w:val="21"/>
          <w:highlight w:val="none"/>
        </w:rPr>
      </w:pPr>
      <w:r>
        <w:rPr>
          <w:rFonts w:hint="eastAsia" w:ascii="宋体" w:hAnsi="宋体" w:eastAsia="宋体" w:cs="宋体"/>
          <w:color w:val="auto"/>
          <w:szCs w:val="21"/>
          <w:highlight w:val="none"/>
        </w:rPr>
        <w:t>3.2最终合同金额按实际参检人员计算，体检结束后单价按3.1条款执行，人数按实际参加体检人数按实结算。</w:t>
      </w:r>
    </w:p>
    <w:p w14:paraId="64974FD3">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3.3 本合同项下员工体检服务费的支付时间如下：</w:t>
      </w:r>
    </w:p>
    <w:p w14:paraId="2095802D">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体检结束，体检机构提供全部员工体检报告资料后，甲方按经确认的实际体检人数和协议收费标准，一次性付费给体检机构。</w:t>
      </w:r>
    </w:p>
    <w:p w14:paraId="7079C96C">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3.4合同价款中，包含了本次招标范围内全部服务项目的价格及后续服务费用。</w:t>
      </w:r>
    </w:p>
    <w:p w14:paraId="64EB3A6F">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四、甲方权利义务</w:t>
      </w:r>
    </w:p>
    <w:p w14:paraId="4434B64D">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4.1 甲方确定体检时间后，应当提前通知乙方做好各项准备，并于体检开始前向乙方提供受检查人员的名单，乙方为甲方统计工作提供配合。</w:t>
      </w:r>
    </w:p>
    <w:p w14:paraId="00847628">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4.2 甲方有权在体检持续期限内变更受检人员名单及相应要参加的体检</w:t>
      </w:r>
      <w:r>
        <w:rPr>
          <w:rFonts w:hint="eastAsia" w:ascii="宋体" w:hAnsi="宋体" w:cs="宋体"/>
          <w:szCs w:val="21"/>
          <w:highlight w:val="none"/>
          <w:lang w:eastAsia="zh-CN"/>
        </w:rPr>
        <w:t>项目</w:t>
      </w:r>
      <w:r>
        <w:rPr>
          <w:rFonts w:hint="eastAsia" w:ascii="宋体" w:hAnsi="宋体" w:eastAsia="宋体" w:cs="宋体"/>
          <w:szCs w:val="21"/>
          <w:highlight w:val="none"/>
        </w:rPr>
        <w:t>类型，但应提供书面的变更申请，且拟变更的受检人员已经参加体检的不得再变更，应按实际参加的人员及</w:t>
      </w:r>
      <w:r>
        <w:rPr>
          <w:rFonts w:hint="eastAsia" w:ascii="宋体" w:hAnsi="宋体" w:cs="宋体"/>
          <w:szCs w:val="21"/>
          <w:highlight w:val="none"/>
          <w:lang w:eastAsia="zh-CN"/>
        </w:rPr>
        <w:t>项目</w:t>
      </w:r>
      <w:r>
        <w:rPr>
          <w:rFonts w:hint="eastAsia" w:ascii="宋体" w:hAnsi="宋体" w:eastAsia="宋体" w:cs="宋体"/>
          <w:szCs w:val="21"/>
          <w:highlight w:val="none"/>
        </w:rPr>
        <w:t>结算体检费用。</w:t>
      </w:r>
    </w:p>
    <w:p w14:paraId="1096A992">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4.3 甲方应当自行通知其确定参加体检的人员关于时间、地点及</w:t>
      </w:r>
      <w:r>
        <w:rPr>
          <w:rFonts w:hint="eastAsia" w:ascii="宋体" w:hAnsi="宋体" w:cs="宋体"/>
          <w:szCs w:val="21"/>
          <w:highlight w:val="none"/>
          <w:lang w:eastAsia="zh-CN"/>
        </w:rPr>
        <w:t>项目</w:t>
      </w:r>
      <w:r>
        <w:rPr>
          <w:rFonts w:hint="eastAsia" w:ascii="宋体" w:hAnsi="宋体" w:eastAsia="宋体" w:cs="宋体"/>
          <w:szCs w:val="21"/>
          <w:highlight w:val="none"/>
        </w:rPr>
        <w:t>的信息，并向相关体检人员通知参加体检的各种注意事项。</w:t>
      </w:r>
    </w:p>
    <w:p w14:paraId="48085A4D">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4.4 在与乙方协商后，甲方有局部调整合同的权力。</w:t>
      </w:r>
    </w:p>
    <w:p w14:paraId="394F9ABC">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4.5 甲方有权阻止乙方的违约行为，并保留进一步追责的权利。</w:t>
      </w:r>
    </w:p>
    <w:p w14:paraId="27C035C9">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第五条、乙方权利义务</w:t>
      </w:r>
    </w:p>
    <w:p w14:paraId="02178F28">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5.1 乙方承诺拥有其为甲方人员提供本次体检服务的资质和技术、设备条件，在接到甲方要求体检的通知后，应当做好各项准备，确保体检程序合理、流程简便，尽量为甲方体检人员提供便利。</w:t>
      </w:r>
    </w:p>
    <w:p w14:paraId="40A3518A">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5.2 体检过程中，乙方应当安排足额的工作人员提供服务，做好体检场所的安保、服务措施，提醒受检人员各种注意事项，不得发生因乙方原因导致的甲方参检人员受到伤害的事故。如有发生，由乙方承担一切后果，与甲方无涉。</w:t>
      </w:r>
    </w:p>
    <w:p w14:paraId="6D78713F">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5.3 体检结束后，乙方应及时将参加体检的人员名单、体检的</w:t>
      </w:r>
      <w:r>
        <w:rPr>
          <w:rFonts w:hint="eastAsia" w:ascii="宋体" w:hAnsi="宋体" w:cs="宋体"/>
          <w:szCs w:val="21"/>
          <w:highlight w:val="none"/>
          <w:lang w:eastAsia="zh-CN"/>
        </w:rPr>
        <w:t>项目</w:t>
      </w:r>
      <w:r>
        <w:rPr>
          <w:rFonts w:hint="eastAsia" w:ascii="宋体" w:hAnsi="宋体" w:eastAsia="宋体" w:cs="宋体"/>
          <w:szCs w:val="21"/>
          <w:highlight w:val="none"/>
        </w:rPr>
        <w:t>等情况通过书面的形式交给甲方审核确认，作为结算体检费用的依据。</w:t>
      </w:r>
    </w:p>
    <w:p w14:paraId="35726D4B">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5.4 乙方需按每15日一次按部门整理纸质体检报告提交给甲方，由甲方统一向受检职工发放。如部分受检职工急需纸质体检报告的，经甲方同意后，乙方可向受检职工提供纸质报告。</w:t>
      </w:r>
    </w:p>
    <w:p w14:paraId="61EE5122">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5.5在整个体检工作全部结束15日内，乙方需向甲方提供符合甲方要求格式的体检数据及结论汇总材料。</w:t>
      </w:r>
    </w:p>
    <w:p w14:paraId="002D251F">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5.6 乙方对受检人员的体检结果负有保密义务，不得向甲方及受检人本人以外的人披露。甲方联系人可在提供保密承诺函的情况下，要求乙方于体检结束一个月内提供所有参检人员个人电子报告。乙方出具的体检结果报告应当采取密封装订。</w:t>
      </w:r>
    </w:p>
    <w:p w14:paraId="051AD13E">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5.7 由于甲方人员是否参加体检属于其个人权利，实际参加体检的人员数量及男女比例可能与甲方提供的人员名单总数不符，乙方应知悉该情况，并同意按实际参检人员数量结算体检费用。</w:t>
      </w:r>
    </w:p>
    <w:p w14:paraId="43E2FE5F">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5.8 乙方应出具合法的发票用于结算体检费用。（甲方不再支付该费用的税金）</w:t>
      </w:r>
    </w:p>
    <w:p w14:paraId="099CE6E9">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5.9 乙方在提供体检服务的过程中须准确核对受检人各项信息，若出现受检人与登记信息不符的情况，乙方应立即终止服务，否则甲方有权拒绝支付该体检费用。</w:t>
      </w:r>
    </w:p>
    <w:p w14:paraId="1CD18D0D">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第六条 违约责任</w:t>
      </w:r>
    </w:p>
    <w:p w14:paraId="4673D36F">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6.1 甲方受检人员在体检期限内至乙方处参加体检，但因乙方原因造成体检服务延期完成的，甲方可向乙方收取不超过合同总价的2%每天的违约金，按天计算收取。</w:t>
      </w:r>
    </w:p>
    <w:p w14:paraId="680D32A0">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6.2 体检结束后，乙方未按约定时间出具体检报告的，每拖延一天需支付合同总价的2%作为违约金。</w:t>
      </w:r>
    </w:p>
    <w:p w14:paraId="31328839">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6.3 因乙方原因造成体检结果错误的，不耽误病情的按每人次、每项目200元支付赔偿，且乙方有义务无条件提供重新检查服务。若因乙方提供的错误信息耽误受检人员病情的，所产生的纠纷与后果由乙方全部承担，同时甲方保留继续追究乙方责任的权利。</w:t>
      </w:r>
    </w:p>
    <w:p w14:paraId="763F6FB4">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6.4 因乙方原因造成甲方人员在体检过程中受到人身伤害的，由乙方承担赔偿责任。</w:t>
      </w:r>
    </w:p>
    <w:p w14:paraId="63194798">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6.5甲方未按合同约定支付款项，每逾期一天，支付合同总价的2‰作为违约金。</w:t>
      </w:r>
    </w:p>
    <w:p w14:paraId="3D190062">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6.6乙方应付的违约金，可从合同未付款项中直接扣除。</w:t>
      </w:r>
    </w:p>
    <w:p w14:paraId="18505586">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第七条、保密</w:t>
      </w:r>
    </w:p>
    <w:p w14:paraId="30E13457">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7.1 甲乙双方共同保证，因履行本合同而知悉和接收的对方的商业秘密、商业信息、甲方工作人员个人隐私、技术秘密等信息，均应承担保密义务。一旦本合同终止，接受方应将载有保密信息的任何文件、资料或软件，按提供方要求归还提供方，或自行予以销毁，并从任何有关记忆装置中删除相关保密信息，并且不得继续使用这些保密信息。</w:t>
      </w:r>
    </w:p>
    <w:p w14:paraId="1EFAC4F5">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7.2 双方同意，不论本合同是否变更、解除或终止，本条款将持续有效。</w:t>
      </w:r>
    </w:p>
    <w:p w14:paraId="2ECDAC6F">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第八条、不可抗力</w:t>
      </w:r>
    </w:p>
    <w:p w14:paraId="38C80F37">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8.1、不可抗力包括但不限于火灾、爆炸、风暴、洪水、地震、潮汐或战争。资信、资金不足不得视为不可抗力的理由。</w:t>
      </w:r>
    </w:p>
    <w:p w14:paraId="2BE00714">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8.2除不可抗力原因外，甲、乙双方应严格遵守本合同的约定，否则违约方承担违约责任。本合同发生争议，各方当事人应及时协商解决。也可向甲方所在地人民法院起诉。</w:t>
      </w:r>
    </w:p>
    <w:p w14:paraId="04E7C94F">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第九条、争议的解决</w:t>
      </w:r>
    </w:p>
    <w:p w14:paraId="284C4A84">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因本合同发生争议的，双方应友好协商解决，协商不成的，向甲方所在地人民法院提起诉讼。</w:t>
      </w:r>
    </w:p>
    <w:p w14:paraId="5317BCBD">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第十条、廉政监督</w:t>
      </w:r>
    </w:p>
    <w:p w14:paraId="72D5E9F2">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10.1 甲乙双方应严格遵守国家相关法律法规和廉洁自律规定，杜绝违法违纪行为。</w:t>
      </w:r>
    </w:p>
    <w:p w14:paraId="0A6F44D9">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10.2 在合同期内，若乙方发现甲方工作人员存在但不限于收受礼金、有价证券和贵重物品、向乙方报销个人费用、向乙方索取回扣或接受贿赂、参加乙方组织的宴请等行为的，可向甲方纪检部门进行举报。</w:t>
      </w:r>
    </w:p>
    <w:p w14:paraId="44C2BADC">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10.3 在双方开展业务期间，如乙方发生为谋取业务，向甲方人员赠送礼金等贵重物品等行贿行为的，甲方有权单方面取消合同，并保留向乙方追究因此造成的损失。</w:t>
      </w:r>
    </w:p>
    <w:p w14:paraId="61941EF3">
      <w:pPr>
        <w:spacing w:before="63" w:line="460" w:lineRule="exact"/>
        <w:ind w:right="52"/>
        <w:jc w:val="right"/>
        <w:rPr>
          <w:rFonts w:hint="eastAsia" w:ascii="宋体" w:hAnsi="宋体" w:eastAsia="宋体" w:cs="宋体"/>
          <w:szCs w:val="21"/>
          <w:highlight w:val="none"/>
        </w:rPr>
      </w:pPr>
    </w:p>
    <w:p w14:paraId="6FA2E681">
      <w:pPr>
        <w:tabs>
          <w:tab w:val="left" w:pos="570"/>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十一、其他</w:t>
      </w:r>
    </w:p>
    <w:p w14:paraId="0C21BF0D">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11.1、本合同未尽事宜，双方另行协商，签订补充协议，补充协议与本合同具有同等的法律效力。</w:t>
      </w:r>
    </w:p>
    <w:p w14:paraId="51F6C81E">
      <w:pPr>
        <w:tabs>
          <w:tab w:val="left" w:pos="570"/>
        </w:tabs>
        <w:spacing w:line="360" w:lineRule="auto"/>
        <w:ind w:firstLine="416"/>
        <w:rPr>
          <w:rFonts w:hint="eastAsia" w:ascii="宋体" w:hAnsi="宋体" w:eastAsia="宋体" w:cs="宋体"/>
          <w:szCs w:val="21"/>
          <w:highlight w:val="none"/>
        </w:rPr>
      </w:pPr>
      <w:r>
        <w:rPr>
          <w:rFonts w:hint="eastAsia" w:ascii="宋体" w:hAnsi="宋体" w:eastAsia="宋体" w:cs="宋体"/>
          <w:szCs w:val="21"/>
          <w:highlight w:val="none"/>
        </w:rPr>
        <w:t>11.2、本合同自双方签字、盖章之日起生效。本合同一式肆份，甲乙双方各执贰份。均具同等法律效力。</w:t>
      </w:r>
    </w:p>
    <w:p w14:paraId="690F8B6A">
      <w:pPr>
        <w:tabs>
          <w:tab w:val="left" w:pos="570"/>
        </w:tabs>
        <w:spacing w:line="360" w:lineRule="auto"/>
        <w:rPr>
          <w:rFonts w:hint="eastAsia" w:ascii="宋体" w:hAnsi="宋体" w:eastAsia="宋体" w:cs="宋体"/>
          <w:szCs w:val="21"/>
          <w:highlight w:val="none"/>
        </w:rPr>
      </w:pPr>
    </w:p>
    <w:p w14:paraId="5321ED6A">
      <w:pPr>
        <w:tabs>
          <w:tab w:val="left" w:pos="570"/>
        </w:tabs>
        <w:spacing w:line="360" w:lineRule="auto"/>
        <w:jc w:val="left"/>
        <w:rPr>
          <w:rFonts w:hint="eastAsia" w:ascii="宋体" w:hAnsi="宋体" w:eastAsia="宋体" w:cs="宋体"/>
          <w:szCs w:val="21"/>
          <w:highlight w:val="none"/>
        </w:rPr>
      </w:pPr>
    </w:p>
    <w:p w14:paraId="7C76C8F3">
      <w:pPr>
        <w:tabs>
          <w:tab w:val="left" w:pos="570"/>
        </w:tabs>
        <w:spacing w:line="360" w:lineRule="auto"/>
        <w:rPr>
          <w:rFonts w:hint="eastAsia" w:ascii="宋体" w:hAnsi="宋体" w:eastAsia="宋体" w:cs="宋体"/>
          <w:szCs w:val="21"/>
          <w:highlight w:val="none"/>
        </w:rPr>
      </w:pPr>
      <w:r>
        <w:rPr>
          <w:rFonts w:hint="eastAsia" w:ascii="宋体" w:hAnsi="宋体" w:eastAsia="宋体" w:cs="宋体"/>
          <w:szCs w:val="21"/>
          <w:highlight w:val="none"/>
        </w:rPr>
        <w:t>甲方（签字盖章）：                              乙方（签字盖章）：</w:t>
      </w:r>
    </w:p>
    <w:p w14:paraId="7F7E630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委托代理人：                                    委托代理人：</w:t>
      </w:r>
    </w:p>
    <w:p w14:paraId="4DB16EF5">
      <w:pPr>
        <w:tabs>
          <w:tab w:val="left" w:pos="570"/>
        </w:tabs>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地址：                                          地址：         </w:t>
      </w:r>
    </w:p>
    <w:p w14:paraId="64863D7A">
      <w:pPr>
        <w:tabs>
          <w:tab w:val="left" w:pos="570"/>
        </w:tabs>
        <w:spacing w:line="360" w:lineRule="auto"/>
        <w:rPr>
          <w:rFonts w:hint="eastAsia" w:ascii="宋体" w:hAnsi="宋体" w:eastAsia="宋体" w:cs="宋体"/>
          <w:szCs w:val="21"/>
          <w:highlight w:val="none"/>
        </w:rPr>
      </w:pPr>
      <w:r>
        <w:rPr>
          <w:rFonts w:hint="eastAsia" w:ascii="宋体" w:hAnsi="宋体" w:eastAsia="宋体" w:cs="宋体"/>
          <w:szCs w:val="21"/>
          <w:highlight w:val="none"/>
        </w:rPr>
        <w:t>联系电话：                                      联系电话：</w:t>
      </w:r>
    </w:p>
    <w:p w14:paraId="5E2F45A4">
      <w:pPr>
        <w:tabs>
          <w:tab w:val="left" w:pos="570"/>
        </w:tabs>
        <w:spacing w:line="360" w:lineRule="auto"/>
        <w:rPr>
          <w:rFonts w:hint="eastAsia" w:ascii="宋体" w:hAnsi="宋体" w:eastAsia="宋体" w:cs="宋体"/>
          <w:szCs w:val="21"/>
          <w:highlight w:val="none"/>
        </w:rPr>
      </w:pPr>
      <w:r>
        <w:rPr>
          <w:rFonts w:hint="eastAsia" w:ascii="宋体" w:hAnsi="宋体" w:eastAsia="宋体" w:cs="宋体"/>
          <w:szCs w:val="21"/>
          <w:highlight w:val="none"/>
        </w:rPr>
        <w:t>收件人：                                        收件人：</w:t>
      </w:r>
    </w:p>
    <w:p w14:paraId="29663813">
      <w:pPr>
        <w:tabs>
          <w:tab w:val="left" w:pos="570"/>
        </w:tabs>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签字日期：   年   月   日                       签字日期：   年   月   日 </w:t>
      </w:r>
    </w:p>
    <w:p w14:paraId="39D090A3">
      <w:pPr>
        <w:pStyle w:val="207"/>
        <w:rPr>
          <w:rFonts w:hint="eastAsia" w:ascii="宋体" w:hAnsi="宋体" w:eastAsia="宋体" w:cs="宋体"/>
          <w:color w:val="000000"/>
          <w:highlight w:val="none"/>
        </w:rPr>
      </w:pPr>
      <w:r>
        <w:rPr>
          <w:rFonts w:hint="eastAsia" w:ascii="宋体" w:hAnsi="宋体" w:eastAsia="宋体" w:cs="宋体"/>
          <w:highlight w:val="none"/>
          <w:lang w:val="zh-CN"/>
        </w:rPr>
        <w:br w:type="page" w:clear="all"/>
      </w:r>
    </w:p>
    <w:p w14:paraId="7790D86A">
      <w:pPr>
        <w:rPr>
          <w:rFonts w:hint="eastAsia" w:ascii="宋体" w:hAnsi="宋体" w:eastAsia="宋体" w:cs="宋体"/>
          <w:color w:val="000000"/>
          <w:highlight w:val="none"/>
        </w:rPr>
      </w:pPr>
    </w:p>
    <w:p w14:paraId="15CBAF69">
      <w:pPr>
        <w:widowControl/>
        <w:shd w:val="clear" w:color="auto" w:fill="FFFFFF"/>
        <w:spacing w:line="360" w:lineRule="auto"/>
        <w:jc w:val="left"/>
        <w:rPr>
          <w:rFonts w:hint="eastAsia" w:ascii="宋体" w:hAnsi="宋体" w:eastAsia="宋体" w:cs="宋体"/>
          <w:color w:val="000000"/>
          <w:highlight w:val="none"/>
        </w:rPr>
      </w:pPr>
    </w:p>
    <w:p w14:paraId="5DF53656">
      <w:pPr>
        <w:pStyle w:val="2"/>
        <w:numPr>
          <w:ilvl w:val="0"/>
          <w:numId w:val="9"/>
        </w:numPr>
        <w:ind w:left="0" w:hanging="283"/>
        <w:rPr>
          <w:rFonts w:hint="eastAsia" w:ascii="宋体" w:hAnsi="宋体" w:eastAsia="宋体" w:cs="宋体"/>
          <w:highlight w:val="none"/>
        </w:rPr>
      </w:pPr>
      <w:bookmarkStart w:id="19" w:name="_Toc193212824"/>
      <w:r>
        <w:rPr>
          <w:rFonts w:hint="eastAsia" w:ascii="宋体" w:hAnsi="宋体" w:eastAsia="宋体" w:cs="宋体"/>
          <w:highlight w:val="none"/>
        </w:rPr>
        <w:t>投标文件格式及附件</w:t>
      </w:r>
      <w:bookmarkEnd w:id="18"/>
      <w:bookmarkEnd w:id="19"/>
    </w:p>
    <w:p w14:paraId="45DDB84C">
      <w:pPr>
        <w:pStyle w:val="207"/>
        <w:ind w:firstLine="0"/>
        <w:rPr>
          <w:rFonts w:hint="eastAsia" w:ascii="宋体" w:hAnsi="宋体" w:eastAsia="宋体" w:cs="宋体"/>
          <w:highlight w:val="none"/>
        </w:rPr>
      </w:pPr>
    </w:p>
    <w:p w14:paraId="1B2A99A6">
      <w:pPr>
        <w:widowControl/>
        <w:spacing w:line="240" w:lineRule="atLeast"/>
        <w:jc w:val="left"/>
        <w:rPr>
          <w:rFonts w:hint="eastAsia" w:ascii="宋体" w:hAnsi="宋体" w:eastAsia="宋体" w:cs="宋体"/>
          <w:b/>
          <w:bCs/>
          <w:szCs w:val="21"/>
          <w:highlight w:val="none"/>
        </w:rPr>
      </w:pPr>
    </w:p>
    <w:p w14:paraId="69D73B06">
      <w:pPr>
        <w:spacing w:line="440" w:lineRule="exact"/>
        <w:rPr>
          <w:rFonts w:hint="eastAsia" w:ascii="宋体" w:hAnsi="宋体" w:eastAsia="宋体" w:cs="宋体"/>
          <w:sz w:val="20"/>
          <w:szCs w:val="20"/>
          <w:highlight w:val="none"/>
        </w:rPr>
      </w:pPr>
    </w:p>
    <w:p w14:paraId="60764DF2">
      <w:pPr>
        <w:spacing w:line="440" w:lineRule="exact"/>
        <w:rPr>
          <w:rFonts w:hint="eastAsia" w:ascii="宋体" w:hAnsi="宋体" w:eastAsia="宋体" w:cs="宋体"/>
          <w:sz w:val="20"/>
          <w:szCs w:val="20"/>
          <w:highlight w:val="none"/>
        </w:rPr>
      </w:pPr>
    </w:p>
    <w:p w14:paraId="14BFAFA9">
      <w:pPr>
        <w:spacing w:line="440" w:lineRule="exact"/>
        <w:rPr>
          <w:rFonts w:hint="eastAsia" w:ascii="宋体" w:hAnsi="宋体" w:eastAsia="宋体" w:cs="宋体"/>
          <w:sz w:val="20"/>
          <w:szCs w:val="20"/>
          <w:highlight w:val="none"/>
        </w:rPr>
      </w:pPr>
    </w:p>
    <w:p w14:paraId="27FC973F">
      <w:pPr>
        <w:rPr>
          <w:rFonts w:hint="eastAsia" w:ascii="宋体" w:hAnsi="宋体" w:eastAsia="宋体" w:cs="宋体"/>
          <w:sz w:val="22"/>
          <w:szCs w:val="22"/>
          <w:highlight w:val="none"/>
        </w:rPr>
      </w:pPr>
    </w:p>
    <w:p w14:paraId="52790260">
      <w:pPr>
        <w:rPr>
          <w:rFonts w:hint="eastAsia" w:ascii="宋体" w:hAnsi="宋体" w:eastAsia="宋体" w:cs="宋体"/>
          <w:sz w:val="22"/>
          <w:szCs w:val="22"/>
          <w:highlight w:val="none"/>
        </w:rPr>
      </w:pPr>
    </w:p>
    <w:p w14:paraId="2F14127B">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投标文件</w:t>
      </w:r>
    </w:p>
    <w:p w14:paraId="567F7415">
      <w:pPr>
        <w:rPr>
          <w:rFonts w:hint="eastAsia" w:ascii="宋体" w:hAnsi="宋体" w:eastAsia="宋体" w:cs="宋体"/>
          <w:sz w:val="36"/>
          <w:szCs w:val="36"/>
          <w:highlight w:val="none"/>
        </w:rPr>
      </w:pPr>
    </w:p>
    <w:p w14:paraId="46EA6A84">
      <w:pPr>
        <w:rPr>
          <w:rFonts w:hint="eastAsia" w:ascii="宋体" w:hAnsi="宋体" w:eastAsia="宋体" w:cs="宋体"/>
          <w:sz w:val="36"/>
          <w:szCs w:val="36"/>
          <w:highlight w:val="none"/>
        </w:rPr>
      </w:pPr>
    </w:p>
    <w:p w14:paraId="096D7B7F">
      <w:pPr>
        <w:rPr>
          <w:rFonts w:hint="eastAsia" w:ascii="宋体" w:hAnsi="宋体" w:eastAsia="宋体" w:cs="宋体"/>
          <w:sz w:val="36"/>
          <w:szCs w:val="36"/>
          <w:highlight w:val="none"/>
        </w:rPr>
      </w:pPr>
    </w:p>
    <w:p w14:paraId="2D4F3BC4">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项目名称：</w:t>
      </w:r>
    </w:p>
    <w:p w14:paraId="30A9FAE9">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招标编号：</w:t>
      </w:r>
    </w:p>
    <w:p w14:paraId="7F348266">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投标人名称：（加盖电子公章）</w:t>
      </w:r>
    </w:p>
    <w:p w14:paraId="4881FED2">
      <w:pPr>
        <w:widowControl/>
        <w:ind w:firstLine="720"/>
        <w:jc w:val="left"/>
        <w:rPr>
          <w:rFonts w:hint="eastAsia" w:ascii="宋体" w:hAnsi="宋体" w:eastAsia="宋体" w:cs="宋体"/>
          <w:sz w:val="28"/>
          <w:szCs w:val="28"/>
          <w:highlight w:val="none"/>
        </w:rPr>
      </w:pPr>
      <w:r>
        <w:rPr>
          <w:rFonts w:hint="eastAsia" w:ascii="宋体" w:hAnsi="宋体" w:eastAsia="宋体" w:cs="宋体"/>
          <w:sz w:val="36"/>
          <w:szCs w:val="36"/>
          <w:highlight w:val="none"/>
        </w:rPr>
        <w:t>日期：</w:t>
      </w:r>
      <w:r>
        <w:rPr>
          <w:rFonts w:hint="eastAsia" w:ascii="宋体" w:hAnsi="宋体" w:eastAsia="宋体" w:cs="宋体"/>
          <w:sz w:val="28"/>
          <w:szCs w:val="28"/>
          <w:highlight w:val="none"/>
        </w:rPr>
        <w:br w:type="page" w:clear="all"/>
      </w:r>
    </w:p>
    <w:p w14:paraId="0C3962EF">
      <w:pPr>
        <w:spacing w:before="312" w:after="312"/>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目录</w:t>
      </w:r>
    </w:p>
    <w:p w14:paraId="2F9E0A63">
      <w:pPr>
        <w:jc w:val="center"/>
        <w:rPr>
          <w:rFonts w:hint="eastAsia" w:ascii="宋体" w:hAnsi="宋体" w:eastAsia="宋体" w:cs="宋体"/>
          <w:szCs w:val="21"/>
          <w:highlight w:val="none"/>
        </w:rPr>
      </w:pPr>
      <w:r>
        <w:rPr>
          <w:rFonts w:hint="eastAsia" w:ascii="宋体" w:hAnsi="宋体" w:eastAsia="宋体" w:cs="宋体"/>
          <w:szCs w:val="21"/>
          <w:highlight w:val="none"/>
        </w:rPr>
        <w:t>（注：供应商根据附件顺序编制投标文件并制作目录（须生成页码））</w:t>
      </w:r>
    </w:p>
    <w:p w14:paraId="2EBC9789">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附件一、投标申请及声明格式</w:t>
      </w:r>
    </w:p>
    <w:p w14:paraId="21589527">
      <w:pPr>
        <w:widowControl/>
        <w:shd w:val="clear" w:color="auto" w:fill="FFFFFF"/>
        <w:spacing w:line="360" w:lineRule="auto"/>
        <w:jc w:val="center"/>
        <w:rPr>
          <w:rFonts w:hint="eastAsia" w:ascii="宋体" w:hAnsi="宋体" w:eastAsia="宋体" w:cs="宋体"/>
          <w:b/>
          <w:szCs w:val="21"/>
          <w:highlight w:val="none"/>
        </w:rPr>
      </w:pPr>
      <w:r>
        <w:rPr>
          <w:rFonts w:hint="eastAsia" w:ascii="宋体" w:hAnsi="宋体" w:eastAsia="宋体" w:cs="宋体"/>
          <w:b/>
          <w:sz w:val="36"/>
          <w:szCs w:val="36"/>
          <w:highlight w:val="none"/>
        </w:rPr>
        <w:t>投标申请及声明</w:t>
      </w:r>
    </w:p>
    <w:p w14:paraId="389D0C39">
      <w:pPr>
        <w:widowControl/>
        <w:shd w:val="clear" w:color="auto" w:fill="FFFFFF"/>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致：</w:t>
      </w:r>
      <w:r>
        <w:rPr>
          <w:rFonts w:hint="eastAsia" w:ascii="宋体" w:hAnsi="宋体" w:cs="宋体"/>
          <w:szCs w:val="21"/>
          <w:highlight w:val="none"/>
          <w:lang w:val="en-US" w:eastAsia="zh-CN"/>
        </w:rPr>
        <w:t xml:space="preserve"> </w:t>
      </w:r>
    </w:p>
    <w:p w14:paraId="1C7802B6">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根据贵方</w:t>
      </w:r>
      <w:r>
        <w:rPr>
          <w:rFonts w:hint="eastAsia" w:ascii="宋体" w:hAnsi="宋体" w:eastAsia="宋体" w:cs="宋体"/>
          <w:szCs w:val="21"/>
          <w:highlight w:val="none"/>
          <w:u w:val="single"/>
        </w:rPr>
        <w:t>           </w:t>
      </w:r>
      <w:r>
        <w:rPr>
          <w:rFonts w:hint="eastAsia" w:ascii="宋体" w:hAnsi="宋体" w:eastAsia="宋体" w:cs="宋体"/>
          <w:b/>
          <w:bCs/>
          <w:szCs w:val="21"/>
          <w:highlight w:val="none"/>
          <w:u w:val="single"/>
        </w:rPr>
        <w:t>（</w:t>
      </w:r>
      <w:r>
        <w:rPr>
          <w:rFonts w:hint="eastAsia" w:ascii="宋体" w:hAnsi="宋体" w:eastAsia="宋体" w:cs="宋体"/>
          <w:szCs w:val="21"/>
          <w:highlight w:val="none"/>
        </w:rPr>
        <w:t>项目名称） </w:t>
      </w:r>
      <w:r>
        <w:rPr>
          <w:rFonts w:hint="eastAsia" w:ascii="宋体" w:hAnsi="宋体" w:eastAsia="宋体" w:cs="宋体"/>
          <w:szCs w:val="21"/>
          <w:highlight w:val="none"/>
          <w:u w:val="single"/>
        </w:rPr>
        <w:t>       </w:t>
      </w:r>
      <w:r>
        <w:rPr>
          <w:rFonts w:hint="eastAsia" w:ascii="宋体" w:hAnsi="宋体" w:eastAsia="宋体" w:cs="宋体"/>
          <w:szCs w:val="21"/>
          <w:highlight w:val="none"/>
        </w:rPr>
        <w:t>（项目编号）投标邀请，正式授权下述签字人</w:t>
      </w:r>
      <w:r>
        <w:rPr>
          <w:rFonts w:hint="eastAsia" w:ascii="宋体" w:hAnsi="宋体" w:eastAsia="宋体" w:cs="宋体"/>
          <w:szCs w:val="21"/>
          <w:highlight w:val="none"/>
          <w:u w:val="single"/>
        </w:rPr>
        <w:t>           </w:t>
      </w:r>
      <w:r>
        <w:rPr>
          <w:rFonts w:hint="eastAsia" w:ascii="宋体" w:hAnsi="宋体" w:eastAsia="宋体" w:cs="宋体"/>
          <w:szCs w:val="21"/>
          <w:highlight w:val="none"/>
        </w:rPr>
        <w:t>(姓名和职务)代表投标人</w:t>
      </w:r>
      <w:r>
        <w:rPr>
          <w:rFonts w:hint="eastAsia" w:ascii="宋体" w:hAnsi="宋体" w:eastAsia="宋体" w:cs="宋体"/>
          <w:szCs w:val="21"/>
          <w:highlight w:val="none"/>
          <w:u w:val="single"/>
        </w:rPr>
        <w:t>     </w:t>
      </w:r>
      <w:r>
        <w:rPr>
          <w:rFonts w:hint="eastAsia" w:ascii="宋体" w:hAnsi="宋体" w:eastAsia="宋体" w:cs="宋体"/>
          <w:szCs w:val="21"/>
          <w:highlight w:val="none"/>
        </w:rPr>
        <w:t>（投标人名称），提交投标文件。</w:t>
      </w:r>
    </w:p>
    <w:p w14:paraId="74540AEB">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据此函，签字人兹宣布声明和承诺如下：</w:t>
      </w:r>
    </w:p>
    <w:p w14:paraId="448AFF9E">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b/>
          <w:bCs/>
          <w:szCs w:val="21"/>
          <w:highlight w:val="none"/>
        </w:rPr>
        <w:t>我们的资格条件完全符合政府采购法和本次招标要求</w:t>
      </w:r>
      <w:r>
        <w:rPr>
          <w:rFonts w:hint="eastAsia" w:ascii="宋体" w:hAnsi="宋体" w:eastAsia="宋体" w:cs="宋体"/>
          <w:szCs w:val="21"/>
          <w:highlight w:val="none"/>
        </w:rPr>
        <w:t>，我们同意并向贵方提供了与投标有关的所有证据和资料。</w:t>
      </w:r>
    </w:p>
    <w:p w14:paraId="095175F1">
      <w:pPr>
        <w:widowControl/>
        <w:shd w:val="clear" w:color="auto" w:fill="FFFFFF"/>
        <w:spacing w:line="400" w:lineRule="exact"/>
        <w:ind w:left="1470" w:hanging="1050"/>
        <w:rPr>
          <w:rFonts w:hint="eastAsia" w:ascii="宋体" w:hAnsi="宋体" w:eastAsia="宋体" w:cs="宋体"/>
          <w:szCs w:val="21"/>
          <w:highlight w:val="none"/>
        </w:rPr>
      </w:pPr>
      <w:r>
        <w:rPr>
          <w:rFonts w:hint="eastAsia" w:ascii="宋体" w:hAnsi="宋体" w:eastAsia="宋体" w:cs="宋体"/>
          <w:szCs w:val="21"/>
          <w:highlight w:val="none"/>
        </w:rPr>
        <w:t>2、按招标要求，我们的投标报价详见开标一览表。</w:t>
      </w:r>
    </w:p>
    <w:p w14:paraId="268DDFA2">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w:t>
      </w:r>
    </w:p>
    <w:p w14:paraId="7E441965">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4、我们已详细阅读全部招标文件及其有效补充文件，我们放弃对招标文件任何误解的权利，提交投标文件后，</w:t>
      </w:r>
      <w:r>
        <w:rPr>
          <w:rFonts w:hint="eastAsia" w:ascii="宋体" w:hAnsi="宋体" w:eastAsia="宋体" w:cs="宋体"/>
          <w:b/>
          <w:bCs/>
          <w:szCs w:val="21"/>
          <w:highlight w:val="none"/>
        </w:rPr>
        <w:t>不对招标文件本身提出质疑</w:t>
      </w:r>
      <w:r>
        <w:rPr>
          <w:rFonts w:hint="eastAsia" w:ascii="宋体" w:hAnsi="宋体" w:eastAsia="宋体" w:cs="宋体"/>
          <w:szCs w:val="21"/>
          <w:highlight w:val="none"/>
        </w:rPr>
        <w:t>。</w:t>
      </w:r>
    </w:p>
    <w:p w14:paraId="2463AA24">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5、我们同意从规定的开标日期起遵循本投标文件，并在规定的投标有效期期满之前均具有约束力。</w:t>
      </w:r>
    </w:p>
    <w:p w14:paraId="6595AC9C">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贵方组织的其他采购人式采购</w:t>
      </w:r>
      <w:r>
        <w:rPr>
          <w:rFonts w:hint="eastAsia" w:ascii="宋体" w:hAnsi="宋体" w:eastAsia="宋体" w:cs="宋体"/>
          <w:szCs w:val="21"/>
          <w:highlight w:val="none"/>
        </w:rPr>
        <w:t>。</w:t>
      </w:r>
    </w:p>
    <w:p w14:paraId="2E4BD1CB">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7、一旦我方中标，我方将根据招标文件的规定严格履行合同，并保证于承诺的时间完成货物的启动/集成、调试等服务，交付采购人验收、使用。</w:t>
      </w:r>
    </w:p>
    <w:p w14:paraId="3AAEB03C">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C3D398E">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9、与本投标有关的正式联系方式为：</w:t>
      </w:r>
    </w:p>
    <w:p w14:paraId="1095BAD9">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                      </w:t>
      </w:r>
    </w:p>
    <w:p w14:paraId="653BD305">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w:t>
      </w:r>
    </w:p>
    <w:p w14:paraId="76B7B59D">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w:t>
      </w:r>
    </w:p>
    <w:p w14:paraId="5449E869">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开户银行：</w:t>
      </w:r>
    </w:p>
    <w:p w14:paraId="37026968">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银行账号：</w:t>
      </w:r>
    </w:p>
    <w:p w14:paraId="05411A90">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投标人名称：</w:t>
      </w:r>
      <w:r>
        <w:rPr>
          <w:rFonts w:hint="eastAsia" w:ascii="宋体" w:hAnsi="宋体" w:eastAsia="宋体" w:cs="宋体"/>
          <w:szCs w:val="21"/>
          <w:highlight w:val="none"/>
          <w:u w:val="single"/>
        </w:rPr>
        <w:t>                 </w:t>
      </w:r>
      <w:r>
        <w:rPr>
          <w:rFonts w:hint="eastAsia" w:ascii="宋体" w:hAnsi="宋体" w:eastAsia="宋体" w:cs="宋体"/>
          <w:szCs w:val="21"/>
          <w:highlight w:val="none"/>
        </w:rPr>
        <w:t>（加盖电子公章）</w:t>
      </w:r>
    </w:p>
    <w:p w14:paraId="000588D6">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日    期：</w:t>
      </w:r>
      <w:r>
        <w:rPr>
          <w:rFonts w:hint="eastAsia" w:ascii="宋体" w:hAnsi="宋体" w:eastAsia="宋体" w:cs="宋体"/>
          <w:szCs w:val="21"/>
          <w:highlight w:val="none"/>
          <w:u w:val="single"/>
        </w:rPr>
        <w:t>     </w:t>
      </w:r>
      <w:r>
        <w:rPr>
          <w:rFonts w:hint="eastAsia" w:ascii="宋体" w:hAnsi="宋体" w:eastAsia="宋体" w:cs="宋体"/>
          <w:szCs w:val="21"/>
          <w:highlight w:val="none"/>
        </w:rPr>
        <w:t>年</w:t>
      </w:r>
      <w:r>
        <w:rPr>
          <w:rFonts w:hint="eastAsia" w:ascii="宋体" w:hAnsi="宋体" w:eastAsia="宋体" w:cs="宋体"/>
          <w:szCs w:val="21"/>
          <w:highlight w:val="none"/>
          <w:u w:val="single"/>
        </w:rPr>
        <w:t>    </w:t>
      </w:r>
      <w:r>
        <w:rPr>
          <w:rFonts w:hint="eastAsia" w:ascii="宋体" w:hAnsi="宋体" w:eastAsia="宋体" w:cs="宋体"/>
          <w:szCs w:val="21"/>
          <w:highlight w:val="none"/>
        </w:rPr>
        <w:t>月</w:t>
      </w:r>
      <w:r>
        <w:rPr>
          <w:rFonts w:hint="eastAsia" w:ascii="宋体" w:hAnsi="宋体" w:eastAsia="宋体" w:cs="宋体"/>
          <w:szCs w:val="21"/>
          <w:highlight w:val="none"/>
          <w:u w:val="single"/>
        </w:rPr>
        <w:t>    </w:t>
      </w:r>
      <w:r>
        <w:rPr>
          <w:rFonts w:hint="eastAsia" w:ascii="宋体" w:hAnsi="宋体" w:eastAsia="宋体" w:cs="宋体"/>
          <w:szCs w:val="21"/>
          <w:highlight w:val="none"/>
        </w:rPr>
        <w:t>日</w:t>
      </w:r>
    </w:p>
    <w:p w14:paraId="5B387CE5">
      <w:pPr>
        <w:widowControl/>
        <w:shd w:val="clear" w:color="auto" w:fill="FFFFFF"/>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附件二、法人授权委托书格式</w:t>
      </w:r>
    </w:p>
    <w:p w14:paraId="2147F785">
      <w:pPr>
        <w:widowControl/>
        <w:shd w:val="clear" w:color="auto" w:fill="FFFFFF"/>
        <w:spacing w:line="360" w:lineRule="auto"/>
        <w:ind w:firstLine="720"/>
        <w:jc w:val="center"/>
        <w:rPr>
          <w:rFonts w:hint="eastAsia" w:ascii="宋体" w:hAnsi="宋体" w:eastAsia="宋体" w:cs="宋体"/>
          <w:sz w:val="36"/>
          <w:szCs w:val="36"/>
          <w:highlight w:val="none"/>
        </w:rPr>
      </w:pPr>
    </w:p>
    <w:p w14:paraId="0392C9DC">
      <w:pPr>
        <w:widowControl/>
        <w:shd w:val="clear" w:color="auto" w:fill="FFFFFF"/>
        <w:spacing w:line="360" w:lineRule="auto"/>
        <w:ind w:firstLine="720"/>
        <w:jc w:val="center"/>
        <w:rPr>
          <w:rFonts w:hint="eastAsia" w:ascii="宋体" w:hAnsi="宋体" w:eastAsia="宋体" w:cs="宋体"/>
          <w:b/>
          <w:szCs w:val="21"/>
          <w:highlight w:val="none"/>
        </w:rPr>
      </w:pPr>
      <w:r>
        <w:rPr>
          <w:rFonts w:hint="eastAsia" w:ascii="宋体" w:hAnsi="宋体" w:eastAsia="宋体" w:cs="宋体"/>
          <w:b/>
          <w:sz w:val="36"/>
          <w:szCs w:val="36"/>
          <w:highlight w:val="none"/>
        </w:rPr>
        <w:t>法人授权书</w:t>
      </w:r>
    </w:p>
    <w:p w14:paraId="7CD7F9BE">
      <w:pPr>
        <w:widowControl/>
        <w:shd w:val="clear" w:color="auto" w:fill="FFFFFF"/>
        <w:spacing w:line="360" w:lineRule="auto"/>
        <w:jc w:val="left"/>
        <w:rPr>
          <w:rFonts w:hint="eastAsia" w:ascii="宋体" w:hAnsi="宋体" w:eastAsia="宋体" w:cs="宋体"/>
          <w:szCs w:val="21"/>
          <w:highlight w:val="none"/>
        </w:rPr>
      </w:pPr>
    </w:p>
    <w:p w14:paraId="520A70D9">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项目采购活动的合法代理人，以本单位名义全权处理一切与该项目采购有关的事务。</w:t>
      </w:r>
    </w:p>
    <w:p w14:paraId="74E3D90F">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本授权书自______年____月____日起生效，特此声明。</w:t>
      </w:r>
    </w:p>
    <w:p w14:paraId="4D49AF3B">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被授权人身份证号码：</w:t>
      </w:r>
    </w:p>
    <w:p w14:paraId="09C2CC99">
      <w:pPr>
        <w:spacing w:line="480" w:lineRule="exact"/>
        <w:ind w:firstLine="480"/>
        <w:rPr>
          <w:rFonts w:hint="eastAsia" w:ascii="宋体" w:hAnsi="宋体" w:eastAsia="宋体" w:cs="宋体"/>
          <w:szCs w:val="21"/>
          <w:highlight w:val="none"/>
          <w:u w:val="single"/>
        </w:rPr>
      </w:pPr>
      <w:r>
        <w:rPr>
          <w:rFonts w:hint="eastAsia" w:ascii="宋体" w:hAnsi="宋体" w:eastAsia="宋体" w:cs="宋体"/>
          <w:szCs w:val="21"/>
          <w:highlight w:val="none"/>
        </w:rPr>
        <w:t>被授权人联系电话：           （手机）</w:t>
      </w:r>
    </w:p>
    <w:p w14:paraId="012AB8A3">
      <w:pPr>
        <w:spacing w:line="480" w:lineRule="exact"/>
        <w:ind w:firstLine="480"/>
        <w:rPr>
          <w:rFonts w:hint="eastAsia" w:ascii="宋体" w:hAnsi="宋体" w:eastAsia="宋体" w:cs="宋体"/>
          <w:szCs w:val="21"/>
          <w:highlight w:val="none"/>
          <w:u w:val="single"/>
        </w:rPr>
      </w:pPr>
      <w:r>
        <w:rPr>
          <w:rFonts w:hint="eastAsia" w:ascii="宋体" w:hAnsi="宋体" w:eastAsia="宋体" w:cs="宋体"/>
          <w:szCs w:val="21"/>
          <w:highlight w:val="none"/>
        </w:rPr>
        <w:t>投标人名称：              （加盖电子公章）</w:t>
      </w:r>
    </w:p>
    <w:p w14:paraId="5326B81A">
      <w:pPr>
        <w:spacing w:line="480" w:lineRule="exact"/>
        <w:ind w:firstLine="480"/>
        <w:rPr>
          <w:rFonts w:hint="eastAsia" w:ascii="宋体" w:hAnsi="宋体" w:eastAsia="宋体" w:cs="宋体"/>
          <w:szCs w:val="21"/>
          <w:highlight w:val="none"/>
          <w:u w:val="single"/>
        </w:rPr>
      </w:pPr>
      <w:r>
        <w:rPr>
          <w:rFonts w:hint="eastAsia" w:ascii="宋体" w:hAnsi="宋体" w:eastAsia="宋体" w:cs="宋体"/>
          <w:szCs w:val="21"/>
          <w:highlight w:val="none"/>
        </w:rPr>
        <w:t>单位地址：</w:t>
      </w:r>
    </w:p>
    <w:p w14:paraId="690B547B">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日    期：</w:t>
      </w:r>
    </w:p>
    <w:p w14:paraId="0CDBA8BC">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68901B7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513D5132">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2F415703">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0" w:name="_Toc26810"/>
      <w:r>
        <w:rPr>
          <w:rFonts w:hint="eastAsia" w:ascii="宋体" w:hAnsi="宋体" w:eastAsia="宋体" w:cs="宋体"/>
          <w:b/>
          <w:bCs/>
          <w:szCs w:val="21"/>
          <w:highlight w:val="none"/>
          <w:lang w:val="zh-CN"/>
        </w:rPr>
        <w:t>附件三、</w:t>
      </w:r>
      <w:bookmarkEnd w:id="20"/>
      <w:r>
        <w:rPr>
          <w:rFonts w:hint="eastAsia" w:ascii="宋体" w:hAnsi="宋体" w:eastAsia="宋体" w:cs="宋体"/>
          <w:b/>
          <w:bCs/>
          <w:szCs w:val="21"/>
          <w:highlight w:val="none"/>
          <w:lang w:val="zh-CN"/>
        </w:rPr>
        <w:t>开标一览表</w:t>
      </w:r>
    </w:p>
    <w:p w14:paraId="4F0DD20D">
      <w:pPr>
        <w:rPr>
          <w:rFonts w:hint="eastAsia" w:ascii="宋体" w:hAnsi="宋体" w:eastAsia="宋体" w:cs="宋体"/>
          <w:b/>
          <w:bCs/>
          <w:highlight w:val="none"/>
          <w:lang w:val="zh-CN"/>
        </w:rPr>
      </w:pPr>
    </w:p>
    <w:p w14:paraId="5A90D70B">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开标一览表</w:t>
      </w:r>
    </w:p>
    <w:p w14:paraId="0F535452">
      <w:pPr>
        <w:widowControl/>
        <w:shd w:val="clear" w:color="auto" w:fill="FFFFFF"/>
        <w:spacing w:line="360" w:lineRule="auto"/>
        <w:jc w:val="center"/>
        <w:rPr>
          <w:rFonts w:hint="eastAsia" w:ascii="宋体" w:hAnsi="宋体" w:eastAsia="宋体" w:cs="宋体"/>
          <w:sz w:val="24"/>
          <w:highlight w:val="none"/>
        </w:rPr>
      </w:pPr>
    </w:p>
    <w:p w14:paraId="7E6BD401">
      <w:pPr>
        <w:pStyle w:val="13"/>
        <w:spacing w:line="440" w:lineRule="exact"/>
        <w:ind w:firstLine="474"/>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p>
    <w:tbl>
      <w:tblPr>
        <w:tblStyle w:val="48"/>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6266"/>
        <w:gridCol w:w="1270"/>
      </w:tblGrid>
      <w:tr w14:paraId="5D49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10" w:hRule="atLeast"/>
        </w:trPr>
        <w:tc>
          <w:tcPr>
            <w:tcW w:w="1524" w:type="dxa"/>
            <w:noWrap w:val="0"/>
            <w:vAlign w:val="center"/>
          </w:tcPr>
          <w:p w14:paraId="42E50ADE">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投标报价</w:t>
            </w:r>
          </w:p>
        </w:tc>
        <w:tc>
          <w:tcPr>
            <w:tcW w:w="6266" w:type="dxa"/>
            <w:noWrap w:val="0"/>
            <w:vAlign w:val="center"/>
          </w:tcPr>
          <w:p w14:paraId="2177ACE2">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投标报价大写金额：</w:t>
            </w:r>
          </w:p>
          <w:p w14:paraId="246A95E8">
            <w:pPr>
              <w:pStyle w:val="13"/>
              <w:ind w:firstLine="0"/>
              <w:rPr>
                <w:rFonts w:hint="eastAsia" w:ascii="宋体" w:hAnsi="宋体" w:eastAsia="宋体" w:cs="宋体"/>
                <w:b/>
                <w:bCs/>
                <w:szCs w:val="21"/>
                <w:highlight w:val="none"/>
              </w:rPr>
            </w:pPr>
            <w:r>
              <w:rPr>
                <w:rFonts w:hint="eastAsia" w:ascii="宋体" w:hAnsi="宋体" w:eastAsia="宋体" w:cs="宋体"/>
                <w:b/>
                <w:color w:val="000000" w:themeColor="text1"/>
                <w:szCs w:val="24"/>
                <w:highlight w:val="none"/>
                <w14:textFill>
                  <w14:solidFill>
                    <w14:schemeClr w14:val="tx1"/>
                  </w14:solidFill>
                </w14:textFill>
              </w:rPr>
              <w:t>投标报价小写金额：</w:t>
            </w:r>
          </w:p>
        </w:tc>
        <w:tc>
          <w:tcPr>
            <w:tcW w:w="1270" w:type="dxa"/>
            <w:noWrap w:val="0"/>
            <w:vAlign w:val="center"/>
          </w:tcPr>
          <w:p w14:paraId="6DBB412D">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备注：报价不得超过</w:t>
            </w:r>
            <w:r>
              <w:rPr>
                <w:rFonts w:hint="eastAsia" w:ascii="宋体" w:hAnsi="宋体" w:cs="宋体"/>
                <w:szCs w:val="21"/>
                <w:highlight w:val="none"/>
                <w:lang w:val="en-US" w:eastAsia="zh-CN"/>
              </w:rPr>
              <w:t>最高限价</w:t>
            </w:r>
          </w:p>
        </w:tc>
      </w:tr>
      <w:tr w14:paraId="0B7E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7BED89EE">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投标单价</w:t>
            </w:r>
          </w:p>
        </w:tc>
        <w:tc>
          <w:tcPr>
            <w:tcW w:w="6266" w:type="dxa"/>
            <w:noWrap w:val="0"/>
            <w:vAlign w:val="center"/>
          </w:tcPr>
          <w:p w14:paraId="1B2F35B5">
            <w:pPr>
              <w:pStyle w:val="13"/>
              <w:ind w:firstLine="1205" w:firstLineChars="500"/>
              <w:rPr>
                <w:rFonts w:hint="default" w:ascii="宋体" w:hAnsi="宋体" w:eastAsia="宋体" w:cs="宋体"/>
                <w:b/>
                <w:color w:val="000000" w:themeColor="text1"/>
                <w:szCs w:val="24"/>
                <w:highlight w:val="none"/>
                <w:lang w:val="en-US" w:eastAsia="zh-CN"/>
                <w14:textFill>
                  <w14:solidFill>
                    <w14:schemeClr w14:val="tx1"/>
                  </w14:solidFill>
                </w14:textFill>
              </w:rPr>
            </w:pPr>
            <w:r>
              <w:rPr>
                <w:rFonts w:hint="eastAsia" w:ascii="宋体" w:hAnsi="宋体" w:cs="宋体"/>
                <w:b/>
                <w:color w:val="000000" w:themeColor="text1"/>
                <w:szCs w:val="24"/>
                <w:highlight w:val="none"/>
                <w:lang w:val="en-US" w:eastAsia="zh-CN"/>
                <w14:textFill>
                  <w14:solidFill>
                    <w14:schemeClr w14:val="tx1"/>
                  </w14:solidFill>
                </w14:textFill>
              </w:rPr>
              <w:t>元/人</w:t>
            </w:r>
          </w:p>
        </w:tc>
        <w:tc>
          <w:tcPr>
            <w:tcW w:w="1270" w:type="dxa"/>
            <w:noWrap w:val="0"/>
            <w:vAlign w:val="center"/>
          </w:tcPr>
          <w:p w14:paraId="590522E3">
            <w:pPr>
              <w:spacing w:line="440" w:lineRule="exact"/>
              <w:rPr>
                <w:rFonts w:hint="eastAsia" w:ascii="宋体" w:hAnsi="宋体" w:eastAsia="宋体" w:cs="宋体"/>
                <w:szCs w:val="21"/>
                <w:highlight w:val="none"/>
              </w:rPr>
            </w:pPr>
          </w:p>
        </w:tc>
      </w:tr>
      <w:tr w14:paraId="253E2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noWrap w:val="0"/>
            <w:vAlign w:val="center"/>
          </w:tcPr>
          <w:p w14:paraId="110ACDF1">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服务时间/交付使用时间</w:t>
            </w:r>
          </w:p>
        </w:tc>
        <w:tc>
          <w:tcPr>
            <w:tcW w:w="6266" w:type="dxa"/>
            <w:noWrap w:val="0"/>
            <w:vAlign w:val="center"/>
          </w:tcPr>
          <w:p w14:paraId="619D56B7">
            <w:pPr>
              <w:pStyle w:val="13"/>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满足招标文件要求</w:t>
            </w:r>
            <w:r>
              <w:rPr>
                <w:rFonts w:hint="eastAsia" w:ascii="宋体" w:hAnsi="宋体" w:eastAsia="宋体" w:cs="宋体"/>
                <w:b w:val="0"/>
                <w:bCs/>
                <w:sz w:val="21"/>
                <w:szCs w:val="21"/>
                <w:highlight w:val="none"/>
              </w:rPr>
              <w:t>。</w:t>
            </w:r>
          </w:p>
        </w:tc>
        <w:tc>
          <w:tcPr>
            <w:tcW w:w="1270" w:type="dxa"/>
            <w:noWrap w:val="0"/>
            <w:vAlign w:val="center"/>
          </w:tcPr>
          <w:p w14:paraId="5EA6B4DB">
            <w:pPr>
              <w:spacing w:line="440" w:lineRule="exact"/>
              <w:ind w:firstLine="473"/>
              <w:rPr>
                <w:rFonts w:hint="eastAsia" w:ascii="宋体" w:hAnsi="宋体" w:eastAsia="宋体" w:cs="宋体"/>
                <w:szCs w:val="21"/>
                <w:highlight w:val="none"/>
              </w:rPr>
            </w:pPr>
          </w:p>
          <w:p w14:paraId="18FE1BE1">
            <w:pPr>
              <w:spacing w:line="440" w:lineRule="exact"/>
              <w:ind w:firstLine="473"/>
              <w:rPr>
                <w:rFonts w:hint="eastAsia" w:ascii="宋体" w:hAnsi="宋体" w:eastAsia="宋体" w:cs="宋体"/>
                <w:szCs w:val="21"/>
                <w:highlight w:val="none"/>
              </w:rPr>
            </w:pPr>
          </w:p>
        </w:tc>
      </w:tr>
      <w:tr w14:paraId="6D63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noWrap w:val="0"/>
            <w:vAlign w:val="center"/>
          </w:tcPr>
          <w:p w14:paraId="35A8B0AC">
            <w:pPr>
              <w:pStyle w:val="13"/>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投标标的是否全部由小微企业（含视同小微企业）提供</w:t>
            </w:r>
          </w:p>
        </w:tc>
        <w:tc>
          <w:tcPr>
            <w:tcW w:w="6266" w:type="dxa"/>
            <w:noWrap w:val="0"/>
            <w:vAlign w:val="center"/>
          </w:tcPr>
          <w:p w14:paraId="76C36AE6">
            <w:pPr>
              <w:pStyle w:val="13"/>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zh-CN"/>
              </w:rPr>
              <w:t>填写“是”或“否</w:t>
            </w:r>
            <w:r>
              <w:rPr>
                <w:rFonts w:hint="eastAsia" w:ascii="宋体" w:hAnsi="宋体" w:eastAsia="宋体" w:cs="宋体"/>
                <w:sz w:val="21"/>
                <w:szCs w:val="21"/>
                <w:highlight w:val="none"/>
              </w:rPr>
              <w:t>）</w:t>
            </w:r>
          </w:p>
        </w:tc>
        <w:tc>
          <w:tcPr>
            <w:tcW w:w="1270" w:type="dxa"/>
            <w:noWrap w:val="0"/>
            <w:vAlign w:val="center"/>
          </w:tcPr>
          <w:p w14:paraId="19B185BD">
            <w:pPr>
              <w:spacing w:line="440" w:lineRule="exact"/>
              <w:ind w:firstLine="473"/>
              <w:rPr>
                <w:rFonts w:hint="eastAsia" w:ascii="宋体" w:hAnsi="宋体" w:eastAsia="宋体" w:cs="宋体"/>
                <w:szCs w:val="21"/>
                <w:highlight w:val="none"/>
              </w:rPr>
            </w:pPr>
          </w:p>
        </w:tc>
      </w:tr>
    </w:tbl>
    <w:p w14:paraId="6619A625">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6D7678CD">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说明：</w:t>
      </w:r>
    </w:p>
    <w:p w14:paraId="060CB2F8">
      <w:pPr>
        <w:widowControl/>
        <w:numPr>
          <w:ilvl w:val="0"/>
          <w:numId w:val="10"/>
        </w:numPr>
        <w:shd w:val="clear" w:color="auto" w:fill="FFFFFF"/>
        <w:spacing w:line="360" w:lineRule="auto"/>
        <w:ind w:firstLine="422"/>
        <w:jc w:val="left"/>
        <w:rPr>
          <w:rFonts w:hint="eastAsia" w:ascii="宋体" w:hAnsi="宋体" w:eastAsia="宋体" w:cs="宋体"/>
          <w:b/>
          <w:bCs/>
          <w:szCs w:val="21"/>
          <w:highlight w:val="none"/>
        </w:rPr>
      </w:pPr>
      <w:bookmarkStart w:id="21" w:name="_Toc12264"/>
      <w:r>
        <w:rPr>
          <w:rFonts w:hint="eastAsia" w:ascii="宋体" w:hAnsi="宋体" w:eastAsia="宋体" w:cs="宋体"/>
          <w:b/>
          <w:bCs/>
          <w:szCs w:val="21"/>
          <w:highlight w:val="none"/>
        </w:rPr>
        <w:t>本项目仅接受一个价格，不得填报有选择性报价方案。如有优惠条款须注明，但不得影响报价，影响项目履约交付。</w:t>
      </w:r>
    </w:p>
    <w:p w14:paraId="3D212D0D">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2、“投标标的是否全部由小微企业提供</w:t>
      </w:r>
      <w:r>
        <w:rPr>
          <w:rFonts w:hint="eastAsia" w:ascii="宋体" w:hAnsi="宋体" w:eastAsia="宋体" w:cs="宋体"/>
          <w:b/>
          <w:bCs/>
          <w:szCs w:val="21"/>
          <w:highlight w:val="none"/>
          <w:lang w:val="zh-CN"/>
        </w:rPr>
        <w:t>”栏内填写“是”或“否”。如填写“是”，</w:t>
      </w:r>
      <w:r>
        <w:rPr>
          <w:rFonts w:hint="eastAsia" w:ascii="宋体" w:hAnsi="宋体" w:eastAsia="宋体" w:cs="宋体"/>
          <w:b/>
          <w:bCs/>
          <w:szCs w:val="21"/>
          <w:highlight w:val="none"/>
        </w:rPr>
        <w:t>投标人应按招标文件要求提供《中小企业声明函》、《残疾人福利性单位声明函》、《属于监狱企业的证明文件》。如未按要求提供、填写，不享受价格扣除。</w:t>
      </w:r>
    </w:p>
    <w:p w14:paraId="73646A04">
      <w:pPr>
        <w:widowControl/>
        <w:shd w:val="clear" w:color="auto" w:fill="FFFFFF"/>
        <w:spacing w:line="360" w:lineRule="auto"/>
        <w:jc w:val="lef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p>
    <w:p w14:paraId="0B8325AB">
      <w:pPr>
        <w:widowControl/>
        <w:shd w:val="clear" w:color="auto" w:fill="FFFFFF"/>
        <w:spacing w:line="360" w:lineRule="auto"/>
        <w:jc w:val="lef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附件四、分项报价表格式</w:t>
      </w:r>
      <w:bookmarkEnd w:id="21"/>
    </w:p>
    <w:p w14:paraId="19F17BFB">
      <w:pPr>
        <w:widowControl/>
        <w:shd w:val="clear" w:color="auto" w:fill="FFFFFF"/>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分项报价表</w:t>
      </w:r>
    </w:p>
    <w:p w14:paraId="624426AC">
      <w:pPr>
        <w:widowControl/>
        <w:shd w:val="clear" w:color="auto" w:fill="FFFFFF"/>
        <w:spacing w:line="360" w:lineRule="auto"/>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如有，格式自拟。</w:t>
      </w:r>
    </w:p>
    <w:p w14:paraId="23F06FF7">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71B4E3E0">
      <w:pPr>
        <w:pageBreakBefore/>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t>附件五、采购需求偏离表格式</w:t>
      </w:r>
    </w:p>
    <w:p w14:paraId="043BE575">
      <w:pPr>
        <w:widowControl/>
        <w:shd w:val="clear" w:color="auto" w:fill="FFFFFF"/>
        <w:spacing w:line="360" w:lineRule="auto"/>
        <w:ind w:left="435"/>
        <w:jc w:val="left"/>
        <w:rPr>
          <w:rFonts w:hint="eastAsia" w:ascii="宋体" w:hAnsi="宋体" w:eastAsia="宋体" w:cs="宋体"/>
          <w:szCs w:val="21"/>
          <w:highlight w:val="none"/>
        </w:rPr>
      </w:pPr>
    </w:p>
    <w:p w14:paraId="44C855B1">
      <w:pPr>
        <w:widowControl/>
        <w:shd w:val="clear" w:color="auto" w:fill="FFFFFF"/>
        <w:spacing w:line="360" w:lineRule="auto"/>
        <w:ind w:left="420"/>
        <w:jc w:val="center"/>
        <w:rPr>
          <w:rFonts w:hint="eastAsia" w:ascii="宋体" w:hAnsi="宋体" w:eastAsia="宋体" w:cs="宋体"/>
          <w:b/>
          <w:szCs w:val="21"/>
          <w:highlight w:val="none"/>
        </w:rPr>
      </w:pPr>
      <w:r>
        <w:rPr>
          <w:rFonts w:hint="eastAsia" w:ascii="宋体" w:hAnsi="宋体" w:eastAsia="宋体" w:cs="宋体"/>
          <w:b/>
          <w:sz w:val="36"/>
          <w:szCs w:val="36"/>
          <w:highlight w:val="none"/>
        </w:rPr>
        <w:t>采购需求偏离表</w:t>
      </w:r>
    </w:p>
    <w:p w14:paraId="0AFBB130">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03E7E447">
      <w:pPr>
        <w:widowControl/>
        <w:tabs>
          <w:tab w:val="left" w:pos="3930"/>
        </w:tabs>
        <w:spacing w:line="360" w:lineRule="auto"/>
        <w:ind w:firstLine="84"/>
        <w:jc w:val="left"/>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p>
    <w:tbl>
      <w:tblPr>
        <w:tblStyle w:val="48"/>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676"/>
        <w:gridCol w:w="1926"/>
        <w:gridCol w:w="3008"/>
        <w:gridCol w:w="1243"/>
      </w:tblGrid>
      <w:tr w14:paraId="0518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686413CD">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1676" w:type="dxa"/>
            <w:noWrap w:val="0"/>
            <w:tcMar>
              <w:top w:w="0" w:type="dxa"/>
              <w:left w:w="10" w:type="dxa"/>
              <w:bottom w:w="0" w:type="dxa"/>
              <w:right w:w="10" w:type="dxa"/>
            </w:tcMar>
            <w:vAlign w:val="center"/>
          </w:tcPr>
          <w:p w14:paraId="5DD8E90F">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招标文件条目号</w:t>
            </w:r>
          </w:p>
        </w:tc>
        <w:tc>
          <w:tcPr>
            <w:tcW w:w="1926" w:type="dxa"/>
            <w:noWrap w:val="0"/>
            <w:tcMar>
              <w:top w:w="0" w:type="dxa"/>
              <w:left w:w="10" w:type="dxa"/>
              <w:bottom w:w="0" w:type="dxa"/>
              <w:right w:w="10" w:type="dxa"/>
            </w:tcMar>
            <w:vAlign w:val="center"/>
          </w:tcPr>
          <w:p w14:paraId="2D2E931A">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招标要求规格</w:t>
            </w:r>
          </w:p>
        </w:tc>
        <w:tc>
          <w:tcPr>
            <w:tcW w:w="3008" w:type="dxa"/>
            <w:noWrap w:val="0"/>
            <w:tcMar>
              <w:top w:w="0" w:type="dxa"/>
              <w:left w:w="10" w:type="dxa"/>
              <w:bottom w:w="0" w:type="dxa"/>
              <w:right w:w="10" w:type="dxa"/>
            </w:tcMar>
            <w:vAlign w:val="center"/>
          </w:tcPr>
          <w:p w14:paraId="6FF9A251">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投标响应</w:t>
            </w:r>
          </w:p>
        </w:tc>
        <w:tc>
          <w:tcPr>
            <w:tcW w:w="1243" w:type="dxa"/>
            <w:noWrap w:val="0"/>
            <w:tcMar>
              <w:top w:w="0" w:type="dxa"/>
              <w:left w:w="10" w:type="dxa"/>
              <w:bottom w:w="0" w:type="dxa"/>
              <w:right w:w="10" w:type="dxa"/>
            </w:tcMar>
            <w:vAlign w:val="center"/>
          </w:tcPr>
          <w:p w14:paraId="765C9F50">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偏离</w:t>
            </w:r>
          </w:p>
        </w:tc>
      </w:tr>
      <w:tr w14:paraId="4C4B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1FABB4E1">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6" w:type="dxa"/>
            <w:noWrap w:val="0"/>
            <w:tcMar>
              <w:top w:w="0" w:type="dxa"/>
              <w:left w:w="10" w:type="dxa"/>
              <w:bottom w:w="0" w:type="dxa"/>
              <w:right w:w="10" w:type="dxa"/>
            </w:tcMar>
            <w:vAlign w:val="center"/>
          </w:tcPr>
          <w:p w14:paraId="7BAE8742">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926" w:type="dxa"/>
            <w:noWrap w:val="0"/>
            <w:tcMar>
              <w:top w:w="0" w:type="dxa"/>
              <w:left w:w="10" w:type="dxa"/>
              <w:bottom w:w="0" w:type="dxa"/>
              <w:right w:w="10" w:type="dxa"/>
            </w:tcMar>
            <w:vAlign w:val="center"/>
          </w:tcPr>
          <w:p w14:paraId="3024356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8" w:type="dxa"/>
            <w:noWrap w:val="0"/>
            <w:tcMar>
              <w:top w:w="0" w:type="dxa"/>
              <w:left w:w="10" w:type="dxa"/>
              <w:bottom w:w="0" w:type="dxa"/>
              <w:right w:w="10" w:type="dxa"/>
            </w:tcMar>
            <w:vAlign w:val="center"/>
          </w:tcPr>
          <w:p w14:paraId="58AEAD8B">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43" w:type="dxa"/>
            <w:noWrap w:val="0"/>
            <w:tcMar>
              <w:top w:w="0" w:type="dxa"/>
              <w:left w:w="10" w:type="dxa"/>
              <w:bottom w:w="0" w:type="dxa"/>
              <w:right w:w="10" w:type="dxa"/>
            </w:tcMar>
            <w:vAlign w:val="center"/>
          </w:tcPr>
          <w:p w14:paraId="16E54231">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4F75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1D21B54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6" w:type="dxa"/>
            <w:noWrap w:val="0"/>
            <w:tcMar>
              <w:top w:w="0" w:type="dxa"/>
              <w:left w:w="10" w:type="dxa"/>
              <w:bottom w:w="0" w:type="dxa"/>
              <w:right w:w="10" w:type="dxa"/>
            </w:tcMar>
            <w:vAlign w:val="center"/>
          </w:tcPr>
          <w:p w14:paraId="194F0345">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926" w:type="dxa"/>
            <w:noWrap w:val="0"/>
            <w:tcMar>
              <w:top w:w="0" w:type="dxa"/>
              <w:left w:w="10" w:type="dxa"/>
              <w:bottom w:w="0" w:type="dxa"/>
              <w:right w:w="10" w:type="dxa"/>
            </w:tcMar>
            <w:vAlign w:val="center"/>
          </w:tcPr>
          <w:p w14:paraId="4AC551AF">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8" w:type="dxa"/>
            <w:noWrap w:val="0"/>
            <w:tcMar>
              <w:top w:w="0" w:type="dxa"/>
              <w:left w:w="10" w:type="dxa"/>
              <w:bottom w:w="0" w:type="dxa"/>
              <w:right w:w="10" w:type="dxa"/>
            </w:tcMar>
            <w:vAlign w:val="center"/>
          </w:tcPr>
          <w:p w14:paraId="18E370F3">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43" w:type="dxa"/>
            <w:noWrap w:val="0"/>
            <w:tcMar>
              <w:top w:w="0" w:type="dxa"/>
              <w:left w:w="10" w:type="dxa"/>
              <w:bottom w:w="0" w:type="dxa"/>
              <w:right w:w="10" w:type="dxa"/>
            </w:tcMar>
            <w:vAlign w:val="center"/>
          </w:tcPr>
          <w:p w14:paraId="42AF0737">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40B5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30C2316F">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6" w:type="dxa"/>
            <w:noWrap w:val="0"/>
            <w:tcMar>
              <w:top w:w="0" w:type="dxa"/>
              <w:left w:w="10" w:type="dxa"/>
              <w:bottom w:w="0" w:type="dxa"/>
              <w:right w:w="10" w:type="dxa"/>
            </w:tcMar>
            <w:vAlign w:val="center"/>
          </w:tcPr>
          <w:p w14:paraId="7B0396E4">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926" w:type="dxa"/>
            <w:noWrap w:val="0"/>
            <w:tcMar>
              <w:top w:w="0" w:type="dxa"/>
              <w:left w:w="10" w:type="dxa"/>
              <w:bottom w:w="0" w:type="dxa"/>
              <w:right w:w="10" w:type="dxa"/>
            </w:tcMar>
            <w:vAlign w:val="center"/>
          </w:tcPr>
          <w:p w14:paraId="63757F0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8" w:type="dxa"/>
            <w:noWrap w:val="0"/>
            <w:tcMar>
              <w:top w:w="0" w:type="dxa"/>
              <w:left w:w="10" w:type="dxa"/>
              <w:bottom w:w="0" w:type="dxa"/>
              <w:right w:w="10" w:type="dxa"/>
            </w:tcMar>
            <w:vAlign w:val="center"/>
          </w:tcPr>
          <w:p w14:paraId="1C0DD680">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43" w:type="dxa"/>
            <w:noWrap w:val="0"/>
            <w:tcMar>
              <w:top w:w="0" w:type="dxa"/>
              <w:left w:w="10" w:type="dxa"/>
              <w:bottom w:w="0" w:type="dxa"/>
              <w:right w:w="10" w:type="dxa"/>
            </w:tcMar>
            <w:vAlign w:val="center"/>
          </w:tcPr>
          <w:p w14:paraId="074E89C3">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4FB9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4F749F0E">
            <w:pPr>
              <w:widowControl/>
              <w:spacing w:line="360" w:lineRule="auto"/>
              <w:jc w:val="center"/>
              <w:rPr>
                <w:rFonts w:hint="eastAsia" w:ascii="宋体" w:hAnsi="宋体" w:eastAsia="宋体" w:cs="宋体"/>
                <w:szCs w:val="21"/>
                <w:highlight w:val="none"/>
              </w:rPr>
            </w:pPr>
          </w:p>
        </w:tc>
        <w:tc>
          <w:tcPr>
            <w:tcW w:w="1676" w:type="dxa"/>
            <w:noWrap w:val="0"/>
            <w:tcMar>
              <w:top w:w="0" w:type="dxa"/>
              <w:left w:w="10" w:type="dxa"/>
              <w:bottom w:w="0" w:type="dxa"/>
              <w:right w:w="10" w:type="dxa"/>
            </w:tcMar>
            <w:vAlign w:val="center"/>
          </w:tcPr>
          <w:p w14:paraId="000B4040">
            <w:pPr>
              <w:widowControl/>
              <w:spacing w:line="360" w:lineRule="auto"/>
              <w:jc w:val="center"/>
              <w:rPr>
                <w:rFonts w:hint="eastAsia" w:ascii="宋体" w:hAnsi="宋体" w:eastAsia="宋体" w:cs="宋体"/>
                <w:szCs w:val="21"/>
                <w:highlight w:val="none"/>
              </w:rPr>
            </w:pPr>
          </w:p>
        </w:tc>
        <w:tc>
          <w:tcPr>
            <w:tcW w:w="1926" w:type="dxa"/>
            <w:noWrap w:val="0"/>
            <w:tcMar>
              <w:top w:w="0" w:type="dxa"/>
              <w:left w:w="10" w:type="dxa"/>
              <w:bottom w:w="0" w:type="dxa"/>
              <w:right w:w="10" w:type="dxa"/>
            </w:tcMar>
            <w:vAlign w:val="center"/>
          </w:tcPr>
          <w:p w14:paraId="6E3A6742">
            <w:pPr>
              <w:widowControl/>
              <w:spacing w:line="360" w:lineRule="auto"/>
              <w:jc w:val="center"/>
              <w:rPr>
                <w:rFonts w:hint="eastAsia" w:ascii="宋体" w:hAnsi="宋体" w:eastAsia="宋体" w:cs="宋体"/>
                <w:szCs w:val="21"/>
                <w:highlight w:val="none"/>
              </w:rPr>
            </w:pPr>
          </w:p>
        </w:tc>
        <w:tc>
          <w:tcPr>
            <w:tcW w:w="3008" w:type="dxa"/>
            <w:noWrap w:val="0"/>
            <w:tcMar>
              <w:top w:w="0" w:type="dxa"/>
              <w:left w:w="10" w:type="dxa"/>
              <w:bottom w:w="0" w:type="dxa"/>
              <w:right w:w="10" w:type="dxa"/>
            </w:tcMar>
            <w:vAlign w:val="center"/>
          </w:tcPr>
          <w:p w14:paraId="6703CDB4">
            <w:pPr>
              <w:widowControl/>
              <w:spacing w:line="360" w:lineRule="auto"/>
              <w:jc w:val="center"/>
              <w:rPr>
                <w:rFonts w:hint="eastAsia" w:ascii="宋体" w:hAnsi="宋体" w:eastAsia="宋体" w:cs="宋体"/>
                <w:szCs w:val="21"/>
                <w:highlight w:val="none"/>
              </w:rPr>
            </w:pPr>
          </w:p>
        </w:tc>
        <w:tc>
          <w:tcPr>
            <w:tcW w:w="1243" w:type="dxa"/>
            <w:noWrap w:val="0"/>
            <w:tcMar>
              <w:top w:w="0" w:type="dxa"/>
              <w:left w:w="10" w:type="dxa"/>
              <w:bottom w:w="0" w:type="dxa"/>
              <w:right w:w="10" w:type="dxa"/>
            </w:tcMar>
            <w:vAlign w:val="center"/>
          </w:tcPr>
          <w:p w14:paraId="285D9DD6">
            <w:pPr>
              <w:widowControl/>
              <w:spacing w:line="360" w:lineRule="auto"/>
              <w:jc w:val="center"/>
              <w:rPr>
                <w:rFonts w:hint="eastAsia" w:ascii="宋体" w:hAnsi="宋体" w:eastAsia="宋体" w:cs="宋体"/>
                <w:szCs w:val="21"/>
                <w:highlight w:val="none"/>
              </w:rPr>
            </w:pPr>
          </w:p>
        </w:tc>
      </w:tr>
      <w:tr w14:paraId="227BC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0C4E2FB0">
            <w:pPr>
              <w:widowControl/>
              <w:spacing w:line="360" w:lineRule="auto"/>
              <w:jc w:val="center"/>
              <w:rPr>
                <w:rFonts w:hint="eastAsia" w:ascii="宋体" w:hAnsi="宋体" w:eastAsia="宋体" w:cs="宋体"/>
                <w:szCs w:val="21"/>
                <w:highlight w:val="none"/>
              </w:rPr>
            </w:pPr>
          </w:p>
        </w:tc>
        <w:tc>
          <w:tcPr>
            <w:tcW w:w="1676" w:type="dxa"/>
            <w:noWrap w:val="0"/>
            <w:tcMar>
              <w:top w:w="0" w:type="dxa"/>
              <w:left w:w="10" w:type="dxa"/>
              <w:bottom w:w="0" w:type="dxa"/>
              <w:right w:w="10" w:type="dxa"/>
            </w:tcMar>
            <w:vAlign w:val="center"/>
          </w:tcPr>
          <w:p w14:paraId="3EAE816E">
            <w:pPr>
              <w:widowControl/>
              <w:spacing w:line="360" w:lineRule="auto"/>
              <w:jc w:val="center"/>
              <w:rPr>
                <w:rFonts w:hint="eastAsia" w:ascii="宋体" w:hAnsi="宋体" w:eastAsia="宋体" w:cs="宋体"/>
                <w:szCs w:val="21"/>
                <w:highlight w:val="none"/>
              </w:rPr>
            </w:pPr>
          </w:p>
        </w:tc>
        <w:tc>
          <w:tcPr>
            <w:tcW w:w="1926" w:type="dxa"/>
            <w:noWrap w:val="0"/>
            <w:tcMar>
              <w:top w:w="0" w:type="dxa"/>
              <w:left w:w="10" w:type="dxa"/>
              <w:bottom w:w="0" w:type="dxa"/>
              <w:right w:w="10" w:type="dxa"/>
            </w:tcMar>
            <w:vAlign w:val="center"/>
          </w:tcPr>
          <w:p w14:paraId="50070075">
            <w:pPr>
              <w:widowControl/>
              <w:spacing w:line="360" w:lineRule="auto"/>
              <w:jc w:val="center"/>
              <w:rPr>
                <w:rFonts w:hint="eastAsia" w:ascii="宋体" w:hAnsi="宋体" w:eastAsia="宋体" w:cs="宋体"/>
                <w:szCs w:val="21"/>
                <w:highlight w:val="none"/>
              </w:rPr>
            </w:pPr>
          </w:p>
        </w:tc>
        <w:tc>
          <w:tcPr>
            <w:tcW w:w="3008" w:type="dxa"/>
            <w:noWrap w:val="0"/>
            <w:tcMar>
              <w:top w:w="0" w:type="dxa"/>
              <w:left w:w="10" w:type="dxa"/>
              <w:bottom w:w="0" w:type="dxa"/>
              <w:right w:w="10" w:type="dxa"/>
            </w:tcMar>
            <w:vAlign w:val="center"/>
          </w:tcPr>
          <w:p w14:paraId="4ED45F10">
            <w:pPr>
              <w:widowControl/>
              <w:spacing w:line="360" w:lineRule="auto"/>
              <w:jc w:val="center"/>
              <w:rPr>
                <w:rFonts w:hint="eastAsia" w:ascii="宋体" w:hAnsi="宋体" w:eastAsia="宋体" w:cs="宋体"/>
                <w:szCs w:val="21"/>
                <w:highlight w:val="none"/>
              </w:rPr>
            </w:pPr>
          </w:p>
        </w:tc>
        <w:tc>
          <w:tcPr>
            <w:tcW w:w="1243" w:type="dxa"/>
            <w:noWrap w:val="0"/>
            <w:tcMar>
              <w:top w:w="0" w:type="dxa"/>
              <w:left w:w="10" w:type="dxa"/>
              <w:bottom w:w="0" w:type="dxa"/>
              <w:right w:w="10" w:type="dxa"/>
            </w:tcMar>
            <w:vAlign w:val="center"/>
          </w:tcPr>
          <w:p w14:paraId="7D6E6F2D">
            <w:pPr>
              <w:widowControl/>
              <w:spacing w:line="360" w:lineRule="auto"/>
              <w:jc w:val="center"/>
              <w:rPr>
                <w:rFonts w:hint="eastAsia" w:ascii="宋体" w:hAnsi="宋体" w:eastAsia="宋体" w:cs="宋体"/>
                <w:szCs w:val="21"/>
                <w:highlight w:val="none"/>
              </w:rPr>
            </w:pPr>
          </w:p>
        </w:tc>
      </w:tr>
      <w:tr w14:paraId="1F66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728D221C">
            <w:pPr>
              <w:widowControl/>
              <w:spacing w:line="360" w:lineRule="auto"/>
              <w:jc w:val="center"/>
              <w:rPr>
                <w:rFonts w:hint="eastAsia" w:ascii="宋体" w:hAnsi="宋体" w:eastAsia="宋体" w:cs="宋体"/>
                <w:szCs w:val="21"/>
                <w:highlight w:val="none"/>
              </w:rPr>
            </w:pPr>
          </w:p>
        </w:tc>
        <w:tc>
          <w:tcPr>
            <w:tcW w:w="1676" w:type="dxa"/>
            <w:noWrap w:val="0"/>
            <w:tcMar>
              <w:top w:w="0" w:type="dxa"/>
              <w:left w:w="10" w:type="dxa"/>
              <w:bottom w:w="0" w:type="dxa"/>
              <w:right w:w="10" w:type="dxa"/>
            </w:tcMar>
            <w:vAlign w:val="center"/>
          </w:tcPr>
          <w:p w14:paraId="0850F75F">
            <w:pPr>
              <w:widowControl/>
              <w:spacing w:line="360" w:lineRule="auto"/>
              <w:jc w:val="center"/>
              <w:rPr>
                <w:rFonts w:hint="eastAsia" w:ascii="宋体" w:hAnsi="宋体" w:eastAsia="宋体" w:cs="宋体"/>
                <w:szCs w:val="21"/>
                <w:highlight w:val="none"/>
              </w:rPr>
            </w:pPr>
          </w:p>
        </w:tc>
        <w:tc>
          <w:tcPr>
            <w:tcW w:w="1926" w:type="dxa"/>
            <w:noWrap w:val="0"/>
            <w:tcMar>
              <w:top w:w="0" w:type="dxa"/>
              <w:left w:w="10" w:type="dxa"/>
              <w:bottom w:w="0" w:type="dxa"/>
              <w:right w:w="10" w:type="dxa"/>
            </w:tcMar>
            <w:vAlign w:val="center"/>
          </w:tcPr>
          <w:p w14:paraId="7577A8CD">
            <w:pPr>
              <w:widowControl/>
              <w:spacing w:line="360" w:lineRule="auto"/>
              <w:jc w:val="center"/>
              <w:rPr>
                <w:rFonts w:hint="eastAsia" w:ascii="宋体" w:hAnsi="宋体" w:eastAsia="宋体" w:cs="宋体"/>
                <w:szCs w:val="21"/>
                <w:highlight w:val="none"/>
              </w:rPr>
            </w:pPr>
          </w:p>
        </w:tc>
        <w:tc>
          <w:tcPr>
            <w:tcW w:w="3008" w:type="dxa"/>
            <w:noWrap w:val="0"/>
            <w:tcMar>
              <w:top w:w="0" w:type="dxa"/>
              <w:left w:w="10" w:type="dxa"/>
              <w:bottom w:w="0" w:type="dxa"/>
              <w:right w:w="10" w:type="dxa"/>
            </w:tcMar>
            <w:vAlign w:val="center"/>
          </w:tcPr>
          <w:p w14:paraId="0D8170D9">
            <w:pPr>
              <w:widowControl/>
              <w:spacing w:line="360" w:lineRule="auto"/>
              <w:jc w:val="center"/>
              <w:rPr>
                <w:rFonts w:hint="eastAsia" w:ascii="宋体" w:hAnsi="宋体" w:eastAsia="宋体" w:cs="宋体"/>
                <w:szCs w:val="21"/>
                <w:highlight w:val="none"/>
              </w:rPr>
            </w:pPr>
          </w:p>
        </w:tc>
        <w:tc>
          <w:tcPr>
            <w:tcW w:w="1243" w:type="dxa"/>
            <w:noWrap w:val="0"/>
            <w:tcMar>
              <w:top w:w="0" w:type="dxa"/>
              <w:left w:w="10" w:type="dxa"/>
              <w:bottom w:w="0" w:type="dxa"/>
              <w:right w:w="10" w:type="dxa"/>
            </w:tcMar>
            <w:vAlign w:val="center"/>
          </w:tcPr>
          <w:p w14:paraId="432A397F">
            <w:pPr>
              <w:widowControl/>
              <w:spacing w:line="360" w:lineRule="auto"/>
              <w:jc w:val="center"/>
              <w:rPr>
                <w:rFonts w:hint="eastAsia" w:ascii="宋体" w:hAnsi="宋体" w:eastAsia="宋体" w:cs="宋体"/>
                <w:szCs w:val="21"/>
                <w:highlight w:val="none"/>
              </w:rPr>
            </w:pPr>
          </w:p>
        </w:tc>
      </w:tr>
    </w:tbl>
    <w:p w14:paraId="407B8AC1">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说明：如果行数不够，请自行增加。</w:t>
      </w:r>
    </w:p>
    <w:p w14:paraId="2FD62786">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说明：投标文件采购需求部分内容响应存在正偏离或负偏离的，请在本表中逐条列出。未列出的，视为响应招标文件要求。如果行数不够，请自行增加。</w:t>
      </w:r>
    </w:p>
    <w:p w14:paraId="67BF7FB7">
      <w:pPr>
        <w:widowControl/>
        <w:shd w:val="clear" w:color="auto" w:fill="FFFFFF"/>
        <w:spacing w:line="360" w:lineRule="auto"/>
        <w:jc w:val="left"/>
        <w:rPr>
          <w:rFonts w:hint="eastAsia" w:ascii="宋体" w:hAnsi="宋体" w:eastAsia="宋体" w:cs="宋体"/>
          <w:szCs w:val="21"/>
          <w:highlight w:val="none"/>
        </w:rPr>
      </w:pPr>
    </w:p>
    <w:p w14:paraId="2F75F55A">
      <w:pPr>
        <w:widowControl/>
        <w:shd w:val="clear" w:color="auto" w:fill="FFFFFF"/>
        <w:spacing w:line="360" w:lineRule="auto"/>
        <w:jc w:val="left"/>
        <w:rPr>
          <w:rFonts w:hint="eastAsia" w:ascii="宋体" w:hAnsi="宋体" w:eastAsia="宋体" w:cs="宋体"/>
          <w:szCs w:val="21"/>
          <w:highlight w:val="none"/>
        </w:rPr>
      </w:pPr>
    </w:p>
    <w:p w14:paraId="36A47557">
      <w:pPr>
        <w:widowControl/>
        <w:shd w:val="clear" w:color="auto" w:fill="FFFFFF"/>
        <w:spacing w:line="360" w:lineRule="auto"/>
        <w:jc w:val="left"/>
        <w:rPr>
          <w:rFonts w:hint="eastAsia" w:ascii="宋体" w:hAnsi="宋体" w:eastAsia="宋体" w:cs="宋体"/>
          <w:szCs w:val="21"/>
          <w:highlight w:val="none"/>
        </w:rPr>
      </w:pPr>
    </w:p>
    <w:p w14:paraId="3BF40E4D">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3D9AD072">
      <w:pPr>
        <w:widowControl/>
        <w:shd w:val="clear" w:color="auto" w:fill="FFFFFF"/>
        <w:spacing w:line="360" w:lineRule="auto"/>
        <w:jc w:val="left"/>
        <w:rPr>
          <w:rFonts w:hint="eastAsia" w:ascii="宋体" w:hAnsi="宋体" w:eastAsia="宋体" w:cs="宋体"/>
          <w:szCs w:val="21"/>
          <w:highlight w:val="none"/>
        </w:rPr>
      </w:pPr>
    </w:p>
    <w:p w14:paraId="5656405C">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5F8E8715">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7EA131D0">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附件六、商务条款偏离表格式</w:t>
      </w:r>
    </w:p>
    <w:p w14:paraId="25A7DDA4">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436CCE15">
      <w:pPr>
        <w:widowControl/>
        <w:shd w:val="clear" w:color="auto" w:fill="FFFFFF"/>
        <w:spacing w:line="360" w:lineRule="auto"/>
        <w:ind w:left="420"/>
        <w:jc w:val="center"/>
        <w:rPr>
          <w:rFonts w:hint="eastAsia" w:ascii="宋体" w:hAnsi="宋体" w:eastAsia="宋体" w:cs="宋体"/>
          <w:b/>
          <w:szCs w:val="21"/>
          <w:highlight w:val="none"/>
        </w:rPr>
      </w:pPr>
      <w:r>
        <w:rPr>
          <w:rFonts w:hint="eastAsia" w:ascii="宋体" w:hAnsi="宋体" w:eastAsia="宋体" w:cs="宋体"/>
          <w:b/>
          <w:sz w:val="36"/>
          <w:szCs w:val="36"/>
          <w:highlight w:val="none"/>
        </w:rPr>
        <w:t>商务条款偏离表</w:t>
      </w:r>
    </w:p>
    <w:p w14:paraId="4E288677">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 w:val="24"/>
          <w:highlight w:val="none"/>
        </w:rPr>
        <w:t> </w:t>
      </w:r>
    </w:p>
    <w:p w14:paraId="23B4A884">
      <w:pPr>
        <w:widowControl/>
        <w:tabs>
          <w:tab w:val="left" w:pos="4320"/>
        </w:tabs>
        <w:spacing w:line="360" w:lineRule="auto"/>
        <w:ind w:firstLine="97"/>
        <w:jc w:val="left"/>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DFE9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DA47194">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1679" w:type="dxa"/>
            <w:noWrap w:val="0"/>
            <w:tcMar>
              <w:top w:w="0" w:type="dxa"/>
              <w:left w:w="10" w:type="dxa"/>
              <w:bottom w:w="0" w:type="dxa"/>
              <w:right w:w="10" w:type="dxa"/>
            </w:tcMar>
            <w:vAlign w:val="center"/>
          </w:tcPr>
          <w:p w14:paraId="5FD0869E">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招标文件条目号</w:t>
            </w:r>
          </w:p>
        </w:tc>
        <w:tc>
          <w:tcPr>
            <w:tcW w:w="2488" w:type="dxa"/>
            <w:noWrap w:val="0"/>
            <w:tcMar>
              <w:top w:w="0" w:type="dxa"/>
              <w:left w:w="10" w:type="dxa"/>
              <w:bottom w:w="0" w:type="dxa"/>
              <w:right w:w="10" w:type="dxa"/>
            </w:tcMar>
            <w:vAlign w:val="center"/>
          </w:tcPr>
          <w:p w14:paraId="57365851">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招标文件要求的商务条款</w:t>
            </w:r>
          </w:p>
        </w:tc>
        <w:tc>
          <w:tcPr>
            <w:tcW w:w="3004" w:type="dxa"/>
            <w:noWrap w:val="0"/>
            <w:tcMar>
              <w:top w:w="0" w:type="dxa"/>
              <w:left w:w="10" w:type="dxa"/>
              <w:bottom w:w="0" w:type="dxa"/>
              <w:right w:w="10" w:type="dxa"/>
            </w:tcMar>
            <w:vAlign w:val="center"/>
          </w:tcPr>
          <w:p w14:paraId="7FE157CD">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投标响应</w:t>
            </w:r>
          </w:p>
        </w:tc>
        <w:tc>
          <w:tcPr>
            <w:tcW w:w="1201" w:type="dxa"/>
            <w:noWrap w:val="0"/>
            <w:tcMar>
              <w:top w:w="0" w:type="dxa"/>
              <w:left w:w="10" w:type="dxa"/>
              <w:bottom w:w="0" w:type="dxa"/>
              <w:right w:w="10" w:type="dxa"/>
            </w:tcMar>
            <w:vAlign w:val="center"/>
          </w:tcPr>
          <w:p w14:paraId="77688FC1">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偏离</w:t>
            </w:r>
          </w:p>
        </w:tc>
      </w:tr>
      <w:tr w14:paraId="546F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08F30A2">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38F517F0">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5341B835">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4EED389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3835320C">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4211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93847EC">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53C4B0D4">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24C018F4">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5F2AAB7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4ABD71F6">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1BEF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697F60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16664005">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66A73ECB">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7952707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3DFC39CC">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2EDF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2BF4F052">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70C7E16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63AEE46B">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40B711E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035D813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7DB7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AD067B6">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65F12745">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41ED0465">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45565D3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00DE9631">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4DA82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4F0E35">
            <w:pPr>
              <w:widowControl/>
              <w:spacing w:line="360" w:lineRule="auto"/>
              <w:jc w:val="center"/>
              <w:rPr>
                <w:rFonts w:hint="eastAsia" w:ascii="宋体" w:hAnsi="宋体" w:eastAsia="宋体" w:cs="宋体"/>
                <w:szCs w:val="21"/>
                <w:highlight w:val="none"/>
              </w:rPr>
            </w:pPr>
          </w:p>
        </w:tc>
        <w:tc>
          <w:tcPr>
            <w:tcW w:w="1679" w:type="dxa"/>
            <w:noWrap w:val="0"/>
            <w:tcMar>
              <w:top w:w="0" w:type="dxa"/>
              <w:left w:w="10" w:type="dxa"/>
              <w:bottom w:w="0" w:type="dxa"/>
              <w:right w:w="10" w:type="dxa"/>
            </w:tcMar>
            <w:vAlign w:val="center"/>
          </w:tcPr>
          <w:p w14:paraId="20B1444A">
            <w:pPr>
              <w:widowControl/>
              <w:spacing w:line="360" w:lineRule="auto"/>
              <w:jc w:val="center"/>
              <w:rPr>
                <w:rFonts w:hint="eastAsia" w:ascii="宋体" w:hAnsi="宋体" w:eastAsia="宋体" w:cs="宋体"/>
                <w:szCs w:val="21"/>
                <w:highlight w:val="none"/>
              </w:rPr>
            </w:pPr>
          </w:p>
        </w:tc>
        <w:tc>
          <w:tcPr>
            <w:tcW w:w="2488" w:type="dxa"/>
            <w:noWrap w:val="0"/>
            <w:tcMar>
              <w:top w:w="0" w:type="dxa"/>
              <w:left w:w="10" w:type="dxa"/>
              <w:bottom w:w="0" w:type="dxa"/>
              <w:right w:w="10" w:type="dxa"/>
            </w:tcMar>
            <w:vAlign w:val="center"/>
          </w:tcPr>
          <w:p w14:paraId="085DF79A">
            <w:pPr>
              <w:widowControl/>
              <w:spacing w:line="360" w:lineRule="auto"/>
              <w:jc w:val="center"/>
              <w:rPr>
                <w:rFonts w:hint="eastAsia" w:ascii="宋体" w:hAnsi="宋体" w:eastAsia="宋体" w:cs="宋体"/>
                <w:szCs w:val="21"/>
                <w:highlight w:val="none"/>
              </w:rPr>
            </w:pPr>
          </w:p>
        </w:tc>
        <w:tc>
          <w:tcPr>
            <w:tcW w:w="3004" w:type="dxa"/>
            <w:noWrap w:val="0"/>
            <w:tcMar>
              <w:top w:w="0" w:type="dxa"/>
              <w:left w:w="10" w:type="dxa"/>
              <w:bottom w:w="0" w:type="dxa"/>
              <w:right w:w="10" w:type="dxa"/>
            </w:tcMar>
            <w:vAlign w:val="center"/>
          </w:tcPr>
          <w:p w14:paraId="7019F9E4">
            <w:pPr>
              <w:widowControl/>
              <w:spacing w:line="360" w:lineRule="auto"/>
              <w:jc w:val="center"/>
              <w:rPr>
                <w:rFonts w:hint="eastAsia" w:ascii="宋体" w:hAnsi="宋体" w:eastAsia="宋体" w:cs="宋体"/>
                <w:szCs w:val="21"/>
                <w:highlight w:val="none"/>
              </w:rPr>
            </w:pPr>
          </w:p>
        </w:tc>
        <w:tc>
          <w:tcPr>
            <w:tcW w:w="1201" w:type="dxa"/>
            <w:noWrap w:val="0"/>
            <w:tcMar>
              <w:top w:w="0" w:type="dxa"/>
              <w:left w:w="10" w:type="dxa"/>
              <w:bottom w:w="0" w:type="dxa"/>
              <w:right w:w="10" w:type="dxa"/>
            </w:tcMar>
            <w:vAlign w:val="center"/>
          </w:tcPr>
          <w:p w14:paraId="28BD6442">
            <w:pPr>
              <w:widowControl/>
              <w:spacing w:line="360" w:lineRule="auto"/>
              <w:jc w:val="center"/>
              <w:rPr>
                <w:rFonts w:hint="eastAsia" w:ascii="宋体" w:hAnsi="宋体" w:eastAsia="宋体" w:cs="宋体"/>
                <w:szCs w:val="21"/>
                <w:highlight w:val="none"/>
              </w:rPr>
            </w:pPr>
          </w:p>
        </w:tc>
      </w:tr>
      <w:tr w14:paraId="40F2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8D9B3A2">
            <w:pPr>
              <w:widowControl/>
              <w:spacing w:line="360" w:lineRule="auto"/>
              <w:jc w:val="center"/>
              <w:rPr>
                <w:rFonts w:hint="eastAsia" w:ascii="宋体" w:hAnsi="宋体" w:eastAsia="宋体" w:cs="宋体"/>
                <w:szCs w:val="21"/>
                <w:highlight w:val="none"/>
              </w:rPr>
            </w:pPr>
          </w:p>
        </w:tc>
        <w:tc>
          <w:tcPr>
            <w:tcW w:w="1679" w:type="dxa"/>
            <w:noWrap w:val="0"/>
            <w:tcMar>
              <w:top w:w="0" w:type="dxa"/>
              <w:left w:w="10" w:type="dxa"/>
              <w:bottom w:w="0" w:type="dxa"/>
              <w:right w:w="10" w:type="dxa"/>
            </w:tcMar>
            <w:vAlign w:val="center"/>
          </w:tcPr>
          <w:p w14:paraId="2C02693A">
            <w:pPr>
              <w:widowControl/>
              <w:spacing w:line="360" w:lineRule="auto"/>
              <w:jc w:val="center"/>
              <w:rPr>
                <w:rFonts w:hint="eastAsia" w:ascii="宋体" w:hAnsi="宋体" w:eastAsia="宋体" w:cs="宋体"/>
                <w:szCs w:val="21"/>
                <w:highlight w:val="none"/>
              </w:rPr>
            </w:pPr>
          </w:p>
        </w:tc>
        <w:tc>
          <w:tcPr>
            <w:tcW w:w="2488" w:type="dxa"/>
            <w:noWrap w:val="0"/>
            <w:tcMar>
              <w:top w:w="0" w:type="dxa"/>
              <w:left w:w="10" w:type="dxa"/>
              <w:bottom w:w="0" w:type="dxa"/>
              <w:right w:w="10" w:type="dxa"/>
            </w:tcMar>
            <w:vAlign w:val="center"/>
          </w:tcPr>
          <w:p w14:paraId="4C34ED58">
            <w:pPr>
              <w:widowControl/>
              <w:spacing w:line="360" w:lineRule="auto"/>
              <w:jc w:val="center"/>
              <w:rPr>
                <w:rFonts w:hint="eastAsia" w:ascii="宋体" w:hAnsi="宋体" w:eastAsia="宋体" w:cs="宋体"/>
                <w:szCs w:val="21"/>
                <w:highlight w:val="none"/>
              </w:rPr>
            </w:pPr>
          </w:p>
        </w:tc>
        <w:tc>
          <w:tcPr>
            <w:tcW w:w="3004" w:type="dxa"/>
            <w:noWrap w:val="0"/>
            <w:tcMar>
              <w:top w:w="0" w:type="dxa"/>
              <w:left w:w="10" w:type="dxa"/>
              <w:bottom w:w="0" w:type="dxa"/>
              <w:right w:w="10" w:type="dxa"/>
            </w:tcMar>
            <w:vAlign w:val="center"/>
          </w:tcPr>
          <w:p w14:paraId="0F9CCE2C">
            <w:pPr>
              <w:widowControl/>
              <w:spacing w:line="360" w:lineRule="auto"/>
              <w:jc w:val="center"/>
              <w:rPr>
                <w:rFonts w:hint="eastAsia" w:ascii="宋体" w:hAnsi="宋体" w:eastAsia="宋体" w:cs="宋体"/>
                <w:szCs w:val="21"/>
                <w:highlight w:val="none"/>
              </w:rPr>
            </w:pPr>
          </w:p>
        </w:tc>
        <w:tc>
          <w:tcPr>
            <w:tcW w:w="1201" w:type="dxa"/>
            <w:noWrap w:val="0"/>
            <w:tcMar>
              <w:top w:w="0" w:type="dxa"/>
              <w:left w:w="10" w:type="dxa"/>
              <w:bottom w:w="0" w:type="dxa"/>
              <w:right w:w="10" w:type="dxa"/>
            </w:tcMar>
            <w:vAlign w:val="center"/>
          </w:tcPr>
          <w:p w14:paraId="06AB7601">
            <w:pPr>
              <w:widowControl/>
              <w:spacing w:line="360" w:lineRule="auto"/>
              <w:jc w:val="center"/>
              <w:rPr>
                <w:rFonts w:hint="eastAsia" w:ascii="宋体" w:hAnsi="宋体" w:eastAsia="宋体" w:cs="宋体"/>
                <w:szCs w:val="21"/>
                <w:highlight w:val="none"/>
              </w:rPr>
            </w:pPr>
          </w:p>
        </w:tc>
      </w:tr>
    </w:tbl>
    <w:p w14:paraId="77FB9248">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说明：如果行数不够，请自行增加。</w:t>
      </w:r>
    </w:p>
    <w:p w14:paraId="6D43D549">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说明：投标文件采购需求部分内容响应存在正偏离或负偏离的，请在本表中逐条列出。未列出的，视为响应招标文件要求。如果行数不够，请自行增加。</w:t>
      </w:r>
    </w:p>
    <w:p w14:paraId="363221E0">
      <w:pPr>
        <w:widowControl/>
        <w:shd w:val="clear" w:color="auto" w:fill="FFFFFF"/>
        <w:spacing w:line="360" w:lineRule="auto"/>
        <w:jc w:val="left"/>
        <w:rPr>
          <w:rFonts w:hint="eastAsia" w:ascii="宋体" w:hAnsi="宋体" w:eastAsia="宋体" w:cs="宋体"/>
          <w:szCs w:val="21"/>
          <w:highlight w:val="none"/>
        </w:rPr>
      </w:pPr>
    </w:p>
    <w:p w14:paraId="23CC498F">
      <w:pPr>
        <w:widowControl/>
        <w:shd w:val="clear" w:color="auto" w:fill="FFFFFF"/>
        <w:spacing w:line="360" w:lineRule="auto"/>
        <w:jc w:val="left"/>
        <w:rPr>
          <w:rFonts w:hint="eastAsia" w:ascii="宋体" w:hAnsi="宋体" w:eastAsia="宋体" w:cs="宋体"/>
          <w:szCs w:val="21"/>
          <w:highlight w:val="none"/>
        </w:rPr>
      </w:pPr>
    </w:p>
    <w:p w14:paraId="1DD12533">
      <w:pPr>
        <w:widowControl/>
        <w:shd w:val="clear" w:color="auto" w:fill="FFFFFF"/>
        <w:spacing w:line="360" w:lineRule="auto"/>
        <w:jc w:val="left"/>
        <w:rPr>
          <w:rFonts w:hint="eastAsia" w:ascii="宋体" w:hAnsi="宋体" w:eastAsia="宋体" w:cs="宋体"/>
          <w:szCs w:val="21"/>
          <w:highlight w:val="none"/>
        </w:rPr>
      </w:pPr>
    </w:p>
    <w:p w14:paraId="1268F8EC">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4A795C68">
      <w:pPr>
        <w:widowControl/>
        <w:shd w:val="clear" w:color="auto" w:fill="FFFFFF"/>
        <w:spacing w:line="360" w:lineRule="auto"/>
        <w:jc w:val="left"/>
        <w:rPr>
          <w:rFonts w:hint="eastAsia" w:ascii="宋体" w:hAnsi="宋体" w:eastAsia="宋体" w:cs="宋体"/>
          <w:szCs w:val="21"/>
          <w:highlight w:val="none"/>
        </w:rPr>
      </w:pPr>
    </w:p>
    <w:p w14:paraId="17B987AA">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75385687">
      <w:pPr>
        <w:widowControl/>
        <w:shd w:val="clear" w:color="auto" w:fill="FFFFFF"/>
        <w:spacing w:line="360" w:lineRule="auto"/>
        <w:jc w:val="left"/>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附件七、</w:t>
      </w:r>
      <w:r>
        <w:rPr>
          <w:rFonts w:hint="eastAsia" w:ascii="宋体" w:hAnsi="宋体" w:eastAsia="宋体" w:cs="宋体"/>
          <w:b/>
          <w:szCs w:val="21"/>
          <w:highlight w:val="none"/>
          <w:lang w:val="zh-CN"/>
        </w:rPr>
        <w:t>技术说明与服务方案</w:t>
      </w:r>
    </w:p>
    <w:p w14:paraId="47354439">
      <w:pPr>
        <w:widowControl/>
        <w:shd w:val="clear" w:color="auto" w:fill="FFFFFF"/>
        <w:spacing w:line="360" w:lineRule="auto"/>
        <w:jc w:val="left"/>
        <w:rPr>
          <w:rFonts w:hint="eastAsia" w:ascii="宋体" w:hAnsi="宋体" w:eastAsia="宋体" w:cs="宋体"/>
          <w:b/>
          <w:szCs w:val="21"/>
          <w:highlight w:val="none"/>
          <w:lang w:val="zh-CN"/>
        </w:rPr>
      </w:pPr>
    </w:p>
    <w:p w14:paraId="399AD86E">
      <w:pPr>
        <w:pStyle w:val="341"/>
        <w:spacing w:before="0" w:after="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技术方案及服务承诺应根据招标人对项目的要求、评标标准的要求及项目本身的特点编写。</w:t>
      </w:r>
    </w:p>
    <w:p w14:paraId="5DC39E9C">
      <w:pPr>
        <w:widowControl/>
        <w:shd w:val="clear" w:color="auto" w:fill="FFFFFF"/>
        <w:spacing w:line="360" w:lineRule="auto"/>
        <w:jc w:val="left"/>
        <w:rPr>
          <w:rFonts w:hint="eastAsia" w:ascii="宋体" w:hAnsi="宋体" w:eastAsia="宋体" w:cs="宋体"/>
          <w:b/>
          <w:bCs/>
          <w:szCs w:val="21"/>
          <w:highlight w:val="none"/>
        </w:rPr>
      </w:pPr>
      <w:r>
        <w:rPr>
          <w:rFonts w:hint="eastAsia" w:ascii="宋体" w:hAnsi="宋体" w:eastAsia="宋体" w:cs="宋体"/>
          <w:b/>
          <w:bCs/>
          <w:szCs w:val="21"/>
          <w:highlight w:val="none"/>
        </w:rPr>
        <w:t> </w:t>
      </w:r>
    </w:p>
    <w:p w14:paraId="3B05ED3B">
      <w:pPr>
        <w:widowControl/>
        <w:spacing w:line="460" w:lineRule="atLeast"/>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附件八、拟参与本项目服务人员一览表</w:t>
      </w:r>
    </w:p>
    <w:p w14:paraId="4474C8F9">
      <w:pPr>
        <w:widowControl/>
        <w:spacing w:line="460" w:lineRule="atLeast"/>
        <w:rPr>
          <w:rFonts w:hint="eastAsia" w:ascii="宋体" w:hAnsi="宋体" w:eastAsia="宋体" w:cs="宋体"/>
          <w:b/>
          <w:bCs/>
          <w:sz w:val="24"/>
          <w:highlight w:val="none"/>
        </w:rPr>
      </w:pPr>
    </w:p>
    <w:p w14:paraId="2C4068FA">
      <w:pPr>
        <w:widowControl/>
        <w:jc w:val="center"/>
        <w:rPr>
          <w:rFonts w:hint="eastAsia" w:ascii="宋体" w:hAnsi="宋体" w:eastAsia="宋体" w:cs="宋体"/>
          <w:b/>
          <w:bCs/>
          <w:sz w:val="24"/>
          <w:highlight w:val="none"/>
        </w:rPr>
      </w:pPr>
      <w:r>
        <w:rPr>
          <w:rFonts w:hint="eastAsia" w:ascii="宋体" w:hAnsi="宋体" w:eastAsia="宋体" w:cs="宋体"/>
          <w:b/>
          <w:bCs/>
          <w:sz w:val="24"/>
          <w:highlight w:val="none"/>
        </w:rPr>
        <w:t>拟参与本项目服务人员一览表</w:t>
      </w:r>
    </w:p>
    <w:p w14:paraId="1965F539">
      <w:pPr>
        <w:widowControl/>
        <w:jc w:val="center"/>
        <w:rPr>
          <w:rFonts w:hint="eastAsia" w:ascii="宋体" w:hAnsi="宋体" w:eastAsia="宋体" w:cs="宋体"/>
          <w:b/>
          <w:bCs/>
          <w:sz w:val="24"/>
          <w:highlight w:val="none"/>
        </w:rPr>
      </w:pPr>
    </w:p>
    <w:p w14:paraId="6188DA0D">
      <w:pPr>
        <w:widowControl/>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p>
    <w:tbl>
      <w:tblPr>
        <w:tblStyle w:val="4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B25EB1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78E16DD7">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68CB3BD">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3E70159C">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2DE99920">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6D24CA71">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6E8E12EF">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7F17115">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执业</w:t>
            </w:r>
          </w:p>
          <w:p w14:paraId="08E1593F">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2FDAE6BA">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7E5887E5">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63349409">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3E9D42B7">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备注</w:t>
            </w:r>
          </w:p>
        </w:tc>
      </w:tr>
      <w:tr w14:paraId="10571E5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5B3A363">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7A751B8B">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1FDA2587">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5F1E399C">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93B43DA">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5791A077">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37C4A76E">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0F78C880">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32D37A4D">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49C5F143">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6FA521D5">
            <w:pPr>
              <w:widowControl/>
              <w:rPr>
                <w:rFonts w:hint="eastAsia" w:ascii="宋体" w:hAnsi="宋体" w:eastAsia="宋体" w:cs="宋体"/>
                <w:szCs w:val="21"/>
                <w:highlight w:val="none"/>
              </w:rPr>
            </w:pPr>
          </w:p>
        </w:tc>
      </w:tr>
      <w:tr w14:paraId="5B396DE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7AEAC834">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0B9E6518">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4735F7D">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584327D6">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4CB717A">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7E3A2032">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35A98180">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5031AA00">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0137E2C4">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2D94EAA2">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738BEE62">
            <w:pPr>
              <w:widowControl/>
              <w:rPr>
                <w:rFonts w:hint="eastAsia" w:ascii="宋体" w:hAnsi="宋体" w:eastAsia="宋体" w:cs="宋体"/>
                <w:szCs w:val="21"/>
                <w:highlight w:val="none"/>
              </w:rPr>
            </w:pPr>
          </w:p>
        </w:tc>
      </w:tr>
      <w:tr w14:paraId="0A9BA0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4CB1106D">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423ABC5A">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09AB134A">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7F81A33D">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147F266">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5CD57E1A">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0A51F213">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3FF0762A">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416B4D37">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460900FB">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3A4CAE34">
            <w:pPr>
              <w:widowControl/>
              <w:rPr>
                <w:rFonts w:hint="eastAsia" w:ascii="宋体" w:hAnsi="宋体" w:eastAsia="宋体" w:cs="宋体"/>
                <w:szCs w:val="21"/>
                <w:highlight w:val="none"/>
              </w:rPr>
            </w:pPr>
          </w:p>
        </w:tc>
      </w:tr>
      <w:tr w14:paraId="7C2EB10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7B8F7BE0">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2E98B142">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C580CF8">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514F8608">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9243751">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2CFE4811">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429C1002">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24746BC7">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345D69F0">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18E6A6BB">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6B768E6C">
            <w:pPr>
              <w:widowControl/>
              <w:rPr>
                <w:rFonts w:hint="eastAsia" w:ascii="宋体" w:hAnsi="宋体" w:eastAsia="宋体" w:cs="宋体"/>
                <w:szCs w:val="21"/>
                <w:highlight w:val="none"/>
              </w:rPr>
            </w:pPr>
          </w:p>
        </w:tc>
      </w:tr>
      <w:tr w14:paraId="130D36B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09117480">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35ABC45F">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65C701EE">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12D62F4B">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E07F936">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70D4FB55">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6548588B">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439ED200">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658ED809">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44BD6781">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488EEDFA">
            <w:pPr>
              <w:widowControl/>
              <w:rPr>
                <w:rFonts w:hint="eastAsia" w:ascii="宋体" w:hAnsi="宋体" w:eastAsia="宋体" w:cs="宋体"/>
                <w:szCs w:val="21"/>
                <w:highlight w:val="none"/>
              </w:rPr>
            </w:pPr>
          </w:p>
        </w:tc>
      </w:tr>
      <w:tr w14:paraId="66F214E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3DFDD3C4">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176F85B1">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12331C0C">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55BCDE23">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EB73817">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6D94FE3F">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267DD76F">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396D8E51">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6E650823">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7C397627">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0C7BFAA4">
            <w:pPr>
              <w:widowControl/>
              <w:rPr>
                <w:rFonts w:hint="eastAsia" w:ascii="宋体" w:hAnsi="宋体" w:eastAsia="宋体" w:cs="宋体"/>
                <w:szCs w:val="21"/>
                <w:highlight w:val="none"/>
              </w:rPr>
            </w:pPr>
          </w:p>
        </w:tc>
      </w:tr>
      <w:tr w14:paraId="45C43CA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316E4018">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25AF47C7">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05A78FAC">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4A88E2EF">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E98A014">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0AE6BB94">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08EDDDB9">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0338F92F">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7069192D">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79D38EE9">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12E40FBC">
            <w:pPr>
              <w:widowControl/>
              <w:rPr>
                <w:rFonts w:hint="eastAsia" w:ascii="宋体" w:hAnsi="宋体" w:eastAsia="宋体" w:cs="宋体"/>
                <w:szCs w:val="21"/>
                <w:highlight w:val="none"/>
              </w:rPr>
            </w:pPr>
          </w:p>
        </w:tc>
      </w:tr>
      <w:tr w14:paraId="0C5625E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0924AB95">
            <w:pPr>
              <w:widowControl/>
              <w:rPr>
                <w:rFonts w:hint="eastAsia" w:ascii="宋体" w:hAnsi="宋体" w:eastAsia="宋体" w:cs="宋体"/>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392BEF9F">
            <w:pPr>
              <w:widowControl/>
              <w:rPr>
                <w:rFonts w:hint="eastAsia" w:ascii="宋体" w:hAnsi="宋体" w:eastAsia="宋体" w:cs="宋体"/>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299BFB7">
            <w:pPr>
              <w:widowControl/>
              <w:rPr>
                <w:rFonts w:hint="eastAsia" w:ascii="宋体" w:hAnsi="宋体" w:eastAsia="宋体" w:cs="宋体"/>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353E720A">
            <w:pPr>
              <w:widowControl/>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3F481D3A">
            <w:pPr>
              <w:widowControl/>
              <w:rPr>
                <w:rFonts w:hint="eastAsia" w:ascii="宋体" w:hAnsi="宋体" w:eastAsia="宋体" w:cs="宋体"/>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7ABD53D2">
            <w:pPr>
              <w:widowControl/>
              <w:rPr>
                <w:rFonts w:hint="eastAsia" w:ascii="宋体" w:hAnsi="宋体" w:eastAsia="宋体" w:cs="宋体"/>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28272ED9">
            <w:pPr>
              <w:widowControl/>
              <w:rPr>
                <w:rFonts w:hint="eastAsia" w:ascii="宋体" w:hAnsi="宋体" w:eastAsia="宋体" w:cs="宋体"/>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54401D7F">
            <w:pPr>
              <w:widowControl/>
              <w:rPr>
                <w:rFonts w:hint="eastAsia" w:ascii="宋体" w:hAnsi="宋体" w:eastAsia="宋体" w:cs="宋体"/>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75112703">
            <w:pPr>
              <w:widowControl/>
              <w:rPr>
                <w:rFonts w:hint="eastAsia" w:ascii="宋体" w:hAnsi="宋体" w:eastAsia="宋体" w:cs="宋体"/>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5CFD7536">
            <w:pPr>
              <w:widowControl/>
              <w:rPr>
                <w:rFonts w:hint="eastAsia" w:ascii="宋体" w:hAnsi="宋体" w:eastAsia="宋体" w:cs="宋体"/>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64457502">
            <w:pPr>
              <w:widowControl/>
              <w:rPr>
                <w:rFonts w:hint="eastAsia" w:ascii="宋体" w:hAnsi="宋体" w:eastAsia="宋体" w:cs="宋体"/>
                <w:szCs w:val="21"/>
                <w:highlight w:val="none"/>
              </w:rPr>
            </w:pPr>
          </w:p>
        </w:tc>
      </w:tr>
    </w:tbl>
    <w:p w14:paraId="2D301363">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757091C7">
      <w:pPr>
        <w:widowControl/>
        <w:rPr>
          <w:rFonts w:hint="eastAsia" w:ascii="宋体" w:hAnsi="宋体" w:eastAsia="宋体" w:cs="宋体"/>
          <w:szCs w:val="21"/>
          <w:highlight w:val="none"/>
        </w:rPr>
      </w:pPr>
    </w:p>
    <w:p w14:paraId="53EF33C0">
      <w:pPr>
        <w:widowControl/>
        <w:rPr>
          <w:rFonts w:hint="eastAsia" w:ascii="宋体" w:hAnsi="宋体" w:eastAsia="宋体" w:cs="宋体"/>
          <w:b/>
          <w:bCs/>
          <w:szCs w:val="21"/>
          <w:highlight w:val="none"/>
        </w:rPr>
      </w:pPr>
    </w:p>
    <w:p w14:paraId="6AA878B8">
      <w:pPr>
        <w:widowControl/>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附件九、 投标人类似业绩情况表</w:t>
      </w:r>
    </w:p>
    <w:p w14:paraId="5B2AB99C">
      <w:pPr>
        <w:widowControl/>
        <w:spacing w:line="360" w:lineRule="auto"/>
        <w:jc w:val="center"/>
        <w:rPr>
          <w:rFonts w:hint="eastAsia" w:ascii="宋体" w:hAnsi="宋体" w:eastAsia="宋体" w:cs="宋体"/>
          <w:b/>
          <w:bCs/>
          <w:sz w:val="24"/>
          <w:highlight w:val="none"/>
        </w:rPr>
      </w:pPr>
    </w:p>
    <w:p w14:paraId="11F9C08D">
      <w:pPr>
        <w:widowControl/>
        <w:spacing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投标人类似业绩情况表</w:t>
      </w:r>
    </w:p>
    <w:tbl>
      <w:tblPr>
        <w:tblStyle w:val="48"/>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2120C96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074AB9E0">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6F895BB8">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52CE1DC6">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73D3C739">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项目</w:t>
            </w:r>
          </w:p>
          <w:p w14:paraId="47FB6A60">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规模</w:t>
            </w:r>
          </w:p>
        </w:tc>
        <w:tc>
          <w:tcPr>
            <w:tcW w:w="1517" w:type="dxa"/>
            <w:tcBorders>
              <w:top w:val="single" w:color="000000" w:sz="4" w:space="0"/>
              <w:left w:val="nil"/>
              <w:bottom w:val="single" w:color="000000" w:sz="4" w:space="0"/>
              <w:right w:val="single" w:color="000000" w:sz="4" w:space="0"/>
            </w:tcBorders>
            <w:noWrap w:val="0"/>
          </w:tcPr>
          <w:p w14:paraId="4319C5AC">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签约及服务</w:t>
            </w:r>
          </w:p>
          <w:p w14:paraId="521E220A">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时间</w:t>
            </w:r>
          </w:p>
        </w:tc>
        <w:tc>
          <w:tcPr>
            <w:tcW w:w="1134" w:type="dxa"/>
            <w:tcBorders>
              <w:top w:val="single" w:color="000000" w:sz="4" w:space="0"/>
              <w:left w:val="nil"/>
              <w:bottom w:val="single" w:color="000000" w:sz="4" w:space="0"/>
              <w:right w:val="single" w:color="000000" w:sz="4" w:space="0"/>
            </w:tcBorders>
            <w:noWrap w:val="0"/>
          </w:tcPr>
          <w:p w14:paraId="26E33244">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tcPr>
          <w:p w14:paraId="2A96FEFE">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07780E5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2594DF4C">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3F9A1183">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4CDA4693">
            <w:pPr>
              <w:widowControl/>
              <w:spacing w:line="400" w:lineRule="atLeast"/>
              <w:ind w:firstLine="120"/>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129AF76E">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71BC7099">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F10D6E4">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D499736">
            <w:pPr>
              <w:widowControl/>
              <w:spacing w:line="400" w:lineRule="atLeast"/>
              <w:jc w:val="center"/>
              <w:rPr>
                <w:rFonts w:hint="eastAsia" w:ascii="宋体" w:hAnsi="宋体" w:eastAsia="宋体" w:cs="宋体"/>
                <w:szCs w:val="21"/>
                <w:highlight w:val="none"/>
              </w:rPr>
            </w:pPr>
          </w:p>
        </w:tc>
      </w:tr>
      <w:tr w14:paraId="6FBF96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26BF394">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05E633B0">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35941A88">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6121F690">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25B44D5C">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3C405E5">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23987D5">
            <w:pPr>
              <w:widowControl/>
              <w:spacing w:line="400" w:lineRule="atLeast"/>
              <w:jc w:val="center"/>
              <w:rPr>
                <w:rFonts w:hint="eastAsia" w:ascii="宋体" w:hAnsi="宋体" w:eastAsia="宋体" w:cs="宋体"/>
                <w:szCs w:val="21"/>
                <w:highlight w:val="none"/>
              </w:rPr>
            </w:pPr>
          </w:p>
        </w:tc>
      </w:tr>
      <w:tr w14:paraId="78E3FC2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9522560">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07FD7254">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2960346D">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55BB42DA">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49BC4AF0">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B54AF33">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2A3AD491">
            <w:pPr>
              <w:widowControl/>
              <w:spacing w:line="400" w:lineRule="atLeast"/>
              <w:jc w:val="center"/>
              <w:rPr>
                <w:rFonts w:hint="eastAsia" w:ascii="宋体" w:hAnsi="宋体" w:eastAsia="宋体" w:cs="宋体"/>
                <w:szCs w:val="21"/>
                <w:highlight w:val="none"/>
              </w:rPr>
            </w:pPr>
          </w:p>
        </w:tc>
      </w:tr>
      <w:tr w14:paraId="401BDBF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7E3053EA">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50D8C1AC">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7982F8E5">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4248E7C8">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6907AE7F">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2282E63E">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9381C55">
            <w:pPr>
              <w:widowControl/>
              <w:spacing w:line="400" w:lineRule="atLeast"/>
              <w:jc w:val="center"/>
              <w:rPr>
                <w:rFonts w:hint="eastAsia" w:ascii="宋体" w:hAnsi="宋体" w:eastAsia="宋体" w:cs="宋体"/>
                <w:szCs w:val="21"/>
                <w:highlight w:val="none"/>
              </w:rPr>
            </w:pPr>
          </w:p>
        </w:tc>
      </w:tr>
      <w:tr w14:paraId="063D6B4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514BDC95">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0D334170">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1AE864EE">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74F9E2F9">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5DCD8DA2">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876BEB2">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AB18597">
            <w:pPr>
              <w:widowControl/>
              <w:spacing w:line="400" w:lineRule="atLeast"/>
              <w:jc w:val="center"/>
              <w:rPr>
                <w:rFonts w:hint="eastAsia" w:ascii="宋体" w:hAnsi="宋体" w:eastAsia="宋体" w:cs="宋体"/>
                <w:szCs w:val="21"/>
                <w:highlight w:val="none"/>
              </w:rPr>
            </w:pPr>
          </w:p>
        </w:tc>
      </w:tr>
      <w:tr w14:paraId="0602399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694AAACB">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7168682C">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067491A0">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109FDC96">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7FEE7B03">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294B721">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7CD7835B">
            <w:pPr>
              <w:widowControl/>
              <w:spacing w:line="400" w:lineRule="atLeast"/>
              <w:jc w:val="center"/>
              <w:rPr>
                <w:rFonts w:hint="eastAsia" w:ascii="宋体" w:hAnsi="宋体" w:eastAsia="宋体" w:cs="宋体"/>
                <w:szCs w:val="21"/>
                <w:highlight w:val="none"/>
              </w:rPr>
            </w:pPr>
          </w:p>
        </w:tc>
      </w:tr>
      <w:tr w14:paraId="1C8019C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0E2A72BF">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7BAE9CED">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6C329AB1">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20BC19D4">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1AF77A21">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62C03D1">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9BBA190">
            <w:pPr>
              <w:widowControl/>
              <w:spacing w:line="400" w:lineRule="atLeast"/>
              <w:jc w:val="center"/>
              <w:rPr>
                <w:rFonts w:hint="eastAsia" w:ascii="宋体" w:hAnsi="宋体" w:eastAsia="宋体" w:cs="宋体"/>
                <w:szCs w:val="21"/>
                <w:highlight w:val="none"/>
              </w:rPr>
            </w:pPr>
          </w:p>
        </w:tc>
      </w:tr>
      <w:tr w14:paraId="7E17014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43B448B0">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5CFBB1FB">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096C3FE6">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7D54656E">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39C79662">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36858059">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CC32E21">
            <w:pPr>
              <w:widowControl/>
              <w:spacing w:line="400" w:lineRule="atLeast"/>
              <w:jc w:val="center"/>
              <w:rPr>
                <w:rFonts w:hint="eastAsia" w:ascii="宋体" w:hAnsi="宋体" w:eastAsia="宋体" w:cs="宋体"/>
                <w:szCs w:val="21"/>
                <w:highlight w:val="none"/>
              </w:rPr>
            </w:pPr>
          </w:p>
        </w:tc>
      </w:tr>
    </w:tbl>
    <w:p w14:paraId="08FF9295">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632D8CCE">
      <w:pPr>
        <w:widowControl/>
        <w:spacing w:line="360" w:lineRule="auto"/>
        <w:rPr>
          <w:rFonts w:hint="eastAsia" w:ascii="宋体" w:hAnsi="宋体" w:eastAsia="宋体" w:cs="宋体"/>
          <w:b/>
          <w:bCs/>
          <w:szCs w:val="21"/>
          <w:highlight w:val="none"/>
        </w:rPr>
      </w:pPr>
    </w:p>
    <w:p w14:paraId="4C3622D8">
      <w:pPr>
        <w:rPr>
          <w:rFonts w:hint="eastAsia" w:ascii="宋体" w:hAnsi="宋体" w:eastAsia="宋体" w:cs="宋体"/>
          <w:b/>
          <w:highlight w:val="none"/>
        </w:rPr>
      </w:pPr>
    </w:p>
    <w:p w14:paraId="28411E76">
      <w:pPr>
        <w:rPr>
          <w:rFonts w:hint="eastAsia" w:ascii="宋体" w:hAnsi="宋体" w:eastAsia="宋体" w:cs="宋体"/>
          <w:b/>
          <w:highlight w:val="none"/>
        </w:rPr>
      </w:pPr>
    </w:p>
    <w:p w14:paraId="633AE6B4">
      <w:pPr>
        <w:rPr>
          <w:rFonts w:hint="eastAsia" w:ascii="宋体" w:hAnsi="宋体" w:eastAsia="宋体" w:cs="宋体"/>
          <w:b/>
          <w:highlight w:val="none"/>
        </w:rPr>
      </w:pPr>
    </w:p>
    <w:p w14:paraId="57EE4B11">
      <w:pPr>
        <w:rPr>
          <w:rFonts w:hint="eastAsia" w:ascii="宋体" w:hAnsi="宋体" w:eastAsia="宋体" w:cs="宋体"/>
          <w:b/>
          <w:highlight w:val="none"/>
        </w:rPr>
      </w:pPr>
    </w:p>
    <w:p w14:paraId="2FCCFEF7">
      <w:pPr>
        <w:rPr>
          <w:rFonts w:hint="eastAsia" w:ascii="宋体" w:hAnsi="宋体" w:eastAsia="宋体" w:cs="宋体"/>
          <w:b/>
          <w:highlight w:val="none"/>
        </w:rPr>
      </w:pPr>
    </w:p>
    <w:p w14:paraId="494D344F">
      <w:pPr>
        <w:rPr>
          <w:rFonts w:hint="eastAsia" w:ascii="宋体" w:hAnsi="宋体" w:eastAsia="宋体" w:cs="宋体"/>
          <w:b/>
          <w:highlight w:val="none"/>
        </w:rPr>
      </w:pPr>
    </w:p>
    <w:p w14:paraId="483B8FF1">
      <w:pPr>
        <w:rPr>
          <w:rFonts w:hint="eastAsia" w:ascii="宋体" w:hAnsi="宋体" w:eastAsia="宋体" w:cs="宋体"/>
          <w:b/>
          <w:highlight w:val="none"/>
        </w:rPr>
      </w:pPr>
    </w:p>
    <w:p w14:paraId="479A3B24">
      <w:pPr>
        <w:rPr>
          <w:rFonts w:hint="eastAsia" w:ascii="宋体" w:hAnsi="宋体" w:eastAsia="宋体" w:cs="宋体"/>
          <w:b/>
          <w:highlight w:val="none"/>
        </w:rPr>
      </w:pPr>
    </w:p>
    <w:p w14:paraId="042C3B28">
      <w:pPr>
        <w:rPr>
          <w:rFonts w:hint="eastAsia" w:ascii="宋体" w:hAnsi="宋体" w:eastAsia="宋体" w:cs="宋体"/>
          <w:b/>
          <w:highlight w:val="none"/>
        </w:rPr>
      </w:pPr>
    </w:p>
    <w:p w14:paraId="2D422714">
      <w:pPr>
        <w:rPr>
          <w:rFonts w:hint="eastAsia" w:ascii="宋体" w:hAnsi="宋体" w:eastAsia="宋体" w:cs="宋体"/>
          <w:b/>
          <w:highlight w:val="none"/>
        </w:rPr>
      </w:pPr>
    </w:p>
    <w:p w14:paraId="419E4D66">
      <w:pPr>
        <w:rPr>
          <w:rFonts w:hint="eastAsia" w:ascii="宋体" w:hAnsi="宋体" w:eastAsia="宋体" w:cs="宋体"/>
          <w:b/>
          <w:highlight w:val="none"/>
        </w:rPr>
      </w:pPr>
      <w:r>
        <w:rPr>
          <w:rFonts w:hint="eastAsia" w:ascii="宋体" w:hAnsi="宋体" w:eastAsia="宋体" w:cs="宋体"/>
          <w:b/>
          <w:highlight w:val="none"/>
        </w:rPr>
        <w:br w:type="page"/>
      </w:r>
    </w:p>
    <w:p w14:paraId="374E184D">
      <w:pPr>
        <w:spacing w:line="360" w:lineRule="auto"/>
        <w:rPr>
          <w:rFonts w:hint="eastAsia" w:ascii="宋体" w:hAnsi="宋体" w:eastAsia="宋体" w:cs="宋体"/>
          <w:b/>
          <w:bCs/>
          <w:highlight w:val="none"/>
        </w:rPr>
      </w:pPr>
      <w:r>
        <w:rPr>
          <w:rFonts w:hint="eastAsia" w:ascii="宋体" w:hAnsi="宋体" w:eastAsia="宋体" w:cs="宋体"/>
          <w:b/>
          <w:highlight w:val="none"/>
        </w:rPr>
        <w:t>附件十</w:t>
      </w:r>
      <w:r>
        <w:rPr>
          <w:rFonts w:hint="eastAsia" w:ascii="宋体" w:hAnsi="宋体" w:eastAsia="宋体" w:cs="宋体"/>
          <w:b/>
          <w:bCs/>
          <w:highlight w:val="none"/>
        </w:rPr>
        <w:t>、企业声明函格式</w:t>
      </w:r>
    </w:p>
    <w:p w14:paraId="4253A202">
      <w:pPr>
        <w:spacing w:before="312" w:after="312" w:line="480" w:lineRule="auto"/>
        <w:jc w:val="center"/>
        <w:rPr>
          <w:rFonts w:hint="eastAsia" w:ascii="宋体" w:hAnsi="宋体" w:eastAsia="宋体" w:cs="宋体"/>
          <w:b/>
          <w:bCs/>
          <w:sz w:val="28"/>
          <w:szCs w:val="28"/>
          <w:highlight w:val="none"/>
        </w:rPr>
      </w:pPr>
      <w:bookmarkStart w:id="22" w:name="OLE_LINK14"/>
      <w:bookmarkStart w:id="23" w:name="OLE_LINK13"/>
      <w:r>
        <w:rPr>
          <w:rFonts w:hint="eastAsia" w:ascii="宋体" w:hAnsi="宋体" w:eastAsia="宋体" w:cs="宋体"/>
          <w:b/>
          <w:bCs/>
          <w:sz w:val="28"/>
          <w:szCs w:val="28"/>
          <w:highlight w:val="none"/>
        </w:rPr>
        <w:t>中小企业声明函（工程、服务）</w:t>
      </w:r>
    </w:p>
    <w:p w14:paraId="1DD206C4">
      <w:pPr>
        <w:widowControl/>
        <w:spacing w:line="440" w:lineRule="exact"/>
        <w:ind w:firstLine="420"/>
        <w:jc w:val="left"/>
        <w:rPr>
          <w:rFonts w:hint="eastAsia" w:ascii="宋体" w:hAnsi="宋体" w:eastAsia="宋体" w:cs="宋体"/>
          <w:szCs w:val="21"/>
          <w:highlight w:val="none"/>
        </w:rPr>
      </w:pPr>
      <w:r>
        <w:rPr>
          <w:rFonts w:hint="eastAsia" w:ascii="宋体" w:hAnsi="宋体" w:eastAsia="宋体" w:cs="宋体"/>
          <w:highlight w:val="none"/>
        </w:rPr>
        <w:t>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7C0BCFA6">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u w:val="single"/>
        </w:rPr>
        <w:t>（标的名称）</w:t>
      </w:r>
      <w:r>
        <w:rPr>
          <w:rFonts w:hint="eastAsia" w:ascii="宋体" w:hAnsi="宋体" w:eastAsia="宋体" w:cs="宋体"/>
          <w:highlight w:val="none"/>
        </w:rPr>
        <w:t>,属于</w:t>
      </w:r>
      <w:r>
        <w:rPr>
          <w:rFonts w:hint="eastAsia" w:ascii="宋体" w:hAnsi="宋体" w:eastAsia="宋体" w:cs="宋体"/>
          <w:highlight w:val="none"/>
          <w:u w:val="single"/>
        </w:rPr>
        <w:t>（采购文件中明确的所属行业）</w:t>
      </w:r>
      <w:r>
        <w:rPr>
          <w:rFonts w:hint="eastAsia" w:ascii="宋体" w:hAnsi="宋体" w:eastAsia="宋体" w:cs="宋体"/>
          <w:highlight w:val="none"/>
        </w:rPr>
        <w:t>,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人</w:t>
      </w:r>
      <w:r>
        <w:rPr>
          <w:rFonts w:hint="eastAsia" w:ascii="宋体" w:hAnsi="宋体" w:eastAsia="宋体" w:cs="宋体"/>
          <w:highlight w:val="none"/>
        </w:rPr>
        <w:t>，营业收入为</w:t>
      </w:r>
      <w:r>
        <w:rPr>
          <w:rFonts w:hint="eastAsia" w:ascii="宋体" w:hAnsi="宋体" w:eastAsia="宋体" w:cs="宋体"/>
          <w:highlight w:val="none"/>
          <w:u w:val="single"/>
        </w:rPr>
        <w:tab/>
      </w:r>
      <w:r>
        <w:rPr>
          <w:rFonts w:hint="eastAsia" w:ascii="宋体" w:hAnsi="宋体" w:eastAsia="宋体" w:cs="宋体"/>
          <w:highlight w:val="none"/>
        </w:rPr>
        <w:t>万元，资产总额为</w:t>
      </w:r>
      <w:r>
        <w:rPr>
          <w:rFonts w:hint="eastAsia" w:ascii="宋体" w:hAnsi="宋体" w:eastAsia="宋体" w:cs="宋体"/>
          <w:highlight w:val="none"/>
          <w:u w:val="single"/>
        </w:rPr>
        <w:tab/>
      </w:r>
      <w:r>
        <w:rPr>
          <w:rFonts w:hint="eastAsia" w:ascii="宋体" w:hAnsi="宋体" w:eastAsia="宋体" w:cs="宋体"/>
          <w:highlight w:val="none"/>
        </w:rPr>
        <w:t>万元，属于（中型企业、小型企业、微型企业）；</w:t>
      </w:r>
    </w:p>
    <w:p w14:paraId="374FA8A6">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u w:val="single"/>
        </w:rPr>
        <w:t>（标的名称）,</w:t>
      </w:r>
      <w:r>
        <w:rPr>
          <w:rFonts w:hint="eastAsia" w:ascii="宋体" w:hAnsi="宋体" w:eastAsia="宋体" w:cs="宋体"/>
          <w:highlight w:val="none"/>
        </w:rPr>
        <w:t>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人</w:t>
      </w:r>
      <w:r>
        <w:rPr>
          <w:rFonts w:hint="eastAsia" w:ascii="宋体" w:hAnsi="宋体" w:eastAsia="宋体" w:cs="宋体"/>
          <w:highlight w:val="none"/>
        </w:rPr>
        <w:t>，营业收入为</w:t>
      </w:r>
      <w:r>
        <w:rPr>
          <w:rFonts w:hint="eastAsia" w:ascii="宋体" w:hAnsi="宋体" w:eastAsia="宋体" w:cs="宋体"/>
          <w:highlight w:val="none"/>
          <w:u w:val="single"/>
        </w:rPr>
        <w:tab/>
      </w:r>
      <w:r>
        <w:rPr>
          <w:rFonts w:hint="eastAsia" w:ascii="宋体" w:hAnsi="宋体" w:eastAsia="宋体" w:cs="宋体"/>
          <w:highlight w:val="none"/>
        </w:rPr>
        <w:t>万元，资产总额为</w:t>
      </w:r>
      <w:r>
        <w:rPr>
          <w:rFonts w:hint="eastAsia" w:ascii="宋体" w:hAnsi="宋体" w:eastAsia="宋体" w:cs="宋体"/>
          <w:highlight w:val="none"/>
          <w:u w:val="single"/>
        </w:rPr>
        <w:tab/>
      </w:r>
      <w:r>
        <w:rPr>
          <w:rFonts w:hint="eastAsia" w:ascii="宋体" w:hAnsi="宋体" w:eastAsia="宋体" w:cs="宋体"/>
          <w:highlight w:val="none"/>
        </w:rPr>
        <w:t>万元，属于（中型企业、小型企业、微型企业）；</w:t>
      </w:r>
      <w:r>
        <w:rPr>
          <w:rFonts w:hint="eastAsia" w:ascii="宋体" w:hAnsi="宋体" w:eastAsia="宋体" w:cs="宋体"/>
          <w:highlight w:val="none"/>
        </w:rPr>
        <w:tab/>
      </w:r>
    </w:p>
    <w:p w14:paraId="410BA70E">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rPr>
        <w:t>以上企业，不属于大企业的分支机构，不存在控股股东为大企业的情形，也不存在与大企业的负责人为同一人的情形。</w:t>
      </w:r>
    </w:p>
    <w:p w14:paraId="3AE94237">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rPr>
        <w:t>本企业对上述声明内容的真实性负责。如有虚假，将依法承担相应责任。</w:t>
      </w:r>
    </w:p>
    <w:p w14:paraId="79866534">
      <w:pPr>
        <w:widowControl/>
        <w:spacing w:line="440" w:lineRule="exact"/>
        <w:ind w:firstLine="420"/>
        <w:jc w:val="left"/>
        <w:rPr>
          <w:rFonts w:hint="eastAsia" w:ascii="宋体" w:hAnsi="宋体" w:eastAsia="宋体" w:cs="宋体"/>
          <w:highlight w:val="none"/>
        </w:rPr>
      </w:pPr>
    </w:p>
    <w:p w14:paraId="6C017C6E">
      <w:pPr>
        <w:widowControl/>
        <w:spacing w:line="440" w:lineRule="exact"/>
        <w:ind w:firstLine="420"/>
        <w:jc w:val="left"/>
        <w:rPr>
          <w:rFonts w:hint="eastAsia" w:ascii="宋体" w:hAnsi="宋体" w:eastAsia="宋体" w:cs="宋体"/>
          <w:highlight w:val="none"/>
        </w:rPr>
      </w:pPr>
    </w:p>
    <w:p w14:paraId="30EF315F">
      <w:pPr>
        <w:widowControl/>
        <w:spacing w:line="440" w:lineRule="exact"/>
        <w:ind w:firstLine="420"/>
        <w:jc w:val="left"/>
        <w:rPr>
          <w:rFonts w:hint="eastAsia" w:ascii="宋体" w:hAnsi="宋体" w:eastAsia="宋体" w:cs="宋体"/>
          <w:highlight w:val="none"/>
        </w:rPr>
      </w:pPr>
    </w:p>
    <w:p w14:paraId="62468958">
      <w:pPr>
        <w:widowControl/>
        <w:spacing w:line="440" w:lineRule="exact"/>
        <w:ind w:firstLine="420"/>
        <w:jc w:val="right"/>
        <w:rPr>
          <w:rFonts w:hint="eastAsia" w:ascii="宋体" w:hAnsi="宋体" w:eastAsia="宋体" w:cs="宋体"/>
          <w:highlight w:val="none"/>
        </w:rPr>
      </w:pPr>
      <w:r>
        <w:rPr>
          <w:rFonts w:hint="eastAsia" w:ascii="宋体" w:hAnsi="宋体" w:eastAsia="宋体" w:cs="宋体"/>
          <w:highlight w:val="none"/>
        </w:rPr>
        <w:t>企业名称</w:t>
      </w:r>
      <w:r>
        <w:rPr>
          <w:rFonts w:hint="eastAsia" w:ascii="宋体" w:hAnsi="宋体" w:eastAsia="宋体" w:cs="宋体"/>
          <w:szCs w:val="21"/>
          <w:highlight w:val="none"/>
        </w:rPr>
        <w:t>（加盖电子公章）</w:t>
      </w:r>
      <w:r>
        <w:rPr>
          <w:rFonts w:hint="eastAsia" w:ascii="宋体" w:hAnsi="宋体" w:eastAsia="宋体" w:cs="宋体"/>
          <w:highlight w:val="none"/>
        </w:rPr>
        <w:t>：</w:t>
      </w:r>
    </w:p>
    <w:p w14:paraId="717E2329">
      <w:pPr>
        <w:widowControl/>
        <w:spacing w:line="360" w:lineRule="auto"/>
        <w:ind w:firstLine="420"/>
        <w:jc w:val="left"/>
        <w:rPr>
          <w:rFonts w:hint="eastAsia" w:ascii="宋体" w:hAnsi="宋体" w:eastAsia="宋体" w:cs="宋体"/>
          <w:highlight w:val="none"/>
        </w:rPr>
      </w:pPr>
      <w:r>
        <w:rPr>
          <w:rFonts w:hint="eastAsia" w:ascii="宋体" w:hAnsi="宋体" w:eastAsia="宋体" w:cs="宋体"/>
          <w:highlight w:val="none"/>
        </w:rPr>
        <w:t xml:space="preserve">                                                   日期：</w:t>
      </w:r>
    </w:p>
    <w:p w14:paraId="658AFEE1">
      <w:pPr>
        <w:widowControl/>
        <w:spacing w:line="360" w:lineRule="auto"/>
        <w:ind w:firstLine="420"/>
        <w:jc w:val="left"/>
        <w:rPr>
          <w:rFonts w:hint="eastAsia" w:ascii="宋体" w:hAnsi="宋体" w:eastAsia="宋体" w:cs="宋体"/>
          <w:highlight w:val="none"/>
        </w:rPr>
      </w:pPr>
    </w:p>
    <w:p w14:paraId="3BAE954C">
      <w:pPr>
        <w:widowControl/>
        <w:spacing w:line="360" w:lineRule="auto"/>
        <w:ind w:firstLine="420"/>
        <w:jc w:val="left"/>
        <w:rPr>
          <w:rFonts w:hint="eastAsia" w:ascii="宋体" w:hAnsi="宋体" w:eastAsia="宋体" w:cs="宋体"/>
          <w:highlight w:val="none"/>
        </w:rPr>
      </w:pPr>
    </w:p>
    <w:p w14:paraId="1CEA8EE5">
      <w:pPr>
        <w:widowControl/>
        <w:spacing w:line="360" w:lineRule="auto"/>
        <w:ind w:firstLine="422"/>
        <w:jc w:val="left"/>
        <w:rPr>
          <w:rFonts w:hint="eastAsia" w:ascii="宋体" w:hAnsi="宋体" w:eastAsia="宋体" w:cs="宋体"/>
          <w:b/>
          <w:szCs w:val="21"/>
          <w:highlight w:val="none"/>
        </w:rPr>
      </w:pPr>
      <w:r>
        <w:rPr>
          <w:rFonts w:hint="eastAsia" w:ascii="宋体" w:hAnsi="宋体" w:eastAsia="宋体" w:cs="宋体"/>
          <w:b/>
          <w:szCs w:val="21"/>
          <w:highlight w:val="none"/>
        </w:rPr>
        <w:t>注：从业人员、营业收入、资产总额填报上一年度数据，无上一年度数据的新成立企业可不填报。</w:t>
      </w:r>
    </w:p>
    <w:p w14:paraId="4605A2ED">
      <w:pPr>
        <w:spacing w:line="360" w:lineRule="auto"/>
        <w:jc w:val="center"/>
        <w:rPr>
          <w:rFonts w:hint="eastAsia" w:ascii="宋体" w:hAnsi="宋体" w:eastAsia="宋体" w:cs="宋体"/>
          <w:b/>
          <w:bCs/>
          <w:sz w:val="28"/>
          <w:highlight w:val="none"/>
        </w:rPr>
        <w:sectPr>
          <w:footerReference r:id="rId8" w:type="first"/>
          <w:footerReference r:id="rId7" w:type="default"/>
          <w:pgSz w:w="11906" w:h="16838"/>
          <w:pgMar w:top="1440" w:right="1800" w:bottom="1440" w:left="1600" w:header="851" w:footer="992" w:gutter="0"/>
          <w:cols w:space="720" w:num="1"/>
          <w:titlePg/>
          <w:docGrid w:linePitch="360" w:charSpace="0"/>
        </w:sectPr>
      </w:pPr>
    </w:p>
    <w:p w14:paraId="417B4399">
      <w:pPr>
        <w:spacing w:line="360" w:lineRule="auto"/>
        <w:jc w:val="center"/>
        <w:rPr>
          <w:rFonts w:hint="eastAsia" w:ascii="宋体" w:hAnsi="宋体" w:eastAsia="宋体" w:cs="宋体"/>
          <w:b/>
          <w:bCs/>
          <w:sz w:val="28"/>
          <w:highlight w:val="none"/>
        </w:rPr>
      </w:pPr>
      <w:r>
        <w:rPr>
          <w:rFonts w:hint="eastAsia" w:ascii="宋体" w:hAnsi="宋体" w:eastAsia="宋体" w:cs="宋体"/>
          <w:b/>
          <w:bCs/>
          <w:sz w:val="28"/>
          <w:highlight w:val="none"/>
        </w:rPr>
        <w:t>残疾人福利性单位声明函</w:t>
      </w:r>
      <w:bookmarkEnd w:id="22"/>
      <w:bookmarkEnd w:id="23"/>
    </w:p>
    <w:p w14:paraId="2EF23D21">
      <w:pPr>
        <w:widowControl/>
        <w:spacing w:line="440" w:lineRule="exact"/>
        <w:ind w:firstLine="420"/>
        <w:jc w:val="left"/>
        <w:rPr>
          <w:rFonts w:hint="eastAsia" w:ascii="宋体" w:hAnsi="宋体" w:eastAsia="宋体" w:cs="宋体"/>
          <w:szCs w:val="21"/>
          <w:highlight w:val="none"/>
        </w:rPr>
      </w:pPr>
      <w:r>
        <w:rPr>
          <w:rFonts w:hint="eastAsia" w:ascii="宋体" w:hAnsi="宋体" w:eastAsia="宋体" w:cs="宋体"/>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53AA8D">
      <w:pPr>
        <w:widowControl/>
        <w:spacing w:line="440" w:lineRule="exact"/>
        <w:ind w:firstLine="420"/>
        <w:jc w:val="left"/>
        <w:rPr>
          <w:rFonts w:hint="eastAsia" w:ascii="宋体" w:hAnsi="宋体" w:eastAsia="宋体" w:cs="宋体"/>
          <w:szCs w:val="21"/>
          <w:highlight w:val="none"/>
        </w:rPr>
      </w:pPr>
      <w:r>
        <w:rPr>
          <w:rFonts w:hint="eastAsia" w:ascii="宋体" w:hAnsi="宋体" w:eastAsia="宋体" w:cs="宋体"/>
          <w:szCs w:val="21"/>
          <w:highlight w:val="none"/>
        </w:rPr>
        <w:t>本单位对上述声明的真实性负责。如有虚假，将依法承担相应责任。</w:t>
      </w:r>
    </w:p>
    <w:p w14:paraId="60721996">
      <w:pPr>
        <w:widowControl/>
        <w:spacing w:line="440" w:lineRule="exact"/>
        <w:ind w:firstLine="5040"/>
        <w:jc w:val="left"/>
        <w:rPr>
          <w:rFonts w:hint="eastAsia" w:ascii="宋体" w:hAnsi="宋体" w:eastAsia="宋体" w:cs="宋体"/>
          <w:szCs w:val="21"/>
          <w:highlight w:val="none"/>
        </w:rPr>
      </w:pPr>
      <w:r>
        <w:rPr>
          <w:rFonts w:hint="eastAsia" w:ascii="宋体" w:hAnsi="宋体" w:eastAsia="宋体" w:cs="宋体"/>
          <w:szCs w:val="21"/>
          <w:highlight w:val="none"/>
        </w:rPr>
        <w:t>单位名称（加盖电子公章）：</w:t>
      </w:r>
    </w:p>
    <w:p w14:paraId="63A52A8E">
      <w:pPr>
        <w:widowControl/>
        <w:spacing w:line="440" w:lineRule="exact"/>
        <w:ind w:firstLine="5040"/>
        <w:jc w:val="left"/>
        <w:rPr>
          <w:rFonts w:hint="eastAsia" w:ascii="宋体" w:hAnsi="宋体" w:eastAsia="宋体" w:cs="宋体"/>
          <w:szCs w:val="21"/>
          <w:highlight w:val="none"/>
        </w:rPr>
      </w:pPr>
      <w:r>
        <w:rPr>
          <w:rFonts w:hint="eastAsia" w:ascii="宋体" w:hAnsi="宋体" w:eastAsia="宋体" w:cs="宋体"/>
          <w:szCs w:val="21"/>
          <w:highlight w:val="none"/>
        </w:rPr>
        <w:t>日  期：</w:t>
      </w:r>
    </w:p>
    <w:p w14:paraId="41576873">
      <w:pPr>
        <w:spacing w:line="360" w:lineRule="auto"/>
        <w:rPr>
          <w:rFonts w:hint="eastAsia" w:ascii="宋体" w:hAnsi="宋体" w:eastAsia="宋体" w:cs="宋体"/>
          <w:b/>
          <w:bCs/>
          <w:highlight w:val="none"/>
        </w:rPr>
      </w:pPr>
    </w:p>
    <w:p w14:paraId="7C905DAE">
      <w:pPr>
        <w:spacing w:line="360" w:lineRule="auto"/>
        <w:rPr>
          <w:rFonts w:hint="eastAsia" w:ascii="宋体" w:hAnsi="宋体" w:eastAsia="宋体" w:cs="宋体"/>
          <w:b/>
          <w:bCs/>
          <w:highlight w:val="none"/>
        </w:rPr>
      </w:pPr>
    </w:p>
    <w:p w14:paraId="040851F3">
      <w:pPr>
        <w:spacing w:line="360" w:lineRule="auto"/>
        <w:jc w:val="center"/>
        <w:rPr>
          <w:rFonts w:hint="eastAsia" w:ascii="宋体" w:hAnsi="宋体" w:eastAsia="宋体" w:cs="宋体"/>
          <w:b/>
          <w:bCs/>
          <w:sz w:val="28"/>
          <w:highlight w:val="none"/>
        </w:rPr>
      </w:pPr>
      <w:r>
        <w:rPr>
          <w:rFonts w:hint="eastAsia" w:ascii="宋体" w:hAnsi="宋体" w:eastAsia="宋体" w:cs="宋体"/>
          <w:b/>
          <w:bCs/>
          <w:sz w:val="28"/>
          <w:highlight w:val="none"/>
        </w:rPr>
        <w:t>属于监狱企业的证明文件</w:t>
      </w:r>
    </w:p>
    <w:p w14:paraId="00134975">
      <w:pPr>
        <w:spacing w:line="360" w:lineRule="auto"/>
        <w:rPr>
          <w:rFonts w:hint="eastAsia" w:ascii="宋体" w:hAnsi="宋体" w:eastAsia="宋体" w:cs="宋体"/>
          <w:highlight w:val="none"/>
        </w:rPr>
      </w:pPr>
      <w:r>
        <w:rPr>
          <w:rFonts w:hint="eastAsia" w:ascii="宋体" w:hAnsi="宋体" w:eastAsia="宋体" w:cs="宋体"/>
          <w:highlight w:val="none"/>
        </w:rPr>
        <w:t>（提供由省级以上监狱管理局、戒毒管理局(含新疆生产建设兵团)出具的属于监狱企业的证明文件）</w:t>
      </w:r>
    </w:p>
    <w:p w14:paraId="2E0D2A62">
      <w:pPr>
        <w:spacing w:line="360" w:lineRule="auto"/>
        <w:rPr>
          <w:rFonts w:hint="eastAsia" w:ascii="宋体" w:hAnsi="宋体" w:eastAsia="宋体" w:cs="宋体"/>
          <w:b/>
          <w:bCs/>
          <w:highlight w:val="none"/>
        </w:rPr>
      </w:pPr>
    </w:p>
    <w:p w14:paraId="44D7F6EF">
      <w:pPr>
        <w:spacing w:line="360" w:lineRule="auto"/>
        <w:rPr>
          <w:rFonts w:hint="eastAsia" w:ascii="宋体" w:hAnsi="宋体" w:eastAsia="宋体" w:cs="宋体"/>
          <w:b/>
          <w:bCs/>
          <w:highlight w:val="none"/>
        </w:rPr>
      </w:pPr>
    </w:p>
    <w:p w14:paraId="1A8F7CEB">
      <w:pPr>
        <w:spacing w:line="360" w:lineRule="auto"/>
        <w:jc w:val="center"/>
        <w:rPr>
          <w:rFonts w:hint="eastAsia" w:ascii="宋体" w:hAnsi="宋体" w:eastAsia="宋体" w:cs="宋体"/>
          <w:b/>
          <w:bCs/>
          <w:highlight w:val="none"/>
        </w:rPr>
      </w:pPr>
      <w:r>
        <w:rPr>
          <w:rFonts w:hint="eastAsia" w:ascii="宋体" w:hAnsi="宋体" w:eastAsia="宋体" w:cs="宋体"/>
          <w:b/>
          <w:bCs/>
          <w:sz w:val="28"/>
          <w:highlight w:val="none"/>
        </w:rPr>
        <w:t>节能产品认证证书</w:t>
      </w:r>
    </w:p>
    <w:p w14:paraId="17DA0E2E">
      <w:pPr>
        <w:spacing w:line="360" w:lineRule="auto"/>
        <w:rPr>
          <w:rFonts w:hint="eastAsia" w:ascii="宋体" w:hAnsi="宋体" w:eastAsia="宋体" w:cs="宋体"/>
          <w:bCs/>
          <w:highlight w:val="none"/>
        </w:rPr>
      </w:pPr>
      <w:r>
        <w:rPr>
          <w:rFonts w:hint="eastAsia" w:ascii="宋体" w:hAnsi="宋体" w:eastAsia="宋体" w:cs="宋体"/>
          <w:bCs/>
          <w:highlight w:val="none"/>
        </w:rPr>
        <w:t>（提供国家确定的认证机构出具的、处于有效期之内的产品认证证书）</w:t>
      </w:r>
    </w:p>
    <w:p w14:paraId="64820272">
      <w:pPr>
        <w:spacing w:line="360" w:lineRule="auto"/>
        <w:rPr>
          <w:rFonts w:hint="eastAsia" w:ascii="宋体" w:hAnsi="宋体" w:eastAsia="宋体" w:cs="宋体"/>
          <w:b/>
          <w:bCs/>
          <w:highlight w:val="none"/>
        </w:rPr>
      </w:pPr>
    </w:p>
    <w:p w14:paraId="00659394">
      <w:pPr>
        <w:spacing w:line="360" w:lineRule="auto"/>
        <w:rPr>
          <w:rFonts w:hint="eastAsia" w:ascii="宋体" w:hAnsi="宋体" w:eastAsia="宋体" w:cs="宋体"/>
          <w:b/>
          <w:bCs/>
          <w:highlight w:val="none"/>
        </w:rPr>
      </w:pPr>
    </w:p>
    <w:p w14:paraId="01358BBF">
      <w:pPr>
        <w:spacing w:line="360" w:lineRule="auto"/>
        <w:rPr>
          <w:rFonts w:hint="eastAsia" w:ascii="宋体" w:hAnsi="宋体" w:eastAsia="宋体" w:cs="宋体"/>
          <w:b/>
          <w:bCs/>
          <w:highlight w:val="none"/>
        </w:rPr>
      </w:pPr>
    </w:p>
    <w:p w14:paraId="05AF660D">
      <w:pPr>
        <w:spacing w:line="360" w:lineRule="auto"/>
        <w:jc w:val="center"/>
        <w:rPr>
          <w:rFonts w:hint="eastAsia" w:ascii="宋体" w:hAnsi="宋体" w:eastAsia="宋体" w:cs="宋体"/>
          <w:b/>
          <w:bCs/>
          <w:highlight w:val="none"/>
        </w:rPr>
      </w:pPr>
      <w:r>
        <w:rPr>
          <w:rFonts w:hint="eastAsia" w:ascii="宋体" w:hAnsi="宋体" w:eastAsia="宋体" w:cs="宋体"/>
          <w:b/>
          <w:bCs/>
          <w:sz w:val="28"/>
          <w:highlight w:val="none"/>
        </w:rPr>
        <w:t>环境标志产品认证证书</w:t>
      </w:r>
    </w:p>
    <w:p w14:paraId="025C3D43">
      <w:pPr>
        <w:spacing w:line="360" w:lineRule="auto"/>
        <w:rPr>
          <w:rFonts w:hint="eastAsia" w:ascii="宋体" w:hAnsi="宋体" w:eastAsia="宋体" w:cs="宋体"/>
          <w:bCs/>
          <w:highlight w:val="none"/>
        </w:rPr>
      </w:pPr>
      <w:r>
        <w:rPr>
          <w:rFonts w:hint="eastAsia" w:ascii="宋体" w:hAnsi="宋体" w:eastAsia="宋体" w:cs="宋体"/>
          <w:bCs/>
          <w:highlight w:val="none"/>
        </w:rPr>
        <w:t>（提供国家确定的认证机构出具的、处于有效期之内的产品认证证书）</w:t>
      </w:r>
    </w:p>
    <w:p w14:paraId="4A8BC03D">
      <w:pPr>
        <w:pStyle w:val="211"/>
        <w:rPr>
          <w:rFonts w:hint="eastAsia" w:ascii="宋体" w:hAnsi="宋体" w:eastAsia="宋体" w:cs="宋体"/>
          <w:bCs/>
          <w:highlight w:val="none"/>
        </w:rPr>
      </w:pPr>
    </w:p>
    <w:p w14:paraId="63AB55BF">
      <w:pPr>
        <w:pStyle w:val="211"/>
        <w:rPr>
          <w:rFonts w:hint="eastAsia" w:ascii="宋体" w:hAnsi="宋体" w:eastAsia="宋体" w:cs="宋体"/>
          <w:bCs/>
          <w:highlight w:val="none"/>
        </w:rPr>
      </w:pPr>
    </w:p>
    <w:p w14:paraId="2A8715E9">
      <w:pPr>
        <w:pStyle w:val="211"/>
        <w:rPr>
          <w:rFonts w:hint="eastAsia" w:ascii="宋体" w:hAnsi="宋体" w:eastAsia="宋体" w:cs="宋体"/>
          <w:bCs/>
          <w:highlight w:val="none"/>
        </w:rPr>
      </w:pPr>
    </w:p>
    <w:p w14:paraId="5BACD310">
      <w:pPr>
        <w:spacing w:line="360" w:lineRule="auto"/>
        <w:jc w:val="center"/>
        <w:rPr>
          <w:rFonts w:hint="eastAsia" w:ascii="宋体" w:hAnsi="宋体" w:eastAsia="宋体" w:cs="宋体"/>
          <w:b/>
          <w:bCs/>
          <w:sz w:val="28"/>
          <w:highlight w:val="none"/>
        </w:rPr>
      </w:pPr>
      <w:r>
        <w:rPr>
          <w:rFonts w:hint="eastAsia" w:ascii="宋体" w:hAnsi="宋体" w:eastAsia="宋体" w:cs="宋体"/>
          <w:b/>
          <w:bCs/>
          <w:sz w:val="28"/>
          <w:highlight w:val="none"/>
        </w:rPr>
        <w:t>进口产品转让技术、消化吸收再创新方案</w:t>
      </w:r>
    </w:p>
    <w:p w14:paraId="626FD662">
      <w:pPr>
        <w:spacing w:line="360" w:lineRule="auto"/>
        <w:rPr>
          <w:rFonts w:hint="eastAsia" w:ascii="宋体" w:hAnsi="宋体" w:eastAsia="宋体" w:cs="宋体"/>
          <w:bCs/>
          <w:highlight w:val="none"/>
        </w:rPr>
      </w:pPr>
      <w:r>
        <w:rPr>
          <w:rFonts w:hint="eastAsia" w:ascii="宋体" w:hAnsi="宋体" w:eastAsia="宋体" w:cs="宋体"/>
          <w:bCs/>
          <w:highlight w:val="none"/>
        </w:rPr>
        <w:t>（对于允许进口产品参加的项目）</w:t>
      </w:r>
    </w:p>
    <w:p w14:paraId="31A07798">
      <w:pPr>
        <w:spacing w:line="360" w:lineRule="auto"/>
        <w:rPr>
          <w:rFonts w:hint="eastAsia" w:ascii="宋体" w:hAnsi="宋体" w:eastAsia="宋体" w:cs="宋体"/>
          <w:b/>
          <w:bCs/>
          <w:highlight w:val="none"/>
        </w:rPr>
      </w:pPr>
    </w:p>
    <w:p w14:paraId="2DF46CC2">
      <w:pPr>
        <w:rPr>
          <w:rFonts w:hint="eastAsia" w:ascii="宋体" w:hAnsi="宋体" w:eastAsia="宋体" w:cs="宋体"/>
          <w:b/>
          <w:highlight w:val="none"/>
        </w:rPr>
      </w:pPr>
      <w:r>
        <w:rPr>
          <w:rFonts w:hint="eastAsia" w:ascii="宋体" w:hAnsi="宋体" w:eastAsia="宋体" w:cs="宋体"/>
          <w:b/>
          <w:highlight w:val="none"/>
        </w:rPr>
        <w:br w:type="page" w:clear="all"/>
      </w:r>
    </w:p>
    <w:p w14:paraId="387BC3CF">
      <w:pPr>
        <w:spacing w:line="360" w:lineRule="auto"/>
        <w:rPr>
          <w:rFonts w:hint="eastAsia" w:ascii="宋体" w:hAnsi="宋体" w:eastAsia="宋体" w:cs="宋体"/>
          <w:b/>
          <w:highlight w:val="none"/>
        </w:rPr>
      </w:pPr>
      <w:r>
        <w:rPr>
          <w:rFonts w:hint="eastAsia" w:ascii="宋体" w:hAnsi="宋体" w:eastAsia="宋体" w:cs="宋体"/>
          <w:b/>
          <w:highlight w:val="none"/>
        </w:rPr>
        <w:t>附件十一、无重大违法记录声明格式</w:t>
      </w:r>
    </w:p>
    <w:p w14:paraId="1E49DF44">
      <w:pPr>
        <w:spacing w:line="240" w:lineRule="atLeast"/>
        <w:jc w:val="center"/>
        <w:rPr>
          <w:rFonts w:hint="eastAsia" w:ascii="宋体" w:hAnsi="宋体" w:eastAsia="宋体" w:cs="宋体"/>
          <w:sz w:val="28"/>
          <w:szCs w:val="36"/>
          <w:highlight w:val="none"/>
        </w:rPr>
      </w:pPr>
    </w:p>
    <w:p w14:paraId="19147DB0">
      <w:pPr>
        <w:spacing w:line="240" w:lineRule="atLeast"/>
        <w:jc w:val="center"/>
        <w:rPr>
          <w:rFonts w:hint="eastAsia" w:ascii="宋体" w:hAnsi="宋体" w:eastAsia="宋体" w:cs="宋体"/>
          <w:sz w:val="28"/>
          <w:szCs w:val="36"/>
          <w:highlight w:val="none"/>
        </w:rPr>
      </w:pPr>
      <w:r>
        <w:rPr>
          <w:rFonts w:hint="eastAsia" w:ascii="宋体" w:hAnsi="宋体" w:eastAsia="宋体" w:cs="宋体"/>
          <w:sz w:val="28"/>
          <w:szCs w:val="36"/>
          <w:highlight w:val="none"/>
        </w:rPr>
        <w:t>无重大违法记录声明</w:t>
      </w:r>
    </w:p>
    <w:p w14:paraId="28D904B3">
      <w:pPr>
        <w:spacing w:line="360" w:lineRule="auto"/>
        <w:rPr>
          <w:rFonts w:hint="eastAsia" w:ascii="宋体" w:hAnsi="宋体" w:eastAsia="宋体" w:cs="宋体"/>
          <w:szCs w:val="21"/>
          <w:highlight w:val="none"/>
        </w:rPr>
      </w:pPr>
    </w:p>
    <w:p w14:paraId="1A9F6D60">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南京陵新项目管理有限公司</w:t>
      </w:r>
      <w:r>
        <w:rPr>
          <w:rFonts w:hint="eastAsia" w:ascii="宋体" w:hAnsi="宋体" w:eastAsia="宋体" w:cs="宋体"/>
          <w:szCs w:val="21"/>
          <w:highlight w:val="none"/>
        </w:rPr>
        <w:t>：</w:t>
      </w:r>
    </w:p>
    <w:p w14:paraId="17A66419">
      <w:pPr>
        <w:spacing w:line="360" w:lineRule="auto"/>
        <w:rPr>
          <w:rFonts w:hint="eastAsia" w:ascii="宋体" w:hAnsi="宋体" w:eastAsia="宋体" w:cs="宋体"/>
          <w:highlight w:val="none"/>
        </w:rPr>
      </w:pPr>
    </w:p>
    <w:p w14:paraId="68B28363">
      <w:pPr>
        <w:spacing w:line="360" w:lineRule="auto"/>
        <w:ind w:firstLine="336"/>
        <w:rPr>
          <w:rFonts w:hint="eastAsia" w:ascii="宋体" w:hAnsi="宋体" w:eastAsia="宋体" w:cs="宋体"/>
          <w:highlight w:val="none"/>
        </w:rPr>
      </w:pPr>
      <w:r>
        <w:rPr>
          <w:rFonts w:hint="eastAsia" w:ascii="宋体" w:hAnsi="宋体" w:eastAsia="宋体" w:cs="宋体"/>
          <w:highlight w:val="none"/>
        </w:rPr>
        <w:t>我单位（供应商名称）郑重声明：</w:t>
      </w:r>
    </w:p>
    <w:p w14:paraId="627A0E50">
      <w:pPr>
        <w:widowControl/>
        <w:shd w:val="clear" w:color="auto" w:fill="FFFFFF"/>
        <w:spacing w:line="360" w:lineRule="auto"/>
        <w:ind w:firstLine="309"/>
        <w:rPr>
          <w:rFonts w:hint="eastAsia" w:ascii="宋体" w:hAnsi="宋体" w:eastAsia="宋体" w:cs="宋体"/>
          <w:b/>
          <w:szCs w:val="21"/>
          <w:highlight w:val="none"/>
        </w:rPr>
      </w:pPr>
      <w:r>
        <w:rPr>
          <w:rFonts w:hint="eastAsia" w:ascii="宋体" w:hAnsi="宋体" w:eastAsia="宋体" w:cs="宋体"/>
          <w:szCs w:val="21"/>
          <w:highlight w:val="none"/>
        </w:rPr>
        <w:t>我单位</w:t>
      </w:r>
      <w:r>
        <w:rPr>
          <w:rFonts w:hint="eastAsia" w:ascii="宋体" w:hAnsi="宋体" w:eastAsia="宋体" w:cs="宋体"/>
          <w:highlight w:val="none"/>
        </w:rPr>
        <w:t>参加政府采购活动前3年内在经营活动中（</w:t>
      </w:r>
      <w:r>
        <w:rPr>
          <w:rFonts w:hint="eastAsia" w:ascii="宋体" w:hAnsi="宋体" w:eastAsia="宋体" w:cs="宋体"/>
          <w:b/>
          <w:i/>
          <w:highlight w:val="none"/>
          <w:u w:val="single"/>
        </w:rPr>
        <w:t>在下划线上如实填写：有或没有</w:t>
      </w:r>
      <w:r>
        <w:rPr>
          <w:rFonts w:hint="eastAsia" w:ascii="宋体" w:hAnsi="宋体" w:eastAsia="宋体" w:cs="宋体"/>
          <w:highlight w:val="none"/>
        </w:rPr>
        <w:t>）</w:t>
      </w:r>
      <w:r>
        <w:rPr>
          <w:rFonts w:hint="eastAsia" w:ascii="宋体" w:hAnsi="宋体" w:eastAsia="宋体" w:cs="宋体"/>
          <w:b/>
          <w:highlight w:val="none"/>
        </w:rPr>
        <w:t>重大违法记录</w:t>
      </w:r>
      <w:r>
        <w:rPr>
          <w:rFonts w:hint="eastAsia" w:ascii="宋体" w:hAnsi="宋体" w:eastAsia="宋体" w:cs="宋体"/>
          <w:b/>
          <w:szCs w:val="21"/>
          <w:highlight w:val="none"/>
        </w:rPr>
        <w:t>，且不是失信被执行人、重大税收违法案件当事人名单、政府采购严重违法失信行为记录名单的供应商。</w:t>
      </w:r>
    </w:p>
    <w:p w14:paraId="55CE3B8B">
      <w:pPr>
        <w:spacing w:line="360" w:lineRule="auto"/>
        <w:ind w:firstLine="420"/>
        <w:rPr>
          <w:rFonts w:hint="eastAsia" w:ascii="宋体" w:hAnsi="宋体" w:eastAsia="宋体" w:cs="宋体"/>
          <w:highlight w:val="none"/>
        </w:rPr>
      </w:pPr>
    </w:p>
    <w:p w14:paraId="4191AE15">
      <w:pPr>
        <w:spacing w:line="360" w:lineRule="auto"/>
        <w:ind w:firstLine="315"/>
        <w:rPr>
          <w:rFonts w:hint="eastAsia" w:ascii="宋体" w:hAnsi="宋体" w:eastAsia="宋体" w:cs="宋体"/>
          <w:highlight w:val="none"/>
        </w:rPr>
      </w:pPr>
      <w:r>
        <w:rPr>
          <w:rFonts w:hint="eastAsia" w:ascii="宋体" w:hAnsi="宋体" w:eastAsia="宋体" w:cs="宋体"/>
          <w:highlight w:val="none"/>
        </w:rPr>
        <w:t>（说明：政府采购法第二十二条第一款第五项所称重大违法记录，是指供应商因违法经营受到刑事处罚或者责令停产停业、吊销许可证或者执照、较大数额罚款等行政处罚。）</w:t>
      </w:r>
    </w:p>
    <w:p w14:paraId="2D191613">
      <w:pPr>
        <w:spacing w:line="360" w:lineRule="auto"/>
        <w:rPr>
          <w:rFonts w:hint="eastAsia" w:ascii="宋体" w:hAnsi="宋体" w:eastAsia="宋体" w:cs="宋体"/>
          <w:highlight w:val="none"/>
        </w:rPr>
      </w:pPr>
    </w:p>
    <w:p w14:paraId="03E553B4">
      <w:pPr>
        <w:spacing w:line="360" w:lineRule="auto"/>
        <w:rPr>
          <w:rFonts w:hint="eastAsia" w:ascii="宋体" w:hAnsi="宋体" w:eastAsia="宋体" w:cs="宋体"/>
          <w:highlight w:val="none"/>
        </w:rPr>
      </w:pPr>
    </w:p>
    <w:p w14:paraId="5C41DB06">
      <w:pPr>
        <w:spacing w:line="360" w:lineRule="auto"/>
        <w:ind w:firstLine="5103"/>
        <w:rPr>
          <w:rFonts w:hint="eastAsia" w:ascii="宋体" w:hAnsi="宋体" w:eastAsia="宋体" w:cs="宋体"/>
          <w:highlight w:val="none"/>
        </w:rPr>
      </w:pPr>
      <w:r>
        <w:rPr>
          <w:rFonts w:hint="eastAsia" w:ascii="宋体" w:hAnsi="宋体" w:eastAsia="宋体" w:cs="宋体"/>
          <w:highlight w:val="none"/>
        </w:rPr>
        <w:t>声明人：（加盖电子公章）</w:t>
      </w:r>
    </w:p>
    <w:p w14:paraId="2B6305CC">
      <w:pPr>
        <w:spacing w:line="360" w:lineRule="auto"/>
        <w:ind w:firstLine="5040"/>
        <w:rPr>
          <w:rFonts w:hint="eastAsia" w:ascii="宋体" w:hAnsi="宋体" w:eastAsia="宋体" w:cs="宋体"/>
          <w:b/>
          <w:highlight w:val="none"/>
        </w:rPr>
      </w:pPr>
      <w:r>
        <w:rPr>
          <w:rFonts w:hint="eastAsia" w:ascii="宋体" w:hAnsi="宋体" w:eastAsia="宋体" w:cs="宋体"/>
          <w:szCs w:val="21"/>
          <w:highlight w:val="none"/>
          <w:lang w:val="zh-CN"/>
        </w:rPr>
        <w:t>日期：年月</w:t>
      </w:r>
      <w:r>
        <w:rPr>
          <w:rFonts w:hint="eastAsia" w:ascii="宋体" w:hAnsi="宋体" w:eastAsia="宋体" w:cs="宋体"/>
          <w:b/>
          <w:szCs w:val="21"/>
          <w:highlight w:val="none"/>
          <w:lang w:val="zh-CN"/>
        </w:rPr>
        <w:br w:type="page" w:clear="all"/>
      </w:r>
    </w:p>
    <w:p w14:paraId="563B03BF">
      <w:pPr>
        <w:spacing w:line="360" w:lineRule="auto"/>
        <w:rPr>
          <w:rFonts w:hint="eastAsia" w:ascii="宋体" w:hAnsi="宋体" w:eastAsia="宋体" w:cs="宋体"/>
          <w:b/>
          <w:highlight w:val="none"/>
        </w:rPr>
      </w:pPr>
      <w:r>
        <w:rPr>
          <w:rFonts w:hint="eastAsia" w:ascii="宋体" w:hAnsi="宋体" w:eastAsia="宋体" w:cs="宋体"/>
          <w:b/>
          <w:highlight w:val="none"/>
        </w:rPr>
        <w:t>附件十二、资格资信证明文件</w:t>
      </w:r>
    </w:p>
    <w:p w14:paraId="3B39943D">
      <w:pPr>
        <w:spacing w:line="360" w:lineRule="auto"/>
        <w:rPr>
          <w:rFonts w:hint="eastAsia" w:ascii="宋体" w:hAnsi="宋体" w:eastAsia="宋体" w:cs="宋体"/>
          <w:b/>
          <w:highlight w:val="none"/>
        </w:rPr>
      </w:pPr>
    </w:p>
    <w:p w14:paraId="75AC5C4B">
      <w:pPr>
        <w:spacing w:line="360" w:lineRule="auto"/>
        <w:rPr>
          <w:rFonts w:hint="eastAsia" w:ascii="宋体" w:hAnsi="宋体" w:eastAsia="宋体" w:cs="宋体"/>
          <w:b/>
          <w:highlight w:val="none"/>
        </w:rPr>
      </w:pPr>
      <w:r>
        <w:rPr>
          <w:rFonts w:hint="eastAsia" w:ascii="宋体" w:hAnsi="宋体" w:eastAsia="宋体" w:cs="宋体"/>
          <w:b/>
          <w:highlight w:val="none"/>
        </w:rPr>
        <w:t>附件十三、联合体协议及联合体授权委托书（如允许联合体、格式自拟）</w:t>
      </w:r>
    </w:p>
    <w:p w14:paraId="1D0E8DC5">
      <w:pPr>
        <w:pStyle w:val="211"/>
        <w:rPr>
          <w:rFonts w:hint="eastAsia" w:ascii="宋体" w:hAnsi="宋体" w:eastAsia="宋体" w:cs="宋体"/>
          <w:highlight w:val="none"/>
        </w:rPr>
      </w:pPr>
    </w:p>
    <w:p w14:paraId="480BA47C">
      <w:pPr>
        <w:spacing w:line="360" w:lineRule="auto"/>
        <w:rPr>
          <w:rFonts w:hint="eastAsia" w:ascii="宋体" w:hAnsi="宋体" w:eastAsia="宋体" w:cs="宋体"/>
          <w:b/>
          <w:highlight w:val="none"/>
        </w:rPr>
      </w:pPr>
    </w:p>
    <w:p w14:paraId="5D1DA454">
      <w:pPr>
        <w:pStyle w:val="211"/>
        <w:spacing w:line="360" w:lineRule="auto"/>
        <w:ind w:firstLine="0"/>
        <w:jc w:val="left"/>
        <w:rPr>
          <w:rFonts w:hint="eastAsia" w:ascii="宋体" w:hAnsi="宋体" w:eastAsia="宋体" w:cs="宋体"/>
          <w:b/>
          <w:highlight w:val="none"/>
        </w:rPr>
      </w:pPr>
      <w:r>
        <w:rPr>
          <w:rFonts w:hint="eastAsia" w:ascii="宋体" w:hAnsi="宋体" w:eastAsia="宋体" w:cs="宋体"/>
          <w:b/>
          <w:highlight w:val="none"/>
        </w:rPr>
        <w:t>附件十四、《南京市政府采购供应商信用记录表暨信用承诺书》（网站在线打印签字并盖章）</w:t>
      </w:r>
    </w:p>
    <w:p w14:paraId="72CD3FD3">
      <w:pPr>
        <w:pStyle w:val="211"/>
        <w:spacing w:line="360" w:lineRule="auto"/>
        <w:ind w:firstLine="0"/>
        <w:jc w:val="left"/>
        <w:rPr>
          <w:rFonts w:hint="eastAsia" w:ascii="宋体" w:hAnsi="宋体" w:eastAsia="宋体" w:cs="宋体"/>
          <w:b/>
          <w:highlight w:val="none"/>
        </w:rPr>
      </w:pPr>
    </w:p>
    <w:p w14:paraId="0C692FE5">
      <w:pPr>
        <w:pStyle w:val="211"/>
        <w:spacing w:line="360" w:lineRule="auto"/>
        <w:ind w:firstLine="0"/>
        <w:jc w:val="left"/>
        <w:rPr>
          <w:rFonts w:hint="eastAsia" w:ascii="宋体" w:hAnsi="宋体" w:eastAsia="宋体" w:cs="宋体"/>
          <w:szCs w:val="20"/>
          <w:highlight w:val="none"/>
        </w:rPr>
      </w:pPr>
      <w:r>
        <w:rPr>
          <w:rFonts w:hint="eastAsia" w:ascii="宋体" w:hAnsi="宋体" w:eastAsia="宋体" w:cs="宋体"/>
          <w:b/>
          <w:highlight w:val="none"/>
        </w:rPr>
        <w:t>附件十五、</w:t>
      </w:r>
      <w:bookmarkStart w:id="24" w:name="OLE_LINK2"/>
      <w:r>
        <w:rPr>
          <w:rFonts w:hint="eastAsia" w:ascii="宋体" w:hAnsi="宋体" w:eastAsia="宋体" w:cs="宋体"/>
          <w:b/>
          <w:highlight w:val="none"/>
        </w:rPr>
        <w:t>投标人需要提供的其他材料</w:t>
      </w:r>
      <w:bookmarkEnd w:id="24"/>
    </w:p>
    <w:sectPr>
      <w:headerReference r:id="rId9" w:type="default"/>
      <w:footerReference r:id="rId10" w:type="default"/>
      <w:pgSz w:w="11906" w:h="16838"/>
      <w:pgMar w:top="1440" w:right="1797" w:bottom="1440" w:left="1599" w:header="851" w:footer="99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ヒラギノ角ゴ Pro W3">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CF2EC">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728E7">
    <w:pPr>
      <w:pStyle w:val="29"/>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D5495">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882DF9">
                          <w:pPr>
                            <w:pStyle w:val="2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17882DF9">
                    <w:pPr>
                      <w:pStyle w:val="2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02CD3">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01BD9">
                          <w:pPr>
                            <w:pStyle w:val="29"/>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02c43AgAAYwQAAA4AAABkcnMvZTJvRG9jLnhtbK1UwW4TMRC9I/EP&#10;lu9kk1ZUUdRNFVoFIQVaqSDOjtfbXcn2WLaT3fIB8AecuHDvd/U7ePZmAyoceuBizXrGb+a9mdnz&#10;i95otlc+tGRLPptMOVNWUtXau5J/+rh+NecsRGErocmqkt+rwC+WL1+cd26hTqghXSnPAGLDonMl&#10;b2J0i6IIslFGhAk5ZeGsyRsR8envisqLDuhGFyfT6VnRka+cJ6lCwO3V4OQHRP8cQKrrVqorkjuj&#10;bBxQvdIiglJoWhf4Mldb10rG67oOKjJdcjCN+UQS2Nt0FstzsbjzwjWtPJQgnlPCE05GtBZJj1BX&#10;Igq28+1fUKaVngLVcSLJFAORrAhYzKZPtLlthFOZC6QO7ih6+H+w8sP+xrO2KvkpZ1YYNPzx+7fH&#10;Hw+PP7+y0yRP58ICUbcOcbF/Qz2GZrwP6XLbvacK78QuUtagr71JWoAdQzSkvj9KrfrIZIKYn8zn&#10;U7gkfOMHshViMT53PsS3igxLRsk9epnhxX4T4hA6hqRsltat1rmf2rKu5Genr6f5wdEDcG2RI1FK&#10;pQ/kYr/tDzy3VN2DkadhToKT6xbJNyLEG+ExGCgYqxOvcdSakIQOFmcN+S//uk/x6Be8nHUYtJJb&#10;7BVn+p1FHwEYR8OPxnY07M5cEiZ3hpV0Mpt44KMezdqT+Yx9WqUccAkrkankcTQv4zDs2EepVqsc&#10;hMlzIm7sr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dNnONwIAAGMEAAAOAAAAAAAAAAEAIAAAAB8BAABkcnMvZTJvRG9jLnht&#10;bFBLBQYAAAAABgAGAFkBAADIBQAAAAA=&#10;">
              <v:fill on="f" focussize="0,0"/>
              <v:stroke on="f" weight="0.5pt"/>
              <v:imagedata o:title=""/>
              <o:lock v:ext="edit" aspectratio="f"/>
              <v:textbox inset="0mm,0mm,0mm,0mm" style="mso-fit-shape-to-text:t;">
                <w:txbxContent>
                  <w:p w14:paraId="33D01BD9">
                    <w:pPr>
                      <w:pStyle w:val="29"/>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F87CB">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23522F">
                          <w:pPr>
                            <w:pStyle w:val="2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6F23522F">
                    <w:pPr>
                      <w:pStyle w:val="2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92CC8">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1">
    <w:nsid w:val="BF205925"/>
    <w:multiLevelType w:val="multilevel"/>
    <w:tmpl w:val="BF205925"/>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pStyle w:val="304"/>
      <w:lvlText w:val="%1"/>
      <w:lvlJc w:val="left"/>
      <w:pPr>
        <w:ind w:left="425" w:hanging="425"/>
      </w:pPr>
      <w:rPr>
        <w:rFonts w:hint="eastAsia" w:ascii="Arial Unicode MS" w:hAnsi="Arial Unicode MS" w:eastAsia="微软雅黑"/>
        <w:b/>
        <w:i w:val="0"/>
        <w:lang w:val="en-US"/>
      </w:rPr>
    </w:lvl>
    <w:lvl w:ilvl="1" w:tentative="0">
      <w:start w:val="1"/>
      <w:numFmt w:val="decimal"/>
      <w:pStyle w:val="324"/>
      <w:isLgl/>
      <w:lvlText w:val="%1.%2"/>
      <w:lvlJc w:val="left"/>
      <w:pPr>
        <w:ind w:left="425" w:hanging="425"/>
      </w:pPr>
      <w:rPr>
        <w:rFonts w:hint="eastAsia" w:ascii="Arial Unicode MS" w:hAnsi="Arial Unicode MS" w:eastAsia="微软雅黑"/>
        <w:b/>
        <w:i w:val="0"/>
      </w:rPr>
    </w:lvl>
    <w:lvl w:ilvl="2" w:tentative="0">
      <w:start w:val="1"/>
      <w:numFmt w:val="decimal"/>
      <w:pStyle w:val="33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F38ABB44"/>
    <w:multiLevelType w:val="singleLevel"/>
    <w:tmpl w:val="F38ABB44"/>
    <w:lvl w:ilvl="0" w:tentative="0">
      <w:start w:val="1"/>
      <w:numFmt w:val="decimal"/>
      <w:lvlText w:val="%1."/>
      <w:lvlJc w:val="left"/>
      <w:pPr>
        <w:ind w:left="425" w:hanging="425"/>
      </w:pPr>
      <w:rPr>
        <w:rFonts w:hint="default"/>
      </w:rPr>
    </w:lvl>
  </w:abstractNum>
  <w:abstractNum w:abstractNumId="4">
    <w:nsid w:val="0053208E"/>
    <w:multiLevelType w:val="multilevel"/>
    <w:tmpl w:val="0053208E"/>
    <w:lvl w:ilvl="0" w:tentative="0">
      <w:start w:val="1"/>
      <w:numFmt w:val="chineseCountingThousand"/>
      <w:pStyle w:val="2"/>
      <w:suff w:val="nothing"/>
      <w:lvlText w:val="第%1章"/>
      <w:lvlJc w:val="left"/>
      <w:pPr>
        <w:ind w:left="3261" w:firstLine="0"/>
      </w:pPr>
    </w:lvl>
    <w:lvl w:ilvl="1" w:tentative="0">
      <w:start w:val="1"/>
      <w:numFmt w:val="none"/>
      <w:pStyle w:val="400"/>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5">
    <w:nsid w:val="03D62ECE"/>
    <w:multiLevelType w:val="multilevel"/>
    <w:tmpl w:val="03D62ECE"/>
    <w:lvl w:ilvl="0" w:tentative="0">
      <w:start w:val="2"/>
      <w:numFmt w:val="chineseCounting"/>
      <w:suff w:val="nothing"/>
      <w:lvlText w:val="%1、"/>
      <w:lvlJc w:val="left"/>
      <w:pPr>
        <w:ind w:left="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FC719EF"/>
    <w:multiLevelType w:val="multilevel"/>
    <w:tmpl w:val="3FC719EF"/>
    <w:lvl w:ilvl="0" w:tentative="0">
      <w:start w:val="1"/>
      <w:numFmt w:val="decimalEnclosedCircle"/>
      <w:suff w:val="nothing"/>
      <w:lvlText w:val="%1"/>
      <w:lvlJc w:val="left"/>
      <w:pPr>
        <w:ind w:left="0" w:leftChars="0" w:firstLine="0" w:firstLineChars="0"/>
      </w:pPr>
      <w:rPr>
        <w:rFonts w:hint="eastAsia"/>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8">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1"/>
      <w:numFmt w:val="none"/>
      <w:lvlText w:val=""/>
      <w:lvlJc w:val="left"/>
      <w:pPr>
        <w:tabs>
          <w:tab w:val="left" w:pos="360"/>
        </w:tabs>
      </w:pPr>
      <w:rPr>
        <w:rFonts w:cs="Times New Roman"/>
      </w:rPr>
    </w:lvl>
    <w:lvl w:ilvl="3" w:tentative="0">
      <w:start w:val="1"/>
      <w:numFmt w:val="none"/>
      <w:lvlText w:val=""/>
      <w:lvlJc w:val="left"/>
      <w:pPr>
        <w:tabs>
          <w:tab w:val="left" w:pos="360"/>
        </w:tabs>
      </w:pPr>
      <w:rPr>
        <w:rFonts w:cs="Times New Roman"/>
      </w:rPr>
    </w:lvl>
    <w:lvl w:ilvl="4" w:tentative="0">
      <w:start w:val="1"/>
      <w:numFmt w:val="decimal"/>
      <w:pStyle w:val="395"/>
      <w:lvlText w:val=""/>
      <w:lvlJc w:val="left"/>
      <w:rPr>
        <w:rFonts w:cs="Times New Roman"/>
      </w:rPr>
    </w:lvl>
    <w:lvl w:ilvl="5" w:tentative="0">
      <w:start w:val="1"/>
      <w:numFmt w:val="decimal"/>
      <w:lvlText w:val=""/>
      <w:lvlJc w:val="left"/>
      <w:rPr>
        <w:rFonts w:cs="Times New Roman"/>
      </w:rPr>
    </w:lvl>
    <w:lvl w:ilvl="6" w:tentative="0">
      <w:start w:val="1"/>
      <w:numFmt w:val="decimal"/>
      <w:lvlText w:val=""/>
      <w:lvlJc w:val="left"/>
      <w:rPr>
        <w:rFonts w:cs="Times New Roman"/>
      </w:rPr>
    </w:lvl>
    <w:lvl w:ilvl="7" w:tentative="0">
      <w:start w:val="1"/>
      <w:numFmt w:val="decimal"/>
      <w:lvlText w:val=""/>
      <w:lvlJc w:val="left"/>
      <w:rPr>
        <w:rFonts w:cs="Times New Roman"/>
      </w:rPr>
    </w:lvl>
    <w:lvl w:ilvl="8" w:tentative="0">
      <w:start w:val="1"/>
      <w:numFmt w:val="decimal"/>
      <w:lvlText w:val=""/>
      <w:lvlJc w:val="left"/>
      <w:rPr>
        <w:rFonts w:cs="Times New Roman"/>
      </w:r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3"/>
  </w:num>
  <w:num w:numId="7">
    <w:abstractNumId w:val="7"/>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numFmt w:val="decimal"/>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55351"/>
    <w:rsid w:val="00726300"/>
    <w:rsid w:val="007A0C5A"/>
    <w:rsid w:val="00B5743E"/>
    <w:rsid w:val="00EA26BE"/>
    <w:rsid w:val="014869BD"/>
    <w:rsid w:val="022278B2"/>
    <w:rsid w:val="02271E18"/>
    <w:rsid w:val="025A529E"/>
    <w:rsid w:val="027C4310"/>
    <w:rsid w:val="037152BE"/>
    <w:rsid w:val="03920A67"/>
    <w:rsid w:val="03B21EC6"/>
    <w:rsid w:val="03C230FA"/>
    <w:rsid w:val="044C50BA"/>
    <w:rsid w:val="04671EF4"/>
    <w:rsid w:val="04A86794"/>
    <w:rsid w:val="04C410F4"/>
    <w:rsid w:val="05922FA0"/>
    <w:rsid w:val="05EA06E6"/>
    <w:rsid w:val="06924F91"/>
    <w:rsid w:val="0696261C"/>
    <w:rsid w:val="06B55198"/>
    <w:rsid w:val="071A324D"/>
    <w:rsid w:val="077D7BEA"/>
    <w:rsid w:val="07996868"/>
    <w:rsid w:val="08147C9D"/>
    <w:rsid w:val="08390504"/>
    <w:rsid w:val="0865674A"/>
    <w:rsid w:val="08DD2784"/>
    <w:rsid w:val="09663E91"/>
    <w:rsid w:val="0A7947E6"/>
    <w:rsid w:val="0B114967"/>
    <w:rsid w:val="0B260413"/>
    <w:rsid w:val="0B3B545B"/>
    <w:rsid w:val="0B3B6C9B"/>
    <w:rsid w:val="0B601965"/>
    <w:rsid w:val="0B9A2BAF"/>
    <w:rsid w:val="0C0D15D3"/>
    <w:rsid w:val="0CB87790"/>
    <w:rsid w:val="0CD21ED4"/>
    <w:rsid w:val="0CEB1914"/>
    <w:rsid w:val="0D3C216F"/>
    <w:rsid w:val="0D6D2ECC"/>
    <w:rsid w:val="0DCB34F3"/>
    <w:rsid w:val="0E8D39CD"/>
    <w:rsid w:val="0EC266A4"/>
    <w:rsid w:val="0EF12AE6"/>
    <w:rsid w:val="0F032819"/>
    <w:rsid w:val="0F1B7B63"/>
    <w:rsid w:val="100B5E29"/>
    <w:rsid w:val="113E003D"/>
    <w:rsid w:val="11D457E6"/>
    <w:rsid w:val="11DD1A47"/>
    <w:rsid w:val="1202500A"/>
    <w:rsid w:val="121F796A"/>
    <w:rsid w:val="12323B41"/>
    <w:rsid w:val="12856024"/>
    <w:rsid w:val="13545D39"/>
    <w:rsid w:val="13702B73"/>
    <w:rsid w:val="13815B74"/>
    <w:rsid w:val="143F0797"/>
    <w:rsid w:val="1447760A"/>
    <w:rsid w:val="14B22C98"/>
    <w:rsid w:val="14C667C2"/>
    <w:rsid w:val="14F25809"/>
    <w:rsid w:val="1507525D"/>
    <w:rsid w:val="15436065"/>
    <w:rsid w:val="16797F90"/>
    <w:rsid w:val="16992AD8"/>
    <w:rsid w:val="16AD3796"/>
    <w:rsid w:val="16CA259A"/>
    <w:rsid w:val="171C19CA"/>
    <w:rsid w:val="176D31A2"/>
    <w:rsid w:val="17F378CF"/>
    <w:rsid w:val="18047D2E"/>
    <w:rsid w:val="182C2DE0"/>
    <w:rsid w:val="182E0907"/>
    <w:rsid w:val="18581E27"/>
    <w:rsid w:val="18B016F2"/>
    <w:rsid w:val="18EF453A"/>
    <w:rsid w:val="196A0064"/>
    <w:rsid w:val="198F3627"/>
    <w:rsid w:val="19E80F89"/>
    <w:rsid w:val="1A2F6BB8"/>
    <w:rsid w:val="1B0911B7"/>
    <w:rsid w:val="1B487F31"/>
    <w:rsid w:val="1B6F1962"/>
    <w:rsid w:val="1C3B1844"/>
    <w:rsid w:val="1CA64AB4"/>
    <w:rsid w:val="1CAE0268"/>
    <w:rsid w:val="1CBA4ECE"/>
    <w:rsid w:val="1D525097"/>
    <w:rsid w:val="1DDC7057"/>
    <w:rsid w:val="1DF4614E"/>
    <w:rsid w:val="1E366767"/>
    <w:rsid w:val="1ED27FC1"/>
    <w:rsid w:val="1F5A46D7"/>
    <w:rsid w:val="1F7F7C9A"/>
    <w:rsid w:val="20545B35"/>
    <w:rsid w:val="211D3C0E"/>
    <w:rsid w:val="213F19CE"/>
    <w:rsid w:val="21AB2FC8"/>
    <w:rsid w:val="22416C0F"/>
    <w:rsid w:val="224272A4"/>
    <w:rsid w:val="224D0523"/>
    <w:rsid w:val="224F1BA5"/>
    <w:rsid w:val="22A13307"/>
    <w:rsid w:val="22C24A14"/>
    <w:rsid w:val="23256DAA"/>
    <w:rsid w:val="23F01166"/>
    <w:rsid w:val="24521E21"/>
    <w:rsid w:val="24822706"/>
    <w:rsid w:val="24E46F1D"/>
    <w:rsid w:val="255045B2"/>
    <w:rsid w:val="25757B75"/>
    <w:rsid w:val="271865BA"/>
    <w:rsid w:val="27E72880"/>
    <w:rsid w:val="281C242C"/>
    <w:rsid w:val="28872F72"/>
    <w:rsid w:val="288A16E3"/>
    <w:rsid w:val="291C3785"/>
    <w:rsid w:val="29FC554E"/>
    <w:rsid w:val="2A13795C"/>
    <w:rsid w:val="2A2658E2"/>
    <w:rsid w:val="2AC5334C"/>
    <w:rsid w:val="2AD96DF8"/>
    <w:rsid w:val="2BA2368E"/>
    <w:rsid w:val="2BA2536D"/>
    <w:rsid w:val="2C772424"/>
    <w:rsid w:val="2C7768C8"/>
    <w:rsid w:val="2C8E776E"/>
    <w:rsid w:val="2C9F197B"/>
    <w:rsid w:val="2CA90A4C"/>
    <w:rsid w:val="2D636E4D"/>
    <w:rsid w:val="2D8819D6"/>
    <w:rsid w:val="2DA76D39"/>
    <w:rsid w:val="2F503401"/>
    <w:rsid w:val="30656A38"/>
    <w:rsid w:val="30874C00"/>
    <w:rsid w:val="30883B9D"/>
    <w:rsid w:val="309F63EE"/>
    <w:rsid w:val="317A6513"/>
    <w:rsid w:val="31A17F44"/>
    <w:rsid w:val="31B77F20"/>
    <w:rsid w:val="32250B75"/>
    <w:rsid w:val="324C6101"/>
    <w:rsid w:val="32E612F9"/>
    <w:rsid w:val="33090F55"/>
    <w:rsid w:val="3315441F"/>
    <w:rsid w:val="336E3E55"/>
    <w:rsid w:val="33753436"/>
    <w:rsid w:val="337E22EA"/>
    <w:rsid w:val="33824246"/>
    <w:rsid w:val="342A6A66"/>
    <w:rsid w:val="34DE13C8"/>
    <w:rsid w:val="34E46AC5"/>
    <w:rsid w:val="35792216"/>
    <w:rsid w:val="35A63D7A"/>
    <w:rsid w:val="35EC0AF0"/>
    <w:rsid w:val="36105698"/>
    <w:rsid w:val="36247510"/>
    <w:rsid w:val="36280C33"/>
    <w:rsid w:val="36415851"/>
    <w:rsid w:val="37152F66"/>
    <w:rsid w:val="372633C5"/>
    <w:rsid w:val="3744384B"/>
    <w:rsid w:val="37F76EF1"/>
    <w:rsid w:val="38417D8A"/>
    <w:rsid w:val="38545D10"/>
    <w:rsid w:val="389B749B"/>
    <w:rsid w:val="38A24CCD"/>
    <w:rsid w:val="392E47B3"/>
    <w:rsid w:val="39495149"/>
    <w:rsid w:val="39AE0DBB"/>
    <w:rsid w:val="3AE27603"/>
    <w:rsid w:val="3B1F7F5B"/>
    <w:rsid w:val="3BBF16F2"/>
    <w:rsid w:val="3C3E2F5F"/>
    <w:rsid w:val="3CBE7BFC"/>
    <w:rsid w:val="3CE753A4"/>
    <w:rsid w:val="3CED228F"/>
    <w:rsid w:val="3D7D426F"/>
    <w:rsid w:val="3D804EB1"/>
    <w:rsid w:val="3D8441F8"/>
    <w:rsid w:val="3E0E6961"/>
    <w:rsid w:val="3E13306E"/>
    <w:rsid w:val="3E3A59A8"/>
    <w:rsid w:val="3E6C6B86"/>
    <w:rsid w:val="3E950E30"/>
    <w:rsid w:val="3EA34552"/>
    <w:rsid w:val="3F073ADC"/>
    <w:rsid w:val="3F1A737C"/>
    <w:rsid w:val="3F1B1335"/>
    <w:rsid w:val="3F1E2BD3"/>
    <w:rsid w:val="3F4C5993"/>
    <w:rsid w:val="3F577E93"/>
    <w:rsid w:val="3FB86B84"/>
    <w:rsid w:val="3FE200A5"/>
    <w:rsid w:val="400A0726"/>
    <w:rsid w:val="409A2B62"/>
    <w:rsid w:val="4101455B"/>
    <w:rsid w:val="41483F38"/>
    <w:rsid w:val="415C79E3"/>
    <w:rsid w:val="41B25855"/>
    <w:rsid w:val="420662CD"/>
    <w:rsid w:val="42360234"/>
    <w:rsid w:val="42B32B15"/>
    <w:rsid w:val="42BC4BDD"/>
    <w:rsid w:val="43975F10"/>
    <w:rsid w:val="44437644"/>
    <w:rsid w:val="44F52628"/>
    <w:rsid w:val="456D6663"/>
    <w:rsid w:val="457C0EFB"/>
    <w:rsid w:val="461B1C1B"/>
    <w:rsid w:val="462421B5"/>
    <w:rsid w:val="4627437F"/>
    <w:rsid w:val="46E12E64"/>
    <w:rsid w:val="471072A6"/>
    <w:rsid w:val="472D24AA"/>
    <w:rsid w:val="4774100E"/>
    <w:rsid w:val="477D6239"/>
    <w:rsid w:val="4820176A"/>
    <w:rsid w:val="49665084"/>
    <w:rsid w:val="49A5461D"/>
    <w:rsid w:val="4A0F5F3A"/>
    <w:rsid w:val="4A227A1C"/>
    <w:rsid w:val="4A2F399F"/>
    <w:rsid w:val="4A7364C9"/>
    <w:rsid w:val="4A7405BF"/>
    <w:rsid w:val="4AAE7501"/>
    <w:rsid w:val="4B447E66"/>
    <w:rsid w:val="4B797B0F"/>
    <w:rsid w:val="4B7A73E4"/>
    <w:rsid w:val="4BE8259F"/>
    <w:rsid w:val="4C53292A"/>
    <w:rsid w:val="4D1F46E6"/>
    <w:rsid w:val="4ECE0172"/>
    <w:rsid w:val="4F702FD7"/>
    <w:rsid w:val="4F7F3CCA"/>
    <w:rsid w:val="501222E0"/>
    <w:rsid w:val="502A587C"/>
    <w:rsid w:val="503A5393"/>
    <w:rsid w:val="504A7CCC"/>
    <w:rsid w:val="50E21CB3"/>
    <w:rsid w:val="514069D9"/>
    <w:rsid w:val="51D7469E"/>
    <w:rsid w:val="51DB6702"/>
    <w:rsid w:val="52EA28DA"/>
    <w:rsid w:val="531F35A4"/>
    <w:rsid w:val="53986CE6"/>
    <w:rsid w:val="53A45066"/>
    <w:rsid w:val="547370C6"/>
    <w:rsid w:val="552D196B"/>
    <w:rsid w:val="555962BC"/>
    <w:rsid w:val="55A21A11"/>
    <w:rsid w:val="55CC69A1"/>
    <w:rsid w:val="56BD287A"/>
    <w:rsid w:val="57392849"/>
    <w:rsid w:val="580A7D41"/>
    <w:rsid w:val="58BF28DA"/>
    <w:rsid w:val="5904136C"/>
    <w:rsid w:val="599B3347"/>
    <w:rsid w:val="59E36A9C"/>
    <w:rsid w:val="5A57365F"/>
    <w:rsid w:val="5A7F0572"/>
    <w:rsid w:val="5AA64FB1"/>
    <w:rsid w:val="5AC8016B"/>
    <w:rsid w:val="5AD07020"/>
    <w:rsid w:val="5B7C2C32"/>
    <w:rsid w:val="5BF474F8"/>
    <w:rsid w:val="5C556893"/>
    <w:rsid w:val="5C561882"/>
    <w:rsid w:val="5CDD3C76"/>
    <w:rsid w:val="5CDE5E81"/>
    <w:rsid w:val="5D7C6FEB"/>
    <w:rsid w:val="5DA0717E"/>
    <w:rsid w:val="5E50105F"/>
    <w:rsid w:val="5ED122DF"/>
    <w:rsid w:val="5F4E49B7"/>
    <w:rsid w:val="5F5C70D4"/>
    <w:rsid w:val="5F9E149B"/>
    <w:rsid w:val="60563B24"/>
    <w:rsid w:val="6098238E"/>
    <w:rsid w:val="60A725D1"/>
    <w:rsid w:val="60CF1016"/>
    <w:rsid w:val="61695AD8"/>
    <w:rsid w:val="61C778EC"/>
    <w:rsid w:val="62E25B42"/>
    <w:rsid w:val="630930CF"/>
    <w:rsid w:val="630E4B89"/>
    <w:rsid w:val="637E52E4"/>
    <w:rsid w:val="63A41FFD"/>
    <w:rsid w:val="63FF44D2"/>
    <w:rsid w:val="64DD6A4E"/>
    <w:rsid w:val="653346BC"/>
    <w:rsid w:val="654C3747"/>
    <w:rsid w:val="65622F80"/>
    <w:rsid w:val="660758C0"/>
    <w:rsid w:val="663E5786"/>
    <w:rsid w:val="66952ECC"/>
    <w:rsid w:val="66A575B3"/>
    <w:rsid w:val="676663B4"/>
    <w:rsid w:val="67674868"/>
    <w:rsid w:val="677D22DE"/>
    <w:rsid w:val="677F7E04"/>
    <w:rsid w:val="67A13A9B"/>
    <w:rsid w:val="67CB3049"/>
    <w:rsid w:val="67CE0D8B"/>
    <w:rsid w:val="688251CD"/>
    <w:rsid w:val="688F051A"/>
    <w:rsid w:val="68BB130F"/>
    <w:rsid w:val="68F77E6E"/>
    <w:rsid w:val="697414BE"/>
    <w:rsid w:val="69CA7330"/>
    <w:rsid w:val="69F745C9"/>
    <w:rsid w:val="6A026ACA"/>
    <w:rsid w:val="6A031FCC"/>
    <w:rsid w:val="6A1707C7"/>
    <w:rsid w:val="6A90057A"/>
    <w:rsid w:val="6B4F5BCB"/>
    <w:rsid w:val="6B7E3ABF"/>
    <w:rsid w:val="6BF07522"/>
    <w:rsid w:val="6C087F0D"/>
    <w:rsid w:val="6C353187"/>
    <w:rsid w:val="6C867EA1"/>
    <w:rsid w:val="6C97799E"/>
    <w:rsid w:val="6D0D1A0E"/>
    <w:rsid w:val="6D873F6C"/>
    <w:rsid w:val="6E5A0C83"/>
    <w:rsid w:val="6E5F07A0"/>
    <w:rsid w:val="6ED30A35"/>
    <w:rsid w:val="6F593630"/>
    <w:rsid w:val="6F7264A0"/>
    <w:rsid w:val="6F8D3F04"/>
    <w:rsid w:val="6FF70753"/>
    <w:rsid w:val="704020FA"/>
    <w:rsid w:val="704C5AF4"/>
    <w:rsid w:val="706F4F26"/>
    <w:rsid w:val="70967F6C"/>
    <w:rsid w:val="70E62CA2"/>
    <w:rsid w:val="70EB02B8"/>
    <w:rsid w:val="71724535"/>
    <w:rsid w:val="71A566B9"/>
    <w:rsid w:val="728C7879"/>
    <w:rsid w:val="72A51FAD"/>
    <w:rsid w:val="731E6938"/>
    <w:rsid w:val="73832A2A"/>
    <w:rsid w:val="73993FFB"/>
    <w:rsid w:val="73B24405"/>
    <w:rsid w:val="747B5DF7"/>
    <w:rsid w:val="751F6782"/>
    <w:rsid w:val="75EF2BCD"/>
    <w:rsid w:val="760B4F58"/>
    <w:rsid w:val="76F661E2"/>
    <w:rsid w:val="77FB6D8B"/>
    <w:rsid w:val="789C633C"/>
    <w:rsid w:val="79B7473A"/>
    <w:rsid w:val="79E5228B"/>
    <w:rsid w:val="7A067F11"/>
    <w:rsid w:val="7A205476"/>
    <w:rsid w:val="7A5A608D"/>
    <w:rsid w:val="7A8C2B0C"/>
    <w:rsid w:val="7AE83ABA"/>
    <w:rsid w:val="7BCD71CB"/>
    <w:rsid w:val="7C26489A"/>
    <w:rsid w:val="7C5E3CCF"/>
    <w:rsid w:val="7CC61BD9"/>
    <w:rsid w:val="7D0D7808"/>
    <w:rsid w:val="7D425D5E"/>
    <w:rsid w:val="7D5176F5"/>
    <w:rsid w:val="7D5471E5"/>
    <w:rsid w:val="7D8C4BD1"/>
    <w:rsid w:val="7DDA593C"/>
    <w:rsid w:val="7E377A00"/>
    <w:rsid w:val="7E941F8F"/>
    <w:rsid w:val="7F1E3F4E"/>
    <w:rsid w:val="7F9F6E3D"/>
    <w:rsid w:val="7FB56661"/>
    <w:rsid w:val="7FDE00FD"/>
    <w:rsid w:val="7FFA32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4"/>
    </w:rPr>
  </w:style>
  <w:style w:type="paragraph" w:styleId="2">
    <w:name w:val="heading 1"/>
    <w:basedOn w:val="1"/>
    <w:next w:val="1"/>
    <w:link w:val="215"/>
    <w:qFormat/>
    <w:uiPriority w:val="0"/>
    <w:pPr>
      <w:keepNext/>
      <w:keepLines/>
      <w:numPr>
        <w:ilvl w:val="0"/>
        <w:numId w:val="1"/>
      </w:numPr>
      <w:spacing w:before="340" w:after="330" w:line="578" w:lineRule="auto"/>
      <w:ind w:left="0"/>
      <w:jc w:val="center"/>
      <w:outlineLvl w:val="0"/>
    </w:pPr>
    <w:rPr>
      <w:b/>
      <w:bCs/>
      <w:sz w:val="32"/>
      <w:szCs w:val="44"/>
    </w:rPr>
  </w:style>
  <w:style w:type="paragraph" w:styleId="3">
    <w:name w:val="heading 2"/>
    <w:basedOn w:val="1"/>
    <w:next w:val="1"/>
    <w:link w:val="22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60"/>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50"/>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6"/>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9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4"/>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next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44"/>
    <w:qFormat/>
    <w:uiPriority w:val="0"/>
    <w:rPr>
      <w:rFonts w:ascii="宋体"/>
      <w:sz w:val="18"/>
      <w:szCs w:val="18"/>
    </w:rPr>
  </w:style>
  <w:style w:type="paragraph" w:styleId="16">
    <w:name w:val="annotation text"/>
    <w:basedOn w:val="1"/>
    <w:link w:val="268"/>
    <w:qFormat/>
    <w:uiPriority w:val="99"/>
    <w:pPr>
      <w:jc w:val="left"/>
    </w:pPr>
  </w:style>
  <w:style w:type="paragraph" w:styleId="17">
    <w:name w:val="Body Text 3"/>
    <w:basedOn w:val="1"/>
    <w:link w:val="286"/>
    <w:qFormat/>
    <w:uiPriority w:val="0"/>
    <w:rPr>
      <w:rFonts w:ascii="宋体"/>
      <w:sz w:val="24"/>
      <w:szCs w:val="20"/>
    </w:rPr>
  </w:style>
  <w:style w:type="paragraph" w:styleId="18">
    <w:name w:val="Body Text"/>
    <w:basedOn w:val="1"/>
    <w:next w:val="13"/>
    <w:link w:val="274"/>
    <w:qFormat/>
    <w:uiPriority w:val="0"/>
    <w:pPr>
      <w:jc w:val="center"/>
    </w:pPr>
    <w:rPr>
      <w:rFonts w:eastAsia="幼圆"/>
      <w:b/>
      <w:bCs/>
      <w:sz w:val="44"/>
    </w:rPr>
  </w:style>
  <w:style w:type="paragraph" w:styleId="19">
    <w:name w:val="Body Text Indent"/>
    <w:basedOn w:val="1"/>
    <w:link w:val="231"/>
    <w:qFormat/>
    <w:uiPriority w:val="0"/>
    <w:pPr>
      <w:spacing w:after="120"/>
      <w:ind w:left="420"/>
    </w:pPr>
  </w:style>
  <w:style w:type="paragraph" w:styleId="20">
    <w:name w:val="index 4"/>
    <w:basedOn w:val="1"/>
    <w:next w:val="1"/>
    <w:qFormat/>
    <w:uiPriority w:val="0"/>
    <w:pPr>
      <w:ind w:left="600"/>
    </w:pPr>
    <w:rPr>
      <w:rFonts w:ascii="Calibri" w:hAnsi="Calibri"/>
    </w:rPr>
  </w:style>
  <w:style w:type="paragraph" w:styleId="21">
    <w:name w:val="toc 5"/>
    <w:basedOn w:val="1"/>
    <w:next w:val="1"/>
    <w:unhideWhenUsed/>
    <w:qFormat/>
    <w:uiPriority w:val="39"/>
    <w:pPr>
      <w:ind w:left="1680"/>
    </w:pPr>
    <w:rPr>
      <w:rFonts w:ascii="Calibri" w:hAnsi="Calibri"/>
      <w:szCs w:val="22"/>
    </w:rPr>
  </w:style>
  <w:style w:type="paragraph" w:styleId="22">
    <w:name w:val="toc 3"/>
    <w:basedOn w:val="1"/>
    <w:next w:val="1"/>
    <w:qFormat/>
    <w:uiPriority w:val="39"/>
    <w:pPr>
      <w:ind w:left="840"/>
    </w:pPr>
    <w:rPr>
      <w:rFonts w:ascii="Calibri" w:hAnsi="Calibri"/>
      <w:szCs w:val="22"/>
    </w:rPr>
  </w:style>
  <w:style w:type="paragraph" w:styleId="23">
    <w:name w:val="Plain Text"/>
    <w:basedOn w:val="1"/>
    <w:link w:val="237"/>
    <w:qFormat/>
    <w:uiPriority w:val="0"/>
    <w:rPr>
      <w:rFonts w:ascii="Ari"/>
    </w:rPr>
  </w:style>
  <w:style w:type="paragraph" w:styleId="24">
    <w:name w:val="toc 8"/>
    <w:basedOn w:val="1"/>
    <w:next w:val="1"/>
    <w:unhideWhenUsed/>
    <w:qFormat/>
    <w:uiPriority w:val="39"/>
    <w:pPr>
      <w:ind w:left="2940"/>
    </w:pPr>
    <w:rPr>
      <w:rFonts w:ascii="Calibri" w:hAnsi="Calibri"/>
      <w:szCs w:val="22"/>
    </w:rPr>
  </w:style>
  <w:style w:type="paragraph" w:styleId="25">
    <w:name w:val="Date"/>
    <w:basedOn w:val="1"/>
    <w:next w:val="1"/>
    <w:link w:val="245"/>
    <w:unhideWhenUsed/>
    <w:qFormat/>
    <w:uiPriority w:val="0"/>
  </w:style>
  <w:style w:type="paragraph" w:styleId="26">
    <w:name w:val="Body Text Indent 2"/>
    <w:basedOn w:val="1"/>
    <w:next w:val="1"/>
    <w:link w:val="267"/>
    <w:unhideWhenUsed/>
    <w:qFormat/>
    <w:uiPriority w:val="99"/>
    <w:pPr>
      <w:spacing w:line="420" w:lineRule="exact"/>
      <w:ind w:firstLine="525"/>
    </w:pPr>
    <w:rPr>
      <w:rFonts w:ascii="宋体"/>
      <w:sz w:val="20"/>
      <w:szCs w:val="20"/>
    </w:rPr>
  </w:style>
  <w:style w:type="paragraph" w:styleId="27">
    <w:name w:val="endnote text"/>
    <w:basedOn w:val="1"/>
    <w:link w:val="205"/>
    <w:semiHidden/>
    <w:unhideWhenUsed/>
    <w:qFormat/>
    <w:uiPriority w:val="99"/>
    <w:pPr>
      <w:spacing w:after="0" w:line="240" w:lineRule="auto"/>
    </w:pPr>
    <w:rPr>
      <w:sz w:val="20"/>
    </w:rPr>
  </w:style>
  <w:style w:type="paragraph" w:styleId="28">
    <w:name w:val="Balloon Text"/>
    <w:basedOn w:val="1"/>
    <w:link w:val="289"/>
    <w:qFormat/>
    <w:uiPriority w:val="0"/>
    <w:rPr>
      <w:sz w:val="18"/>
      <w:szCs w:val="18"/>
    </w:rPr>
  </w:style>
  <w:style w:type="paragraph" w:styleId="29">
    <w:name w:val="footer"/>
    <w:basedOn w:val="1"/>
    <w:link w:val="279"/>
    <w:qFormat/>
    <w:uiPriority w:val="99"/>
    <w:pPr>
      <w:tabs>
        <w:tab w:val="center" w:pos="4153"/>
        <w:tab w:val="right" w:pos="8306"/>
      </w:tabs>
      <w:jc w:val="left"/>
    </w:pPr>
    <w:rPr>
      <w:sz w:val="18"/>
      <w:szCs w:val="18"/>
    </w:rPr>
  </w:style>
  <w:style w:type="paragraph" w:styleId="30">
    <w:name w:val="header"/>
    <w:basedOn w:val="1"/>
    <w:link w:val="235"/>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pPr>
    <w:rPr>
      <w:rFonts w:ascii="Calibri" w:hAnsi="Calibri"/>
      <w:szCs w:val="22"/>
    </w:rPr>
  </w:style>
  <w:style w:type="paragraph" w:styleId="33">
    <w:name w:val="index heading"/>
    <w:basedOn w:val="1"/>
    <w:next w:val="34"/>
    <w:unhideWhenUsed/>
    <w:qFormat/>
    <w:uiPriority w:val="99"/>
    <w:pPr>
      <w:tabs>
        <w:tab w:val="left" w:pos="240"/>
      </w:tabs>
    </w:pPr>
  </w:style>
  <w:style w:type="paragraph" w:styleId="34">
    <w:name w:val="index 1"/>
    <w:basedOn w:val="1"/>
    <w:next w:val="1"/>
    <w:qFormat/>
    <w:uiPriority w:val="0"/>
    <w:pPr>
      <w:spacing w:line="220" w:lineRule="exact"/>
      <w:jc w:val="center"/>
    </w:pPr>
    <w:rPr>
      <w:rFonts w:ascii="仿宋_GB2312" w:hAnsi="Calibri" w:eastAsia="仿宋_GB2312"/>
      <w:szCs w:val="22"/>
    </w:rPr>
  </w:style>
  <w:style w:type="paragraph" w:styleId="35">
    <w:name w:val="Subtitle"/>
    <w:basedOn w:val="1"/>
    <w:next w:val="1"/>
    <w:link w:val="263"/>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4"/>
    <w:semiHidden/>
    <w:unhideWhenUsed/>
    <w:qFormat/>
    <w:uiPriority w:val="99"/>
    <w:pPr>
      <w:spacing w:after="40" w:line="240" w:lineRule="auto"/>
    </w:pPr>
    <w:rPr>
      <w:sz w:val="18"/>
    </w:rPr>
  </w:style>
  <w:style w:type="paragraph" w:styleId="37">
    <w:name w:val="toc 6"/>
    <w:basedOn w:val="1"/>
    <w:next w:val="1"/>
    <w:unhideWhenUsed/>
    <w:qFormat/>
    <w:uiPriority w:val="39"/>
    <w:pPr>
      <w:ind w:left="2100"/>
    </w:pPr>
    <w:rPr>
      <w:rFonts w:ascii="Calibri" w:hAnsi="Calibri"/>
      <w:szCs w:val="22"/>
    </w:rPr>
  </w:style>
  <w:style w:type="paragraph" w:styleId="38">
    <w:name w:val="Body Text Indent 3"/>
    <w:basedOn w:val="1"/>
    <w:link w:val="287"/>
    <w:qFormat/>
    <w:uiPriority w:val="0"/>
    <w:pPr>
      <w:spacing w:after="120"/>
      <w:ind w:left="420"/>
    </w:pPr>
    <w:rPr>
      <w:sz w:val="16"/>
      <w:szCs w:val="20"/>
    </w:rPr>
  </w:style>
  <w:style w:type="paragraph" w:styleId="39">
    <w:name w:val="table of figures"/>
    <w:basedOn w:val="1"/>
    <w:next w:val="1"/>
    <w:unhideWhenUsed/>
    <w:qFormat/>
    <w:uiPriority w:val="99"/>
    <w:pPr>
      <w:spacing w:after="0" w:afterAutospacing="0"/>
    </w:pPr>
  </w:style>
  <w:style w:type="paragraph" w:styleId="40">
    <w:name w:val="toc 2"/>
    <w:basedOn w:val="1"/>
    <w:next w:val="1"/>
    <w:qFormat/>
    <w:uiPriority w:val="39"/>
    <w:pPr>
      <w:ind w:left="420"/>
    </w:pPr>
    <w:rPr>
      <w:rFonts w:ascii="Calibri" w:hAnsi="Calibri"/>
      <w:szCs w:val="22"/>
    </w:rPr>
  </w:style>
  <w:style w:type="paragraph" w:styleId="41">
    <w:name w:val="toc 9"/>
    <w:basedOn w:val="1"/>
    <w:next w:val="1"/>
    <w:unhideWhenUsed/>
    <w:qFormat/>
    <w:uiPriority w:val="39"/>
    <w:pPr>
      <w:ind w:left="336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40"/>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7"/>
    <w:qFormat/>
    <w:uiPriority w:val="0"/>
    <w:rPr>
      <w:b/>
      <w:bCs/>
    </w:rPr>
  </w:style>
  <w:style w:type="paragraph" w:styleId="46">
    <w:name w:val="Body Text First Indent"/>
    <w:basedOn w:val="18"/>
    <w:semiHidden/>
    <w:unhideWhenUsed/>
    <w:qFormat/>
    <w:uiPriority w:val="0"/>
    <w:pPr>
      <w:spacing w:after="120"/>
      <w:ind w:firstLine="420"/>
      <w:jc w:val="both"/>
    </w:pPr>
    <w:rPr>
      <w:rFonts w:eastAsia="宋体"/>
      <w:b w:val="0"/>
      <w:bCs w:val="0"/>
      <w:sz w:val="21"/>
    </w:rPr>
  </w:style>
  <w:style w:type="paragraph" w:styleId="47">
    <w:name w:val="Body Text First Indent 2"/>
    <w:basedOn w:val="19"/>
    <w:qFormat/>
    <w:uiPriority w:val="99"/>
    <w:pPr>
      <w:ind w:firstLine="420"/>
    </w:pPr>
  </w:style>
  <w:style w:type="table" w:styleId="49">
    <w:name w:val="Table Grid"/>
    <w:basedOn w:val="4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rFonts w:cs="Times New Roman"/>
      <w:b/>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eastAsia="宋体"/>
      <w:b/>
      <w:spacing w:val="0"/>
      <w:sz w:val="24"/>
      <w:szCs w:val="24"/>
      <w:vertAlign w:val="baseline"/>
      <w:lang w:val="en-US" w:eastAsia="zh-CN" w:bidi="ar-SA"/>
    </w:rPr>
  </w:style>
  <w:style w:type="character" w:styleId="54">
    <w:name w:val="FollowedHyperlink"/>
    <w:qFormat/>
    <w:uiPriority w:val="0"/>
    <w:rPr>
      <w:color w:val="800080"/>
      <w:u w:val="single"/>
    </w:rPr>
  </w:style>
  <w:style w:type="character" w:styleId="55">
    <w:name w:val="Emphasis"/>
    <w:qFormat/>
    <w:uiPriority w:val="0"/>
    <w:rPr>
      <w:color w:val="CC0000"/>
    </w:rPr>
  </w:style>
  <w:style w:type="character" w:styleId="56">
    <w:name w:val="Hyperlink"/>
    <w:basedOn w:val="50"/>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color w:val="008000"/>
    </w:rPr>
  </w:style>
  <w:style w:type="character" w:styleId="59">
    <w:name w:val="footnote reference"/>
    <w:basedOn w:val="50"/>
    <w:unhideWhenUsed/>
    <w:qFormat/>
    <w:uiPriority w:val="99"/>
    <w:rPr>
      <w:vertAlign w:val="superscript"/>
    </w:rPr>
  </w:style>
  <w:style w:type="character" w:customStyle="1" w:styleId="60">
    <w:name w:val="标题 1 Char"/>
    <w:qFormat/>
    <w:uiPriority w:val="0"/>
    <w:rPr>
      <w:b/>
      <w:bCs/>
      <w:sz w:val="32"/>
      <w:szCs w:val="44"/>
    </w:rPr>
  </w:style>
  <w:style w:type="character" w:customStyle="1" w:styleId="61">
    <w:name w:val="Heading 1 Char"/>
    <w:basedOn w:val="50"/>
    <w:qFormat/>
    <w:uiPriority w:val="9"/>
    <w:rPr>
      <w:rFonts w:ascii="Arial" w:hAnsi="Arial" w:eastAsia="Arial" w:cs="Arial"/>
      <w:sz w:val="40"/>
      <w:szCs w:val="40"/>
    </w:rPr>
  </w:style>
  <w:style w:type="character" w:customStyle="1" w:styleId="62">
    <w:name w:val="Heading 2 Char"/>
    <w:basedOn w:val="50"/>
    <w:qFormat/>
    <w:uiPriority w:val="9"/>
    <w:rPr>
      <w:rFonts w:ascii="Arial" w:hAnsi="Arial" w:eastAsia="Arial" w:cs="Arial"/>
      <w:sz w:val="34"/>
    </w:rPr>
  </w:style>
  <w:style w:type="character" w:customStyle="1" w:styleId="63">
    <w:name w:val="Heading 3 Char"/>
    <w:basedOn w:val="50"/>
    <w:qFormat/>
    <w:uiPriority w:val="9"/>
    <w:rPr>
      <w:rFonts w:ascii="Arial" w:hAnsi="Arial" w:eastAsia="Arial" w:cs="Arial"/>
      <w:sz w:val="30"/>
      <w:szCs w:val="30"/>
    </w:rPr>
  </w:style>
  <w:style w:type="character" w:customStyle="1" w:styleId="64">
    <w:name w:val="Heading 4 Char"/>
    <w:basedOn w:val="50"/>
    <w:qFormat/>
    <w:uiPriority w:val="9"/>
    <w:rPr>
      <w:rFonts w:ascii="Arial" w:hAnsi="Arial" w:eastAsia="Arial" w:cs="Arial"/>
      <w:b/>
      <w:bCs/>
      <w:sz w:val="26"/>
      <w:szCs w:val="26"/>
    </w:rPr>
  </w:style>
  <w:style w:type="character" w:customStyle="1" w:styleId="65">
    <w:name w:val="Heading 5 Char"/>
    <w:basedOn w:val="50"/>
    <w:qFormat/>
    <w:uiPriority w:val="9"/>
    <w:rPr>
      <w:rFonts w:ascii="Arial" w:hAnsi="Arial" w:eastAsia="Arial" w:cs="Arial"/>
      <w:b/>
      <w:bCs/>
      <w:sz w:val="24"/>
      <w:szCs w:val="24"/>
    </w:rPr>
  </w:style>
  <w:style w:type="character" w:customStyle="1" w:styleId="66">
    <w:name w:val="Heading 6 Char"/>
    <w:basedOn w:val="50"/>
    <w:qFormat/>
    <w:uiPriority w:val="9"/>
    <w:rPr>
      <w:rFonts w:ascii="Arial" w:hAnsi="Arial" w:eastAsia="Arial" w:cs="Arial"/>
      <w:b/>
      <w:bCs/>
      <w:sz w:val="22"/>
      <w:szCs w:val="22"/>
    </w:rPr>
  </w:style>
  <w:style w:type="character" w:customStyle="1" w:styleId="67">
    <w:name w:val="Heading 7 Char"/>
    <w:basedOn w:val="50"/>
    <w:qFormat/>
    <w:uiPriority w:val="9"/>
    <w:rPr>
      <w:rFonts w:ascii="Arial" w:hAnsi="Arial" w:eastAsia="Arial" w:cs="Arial"/>
      <w:b/>
      <w:bCs/>
      <w:i/>
      <w:iCs/>
      <w:sz w:val="22"/>
      <w:szCs w:val="22"/>
    </w:rPr>
  </w:style>
  <w:style w:type="character" w:customStyle="1" w:styleId="68">
    <w:name w:val="Heading 8 Char"/>
    <w:basedOn w:val="50"/>
    <w:qFormat/>
    <w:uiPriority w:val="9"/>
    <w:rPr>
      <w:rFonts w:ascii="Arial" w:hAnsi="Arial" w:eastAsia="Arial" w:cs="Arial"/>
      <w:i/>
      <w:iCs/>
      <w:sz w:val="22"/>
      <w:szCs w:val="22"/>
    </w:rPr>
  </w:style>
  <w:style w:type="character" w:customStyle="1" w:styleId="69">
    <w:name w:val="Heading 9 Char"/>
    <w:basedOn w:val="50"/>
    <w:qFormat/>
    <w:uiPriority w:val="9"/>
    <w:rPr>
      <w:rFonts w:ascii="Arial" w:hAnsi="Arial" w:eastAsia="Arial" w:cs="Arial"/>
      <w:i/>
      <w:iCs/>
      <w:sz w:val="21"/>
      <w:szCs w:val="21"/>
    </w:rPr>
  </w:style>
  <w:style w:type="character" w:customStyle="1" w:styleId="70">
    <w:name w:val="Title Char"/>
    <w:basedOn w:val="50"/>
    <w:qFormat/>
    <w:uiPriority w:val="10"/>
    <w:rPr>
      <w:sz w:val="48"/>
      <w:szCs w:val="48"/>
    </w:rPr>
  </w:style>
  <w:style w:type="character" w:customStyle="1" w:styleId="71">
    <w:name w:val="Subtitle Char"/>
    <w:basedOn w:val="50"/>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50"/>
    <w:qFormat/>
    <w:uiPriority w:val="99"/>
  </w:style>
  <w:style w:type="character" w:customStyle="1" w:styleId="77">
    <w:name w:val="Footer Char"/>
    <w:basedOn w:val="50"/>
    <w:qFormat/>
    <w:uiPriority w:val="99"/>
  </w:style>
  <w:style w:type="character" w:customStyle="1" w:styleId="78">
    <w:name w:val="Caption Char"/>
    <w:qFormat/>
    <w:uiPriority w:val="99"/>
  </w:style>
  <w:style w:type="table" w:customStyle="1" w:styleId="79">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Footnote Text Char"/>
    <w:link w:val="36"/>
    <w:qFormat/>
    <w:uiPriority w:val="99"/>
    <w:rPr>
      <w:sz w:val="18"/>
    </w:rPr>
  </w:style>
  <w:style w:type="character" w:customStyle="1" w:styleId="205">
    <w:name w:val="Endnote Text Char"/>
    <w:link w:val="27"/>
    <w:qFormat/>
    <w:uiPriority w:val="99"/>
    <w:rPr>
      <w:sz w:val="20"/>
    </w:rPr>
  </w:style>
  <w:style w:type="paragraph" w:customStyle="1" w:styleId="206">
    <w:name w:val="TOC Heading"/>
    <w:unhideWhenUsed/>
    <w:qFormat/>
    <w:uiPriority w:val="39"/>
    <w:pPr>
      <w:spacing w:before="0" w:beforeAutospacing="0" w:after="160" w:afterAutospacing="0" w:line="278" w:lineRule="auto"/>
    </w:pPr>
    <w:rPr>
      <w:rFonts w:hint="default" w:ascii="Times New Roman" w:hAnsi="Times New Roman" w:eastAsia="宋体" w:cs="Times New Roman"/>
    </w:rPr>
  </w:style>
  <w:style w:type="paragraph" w:styleId="207">
    <w:name w:val="List Paragraph"/>
    <w:basedOn w:val="1"/>
    <w:qFormat/>
    <w:uiPriority w:val="34"/>
    <w:pPr>
      <w:ind w:firstLine="420"/>
    </w:p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10">
    <w:name w:val="段"/>
    <w:basedOn w:val="1"/>
    <w:next w:val="1"/>
    <w:qFormat/>
    <w:uiPriority w:val="0"/>
    <w:pPr>
      <w:widowControl/>
      <w:ind w:firstLine="200"/>
    </w:pPr>
    <w:rPr>
      <w:rFonts w:hint="eastAsia" w:ascii="宋体"/>
      <w:szCs w:val="20"/>
    </w:rPr>
  </w:style>
  <w:style w:type="paragraph" w:customStyle="1" w:styleId="211">
    <w:name w:val="列表段落1"/>
    <w:basedOn w:val="1"/>
    <w:qFormat/>
    <w:uiPriority w:val="99"/>
    <w:pPr>
      <w:ind w:firstLine="420"/>
    </w:pPr>
  </w:style>
  <w:style w:type="paragraph" w:customStyle="1" w:styleId="212">
    <w:name w:val="AONormal"/>
    <w:qFormat/>
    <w:uiPriority w:val="0"/>
    <w:pPr>
      <w:spacing w:before="0" w:beforeAutospacing="0" w:after="160" w:afterAutospacing="0" w:line="400" w:lineRule="exact"/>
      <w:ind w:firstLine="440"/>
    </w:pPr>
    <w:rPr>
      <w:rFonts w:hint="default" w:ascii="华文楷体" w:hAnsi="华文楷体" w:eastAsia="华文楷体" w:cs="华文楷体"/>
      <w:sz w:val="22"/>
      <w:szCs w:val="21"/>
    </w:rPr>
  </w:style>
  <w:style w:type="paragraph" w:customStyle="1" w:styleId="213">
    <w:name w:val="正文首行缩进 21"/>
    <w:basedOn w:val="214"/>
    <w:next w:val="1"/>
    <w:qFormat/>
    <w:uiPriority w:val="0"/>
    <w:pPr>
      <w:spacing w:before="100" w:beforeAutospacing="1"/>
      <w:ind w:firstLine="420"/>
    </w:pPr>
    <w:rPr>
      <w:rFonts w:ascii="宋体" w:hAnsi="宋体"/>
      <w:szCs w:val="21"/>
    </w:rPr>
  </w:style>
  <w:style w:type="paragraph" w:customStyle="1" w:styleId="214">
    <w:name w:val="正文文本缩进1"/>
    <w:basedOn w:val="1"/>
    <w:qFormat/>
    <w:uiPriority w:val="0"/>
    <w:pPr>
      <w:spacing w:line="500" w:lineRule="exact"/>
      <w:ind w:firstLine="880"/>
    </w:pPr>
  </w:style>
  <w:style w:type="character" w:customStyle="1" w:styleId="215">
    <w:name w:val="标题 1 字符"/>
    <w:link w:val="2"/>
    <w:qFormat/>
    <w:uiPriority w:val="0"/>
    <w:rPr>
      <w:rFonts w:ascii="Times New Roman" w:hAnsi="Times New Roman" w:eastAsia="宋体" w:cs="Times New Roman"/>
      <w:b/>
      <w:bCs/>
      <w:sz w:val="32"/>
      <w:szCs w:val="44"/>
    </w:rPr>
  </w:style>
  <w:style w:type="character" w:customStyle="1" w:styleId="216">
    <w:name w:val="明显强调1"/>
    <w:qFormat/>
    <w:uiPriority w:val="0"/>
    <w:rPr>
      <w:b/>
      <w:bCs/>
      <w:i/>
      <w:iCs/>
      <w:color w:val="4F81BD"/>
    </w:rPr>
  </w:style>
  <w:style w:type="character" w:customStyle="1" w:styleId="217">
    <w:name w:val="批注文字 Char2"/>
    <w:qFormat/>
    <w:uiPriority w:val="0"/>
    <w:rPr>
      <w:sz w:val="21"/>
    </w:rPr>
  </w:style>
  <w:style w:type="character" w:customStyle="1" w:styleId="218">
    <w:name w:val="标题 3 Char_0"/>
    <w:link w:val="219"/>
    <w:qFormat/>
    <w:uiPriority w:val="0"/>
    <w:rPr>
      <w:b/>
      <w:bCs/>
      <w:sz w:val="32"/>
      <w:szCs w:val="32"/>
    </w:rPr>
  </w:style>
  <w:style w:type="paragraph" w:customStyle="1" w:styleId="219">
    <w:name w:val="标题 3_0"/>
    <w:basedOn w:val="220"/>
    <w:next w:val="220"/>
    <w:link w:val="218"/>
    <w:qFormat/>
    <w:uiPriority w:val="0"/>
    <w:pPr>
      <w:keepNext/>
      <w:keepLines/>
      <w:spacing w:before="260" w:after="260" w:line="416" w:lineRule="auto"/>
      <w:outlineLvl w:val="2"/>
    </w:pPr>
    <w:rPr>
      <w:b/>
      <w:bCs/>
      <w:sz w:val="32"/>
      <w:szCs w:val="32"/>
    </w:rPr>
  </w:style>
  <w:style w:type="paragraph" w:customStyle="1" w:styleId="220">
    <w:name w:val="正文_0"/>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4"/>
    </w:rPr>
  </w:style>
  <w:style w:type="character" w:customStyle="1" w:styleId="221">
    <w:name w:val="标题 2 字符"/>
    <w:link w:val="3"/>
    <w:qFormat/>
    <w:uiPriority w:val="0"/>
    <w:rPr>
      <w:rFonts w:ascii="Cambria" w:hAnsi="Cambria"/>
      <w:b/>
      <w:bCs/>
      <w:sz w:val="32"/>
      <w:szCs w:val="32"/>
    </w:rPr>
  </w:style>
  <w:style w:type="character" w:customStyle="1" w:styleId="222">
    <w:name w:val="正文文本 Char2"/>
    <w:semiHidden/>
    <w:qFormat/>
    <w:uiPriority w:val="99"/>
    <w:rPr>
      <w:rFonts w:ascii="Calibri" w:hAnsi="Calibri" w:eastAsia="宋体" w:cs="Times New Roman"/>
    </w:rPr>
  </w:style>
  <w:style w:type="character" w:customStyle="1" w:styleId="223">
    <w:name w:val="页脚 Char1"/>
    <w:semiHidden/>
    <w:qFormat/>
    <w:uiPriority w:val="99"/>
    <w:rPr>
      <w:rFonts w:ascii="Calibri" w:hAnsi="Calibri" w:eastAsia="宋体" w:cs="Times New Roman"/>
      <w:sz w:val="18"/>
      <w:szCs w:val="18"/>
    </w:rPr>
  </w:style>
  <w:style w:type="character" w:customStyle="1" w:styleId="224">
    <w:name w:val="明显引用 Char2"/>
    <w:qFormat/>
    <w:uiPriority w:val="99"/>
    <w:rPr>
      <w:b/>
      <w:bCs/>
      <w:i/>
      <w:iCs/>
      <w:color w:val="4F81BD"/>
      <w:sz w:val="21"/>
      <w:szCs w:val="24"/>
    </w:rPr>
  </w:style>
  <w:style w:type="character" w:customStyle="1" w:styleId="225">
    <w:name w:val="引用 Char"/>
    <w:link w:val="226"/>
    <w:qFormat/>
    <w:uiPriority w:val="0"/>
    <w:rPr>
      <w:i/>
      <w:iCs/>
      <w:color w:val="000000"/>
    </w:rPr>
  </w:style>
  <w:style w:type="paragraph" w:customStyle="1" w:styleId="226">
    <w:name w:val="引用1"/>
    <w:basedOn w:val="1"/>
    <w:next w:val="1"/>
    <w:link w:val="225"/>
    <w:qFormat/>
    <w:uiPriority w:val="0"/>
    <w:rPr>
      <w:i/>
      <w:iCs/>
      <w:color w:val="000000"/>
      <w:sz w:val="20"/>
      <w:szCs w:val="20"/>
    </w:rPr>
  </w:style>
  <w:style w:type="character" w:customStyle="1" w:styleId="227">
    <w:name w:val="标题 1 Char_0"/>
    <w:link w:val="228"/>
    <w:qFormat/>
    <w:uiPriority w:val="0"/>
    <w:rPr>
      <w:b/>
      <w:bCs/>
      <w:sz w:val="44"/>
      <w:szCs w:val="44"/>
    </w:rPr>
  </w:style>
  <w:style w:type="paragraph" w:customStyle="1" w:styleId="228">
    <w:name w:val="标题 1_0"/>
    <w:basedOn w:val="220"/>
    <w:next w:val="220"/>
    <w:link w:val="227"/>
    <w:qFormat/>
    <w:uiPriority w:val="0"/>
    <w:pPr>
      <w:keepNext/>
      <w:keepLines/>
      <w:spacing w:before="340" w:after="330" w:line="578" w:lineRule="auto"/>
      <w:outlineLvl w:val="0"/>
    </w:pPr>
    <w:rPr>
      <w:b/>
      <w:bCs/>
      <w:sz w:val="44"/>
      <w:szCs w:val="44"/>
    </w:rPr>
  </w:style>
  <w:style w:type="character" w:customStyle="1" w:styleId="229">
    <w:name w:val="正文文本缩进 3 Char1"/>
    <w:semiHidden/>
    <w:qFormat/>
    <w:uiPriority w:val="99"/>
    <w:rPr>
      <w:sz w:val="16"/>
      <w:szCs w:val="16"/>
    </w:rPr>
  </w:style>
  <w:style w:type="character" w:customStyle="1" w:styleId="230">
    <w:name w:val="引用 Char1"/>
    <w:qFormat/>
    <w:uiPriority w:val="29"/>
    <w:rPr>
      <w:i/>
      <w:iCs/>
      <w:color w:val="000000"/>
      <w:sz w:val="21"/>
    </w:rPr>
  </w:style>
  <w:style w:type="character" w:customStyle="1" w:styleId="231">
    <w:name w:val="正文文本缩进 字符"/>
    <w:link w:val="19"/>
    <w:qFormat/>
    <w:uiPriority w:val="0"/>
    <w:rPr>
      <w:sz w:val="21"/>
      <w:szCs w:val="24"/>
    </w:rPr>
  </w:style>
  <w:style w:type="character" w:customStyle="1" w:styleId="232">
    <w:name w:val="font161"/>
    <w:qFormat/>
    <w:uiPriority w:val="0"/>
    <w:rPr>
      <w:b/>
      <w:sz w:val="32"/>
    </w:rPr>
  </w:style>
  <w:style w:type="character" w:customStyle="1" w:styleId="233">
    <w:name w:val="标题 4 Char_0"/>
    <w:link w:val="234"/>
    <w:qFormat/>
    <w:uiPriority w:val="0"/>
    <w:rPr>
      <w:rFonts w:ascii="Arial" w:hAnsi="Arial" w:eastAsia="黑体"/>
      <w:b/>
      <w:bCs/>
      <w:sz w:val="28"/>
      <w:szCs w:val="28"/>
    </w:rPr>
  </w:style>
  <w:style w:type="paragraph" w:customStyle="1" w:styleId="234">
    <w:name w:val="标题 4_0"/>
    <w:basedOn w:val="220"/>
    <w:next w:val="220"/>
    <w:link w:val="233"/>
    <w:qFormat/>
    <w:uiPriority w:val="0"/>
    <w:pPr>
      <w:keepNext/>
      <w:keepLines/>
      <w:spacing w:before="280" w:after="290" w:line="376" w:lineRule="auto"/>
      <w:outlineLvl w:val="3"/>
    </w:pPr>
    <w:rPr>
      <w:rFonts w:ascii="Arial" w:hAnsi="Arial" w:eastAsia="黑体"/>
      <w:b/>
      <w:bCs/>
      <w:sz w:val="28"/>
      <w:szCs w:val="28"/>
    </w:rPr>
  </w:style>
  <w:style w:type="character" w:customStyle="1" w:styleId="235">
    <w:name w:val="页眉 字符"/>
    <w:link w:val="30"/>
    <w:qFormat/>
    <w:uiPriority w:val="0"/>
    <w:rPr>
      <w:sz w:val="18"/>
      <w:szCs w:val="18"/>
    </w:rPr>
  </w:style>
  <w:style w:type="character" w:customStyle="1" w:styleId="236">
    <w:name w:val="标题 6 字符"/>
    <w:link w:val="7"/>
    <w:qFormat/>
    <w:uiPriority w:val="0"/>
    <w:rPr>
      <w:rFonts w:ascii="Cambria" w:hAnsi="Cambria" w:eastAsia="宋体" w:cs="Times New Roman"/>
      <w:b/>
      <w:bCs/>
      <w:sz w:val="24"/>
      <w:szCs w:val="24"/>
    </w:rPr>
  </w:style>
  <w:style w:type="character" w:customStyle="1" w:styleId="237">
    <w:name w:val="纯文本 字符"/>
    <w:link w:val="23"/>
    <w:qFormat/>
    <w:uiPriority w:val="0"/>
    <w:rPr>
      <w:rFonts w:ascii="Ari"/>
      <w:lang w:val="en-US" w:eastAsia="zh-CN" w:bidi="ar-SA"/>
    </w:rPr>
  </w:style>
  <w:style w:type="character" w:customStyle="1" w:styleId="238">
    <w:name w:val="引用 Char2"/>
    <w:qFormat/>
    <w:uiPriority w:val="99"/>
    <w:rPr>
      <w:i/>
      <w:iCs/>
      <w:color w:val="000000"/>
      <w:sz w:val="21"/>
      <w:szCs w:val="24"/>
    </w:rPr>
  </w:style>
  <w:style w:type="character" w:customStyle="1" w:styleId="239">
    <w:name w:val="rvts11"/>
    <w:qFormat/>
    <w:uiPriority w:val="0"/>
    <w:rPr>
      <w:rFonts w:hint="default" w:ascii="KNLe" w:hAnsi="KNLe"/>
      <w:sz w:val="24"/>
      <w:szCs w:val="24"/>
      <w:u w:val="single"/>
    </w:rPr>
  </w:style>
  <w:style w:type="character" w:customStyle="1" w:styleId="240">
    <w:name w:val="标题 字符"/>
    <w:link w:val="44"/>
    <w:qFormat/>
    <w:uiPriority w:val="0"/>
    <w:rPr>
      <w:rFonts w:ascii="Arial" w:hAnsi="Arial"/>
      <w:b/>
      <w:sz w:val="32"/>
    </w:rPr>
  </w:style>
  <w:style w:type="character" w:customStyle="1" w:styleId="241">
    <w:name w:val="标题5 Char Char"/>
    <w:link w:val="242"/>
    <w:qFormat/>
    <w:uiPriority w:val="0"/>
    <w:rPr>
      <w:rFonts w:ascii="Arial" w:hAnsi="Arial"/>
      <w:b/>
      <w:bCs/>
      <w:sz w:val="24"/>
      <w:szCs w:val="32"/>
    </w:rPr>
  </w:style>
  <w:style w:type="paragraph" w:customStyle="1" w:styleId="242">
    <w:name w:val="标题5"/>
    <w:basedOn w:val="4"/>
    <w:link w:val="241"/>
    <w:qFormat/>
    <w:uiPriority w:val="0"/>
    <w:pPr>
      <w:numPr>
        <w:ilvl w:val="0"/>
        <w:numId w:val="0"/>
      </w:numPr>
      <w:spacing w:line="413" w:lineRule="auto"/>
    </w:pPr>
    <w:rPr>
      <w:rFonts w:ascii="Arial" w:hAnsi="Arial"/>
      <w:sz w:val="24"/>
    </w:rPr>
  </w:style>
  <w:style w:type="character" w:customStyle="1" w:styleId="243">
    <w:name w:val="副标题 Char2"/>
    <w:qFormat/>
    <w:uiPriority w:val="11"/>
    <w:rPr>
      <w:rFonts w:ascii="Cambria" w:hAnsi="Cambria" w:cs="Times New Roman"/>
      <w:b/>
      <w:bCs/>
      <w:sz w:val="32"/>
      <w:szCs w:val="32"/>
    </w:rPr>
  </w:style>
  <w:style w:type="character" w:customStyle="1" w:styleId="244">
    <w:name w:val="文档结构图 字符"/>
    <w:link w:val="15"/>
    <w:qFormat/>
    <w:uiPriority w:val="0"/>
    <w:rPr>
      <w:rFonts w:ascii="宋体"/>
      <w:sz w:val="18"/>
      <w:szCs w:val="18"/>
    </w:rPr>
  </w:style>
  <w:style w:type="character" w:customStyle="1" w:styleId="245">
    <w:name w:val="日期 字符"/>
    <w:link w:val="25"/>
    <w:qFormat/>
    <w:uiPriority w:val="0"/>
    <w:rPr>
      <w:sz w:val="21"/>
      <w:szCs w:val="24"/>
    </w:rPr>
  </w:style>
  <w:style w:type="character" w:customStyle="1" w:styleId="246">
    <w:name w:val="批注主题 Char1"/>
    <w:qFormat/>
    <w:uiPriority w:val="0"/>
    <w:rPr>
      <w:b/>
      <w:bCs/>
      <w:sz w:val="21"/>
      <w:szCs w:val="22"/>
    </w:rPr>
  </w:style>
  <w:style w:type="character" w:customStyle="1" w:styleId="247">
    <w:name w:val="font31"/>
    <w:qFormat/>
    <w:uiPriority w:val="0"/>
    <w:rPr>
      <w:rFonts w:hint="eastAsia" w:ascii="宋体" w:hAnsi="宋体" w:eastAsia="宋体" w:cs="宋体"/>
      <w:color w:val="000000"/>
      <w:sz w:val="20"/>
      <w:szCs w:val="20"/>
      <w:u w:val="none"/>
    </w:rPr>
  </w:style>
  <w:style w:type="character" w:customStyle="1" w:styleId="248">
    <w:name w:val="明显引用 Char"/>
    <w:link w:val="249"/>
    <w:qFormat/>
    <w:uiPriority w:val="0"/>
    <w:rPr>
      <w:b/>
      <w:bCs/>
      <w:i/>
      <w:iCs/>
      <w:color w:val="4F81BD"/>
    </w:rPr>
  </w:style>
  <w:style w:type="paragraph" w:customStyle="1" w:styleId="249">
    <w:name w:val="明显引用1"/>
    <w:basedOn w:val="1"/>
    <w:next w:val="1"/>
    <w:link w:val="248"/>
    <w:qFormat/>
    <w:uiPriority w:val="0"/>
    <w:pPr>
      <w:pBdr>
        <w:bottom w:val="single" w:color="4F81BD" w:sz="4" w:space="4"/>
      </w:pBdr>
      <w:spacing w:before="200" w:after="280"/>
      <w:ind w:left="936" w:right="936"/>
    </w:pPr>
    <w:rPr>
      <w:b/>
      <w:bCs/>
      <w:i/>
      <w:iCs/>
      <w:color w:val="4F81BD"/>
      <w:sz w:val="20"/>
      <w:szCs w:val="20"/>
    </w:rPr>
  </w:style>
  <w:style w:type="character" w:customStyle="1" w:styleId="250">
    <w:name w:val="标题 5 字符"/>
    <w:link w:val="6"/>
    <w:qFormat/>
    <w:uiPriority w:val="0"/>
    <w:rPr>
      <w:b/>
      <w:bCs/>
      <w:sz w:val="28"/>
      <w:szCs w:val="28"/>
    </w:rPr>
  </w:style>
  <w:style w:type="character" w:customStyle="1" w:styleId="251">
    <w:name w:val="日期 Char1"/>
    <w:qFormat/>
    <w:uiPriority w:val="0"/>
    <w:rPr>
      <w:rFonts w:ascii="Calibri" w:hAnsi="Calibri" w:eastAsia="宋体" w:cs="Times New Roman"/>
    </w:rPr>
  </w:style>
  <w:style w:type="character" w:customStyle="1" w:styleId="252">
    <w:name w:val="批注框文本 Char1"/>
    <w:qFormat/>
    <w:uiPriority w:val="0"/>
    <w:rPr>
      <w:sz w:val="18"/>
      <w:szCs w:val="18"/>
    </w:rPr>
  </w:style>
  <w:style w:type="character" w:customStyle="1" w:styleId="253">
    <w:name w:val="标题 Char1"/>
    <w:qFormat/>
    <w:uiPriority w:val="10"/>
    <w:rPr>
      <w:rFonts w:ascii="Cambria" w:hAnsi="Cambria" w:eastAsia="宋体" w:cs="Times New Roman"/>
      <w:b/>
      <w:bCs/>
      <w:sz w:val="32"/>
      <w:szCs w:val="32"/>
    </w:rPr>
  </w:style>
  <w:style w:type="character" w:customStyle="1" w:styleId="254">
    <w:name w:val="标题 9 字符"/>
    <w:link w:val="10"/>
    <w:qFormat/>
    <w:uiPriority w:val="0"/>
    <w:rPr>
      <w:rFonts w:ascii="Cambria" w:hAnsi="Cambria" w:eastAsia="宋体" w:cs="Times New Roman"/>
      <w:sz w:val="21"/>
      <w:szCs w:val="21"/>
    </w:rPr>
  </w:style>
  <w:style w:type="character" w:customStyle="1" w:styleId="255">
    <w:name w:val="不明显参考1"/>
    <w:qFormat/>
    <w:uiPriority w:val="0"/>
    <w:rPr>
      <w:smallCaps/>
      <w:color w:val="C0504D"/>
      <w:u w:val="single"/>
    </w:rPr>
  </w:style>
  <w:style w:type="character" w:customStyle="1" w:styleId="256">
    <w:name w:val="批注文字 Char1"/>
    <w:qFormat/>
    <w:uiPriority w:val="0"/>
    <w:rPr>
      <w:rFonts w:ascii="Calibri" w:hAnsi="Calibri" w:eastAsia="宋体" w:cs="Times New Roman"/>
    </w:rPr>
  </w:style>
  <w:style w:type="character" w:customStyle="1" w:styleId="257">
    <w:name w:val="标题 Char2"/>
    <w:qFormat/>
    <w:uiPriority w:val="10"/>
    <w:rPr>
      <w:rFonts w:ascii="Cambria" w:hAnsi="Cambria" w:cs="Times New Roman"/>
      <w:b/>
      <w:bCs/>
      <w:sz w:val="32"/>
      <w:szCs w:val="32"/>
    </w:rPr>
  </w:style>
  <w:style w:type="character" w:customStyle="1" w:styleId="258">
    <w:name w:val="正文文本 3 Char1"/>
    <w:semiHidden/>
    <w:qFormat/>
    <w:uiPriority w:val="99"/>
    <w:rPr>
      <w:sz w:val="16"/>
      <w:szCs w:val="16"/>
    </w:rPr>
  </w:style>
  <w:style w:type="character" w:customStyle="1" w:styleId="259">
    <w:name w:val="批注主题 Char2"/>
    <w:qFormat/>
    <w:uiPriority w:val="0"/>
    <w:rPr>
      <w:b/>
      <w:bCs/>
      <w:sz w:val="21"/>
    </w:rPr>
  </w:style>
  <w:style w:type="character" w:customStyle="1" w:styleId="260">
    <w:name w:val="标题 3 字符"/>
    <w:link w:val="4"/>
    <w:qFormat/>
    <w:uiPriority w:val="0"/>
    <w:rPr>
      <w:b/>
      <w:bCs/>
      <w:sz w:val="32"/>
      <w:szCs w:val="32"/>
    </w:rPr>
  </w:style>
  <w:style w:type="character" w:customStyle="1" w:styleId="261">
    <w:name w:val="正文文本 Char_0"/>
    <w:link w:val="262"/>
    <w:qFormat/>
    <w:uiPriority w:val="0"/>
    <w:rPr>
      <w:szCs w:val="24"/>
    </w:rPr>
  </w:style>
  <w:style w:type="paragraph" w:customStyle="1" w:styleId="262">
    <w:name w:val="正文文本_0"/>
    <w:basedOn w:val="220"/>
    <w:link w:val="261"/>
    <w:qFormat/>
    <w:uiPriority w:val="0"/>
    <w:pPr>
      <w:spacing w:after="120"/>
    </w:pPr>
    <w:rPr>
      <w:sz w:val="20"/>
    </w:rPr>
  </w:style>
  <w:style w:type="character" w:customStyle="1" w:styleId="263">
    <w:name w:val="副标题 字符"/>
    <w:link w:val="35"/>
    <w:qFormat/>
    <w:uiPriority w:val="0"/>
    <w:rPr>
      <w:rFonts w:ascii="Cambria" w:hAnsi="Cambria"/>
      <w:b/>
      <w:bCs/>
      <w:sz w:val="32"/>
      <w:szCs w:val="32"/>
    </w:rPr>
  </w:style>
  <w:style w:type="character" w:customStyle="1" w:styleId="264">
    <w:name w:val="bookmark"/>
    <w:basedOn w:val="50"/>
    <w:qFormat/>
    <w:uiPriority w:val="0"/>
  </w:style>
  <w:style w:type="character" w:customStyle="1" w:styleId="265">
    <w:name w:val="标题 5 Char_0"/>
    <w:link w:val="266"/>
    <w:qFormat/>
    <w:uiPriority w:val="0"/>
    <w:rPr>
      <w:rFonts w:ascii="Calibri" w:hAnsi="Calibri"/>
      <w:b/>
      <w:bCs/>
      <w:sz w:val="28"/>
      <w:szCs w:val="28"/>
    </w:rPr>
  </w:style>
  <w:style w:type="paragraph" w:customStyle="1" w:styleId="266">
    <w:name w:val="标题 5_0"/>
    <w:basedOn w:val="220"/>
    <w:next w:val="220"/>
    <w:link w:val="265"/>
    <w:qFormat/>
    <w:uiPriority w:val="0"/>
    <w:pPr>
      <w:keepNext/>
      <w:keepLines/>
      <w:spacing w:before="280" w:after="290" w:line="372" w:lineRule="auto"/>
      <w:outlineLvl w:val="4"/>
    </w:pPr>
    <w:rPr>
      <w:rFonts w:ascii="Calibri" w:hAnsi="Calibri"/>
      <w:b/>
      <w:bCs/>
      <w:sz w:val="28"/>
      <w:szCs w:val="28"/>
    </w:rPr>
  </w:style>
  <w:style w:type="character" w:customStyle="1" w:styleId="267">
    <w:name w:val="正文文本缩进 2 字符"/>
    <w:link w:val="26"/>
    <w:qFormat/>
    <w:uiPriority w:val="99"/>
    <w:rPr>
      <w:rFonts w:ascii="宋体"/>
    </w:rPr>
  </w:style>
  <w:style w:type="character" w:customStyle="1" w:styleId="268">
    <w:name w:val="批注文字 字符"/>
    <w:link w:val="16"/>
    <w:qFormat/>
    <w:uiPriority w:val="99"/>
    <w:rPr>
      <w:sz w:val="21"/>
      <w:szCs w:val="24"/>
    </w:rPr>
  </w:style>
  <w:style w:type="character" w:customStyle="1" w:styleId="269">
    <w:name w:val="font11"/>
    <w:qFormat/>
    <w:uiPriority w:val="0"/>
    <w:rPr>
      <w:rFonts w:hint="eastAsia" w:ascii="宋体" w:hAnsi="宋体" w:eastAsia="宋体" w:cs="宋体"/>
      <w:color w:val="000000"/>
      <w:sz w:val="20"/>
      <w:szCs w:val="20"/>
      <w:u w:val="none"/>
    </w:rPr>
  </w:style>
  <w:style w:type="character" w:customStyle="1" w:styleId="270">
    <w:name w:val="明显参考1"/>
    <w:qFormat/>
    <w:uiPriority w:val="0"/>
    <w:rPr>
      <w:b/>
      <w:bCs/>
      <w:smallCaps/>
      <w:color w:val="C0504D"/>
      <w:spacing w:val="5"/>
      <w:u w:val="single"/>
    </w:rPr>
  </w:style>
  <w:style w:type="character" w:customStyle="1" w:styleId="271">
    <w:name w:val="超链接_0"/>
    <w:qFormat/>
    <w:uiPriority w:val="99"/>
    <w:rPr>
      <w:rFonts w:ascii="Calibri" w:hAnsi="Calibri"/>
      <w:color w:val="0000FF"/>
      <w:u w:val="single"/>
    </w:rPr>
  </w:style>
  <w:style w:type="character" w:customStyle="1" w:styleId="272">
    <w:name w:val="文档结构图 Char2"/>
    <w:semiHidden/>
    <w:qFormat/>
    <w:uiPriority w:val="99"/>
    <w:rPr>
      <w:rFonts w:ascii="宋体" w:hAnsi="Calibri" w:eastAsia="宋体" w:cs="Times New Roman"/>
      <w:sz w:val="18"/>
      <w:szCs w:val="18"/>
    </w:rPr>
  </w:style>
  <w:style w:type="character" w:customStyle="1" w:styleId="273">
    <w:name w:val="textcontents"/>
    <w:qFormat/>
    <w:uiPriority w:val="0"/>
    <w:rPr>
      <w:rFonts w:cs="Times New Roman"/>
    </w:rPr>
  </w:style>
  <w:style w:type="character" w:customStyle="1" w:styleId="274">
    <w:name w:val="正文文本 字符"/>
    <w:link w:val="18"/>
    <w:qFormat/>
    <w:uiPriority w:val="0"/>
    <w:rPr>
      <w:rFonts w:eastAsia="幼圆"/>
      <w:b/>
      <w:bCs/>
      <w:sz w:val="44"/>
      <w:szCs w:val="24"/>
    </w:rPr>
  </w:style>
  <w:style w:type="character" w:customStyle="1" w:styleId="275">
    <w:name w:val="标题 8 字符"/>
    <w:link w:val="9"/>
    <w:qFormat/>
    <w:uiPriority w:val="0"/>
    <w:rPr>
      <w:rFonts w:ascii="Cambria" w:hAnsi="Cambria" w:eastAsia="宋体" w:cs="Times New Roman"/>
      <w:sz w:val="24"/>
      <w:szCs w:val="24"/>
    </w:rPr>
  </w:style>
  <w:style w:type="character" w:customStyle="1" w:styleId="276">
    <w:name w:val="副标题 Char1"/>
    <w:qFormat/>
    <w:uiPriority w:val="11"/>
    <w:rPr>
      <w:rFonts w:ascii="Cambria" w:hAnsi="Cambria" w:cs="Times New Roman"/>
      <w:b/>
      <w:bCs/>
      <w:sz w:val="32"/>
      <w:szCs w:val="32"/>
    </w:rPr>
  </w:style>
  <w:style w:type="character" w:customStyle="1" w:styleId="277">
    <w:name w:val="批注主题 字符"/>
    <w:link w:val="45"/>
    <w:qFormat/>
    <w:uiPriority w:val="0"/>
    <w:rPr>
      <w:b/>
      <w:bCs/>
      <w:sz w:val="21"/>
      <w:szCs w:val="24"/>
    </w:rPr>
  </w:style>
  <w:style w:type="character" w:customStyle="1" w:styleId="278">
    <w:name w:val="书籍标题1"/>
    <w:qFormat/>
    <w:uiPriority w:val="0"/>
    <w:rPr>
      <w:b/>
      <w:bCs/>
      <w:smallCaps/>
      <w:spacing w:val="5"/>
    </w:rPr>
  </w:style>
  <w:style w:type="character" w:customStyle="1" w:styleId="279">
    <w:name w:val="页脚 字符"/>
    <w:link w:val="29"/>
    <w:qFormat/>
    <w:uiPriority w:val="99"/>
    <w:rPr>
      <w:sz w:val="18"/>
      <w:szCs w:val="18"/>
    </w:rPr>
  </w:style>
  <w:style w:type="character" w:customStyle="1" w:styleId="280">
    <w:name w:val="标题4 Char Char"/>
    <w:link w:val="281"/>
    <w:qFormat/>
    <w:uiPriority w:val="0"/>
    <w:rPr>
      <w:rFonts w:ascii="Arial" w:hAnsi="Arial"/>
      <w:b/>
      <w:bCs/>
      <w:sz w:val="24"/>
      <w:szCs w:val="32"/>
    </w:rPr>
  </w:style>
  <w:style w:type="paragraph" w:customStyle="1" w:styleId="281">
    <w:name w:val="标题4"/>
    <w:basedOn w:val="3"/>
    <w:next w:val="20"/>
    <w:link w:val="280"/>
    <w:qFormat/>
    <w:uiPriority w:val="0"/>
    <w:pPr>
      <w:numPr>
        <w:ilvl w:val="0"/>
        <w:numId w:val="0"/>
      </w:numPr>
      <w:spacing w:line="413" w:lineRule="auto"/>
    </w:pPr>
    <w:rPr>
      <w:rFonts w:ascii="Arial" w:hAnsi="Arial"/>
      <w:sz w:val="24"/>
    </w:rPr>
  </w:style>
  <w:style w:type="character" w:customStyle="1" w:styleId="282">
    <w:name w:val="正文文本 Char1"/>
    <w:qFormat/>
    <w:uiPriority w:val="0"/>
    <w:rPr>
      <w:rFonts w:ascii="Calibri" w:hAnsi="Calibri" w:eastAsia="宋体" w:cs="Times New Roman"/>
    </w:rPr>
  </w:style>
  <w:style w:type="character" w:customStyle="1" w:styleId="283">
    <w:name w:val="明显引用 Char1"/>
    <w:qFormat/>
    <w:uiPriority w:val="30"/>
    <w:rPr>
      <w:b/>
      <w:bCs/>
      <w:i/>
      <w:iCs/>
      <w:color w:val="4F81BD"/>
      <w:sz w:val="21"/>
    </w:rPr>
  </w:style>
  <w:style w:type="character" w:customStyle="1" w:styleId="284">
    <w:name w:val="页眉 Char1"/>
    <w:semiHidden/>
    <w:qFormat/>
    <w:uiPriority w:val="99"/>
    <w:rPr>
      <w:rFonts w:ascii="Calibri" w:hAnsi="Calibri" w:eastAsia="宋体" w:cs="Times New Roman"/>
      <w:sz w:val="18"/>
      <w:szCs w:val="18"/>
    </w:rPr>
  </w:style>
  <w:style w:type="character" w:customStyle="1" w:styleId="285">
    <w:name w:val="不明显强调1"/>
    <w:qFormat/>
    <w:uiPriority w:val="0"/>
    <w:rPr>
      <w:i/>
      <w:iCs/>
      <w:color w:val="808080"/>
    </w:rPr>
  </w:style>
  <w:style w:type="character" w:customStyle="1" w:styleId="286">
    <w:name w:val="正文文本 3 字符"/>
    <w:link w:val="17"/>
    <w:qFormat/>
    <w:uiPriority w:val="0"/>
    <w:rPr>
      <w:rFonts w:ascii="宋体"/>
      <w:sz w:val="24"/>
    </w:rPr>
  </w:style>
  <w:style w:type="character" w:customStyle="1" w:styleId="287">
    <w:name w:val="正文文本缩进 3 字符"/>
    <w:link w:val="38"/>
    <w:qFormat/>
    <w:uiPriority w:val="0"/>
    <w:rPr>
      <w:sz w:val="16"/>
    </w:rPr>
  </w:style>
  <w:style w:type="character" w:customStyle="1" w:styleId="288">
    <w:name w:val="font21"/>
    <w:qFormat/>
    <w:uiPriority w:val="0"/>
    <w:rPr>
      <w:rFonts w:hint="eastAsia" w:ascii="宋体" w:hAnsi="宋体" w:eastAsia="宋体" w:cs="宋体"/>
      <w:color w:val="000000"/>
      <w:sz w:val="20"/>
      <w:szCs w:val="20"/>
      <w:u w:val="none"/>
    </w:rPr>
  </w:style>
  <w:style w:type="character" w:customStyle="1" w:styleId="289">
    <w:name w:val="批注框文本 字符"/>
    <w:link w:val="28"/>
    <w:qFormat/>
    <w:uiPriority w:val="0"/>
    <w:rPr>
      <w:sz w:val="18"/>
      <w:szCs w:val="18"/>
    </w:rPr>
  </w:style>
  <w:style w:type="character" w:customStyle="1" w:styleId="290">
    <w:name w:val="标题 7 字符"/>
    <w:link w:val="8"/>
    <w:qFormat/>
    <w:uiPriority w:val="0"/>
    <w:rPr>
      <w:b/>
      <w:bCs/>
      <w:sz w:val="24"/>
      <w:szCs w:val="24"/>
    </w:rPr>
  </w:style>
  <w:style w:type="character" w:customStyle="1" w:styleId="291">
    <w:name w:val="文档结构图 Char1"/>
    <w:qFormat/>
    <w:uiPriority w:val="0"/>
    <w:rPr>
      <w:rFonts w:ascii="宋体" w:hAnsi="Calibri" w:eastAsia="宋体" w:cs="Times New Roman"/>
      <w:sz w:val="18"/>
      <w:szCs w:val="18"/>
    </w:rPr>
  </w:style>
  <w:style w:type="character" w:customStyle="1" w:styleId="292">
    <w:name w:val="标题 2 Char_0"/>
    <w:link w:val="293"/>
    <w:qFormat/>
    <w:uiPriority w:val="0"/>
    <w:rPr>
      <w:rFonts w:ascii="Cambria" w:hAnsi="Cambria"/>
      <w:b/>
      <w:bCs/>
      <w:sz w:val="32"/>
      <w:szCs w:val="32"/>
    </w:rPr>
  </w:style>
  <w:style w:type="paragraph" w:customStyle="1" w:styleId="293">
    <w:name w:val="标题 2_0"/>
    <w:basedOn w:val="220"/>
    <w:next w:val="220"/>
    <w:link w:val="292"/>
    <w:unhideWhenUsed/>
    <w:qFormat/>
    <w:uiPriority w:val="0"/>
    <w:pPr>
      <w:keepNext/>
      <w:keepLines/>
      <w:spacing w:before="260" w:after="260" w:line="416" w:lineRule="auto"/>
      <w:outlineLvl w:val="1"/>
    </w:pPr>
    <w:rPr>
      <w:rFonts w:ascii="Cambria" w:hAnsi="Cambria"/>
      <w:b/>
      <w:bCs/>
      <w:sz w:val="32"/>
      <w:szCs w:val="32"/>
    </w:rPr>
  </w:style>
  <w:style w:type="character" w:customStyle="1" w:styleId="294">
    <w:name w:val="日期 Char2"/>
    <w:semiHidden/>
    <w:qFormat/>
    <w:uiPriority w:val="99"/>
    <w:rPr>
      <w:rFonts w:ascii="Calibri" w:hAnsi="Calibri" w:eastAsia="宋体" w:cs="Times New Roman"/>
    </w:rPr>
  </w:style>
  <w:style w:type="character" w:customStyle="1" w:styleId="295">
    <w:name w:val="批注框文本 Char2"/>
    <w:semiHidden/>
    <w:qFormat/>
    <w:uiPriority w:val="99"/>
    <w:rPr>
      <w:rFonts w:ascii="Calibri" w:hAnsi="Calibri" w:eastAsia="宋体" w:cs="Times New Roman"/>
      <w:sz w:val="18"/>
      <w:szCs w:val="18"/>
    </w:rPr>
  </w:style>
  <w:style w:type="character" w:customStyle="1" w:styleId="296">
    <w:name w:val="标题 4 字符"/>
    <w:link w:val="5"/>
    <w:qFormat/>
    <w:uiPriority w:val="0"/>
    <w:rPr>
      <w:rFonts w:ascii="Cambria" w:hAnsi="Cambria" w:eastAsia="宋体" w:cs="Times New Roman"/>
      <w:b/>
      <w:bCs/>
      <w:sz w:val="28"/>
      <w:szCs w:val="28"/>
    </w:rPr>
  </w:style>
  <w:style w:type="character" w:customStyle="1" w:styleId="297">
    <w:name w:val="列出段落 Char"/>
    <w:link w:val="298"/>
    <w:qFormat/>
    <w:uiPriority w:val="99"/>
    <w:rPr>
      <w:sz w:val="21"/>
      <w:szCs w:val="24"/>
    </w:rPr>
  </w:style>
  <w:style w:type="paragraph" w:customStyle="1" w:styleId="298">
    <w:name w:val="List Paragraph1"/>
    <w:basedOn w:val="1"/>
    <w:link w:val="297"/>
    <w:qFormat/>
    <w:uiPriority w:val="99"/>
    <w:pPr>
      <w:ind w:firstLine="420"/>
    </w:pPr>
  </w:style>
  <w:style w:type="paragraph" w:customStyle="1" w:styleId="29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300">
    <w:name w:val="_Style 34"/>
    <w:next w:val="1"/>
    <w:qFormat/>
    <w:uiPriority w:val="0"/>
    <w:pPr>
      <w:widowControl w:val="0"/>
      <w:spacing w:before="0" w:beforeAutospacing="0" w:after="160" w:afterAutospacing="0" w:line="278" w:lineRule="auto"/>
      <w:jc w:val="both"/>
    </w:pPr>
    <w:rPr>
      <w:rFonts w:hint="default" w:ascii="Times New Roman" w:hAnsi="Times New Roman" w:eastAsia="宋体" w:cs="Times New Roman"/>
      <w:sz w:val="21"/>
    </w:rPr>
  </w:style>
  <w:style w:type="paragraph" w:customStyle="1" w:styleId="301">
    <w:name w:val="正文_3"/>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2"/>
    </w:rPr>
  </w:style>
  <w:style w:type="paragraph" w:customStyle="1" w:styleId="302">
    <w:name w:val="_Style 36"/>
    <w:next w:val="1"/>
    <w:qFormat/>
    <w:uiPriority w:val="0"/>
    <w:pPr>
      <w:widowControl w:val="0"/>
      <w:spacing w:before="0" w:beforeAutospacing="0" w:after="160" w:afterAutospacing="0" w:line="278" w:lineRule="auto"/>
      <w:jc w:val="both"/>
    </w:pPr>
    <w:rPr>
      <w:rFonts w:hint="default" w:ascii="Times New Roman" w:hAnsi="Times New Roman" w:eastAsia="宋体" w:cs="Times New Roman"/>
      <w:sz w:val="21"/>
    </w:rPr>
  </w:style>
  <w:style w:type="paragraph" w:customStyle="1" w:styleId="303">
    <w:name w:val="空半行"/>
    <w:basedOn w:val="1"/>
    <w:qFormat/>
    <w:uiPriority w:val="0"/>
    <w:pPr>
      <w:spacing w:line="120" w:lineRule="exact"/>
    </w:pPr>
    <w:rPr>
      <w:rFonts w:ascii="Calibri" w:hAnsi="Calibri" w:eastAsia="仿宋_GB2312"/>
      <w:color w:val="FFFFFF"/>
      <w:sz w:val="30"/>
      <w:szCs w:val="22"/>
    </w:rPr>
  </w:style>
  <w:style w:type="paragraph" w:customStyle="1" w:styleId="304">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305">
    <w:name w:val="格式３"/>
    <w:basedOn w:val="1"/>
    <w:qFormat/>
    <w:uiPriority w:val="0"/>
    <w:pPr>
      <w:spacing w:line="420" w:lineRule="exact"/>
      <w:ind w:left="600" w:hanging="600"/>
    </w:pPr>
    <w:rPr>
      <w:rFonts w:ascii="宋体" w:hAnsi="宋体"/>
      <w:color w:val="000000"/>
      <w:sz w:val="24"/>
      <w:szCs w:val="20"/>
    </w:rPr>
  </w:style>
  <w:style w:type="paragraph" w:customStyle="1" w:styleId="306">
    <w:name w:val="正文1"/>
    <w:qFormat/>
    <w:uiPriority w:val="0"/>
    <w:pPr>
      <w:widowControl w:val="0"/>
      <w:spacing w:before="0" w:beforeAutospacing="0" w:after="160" w:afterAutospacing="0" w:line="278" w:lineRule="auto"/>
      <w:jc w:val="both"/>
    </w:pPr>
    <w:rPr>
      <w:rFonts w:hint="default" w:ascii="Calibri" w:hAnsi="Calibri" w:eastAsia="宋体" w:cs="Times New Roman"/>
    </w:rPr>
  </w:style>
  <w:style w:type="paragraph" w:customStyle="1" w:styleId="307">
    <w:name w:val="列出段落1"/>
    <w:basedOn w:val="1"/>
    <w:qFormat/>
    <w:uiPriority w:val="34"/>
    <w:pPr>
      <w:widowControl/>
      <w:ind w:left="720"/>
      <w:contextualSpacing/>
      <w:jc w:val="left"/>
    </w:pPr>
    <w:rPr>
      <w:rFonts w:ascii="Arial" w:hAnsi="Arial" w:eastAsia="黑体"/>
      <w:sz w:val="24"/>
      <w:lang w:eastAsia="en-US"/>
    </w:rPr>
  </w:style>
  <w:style w:type="paragraph" w:customStyle="1" w:styleId="308">
    <w:name w:val="正文空2字"/>
    <w:basedOn w:val="1"/>
    <w:qFormat/>
    <w:uiPriority w:val="0"/>
    <w:pPr>
      <w:spacing w:line="360" w:lineRule="auto"/>
      <w:ind w:firstLine="200"/>
    </w:pPr>
    <w:rPr>
      <w:sz w:val="24"/>
      <w:lang w:bidi="en-US"/>
    </w:rPr>
  </w:style>
  <w:style w:type="paragraph" w:customStyle="1" w:styleId="309">
    <w:name w:val="正文_0_0_0"/>
    <w:qFormat/>
    <w:uiPriority w:val="0"/>
    <w:pPr>
      <w:widowControl w:val="0"/>
      <w:spacing w:before="0" w:beforeAutospacing="0" w:after="160" w:afterAutospacing="0" w:line="278" w:lineRule="auto"/>
      <w:jc w:val="both"/>
    </w:pPr>
    <w:rPr>
      <w:rFonts w:hint="default" w:ascii="Times New Roman" w:hAnsi="Times New Roman" w:eastAsia="宋体" w:cs="Times New Roman"/>
    </w:rPr>
  </w:style>
  <w:style w:type="paragraph" w:customStyle="1" w:styleId="310">
    <w:name w:val="目录 5_0"/>
    <w:basedOn w:val="220"/>
    <w:next w:val="220"/>
    <w:qFormat/>
    <w:uiPriority w:val="39"/>
    <w:pPr>
      <w:ind w:left="1680"/>
    </w:pPr>
    <w:rPr>
      <w:rFonts w:ascii="Calibri" w:hAnsi="Calibri"/>
    </w:rPr>
  </w:style>
  <w:style w:type="paragraph" w:customStyle="1" w:styleId="311">
    <w:name w:val="修订1"/>
    <w:qFormat/>
    <w:uiPriority w:val="0"/>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12">
    <w:name w:val="标题 11"/>
    <w:basedOn w:val="306"/>
    <w:next w:val="306"/>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3">
    <w:name w:val="正文 + 行距: 固定值 20 磅"/>
    <w:basedOn w:val="1"/>
    <w:qFormat/>
    <w:uiPriority w:val="0"/>
    <w:pPr>
      <w:spacing w:line="400" w:lineRule="exact"/>
      <w:ind w:firstLine="716"/>
    </w:pPr>
    <w:rPr>
      <w:rFonts w:ascii="Calibri" w:hAnsi="Calibri"/>
      <w:szCs w:val="22"/>
    </w:rPr>
  </w:style>
  <w:style w:type="paragraph" w:customStyle="1" w:styleId="314">
    <w:name w:val="TOC 标题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5">
    <w:name w:val="表格文字"/>
    <w:basedOn w:val="1"/>
    <w:link w:val="346"/>
    <w:qFormat/>
    <w:uiPriority w:val="0"/>
    <w:pPr>
      <w:spacing w:line="420" w:lineRule="atLeast"/>
      <w:jc w:val="left"/>
    </w:pPr>
    <w:rPr>
      <w:rFonts w:ascii="Calibri" w:hAnsi="Calibri"/>
      <w:szCs w:val="22"/>
    </w:rPr>
  </w:style>
  <w:style w:type="paragraph" w:customStyle="1" w:styleId="316">
    <w:name w:val="flNote"/>
    <w:basedOn w:val="1"/>
    <w:qFormat/>
    <w:uiPriority w:val="0"/>
    <w:pPr>
      <w:spacing w:before="320" w:line="360" w:lineRule="atLeast"/>
      <w:jc w:val="center"/>
    </w:pPr>
    <w:rPr>
      <w:rFonts w:ascii="Arial" w:hAnsi="Calibri" w:eastAsia="黑体"/>
      <w:sz w:val="30"/>
      <w:szCs w:val="22"/>
    </w:rPr>
  </w:style>
  <w:style w:type="paragraph" w:customStyle="1" w:styleId="317">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8">
    <w:name w:val="表格"/>
    <w:basedOn w:val="1"/>
    <w:qFormat/>
    <w:uiPriority w:val="0"/>
    <w:pPr>
      <w:jc w:val="center"/>
    </w:pPr>
    <w:rPr>
      <w:rFonts w:ascii="华文细黑" w:hAnsi="华文细黑"/>
      <w:szCs w:val="22"/>
    </w:rPr>
  </w:style>
  <w:style w:type="paragraph" w:customStyle="1" w:styleId="319">
    <w:name w:val="Char"/>
    <w:basedOn w:val="1"/>
    <w:qFormat/>
    <w:uiPriority w:val="0"/>
    <w:pPr>
      <w:widowControl/>
      <w:spacing w:line="240" w:lineRule="exact"/>
      <w:jc w:val="left"/>
    </w:pPr>
    <w:rPr>
      <w:rFonts w:ascii="Verdana" w:hAnsi="Verdana"/>
      <w:sz w:val="20"/>
      <w:szCs w:val="20"/>
      <w:lang w:eastAsia="en-US"/>
    </w:rPr>
  </w:style>
  <w:style w:type="paragraph" w:customStyle="1" w:styleId="320">
    <w:name w:val="Default"/>
    <w:qFormat/>
    <w:uiPriority w:val="0"/>
    <w:pPr>
      <w:widowControl w:val="0"/>
      <w:spacing w:before="0" w:beforeAutospacing="0" w:after="160" w:afterAutospacing="0" w:line="278" w:lineRule="auto"/>
    </w:pPr>
    <w:rPr>
      <w:rFonts w:hint="default" w:ascii="宋体" w:hAnsi="Times New Roman" w:eastAsia="宋体" w:cs="宋体"/>
      <w:color w:val="000000"/>
      <w:sz w:val="24"/>
      <w:szCs w:val="24"/>
    </w:rPr>
  </w:style>
  <w:style w:type="paragraph" w:customStyle="1" w:styleId="321">
    <w:name w:val="列出段落2"/>
    <w:basedOn w:val="1"/>
    <w:qFormat/>
    <w:uiPriority w:val="99"/>
    <w:pPr>
      <w:ind w:firstLine="420"/>
    </w:pPr>
  </w:style>
  <w:style w:type="paragraph" w:customStyle="1" w:styleId="322">
    <w:name w:val="6'"/>
    <w:basedOn w:val="1"/>
    <w:qFormat/>
    <w:uiPriority w:val="0"/>
    <w:pPr>
      <w:spacing w:line="320" w:lineRule="exact"/>
      <w:jc w:val="center"/>
    </w:pPr>
    <w:rPr>
      <w:rFonts w:ascii="Calibri" w:hAnsi="Calibri"/>
      <w:spacing w:val="20"/>
      <w:szCs w:val="22"/>
    </w:rPr>
  </w:style>
  <w:style w:type="paragraph" w:customStyle="1" w:styleId="323">
    <w:name w:val="Char Char Char Char Char Char Char"/>
    <w:basedOn w:val="1"/>
    <w:qFormat/>
    <w:uiPriority w:val="0"/>
    <w:pPr>
      <w:spacing w:line="360" w:lineRule="auto"/>
    </w:pPr>
    <w:rPr>
      <w:sz w:val="24"/>
      <w:szCs w:val="20"/>
    </w:rPr>
  </w:style>
  <w:style w:type="paragraph" w:customStyle="1" w:styleId="324">
    <w:name w:val="2方案格式2"/>
    <w:basedOn w:val="304"/>
    <w:qFormat/>
    <w:uiPriority w:val="0"/>
    <w:pPr>
      <w:numPr>
        <w:ilvl w:val="1"/>
      </w:numPr>
      <w:spacing w:before="50" w:after="50" w:line="240" w:lineRule="auto"/>
      <w:outlineLvl w:val="1"/>
    </w:pPr>
    <w:rPr>
      <w:sz w:val="44"/>
    </w:rPr>
  </w:style>
  <w:style w:type="paragraph" w:customStyle="1" w:styleId="325">
    <w:name w:val="无间隔1"/>
    <w:qFormat/>
    <w:uiPriority w:val="0"/>
    <w:pPr>
      <w:widowControl w:val="0"/>
      <w:spacing w:before="0" w:beforeAutospacing="0" w:after="160" w:afterAutospacing="0" w:line="278" w:lineRule="auto"/>
      <w:jc w:val="both"/>
    </w:pPr>
    <w:rPr>
      <w:rFonts w:hint="default" w:ascii="Calibri" w:hAnsi="Calibri" w:eastAsia="宋体" w:cs="Times New Roman"/>
      <w:sz w:val="21"/>
      <w:szCs w:val="22"/>
    </w:rPr>
  </w:style>
  <w:style w:type="paragraph" w:customStyle="1" w:styleId="326">
    <w:name w:val="文档正文"/>
    <w:basedOn w:val="1"/>
    <w:qFormat/>
    <w:uiPriority w:val="0"/>
    <w:pPr>
      <w:spacing w:line="480" w:lineRule="atLeast"/>
      <w:ind w:firstLine="567"/>
    </w:pPr>
    <w:rPr>
      <w:rFonts w:ascii="Ari" w:eastAsia="Ari"/>
      <w:sz w:val="28"/>
      <w:szCs w:val="20"/>
    </w:rPr>
  </w:style>
  <w:style w:type="paragraph" w:customStyle="1" w:styleId="327">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8">
    <w:name w:val="目录 4_0"/>
    <w:basedOn w:val="220"/>
    <w:next w:val="220"/>
    <w:qFormat/>
    <w:uiPriority w:val="39"/>
    <w:pPr>
      <w:ind w:left="1260"/>
    </w:pPr>
    <w:rPr>
      <w:rFonts w:ascii="Calibri" w:hAnsi="Calibri"/>
    </w:rPr>
  </w:style>
  <w:style w:type="paragraph" w:customStyle="1" w:styleId="329">
    <w:name w:val="目录 3_0"/>
    <w:basedOn w:val="220"/>
    <w:next w:val="220"/>
    <w:qFormat/>
    <w:uiPriority w:val="39"/>
    <w:pPr>
      <w:ind w:left="840"/>
    </w:pPr>
    <w:rPr>
      <w:rFonts w:ascii="Calibri" w:hAnsi="Calibri"/>
    </w:rPr>
  </w:style>
  <w:style w:type="paragraph" w:customStyle="1" w:styleId="330">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31">
    <w:name w:val="1"/>
    <w:basedOn w:val="1"/>
    <w:next w:val="1"/>
    <w:qFormat/>
    <w:uiPriority w:val="0"/>
    <w:rPr>
      <w:rFonts w:ascii="Calibri" w:hAnsi="Calibri"/>
      <w:szCs w:val="22"/>
    </w:rPr>
  </w:style>
  <w:style w:type="paragraph" w:customStyle="1" w:styleId="332">
    <w:name w:val="Blockquote_0"/>
    <w:basedOn w:val="220"/>
    <w:qFormat/>
    <w:uiPriority w:val="0"/>
    <w:pPr>
      <w:spacing w:before="100" w:after="100"/>
      <w:ind w:left="360" w:right="360"/>
      <w:jc w:val="left"/>
    </w:pPr>
    <w:rPr>
      <w:rFonts w:ascii="Calibri" w:hAnsi="Calibri" w:eastAsia="Times New Roman"/>
      <w:sz w:val="24"/>
      <w:szCs w:val="20"/>
    </w:rPr>
  </w:style>
  <w:style w:type="paragraph" w:customStyle="1" w:styleId="333">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35">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6">
    <w:name w:val="p0"/>
    <w:basedOn w:val="1"/>
    <w:qFormat/>
    <w:uiPriority w:val="0"/>
    <w:pPr>
      <w:widowControl/>
    </w:pPr>
    <w:rPr>
      <w:b/>
      <w:bCs/>
      <w:sz w:val="24"/>
    </w:rPr>
  </w:style>
  <w:style w:type="paragraph" w:customStyle="1" w:styleId="337">
    <w:name w:val="Blockquote"/>
    <w:basedOn w:val="1"/>
    <w:qFormat/>
    <w:uiPriority w:val="0"/>
    <w:pPr>
      <w:spacing w:before="100" w:after="100"/>
      <w:ind w:left="360" w:right="360"/>
      <w:jc w:val="left"/>
    </w:pPr>
    <w:rPr>
      <w:rFonts w:ascii="Calibri" w:hAnsi="Calibri"/>
      <w:sz w:val="24"/>
      <w:szCs w:val="22"/>
    </w:rPr>
  </w:style>
  <w:style w:type="paragraph" w:customStyle="1" w:styleId="338">
    <w:name w:val="3方案格式3"/>
    <w:basedOn w:val="324"/>
    <w:qFormat/>
    <w:uiPriority w:val="0"/>
    <w:pPr>
      <w:numPr>
        <w:ilvl w:val="2"/>
      </w:numPr>
      <w:outlineLvl w:val="2"/>
    </w:pPr>
    <w:rPr>
      <w:sz w:val="32"/>
    </w:rPr>
  </w:style>
  <w:style w:type="paragraph" w:customStyle="1" w:styleId="339">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0">
    <w:name w:val="标题2"/>
    <w:basedOn w:val="3"/>
    <w:next w:val="18"/>
    <w:qFormat/>
    <w:uiPriority w:val="0"/>
    <w:pPr>
      <w:spacing w:before="156" w:after="156" w:line="360" w:lineRule="auto"/>
    </w:pPr>
    <w:rPr>
      <w:bCs w:val="0"/>
      <w:sz w:val="24"/>
    </w:rPr>
  </w:style>
  <w:style w:type="paragraph" w:customStyle="1" w:styleId="341">
    <w:name w:val="普通正文"/>
    <w:basedOn w:val="1"/>
    <w:qFormat/>
    <w:uiPriority w:val="0"/>
    <w:pPr>
      <w:spacing w:before="120" w:after="120" w:line="360" w:lineRule="auto"/>
      <w:ind w:firstLine="480"/>
      <w:jc w:val="left"/>
    </w:pPr>
    <w:rPr>
      <w:rFonts w:ascii="Arial" w:hAnsi="Arial"/>
      <w:sz w:val="24"/>
    </w:rPr>
  </w:style>
  <w:style w:type="paragraph" w:customStyle="1" w:styleId="342">
    <w:name w:val="正文11"/>
    <w:qFormat/>
    <w:uiPriority w:val="0"/>
    <w:pPr>
      <w:spacing w:before="0" w:beforeAutospacing="0" w:after="160" w:afterAutospacing="0" w:line="278" w:lineRule="auto"/>
    </w:pPr>
    <w:rPr>
      <w:rFonts w:hint="default" w:ascii="Calibri" w:hAnsi="Calibri" w:eastAsia="宋体" w:cs="Calibri"/>
      <w:sz w:val="24"/>
      <w:szCs w:val="24"/>
    </w:rPr>
  </w:style>
  <w:style w:type="paragraph" w:customStyle="1" w:styleId="343">
    <w:name w:val="正文2"/>
    <w:qFormat/>
    <w:uiPriority w:val="0"/>
    <w:pPr>
      <w:spacing w:before="0" w:beforeAutospacing="0" w:after="160" w:afterAutospacing="0" w:line="278" w:lineRule="auto"/>
    </w:pPr>
    <w:rPr>
      <w:rFonts w:hint="default" w:ascii="Times New Roman" w:hAnsi="Times New Roman" w:eastAsia="微软雅黑" w:cs="Times New Roman"/>
      <w:sz w:val="24"/>
      <w:szCs w:val="24"/>
    </w:rPr>
  </w:style>
  <w:style w:type="paragraph" w:customStyle="1" w:styleId="344">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45">
    <w:name w:val="纯文本2"/>
    <w:basedOn w:val="1"/>
    <w:qFormat/>
    <w:uiPriority w:val="0"/>
    <w:pPr>
      <w:jc w:val="left"/>
    </w:pPr>
    <w:rPr>
      <w:rFonts w:hint="eastAsia" w:ascii="宋体" w:hAnsi="宋体" w:cs="Courier New"/>
      <w:sz w:val="24"/>
      <w:szCs w:val="20"/>
      <w:lang w:bidi="hi-IN"/>
    </w:rPr>
  </w:style>
  <w:style w:type="character" w:customStyle="1" w:styleId="346">
    <w:name w:val="表格文字 字符"/>
    <w:link w:val="315"/>
    <w:qFormat/>
    <w:uiPriority w:val="0"/>
    <w:rPr>
      <w:rFonts w:ascii="Calibri" w:hAnsi="Calibri" w:eastAsia="宋体" w:cs="Times New Roman"/>
      <w:sz w:val="21"/>
      <w:szCs w:val="22"/>
    </w:rPr>
  </w:style>
  <w:style w:type="paragraph" w:customStyle="1" w:styleId="347">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8">
    <w:name w:val="标题二级"/>
    <w:basedOn w:val="1"/>
    <w:qFormat/>
    <w:uiPriority w:val="0"/>
    <w:pPr>
      <w:ind w:firstLine="412"/>
    </w:pPr>
    <w:rPr>
      <w:rFonts w:ascii="宋体" w:hAnsi="宋体"/>
      <w:szCs w:val="21"/>
    </w:rPr>
  </w:style>
  <w:style w:type="paragraph" w:customStyle="1" w:styleId="349">
    <w:name w:val="修订2"/>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50">
    <w:name w:val="修订3"/>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character" w:customStyle="1" w:styleId="351">
    <w:name w:val="无"/>
    <w:qFormat/>
    <w:uiPriority w:val="0"/>
  </w:style>
  <w:style w:type="paragraph" w:customStyle="1" w:styleId="352">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54">
    <w:name w:val="_Style 1931"/>
    <w:basedOn w:val="1"/>
    <w:next w:val="207"/>
    <w:qFormat/>
    <w:uiPriority w:val="34"/>
    <w:pPr>
      <w:ind w:firstLine="420"/>
    </w:pPr>
  </w:style>
  <w:style w:type="paragraph" w:customStyle="1" w:styleId="355">
    <w:name w:val="段落"/>
    <w:basedOn w:val="1"/>
    <w:qFormat/>
    <w:uiPriority w:val="0"/>
    <w:pPr>
      <w:spacing w:line="460" w:lineRule="exact"/>
      <w:ind w:firstLine="480"/>
    </w:pPr>
    <w:rPr>
      <w:rFonts w:ascii="Calibri" w:hAnsi="Calibri"/>
      <w:sz w:val="24"/>
      <w:szCs w:val="20"/>
    </w:rPr>
  </w:style>
  <w:style w:type="paragraph" w:customStyle="1" w:styleId="356">
    <w:name w:val="首行缩进"/>
    <w:basedOn w:val="1"/>
    <w:qFormat/>
    <w:uiPriority w:val="0"/>
    <w:pPr>
      <w:spacing w:line="360" w:lineRule="auto"/>
      <w:ind w:firstLine="480"/>
    </w:pPr>
    <w:rPr>
      <w:rFonts w:ascii="宋体" w:hAnsi="宋体" w:cs="宋体"/>
      <w:sz w:val="24"/>
    </w:rPr>
  </w:style>
  <w:style w:type="paragraph" w:customStyle="1" w:styleId="357">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358">
    <w:name w:val="修订4"/>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59">
    <w:name w:val="正文 A"/>
    <w:next w:val="18"/>
    <w:qFormat/>
    <w:uiPriority w:val="0"/>
    <w:pPr>
      <w:widowControl w:val="0"/>
      <w:spacing w:before="0" w:beforeAutospacing="0" w:after="160" w:afterAutospacing="0" w:line="278" w:lineRule="auto"/>
      <w:jc w:val="both"/>
    </w:pPr>
    <w:rPr>
      <w:rFonts w:hint="default" w:ascii="Times New Roman" w:hAnsi="Times New Roman" w:eastAsia="ヒラギノ角ゴ Pro W3" w:cs="Times New Roman"/>
      <w:color w:val="000000"/>
      <w:sz w:val="21"/>
    </w:rPr>
  </w:style>
  <w:style w:type="paragraph" w:customStyle="1" w:styleId="360">
    <w:name w:val="无间距"/>
    <w:qFormat/>
    <w:uiPriority w:val="0"/>
    <w:pPr>
      <w:widowControl w:val="0"/>
      <w:spacing w:before="0" w:beforeAutospacing="0" w:after="160" w:afterAutospacing="0" w:line="278" w:lineRule="auto"/>
      <w:jc w:val="both"/>
    </w:pPr>
    <w:rPr>
      <w:rFonts w:hint="default" w:ascii="Calibri" w:hAnsi="Calibri" w:eastAsia="宋体" w:cs="Times New Roman"/>
      <w:sz w:val="21"/>
      <w:szCs w:val="22"/>
    </w:rPr>
  </w:style>
  <w:style w:type="paragraph" w:customStyle="1" w:styleId="361">
    <w:name w:val="*正文"/>
    <w:basedOn w:val="1"/>
    <w:qFormat/>
    <w:uiPriority w:val="0"/>
    <w:pPr>
      <w:widowControl/>
      <w:spacing w:line="360" w:lineRule="auto"/>
    </w:pPr>
    <w:rPr>
      <w:rFonts w:ascii="仿宋_GB2312" w:eastAsia="仿宋_GB2312"/>
      <w:sz w:val="24"/>
      <w:szCs w:val="28"/>
    </w:rPr>
  </w:style>
  <w:style w:type="table" w:customStyle="1" w:styleId="362">
    <w:name w:val="Table Normal"/>
    <w:semiHidden/>
    <w:unhideWhenUsed/>
    <w:qFormat/>
    <w:uiPriority w:val="0"/>
    <w:tblPr>
      <w:tblCellMar>
        <w:top w:w="0" w:type="dxa"/>
        <w:left w:w="0" w:type="dxa"/>
        <w:bottom w:w="0" w:type="dxa"/>
        <w:right w:w="0" w:type="dxa"/>
      </w:tblCellMar>
    </w:tblPr>
  </w:style>
  <w:style w:type="character" w:customStyle="1" w:styleId="363">
    <w:name w:val="form-textarea-print1"/>
    <w:qFormat/>
    <w:uiPriority w:val="0"/>
    <w:rPr>
      <w:rFonts w:hint="default" w:ascii="微软雅黑" w:hAnsi="微软雅黑" w:eastAsia="宋体" w:cs="Times New Roman"/>
      <w:sz w:val="18"/>
      <w:szCs w:val="18"/>
    </w:rPr>
  </w:style>
  <w:style w:type="character" w:customStyle="1" w:styleId="364">
    <w:name w:val="cke_colorbox"/>
    <w:basedOn w:val="50"/>
    <w:qFormat/>
    <w:uiPriority w:val="0"/>
  </w:style>
  <w:style w:type="character" w:customStyle="1" w:styleId="365">
    <w:name w:val="cke_colorbox1"/>
    <w:basedOn w:val="50"/>
    <w:qFormat/>
    <w:uiPriority w:val="0"/>
  </w:style>
  <w:style w:type="character" w:customStyle="1" w:styleId="366">
    <w:name w:val="pwdtips_alert"/>
    <w:basedOn w:val="50"/>
    <w:qFormat/>
    <w:uiPriority w:val="0"/>
    <w:rPr>
      <w:shd w:val="clear" w:color="auto" w:fill="FFEAA6"/>
    </w:rPr>
  </w:style>
  <w:style w:type="character" w:customStyle="1" w:styleId="367">
    <w:name w:val="l-btn-left"/>
    <w:basedOn w:val="50"/>
    <w:qFormat/>
    <w:uiPriority w:val="0"/>
  </w:style>
  <w:style w:type="character" w:customStyle="1" w:styleId="368">
    <w:name w:val="l-btn-left1"/>
    <w:basedOn w:val="50"/>
    <w:qFormat/>
    <w:uiPriority w:val="0"/>
  </w:style>
  <w:style w:type="character" w:customStyle="1" w:styleId="369">
    <w:name w:val="l-btn-left2"/>
    <w:basedOn w:val="50"/>
    <w:qFormat/>
    <w:uiPriority w:val="0"/>
  </w:style>
  <w:style w:type="character" w:customStyle="1" w:styleId="370">
    <w:name w:val="l-btn-left3"/>
    <w:basedOn w:val="50"/>
    <w:qFormat/>
    <w:uiPriority w:val="0"/>
  </w:style>
  <w:style w:type="character" w:customStyle="1" w:styleId="371">
    <w:name w:val="combo2"/>
    <w:basedOn w:val="50"/>
    <w:qFormat/>
    <w:uiPriority w:val="0"/>
  </w:style>
  <w:style w:type="character" w:customStyle="1" w:styleId="372">
    <w:name w:val="l-btn-empty"/>
    <w:basedOn w:val="50"/>
    <w:qFormat/>
    <w:uiPriority w:val="0"/>
  </w:style>
  <w:style w:type="character" w:customStyle="1" w:styleId="373">
    <w:name w:val="red"/>
    <w:basedOn w:val="50"/>
    <w:qFormat/>
    <w:uiPriority w:val="0"/>
    <w:rPr>
      <w:color w:val="FF0000"/>
    </w:rPr>
  </w:style>
  <w:style w:type="character" w:customStyle="1" w:styleId="374">
    <w:name w:val="l-btn-text"/>
    <w:basedOn w:val="50"/>
    <w:qFormat/>
    <w:uiPriority w:val="0"/>
    <w:rPr>
      <w:color w:val="1864AC"/>
      <w:sz w:val="14"/>
      <w:szCs w:val="14"/>
    </w:rPr>
  </w:style>
  <w:style w:type="character" w:customStyle="1" w:styleId="375">
    <w:name w:val="l-btn-text1"/>
    <w:basedOn w:val="50"/>
    <w:qFormat/>
    <w:uiPriority w:val="0"/>
  </w:style>
  <w:style w:type="character" w:customStyle="1" w:styleId="376">
    <w:name w:val="green"/>
    <w:basedOn w:val="50"/>
    <w:qFormat/>
    <w:uiPriority w:val="0"/>
    <w:rPr>
      <w:color w:val="00A521"/>
    </w:rPr>
  </w:style>
  <w:style w:type="character" w:customStyle="1" w:styleId="377">
    <w:name w:val="valueinfo"/>
    <w:basedOn w:val="50"/>
    <w:qFormat/>
    <w:uiPriority w:val="0"/>
    <w:rPr>
      <w:color w:val="666666"/>
    </w:rPr>
  </w:style>
  <w:style w:type="character" w:customStyle="1" w:styleId="378">
    <w:name w:val="tree-file2"/>
    <w:basedOn w:val="50"/>
    <w:qFormat/>
    <w:uiPriority w:val="0"/>
  </w:style>
  <w:style w:type="character" w:customStyle="1" w:styleId="379">
    <w:name w:val="vainfo"/>
    <w:basedOn w:val="50"/>
    <w:qFormat/>
    <w:uiPriority w:val="0"/>
    <w:rPr>
      <w:color w:val="FF0000"/>
      <w:shd w:val="clear" w:color="auto" w:fill="FFE4E4"/>
    </w:rPr>
  </w:style>
  <w:style w:type="character" w:customStyle="1" w:styleId="380">
    <w:name w:val="pwdtips_ok"/>
    <w:basedOn w:val="50"/>
    <w:qFormat/>
    <w:uiPriority w:val="0"/>
    <w:rPr>
      <w:shd w:val="clear" w:color="auto" w:fill="B4FFA6"/>
    </w:rPr>
  </w:style>
  <w:style w:type="character" w:customStyle="1" w:styleId="381">
    <w:name w:val="pwdtips_error"/>
    <w:basedOn w:val="50"/>
    <w:qFormat/>
    <w:uiPriority w:val="0"/>
    <w:rPr>
      <w:shd w:val="clear" w:color="auto" w:fill="FFA6A6"/>
    </w:rPr>
  </w:style>
  <w:style w:type="character" w:customStyle="1" w:styleId="382">
    <w:name w:val="tree-title4"/>
    <w:basedOn w:val="50"/>
    <w:qFormat/>
    <w:uiPriority w:val="0"/>
    <w:rPr>
      <w:color w:val="1864AC"/>
    </w:rPr>
  </w:style>
  <w:style w:type="character" w:customStyle="1" w:styleId="383">
    <w:name w:val="tree-title5"/>
    <w:basedOn w:val="50"/>
    <w:qFormat/>
    <w:uiPriority w:val="0"/>
    <w:rPr>
      <w:color w:val="FFFFFF"/>
      <w:shd w:val="clear" w:color="auto" w:fill="3366CC"/>
    </w:rPr>
  </w:style>
  <w:style w:type="character" w:customStyle="1" w:styleId="384">
    <w:name w:val="info"/>
    <w:basedOn w:val="50"/>
    <w:qFormat/>
    <w:uiPriority w:val="0"/>
  </w:style>
  <w:style w:type="character" w:customStyle="1" w:styleId="385">
    <w:name w:val="topic"/>
    <w:basedOn w:val="50"/>
    <w:qFormat/>
    <w:uiPriority w:val="0"/>
    <w:rPr>
      <w:color w:val="FF0000"/>
    </w:rPr>
  </w:style>
  <w:style w:type="paragraph" w:customStyle="1" w:styleId="386">
    <w:name w:val="_Style 213"/>
    <w:basedOn w:val="1"/>
    <w:next w:val="207"/>
    <w:qFormat/>
    <w:uiPriority w:val="34"/>
    <w:pPr>
      <w:spacing w:line="360" w:lineRule="atLeast"/>
      <w:ind w:firstLine="420"/>
      <w:jc w:val="left"/>
    </w:pPr>
    <w:rPr>
      <w:rFonts w:ascii="Arial" w:hAnsi="Arial"/>
      <w:sz w:val="24"/>
    </w:rPr>
  </w:style>
  <w:style w:type="paragraph" w:customStyle="1" w:styleId="387">
    <w:name w:val="修订5"/>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88">
    <w:name w:val="修订6"/>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character" w:customStyle="1" w:styleId="389">
    <w:name w:val="NormalCharacter"/>
    <w:semiHidden/>
    <w:qFormat/>
    <w:uiPriority w:val="0"/>
    <w:rPr>
      <w:rFonts w:ascii="Calibri" w:hAnsi="Calibri" w:eastAsia="宋体"/>
      <w:sz w:val="21"/>
      <w:szCs w:val="24"/>
      <w:lang w:val="en-US" w:eastAsia="zh-CN" w:bidi="ar-SA"/>
    </w:rPr>
  </w:style>
  <w:style w:type="paragraph" w:styleId="390">
    <w:name w:val="No Spacing"/>
    <w:qFormat/>
    <w:uiPriority w:val="1"/>
    <w:pPr>
      <w:widowControl w:val="0"/>
      <w:spacing w:before="0" w:beforeAutospacing="0" w:after="160" w:afterAutospacing="0" w:line="278" w:lineRule="auto"/>
      <w:jc w:val="both"/>
    </w:pPr>
    <w:rPr>
      <w:rFonts w:hint="default" w:ascii="Times New Roman" w:hAnsi="Times New Roman" w:eastAsia="宋体" w:cs="Times New Roman"/>
      <w:sz w:val="21"/>
    </w:rPr>
  </w:style>
  <w:style w:type="paragraph" w:customStyle="1" w:styleId="391">
    <w:name w:val="列表段落2"/>
    <w:basedOn w:val="1"/>
    <w:qFormat/>
    <w:uiPriority w:val="0"/>
    <w:pPr>
      <w:ind w:firstLine="420"/>
    </w:pPr>
    <w:rPr>
      <w:szCs w:val="21"/>
    </w:rPr>
  </w:style>
  <w:style w:type="paragraph" w:customStyle="1" w:styleId="392">
    <w:name w:val="正文_9_0"/>
    <w:basedOn w:val="1"/>
    <w:qFormat/>
    <w:uiPriority w:val="0"/>
    <w:rPr>
      <w:szCs w:val="21"/>
    </w:rPr>
  </w:style>
  <w:style w:type="paragraph" w:customStyle="1" w:styleId="393">
    <w:name w:val="p15"/>
    <w:basedOn w:val="1"/>
    <w:qFormat/>
    <w:uiPriority w:val="0"/>
    <w:pPr>
      <w:widowControl/>
      <w:jc w:val="left"/>
    </w:pPr>
    <w:rPr>
      <w:rFonts w:ascii="黑体" w:hAnsi="黑体" w:eastAsia="黑体" w:cs="宋体"/>
      <w:color w:val="000000"/>
      <w:sz w:val="24"/>
    </w:rPr>
  </w:style>
  <w:style w:type="paragraph" w:customStyle="1" w:styleId="394">
    <w:name w:val="a正文"/>
    <w:basedOn w:val="1"/>
    <w:qFormat/>
    <w:uiPriority w:val="0"/>
    <w:rPr>
      <w:color w:val="000000"/>
      <w:sz w:val="24"/>
      <w:szCs w:val="28"/>
      <w:lang w:val="zh-CN" w:bidi="zh-CN"/>
    </w:rPr>
  </w:style>
  <w:style w:type="paragraph" w:customStyle="1" w:styleId="395">
    <w:name w:val="标题 5（有编号）（绿盟科技）"/>
    <w:next w:val="396"/>
    <w:qFormat/>
    <w:uiPriority w:val="0"/>
    <w:pPr>
      <w:keepNext/>
      <w:keepLines/>
      <w:widowControl w:val="0"/>
      <w:numPr>
        <w:ilvl w:val="4"/>
        <w:numId w:val="3"/>
      </w:numPr>
      <w:spacing w:before="280" w:beforeAutospacing="0" w:after="156" w:afterAutospacing="0" w:line="377" w:lineRule="auto"/>
      <w:outlineLvl w:val="4"/>
    </w:pPr>
    <w:rPr>
      <w:rFonts w:hint="default" w:ascii="Arial" w:hAnsi="Arial" w:eastAsia="黑体" w:cs="Times New Roman"/>
      <w:b/>
      <w:sz w:val="24"/>
      <w:szCs w:val="28"/>
    </w:rPr>
  </w:style>
  <w:style w:type="paragraph" w:customStyle="1" w:styleId="396">
    <w:name w:val="正文（绿盟科技）"/>
    <w:qFormat/>
    <w:uiPriority w:val="0"/>
    <w:pPr>
      <w:spacing w:before="0" w:beforeAutospacing="0" w:after="160" w:afterAutospacing="0" w:line="300" w:lineRule="auto"/>
    </w:pPr>
    <w:rPr>
      <w:rFonts w:hint="default" w:ascii="Arial" w:hAnsi="Arial" w:eastAsia="宋体" w:cs="黑体"/>
      <w:sz w:val="21"/>
      <w:szCs w:val="21"/>
    </w:rPr>
  </w:style>
  <w:style w:type="paragraph" w:customStyle="1" w:styleId="397">
    <w:name w:val="修订7"/>
    <w:hidden/>
    <w:unhideWhenUsed/>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character" w:customStyle="1" w:styleId="398">
    <w:name w:val="font01"/>
    <w:qFormat/>
    <w:uiPriority w:val="0"/>
    <w:rPr>
      <w:rFonts w:hint="eastAsia" w:ascii="宋体" w:hAnsi="宋体" w:eastAsia="宋体" w:cs="宋体"/>
      <w:color w:val="000000"/>
      <w:sz w:val="22"/>
      <w:szCs w:val="22"/>
      <w:u w:val="none"/>
    </w:rPr>
  </w:style>
  <w:style w:type="paragraph" w:customStyle="1" w:styleId="399">
    <w:name w:val="Revision"/>
    <w:hidden/>
    <w:unhideWhenUsed/>
    <w:qFormat/>
    <w:uiPriority w:val="99"/>
    <w:pPr>
      <w:spacing w:before="0" w:beforeAutospacing="0" w:after="0" w:afterAutospacing="0" w:line="240" w:lineRule="auto"/>
    </w:pPr>
    <w:rPr>
      <w:rFonts w:hint="default" w:ascii="Times New Roman" w:hAnsi="Times New Roman" w:eastAsia="宋体" w:cs="Times New Roman"/>
      <w:sz w:val="21"/>
      <w:szCs w:val="24"/>
    </w:rPr>
  </w:style>
  <w:style w:type="paragraph" w:customStyle="1" w:styleId="400">
    <w:name w:val="标题 21"/>
    <w:basedOn w:val="1"/>
    <w:next w:val="1"/>
    <w:qFormat/>
    <w:uiPriority w:val="9"/>
    <w:pPr>
      <w:keepNext/>
      <w:keepLines/>
      <w:numPr>
        <w:ilvl w:val="1"/>
        <w:numId w:val="1"/>
      </w:numPr>
      <w:spacing w:before="260" w:after="260" w:line="415" w:lineRule="auto"/>
      <w:outlineLvl w:val="1"/>
    </w:pPr>
    <w:rPr>
      <w:rFonts w:ascii="Cambria" w:hAnsi="Cambria"/>
      <w:b/>
      <w:bCs/>
      <w:sz w:val="32"/>
      <w:szCs w:val="32"/>
    </w:rPr>
  </w:style>
  <w:style w:type="character" w:customStyle="1" w:styleId="401">
    <w:name w:val="font81"/>
    <w:basedOn w:val="50"/>
    <w:qFormat/>
    <w:uiPriority w:val="0"/>
    <w:rPr>
      <w:rFonts w:hint="eastAsia" w:ascii="宋体" w:hAnsi="宋体" w:eastAsia="宋体" w:cs="宋体"/>
      <w:b/>
      <w:bCs/>
      <w:color w:val="000000"/>
      <w:sz w:val="22"/>
      <w:szCs w:val="22"/>
      <w:u w:val="none"/>
    </w:rPr>
  </w:style>
  <w:style w:type="character" w:customStyle="1" w:styleId="402">
    <w:name w:val="font141"/>
    <w:basedOn w:val="50"/>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51</Pages>
  <Words>15860</Words>
  <Characters>16949</Characters>
  <TotalTime>10</TotalTime>
  <ScaleCrop>false</ScaleCrop>
  <LinksUpToDate>false</LinksUpToDate>
  <CharactersWithSpaces>17061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2025-04-30T04:47:00Z</dcterms:created>
  <dc:creator>Lenovo User</dc:creator>
  <cp:lastModifiedBy>艾小咩</cp:lastModifiedBy>
  <cp:lastPrinted>2025-12-24T00:45:00Z</cp:lastPrinted>
  <dcterms:modified xsi:type="dcterms:W3CDTF">2026-02-28T00:20:24Z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F568F4873E68419B93B2289333D1F80A_13</vt:lpwstr>
  </property>
  <property fmtid="{D5CDD505-2E9C-101B-9397-08002B2CF9AE}" pid="4" name="KSOTemplateDocerSaveRecord">
    <vt:lpwstr>eyJoZGlkIjoiZTMwY2IxM2ZmNTI2NDJhZWNlYWU3MTgzZGI5YWRmOTYiLCJ1c2VySWQiOiIyNjYxMzk2ODMifQ==</vt:lpwstr>
  </property>
</Properties>
</file>