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47EB7">
      <w:pPr>
        <w:tabs>
          <w:tab w:val="left" w:pos="315"/>
        </w:tabs>
        <w:wordWrap w:val="0"/>
        <w:spacing w:line="360" w:lineRule="auto"/>
        <w:jc w:val="center"/>
        <w:outlineLvl w:val="0"/>
        <w:rPr>
          <w:rStyle w:val="30"/>
          <w:rFonts w:ascii="宋体" w:hAnsi="宋体" w:eastAsia="宋体" w:cs="宋体"/>
          <w:sz w:val="48"/>
          <w:szCs w:val="48"/>
        </w:rPr>
      </w:pPr>
      <w:bookmarkStart w:id="0" w:name="_Toc409438747"/>
      <w:bookmarkStart w:id="1" w:name="_Toc388026587"/>
      <w:r>
        <w:rPr>
          <w:rStyle w:val="30"/>
          <w:rFonts w:hint="eastAsia" w:ascii="宋体" w:hAnsi="宋体" w:eastAsia="宋体" w:cs="宋体"/>
          <w:sz w:val="48"/>
          <w:szCs w:val="48"/>
        </w:rPr>
        <w:t>政府采购合同</w:t>
      </w:r>
    </w:p>
    <w:bookmarkEnd w:id="0"/>
    <w:bookmarkEnd w:id="1"/>
    <w:p w14:paraId="0AED011D">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甲方：苏州大学附属第一医院</w:t>
      </w:r>
    </w:p>
    <w:p w14:paraId="3816CE45">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住所地：苏州市姑苏区平海路899号</w:t>
      </w:r>
    </w:p>
    <w:p w14:paraId="7C1F1B98">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邮编：215031</w:t>
      </w:r>
    </w:p>
    <w:p w14:paraId="0FCA377D">
      <w:pPr>
        <w:spacing w:line="360" w:lineRule="auto"/>
        <w:ind w:firstLine="480" w:firstLineChars="200"/>
        <w:jc w:val="left"/>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联系人：</w:t>
      </w:r>
      <w:r>
        <w:rPr>
          <w:rFonts w:hint="eastAsia" w:ascii="宋体" w:hAnsi="宋体" w:eastAsia="宋体" w:cs="宋体"/>
          <w:color w:val="000000"/>
          <w:kern w:val="0"/>
          <w:sz w:val="24"/>
          <w:szCs w:val="24"/>
          <w:highlight w:val="none"/>
          <w:lang w:val="en-US" w:eastAsia="zh-CN"/>
        </w:rPr>
        <w:t>吴思雨</w:t>
      </w:r>
    </w:p>
    <w:p w14:paraId="7E485085">
      <w:pPr>
        <w:spacing w:line="360" w:lineRule="auto"/>
        <w:ind w:firstLine="480" w:firstLineChars="200"/>
        <w:jc w:val="left"/>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电话：</w:t>
      </w:r>
      <w:r>
        <w:rPr>
          <w:rFonts w:hint="eastAsia" w:ascii="宋体" w:hAnsi="宋体" w:eastAsia="宋体" w:cs="宋体"/>
          <w:lang w:val="en-US" w:eastAsia="zh-CN"/>
        </w:rPr>
        <w:t>19011475412</w:t>
      </w:r>
    </w:p>
    <w:p w14:paraId="5D0ADDC0">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p>
    <w:p w14:paraId="56E960C3">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r>
        <w:rPr>
          <w:rFonts w:hint="eastAsia" w:ascii="宋体" w:hAnsi="宋体" w:eastAsia="宋体" w:cs="宋体"/>
          <w:color w:val="000000"/>
          <w:kern w:val="0"/>
          <w:sz w:val="24"/>
          <w:szCs w:val="24"/>
          <w:highlight w:val="none"/>
          <w:lang w:val="zh-CN" w:eastAsia="zh-CN"/>
        </w:rPr>
        <w:t>乙方：苏州恒医信智能科技有限公司</w:t>
      </w:r>
    </w:p>
    <w:p w14:paraId="0A5F9553">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住所地：苏州市相城区元和街道聚茂街185号活力商务广场A幢4层403A-1</w:t>
      </w:r>
    </w:p>
    <w:p w14:paraId="0FAE218B">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邮编：</w:t>
      </w:r>
      <w:r>
        <w:rPr>
          <w:rFonts w:hint="eastAsia" w:ascii="宋体" w:hAnsi="宋体" w:cs="宋体"/>
          <w:color w:val="000000"/>
          <w:kern w:val="0"/>
          <w:sz w:val="24"/>
          <w:szCs w:val="24"/>
          <w:highlight w:val="none"/>
          <w:lang w:val="en-US" w:eastAsia="zh-CN"/>
        </w:rPr>
        <w:t>215000</w:t>
      </w:r>
    </w:p>
    <w:p w14:paraId="39C4E5EB">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联系人：</w:t>
      </w:r>
      <w:r>
        <w:rPr>
          <w:rFonts w:hint="eastAsia" w:ascii="宋体" w:hAnsi="宋体" w:cs="宋体"/>
          <w:color w:val="000000"/>
          <w:kern w:val="0"/>
          <w:sz w:val="24"/>
          <w:szCs w:val="24"/>
          <w:highlight w:val="none"/>
          <w:lang w:val="en-US" w:eastAsia="zh-CN"/>
        </w:rPr>
        <w:t>周申</w:t>
      </w:r>
    </w:p>
    <w:p w14:paraId="2E63E79F">
      <w:pPr>
        <w:spacing w:line="360" w:lineRule="auto"/>
        <w:ind w:firstLine="480" w:firstLineChars="200"/>
        <w:jc w:val="left"/>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zh-CN" w:eastAsia="zh-CN"/>
        </w:rPr>
        <w:t>电话：</w:t>
      </w:r>
      <w:r>
        <w:rPr>
          <w:rFonts w:hint="eastAsia" w:ascii="宋体" w:hAnsi="宋体" w:cs="宋体"/>
          <w:color w:val="000000"/>
          <w:kern w:val="0"/>
          <w:sz w:val="24"/>
          <w:szCs w:val="24"/>
          <w:highlight w:val="none"/>
          <w:lang w:val="en-US" w:eastAsia="zh-CN"/>
        </w:rPr>
        <w:t>18662295275</w:t>
      </w:r>
    </w:p>
    <w:p w14:paraId="2C5EAC0D">
      <w:pPr>
        <w:wordWrap w:val="0"/>
        <w:spacing w:line="360" w:lineRule="auto"/>
        <w:ind w:firstLine="480" w:firstLineChars="200"/>
        <w:rPr>
          <w:rFonts w:hint="eastAsia" w:asciiTheme="minorEastAsia" w:hAnsiTheme="minorEastAsia" w:eastAsiaTheme="minorEastAsia" w:cstheme="minorEastAsia"/>
          <w:szCs w:val="24"/>
        </w:rPr>
      </w:pPr>
    </w:p>
    <w:p w14:paraId="24E1239B">
      <w:pPr>
        <w:wordWrap w:val="0"/>
        <w:spacing w:line="360" w:lineRule="auto"/>
        <w:ind w:firstLine="480" w:firstLineChars="200"/>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根据《中华人民共和国民法典》及有关法律法规的规定，和</w:t>
      </w:r>
      <w:r>
        <w:rPr>
          <w:rFonts w:hint="eastAsia" w:asciiTheme="minorEastAsia" w:hAnsiTheme="minorEastAsia" w:eastAsiaTheme="minorEastAsia" w:cstheme="minorEastAsia"/>
          <w:szCs w:val="24"/>
          <w:u w:val="single"/>
        </w:rPr>
        <w:t xml:space="preserve"> </w:t>
      </w:r>
      <w:bookmarkStart w:id="2" w:name="_Hlk142744623"/>
      <w:r>
        <w:rPr>
          <w:rFonts w:hint="eastAsia" w:asciiTheme="minorEastAsia" w:hAnsiTheme="minorEastAsia" w:eastAsiaTheme="minorEastAsia" w:cstheme="minorEastAsia"/>
          <w:szCs w:val="24"/>
          <w:u w:val="single"/>
          <w:lang w:eastAsia="zh-CN"/>
        </w:rPr>
        <w:t>JSZC-320000-JZCZ-G2025-0030</w:t>
      </w:r>
      <w:r>
        <w:rPr>
          <w:rFonts w:hint="eastAsia" w:asciiTheme="minorEastAsia" w:hAnsiTheme="minorEastAsia" w:eastAsiaTheme="minorEastAsia" w:cstheme="minorEastAsia"/>
          <w:szCs w:val="24"/>
          <w:u w:val="single"/>
        </w:rPr>
        <w:t xml:space="preserve"> </w:t>
      </w:r>
      <w:bookmarkEnd w:id="2"/>
      <w:r>
        <w:rPr>
          <w:rFonts w:hint="eastAsia" w:asciiTheme="minorEastAsia" w:hAnsiTheme="minorEastAsia" w:eastAsiaTheme="minorEastAsia" w:cstheme="minorEastAsia"/>
          <w:szCs w:val="24"/>
        </w:rPr>
        <w:t>号的招标文件及乙方的投标文件和中标通知书、乙方在招投标过程中所作的其它承诺、声明、书面澄清等，甲乙双方就甲方聘用乙方从事</w:t>
      </w:r>
      <w:r>
        <w:rPr>
          <w:rFonts w:hint="eastAsia" w:asciiTheme="minorEastAsia" w:hAnsiTheme="minorEastAsia" w:eastAsiaTheme="minorEastAsia" w:cstheme="minorEastAsia"/>
          <w:szCs w:val="24"/>
          <w:u w:val="single"/>
          <w:lang w:eastAsia="zh-CN"/>
        </w:rPr>
        <w:t>通用办公设备及服务台运维服务（驻场）</w:t>
      </w:r>
      <w:r>
        <w:rPr>
          <w:rFonts w:hint="eastAsia" w:asciiTheme="minorEastAsia" w:hAnsiTheme="minorEastAsia" w:eastAsiaTheme="minorEastAsia" w:cstheme="minorEastAsia"/>
          <w:szCs w:val="24"/>
        </w:rPr>
        <w:t>工作，签订本合同书。</w:t>
      </w:r>
    </w:p>
    <w:p w14:paraId="194FD087">
      <w:pPr>
        <w:wordWrap w:val="0"/>
        <w:spacing w:line="360" w:lineRule="auto"/>
        <w:ind w:firstLine="482" w:firstLineChars="200"/>
        <w:rPr>
          <w:rFonts w:hint="eastAsia" w:asciiTheme="minorEastAsia" w:hAnsiTheme="minorEastAsia" w:eastAsiaTheme="minorEastAsia" w:cstheme="minorEastAsia"/>
          <w:b/>
          <w:bCs/>
          <w:szCs w:val="24"/>
          <w:lang w:eastAsia="zh-CN"/>
        </w:rPr>
      </w:pPr>
      <w:r>
        <w:rPr>
          <w:rFonts w:hint="eastAsia" w:asciiTheme="minorEastAsia" w:hAnsiTheme="minorEastAsia" w:eastAsiaTheme="minorEastAsia" w:cstheme="minorEastAsia"/>
          <w:b/>
          <w:bCs/>
          <w:szCs w:val="24"/>
          <w:lang w:val="en-US" w:eastAsia="zh-CN"/>
        </w:rPr>
        <w:t>一</w:t>
      </w:r>
      <w:r>
        <w:rPr>
          <w:rFonts w:hint="eastAsia" w:asciiTheme="minorEastAsia" w:hAnsiTheme="minorEastAsia" w:eastAsiaTheme="minorEastAsia" w:cstheme="minorEastAsia"/>
          <w:b/>
          <w:bCs/>
          <w:szCs w:val="24"/>
        </w:rPr>
        <w:t>、合同价格</w:t>
      </w:r>
    </w:p>
    <w:p w14:paraId="6D4749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Theme="minorEastAsia" w:hAnsiTheme="minorEastAsia" w:eastAsiaTheme="minorEastAsia" w:cstheme="minorEastAsia"/>
          <w:szCs w:val="24"/>
        </w:rPr>
        <w:t>1</w:t>
      </w:r>
      <w:r>
        <w:rPr>
          <w:rFonts w:hint="eastAsia" w:asciiTheme="minorEastAsia" w:hAnsiTheme="minorEastAsia" w:eastAsiaTheme="minorEastAsia" w:cstheme="minorEastAsia"/>
          <w:szCs w:val="24"/>
          <w:highlight w:val="none"/>
        </w:rPr>
        <w:t>、合同金额：</w:t>
      </w:r>
      <w:r>
        <w:rPr>
          <w:rFonts w:hint="eastAsia" w:ascii="宋体" w:hAnsi="宋体" w:eastAsia="宋体" w:cs="宋体"/>
          <w:color w:val="000000"/>
          <w:kern w:val="0"/>
          <w:sz w:val="24"/>
          <w:szCs w:val="24"/>
          <w:highlight w:val="none"/>
          <w:lang w:val="zh-CN"/>
        </w:rPr>
        <w:t>人民币（大写）</w:t>
      </w:r>
      <w:r>
        <w:rPr>
          <w:rFonts w:hint="eastAsia" w:ascii="宋体" w:hAnsi="宋体" w:cs="宋体"/>
          <w:color w:val="000000"/>
          <w:kern w:val="0"/>
          <w:sz w:val="24"/>
          <w:szCs w:val="24"/>
          <w:highlight w:val="none"/>
          <w:u w:val="single"/>
          <w:lang w:val="en-US" w:eastAsia="zh-CN"/>
        </w:rPr>
        <w:t>壹佰柒拾叁万柒仟元整</w:t>
      </w:r>
      <w:r>
        <w:rPr>
          <w:rFonts w:hint="eastAsia" w:ascii="宋体" w:hAnsi="宋体" w:eastAsia="宋体" w:cs="宋体"/>
          <w:color w:val="000000"/>
          <w:kern w:val="0"/>
          <w:sz w:val="24"/>
          <w:szCs w:val="24"/>
          <w:highlight w:val="none"/>
        </w:rPr>
        <w:t>（含税）</w:t>
      </w:r>
      <w:r>
        <w:rPr>
          <w:rFonts w:hint="eastAsia" w:ascii="宋体" w:hAnsi="宋体" w:eastAsia="宋体" w:cs="宋体"/>
          <w:color w:val="000000"/>
          <w:kern w:val="0"/>
          <w:sz w:val="24"/>
          <w:szCs w:val="24"/>
          <w:highlight w:val="none"/>
          <w:lang w:val="zh-CN"/>
        </w:rPr>
        <w:t>（小写￥</w:t>
      </w:r>
      <w:r>
        <w:rPr>
          <w:rFonts w:hint="eastAsia" w:ascii="宋体" w:hAnsi="宋体" w:eastAsia="宋体" w:cs="宋体"/>
          <w:color w:val="000000"/>
          <w:kern w:val="0"/>
          <w:sz w:val="24"/>
          <w:szCs w:val="24"/>
          <w:highlight w:val="none"/>
          <w:u w:val="single"/>
          <w:lang w:val="en-US" w:eastAsia="zh-CN"/>
        </w:rPr>
        <w:t>1737000.00</w:t>
      </w:r>
      <w:r>
        <w:rPr>
          <w:rFonts w:hint="eastAsia" w:ascii="宋体" w:hAnsi="宋体" w:eastAsia="宋体" w:cs="宋体"/>
          <w:color w:val="000000"/>
          <w:kern w:val="0"/>
          <w:sz w:val="24"/>
          <w:szCs w:val="24"/>
          <w:highlight w:val="none"/>
          <w:lang w:val="zh-CN"/>
        </w:rPr>
        <w:t>）；</w:t>
      </w:r>
      <w:r>
        <w:rPr>
          <w:rFonts w:hint="eastAsia" w:asciiTheme="minorEastAsia" w:hAnsiTheme="minorEastAsia" w:eastAsiaTheme="minorEastAsia" w:cstheme="minorEastAsia"/>
          <w:szCs w:val="24"/>
          <w:highlight w:val="none"/>
        </w:rPr>
        <w:t>合同金额</w:t>
      </w:r>
      <w:r>
        <w:rPr>
          <w:rFonts w:hint="eastAsia" w:ascii="宋体" w:hAnsi="宋体" w:eastAsia="宋体" w:cs="宋体"/>
          <w:color w:val="000000"/>
          <w:kern w:val="0"/>
          <w:sz w:val="24"/>
          <w:szCs w:val="24"/>
          <w:highlight w:val="none"/>
          <w:lang w:val="zh-CN"/>
        </w:rPr>
        <w:t>包括但不限于实施服务费、常驻于</w:t>
      </w:r>
      <w:r>
        <w:rPr>
          <w:rFonts w:hint="eastAsia" w:ascii="宋体" w:hAnsi="宋体" w:eastAsia="宋体" w:cs="宋体"/>
          <w:color w:val="000000"/>
          <w:kern w:val="0"/>
          <w:sz w:val="24"/>
          <w:szCs w:val="24"/>
          <w:highlight w:val="none"/>
          <w:lang w:val="en-US" w:eastAsia="zh-CN"/>
        </w:rPr>
        <w:t>甲方</w:t>
      </w:r>
      <w:r>
        <w:rPr>
          <w:rFonts w:hint="eastAsia" w:ascii="宋体" w:hAnsi="宋体" w:eastAsia="宋体" w:cs="宋体"/>
          <w:color w:val="000000"/>
          <w:kern w:val="0"/>
          <w:sz w:val="24"/>
          <w:szCs w:val="24"/>
          <w:highlight w:val="none"/>
          <w:lang w:val="zh-CN"/>
        </w:rPr>
        <w:t>项目现场运维人员的工资、福利、</w:t>
      </w:r>
      <w:r>
        <w:rPr>
          <w:rFonts w:hint="eastAsia" w:ascii="宋体" w:hAnsi="宋体" w:cs="宋体"/>
          <w:color w:val="000000"/>
          <w:kern w:val="0"/>
          <w:sz w:val="24"/>
          <w:szCs w:val="24"/>
          <w:highlight w:val="none"/>
          <w:lang w:val="en-US" w:eastAsia="zh-CN"/>
        </w:rPr>
        <w:t>加班费、</w:t>
      </w:r>
      <w:r>
        <w:rPr>
          <w:rFonts w:hint="eastAsia" w:ascii="宋体" w:hAnsi="宋体" w:eastAsia="宋体" w:cs="宋体"/>
          <w:color w:val="000000"/>
          <w:kern w:val="0"/>
          <w:sz w:val="24"/>
          <w:szCs w:val="24"/>
          <w:highlight w:val="none"/>
          <w:lang w:val="zh-CN"/>
        </w:rPr>
        <w:t>食宿、交通、通信以及项目利润、税金</w:t>
      </w:r>
      <w:r>
        <w:rPr>
          <w:rFonts w:hint="eastAsia" w:ascii="宋体" w:hAnsi="宋体" w:eastAsia="宋体" w:cs="宋体"/>
          <w:color w:val="000000"/>
          <w:kern w:val="0"/>
          <w:sz w:val="24"/>
          <w:szCs w:val="24"/>
          <w:highlight w:val="none"/>
          <w:lang w:val="zh-CN" w:eastAsia="zh-CN"/>
        </w:rPr>
        <w:t>、</w:t>
      </w:r>
      <w:r>
        <w:rPr>
          <w:rFonts w:hint="eastAsia" w:ascii="宋体" w:hAnsi="宋体" w:eastAsia="宋体" w:cs="宋体"/>
          <w:color w:val="000000"/>
          <w:kern w:val="0"/>
          <w:sz w:val="24"/>
          <w:szCs w:val="24"/>
          <w:highlight w:val="none"/>
          <w:lang w:val="zh-CN"/>
        </w:rPr>
        <w:t>代理服务费、以及其他交付使用前所产生的所有费用。除设备、零配件、耗材外，</w:t>
      </w:r>
      <w:r>
        <w:rPr>
          <w:rFonts w:hint="eastAsia" w:ascii="宋体" w:hAnsi="宋体" w:eastAsia="宋体" w:cs="宋体"/>
          <w:color w:val="000000"/>
          <w:kern w:val="0"/>
          <w:sz w:val="24"/>
          <w:szCs w:val="24"/>
          <w:highlight w:val="none"/>
          <w:lang w:val="en-US" w:eastAsia="zh-CN"/>
        </w:rPr>
        <w:t>甲方不再支付合同金额之外的其他任何费用。投标</w:t>
      </w:r>
      <w:r>
        <w:rPr>
          <w:rFonts w:hint="eastAsia" w:ascii="宋体" w:hAnsi="宋体" w:eastAsia="宋体" w:cs="宋体"/>
          <w:color w:val="000000"/>
          <w:kern w:val="0"/>
          <w:sz w:val="24"/>
          <w:szCs w:val="24"/>
          <w:highlight w:val="none"/>
          <w:lang w:val="zh-CN"/>
        </w:rPr>
        <w:t>报价为最终报价，除非因特殊原因并经买卖双方协商同意，</w:t>
      </w:r>
      <w:r>
        <w:rPr>
          <w:rFonts w:hint="eastAsia" w:ascii="宋体" w:hAnsi="宋体" w:eastAsia="宋体" w:cs="宋体"/>
          <w:color w:val="000000"/>
          <w:kern w:val="0"/>
          <w:sz w:val="24"/>
          <w:szCs w:val="24"/>
          <w:highlight w:val="none"/>
          <w:lang w:val="en-US" w:eastAsia="zh-CN"/>
        </w:rPr>
        <w:t>乙方</w:t>
      </w:r>
      <w:r>
        <w:rPr>
          <w:rFonts w:hint="eastAsia" w:ascii="宋体" w:hAnsi="宋体" w:eastAsia="宋体" w:cs="宋体"/>
          <w:color w:val="000000"/>
          <w:kern w:val="0"/>
          <w:sz w:val="24"/>
          <w:szCs w:val="24"/>
          <w:highlight w:val="none"/>
          <w:lang w:val="zh-CN"/>
        </w:rPr>
        <w:t>不得再要求追加任何费用。同时，除非合同条款中另有规定，否则，</w:t>
      </w:r>
      <w:r>
        <w:rPr>
          <w:rFonts w:hint="eastAsia" w:ascii="宋体" w:hAnsi="宋体" w:eastAsia="宋体" w:cs="宋体"/>
          <w:color w:val="000000"/>
          <w:kern w:val="0"/>
          <w:sz w:val="24"/>
          <w:szCs w:val="24"/>
          <w:highlight w:val="none"/>
          <w:lang w:val="en-US" w:eastAsia="zh-CN"/>
        </w:rPr>
        <w:t>乙方</w:t>
      </w:r>
      <w:r>
        <w:rPr>
          <w:rFonts w:hint="eastAsia" w:ascii="宋体" w:hAnsi="宋体" w:eastAsia="宋体" w:cs="宋体"/>
          <w:color w:val="000000"/>
          <w:kern w:val="0"/>
          <w:sz w:val="24"/>
          <w:szCs w:val="24"/>
          <w:highlight w:val="none"/>
          <w:lang w:val="zh-CN"/>
        </w:rPr>
        <w:t>所报价格在合同实施期间不因市场变化因素而变动。</w:t>
      </w:r>
    </w:p>
    <w:p w14:paraId="75208E56">
      <w:pPr>
        <w:wordWrap w:val="0"/>
        <w:spacing w:line="360" w:lineRule="auto"/>
        <w:ind w:firstLine="48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2、在合同执行期间遇到国家最低工资调整导致用工成本的增加时（以苏州市人力资源和社会保障局发布文件为准），甲方与乙方双方友好协商调整</w:t>
      </w:r>
      <w:r>
        <w:rPr>
          <w:rFonts w:hint="eastAsia" w:asciiTheme="minorEastAsia" w:hAnsiTheme="minorEastAsia" w:eastAsiaTheme="minorEastAsia" w:cstheme="minorEastAsia"/>
          <w:szCs w:val="24"/>
          <w:highlight w:val="none"/>
          <w:lang w:val="en-US" w:eastAsia="zh-CN"/>
        </w:rPr>
        <w:t>幅</w:t>
      </w:r>
      <w:r>
        <w:rPr>
          <w:rFonts w:hint="eastAsia" w:asciiTheme="minorEastAsia" w:hAnsiTheme="minorEastAsia" w:eastAsiaTheme="minorEastAsia" w:cstheme="minorEastAsia"/>
          <w:szCs w:val="24"/>
          <w:highlight w:val="none"/>
        </w:rPr>
        <w:t>度，签订补充协议。</w:t>
      </w:r>
    </w:p>
    <w:p w14:paraId="7DC2916F">
      <w:pPr>
        <w:wordWrap w:val="0"/>
        <w:spacing w:line="360" w:lineRule="auto"/>
        <w:ind w:firstLine="482" w:firstLineChars="200"/>
        <w:rPr>
          <w:rFonts w:hint="eastAsia" w:asciiTheme="minorEastAsia" w:hAnsiTheme="minorEastAsia" w:eastAsiaTheme="minorEastAsia" w:cstheme="minorEastAsia"/>
          <w:b/>
          <w:bCs/>
          <w:sz w:val="24"/>
          <w:szCs w:val="24"/>
          <w:highlight w:val="none"/>
          <w:lang w:val="zh-CN" w:eastAsia="zh-CN" w:bidi="ar-SA"/>
        </w:rPr>
      </w:pPr>
      <w:r>
        <w:rPr>
          <w:rFonts w:hint="eastAsia" w:asciiTheme="minorEastAsia" w:hAnsiTheme="minorEastAsia" w:eastAsiaTheme="minorEastAsia" w:cstheme="minorEastAsia"/>
          <w:b/>
          <w:bCs/>
          <w:sz w:val="24"/>
          <w:szCs w:val="24"/>
          <w:highlight w:val="none"/>
          <w:lang w:val="en-US" w:eastAsia="zh-CN" w:bidi="ar-SA"/>
        </w:rPr>
        <w:t>二</w:t>
      </w:r>
      <w:r>
        <w:rPr>
          <w:rFonts w:hint="eastAsia" w:asciiTheme="minorEastAsia" w:hAnsiTheme="minorEastAsia" w:eastAsiaTheme="minorEastAsia" w:cstheme="minorEastAsia"/>
          <w:b/>
          <w:bCs/>
          <w:sz w:val="24"/>
          <w:szCs w:val="24"/>
          <w:highlight w:val="none"/>
          <w:lang w:val="zh-CN" w:eastAsia="zh-CN" w:bidi="ar-SA"/>
        </w:rPr>
        <w:t>、服务内容、要求及期限</w:t>
      </w:r>
    </w:p>
    <w:p w14:paraId="3F93C51F">
      <w:pPr>
        <w:wordWrap w:val="0"/>
        <w:spacing w:line="360" w:lineRule="auto"/>
        <w:ind w:firstLine="480" w:firstLineChars="200"/>
        <w:rPr>
          <w:rFonts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1、乙方负责甲方的</w:t>
      </w:r>
      <w:r>
        <w:rPr>
          <w:rFonts w:hint="eastAsia" w:asciiTheme="minorEastAsia" w:hAnsiTheme="minorEastAsia" w:eastAsiaTheme="minorEastAsia" w:cstheme="minorEastAsia"/>
          <w:szCs w:val="24"/>
          <w:highlight w:val="none"/>
          <w:u w:val="single"/>
        </w:rPr>
        <w:t xml:space="preserve"> </w:t>
      </w:r>
      <w:r>
        <w:rPr>
          <w:rFonts w:hint="eastAsia" w:asciiTheme="minorEastAsia" w:hAnsiTheme="minorEastAsia" w:eastAsiaTheme="minorEastAsia" w:cstheme="minorEastAsia"/>
          <w:szCs w:val="24"/>
          <w:highlight w:val="none"/>
          <w:u w:val="single"/>
          <w:lang w:eastAsia="zh-CN"/>
        </w:rPr>
        <w:t>通用办公设备及服务台运维服务（驻场）</w:t>
      </w:r>
      <w:r>
        <w:rPr>
          <w:rFonts w:hint="eastAsia" w:asciiTheme="minorEastAsia" w:hAnsiTheme="minorEastAsia" w:eastAsiaTheme="minorEastAsia" w:cstheme="minorEastAsia"/>
          <w:szCs w:val="24"/>
          <w:highlight w:val="none"/>
          <w:u w:val="single"/>
        </w:rPr>
        <w:t xml:space="preserve"> </w:t>
      </w:r>
      <w:r>
        <w:rPr>
          <w:rFonts w:hint="eastAsia" w:asciiTheme="minorEastAsia" w:hAnsiTheme="minorEastAsia" w:eastAsiaTheme="minorEastAsia" w:cstheme="minorEastAsia"/>
          <w:szCs w:val="24"/>
          <w:highlight w:val="none"/>
        </w:rPr>
        <w:t>工作，具体服务范围和分布按招标文件要求。</w:t>
      </w:r>
    </w:p>
    <w:p w14:paraId="690D8599">
      <w:pPr>
        <w:wordWrap w:val="0"/>
        <w:spacing w:line="360" w:lineRule="auto"/>
        <w:ind w:firstLine="480" w:firstLineChars="200"/>
        <w:rPr>
          <w:rFonts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2、甲、乙双方经协商一致同意：乙方应按照认真、尽职、勤勉地按照招标书采购项目的要求和标准进行规范服务，并且乙方应根据约定自备设备和工具耗材和根据约定提供相关服务工作。</w:t>
      </w:r>
    </w:p>
    <w:p w14:paraId="5A6BDB69">
      <w:pPr>
        <w:keepNext w:val="0"/>
        <w:keepLines w:val="0"/>
        <w:pageBreakBefore w:val="0"/>
        <w:widowControl/>
        <w:kinsoku/>
        <w:wordWrap w:val="0"/>
        <w:overflowPunct/>
        <w:topLinePunct w:val="0"/>
        <w:autoSpaceDE/>
        <w:autoSpaceDN/>
        <w:bidi w:val="0"/>
        <w:adjustRightInd/>
        <w:snapToGrid/>
        <w:spacing w:line="360" w:lineRule="auto"/>
        <w:ind w:firstLine="480" w:firstLineChars="200"/>
        <w:textAlignment w:val="auto"/>
        <w:outlineLvl w:val="9"/>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szCs w:val="24"/>
          <w:highlight w:val="none"/>
        </w:rPr>
        <w:t>3、服务时间</w:t>
      </w:r>
      <w:r>
        <w:rPr>
          <w:rFonts w:hint="eastAsia" w:asciiTheme="minorEastAsia" w:hAnsiTheme="minorEastAsia" w:eastAsiaTheme="minorEastAsia" w:cstheme="minorEastAsia"/>
          <w:szCs w:val="24"/>
          <w:highlight w:val="none"/>
          <w:lang w:eastAsia="zh-CN"/>
        </w:rPr>
        <w:t>：</w:t>
      </w:r>
      <w:r>
        <w:rPr>
          <w:rFonts w:hint="eastAsia" w:ascii="宋体" w:hAnsi="宋体" w:eastAsia="宋体" w:cs="宋体"/>
          <w:sz w:val="24"/>
          <w:szCs w:val="24"/>
          <w:highlight w:val="none"/>
          <w:lang w:val="en-US" w:eastAsia="zh-CN"/>
        </w:rPr>
        <w:t>一年（具体开始时间以</w:t>
      </w:r>
      <w:r>
        <w:rPr>
          <w:rFonts w:hint="eastAsia" w:ascii="宋体" w:hAnsi="宋体" w:cs="宋体"/>
          <w:sz w:val="24"/>
          <w:szCs w:val="24"/>
          <w:highlight w:val="none"/>
          <w:lang w:val="en-US" w:eastAsia="zh-CN"/>
        </w:rPr>
        <w:t>甲方</w:t>
      </w:r>
      <w:r>
        <w:rPr>
          <w:rFonts w:hint="eastAsia" w:ascii="宋体" w:hAnsi="宋体" w:eastAsia="宋体" w:cs="宋体"/>
          <w:sz w:val="24"/>
          <w:szCs w:val="24"/>
          <w:highlight w:val="none"/>
          <w:lang w:val="en-US" w:eastAsia="zh-CN"/>
        </w:rPr>
        <w:t>通知为准）。服务期满后，若下一服务期限项目预算得到批复，且双方无异议则</w:t>
      </w:r>
      <w:r>
        <w:rPr>
          <w:rFonts w:hint="eastAsia" w:ascii="宋体" w:hAnsi="宋体" w:cs="宋体"/>
          <w:sz w:val="24"/>
          <w:szCs w:val="24"/>
          <w:highlight w:val="none"/>
          <w:lang w:val="en-US" w:eastAsia="zh-CN"/>
        </w:rPr>
        <w:t>最多</w:t>
      </w:r>
      <w:r>
        <w:rPr>
          <w:rFonts w:hint="eastAsia" w:ascii="宋体" w:hAnsi="宋体" w:eastAsia="宋体" w:cs="宋体"/>
          <w:sz w:val="24"/>
          <w:szCs w:val="24"/>
          <w:highlight w:val="none"/>
          <w:lang w:val="en-US" w:eastAsia="zh-CN"/>
        </w:rPr>
        <w:t>可续签两次，续签合同价格及内容与第一年保持一致。</w:t>
      </w:r>
    </w:p>
    <w:p w14:paraId="69A3562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4、服务地点：甲方指定地点。</w:t>
      </w:r>
    </w:p>
    <w:p w14:paraId="2D7CBA4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zh-CN" w:eastAsia="zh-CN"/>
        </w:rPr>
        <w:t>、</w:t>
      </w:r>
      <w:r>
        <w:rPr>
          <w:rFonts w:hint="eastAsia" w:ascii="宋体" w:hAnsi="宋体" w:eastAsia="宋体" w:cs="宋体"/>
          <w:sz w:val="24"/>
          <w:szCs w:val="24"/>
          <w:highlight w:val="none"/>
          <w:lang w:val="en-US" w:eastAsia="zh-CN"/>
        </w:rPr>
        <w:t>服务要求：乙方免费提供</w:t>
      </w:r>
      <w:r>
        <w:rPr>
          <w:rFonts w:hint="eastAsia" w:ascii="宋体" w:hAnsi="宋体" w:eastAsia="宋体" w:cs="宋体"/>
          <w:color w:val="auto"/>
          <w:sz w:val="24"/>
          <w:szCs w:val="24"/>
          <w:highlight w:val="none"/>
          <w:lang w:val="en-US" w:eastAsia="zh-CN"/>
        </w:rPr>
        <w:t>7*8小时驻场服务，</w:t>
      </w:r>
      <w:r>
        <w:rPr>
          <w:rFonts w:hint="eastAsia" w:ascii="宋体" w:hAnsi="宋体" w:eastAsia="宋体" w:cs="宋体"/>
          <w:color w:val="auto"/>
          <w:sz w:val="24"/>
          <w:szCs w:val="24"/>
          <w:highlight w:val="none"/>
          <w:lang w:val="zh-CN" w:eastAsia="zh-CN"/>
        </w:rPr>
        <w:t>跟随医院上下班制度。</w:t>
      </w:r>
      <w:r>
        <w:rPr>
          <w:rFonts w:hint="eastAsia" w:ascii="宋体" w:hAnsi="宋体" w:cs="宋体"/>
          <w:color w:val="auto"/>
          <w:sz w:val="24"/>
          <w:szCs w:val="24"/>
          <w:highlight w:val="none"/>
          <w:lang w:val="en-US" w:eastAsia="zh-CN"/>
        </w:rPr>
        <w:t>乙方</w:t>
      </w:r>
      <w:r>
        <w:rPr>
          <w:rFonts w:hint="eastAsia" w:ascii="宋体" w:hAnsi="宋体" w:eastAsia="宋体" w:cs="宋体"/>
          <w:color w:val="auto"/>
          <w:sz w:val="24"/>
          <w:szCs w:val="24"/>
          <w:highlight w:val="none"/>
          <w:lang w:val="zh-CN" w:eastAsia="zh-CN"/>
        </w:rPr>
        <w:t>提供7*24小时不间断服务，随时响应服务需求。</w:t>
      </w:r>
    </w:p>
    <w:p w14:paraId="5DB8CE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6、响应时间要求：</w:t>
      </w:r>
    </w:p>
    <w:p w14:paraId="0186536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1）驻场期间：5分钟内响应，10分钟到达现场；</w:t>
      </w:r>
    </w:p>
    <w:p w14:paraId="79F2F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2）非驻场期间：5分钟内响应，如有需要2小时内到达现场。</w:t>
      </w:r>
    </w:p>
    <w:p w14:paraId="57316ED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7、故障修复时间（以服务人员到达现场时间为准）：</w:t>
      </w:r>
    </w:p>
    <w:p w14:paraId="3B7888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1）一般故障，30分钟内修复，包括更换易损配件；</w:t>
      </w:r>
    </w:p>
    <w:p w14:paraId="4E1FB60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2）严重故障，1小时内提供同类型备用机。</w:t>
      </w:r>
    </w:p>
    <w:p w14:paraId="3458C3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zh-CN" w:eastAsia="zh-CN"/>
        </w:rPr>
      </w:pPr>
      <w:r>
        <w:rPr>
          <w:rFonts w:hint="eastAsia" w:ascii="宋体" w:hAnsi="宋体" w:cs="宋体"/>
          <w:sz w:val="24"/>
          <w:szCs w:val="24"/>
          <w:u w:val="none"/>
          <w:shd w:val="clear" w:color="auto" w:fill="FFFFFF"/>
          <w:lang w:val="en-US" w:eastAsia="zh-CN"/>
        </w:rPr>
        <w:t>8</w:t>
      </w:r>
      <w:r>
        <w:rPr>
          <w:rFonts w:hint="eastAsia" w:ascii="宋体" w:hAnsi="宋体" w:eastAsia="宋体" w:cs="宋体"/>
          <w:sz w:val="24"/>
          <w:szCs w:val="24"/>
          <w:u w:val="none"/>
          <w:shd w:val="clear" w:color="auto" w:fill="FFFFFF"/>
          <w:lang w:val="zh-CN" w:eastAsia="zh-CN"/>
        </w:rPr>
        <w:t>、招标文件的售后服务要求或乙方投标文件或其他承诺优于本合同的，按照招标文件和乙方在投标书或其他文件中承诺的服务标准执行。</w:t>
      </w:r>
    </w:p>
    <w:p w14:paraId="23478C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zh-CN" w:eastAsia="zh-CN"/>
        </w:rPr>
      </w:pPr>
      <w:r>
        <w:rPr>
          <w:rFonts w:hint="eastAsia" w:ascii="宋体" w:hAnsi="宋体" w:cs="宋体"/>
          <w:sz w:val="24"/>
          <w:szCs w:val="24"/>
          <w:u w:val="none"/>
          <w:shd w:val="clear" w:color="auto" w:fill="FFFFFF"/>
          <w:lang w:val="en-US" w:eastAsia="zh-CN"/>
        </w:rPr>
        <w:t>9</w:t>
      </w:r>
      <w:r>
        <w:rPr>
          <w:rFonts w:hint="eastAsia" w:ascii="宋体" w:hAnsi="宋体" w:eastAsia="宋体" w:cs="宋体"/>
          <w:sz w:val="24"/>
          <w:szCs w:val="24"/>
          <w:u w:val="none"/>
          <w:shd w:val="clear" w:color="auto" w:fill="FFFFFF"/>
          <w:lang w:val="en-US" w:eastAsia="zh-CN"/>
        </w:rPr>
        <w:t>、</w:t>
      </w:r>
      <w:r>
        <w:rPr>
          <w:rFonts w:hint="eastAsia" w:ascii="宋体" w:hAnsi="宋体" w:eastAsia="宋体" w:cs="宋体"/>
          <w:sz w:val="24"/>
          <w:szCs w:val="24"/>
          <w:u w:val="none"/>
          <w:shd w:val="clear" w:color="auto" w:fill="FFFFFF"/>
          <w:lang w:val="zh-CN" w:eastAsia="zh-CN"/>
        </w:rPr>
        <w:t>其他未尽事宜按乙方所提供的相应承诺执行。如乙方未能按照采购文件和乙方在响应文件中承诺的服务充分履行服务义务的，甲方有权委托第三方履行，由此产生的任何费用或损失均由乙方承担。前述费用或损失，甲方有权从应付款项中直接扣除。</w:t>
      </w:r>
    </w:p>
    <w:p w14:paraId="76F720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zh-CN" w:eastAsia="zh-CN"/>
        </w:rPr>
      </w:pPr>
      <w:r>
        <w:rPr>
          <w:rFonts w:hint="eastAsia" w:ascii="宋体" w:hAnsi="宋体" w:cs="宋体"/>
          <w:sz w:val="24"/>
          <w:szCs w:val="24"/>
          <w:u w:val="none"/>
          <w:shd w:val="clear" w:color="auto" w:fill="FFFFFF"/>
          <w:lang w:val="en-US" w:eastAsia="zh-CN"/>
        </w:rPr>
        <w:t>10</w:t>
      </w:r>
      <w:r>
        <w:rPr>
          <w:rFonts w:hint="eastAsia" w:ascii="宋体" w:hAnsi="宋体" w:eastAsia="宋体" w:cs="宋体"/>
          <w:sz w:val="24"/>
          <w:szCs w:val="24"/>
          <w:u w:val="none"/>
          <w:shd w:val="clear" w:color="auto" w:fill="FFFFFF"/>
          <w:lang w:val="zh-CN" w:eastAsia="zh-CN"/>
        </w:rPr>
        <w:t>、标的物的所有权自标的物交付时转移。</w:t>
      </w:r>
    </w:p>
    <w:p w14:paraId="29C60F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en-US" w:eastAsia="zh-CN"/>
        </w:rPr>
      </w:pPr>
      <w:r>
        <w:rPr>
          <w:rFonts w:hint="eastAsia" w:ascii="宋体" w:hAnsi="宋体" w:cs="宋体"/>
          <w:sz w:val="24"/>
          <w:szCs w:val="24"/>
          <w:u w:val="none"/>
          <w:shd w:val="clear" w:color="auto" w:fill="FFFFFF"/>
          <w:lang w:val="en-US" w:eastAsia="zh-CN"/>
        </w:rPr>
        <w:t>11</w:t>
      </w:r>
      <w:r>
        <w:rPr>
          <w:rFonts w:hint="eastAsia" w:ascii="宋体" w:hAnsi="宋体" w:eastAsia="宋体" w:cs="宋体"/>
          <w:sz w:val="24"/>
          <w:szCs w:val="24"/>
          <w:u w:val="none"/>
          <w:shd w:val="clear" w:color="auto" w:fill="FFFFFF"/>
          <w:lang w:val="en-US" w:eastAsia="zh-CN"/>
        </w:rPr>
        <w:t>、安全要求：</w:t>
      </w:r>
    </w:p>
    <w:p w14:paraId="25981F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en-US" w:eastAsia="zh-CN"/>
        </w:rPr>
      </w:pPr>
      <w:r>
        <w:rPr>
          <w:rFonts w:hint="eastAsia" w:ascii="宋体" w:hAnsi="宋体" w:eastAsia="宋体" w:cs="宋体"/>
          <w:sz w:val="24"/>
          <w:szCs w:val="24"/>
          <w:u w:val="none"/>
          <w:shd w:val="clear" w:color="auto" w:fill="FFFFFF"/>
          <w:lang w:val="en-US" w:eastAsia="zh-CN"/>
        </w:rPr>
        <w:t>乙方需在项目建设过程中参照三同步原则，同步规划、同步建设、同步使用。</w:t>
      </w:r>
    </w:p>
    <w:p w14:paraId="3694426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en-US" w:eastAsia="zh-CN"/>
        </w:rPr>
      </w:pPr>
      <w:r>
        <w:rPr>
          <w:rFonts w:hint="eastAsia" w:ascii="宋体" w:hAnsi="宋体" w:eastAsia="宋体" w:cs="宋体"/>
          <w:sz w:val="24"/>
          <w:szCs w:val="24"/>
          <w:u w:val="none"/>
          <w:shd w:val="clear" w:color="auto" w:fill="FFFFFF"/>
          <w:lang w:val="en-US" w:eastAsia="zh-CN"/>
        </w:rPr>
        <w:t>乙方需参照等级保护的安全要求进行建设，并根据等保评测结果，乙方须协助甲方完成整改。</w:t>
      </w:r>
    </w:p>
    <w:p w14:paraId="3BFEDC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en-US" w:eastAsia="zh-CN"/>
        </w:rPr>
      </w:pPr>
      <w:r>
        <w:rPr>
          <w:rFonts w:hint="eastAsia" w:ascii="宋体" w:hAnsi="宋体" w:eastAsia="宋体" w:cs="宋体"/>
          <w:sz w:val="24"/>
          <w:szCs w:val="24"/>
          <w:u w:val="none"/>
          <w:shd w:val="clear" w:color="auto" w:fill="FFFFFF"/>
          <w:lang w:val="en-US" w:eastAsia="zh-CN"/>
        </w:rPr>
        <w:t>乙方需提供完整的安全和隐私技术手段，包括数据脱敏加密、审核日志留存回溯、数据调用记录回溯、操作日志回溯等。</w:t>
      </w:r>
    </w:p>
    <w:p w14:paraId="2CACF5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en-US" w:eastAsia="zh-CN"/>
        </w:rPr>
      </w:pPr>
      <w:r>
        <w:rPr>
          <w:rFonts w:hint="eastAsia" w:ascii="宋体" w:hAnsi="宋体" w:eastAsia="宋体" w:cs="宋体"/>
          <w:sz w:val="24"/>
          <w:szCs w:val="24"/>
          <w:u w:val="none"/>
          <w:shd w:val="clear" w:color="auto" w:fill="FFFFFF"/>
          <w:lang w:val="en-US" w:eastAsia="zh-CN"/>
        </w:rPr>
        <w:t>乙方须签订数据安全保密协议（详见附件二），确保甲方数据不外泄。</w:t>
      </w:r>
    </w:p>
    <w:p w14:paraId="738038D1">
      <w:pPr>
        <w:wordWrap w:val="0"/>
        <w:spacing w:line="360" w:lineRule="auto"/>
        <w:ind w:firstLine="482" w:firstLineChars="200"/>
        <w:rPr>
          <w:rFonts w:asciiTheme="minorEastAsia" w:hAnsiTheme="minorEastAsia" w:eastAsiaTheme="minorEastAsia" w:cstheme="minorEastAsia"/>
          <w:b/>
          <w:bCs/>
          <w:szCs w:val="24"/>
          <w:highlight w:val="none"/>
        </w:rPr>
      </w:pPr>
      <w:r>
        <w:rPr>
          <w:rFonts w:hint="eastAsia" w:asciiTheme="minorEastAsia" w:hAnsiTheme="minorEastAsia" w:eastAsiaTheme="minorEastAsia" w:cstheme="minorEastAsia"/>
          <w:b/>
          <w:bCs/>
          <w:szCs w:val="24"/>
          <w:highlight w:val="none"/>
          <w:lang w:val="en-US" w:eastAsia="zh-CN"/>
        </w:rPr>
        <w:t>三、</w:t>
      </w:r>
      <w:r>
        <w:rPr>
          <w:rFonts w:hint="eastAsia" w:asciiTheme="minorEastAsia" w:hAnsiTheme="minorEastAsia" w:eastAsiaTheme="minorEastAsia" w:cstheme="minorEastAsia"/>
          <w:b/>
          <w:bCs/>
          <w:szCs w:val="24"/>
          <w:highlight w:val="none"/>
        </w:rPr>
        <w:t>费用结算</w:t>
      </w:r>
    </w:p>
    <w:p w14:paraId="19193F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u w:val="none"/>
          <w:shd w:val="clear" w:color="auto" w:fill="FFFFFF"/>
          <w:lang w:val="en-US" w:eastAsia="zh-CN"/>
        </w:rPr>
      </w:pPr>
      <w:r>
        <w:rPr>
          <w:rFonts w:hint="eastAsia" w:ascii="宋体" w:hAnsi="宋体" w:eastAsia="宋体" w:cs="宋体"/>
          <w:kern w:val="2"/>
          <w:sz w:val="24"/>
          <w:szCs w:val="24"/>
          <w:highlight w:val="none"/>
          <w:shd w:val="clear" w:fill="FFFFFF"/>
          <w:lang w:val="en-US" w:eastAsia="zh-CN" w:bidi="ar-SA"/>
        </w:rPr>
        <w:t>1、</w:t>
      </w:r>
      <w:r>
        <w:rPr>
          <w:rFonts w:hint="eastAsia" w:ascii="宋体" w:hAnsi="宋体" w:eastAsia="宋体" w:cs="宋体"/>
          <w:sz w:val="24"/>
          <w:szCs w:val="24"/>
          <w:highlight w:val="none"/>
          <w:u w:val="none"/>
          <w:shd w:val="clear" w:color="auto" w:fill="FFFFFF"/>
          <w:lang w:val="en-US" w:eastAsia="zh-CN"/>
        </w:rPr>
        <w:t>采购合同签订生效后，服务费用按</w:t>
      </w:r>
      <w:r>
        <w:rPr>
          <w:rFonts w:hint="eastAsia" w:ascii="宋体" w:hAnsi="宋体" w:cs="宋体"/>
          <w:sz w:val="24"/>
          <w:szCs w:val="24"/>
          <w:highlight w:val="none"/>
          <w:u w:val="none"/>
          <w:shd w:val="clear" w:color="auto" w:fill="FFFFFF"/>
          <w:lang w:val="en-US" w:eastAsia="zh-CN"/>
        </w:rPr>
        <w:t>季</w:t>
      </w:r>
      <w:r>
        <w:rPr>
          <w:rFonts w:hint="eastAsia" w:ascii="宋体" w:hAnsi="宋体" w:eastAsia="宋体" w:cs="宋体"/>
          <w:sz w:val="24"/>
          <w:szCs w:val="24"/>
          <w:highlight w:val="none"/>
          <w:u w:val="none"/>
          <w:shd w:val="clear" w:color="auto" w:fill="FFFFFF"/>
          <w:lang w:val="en-US" w:eastAsia="zh-CN"/>
        </w:rPr>
        <w:t>度考核结算（详见附件一），</w:t>
      </w:r>
      <w:r>
        <w:rPr>
          <w:rFonts w:hint="eastAsia" w:ascii="宋体" w:hAnsi="宋体" w:cs="宋体"/>
          <w:sz w:val="24"/>
          <w:szCs w:val="24"/>
          <w:highlight w:val="none"/>
          <w:u w:val="none"/>
          <w:shd w:val="clear" w:color="auto" w:fill="FFFFFF"/>
          <w:lang w:val="en-US" w:eastAsia="zh-CN"/>
        </w:rPr>
        <w:t>季</w:t>
      </w:r>
      <w:r>
        <w:rPr>
          <w:rFonts w:hint="eastAsia" w:ascii="宋体" w:hAnsi="宋体" w:eastAsia="宋体" w:cs="宋体"/>
          <w:sz w:val="24"/>
          <w:szCs w:val="24"/>
          <w:highlight w:val="none"/>
          <w:u w:val="none"/>
          <w:shd w:val="clear" w:color="auto" w:fill="FFFFFF"/>
          <w:lang w:val="en-US" w:eastAsia="zh-CN"/>
        </w:rPr>
        <w:t>度考核通过，计算当</w:t>
      </w:r>
      <w:r>
        <w:rPr>
          <w:rFonts w:hint="eastAsia" w:ascii="宋体" w:hAnsi="宋体" w:cs="宋体"/>
          <w:sz w:val="24"/>
          <w:szCs w:val="24"/>
          <w:highlight w:val="none"/>
          <w:u w:val="none"/>
          <w:shd w:val="clear" w:color="auto" w:fill="FFFFFF"/>
          <w:lang w:val="en-US" w:eastAsia="zh-CN"/>
        </w:rPr>
        <w:t>季度</w:t>
      </w:r>
      <w:r>
        <w:rPr>
          <w:rFonts w:hint="eastAsia" w:ascii="宋体" w:hAnsi="宋体" w:eastAsia="宋体" w:cs="宋体"/>
          <w:sz w:val="24"/>
          <w:szCs w:val="24"/>
          <w:highlight w:val="none"/>
          <w:u w:val="none"/>
          <w:shd w:val="clear" w:color="auto" w:fill="FFFFFF"/>
          <w:lang w:val="en-US" w:eastAsia="zh-CN"/>
        </w:rPr>
        <w:t>实际产生的费用支付。</w:t>
      </w:r>
    </w:p>
    <w:p w14:paraId="62D0BE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u w:val="none"/>
          <w:shd w:val="clear" w:color="auto" w:fill="FFFFFF"/>
          <w:lang w:val="en-US" w:eastAsia="zh-CN"/>
        </w:rPr>
      </w:pPr>
      <w:r>
        <w:rPr>
          <w:rFonts w:hint="eastAsia" w:ascii="宋体" w:hAnsi="宋体" w:eastAsia="宋体" w:cs="宋体"/>
          <w:sz w:val="24"/>
          <w:szCs w:val="24"/>
          <w:highlight w:val="none"/>
          <w:u w:val="none"/>
          <w:shd w:val="clear" w:color="auto" w:fill="FFFFFF"/>
          <w:lang w:val="en-US" w:eastAsia="zh-CN"/>
        </w:rPr>
        <w:t>2、乙方应按</w:t>
      </w:r>
      <w:r>
        <w:rPr>
          <w:rFonts w:hint="eastAsia" w:ascii="宋体" w:hAnsi="宋体" w:cs="宋体"/>
          <w:sz w:val="24"/>
          <w:szCs w:val="24"/>
          <w:highlight w:val="none"/>
          <w:u w:val="none"/>
          <w:shd w:val="clear" w:color="auto" w:fill="FFFFFF"/>
          <w:lang w:val="en-US" w:eastAsia="zh-CN"/>
        </w:rPr>
        <w:t>季</w:t>
      </w:r>
      <w:r>
        <w:rPr>
          <w:rFonts w:hint="eastAsia" w:ascii="宋体" w:hAnsi="宋体" w:eastAsia="宋体" w:cs="宋体"/>
          <w:sz w:val="24"/>
          <w:szCs w:val="24"/>
          <w:highlight w:val="none"/>
          <w:u w:val="none"/>
          <w:shd w:val="clear" w:color="auto" w:fill="FFFFFF"/>
          <w:lang w:val="en-US" w:eastAsia="zh-CN"/>
        </w:rPr>
        <w:t>度开票，甲方在收到发票后30天内付款，开票时间为计算机终端及系统软件运维服务期开始（合同约定正式服务期起算之日）的次</w:t>
      </w:r>
      <w:r>
        <w:rPr>
          <w:rFonts w:hint="eastAsia" w:ascii="宋体" w:hAnsi="宋体" w:cs="宋体"/>
          <w:sz w:val="24"/>
          <w:szCs w:val="24"/>
          <w:highlight w:val="none"/>
          <w:u w:val="none"/>
          <w:shd w:val="clear" w:color="auto" w:fill="FFFFFF"/>
          <w:lang w:val="en-US" w:eastAsia="zh-CN"/>
        </w:rPr>
        <w:t>季度</w:t>
      </w:r>
      <w:r>
        <w:rPr>
          <w:rFonts w:hint="eastAsia" w:ascii="宋体" w:hAnsi="宋体" w:eastAsia="宋体" w:cs="宋体"/>
          <w:sz w:val="24"/>
          <w:szCs w:val="24"/>
          <w:highlight w:val="none"/>
          <w:u w:val="none"/>
          <w:shd w:val="clear" w:color="auto" w:fill="FFFFFF"/>
          <w:lang w:val="en-US" w:eastAsia="zh-CN"/>
        </w:rPr>
        <w:t>初。</w:t>
      </w:r>
    </w:p>
    <w:p w14:paraId="1A83BC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u w:val="none"/>
          <w:shd w:val="clear" w:color="auto" w:fill="FFFFFF"/>
          <w:lang w:val="en-US" w:eastAsia="zh-CN"/>
        </w:rPr>
      </w:pPr>
      <w:r>
        <w:rPr>
          <w:rFonts w:hint="eastAsia" w:ascii="宋体" w:hAnsi="宋体" w:eastAsia="宋体" w:cs="宋体"/>
          <w:sz w:val="24"/>
          <w:szCs w:val="24"/>
          <w:highlight w:val="none"/>
          <w:u w:val="none"/>
          <w:shd w:val="clear" w:color="auto" w:fill="FFFFFF"/>
          <w:lang w:val="en-US" w:eastAsia="zh-CN"/>
        </w:rPr>
        <w:t>3、甲方对乙方的工作除考核检查外，对存在的问题甲方相关部门下达整改通知书，乙方必须限期改正；</w:t>
      </w:r>
    </w:p>
    <w:p w14:paraId="38B1DA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zh-CN" w:eastAsia="zh-CN"/>
        </w:rPr>
      </w:pPr>
      <w:r>
        <w:rPr>
          <w:rFonts w:hint="eastAsia" w:ascii="宋体" w:hAnsi="宋体" w:eastAsia="宋体" w:cs="宋体"/>
          <w:sz w:val="24"/>
          <w:szCs w:val="24"/>
          <w:highlight w:val="none"/>
          <w:u w:val="none"/>
          <w:shd w:val="clear" w:color="auto" w:fill="FFFFFF"/>
          <w:lang w:val="en-US" w:eastAsia="zh-CN"/>
        </w:rPr>
        <w:t>4</w:t>
      </w:r>
      <w:r>
        <w:rPr>
          <w:rFonts w:hint="eastAsia" w:ascii="宋体" w:hAnsi="宋体" w:eastAsia="宋体" w:cs="宋体"/>
          <w:sz w:val="24"/>
          <w:szCs w:val="24"/>
          <w:highlight w:val="none"/>
          <w:u w:val="none"/>
          <w:shd w:val="clear" w:color="auto" w:fill="FFFFFF"/>
          <w:lang w:val="zh-CN" w:eastAsia="zh-CN"/>
        </w:rPr>
        <w:t>、乙方在申请付款时</w:t>
      </w:r>
      <w:r>
        <w:rPr>
          <w:rFonts w:hint="eastAsia" w:ascii="宋体" w:hAnsi="宋体" w:eastAsia="宋体" w:cs="宋体"/>
          <w:sz w:val="24"/>
          <w:szCs w:val="24"/>
          <w:u w:val="none"/>
          <w:shd w:val="clear" w:color="auto" w:fill="FFFFFF"/>
          <w:lang w:val="zh-CN" w:eastAsia="zh-CN"/>
        </w:rPr>
        <w:t>向甲方提供以下凭据：</w:t>
      </w:r>
    </w:p>
    <w:p w14:paraId="395FC7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zh-CN" w:eastAsia="zh-CN"/>
        </w:rPr>
      </w:pPr>
      <w:r>
        <w:rPr>
          <w:rFonts w:hint="eastAsia" w:ascii="宋体" w:hAnsi="宋体" w:cs="宋体"/>
          <w:sz w:val="24"/>
          <w:szCs w:val="24"/>
          <w:u w:val="none"/>
          <w:shd w:val="clear" w:color="auto" w:fill="FFFFFF"/>
          <w:lang w:val="en-US" w:eastAsia="zh-CN"/>
        </w:rPr>
        <w:t>a</w:t>
      </w:r>
      <w:r>
        <w:rPr>
          <w:rFonts w:hint="eastAsia" w:ascii="宋体" w:hAnsi="宋体" w:eastAsia="宋体" w:cs="宋体"/>
          <w:sz w:val="24"/>
          <w:szCs w:val="24"/>
          <w:u w:val="none"/>
          <w:shd w:val="clear" w:color="auto" w:fill="FFFFFF"/>
          <w:lang w:val="zh-CN" w:eastAsia="zh-CN"/>
        </w:rPr>
        <w:t>、符合甲方财务要求开具的合法正规的增值税</w:t>
      </w:r>
      <w:r>
        <w:rPr>
          <w:rFonts w:hint="eastAsia" w:ascii="宋体" w:hAnsi="宋体" w:eastAsia="宋体" w:cs="宋体"/>
          <w:sz w:val="24"/>
          <w:szCs w:val="24"/>
          <w:u w:val="none"/>
          <w:shd w:val="clear" w:color="auto" w:fill="FFFFFF"/>
          <w:lang w:val="en-US" w:eastAsia="zh-CN"/>
        </w:rPr>
        <w:t>普通</w:t>
      </w:r>
      <w:r>
        <w:rPr>
          <w:rFonts w:hint="eastAsia" w:ascii="宋体" w:hAnsi="宋体" w:eastAsia="宋体" w:cs="宋体"/>
          <w:sz w:val="24"/>
          <w:szCs w:val="24"/>
          <w:u w:val="none"/>
          <w:shd w:val="clear" w:color="auto" w:fill="FFFFFF"/>
          <w:lang w:val="zh-CN" w:eastAsia="zh-CN"/>
        </w:rPr>
        <w:t>发票；</w:t>
      </w:r>
    </w:p>
    <w:p w14:paraId="1CD1F2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zh-CN" w:eastAsia="zh-CN"/>
        </w:rPr>
      </w:pPr>
      <w:r>
        <w:rPr>
          <w:rFonts w:hint="eastAsia" w:ascii="宋体" w:hAnsi="宋体" w:cs="宋体"/>
          <w:sz w:val="24"/>
          <w:szCs w:val="24"/>
          <w:u w:val="none"/>
          <w:shd w:val="clear" w:color="auto" w:fill="FFFFFF"/>
          <w:lang w:val="en-US" w:eastAsia="zh-CN"/>
        </w:rPr>
        <w:t>b</w:t>
      </w:r>
      <w:r>
        <w:rPr>
          <w:rFonts w:hint="eastAsia" w:ascii="宋体" w:hAnsi="宋体" w:eastAsia="宋体" w:cs="宋体"/>
          <w:sz w:val="24"/>
          <w:szCs w:val="24"/>
          <w:u w:val="none"/>
          <w:shd w:val="clear" w:color="auto" w:fill="FFFFFF"/>
          <w:lang w:val="zh-CN" w:eastAsia="zh-CN"/>
        </w:rPr>
        <w:t>、经甲乙双方共同签章的《</w:t>
      </w:r>
      <w:r>
        <w:rPr>
          <w:rFonts w:hint="eastAsia" w:asciiTheme="majorEastAsia" w:hAnsiTheme="majorEastAsia" w:eastAsiaTheme="majorEastAsia" w:cstheme="majorEastAsia"/>
          <w:sz w:val="24"/>
          <w:szCs w:val="24"/>
        </w:rPr>
        <w:t>服务质量</w:t>
      </w:r>
      <w:r>
        <w:rPr>
          <w:rFonts w:hint="eastAsia" w:asciiTheme="majorEastAsia" w:hAnsiTheme="majorEastAsia" w:eastAsiaTheme="majorEastAsia" w:cstheme="majorEastAsia"/>
          <w:sz w:val="24"/>
          <w:szCs w:val="24"/>
          <w:lang w:val="en-US" w:eastAsia="zh-CN"/>
        </w:rPr>
        <w:t>季</w:t>
      </w:r>
      <w:r>
        <w:rPr>
          <w:rFonts w:hint="eastAsia" w:asciiTheme="majorEastAsia" w:hAnsiTheme="majorEastAsia" w:eastAsiaTheme="majorEastAsia" w:cstheme="majorEastAsia"/>
          <w:sz w:val="24"/>
          <w:szCs w:val="24"/>
        </w:rPr>
        <w:t>度</w:t>
      </w:r>
      <w:r>
        <w:rPr>
          <w:rFonts w:hint="eastAsia" w:ascii="宋体" w:hAnsi="宋体" w:cs="宋体"/>
          <w:sz w:val="24"/>
          <w:szCs w:val="24"/>
          <w:u w:val="none"/>
          <w:shd w:val="clear" w:color="auto" w:fill="FFFFFF"/>
          <w:lang w:val="en-US" w:eastAsia="zh-CN"/>
        </w:rPr>
        <w:t>考核表</w:t>
      </w:r>
      <w:r>
        <w:rPr>
          <w:rFonts w:hint="eastAsia" w:ascii="宋体" w:hAnsi="宋体" w:eastAsia="宋体" w:cs="宋体"/>
          <w:sz w:val="24"/>
          <w:szCs w:val="24"/>
          <w:u w:val="none"/>
          <w:shd w:val="clear" w:color="auto" w:fill="FFFFFF"/>
          <w:lang w:val="zh-CN" w:eastAsia="zh-CN"/>
        </w:rPr>
        <w:t>》；</w:t>
      </w:r>
    </w:p>
    <w:p w14:paraId="4C2D1D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en-US" w:eastAsia="zh-CN"/>
        </w:rPr>
      </w:pPr>
      <w:r>
        <w:rPr>
          <w:rFonts w:hint="eastAsia" w:ascii="宋体" w:hAnsi="宋体" w:cs="宋体"/>
          <w:sz w:val="24"/>
          <w:szCs w:val="24"/>
          <w:u w:val="none"/>
          <w:shd w:val="clear" w:color="auto" w:fill="FFFFFF"/>
          <w:lang w:val="en-US" w:eastAsia="zh-CN"/>
        </w:rPr>
        <w:t>c</w:t>
      </w:r>
      <w:r>
        <w:rPr>
          <w:rFonts w:hint="eastAsia" w:ascii="宋体" w:hAnsi="宋体" w:eastAsia="宋体" w:cs="宋体"/>
          <w:sz w:val="24"/>
          <w:szCs w:val="24"/>
          <w:u w:val="none"/>
          <w:shd w:val="clear" w:color="auto" w:fill="FFFFFF"/>
          <w:lang w:val="en-US" w:eastAsia="zh-CN"/>
        </w:rPr>
        <w:t>、</w:t>
      </w:r>
      <w:r>
        <w:rPr>
          <w:rFonts w:hint="eastAsia" w:ascii="宋体" w:hAnsi="宋体" w:eastAsia="宋体" w:cs="宋体"/>
          <w:sz w:val="24"/>
          <w:szCs w:val="24"/>
          <w:u w:val="none"/>
          <w:shd w:val="clear" w:color="auto" w:fill="FFFFFF"/>
          <w:lang w:val="zh-CN" w:eastAsia="zh-CN"/>
        </w:rPr>
        <w:t>其他（若有）。</w:t>
      </w:r>
    </w:p>
    <w:p w14:paraId="0CAA2B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u w:val="none"/>
          <w:shd w:val="clear" w:color="auto" w:fill="FFFFFF"/>
          <w:lang w:val="zh-CN" w:eastAsia="zh-CN"/>
        </w:rPr>
      </w:pPr>
      <w:r>
        <w:rPr>
          <w:rFonts w:hint="eastAsia" w:ascii="宋体" w:hAnsi="宋体" w:cs="宋体"/>
          <w:sz w:val="24"/>
          <w:szCs w:val="24"/>
          <w:u w:val="none"/>
          <w:shd w:val="clear" w:color="auto" w:fill="FFFFFF"/>
          <w:lang w:val="en-US" w:eastAsia="zh-CN"/>
        </w:rPr>
        <w:t>5</w:t>
      </w:r>
      <w:r>
        <w:rPr>
          <w:rFonts w:hint="eastAsia" w:ascii="宋体" w:hAnsi="宋体" w:eastAsia="宋体" w:cs="宋体"/>
          <w:sz w:val="24"/>
          <w:szCs w:val="24"/>
          <w:u w:val="none"/>
          <w:shd w:val="clear" w:color="auto" w:fill="FFFFFF"/>
          <w:lang w:val="zh-CN" w:eastAsia="zh-CN"/>
        </w:rPr>
        <w:t>、支付方式：银行汇票或银行转账。</w:t>
      </w:r>
    </w:p>
    <w:p w14:paraId="001CB4E7">
      <w:pPr>
        <w:pStyle w:val="4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lang w:val="zh-CN"/>
        </w:rPr>
      </w:pPr>
      <w:r>
        <w:rPr>
          <w:rFonts w:hint="eastAsia" w:ascii="宋体" w:hAnsi="宋体" w:eastAsia="宋体" w:cs="宋体"/>
          <w:b/>
          <w:bCs/>
          <w:color w:val="000000"/>
          <w:kern w:val="0"/>
          <w:sz w:val="24"/>
          <w:szCs w:val="24"/>
          <w:lang w:val="zh-CN" w:eastAsia="zh-CN" w:bidi="ar-SA"/>
        </w:rPr>
        <w:t>四、</w:t>
      </w:r>
      <w:r>
        <w:rPr>
          <w:rFonts w:hint="eastAsia" w:ascii="宋体" w:hAnsi="宋体" w:eastAsia="宋体" w:cs="宋体"/>
          <w:b/>
          <w:bCs/>
          <w:color w:val="000000"/>
          <w:kern w:val="0"/>
          <w:sz w:val="24"/>
          <w:szCs w:val="24"/>
          <w:lang w:val="zh-CN"/>
        </w:rPr>
        <w:t>双方权利与义务</w:t>
      </w:r>
    </w:p>
    <w:p w14:paraId="2C1AB2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zh-CN"/>
        </w:rPr>
        <w:t>1、</w:t>
      </w:r>
      <w:r>
        <w:rPr>
          <w:rFonts w:hint="eastAsia" w:ascii="宋体" w:hAnsi="宋体" w:eastAsia="宋体" w:cs="宋体"/>
          <w:color w:val="000000"/>
          <w:kern w:val="0"/>
          <w:sz w:val="24"/>
          <w:szCs w:val="24"/>
        </w:rPr>
        <w:t>甲方权利与义务</w:t>
      </w:r>
    </w:p>
    <w:p w14:paraId="4CF9C7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hint="eastAsia" w:ascii="宋体" w:hAnsi="宋体" w:cs="宋体"/>
          <w:color w:val="000000"/>
          <w:kern w:val="0"/>
          <w:sz w:val="24"/>
          <w:szCs w:val="24"/>
          <w:lang w:val="en-US" w:eastAsia="zh-CN"/>
        </w:rPr>
        <w:t>1</w:t>
      </w:r>
      <w:r>
        <w:rPr>
          <w:rFonts w:hint="eastAsia" w:ascii="宋体" w:hAnsi="宋体" w:eastAsia="宋体" w:cs="宋体"/>
          <w:color w:val="000000"/>
          <w:kern w:val="0"/>
          <w:sz w:val="24"/>
          <w:szCs w:val="24"/>
        </w:rPr>
        <w:t xml:space="preserve"> 负责项目实施工作的计划与组织，并指定专人组织项目实施，甲方参与项目实施人员应该熟悉本院信息管理及相关基础管理工作；</w:t>
      </w:r>
    </w:p>
    <w:p w14:paraId="7BB29D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hint="eastAsia" w:ascii="宋体" w:hAnsi="宋体" w:cs="宋体"/>
          <w:color w:val="000000"/>
          <w:kern w:val="0"/>
          <w:sz w:val="24"/>
          <w:szCs w:val="24"/>
          <w:lang w:val="en-US" w:eastAsia="zh-CN"/>
        </w:rPr>
        <w:t>2</w:t>
      </w:r>
      <w:r>
        <w:rPr>
          <w:rFonts w:hint="eastAsia" w:ascii="宋体" w:hAnsi="宋体" w:eastAsia="宋体" w:cs="宋体"/>
          <w:color w:val="000000"/>
          <w:kern w:val="0"/>
          <w:sz w:val="24"/>
          <w:szCs w:val="24"/>
        </w:rPr>
        <w:t xml:space="preserve"> 项目实施过程中，甲方负责相关职能部门的沟通与协调，根据项目实施计划，督促检查各职能部门基础工作的完善和基础数据的准备；</w:t>
      </w:r>
    </w:p>
    <w:p w14:paraId="5A7DCB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hint="eastAsia" w:ascii="宋体" w:hAnsi="宋体" w:cs="宋体"/>
          <w:color w:val="000000"/>
          <w:kern w:val="0"/>
          <w:sz w:val="24"/>
          <w:szCs w:val="24"/>
          <w:lang w:val="en-US" w:eastAsia="zh-CN"/>
        </w:rPr>
        <w:t>3</w:t>
      </w:r>
      <w:r>
        <w:rPr>
          <w:rFonts w:hint="eastAsia" w:ascii="宋体" w:hAnsi="宋体" w:eastAsia="宋体" w:cs="宋体"/>
          <w:color w:val="000000"/>
          <w:kern w:val="0"/>
          <w:sz w:val="24"/>
          <w:szCs w:val="24"/>
        </w:rPr>
        <w:t xml:space="preserve"> 负责项目实施的场地安排、硬件网络等设施准备、数据提供、数据录入、调试配全，按实施进度组织项目验收；</w:t>
      </w:r>
    </w:p>
    <w:p w14:paraId="21143CF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hint="eastAsia" w:ascii="宋体" w:hAnsi="宋体" w:cs="宋体"/>
          <w:color w:val="000000"/>
          <w:kern w:val="0"/>
          <w:sz w:val="24"/>
          <w:szCs w:val="24"/>
          <w:lang w:val="en-US" w:eastAsia="zh-CN"/>
        </w:rPr>
        <w:t>4</w:t>
      </w:r>
      <w:r>
        <w:rPr>
          <w:rFonts w:hint="eastAsia" w:ascii="宋体" w:hAnsi="宋体" w:eastAsia="宋体" w:cs="宋体"/>
          <w:color w:val="000000"/>
          <w:kern w:val="0"/>
          <w:sz w:val="24"/>
          <w:szCs w:val="24"/>
        </w:rPr>
        <w:t xml:space="preserve"> 甲方负责配合乙方的业务数据集成（接口）开发，提供技术支持与相关咨询；</w:t>
      </w:r>
    </w:p>
    <w:p w14:paraId="279BE1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hint="eastAsia" w:ascii="宋体" w:hAnsi="宋体" w:cs="宋体"/>
          <w:color w:val="000000"/>
          <w:kern w:val="0"/>
          <w:sz w:val="24"/>
          <w:szCs w:val="24"/>
          <w:lang w:val="en-US" w:eastAsia="zh-CN"/>
        </w:rPr>
        <w:t>5</w:t>
      </w:r>
      <w:r>
        <w:rPr>
          <w:rFonts w:hint="eastAsia" w:ascii="宋体" w:hAnsi="宋体" w:eastAsia="宋体" w:cs="宋体"/>
          <w:color w:val="000000"/>
          <w:kern w:val="0"/>
          <w:sz w:val="24"/>
          <w:szCs w:val="24"/>
        </w:rPr>
        <w:t xml:space="preserve"> 接受乙方的技术指导和培训；</w:t>
      </w:r>
    </w:p>
    <w:p w14:paraId="0E2D320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hint="eastAsia" w:ascii="宋体" w:hAnsi="宋体" w:cs="宋体"/>
          <w:color w:val="000000"/>
          <w:kern w:val="0"/>
          <w:sz w:val="24"/>
          <w:szCs w:val="24"/>
          <w:lang w:val="en-US" w:eastAsia="zh-CN"/>
        </w:rPr>
        <w:t>6</w:t>
      </w:r>
      <w:r>
        <w:rPr>
          <w:rFonts w:hint="eastAsia" w:ascii="宋体" w:hAnsi="宋体" w:eastAsia="宋体" w:cs="宋体"/>
          <w:color w:val="000000"/>
          <w:kern w:val="0"/>
          <w:sz w:val="24"/>
          <w:szCs w:val="24"/>
        </w:rPr>
        <w:t xml:space="preserve"> 随时了解系统运行情况及系统后台运行记录。</w:t>
      </w:r>
    </w:p>
    <w:p w14:paraId="15E677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r>
        <w:rPr>
          <w:rFonts w:hint="eastAsia" w:ascii="宋体" w:hAnsi="宋体" w:eastAsia="宋体" w:cs="宋体"/>
          <w:color w:val="000000"/>
          <w:kern w:val="0"/>
          <w:sz w:val="24"/>
          <w:szCs w:val="24"/>
          <w:lang w:val="zh-CN"/>
        </w:rPr>
        <w:t>、</w:t>
      </w:r>
      <w:r>
        <w:rPr>
          <w:rFonts w:hint="eastAsia" w:ascii="宋体" w:hAnsi="宋体" w:eastAsia="宋体" w:cs="宋体"/>
          <w:color w:val="000000"/>
          <w:kern w:val="0"/>
          <w:sz w:val="24"/>
          <w:szCs w:val="24"/>
        </w:rPr>
        <w:t>乙方权利与义务</w:t>
      </w:r>
    </w:p>
    <w:p w14:paraId="4C9F78E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 乙方提供合同约定的合格的软件产品并应符合国家有关法律、法规、制度、规范；</w:t>
      </w:r>
    </w:p>
    <w:p w14:paraId="0980FA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 乙方成立专业项目组，指定专人负责项目各环节的实施和服务；</w:t>
      </w:r>
    </w:p>
    <w:p w14:paraId="1673D46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 乙方应按照双方确认的项目实施计划组织项目实施，并根据不同实施阶段，对项目实施计划进行细化、补充和修改；</w:t>
      </w:r>
    </w:p>
    <w:p w14:paraId="43CB10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2.4 乙方应对甲方指定的系统管理员进行专门培训，内容包括系统维护、系统安全等；</w:t>
      </w:r>
    </w:p>
    <w:p w14:paraId="4C92370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2.5 乙方所派人员应严格服从甲方项目组的管理及相关规章制度，乙方所派人员应按时完成甲方项目组所安排的任务；乙方所派人员保证不得泄露相关项目信息，项目经理及其项目团队不得出现无故旷工、缺席、迟到现象；</w:t>
      </w:r>
    </w:p>
    <w:p w14:paraId="08E7728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2.6 乙方所派人员具有履行服务必要的资质、专业技术、资源、许可、准许和授权，并且在履行服务的整个过程中保持其有效；</w:t>
      </w:r>
    </w:p>
    <w:p w14:paraId="1C8983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2.7</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乙方</w:t>
      </w:r>
      <w:r>
        <w:rPr>
          <w:rFonts w:hint="eastAsia" w:ascii="宋体" w:hAnsi="宋体" w:cs="宋体"/>
          <w:kern w:val="0"/>
          <w:sz w:val="24"/>
          <w:szCs w:val="24"/>
          <w:lang w:val="en-US" w:eastAsia="zh-CN"/>
        </w:rPr>
        <w:t>进</w:t>
      </w:r>
      <w:r>
        <w:rPr>
          <w:rFonts w:hint="eastAsia" w:ascii="宋体" w:hAnsi="宋体" w:eastAsia="宋体" w:cs="宋体"/>
          <w:kern w:val="0"/>
          <w:sz w:val="24"/>
          <w:szCs w:val="24"/>
        </w:rPr>
        <w:t>入甲方施工现场的人员信息详见附件，项目人员的身份信息乙方应当提前5日向甲方书面报备。</w:t>
      </w:r>
    </w:p>
    <w:p w14:paraId="668157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rPr>
        <w:t>2.8 乙方应安全施工，并避免和防止乙方出现安全事故发生，乙方负责对乙方的施工人员进行人身意外险投保，若发生安全事故均由乙方负责处理和承担责任，包括但不限于经济赔偿和行政处理。该等责任与甲方无涉。</w:t>
      </w:r>
    </w:p>
    <w:p w14:paraId="6893F3EA">
      <w:pPr>
        <w:pStyle w:val="4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highlight w:val="none"/>
          <w:lang w:val="zh-CN"/>
        </w:rPr>
      </w:pPr>
      <w:r>
        <w:rPr>
          <w:rFonts w:hint="eastAsia" w:ascii="宋体" w:hAnsi="宋体" w:eastAsia="宋体" w:cs="宋体"/>
          <w:b/>
          <w:bCs/>
          <w:color w:val="000000"/>
          <w:kern w:val="0"/>
          <w:sz w:val="24"/>
          <w:szCs w:val="24"/>
          <w:lang w:val="zh-CN" w:eastAsia="zh-CN" w:bidi="ar-SA"/>
        </w:rPr>
        <w:t>五、</w:t>
      </w:r>
      <w:r>
        <w:rPr>
          <w:rFonts w:hint="eastAsia" w:ascii="宋体" w:hAnsi="宋体" w:eastAsia="宋体" w:cs="宋体"/>
          <w:b/>
          <w:bCs/>
          <w:color w:val="000000"/>
          <w:kern w:val="0"/>
          <w:sz w:val="24"/>
          <w:szCs w:val="24"/>
          <w:highlight w:val="none"/>
          <w:lang w:val="zh-CN"/>
        </w:rPr>
        <w:t>知识产权及保密义务</w:t>
      </w:r>
    </w:p>
    <w:p w14:paraId="1C6E7E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highlight w:val="none"/>
          <w:lang w:val="zh-CN"/>
        </w:rPr>
        <w:t>1、双方同意：在合同履行期内及合同履行终止后十年内，</w:t>
      </w:r>
      <w:r>
        <w:rPr>
          <w:rFonts w:hint="eastAsia" w:ascii="宋体" w:hAnsi="宋体" w:eastAsia="宋体" w:cs="宋体"/>
          <w:color w:val="000000"/>
          <w:kern w:val="0"/>
          <w:sz w:val="24"/>
          <w:szCs w:val="24"/>
          <w:lang w:val="zh-CN"/>
        </w:rPr>
        <w:t>对本合同项目内容及双方相关资料包括但不限于各类数据、检测报告、价格、商业信息均予以保密，除非保密信息已通过正当途径为公众所知，或披露方事先书面授权披露，一方未经另一方事先的书面许可，不得向任何第三方披露，也不得将保密信息用于与本合同条款不相符合的任何目的。</w:t>
      </w:r>
    </w:p>
    <w:p w14:paraId="009FA5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2、各方仅向因职责所需而需要了解上述保密信息的工作人员披露保密信息，且该工作人员经双方协商授权确定，并应采取所有合理的防范措施防止不经授权的披露。</w:t>
      </w:r>
    </w:p>
    <w:p w14:paraId="7B2D05D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3、双方保证，如相关信息涉及患者的个人信息的，应当严格遵守保密义务及《中华人民共和国个人信息保护法》等相关法律法规。</w:t>
      </w:r>
    </w:p>
    <w:p w14:paraId="3EC32F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cs="宋体"/>
          <w:color w:val="000000"/>
          <w:kern w:val="0"/>
          <w:sz w:val="24"/>
          <w:szCs w:val="24"/>
          <w:lang w:val="en-US" w:eastAsia="zh-CN"/>
        </w:rPr>
        <w:t>4、</w:t>
      </w:r>
      <w:r>
        <w:rPr>
          <w:rFonts w:hint="eastAsia" w:ascii="宋体" w:hAnsi="宋体" w:eastAsia="宋体" w:cs="宋体"/>
          <w:color w:val="000000"/>
          <w:kern w:val="0"/>
          <w:sz w:val="24"/>
          <w:szCs w:val="24"/>
          <w:lang w:val="zh-CN"/>
        </w:rPr>
        <w:t>根据《关于加强行政事业单位数据资产管理的通知》（财资〔2024〕1号）、《"数据要素X"三年行动计划（2024-2026年）》（国数政策〔2023〕11号）等相关法律法规与政策要求，本院保留作为数据资产持有及管理主体所依法享有的各项权利。对于任何违反授权范围或有关规定使用数据的行为，本院将追究相关方责任并主张相应权益。</w:t>
      </w:r>
    </w:p>
    <w:p w14:paraId="538A1A83">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lang w:val="zh-CN"/>
        </w:rPr>
      </w:pPr>
      <w:r>
        <w:rPr>
          <w:rFonts w:hint="eastAsia" w:ascii="宋体" w:hAnsi="宋体" w:eastAsia="宋体" w:cs="宋体"/>
          <w:b/>
          <w:bCs/>
          <w:color w:val="000000"/>
          <w:kern w:val="0"/>
          <w:sz w:val="24"/>
          <w:szCs w:val="24"/>
          <w:lang w:val="zh-CN" w:eastAsia="zh-CN" w:bidi="ar-SA"/>
        </w:rPr>
        <w:t>六、</w:t>
      </w:r>
      <w:r>
        <w:rPr>
          <w:rFonts w:hint="eastAsia" w:ascii="宋体" w:hAnsi="宋体" w:eastAsia="宋体" w:cs="宋体"/>
          <w:b/>
          <w:bCs/>
          <w:color w:val="000000"/>
          <w:kern w:val="0"/>
          <w:sz w:val="24"/>
          <w:szCs w:val="24"/>
          <w:lang w:val="zh-CN"/>
        </w:rPr>
        <w:t>对采购项目的验</w:t>
      </w:r>
      <w:r>
        <w:rPr>
          <w:rFonts w:hint="eastAsia" w:ascii="宋体" w:hAnsi="宋体" w:cs="宋体"/>
          <w:b/>
          <w:bCs/>
          <w:color w:val="000000"/>
          <w:kern w:val="0"/>
          <w:sz w:val="24"/>
          <w:szCs w:val="24"/>
          <w:lang w:val="en-US" w:eastAsia="zh-CN"/>
        </w:rPr>
        <w:t>收</w:t>
      </w:r>
      <w:r>
        <w:rPr>
          <w:rFonts w:hint="eastAsia" w:ascii="宋体" w:hAnsi="宋体" w:eastAsia="宋体" w:cs="宋体"/>
          <w:b/>
          <w:bCs/>
          <w:color w:val="000000"/>
          <w:kern w:val="0"/>
          <w:sz w:val="24"/>
          <w:szCs w:val="24"/>
          <w:lang w:val="zh-CN"/>
        </w:rPr>
        <w:t>提出异议的时间和办法</w:t>
      </w:r>
    </w:p>
    <w:p w14:paraId="000585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1、甲方在验收过程中，应当于双方约定的检验期间内将标的物的质量不符合约定的情况及处理方式以书面方式通知乙方。</w:t>
      </w:r>
    </w:p>
    <w:p w14:paraId="422A7BA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2、如果甲方在验收期满后既不出具验收合格证明又未提出书面异议的视为乙方所交付标的物符合合同规定。</w:t>
      </w:r>
    </w:p>
    <w:p w14:paraId="1A7EEF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3、乙方应在收到甲方书面异议后七天内负责解决问题，否则将视为默认甲方提出的异议和处理意见。</w:t>
      </w:r>
    </w:p>
    <w:p w14:paraId="6E0C820A">
      <w:pPr>
        <w:pStyle w:val="4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lang w:val="zh-CN"/>
        </w:rPr>
      </w:pPr>
      <w:r>
        <w:rPr>
          <w:rFonts w:hint="eastAsia" w:ascii="宋体" w:hAnsi="宋体" w:cs="宋体"/>
          <w:b/>
          <w:bCs/>
          <w:color w:val="000000"/>
          <w:kern w:val="0"/>
          <w:sz w:val="24"/>
          <w:szCs w:val="24"/>
          <w:lang w:val="en-US" w:eastAsia="zh-CN" w:bidi="ar-SA"/>
        </w:rPr>
        <w:t>七</w:t>
      </w:r>
      <w:r>
        <w:rPr>
          <w:rFonts w:hint="eastAsia" w:ascii="宋体" w:hAnsi="宋体" w:eastAsia="宋体" w:cs="宋体"/>
          <w:b/>
          <w:bCs/>
          <w:color w:val="000000"/>
          <w:kern w:val="0"/>
          <w:sz w:val="24"/>
          <w:szCs w:val="24"/>
          <w:lang w:val="zh-CN" w:eastAsia="zh-CN" w:bidi="ar-SA"/>
        </w:rPr>
        <w:t>、</w:t>
      </w:r>
      <w:r>
        <w:rPr>
          <w:rFonts w:hint="eastAsia" w:ascii="宋体" w:hAnsi="宋体" w:eastAsia="宋体" w:cs="宋体"/>
          <w:b/>
          <w:bCs/>
          <w:color w:val="000000"/>
          <w:kern w:val="0"/>
          <w:sz w:val="24"/>
          <w:szCs w:val="24"/>
          <w:lang w:val="zh-CN"/>
        </w:rPr>
        <w:t>违约责任</w:t>
      </w:r>
    </w:p>
    <w:p w14:paraId="6E0082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1、甲方违约责任及违约金支付：</w:t>
      </w:r>
    </w:p>
    <w:p w14:paraId="536B7B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1.1在合同生效后，甲方无故要求解除合同的，应向乙方偿付合同总价款5%的违约金，违约金不足以补偿损失的，乙方有权要求甲方补足。</w:t>
      </w:r>
    </w:p>
    <w:p w14:paraId="317CA18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1.2甲方逾期付款的应按照逾期付款金额的每天万分之四支付逾期付款违约金，总额不超过合同总价款的5%。</w:t>
      </w:r>
    </w:p>
    <w:p w14:paraId="65F671B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1.3甲方违反合同规定，拒绝接受乙方交付的合格标的物，应当承担乙方由此造成的损失。</w:t>
      </w:r>
    </w:p>
    <w:p w14:paraId="0619D5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2、乙方违约责任及违约金支付：</w:t>
      </w:r>
    </w:p>
    <w:p w14:paraId="7731F2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2.1在合同生效后，乙方无故要求解除合同的，应向甲方偿付合同总价款5%的违约金，违约金不足以补偿损失的，甲方有权要求乙方补足。</w:t>
      </w:r>
    </w:p>
    <w:p w14:paraId="78EBBBD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zh-CN"/>
        </w:rPr>
        <w:t>2.</w:t>
      </w:r>
      <w:r>
        <w:rPr>
          <w:rFonts w:hint="eastAsia" w:ascii="宋体" w:hAnsi="宋体" w:eastAsia="宋体" w:cs="宋体"/>
          <w:color w:val="000000"/>
          <w:kern w:val="0"/>
          <w:sz w:val="24"/>
          <w:szCs w:val="24"/>
        </w:rPr>
        <w:t>2 乙方不能按时交付技术成果或提供服务的，每逾期一日应向甲方支付合同总额的</w:t>
      </w:r>
      <w:r>
        <w:rPr>
          <w:rFonts w:hint="eastAsia" w:ascii="宋体" w:hAnsi="宋体" w:eastAsia="宋体" w:cs="宋体"/>
          <w:color w:val="000000"/>
          <w:kern w:val="0"/>
          <w:sz w:val="24"/>
          <w:szCs w:val="24"/>
          <w:highlight w:val="none"/>
        </w:rPr>
        <w:t>1%</w:t>
      </w:r>
      <w:r>
        <w:rPr>
          <w:rFonts w:hint="eastAsia" w:ascii="宋体" w:hAnsi="宋体" w:eastAsia="宋体" w:cs="宋体"/>
          <w:color w:val="000000"/>
          <w:kern w:val="0"/>
          <w:sz w:val="24"/>
          <w:szCs w:val="24"/>
        </w:rPr>
        <w:t>，如违约金不足以弥补给甲方造成的损失，甲方有权要求乙方全额补足。</w:t>
      </w:r>
    </w:p>
    <w:p w14:paraId="683BD2F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2.3 如乙方未能按照本合同约定提供质保售后服务的，乙方应承担相当于本合同总价款15%的违约金，如违约金不足以弥补给甲方造成的损失，甲方有权要求乙方全额补足。</w:t>
      </w:r>
    </w:p>
    <w:p w14:paraId="63C6F4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2.</w:t>
      </w:r>
      <w:r>
        <w:rPr>
          <w:rFonts w:hint="eastAsia" w:ascii="宋体" w:hAnsi="宋体" w:eastAsia="宋体" w:cs="宋体"/>
          <w:color w:val="000000"/>
          <w:kern w:val="0"/>
          <w:sz w:val="24"/>
          <w:szCs w:val="24"/>
        </w:rPr>
        <w:t>4未经甲方事先的书面同意，</w:t>
      </w:r>
      <w:r>
        <w:rPr>
          <w:rFonts w:hint="eastAsia" w:ascii="宋体" w:hAnsi="宋体" w:eastAsia="宋体" w:cs="宋体"/>
          <w:color w:val="000000"/>
          <w:kern w:val="0"/>
          <w:sz w:val="24"/>
          <w:szCs w:val="24"/>
          <w:lang w:val="zh-CN"/>
        </w:rPr>
        <w:t>乙方不得将本项目自行分包，否则，甲方有权立即解除合同。</w:t>
      </w:r>
      <w:r>
        <w:rPr>
          <w:rFonts w:hint="eastAsia" w:ascii="宋体" w:hAnsi="宋体" w:eastAsia="宋体" w:cs="宋体"/>
          <w:color w:val="000000"/>
          <w:kern w:val="0"/>
          <w:sz w:val="24"/>
          <w:szCs w:val="24"/>
        </w:rPr>
        <w:t>乙方应承担相当于本合同总价款15%的违约金，如违约金不足以弥补给甲方造成的损失，甲方有权要求乙方全额补足。</w:t>
      </w:r>
    </w:p>
    <w:p w14:paraId="56F1068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2.</w:t>
      </w:r>
      <w:r>
        <w:rPr>
          <w:rFonts w:hint="eastAsia" w:ascii="宋体" w:hAnsi="宋体" w:eastAsia="宋体" w:cs="宋体"/>
          <w:color w:val="000000"/>
          <w:kern w:val="0"/>
          <w:sz w:val="24"/>
          <w:szCs w:val="24"/>
        </w:rPr>
        <w:t>5</w:t>
      </w:r>
      <w:r>
        <w:rPr>
          <w:rFonts w:hint="eastAsia" w:ascii="宋体" w:hAnsi="宋体" w:eastAsia="宋体" w:cs="宋体"/>
          <w:color w:val="000000"/>
          <w:kern w:val="0"/>
          <w:sz w:val="24"/>
          <w:szCs w:val="24"/>
          <w:lang w:val="zh-CN"/>
        </w:rPr>
        <w:t>乙方应安全施工，并避免和防止乙方出现安全事故发生，乙方负责对乙方的施工人员进行人身意外险投保，若发生安全事故均由乙方负责处理和承担责任，包括但不限于经济赔偿和行政处理。该等责任与甲方无涉。</w:t>
      </w:r>
    </w:p>
    <w:p w14:paraId="56B001D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2.6 如乙方违反本合同其他义务的，且在收到甲方书面通知指定的合理时间未能纠正或怠于更正的，乙方应承担相当于本合同总价款15%的违约金，如违约金不足以弥补给甲方造成的损失，甲方有权要求乙方全额补足。</w:t>
      </w:r>
    </w:p>
    <w:p w14:paraId="4613C20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kern w:val="0"/>
          <w:sz w:val="24"/>
          <w:szCs w:val="24"/>
          <w:lang w:val="zh-CN"/>
        </w:rPr>
        <w:t xml:space="preserve">3. </w:t>
      </w:r>
      <w:r>
        <w:rPr>
          <w:rFonts w:hint="eastAsia" w:ascii="宋体" w:hAnsi="宋体" w:eastAsia="宋体" w:cs="宋体"/>
          <w:color w:val="000000"/>
          <w:kern w:val="0"/>
          <w:sz w:val="24"/>
          <w:szCs w:val="24"/>
          <w:lang w:val="zh-CN"/>
        </w:rPr>
        <w:t>本合同生效后，任何一方不履行或不完全履行本合同约定义务的，即构成违约。守约方</w:t>
      </w:r>
      <w:bookmarkStart w:id="3" w:name="_Hlk155620639"/>
      <w:r>
        <w:rPr>
          <w:rFonts w:hint="eastAsia" w:ascii="宋体" w:hAnsi="宋体" w:eastAsia="宋体" w:cs="宋体"/>
          <w:color w:val="000000"/>
          <w:kern w:val="0"/>
          <w:sz w:val="24"/>
          <w:szCs w:val="24"/>
          <w:lang w:val="zh-CN"/>
        </w:rPr>
        <w:t>有权要求违约方承担违约金，若实际损失超过违约金的应按照实际损失承担赔偿责任，损失赔偿范围包括但不限于守约方的直接损失、间接损失及维权支出的各项费用（诉讼费、律师费、鉴定费、调查费和保全费等）。</w:t>
      </w:r>
      <w:bookmarkEnd w:id="3"/>
    </w:p>
    <w:p w14:paraId="5ACB2954">
      <w:pPr>
        <w:pStyle w:val="4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lang w:val="zh-CN"/>
        </w:rPr>
      </w:pPr>
      <w:r>
        <w:rPr>
          <w:rFonts w:hint="eastAsia" w:ascii="宋体" w:hAnsi="宋体" w:cs="宋体"/>
          <w:b/>
          <w:bCs/>
          <w:color w:val="000000"/>
          <w:kern w:val="0"/>
          <w:sz w:val="24"/>
          <w:szCs w:val="24"/>
          <w:lang w:val="en-US" w:eastAsia="zh-CN" w:bidi="ar-SA"/>
        </w:rPr>
        <w:t>八</w:t>
      </w:r>
      <w:r>
        <w:rPr>
          <w:rFonts w:hint="eastAsia" w:ascii="宋体" w:hAnsi="宋体" w:eastAsia="宋体" w:cs="宋体"/>
          <w:b/>
          <w:bCs/>
          <w:color w:val="000000"/>
          <w:kern w:val="0"/>
          <w:sz w:val="24"/>
          <w:szCs w:val="24"/>
          <w:lang w:val="zh-CN" w:eastAsia="zh-CN" w:bidi="ar-SA"/>
        </w:rPr>
        <w:t>、</w:t>
      </w:r>
      <w:r>
        <w:rPr>
          <w:rFonts w:hint="eastAsia" w:ascii="宋体" w:hAnsi="宋体" w:eastAsia="宋体" w:cs="宋体"/>
          <w:b/>
          <w:bCs/>
          <w:color w:val="000000"/>
          <w:kern w:val="0"/>
          <w:sz w:val="24"/>
          <w:szCs w:val="24"/>
          <w:lang w:val="zh-CN"/>
        </w:rPr>
        <w:t>不可抗力</w:t>
      </w:r>
    </w:p>
    <w:p w14:paraId="6F50175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1、因不可抗力不能履行合同的，根据不可抗力的影响，部分或者全部免除责任。但合同一方延迟履行后发生不可抗力的，不能免除责任。</w:t>
      </w:r>
    </w:p>
    <w:p w14:paraId="5AEE27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bidi="en-US"/>
        </w:rPr>
      </w:pPr>
      <w:r>
        <w:rPr>
          <w:rFonts w:hint="eastAsia" w:ascii="宋体" w:hAnsi="宋体" w:eastAsia="宋体" w:cs="宋体"/>
          <w:color w:val="000000"/>
          <w:kern w:val="0"/>
          <w:sz w:val="24"/>
          <w:szCs w:val="24"/>
          <w:lang w:val="zh-CN"/>
        </w:rPr>
        <w:t>2、合同一方因不可抗力不能履行合同的，应当及时通知对方，以减轻可能给对方造成的损失，并应当在合理期限内提供证明。</w:t>
      </w:r>
    </w:p>
    <w:p w14:paraId="4F9B9C79">
      <w:pPr>
        <w:pStyle w:val="4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lang w:val="zh-CN"/>
        </w:rPr>
      </w:pPr>
      <w:r>
        <w:rPr>
          <w:rFonts w:hint="eastAsia" w:ascii="宋体" w:hAnsi="宋体" w:cs="宋体"/>
          <w:b/>
          <w:bCs/>
          <w:color w:val="000000"/>
          <w:kern w:val="0"/>
          <w:sz w:val="24"/>
          <w:szCs w:val="24"/>
          <w:lang w:val="en-US" w:eastAsia="zh-CN" w:bidi="ar-SA"/>
        </w:rPr>
        <w:t>九</w:t>
      </w:r>
      <w:r>
        <w:rPr>
          <w:rFonts w:hint="eastAsia" w:ascii="宋体" w:hAnsi="宋体" w:eastAsia="宋体" w:cs="宋体"/>
          <w:b/>
          <w:bCs/>
          <w:color w:val="000000"/>
          <w:kern w:val="0"/>
          <w:sz w:val="24"/>
          <w:szCs w:val="24"/>
          <w:lang w:val="zh-CN" w:eastAsia="zh-CN" w:bidi="ar-SA"/>
        </w:rPr>
        <w:t>、</w:t>
      </w:r>
      <w:r>
        <w:rPr>
          <w:rFonts w:hint="eastAsia" w:ascii="宋体" w:hAnsi="宋体" w:eastAsia="宋体" w:cs="宋体"/>
          <w:b/>
          <w:bCs/>
          <w:color w:val="000000"/>
          <w:kern w:val="0"/>
          <w:sz w:val="24"/>
          <w:szCs w:val="24"/>
          <w:lang w:val="zh-CN"/>
        </w:rPr>
        <w:t>合同的修改</w:t>
      </w:r>
    </w:p>
    <w:p w14:paraId="12F82F2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任何一方，未经另一方书面同意，均不得擅自变更本合同。</w:t>
      </w:r>
    </w:p>
    <w:p w14:paraId="6CBB50E6">
      <w:pPr>
        <w:pStyle w:val="4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lang w:val="zh-CN"/>
        </w:rPr>
      </w:pPr>
      <w:r>
        <w:rPr>
          <w:rFonts w:hint="eastAsia" w:ascii="宋体" w:hAnsi="宋体" w:eastAsia="宋体" w:cs="宋体"/>
          <w:b/>
          <w:bCs/>
          <w:color w:val="000000"/>
          <w:kern w:val="0"/>
          <w:sz w:val="24"/>
          <w:szCs w:val="24"/>
          <w:lang w:val="zh-CN" w:eastAsia="zh-CN" w:bidi="ar-SA"/>
        </w:rPr>
        <w:t>十、</w:t>
      </w:r>
      <w:r>
        <w:rPr>
          <w:rFonts w:hint="eastAsia" w:ascii="宋体" w:hAnsi="宋体" w:eastAsia="宋体" w:cs="宋体"/>
          <w:b/>
          <w:bCs/>
          <w:color w:val="000000"/>
          <w:kern w:val="0"/>
          <w:sz w:val="24"/>
          <w:szCs w:val="24"/>
          <w:lang w:val="zh-CN"/>
        </w:rPr>
        <w:t>转让和分包</w:t>
      </w:r>
    </w:p>
    <w:p w14:paraId="21DA5D7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本合同的部分和全部，未经另一方书面同意，均不得擅自转让。</w:t>
      </w:r>
    </w:p>
    <w:p w14:paraId="2D7AD4CC">
      <w:pPr>
        <w:pStyle w:val="4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lang w:val="zh-CN"/>
        </w:rPr>
      </w:pPr>
      <w:r>
        <w:rPr>
          <w:rFonts w:hint="eastAsia" w:ascii="宋体" w:hAnsi="宋体" w:eastAsia="宋体" w:cs="宋体"/>
          <w:b/>
          <w:bCs/>
          <w:color w:val="000000"/>
          <w:kern w:val="0"/>
          <w:sz w:val="24"/>
          <w:szCs w:val="24"/>
          <w:lang w:val="zh-CN" w:eastAsia="zh-CN" w:bidi="ar-SA"/>
        </w:rPr>
        <w:t>十</w:t>
      </w:r>
      <w:r>
        <w:rPr>
          <w:rFonts w:hint="eastAsia" w:ascii="宋体" w:hAnsi="宋体" w:cs="宋体"/>
          <w:b/>
          <w:bCs/>
          <w:color w:val="000000"/>
          <w:kern w:val="0"/>
          <w:sz w:val="24"/>
          <w:szCs w:val="24"/>
          <w:lang w:val="en-US" w:eastAsia="zh-CN" w:bidi="ar-SA"/>
        </w:rPr>
        <w:t>一</w:t>
      </w:r>
      <w:r>
        <w:rPr>
          <w:rFonts w:hint="eastAsia" w:ascii="宋体" w:hAnsi="宋体" w:eastAsia="宋体" w:cs="宋体"/>
          <w:b/>
          <w:bCs/>
          <w:color w:val="000000"/>
          <w:kern w:val="0"/>
          <w:sz w:val="24"/>
          <w:szCs w:val="24"/>
          <w:lang w:val="zh-CN" w:eastAsia="zh-CN" w:bidi="ar-SA"/>
        </w:rPr>
        <w:t>、</w:t>
      </w:r>
      <w:r>
        <w:rPr>
          <w:rFonts w:hint="eastAsia" w:ascii="宋体" w:hAnsi="宋体" w:eastAsia="宋体" w:cs="宋体"/>
          <w:b/>
          <w:bCs/>
          <w:color w:val="000000"/>
          <w:kern w:val="0"/>
          <w:sz w:val="24"/>
          <w:szCs w:val="24"/>
          <w:lang w:val="zh-CN"/>
        </w:rPr>
        <w:t>合同的解除</w:t>
      </w:r>
    </w:p>
    <w:p w14:paraId="3A3B03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1、甲方和乙方协商一致，可以解除合同。</w:t>
      </w:r>
    </w:p>
    <w:p w14:paraId="7F5A09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cs="宋体"/>
          <w:color w:val="000000"/>
          <w:kern w:val="0"/>
          <w:sz w:val="24"/>
          <w:szCs w:val="24"/>
          <w:lang w:val="en-US" w:eastAsia="zh-CN"/>
        </w:rPr>
        <w:t>2、</w:t>
      </w:r>
      <w:r>
        <w:rPr>
          <w:rFonts w:hint="eastAsia" w:ascii="宋体" w:hAnsi="宋体" w:eastAsia="宋体" w:cs="宋体"/>
          <w:color w:val="000000"/>
          <w:kern w:val="0"/>
          <w:sz w:val="24"/>
          <w:szCs w:val="24"/>
          <w:lang w:val="zh-CN"/>
        </w:rPr>
        <w:t>合同期满，合同自动解除。</w:t>
      </w:r>
    </w:p>
    <w:p w14:paraId="5EDF11E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cs="宋体"/>
          <w:color w:val="000000"/>
          <w:kern w:val="0"/>
          <w:sz w:val="24"/>
          <w:szCs w:val="24"/>
          <w:lang w:val="en-US" w:eastAsia="zh-CN"/>
        </w:rPr>
        <w:t>3</w:t>
      </w:r>
      <w:r>
        <w:rPr>
          <w:rFonts w:hint="eastAsia" w:ascii="宋体" w:hAnsi="宋体" w:eastAsia="宋体" w:cs="宋体"/>
          <w:color w:val="000000"/>
          <w:kern w:val="0"/>
          <w:sz w:val="24"/>
          <w:szCs w:val="24"/>
          <w:lang w:val="zh-CN"/>
        </w:rPr>
        <w:t>、有下列情形之一，合同一方可以解除合同：</w:t>
      </w:r>
    </w:p>
    <w:p w14:paraId="589DE3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cs="宋体"/>
          <w:color w:val="000000"/>
          <w:kern w:val="0"/>
          <w:sz w:val="24"/>
          <w:szCs w:val="24"/>
          <w:lang w:val="en-US" w:eastAsia="zh-CN"/>
        </w:rPr>
        <w:t>3</w:t>
      </w:r>
      <w:r>
        <w:rPr>
          <w:rFonts w:hint="eastAsia" w:ascii="宋体" w:hAnsi="宋体" w:eastAsia="宋体" w:cs="宋体"/>
          <w:color w:val="000000"/>
          <w:kern w:val="0"/>
          <w:sz w:val="24"/>
          <w:szCs w:val="24"/>
          <w:lang w:val="zh-CN"/>
        </w:rPr>
        <w:t>.1因不可抗力致使不能实现合同目的，未受不可抗力影响的一方有权解除合同；</w:t>
      </w:r>
    </w:p>
    <w:p w14:paraId="7F4E4A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cs="宋体"/>
          <w:color w:val="000000"/>
          <w:kern w:val="0"/>
          <w:sz w:val="24"/>
          <w:szCs w:val="24"/>
          <w:lang w:val="en-US" w:eastAsia="zh-CN"/>
        </w:rPr>
        <w:t>3</w:t>
      </w:r>
      <w:r>
        <w:rPr>
          <w:rFonts w:hint="eastAsia" w:ascii="宋体" w:hAnsi="宋体" w:eastAsia="宋体" w:cs="宋体"/>
          <w:color w:val="000000"/>
          <w:kern w:val="0"/>
          <w:sz w:val="24"/>
          <w:szCs w:val="24"/>
          <w:lang w:val="zh-CN"/>
        </w:rPr>
        <w:t>.2因合同一方违约导致合同不能履行，另一方有权解除合同。</w:t>
      </w:r>
    </w:p>
    <w:p w14:paraId="07173B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cs="宋体"/>
          <w:color w:val="000000"/>
          <w:kern w:val="0"/>
          <w:sz w:val="24"/>
          <w:szCs w:val="24"/>
          <w:lang w:val="en-US" w:eastAsia="zh-CN"/>
        </w:rPr>
        <w:t>3.3</w:t>
      </w:r>
      <w:r>
        <w:rPr>
          <w:rFonts w:hint="eastAsia" w:ascii="宋体" w:hAnsi="宋体" w:eastAsia="宋体" w:cs="宋体"/>
          <w:color w:val="000000"/>
          <w:kern w:val="0"/>
          <w:sz w:val="24"/>
          <w:szCs w:val="24"/>
          <w:lang w:val="zh-CN"/>
        </w:rPr>
        <w:t>本合同约定的其他情形。</w:t>
      </w:r>
    </w:p>
    <w:p w14:paraId="319B21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cs="宋体"/>
          <w:color w:val="000000"/>
          <w:kern w:val="0"/>
          <w:sz w:val="24"/>
          <w:szCs w:val="24"/>
          <w:lang w:val="en-US" w:eastAsia="zh-CN"/>
        </w:rPr>
        <w:t>/4</w:t>
      </w:r>
      <w:r>
        <w:rPr>
          <w:rFonts w:hint="eastAsia" w:ascii="宋体" w:hAnsi="宋体" w:eastAsia="宋体" w:cs="宋体"/>
          <w:color w:val="000000"/>
          <w:kern w:val="0"/>
          <w:sz w:val="24"/>
          <w:szCs w:val="24"/>
          <w:lang w:val="zh-CN"/>
        </w:rPr>
        <w:t>、有权解除合同的一方，应当在违约事实或不可抗力发生之后三十天内书面通知对方以主张解除合同，合同在书面通知到达对方时解除。</w:t>
      </w:r>
    </w:p>
    <w:p w14:paraId="1C5D44C0">
      <w:pPr>
        <w:pStyle w:val="4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lang w:val="zh-CN"/>
        </w:rPr>
      </w:pPr>
      <w:r>
        <w:rPr>
          <w:rFonts w:hint="eastAsia" w:ascii="宋体" w:hAnsi="宋体" w:eastAsia="宋体" w:cs="宋体"/>
          <w:b/>
          <w:bCs/>
          <w:color w:val="000000"/>
          <w:kern w:val="0"/>
          <w:sz w:val="24"/>
          <w:szCs w:val="24"/>
          <w:lang w:val="zh-CN" w:eastAsia="zh-CN" w:bidi="ar-SA"/>
        </w:rPr>
        <w:t>十</w:t>
      </w:r>
      <w:r>
        <w:rPr>
          <w:rFonts w:hint="eastAsia" w:ascii="宋体" w:hAnsi="宋体" w:cs="宋体"/>
          <w:b/>
          <w:bCs/>
          <w:color w:val="000000"/>
          <w:kern w:val="0"/>
          <w:sz w:val="24"/>
          <w:szCs w:val="24"/>
          <w:lang w:val="en-US" w:eastAsia="zh-CN" w:bidi="ar-SA"/>
        </w:rPr>
        <w:t>二</w:t>
      </w:r>
      <w:r>
        <w:rPr>
          <w:rFonts w:hint="eastAsia" w:ascii="宋体" w:hAnsi="宋体" w:eastAsia="宋体" w:cs="宋体"/>
          <w:b/>
          <w:bCs/>
          <w:color w:val="000000"/>
          <w:kern w:val="0"/>
          <w:sz w:val="24"/>
          <w:szCs w:val="24"/>
          <w:lang w:val="zh-CN" w:eastAsia="zh-CN" w:bidi="ar-SA"/>
        </w:rPr>
        <w:t>、</w:t>
      </w:r>
      <w:r>
        <w:rPr>
          <w:rFonts w:hint="eastAsia" w:ascii="宋体" w:hAnsi="宋体" w:eastAsia="宋体" w:cs="宋体"/>
          <w:b/>
          <w:bCs/>
          <w:color w:val="000000"/>
          <w:kern w:val="0"/>
          <w:sz w:val="24"/>
          <w:szCs w:val="24"/>
          <w:lang w:val="zh-CN"/>
        </w:rPr>
        <w:t>争议解决</w:t>
      </w:r>
    </w:p>
    <w:p w14:paraId="21B0A6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若因本合同或与本合同有关的一切事项发生争议，首先由双方友好协商解决。如协商不成的，任何一方均可向甲方所在地的人民法院起诉。因诉讼而产生的相关费用，包括但不限于诉讼费、胜诉方合理律师费、保全费、鉴定费等由败诉方承担。</w:t>
      </w:r>
    </w:p>
    <w:p w14:paraId="57B1AA60">
      <w:pPr>
        <w:pStyle w:val="4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lang w:val="zh-CN"/>
        </w:rPr>
      </w:pPr>
      <w:r>
        <w:rPr>
          <w:rFonts w:hint="eastAsia" w:ascii="宋体" w:hAnsi="宋体" w:eastAsia="宋体" w:cs="宋体"/>
          <w:b/>
          <w:bCs/>
          <w:color w:val="000000"/>
          <w:kern w:val="0"/>
          <w:sz w:val="24"/>
          <w:szCs w:val="24"/>
          <w:lang w:val="zh-CN" w:eastAsia="zh-CN" w:bidi="ar-SA"/>
        </w:rPr>
        <w:t>十</w:t>
      </w:r>
      <w:r>
        <w:rPr>
          <w:rFonts w:hint="eastAsia" w:ascii="宋体" w:hAnsi="宋体" w:cs="宋体"/>
          <w:b/>
          <w:bCs/>
          <w:color w:val="000000"/>
          <w:kern w:val="0"/>
          <w:sz w:val="24"/>
          <w:szCs w:val="24"/>
          <w:lang w:val="en-US" w:eastAsia="zh-CN" w:bidi="ar-SA"/>
        </w:rPr>
        <w:t>三</w:t>
      </w:r>
      <w:r>
        <w:rPr>
          <w:rFonts w:hint="eastAsia" w:ascii="宋体" w:hAnsi="宋体" w:eastAsia="宋体" w:cs="宋体"/>
          <w:b/>
          <w:bCs/>
          <w:color w:val="000000"/>
          <w:kern w:val="0"/>
          <w:sz w:val="24"/>
          <w:szCs w:val="24"/>
          <w:lang w:val="zh-CN" w:eastAsia="zh-CN" w:bidi="ar-SA"/>
        </w:rPr>
        <w:t>、</w:t>
      </w:r>
      <w:r>
        <w:rPr>
          <w:rFonts w:hint="eastAsia" w:ascii="宋体" w:hAnsi="宋体" w:eastAsia="宋体" w:cs="宋体"/>
          <w:b/>
          <w:bCs/>
          <w:color w:val="000000"/>
          <w:kern w:val="0"/>
          <w:sz w:val="24"/>
          <w:szCs w:val="24"/>
          <w:lang w:val="zh-CN"/>
        </w:rPr>
        <w:t>合同生效及其他</w:t>
      </w:r>
    </w:p>
    <w:p w14:paraId="4B1993A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1、本合同经双方法定（授权）代表人签字（或盖章）并加盖单位公章（或合同章）后生效。</w:t>
      </w:r>
    </w:p>
    <w:p w14:paraId="52C26D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2、本合同一式</w:t>
      </w:r>
      <w:r>
        <w:rPr>
          <w:rFonts w:hint="eastAsia" w:ascii="宋体" w:hAnsi="宋体" w:eastAsia="宋体" w:cs="宋体"/>
          <w:color w:val="000000"/>
          <w:kern w:val="0"/>
          <w:sz w:val="24"/>
          <w:szCs w:val="24"/>
          <w:u w:val="single"/>
          <w:lang w:val="zh-CN"/>
        </w:rPr>
        <w:t xml:space="preserve"> </w:t>
      </w:r>
      <w:r>
        <w:rPr>
          <w:rFonts w:hint="eastAsia" w:ascii="宋体" w:hAnsi="宋体" w:cs="宋体"/>
          <w:color w:val="000000"/>
          <w:kern w:val="0"/>
          <w:sz w:val="24"/>
          <w:szCs w:val="24"/>
          <w:u w:val="single"/>
          <w:lang w:val="en-US" w:eastAsia="zh-CN"/>
        </w:rPr>
        <w:t>陆</w:t>
      </w:r>
      <w:r>
        <w:rPr>
          <w:rFonts w:hint="eastAsia" w:ascii="宋体" w:hAnsi="宋体" w:eastAsia="宋体" w:cs="宋体"/>
          <w:color w:val="000000"/>
          <w:kern w:val="0"/>
          <w:sz w:val="24"/>
          <w:szCs w:val="24"/>
          <w:u w:val="single"/>
          <w:lang w:val="zh-CN"/>
        </w:rPr>
        <w:t xml:space="preserve"> </w:t>
      </w:r>
      <w:r>
        <w:rPr>
          <w:rFonts w:hint="eastAsia" w:ascii="宋体" w:hAnsi="宋体" w:eastAsia="宋体" w:cs="宋体"/>
          <w:color w:val="000000"/>
          <w:kern w:val="0"/>
          <w:sz w:val="24"/>
          <w:szCs w:val="24"/>
          <w:lang w:val="zh-CN"/>
        </w:rPr>
        <w:t>份，甲方</w:t>
      </w:r>
      <w:r>
        <w:rPr>
          <w:rFonts w:hint="eastAsia" w:ascii="宋体" w:hAnsi="宋体" w:eastAsia="宋体" w:cs="宋体"/>
          <w:color w:val="000000"/>
          <w:kern w:val="0"/>
          <w:sz w:val="24"/>
          <w:szCs w:val="24"/>
          <w:u w:val="single"/>
          <w:lang w:val="zh-CN"/>
        </w:rPr>
        <w:t xml:space="preserve"> </w:t>
      </w:r>
      <w:r>
        <w:rPr>
          <w:rFonts w:hint="eastAsia" w:ascii="宋体" w:hAnsi="宋体" w:cs="宋体"/>
          <w:color w:val="000000"/>
          <w:kern w:val="0"/>
          <w:sz w:val="24"/>
          <w:szCs w:val="24"/>
          <w:u w:val="single"/>
          <w:lang w:val="en-US" w:eastAsia="zh-CN"/>
        </w:rPr>
        <w:t>肆</w:t>
      </w:r>
      <w:r>
        <w:rPr>
          <w:rFonts w:hint="eastAsia" w:ascii="宋体" w:hAnsi="宋体" w:eastAsia="宋体" w:cs="宋体"/>
          <w:color w:val="000000"/>
          <w:kern w:val="0"/>
          <w:sz w:val="24"/>
          <w:szCs w:val="24"/>
          <w:u w:val="single"/>
          <w:lang w:val="zh-CN"/>
        </w:rPr>
        <w:t xml:space="preserve"> </w:t>
      </w:r>
      <w:r>
        <w:rPr>
          <w:rFonts w:hint="eastAsia" w:ascii="宋体" w:hAnsi="宋体" w:eastAsia="宋体" w:cs="宋体"/>
          <w:color w:val="000000"/>
          <w:kern w:val="0"/>
          <w:sz w:val="24"/>
          <w:szCs w:val="24"/>
          <w:lang w:val="zh-CN"/>
        </w:rPr>
        <w:t>份，乙方</w:t>
      </w:r>
      <w:r>
        <w:rPr>
          <w:rFonts w:hint="eastAsia" w:ascii="宋体" w:hAnsi="宋体" w:eastAsia="宋体" w:cs="宋体"/>
          <w:color w:val="000000"/>
          <w:kern w:val="0"/>
          <w:sz w:val="24"/>
          <w:szCs w:val="24"/>
          <w:u w:val="single"/>
          <w:lang w:val="zh-CN"/>
        </w:rPr>
        <w:t xml:space="preserve"> 壹 </w:t>
      </w:r>
      <w:r>
        <w:rPr>
          <w:rFonts w:hint="eastAsia" w:ascii="宋体" w:hAnsi="宋体" w:eastAsia="宋体" w:cs="宋体"/>
          <w:color w:val="000000"/>
          <w:kern w:val="0"/>
          <w:sz w:val="24"/>
          <w:szCs w:val="24"/>
          <w:lang w:val="zh-CN"/>
        </w:rPr>
        <w:t>份</w:t>
      </w:r>
      <w:r>
        <w:rPr>
          <w:rFonts w:hint="eastAsia" w:ascii="宋体" w:hAnsi="宋体" w:eastAsia="宋体" w:cs="宋体"/>
          <w:color w:val="000000"/>
          <w:kern w:val="0"/>
          <w:sz w:val="24"/>
          <w:szCs w:val="24"/>
          <w:highlight w:val="none"/>
          <w:lang w:val="zh-CN"/>
        </w:rPr>
        <w:t>，招标代理机构</w:t>
      </w:r>
      <w:r>
        <w:rPr>
          <w:rFonts w:hint="eastAsia" w:ascii="宋体" w:hAnsi="宋体" w:eastAsia="宋体" w:cs="宋体"/>
          <w:color w:val="000000"/>
          <w:kern w:val="0"/>
          <w:sz w:val="24"/>
          <w:szCs w:val="24"/>
          <w:highlight w:val="none"/>
          <w:u w:val="single"/>
          <w:lang w:val="zh-CN"/>
        </w:rPr>
        <w:t xml:space="preserve"> 壹 </w:t>
      </w:r>
      <w:r>
        <w:rPr>
          <w:rFonts w:hint="eastAsia" w:ascii="宋体" w:hAnsi="宋体" w:eastAsia="宋体" w:cs="宋体"/>
          <w:color w:val="000000"/>
          <w:kern w:val="0"/>
          <w:sz w:val="24"/>
          <w:szCs w:val="24"/>
          <w:highlight w:val="none"/>
          <w:lang w:val="zh-CN"/>
        </w:rPr>
        <w:t>份</w:t>
      </w:r>
      <w:r>
        <w:rPr>
          <w:rFonts w:hint="eastAsia" w:ascii="宋体" w:hAnsi="宋体" w:eastAsia="宋体" w:cs="宋体"/>
          <w:color w:val="000000"/>
          <w:kern w:val="0"/>
          <w:sz w:val="24"/>
          <w:szCs w:val="24"/>
          <w:lang w:val="zh-CN"/>
        </w:rPr>
        <w:t>；具备同等法律效力。</w:t>
      </w:r>
    </w:p>
    <w:p w14:paraId="5AFD201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3、下列文件为本合同不可分割部分（与本合同具有同等法律效力）：</w:t>
      </w:r>
    </w:p>
    <w:p w14:paraId="460A1E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3.1 招投标文件及中标通知书；</w:t>
      </w:r>
    </w:p>
    <w:p w14:paraId="138F9A9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3.2 合同附件。</w:t>
      </w:r>
    </w:p>
    <w:p w14:paraId="648ED78B">
      <w:pPr>
        <w:keepNext w:val="0"/>
        <w:keepLines w:val="0"/>
        <w:pageBreakBefore w:val="0"/>
        <w:widowControl w:val="0"/>
        <w:kinsoku/>
        <w:wordWrap/>
        <w:overflowPunct/>
        <w:topLinePunct w:val="0"/>
        <w:autoSpaceDE/>
        <w:autoSpaceDN/>
        <w:bidi w:val="0"/>
        <w:adjustRightInd/>
        <w:snapToGrid/>
        <w:spacing w:before="0" w:beforeLines="0" w:line="360" w:lineRule="auto"/>
        <w:ind w:firstLine="480" w:firstLineChars="200"/>
        <w:jc w:val="left"/>
        <w:textAlignment w:val="auto"/>
        <w:rPr>
          <w:rFonts w:hint="eastAsia" w:ascii="宋体" w:hAnsi="宋体" w:eastAsia="宋体" w:cs="宋体"/>
          <w:sz w:val="24"/>
          <w:szCs w:val="24"/>
          <w:lang w:val="en-US" w:eastAsia="zh-CN"/>
        </w:rPr>
      </w:pPr>
      <w:r>
        <w:rPr>
          <w:rFonts w:hint="eastAsia" w:asciiTheme="majorEastAsia" w:hAnsiTheme="majorEastAsia" w:eastAsiaTheme="majorEastAsia" w:cstheme="majorEastAsia"/>
          <w:sz w:val="24"/>
          <w:szCs w:val="24"/>
          <w:lang w:val="en-US" w:eastAsia="zh-CN"/>
        </w:rPr>
        <w:t>附件一：</w:t>
      </w:r>
      <w:r>
        <w:rPr>
          <w:rFonts w:hint="eastAsia" w:asciiTheme="majorEastAsia" w:hAnsiTheme="majorEastAsia" w:eastAsiaTheme="majorEastAsia" w:cstheme="majorEastAsia"/>
          <w:sz w:val="24"/>
          <w:szCs w:val="24"/>
        </w:rPr>
        <w:t>服务质量</w:t>
      </w:r>
      <w:r>
        <w:rPr>
          <w:rFonts w:hint="eastAsia" w:asciiTheme="majorEastAsia" w:hAnsiTheme="majorEastAsia" w:eastAsiaTheme="majorEastAsia" w:cstheme="majorEastAsia"/>
          <w:sz w:val="24"/>
          <w:szCs w:val="24"/>
          <w:lang w:val="en-US" w:eastAsia="zh-CN"/>
        </w:rPr>
        <w:t>季</w:t>
      </w:r>
      <w:r>
        <w:rPr>
          <w:rFonts w:hint="eastAsia" w:asciiTheme="majorEastAsia" w:hAnsiTheme="majorEastAsia" w:eastAsiaTheme="majorEastAsia" w:cstheme="majorEastAsia"/>
          <w:sz w:val="24"/>
          <w:szCs w:val="24"/>
        </w:rPr>
        <w:t>度考核表</w:t>
      </w:r>
    </w:p>
    <w:p w14:paraId="4B3134C4">
      <w:pPr>
        <w:keepNext w:val="0"/>
        <w:keepLines w:val="0"/>
        <w:pageBreakBefore w:val="0"/>
        <w:widowControl w:val="0"/>
        <w:kinsoku/>
        <w:wordWrap/>
        <w:overflowPunct/>
        <w:topLinePunct w:val="0"/>
        <w:autoSpaceDE/>
        <w:autoSpaceDN/>
        <w:bidi w:val="0"/>
        <w:adjustRightInd/>
        <w:snapToGrid/>
        <w:spacing w:before="0" w:beforeLines="0"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附件</w:t>
      </w:r>
      <w:r>
        <w:rPr>
          <w:rFonts w:hint="eastAsia" w:ascii="宋体" w:hAnsi="宋体" w:cs="宋体"/>
          <w:sz w:val="24"/>
          <w:szCs w:val="24"/>
          <w:lang w:val="en-US" w:eastAsia="zh-CN"/>
        </w:rPr>
        <w:t>二</w:t>
      </w:r>
      <w:r>
        <w:rPr>
          <w:rFonts w:hint="eastAsia" w:ascii="宋体" w:hAnsi="宋体" w:eastAsia="宋体" w:cs="宋体"/>
          <w:sz w:val="24"/>
          <w:szCs w:val="24"/>
          <w:lang w:val="en-US" w:eastAsia="zh-CN"/>
        </w:rPr>
        <w:t>：</w:t>
      </w:r>
      <w:r>
        <w:rPr>
          <w:rFonts w:hint="eastAsia" w:ascii="宋体" w:hAnsi="宋体" w:eastAsia="宋体" w:cs="宋体"/>
          <w:sz w:val="24"/>
          <w:szCs w:val="24"/>
        </w:rPr>
        <w:t>保密协议</w:t>
      </w:r>
    </w:p>
    <w:p w14:paraId="4DE8E2BE">
      <w:pPr>
        <w:keepNext w:val="0"/>
        <w:keepLines w:val="0"/>
        <w:pageBreakBefore w:val="0"/>
        <w:widowControl w:val="0"/>
        <w:kinsoku/>
        <w:wordWrap/>
        <w:overflowPunct/>
        <w:topLinePunct w:val="0"/>
        <w:autoSpaceDE/>
        <w:autoSpaceDN/>
        <w:bidi w:val="0"/>
        <w:adjustRightInd/>
        <w:snapToGrid/>
        <w:spacing w:before="0" w:beforeLines="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附件</w:t>
      </w:r>
      <w:r>
        <w:rPr>
          <w:rFonts w:hint="eastAsia" w:ascii="宋体" w:hAnsi="宋体" w:cs="宋体"/>
          <w:sz w:val="24"/>
          <w:szCs w:val="24"/>
          <w:lang w:val="en-US" w:eastAsia="zh-CN"/>
        </w:rPr>
        <w:t>三</w:t>
      </w:r>
      <w:r>
        <w:rPr>
          <w:rFonts w:hint="eastAsia" w:ascii="宋体" w:hAnsi="宋体" w:eastAsia="宋体" w:cs="宋体"/>
          <w:sz w:val="24"/>
          <w:szCs w:val="24"/>
        </w:rPr>
        <w:t>：</w:t>
      </w:r>
      <w:r>
        <w:rPr>
          <w:rFonts w:hint="eastAsia" w:ascii="宋体" w:hAnsi="宋体" w:cs="宋体"/>
          <w:sz w:val="24"/>
          <w:szCs w:val="24"/>
          <w:lang w:val="en-US" w:eastAsia="zh-CN"/>
        </w:rPr>
        <w:t>项目</w:t>
      </w:r>
      <w:r>
        <w:rPr>
          <w:rFonts w:hint="eastAsia" w:ascii="宋体" w:hAnsi="宋体" w:eastAsia="宋体" w:cs="宋体"/>
          <w:sz w:val="24"/>
          <w:szCs w:val="24"/>
        </w:rPr>
        <w:t>详细参数</w:t>
      </w:r>
    </w:p>
    <w:p w14:paraId="1B023299">
      <w:pPr>
        <w:keepNext w:val="0"/>
        <w:keepLines w:val="0"/>
        <w:pageBreakBefore w:val="0"/>
        <w:widowControl w:val="0"/>
        <w:kinsoku/>
        <w:wordWrap/>
        <w:overflowPunct/>
        <w:topLinePunct w:val="0"/>
        <w:autoSpaceDE/>
        <w:autoSpaceDN/>
        <w:bidi w:val="0"/>
        <w:adjustRightInd/>
        <w:snapToGrid/>
        <w:spacing w:before="0" w:beforeLines="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附件四：服务人员名单</w:t>
      </w:r>
    </w:p>
    <w:p w14:paraId="0DFE46E0">
      <w:pPr>
        <w:pStyle w:val="4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color w:val="000000"/>
          <w:kern w:val="0"/>
          <w:sz w:val="24"/>
          <w:szCs w:val="24"/>
          <w:lang w:val="zh-CN"/>
        </w:rPr>
      </w:pPr>
      <w:r>
        <w:rPr>
          <w:rFonts w:hint="eastAsia" w:ascii="宋体" w:hAnsi="宋体" w:eastAsia="宋体" w:cs="宋体"/>
          <w:b/>
          <w:bCs/>
          <w:color w:val="000000"/>
          <w:kern w:val="0"/>
          <w:sz w:val="24"/>
          <w:szCs w:val="24"/>
          <w:lang w:val="zh-CN" w:eastAsia="zh-CN" w:bidi="ar-SA"/>
        </w:rPr>
        <w:t>十五、</w:t>
      </w:r>
      <w:r>
        <w:rPr>
          <w:rFonts w:hint="eastAsia" w:ascii="宋体" w:hAnsi="宋体" w:eastAsia="宋体" w:cs="宋体"/>
          <w:b/>
          <w:bCs/>
          <w:color w:val="000000"/>
          <w:kern w:val="0"/>
          <w:sz w:val="24"/>
          <w:szCs w:val="24"/>
          <w:lang w:val="zh-CN"/>
        </w:rPr>
        <w:t>未尽事宜</w:t>
      </w:r>
    </w:p>
    <w:p w14:paraId="76FFC96E">
      <w:pPr>
        <w:wordWrap w:val="0"/>
        <w:spacing w:line="360" w:lineRule="auto"/>
        <w:ind w:firstLine="480" w:firstLineChars="200"/>
        <w:rPr>
          <w:rFonts w:hint="eastAsia" w:ascii="宋体" w:hAnsi="宋体" w:cs="宋体"/>
          <w:color w:val="000000"/>
          <w:szCs w:val="24"/>
          <w:lang w:val="zh-CN"/>
        </w:rPr>
      </w:pPr>
      <w:r>
        <w:rPr>
          <w:rFonts w:hint="eastAsia" w:ascii="宋体" w:hAnsi="宋体" w:cs="宋体"/>
          <w:color w:val="000000"/>
          <w:szCs w:val="24"/>
          <w:lang w:val="zh-CN"/>
        </w:rPr>
        <w:t>本合同在执行过程中出现的未尽事宜，双方在不违背本合同和招标文件的原则下协商解决，协商一致后另行订立书面补充协议，作为本合同的附件，与本合同具有同等效力。</w:t>
      </w:r>
    </w:p>
    <w:p w14:paraId="569FEB4D">
      <w:pPr>
        <w:wordWrap w:val="0"/>
        <w:spacing w:line="360" w:lineRule="auto"/>
        <w:ind w:firstLine="482" w:firstLineChars="200"/>
        <w:jc w:val="center"/>
        <w:rPr>
          <w:rFonts w:hint="eastAsia" w:ascii="宋体" w:hAnsi="宋体" w:cs="宋体"/>
          <w:color w:val="000000"/>
          <w:szCs w:val="24"/>
          <w:lang w:val="zh-CN"/>
        </w:rPr>
      </w:pPr>
      <w:r>
        <w:rPr>
          <w:rFonts w:hint="eastAsia" w:ascii="宋体" w:hAnsi="宋体" w:eastAsia="宋体" w:cs="宋体"/>
          <w:b/>
          <w:bCs/>
          <w:kern w:val="0"/>
          <w:sz w:val="24"/>
          <w:szCs w:val="24"/>
          <w:highlight w:val="none"/>
          <w:lang w:val="zh-CN"/>
        </w:rPr>
        <w:t>【以下无正文】</w:t>
      </w:r>
    </w:p>
    <w:p w14:paraId="6C17749F">
      <w:pPr>
        <w:rPr>
          <w:rFonts w:hint="eastAsia" w:ascii="宋体" w:hAnsi="宋体" w:eastAsia="宋体" w:cs="宋体"/>
          <w:b/>
          <w:bCs/>
          <w:kern w:val="0"/>
          <w:sz w:val="24"/>
          <w:szCs w:val="24"/>
          <w:highlight w:val="none"/>
          <w:lang w:val="zh-CN"/>
        </w:rPr>
      </w:pPr>
      <w:r>
        <w:rPr>
          <w:rFonts w:hint="eastAsia" w:ascii="宋体" w:hAnsi="宋体" w:eastAsia="宋体" w:cs="宋体"/>
          <w:b/>
          <w:bCs/>
          <w:kern w:val="0"/>
          <w:sz w:val="24"/>
          <w:szCs w:val="24"/>
          <w:highlight w:val="none"/>
          <w:lang w:val="zh-CN"/>
        </w:rPr>
        <w:br w:type="page"/>
      </w:r>
    </w:p>
    <w:p w14:paraId="22B6137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b/>
          <w:bCs/>
          <w:kern w:val="0"/>
          <w:sz w:val="24"/>
          <w:szCs w:val="24"/>
          <w:highlight w:val="none"/>
          <w:lang w:val="zh-CN"/>
        </w:rPr>
      </w:pPr>
      <w:bookmarkStart w:id="4" w:name="_GoBack"/>
      <w:bookmarkEnd w:id="4"/>
    </w:p>
    <w:p w14:paraId="2BD5D1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000000"/>
          <w:kern w:val="0"/>
          <w:sz w:val="24"/>
          <w:szCs w:val="24"/>
          <w:highlight w:val="none"/>
          <w:lang w:bidi="en-US"/>
        </w:rPr>
      </w:pPr>
      <w:r>
        <w:rPr>
          <w:rFonts w:hint="eastAsia" w:ascii="宋体" w:hAnsi="宋体" w:eastAsia="宋体" w:cs="宋体"/>
          <w:color w:val="000000"/>
          <w:kern w:val="0"/>
          <w:sz w:val="24"/>
          <w:szCs w:val="24"/>
          <w:highlight w:val="none"/>
          <w:lang w:bidi="en-US"/>
        </w:rPr>
        <w:t>【合同签署页】</w:t>
      </w:r>
    </w:p>
    <w:tbl>
      <w:tblPr>
        <w:tblStyle w:val="21"/>
        <w:tblW w:w="9716" w:type="dxa"/>
        <w:tblInd w:w="-113" w:type="dxa"/>
        <w:tblLayout w:type="fixed"/>
        <w:tblCellMar>
          <w:top w:w="0" w:type="dxa"/>
          <w:left w:w="108" w:type="dxa"/>
          <w:bottom w:w="0" w:type="dxa"/>
          <w:right w:w="108" w:type="dxa"/>
        </w:tblCellMar>
      </w:tblPr>
      <w:tblGrid>
        <w:gridCol w:w="1423"/>
        <w:gridCol w:w="2015"/>
        <w:gridCol w:w="1533"/>
        <w:gridCol w:w="236"/>
        <w:gridCol w:w="1526"/>
        <w:gridCol w:w="2983"/>
      </w:tblGrid>
      <w:tr w14:paraId="54A29EF9">
        <w:trPr>
          <w:trHeight w:val="523" w:hRule="exact"/>
        </w:trPr>
        <w:tc>
          <w:tcPr>
            <w:tcW w:w="4971" w:type="dxa"/>
            <w:gridSpan w:val="3"/>
            <w:tcBorders>
              <w:tl2br w:val="nil"/>
              <w:tr2bl w:val="nil"/>
            </w:tcBorders>
            <w:vAlign w:val="center"/>
          </w:tcPr>
          <w:p w14:paraId="19A1F71A">
            <w:pPr>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甲方（盖章）</w:t>
            </w:r>
          </w:p>
        </w:tc>
        <w:tc>
          <w:tcPr>
            <w:tcW w:w="236" w:type="dxa"/>
            <w:vMerge w:val="restart"/>
            <w:tcBorders>
              <w:tl2br w:val="nil"/>
              <w:tr2bl w:val="nil"/>
            </w:tcBorders>
            <w:vAlign w:val="center"/>
          </w:tcPr>
          <w:p w14:paraId="22EBD689">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4509" w:type="dxa"/>
            <w:gridSpan w:val="2"/>
            <w:tcBorders>
              <w:tl2br w:val="nil"/>
              <w:tr2bl w:val="nil"/>
            </w:tcBorders>
            <w:vAlign w:val="center"/>
          </w:tcPr>
          <w:p w14:paraId="6C2BA4AB">
            <w:pPr>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乙方（盖章）</w:t>
            </w:r>
          </w:p>
        </w:tc>
      </w:tr>
      <w:tr w14:paraId="68F94798">
        <w:tblPrEx>
          <w:tblCellMar>
            <w:top w:w="0" w:type="dxa"/>
            <w:left w:w="108" w:type="dxa"/>
            <w:bottom w:w="0" w:type="dxa"/>
            <w:right w:w="108" w:type="dxa"/>
          </w:tblCellMar>
        </w:tblPrEx>
        <w:trPr>
          <w:trHeight w:val="973" w:hRule="exact"/>
        </w:trPr>
        <w:tc>
          <w:tcPr>
            <w:tcW w:w="1423" w:type="dxa"/>
            <w:tcBorders>
              <w:tl2br w:val="nil"/>
              <w:tr2bl w:val="nil"/>
            </w:tcBorders>
            <w:vAlign w:val="center"/>
          </w:tcPr>
          <w:p w14:paraId="6BFC44D4">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单位名称</w:t>
            </w:r>
            <w:r>
              <w:rPr>
                <w:rFonts w:hint="eastAsia" w:ascii="宋体" w:hAnsi="宋体" w:eastAsia="宋体" w:cs="宋体"/>
                <w:sz w:val="24"/>
                <w:szCs w:val="24"/>
                <w:highlight w:val="none"/>
                <w:lang w:eastAsia="zh-CN"/>
              </w:rPr>
              <w:t>：</w:t>
            </w:r>
          </w:p>
        </w:tc>
        <w:tc>
          <w:tcPr>
            <w:tcW w:w="3548" w:type="dxa"/>
            <w:gridSpan w:val="2"/>
            <w:tcBorders>
              <w:tl2br w:val="nil"/>
              <w:tr2bl w:val="nil"/>
            </w:tcBorders>
            <w:vAlign w:val="center"/>
          </w:tcPr>
          <w:p w14:paraId="4942933D">
            <w:pPr>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苏州大学附属第一医院</w:t>
            </w:r>
          </w:p>
        </w:tc>
        <w:tc>
          <w:tcPr>
            <w:tcW w:w="236" w:type="dxa"/>
            <w:vMerge w:val="continue"/>
            <w:tcBorders>
              <w:tl2br w:val="nil"/>
              <w:tr2bl w:val="nil"/>
            </w:tcBorders>
            <w:vAlign w:val="center"/>
          </w:tcPr>
          <w:p w14:paraId="3DD981F7">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lang w:eastAsia="zh-CN"/>
              </w:rPr>
            </w:pPr>
          </w:p>
        </w:tc>
        <w:tc>
          <w:tcPr>
            <w:tcW w:w="1526" w:type="dxa"/>
            <w:tcBorders>
              <w:tl2br w:val="nil"/>
              <w:tr2bl w:val="nil"/>
            </w:tcBorders>
            <w:vAlign w:val="center"/>
          </w:tcPr>
          <w:p w14:paraId="7CDF74D0">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单位名称</w:t>
            </w:r>
            <w:r>
              <w:rPr>
                <w:rFonts w:hint="eastAsia" w:ascii="宋体" w:hAnsi="宋体" w:eastAsia="宋体" w:cs="宋体"/>
                <w:sz w:val="24"/>
                <w:szCs w:val="24"/>
                <w:highlight w:val="none"/>
                <w:lang w:eastAsia="zh-CN"/>
              </w:rPr>
              <w:t>:</w:t>
            </w:r>
          </w:p>
        </w:tc>
        <w:tc>
          <w:tcPr>
            <w:tcW w:w="2983" w:type="dxa"/>
            <w:tcBorders>
              <w:tl2br w:val="nil"/>
              <w:tr2bl w:val="nil"/>
            </w:tcBorders>
            <w:vAlign w:val="center"/>
          </w:tcPr>
          <w:p w14:paraId="244B049F">
            <w:pPr>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苏州恒医信智能科技有限公司</w:t>
            </w:r>
          </w:p>
        </w:tc>
      </w:tr>
      <w:tr w14:paraId="7ABE9583">
        <w:tblPrEx>
          <w:tblCellMar>
            <w:top w:w="0" w:type="dxa"/>
            <w:left w:w="108" w:type="dxa"/>
            <w:bottom w:w="0" w:type="dxa"/>
            <w:right w:w="108" w:type="dxa"/>
          </w:tblCellMar>
        </w:tblPrEx>
        <w:trPr>
          <w:trHeight w:val="1492" w:hRule="exact"/>
        </w:trPr>
        <w:tc>
          <w:tcPr>
            <w:tcW w:w="1423" w:type="dxa"/>
            <w:tcBorders>
              <w:tl2br w:val="nil"/>
              <w:tr2bl w:val="nil"/>
            </w:tcBorders>
            <w:vAlign w:val="center"/>
          </w:tcPr>
          <w:p w14:paraId="4C721245">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lang w:eastAsia="zh-CN"/>
              </w:rPr>
              <w:t>：</w:t>
            </w:r>
          </w:p>
        </w:tc>
        <w:tc>
          <w:tcPr>
            <w:tcW w:w="3548" w:type="dxa"/>
            <w:gridSpan w:val="2"/>
            <w:tcBorders>
              <w:tl2br w:val="nil"/>
              <w:tr2bl w:val="nil"/>
            </w:tcBorders>
            <w:vAlign w:val="center"/>
          </w:tcPr>
          <w:p w14:paraId="39337D67">
            <w:pPr>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苏州市姑苏区平海路899号</w:t>
            </w:r>
          </w:p>
        </w:tc>
        <w:tc>
          <w:tcPr>
            <w:tcW w:w="236" w:type="dxa"/>
            <w:vMerge w:val="continue"/>
            <w:tcBorders>
              <w:tl2br w:val="nil"/>
              <w:tr2bl w:val="nil"/>
            </w:tcBorders>
            <w:vAlign w:val="center"/>
          </w:tcPr>
          <w:p w14:paraId="5DFF8477">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lang w:eastAsia="zh-CN"/>
              </w:rPr>
            </w:pPr>
          </w:p>
        </w:tc>
        <w:tc>
          <w:tcPr>
            <w:tcW w:w="1526" w:type="dxa"/>
            <w:tcBorders>
              <w:tl2br w:val="nil"/>
              <w:tr2bl w:val="nil"/>
            </w:tcBorders>
            <w:vAlign w:val="center"/>
          </w:tcPr>
          <w:p w14:paraId="6DBABCB8">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lang w:eastAsia="zh-CN"/>
              </w:rPr>
              <w:t>:</w:t>
            </w:r>
          </w:p>
        </w:tc>
        <w:tc>
          <w:tcPr>
            <w:tcW w:w="2983" w:type="dxa"/>
            <w:tcBorders>
              <w:tl2br w:val="nil"/>
              <w:tr2bl w:val="nil"/>
            </w:tcBorders>
            <w:vAlign w:val="center"/>
          </w:tcPr>
          <w:p w14:paraId="68832B20">
            <w:pPr>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苏州市相城区元和街道聚茂街185号活力商务广场A幢4层403A-1</w:t>
            </w:r>
          </w:p>
        </w:tc>
      </w:tr>
      <w:tr w14:paraId="25354E06">
        <w:tblPrEx>
          <w:tblCellMar>
            <w:top w:w="0" w:type="dxa"/>
            <w:left w:w="108" w:type="dxa"/>
            <w:bottom w:w="0" w:type="dxa"/>
            <w:right w:w="108" w:type="dxa"/>
          </w:tblCellMar>
        </w:tblPrEx>
        <w:trPr>
          <w:trHeight w:val="999" w:hRule="exact"/>
        </w:trPr>
        <w:tc>
          <w:tcPr>
            <w:tcW w:w="1423" w:type="dxa"/>
            <w:tcBorders>
              <w:tl2br w:val="nil"/>
              <w:tr2bl w:val="nil"/>
            </w:tcBorders>
            <w:vAlign w:val="center"/>
          </w:tcPr>
          <w:p w14:paraId="004EC6D8">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法人代表</w:t>
            </w:r>
            <w:r>
              <w:rPr>
                <w:rFonts w:hint="eastAsia" w:ascii="宋体" w:hAnsi="宋体" w:eastAsia="宋体" w:cs="宋体"/>
                <w:sz w:val="24"/>
                <w:szCs w:val="24"/>
                <w:highlight w:val="none"/>
                <w:lang w:eastAsia="zh-CN"/>
              </w:rPr>
              <w:t>（签章）</w:t>
            </w:r>
          </w:p>
        </w:tc>
        <w:tc>
          <w:tcPr>
            <w:tcW w:w="3548" w:type="dxa"/>
            <w:gridSpan w:val="2"/>
            <w:tcBorders>
              <w:tl2br w:val="nil"/>
              <w:tr2bl w:val="nil"/>
            </w:tcBorders>
            <w:vAlign w:val="center"/>
          </w:tcPr>
          <w:p w14:paraId="6D13B176">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jc w:val="center"/>
              <w:textAlignment w:val="auto"/>
              <w:rPr>
                <w:rFonts w:hint="eastAsia" w:ascii="宋体" w:hAnsi="宋体" w:eastAsia="宋体" w:cs="宋体"/>
                <w:sz w:val="24"/>
                <w:szCs w:val="24"/>
                <w:highlight w:val="none"/>
              </w:rPr>
            </w:pPr>
          </w:p>
        </w:tc>
        <w:tc>
          <w:tcPr>
            <w:tcW w:w="236" w:type="dxa"/>
            <w:vMerge w:val="continue"/>
            <w:tcBorders>
              <w:tl2br w:val="nil"/>
              <w:tr2bl w:val="nil"/>
            </w:tcBorders>
            <w:vAlign w:val="center"/>
          </w:tcPr>
          <w:p w14:paraId="4330F826">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1526" w:type="dxa"/>
            <w:tcBorders>
              <w:tl2br w:val="nil"/>
              <w:tr2bl w:val="nil"/>
            </w:tcBorders>
            <w:vAlign w:val="center"/>
          </w:tcPr>
          <w:p w14:paraId="74AD3D1A">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法人代表</w:t>
            </w:r>
            <w:r>
              <w:rPr>
                <w:rFonts w:hint="eastAsia" w:ascii="宋体" w:hAnsi="宋体" w:eastAsia="宋体" w:cs="宋体"/>
                <w:sz w:val="24"/>
                <w:szCs w:val="24"/>
                <w:highlight w:val="none"/>
                <w:lang w:eastAsia="zh-CN"/>
              </w:rPr>
              <w:t>（签章）</w:t>
            </w:r>
          </w:p>
        </w:tc>
        <w:tc>
          <w:tcPr>
            <w:tcW w:w="2983" w:type="dxa"/>
            <w:tcBorders>
              <w:tl2br w:val="nil"/>
              <w:tr2bl w:val="nil"/>
            </w:tcBorders>
            <w:vAlign w:val="center"/>
          </w:tcPr>
          <w:p w14:paraId="04638C41">
            <w:pPr>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eastAsia" w:ascii="宋体" w:hAnsi="宋体" w:eastAsia="宋体" w:cs="宋体"/>
                <w:sz w:val="24"/>
                <w:szCs w:val="24"/>
                <w:highlight w:val="none"/>
              </w:rPr>
            </w:pPr>
          </w:p>
        </w:tc>
      </w:tr>
      <w:tr w14:paraId="7F7E4E16">
        <w:tblPrEx>
          <w:tblCellMar>
            <w:top w:w="0" w:type="dxa"/>
            <w:left w:w="108" w:type="dxa"/>
            <w:bottom w:w="0" w:type="dxa"/>
            <w:right w:w="108" w:type="dxa"/>
          </w:tblCellMar>
        </w:tblPrEx>
        <w:trPr>
          <w:trHeight w:val="1113" w:hRule="exact"/>
        </w:trPr>
        <w:tc>
          <w:tcPr>
            <w:tcW w:w="1423" w:type="dxa"/>
            <w:tcBorders>
              <w:tl2br w:val="nil"/>
              <w:tr2bl w:val="nil"/>
            </w:tcBorders>
            <w:vAlign w:val="center"/>
          </w:tcPr>
          <w:p w14:paraId="1722E6CB">
            <w:pPr>
              <w:keepNext w:val="0"/>
              <w:keepLines w:val="0"/>
              <w:pageBreakBefore w:val="0"/>
              <w:widowControl w:val="0"/>
              <w:kinsoku/>
              <w:wordWrap/>
              <w:overflowPunct/>
              <w:topLinePunct w:val="0"/>
              <w:autoSpaceDE/>
              <w:autoSpaceDN/>
              <w:bidi w:val="0"/>
              <w:adjustRightInd/>
              <w:snapToGrid/>
              <w:spacing w:before="120"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纳税人识别号</w:t>
            </w:r>
            <w:r>
              <w:rPr>
                <w:rFonts w:hint="eastAsia" w:ascii="宋体" w:hAnsi="宋体" w:eastAsia="宋体" w:cs="宋体"/>
                <w:sz w:val="24"/>
                <w:szCs w:val="24"/>
                <w:highlight w:val="none"/>
                <w:lang w:eastAsia="zh-CN"/>
              </w:rPr>
              <w:t>：</w:t>
            </w:r>
          </w:p>
        </w:tc>
        <w:tc>
          <w:tcPr>
            <w:tcW w:w="3548" w:type="dxa"/>
            <w:gridSpan w:val="2"/>
            <w:tcBorders>
              <w:tl2br w:val="nil"/>
              <w:tr2bl w:val="nil"/>
            </w:tcBorders>
            <w:vAlign w:val="center"/>
          </w:tcPr>
          <w:p w14:paraId="48751C4C">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123200004660027298</w:t>
            </w:r>
          </w:p>
        </w:tc>
        <w:tc>
          <w:tcPr>
            <w:tcW w:w="236" w:type="dxa"/>
            <w:vMerge w:val="continue"/>
            <w:tcBorders>
              <w:tl2br w:val="nil"/>
              <w:tr2bl w:val="nil"/>
            </w:tcBorders>
            <w:vAlign w:val="center"/>
          </w:tcPr>
          <w:p w14:paraId="182D4CFA">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1526" w:type="dxa"/>
            <w:tcBorders>
              <w:tl2br w:val="nil"/>
              <w:tr2bl w:val="nil"/>
            </w:tcBorders>
            <w:vAlign w:val="center"/>
          </w:tcPr>
          <w:p w14:paraId="314F9BE1">
            <w:pPr>
              <w:keepNext w:val="0"/>
              <w:keepLines w:val="0"/>
              <w:pageBreakBefore w:val="0"/>
              <w:widowControl w:val="0"/>
              <w:kinsoku/>
              <w:wordWrap/>
              <w:overflowPunct/>
              <w:topLinePunct w:val="0"/>
              <w:autoSpaceDE/>
              <w:autoSpaceDN/>
              <w:bidi w:val="0"/>
              <w:adjustRightInd/>
              <w:snapToGrid/>
              <w:spacing w:before="120"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纳税人识别号</w:t>
            </w:r>
            <w:r>
              <w:rPr>
                <w:rFonts w:hint="eastAsia" w:ascii="宋体" w:hAnsi="宋体" w:eastAsia="宋体" w:cs="宋体"/>
                <w:sz w:val="24"/>
                <w:szCs w:val="24"/>
                <w:highlight w:val="none"/>
                <w:lang w:eastAsia="zh-CN"/>
              </w:rPr>
              <w:t>:</w:t>
            </w:r>
          </w:p>
        </w:tc>
        <w:tc>
          <w:tcPr>
            <w:tcW w:w="2983" w:type="dxa"/>
            <w:tcBorders>
              <w:tl2br w:val="nil"/>
              <w:tr2bl w:val="nil"/>
            </w:tcBorders>
            <w:vAlign w:val="center"/>
          </w:tcPr>
          <w:p w14:paraId="1E48A7FD">
            <w:pPr>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91320505MA25FCB422</w:t>
            </w:r>
          </w:p>
        </w:tc>
      </w:tr>
      <w:tr w14:paraId="3A14C92E">
        <w:tblPrEx>
          <w:tblCellMar>
            <w:top w:w="0" w:type="dxa"/>
            <w:left w:w="108" w:type="dxa"/>
            <w:bottom w:w="0" w:type="dxa"/>
            <w:right w:w="108" w:type="dxa"/>
          </w:tblCellMar>
        </w:tblPrEx>
        <w:trPr>
          <w:trHeight w:val="830" w:hRule="exact"/>
        </w:trPr>
        <w:tc>
          <w:tcPr>
            <w:tcW w:w="1423" w:type="dxa"/>
            <w:tcBorders>
              <w:tl2br w:val="nil"/>
              <w:tr2bl w:val="nil"/>
            </w:tcBorders>
            <w:vAlign w:val="center"/>
          </w:tcPr>
          <w:p w14:paraId="7096899F">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lang w:eastAsia="zh-CN"/>
              </w:rPr>
              <w:t>：</w:t>
            </w:r>
          </w:p>
        </w:tc>
        <w:tc>
          <w:tcPr>
            <w:tcW w:w="3548" w:type="dxa"/>
            <w:gridSpan w:val="2"/>
            <w:tcBorders>
              <w:tl2br w:val="nil"/>
              <w:tr2bl w:val="nil"/>
            </w:tcBorders>
            <w:vAlign w:val="center"/>
          </w:tcPr>
          <w:p w14:paraId="665E6539">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236" w:type="dxa"/>
            <w:vMerge w:val="continue"/>
            <w:tcBorders>
              <w:tl2br w:val="nil"/>
              <w:tr2bl w:val="nil"/>
            </w:tcBorders>
            <w:vAlign w:val="center"/>
          </w:tcPr>
          <w:p w14:paraId="4A5B028A">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1526" w:type="dxa"/>
            <w:tcBorders>
              <w:tl2br w:val="nil"/>
              <w:tr2bl w:val="nil"/>
            </w:tcBorders>
            <w:vAlign w:val="center"/>
          </w:tcPr>
          <w:p w14:paraId="7699417F">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lang w:eastAsia="zh-CN"/>
              </w:rPr>
              <w:t>:</w:t>
            </w:r>
          </w:p>
        </w:tc>
        <w:tc>
          <w:tcPr>
            <w:tcW w:w="2983" w:type="dxa"/>
            <w:tcBorders>
              <w:tl2br w:val="nil"/>
              <w:tr2bl w:val="nil"/>
            </w:tcBorders>
            <w:vAlign w:val="center"/>
          </w:tcPr>
          <w:p w14:paraId="551C716B">
            <w:pPr>
              <w:keepNext w:val="0"/>
              <w:keepLines w:val="0"/>
              <w:pageBreakBefore w:val="0"/>
              <w:widowControl w:val="0"/>
              <w:kinsoku/>
              <w:wordWrap/>
              <w:overflowPunct/>
              <w:topLinePunct w:val="0"/>
              <w:autoSpaceDE/>
              <w:autoSpaceDN/>
              <w:bidi w:val="0"/>
              <w:adjustRightInd/>
              <w:snapToGrid/>
              <w:spacing w:before="120" w:line="360" w:lineRule="auto"/>
              <w:ind w:left="0" w:leftChars="0" w:firstLine="480" w:firstLineChars="200"/>
              <w:textAlignment w:val="auto"/>
              <w:rPr>
                <w:rFonts w:hint="eastAsia" w:ascii="宋体" w:hAnsi="宋体" w:eastAsia="宋体" w:cs="宋体"/>
                <w:sz w:val="24"/>
                <w:szCs w:val="24"/>
                <w:highlight w:val="none"/>
              </w:rPr>
            </w:pPr>
          </w:p>
        </w:tc>
      </w:tr>
      <w:tr w14:paraId="28819DED">
        <w:tblPrEx>
          <w:tblCellMar>
            <w:top w:w="0" w:type="dxa"/>
            <w:left w:w="108" w:type="dxa"/>
            <w:bottom w:w="0" w:type="dxa"/>
            <w:right w:w="108" w:type="dxa"/>
          </w:tblCellMar>
        </w:tblPrEx>
        <w:trPr>
          <w:trHeight w:val="652" w:hRule="exact"/>
        </w:trPr>
        <w:tc>
          <w:tcPr>
            <w:tcW w:w="1423" w:type="dxa"/>
            <w:tcBorders>
              <w:tl2br w:val="nil"/>
              <w:tr2bl w:val="nil"/>
            </w:tcBorders>
            <w:vAlign w:val="center"/>
          </w:tcPr>
          <w:p w14:paraId="1CEE4ED4">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账号</w:t>
            </w:r>
            <w:r>
              <w:rPr>
                <w:rFonts w:hint="eastAsia" w:ascii="宋体" w:hAnsi="宋体" w:eastAsia="宋体" w:cs="宋体"/>
                <w:sz w:val="24"/>
                <w:szCs w:val="24"/>
                <w:highlight w:val="none"/>
                <w:lang w:eastAsia="zh-CN"/>
              </w:rPr>
              <w:t>：</w:t>
            </w:r>
          </w:p>
        </w:tc>
        <w:tc>
          <w:tcPr>
            <w:tcW w:w="3548" w:type="dxa"/>
            <w:gridSpan w:val="2"/>
            <w:tcBorders>
              <w:tl2br w:val="nil"/>
              <w:tr2bl w:val="nil"/>
            </w:tcBorders>
            <w:vAlign w:val="center"/>
          </w:tcPr>
          <w:p w14:paraId="61D7ED83">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236" w:type="dxa"/>
            <w:vMerge w:val="continue"/>
            <w:tcBorders>
              <w:tl2br w:val="nil"/>
              <w:tr2bl w:val="nil"/>
            </w:tcBorders>
            <w:vAlign w:val="center"/>
          </w:tcPr>
          <w:p w14:paraId="1668D3BE">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1526" w:type="dxa"/>
            <w:tcBorders>
              <w:tl2br w:val="nil"/>
              <w:tr2bl w:val="nil"/>
            </w:tcBorders>
            <w:vAlign w:val="center"/>
          </w:tcPr>
          <w:p w14:paraId="16395EE7">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账号</w:t>
            </w:r>
            <w:r>
              <w:rPr>
                <w:rFonts w:hint="eastAsia" w:ascii="宋体" w:hAnsi="宋体" w:eastAsia="宋体" w:cs="宋体"/>
                <w:sz w:val="24"/>
                <w:szCs w:val="24"/>
                <w:highlight w:val="none"/>
                <w:lang w:eastAsia="zh-CN"/>
              </w:rPr>
              <w:t>：</w:t>
            </w:r>
          </w:p>
        </w:tc>
        <w:tc>
          <w:tcPr>
            <w:tcW w:w="2983" w:type="dxa"/>
            <w:tcBorders>
              <w:tl2br w:val="nil"/>
              <w:tr2bl w:val="nil"/>
            </w:tcBorders>
            <w:vAlign w:val="center"/>
          </w:tcPr>
          <w:p w14:paraId="60AF7E7B">
            <w:pPr>
              <w:keepNext w:val="0"/>
              <w:keepLines w:val="0"/>
              <w:pageBreakBefore w:val="0"/>
              <w:widowControl w:val="0"/>
              <w:kinsoku/>
              <w:wordWrap/>
              <w:overflowPunct/>
              <w:topLinePunct w:val="0"/>
              <w:autoSpaceDE/>
              <w:autoSpaceDN/>
              <w:bidi w:val="0"/>
              <w:adjustRightInd/>
              <w:snapToGrid/>
              <w:spacing w:before="120" w:line="360" w:lineRule="auto"/>
              <w:ind w:left="0" w:leftChars="0" w:firstLine="480" w:firstLineChars="200"/>
              <w:textAlignment w:val="auto"/>
              <w:rPr>
                <w:rFonts w:hint="eastAsia" w:ascii="宋体" w:hAnsi="宋体" w:eastAsia="宋体" w:cs="宋体"/>
                <w:sz w:val="24"/>
                <w:szCs w:val="24"/>
                <w:highlight w:val="none"/>
              </w:rPr>
            </w:pPr>
          </w:p>
        </w:tc>
      </w:tr>
      <w:tr w14:paraId="17A38493">
        <w:tblPrEx>
          <w:tblCellMar>
            <w:top w:w="0" w:type="dxa"/>
            <w:left w:w="108" w:type="dxa"/>
            <w:bottom w:w="0" w:type="dxa"/>
            <w:right w:w="108" w:type="dxa"/>
          </w:tblCellMar>
        </w:tblPrEx>
        <w:trPr>
          <w:trHeight w:val="1192" w:hRule="exact"/>
        </w:trPr>
        <w:tc>
          <w:tcPr>
            <w:tcW w:w="1423" w:type="dxa"/>
            <w:tcBorders>
              <w:tl2br w:val="nil"/>
              <w:tr2bl w:val="nil"/>
            </w:tcBorders>
            <w:vAlign w:val="center"/>
          </w:tcPr>
          <w:p w14:paraId="441773E1">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职能部门</w:t>
            </w:r>
          </w:p>
          <w:p w14:paraId="6AC3600C">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经办人</w:t>
            </w:r>
            <w:r>
              <w:rPr>
                <w:rFonts w:hint="eastAsia" w:ascii="宋体" w:hAnsi="宋体" w:eastAsia="宋体" w:cs="宋体"/>
                <w:sz w:val="24"/>
                <w:szCs w:val="24"/>
                <w:highlight w:val="none"/>
                <w:lang w:eastAsia="zh-CN"/>
              </w:rPr>
              <w:t>：</w:t>
            </w:r>
          </w:p>
        </w:tc>
        <w:tc>
          <w:tcPr>
            <w:tcW w:w="2015" w:type="dxa"/>
            <w:tcBorders>
              <w:tl2br w:val="nil"/>
              <w:tr2bl w:val="nil"/>
            </w:tcBorders>
            <w:vAlign w:val="center"/>
          </w:tcPr>
          <w:p w14:paraId="5AD4DA42">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1533" w:type="dxa"/>
            <w:tcBorders>
              <w:tl2br w:val="nil"/>
              <w:tr2bl w:val="nil"/>
            </w:tcBorders>
            <w:vAlign w:val="center"/>
          </w:tcPr>
          <w:p w14:paraId="2D00AE90">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年</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rPr>
              <w:t xml:space="preserve"> 月</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rPr>
              <w:t>日</w:t>
            </w:r>
          </w:p>
        </w:tc>
        <w:tc>
          <w:tcPr>
            <w:tcW w:w="236" w:type="dxa"/>
            <w:vMerge w:val="continue"/>
            <w:tcBorders>
              <w:tl2br w:val="nil"/>
              <w:tr2bl w:val="nil"/>
            </w:tcBorders>
            <w:vAlign w:val="center"/>
          </w:tcPr>
          <w:p w14:paraId="0D395F1B">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lang w:eastAsia="zh-CN"/>
              </w:rPr>
            </w:pPr>
          </w:p>
        </w:tc>
        <w:tc>
          <w:tcPr>
            <w:tcW w:w="1526" w:type="dxa"/>
            <w:tcBorders>
              <w:tl2br w:val="nil"/>
              <w:tr2bl w:val="nil"/>
            </w:tcBorders>
            <w:vAlign w:val="center"/>
          </w:tcPr>
          <w:p w14:paraId="51456AA7">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授权代理人：</w:t>
            </w:r>
          </w:p>
        </w:tc>
        <w:tc>
          <w:tcPr>
            <w:tcW w:w="2983" w:type="dxa"/>
            <w:tcBorders>
              <w:tl2br w:val="nil"/>
              <w:tr2bl w:val="nil"/>
            </w:tcBorders>
            <w:vAlign w:val="center"/>
          </w:tcPr>
          <w:p w14:paraId="3ADFF28A">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lang w:eastAsia="zh-CN"/>
              </w:rPr>
            </w:pPr>
          </w:p>
        </w:tc>
      </w:tr>
      <w:tr w14:paraId="575A01A5">
        <w:tblPrEx>
          <w:tblCellMar>
            <w:top w:w="0" w:type="dxa"/>
            <w:left w:w="108" w:type="dxa"/>
            <w:bottom w:w="0" w:type="dxa"/>
            <w:right w:w="108" w:type="dxa"/>
          </w:tblCellMar>
        </w:tblPrEx>
        <w:trPr>
          <w:trHeight w:val="1285" w:hRule="exact"/>
        </w:trPr>
        <w:tc>
          <w:tcPr>
            <w:tcW w:w="1423" w:type="dxa"/>
            <w:tcBorders>
              <w:tl2br w:val="nil"/>
              <w:tr2bl w:val="nil"/>
            </w:tcBorders>
            <w:vAlign w:val="center"/>
          </w:tcPr>
          <w:p w14:paraId="00954671">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招标部门</w:t>
            </w:r>
          </w:p>
          <w:p w14:paraId="6FD778D3">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经办人</w:t>
            </w:r>
            <w:r>
              <w:rPr>
                <w:rFonts w:hint="eastAsia" w:ascii="宋体" w:hAnsi="宋体" w:eastAsia="宋体" w:cs="宋体"/>
                <w:sz w:val="24"/>
                <w:szCs w:val="24"/>
                <w:highlight w:val="none"/>
                <w:lang w:eastAsia="zh-CN"/>
              </w:rPr>
              <w:t>：</w:t>
            </w:r>
          </w:p>
        </w:tc>
        <w:tc>
          <w:tcPr>
            <w:tcW w:w="2015" w:type="dxa"/>
            <w:tcBorders>
              <w:tl2br w:val="nil"/>
              <w:tr2bl w:val="nil"/>
            </w:tcBorders>
            <w:vAlign w:val="center"/>
          </w:tcPr>
          <w:p w14:paraId="2D5F478C">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1533" w:type="dxa"/>
            <w:tcBorders>
              <w:tl2br w:val="nil"/>
              <w:tr2bl w:val="nil"/>
            </w:tcBorders>
            <w:vAlign w:val="center"/>
          </w:tcPr>
          <w:p w14:paraId="0966A0DE">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年</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rPr>
              <w:t xml:space="preserve"> 月</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rPr>
              <w:t>日</w:t>
            </w:r>
          </w:p>
        </w:tc>
        <w:tc>
          <w:tcPr>
            <w:tcW w:w="236" w:type="dxa"/>
            <w:vMerge w:val="continue"/>
            <w:tcBorders>
              <w:tl2br w:val="nil"/>
              <w:tr2bl w:val="nil"/>
            </w:tcBorders>
            <w:vAlign w:val="center"/>
          </w:tcPr>
          <w:p w14:paraId="5B6270C5">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lang w:eastAsia="zh-CN"/>
              </w:rPr>
            </w:pPr>
          </w:p>
        </w:tc>
        <w:tc>
          <w:tcPr>
            <w:tcW w:w="1526" w:type="dxa"/>
            <w:tcBorders>
              <w:tl2br w:val="nil"/>
              <w:tr2bl w:val="nil"/>
            </w:tcBorders>
            <w:vAlign w:val="center"/>
          </w:tcPr>
          <w:p w14:paraId="59CF72C8">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现场</w:t>
            </w: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eastAsia="zh-CN"/>
              </w:rPr>
              <w:t>：</w:t>
            </w:r>
          </w:p>
        </w:tc>
        <w:tc>
          <w:tcPr>
            <w:tcW w:w="2983" w:type="dxa"/>
            <w:tcBorders>
              <w:tl2br w:val="nil"/>
              <w:tr2bl w:val="nil"/>
            </w:tcBorders>
            <w:vAlign w:val="center"/>
          </w:tcPr>
          <w:p w14:paraId="24234E61">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r>
      <w:tr w14:paraId="624CAF65">
        <w:tblPrEx>
          <w:tblCellMar>
            <w:top w:w="0" w:type="dxa"/>
            <w:left w:w="108" w:type="dxa"/>
            <w:bottom w:w="0" w:type="dxa"/>
            <w:right w:w="108" w:type="dxa"/>
          </w:tblCellMar>
        </w:tblPrEx>
        <w:trPr>
          <w:trHeight w:val="768" w:hRule="exact"/>
        </w:trPr>
        <w:tc>
          <w:tcPr>
            <w:tcW w:w="1423" w:type="dxa"/>
            <w:tcBorders>
              <w:bottom w:val="nil"/>
              <w:tl2br w:val="nil"/>
              <w:tr2bl w:val="nil"/>
            </w:tcBorders>
            <w:vAlign w:val="center"/>
          </w:tcPr>
          <w:p w14:paraId="4386D65B">
            <w:pPr>
              <w:keepNext w:val="0"/>
              <w:keepLines w:val="0"/>
              <w:pageBreakBefore w:val="0"/>
              <w:widowControl w:val="0"/>
              <w:kinsoku/>
              <w:wordWrap/>
              <w:overflowPunct/>
              <w:topLinePunct w:val="0"/>
              <w:autoSpaceDE/>
              <w:autoSpaceDN/>
              <w:bidi w:val="0"/>
              <w:adjustRightInd/>
              <w:snapToGrid/>
              <w:spacing w:before="120"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分管院领导：</w:t>
            </w:r>
          </w:p>
        </w:tc>
        <w:tc>
          <w:tcPr>
            <w:tcW w:w="2015" w:type="dxa"/>
            <w:tcBorders>
              <w:bottom w:val="nil"/>
              <w:tl2br w:val="nil"/>
              <w:tr2bl w:val="nil"/>
            </w:tcBorders>
            <w:vAlign w:val="center"/>
          </w:tcPr>
          <w:p w14:paraId="2166E148">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1533" w:type="dxa"/>
            <w:tcBorders>
              <w:bottom w:val="nil"/>
              <w:tl2br w:val="nil"/>
              <w:tr2bl w:val="nil"/>
            </w:tcBorders>
            <w:vAlign w:val="center"/>
          </w:tcPr>
          <w:p w14:paraId="0F14AB3A">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年</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rPr>
              <w:t xml:space="preserve"> 月</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rPr>
              <w:t>日</w:t>
            </w:r>
          </w:p>
        </w:tc>
        <w:tc>
          <w:tcPr>
            <w:tcW w:w="236" w:type="dxa"/>
            <w:vMerge w:val="continue"/>
            <w:tcBorders>
              <w:bottom w:val="nil"/>
              <w:tl2br w:val="nil"/>
              <w:tr2bl w:val="nil"/>
            </w:tcBorders>
            <w:vAlign w:val="center"/>
          </w:tcPr>
          <w:p w14:paraId="7DD6DB19">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1526" w:type="dxa"/>
            <w:tcBorders>
              <w:bottom w:val="nil"/>
              <w:tl2br w:val="nil"/>
              <w:tr2bl w:val="nil"/>
            </w:tcBorders>
            <w:vAlign w:val="center"/>
          </w:tcPr>
          <w:p w14:paraId="47511126">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c>
          <w:tcPr>
            <w:tcW w:w="2983" w:type="dxa"/>
            <w:tcBorders>
              <w:bottom w:val="nil"/>
              <w:tl2br w:val="nil"/>
              <w:tr2bl w:val="nil"/>
            </w:tcBorders>
            <w:vAlign w:val="center"/>
          </w:tcPr>
          <w:p w14:paraId="5B5981D9">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sz w:val="24"/>
                <w:szCs w:val="24"/>
                <w:highlight w:val="none"/>
              </w:rPr>
            </w:pPr>
          </w:p>
        </w:tc>
      </w:tr>
      <w:tr w14:paraId="188179B2">
        <w:tblPrEx>
          <w:tblCellMar>
            <w:top w:w="0" w:type="dxa"/>
            <w:left w:w="108" w:type="dxa"/>
            <w:bottom w:w="0" w:type="dxa"/>
            <w:right w:w="108" w:type="dxa"/>
          </w:tblCellMar>
        </w:tblPrEx>
        <w:trPr>
          <w:trHeight w:val="658" w:hRule="exact"/>
        </w:trPr>
        <w:tc>
          <w:tcPr>
            <w:tcW w:w="1423" w:type="dxa"/>
            <w:tcBorders>
              <w:top w:val="nil"/>
              <w:left w:val="nil"/>
              <w:bottom w:val="nil"/>
              <w:right w:val="nil"/>
              <w:tl2br w:val="nil"/>
              <w:tr2bl w:val="nil"/>
            </w:tcBorders>
            <w:vAlign w:val="center"/>
          </w:tcPr>
          <w:p w14:paraId="25C14D96">
            <w:pPr>
              <w:keepNext w:val="0"/>
              <w:keepLines w:val="0"/>
              <w:pageBreakBefore w:val="0"/>
              <w:widowControl w:val="0"/>
              <w:kinsoku/>
              <w:wordWrap/>
              <w:overflowPunct/>
              <w:topLinePunct w:val="0"/>
              <w:autoSpaceDE/>
              <w:autoSpaceDN/>
              <w:bidi w:val="0"/>
              <w:adjustRightInd/>
              <w:snapToGrid/>
              <w:spacing w:before="120" w:line="360" w:lineRule="auto"/>
              <w:jc w:val="both"/>
              <w:textAlignment w:val="auto"/>
              <w:rPr>
                <w:rFonts w:hint="eastAsia" w:ascii="宋体" w:hAnsi="宋体" w:eastAsia="宋体" w:cs="宋体"/>
                <w:color w:val="000000"/>
                <w:sz w:val="24"/>
                <w:szCs w:val="24"/>
                <w:highlight w:val="none"/>
                <w:lang w:val="en-US" w:eastAsia="en-US" w:bidi="en-US"/>
              </w:rPr>
            </w:pPr>
            <w:r>
              <w:rPr>
                <w:rFonts w:hint="eastAsia" w:ascii="宋体" w:hAnsi="宋体" w:eastAsia="宋体" w:cs="宋体"/>
                <w:sz w:val="24"/>
                <w:szCs w:val="24"/>
                <w:highlight w:val="none"/>
              </w:rPr>
              <w:t>签订日期</w:t>
            </w:r>
          </w:p>
        </w:tc>
        <w:tc>
          <w:tcPr>
            <w:tcW w:w="3784" w:type="dxa"/>
            <w:gridSpan w:val="3"/>
            <w:tcBorders>
              <w:top w:val="nil"/>
              <w:left w:val="nil"/>
              <w:bottom w:val="nil"/>
              <w:right w:val="nil"/>
              <w:tl2br w:val="nil"/>
              <w:tr2bl w:val="nil"/>
            </w:tcBorders>
            <w:vAlign w:val="center"/>
          </w:tcPr>
          <w:p w14:paraId="0B3B87F4">
            <w:pPr>
              <w:keepNext w:val="0"/>
              <w:keepLines w:val="0"/>
              <w:pageBreakBefore w:val="0"/>
              <w:widowControl w:val="0"/>
              <w:kinsoku/>
              <w:wordWrap/>
              <w:overflowPunct/>
              <w:topLinePunct w:val="0"/>
              <w:autoSpaceDE/>
              <w:autoSpaceDN/>
              <w:bidi w:val="0"/>
              <w:adjustRightInd/>
              <w:snapToGrid/>
              <w:spacing w:before="120" w:line="360" w:lineRule="auto"/>
              <w:ind w:firstLine="480" w:firstLineChars="200"/>
              <w:textAlignment w:val="auto"/>
              <w:rPr>
                <w:rFonts w:hint="eastAsia" w:ascii="宋体" w:hAnsi="宋体" w:eastAsia="宋体" w:cs="宋体"/>
                <w:color w:val="000000"/>
                <w:sz w:val="24"/>
                <w:szCs w:val="24"/>
                <w:highlight w:val="none"/>
                <w:lang w:val="en-US" w:eastAsia="en-US" w:bidi="en-US"/>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rPr>
              <w:t xml:space="preserve">年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月  </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rPr>
              <w:t xml:space="preserve"> 日</w:t>
            </w:r>
          </w:p>
        </w:tc>
        <w:tc>
          <w:tcPr>
            <w:tcW w:w="4509" w:type="dxa"/>
            <w:gridSpan w:val="2"/>
            <w:tcBorders>
              <w:top w:val="nil"/>
              <w:left w:val="nil"/>
              <w:bottom w:val="nil"/>
              <w:right w:val="nil"/>
              <w:tl2br w:val="nil"/>
              <w:tr2bl w:val="nil"/>
            </w:tcBorders>
            <w:vAlign w:val="center"/>
          </w:tcPr>
          <w:p w14:paraId="416FFFD2">
            <w:pPr>
              <w:keepNext w:val="0"/>
              <w:keepLines w:val="0"/>
              <w:pageBreakBefore w:val="0"/>
              <w:widowControl w:val="0"/>
              <w:kinsoku/>
              <w:wordWrap/>
              <w:overflowPunct/>
              <w:topLinePunct w:val="0"/>
              <w:autoSpaceDE/>
              <w:autoSpaceDN/>
              <w:bidi w:val="0"/>
              <w:adjustRightInd/>
              <w:snapToGrid/>
              <w:spacing w:before="12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 xml:space="preserve">签订日期  </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rPr>
              <w:t xml:space="preserve">年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月  </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rPr>
              <w:t xml:space="preserve"> 日</w:t>
            </w:r>
          </w:p>
        </w:tc>
      </w:tr>
    </w:tbl>
    <w:p w14:paraId="1EC74E11">
      <w:pPr>
        <w:pStyle w:val="6"/>
        <w:ind w:left="0" w:leftChars="0" w:firstLine="0" w:firstLineChars="0"/>
        <w:rPr>
          <w:rFonts w:hint="default" w:asciiTheme="minorEastAsia" w:hAnsiTheme="minorEastAsia" w:eastAsiaTheme="minorEastAsia" w:cstheme="minorEastAsia"/>
          <w:b/>
          <w:bCs/>
          <w:sz w:val="21"/>
          <w:szCs w:val="21"/>
          <w:lang w:val="en-US" w:eastAsia="zh-CN"/>
        </w:rPr>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9"/>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微软雅黑"/>
    <w:panose1 w:val="02010600030101010101"/>
    <w:charset w:val="86"/>
    <w:family w:val="auto"/>
    <w:pitch w:val="default"/>
    <w:sig w:usb0="00000000" w:usb1="00000000"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楷体_GB2312">
    <w:altName w:val="微软雅黑"/>
    <w:panose1 w:val="00000000000000000000"/>
    <w:charset w:val="86"/>
    <w:family w:val="modern"/>
    <w:pitch w:val="default"/>
    <w:sig w:usb0="00000000" w:usb1="00000000" w:usb2="00000010" w:usb3="00000000" w:csb0="00040000" w:csb1="00000000"/>
  </w:font>
  <w:font w:name="楷体">
    <w:altName w:val="宋体"/>
    <w:panose1 w:val="02010609060101010101"/>
    <w:charset w:val="86"/>
    <w:family w:val="auto"/>
    <w:pitch w:val="default"/>
    <w:sig w:usb0="00000000" w:usb1="00000000" w:usb2="00000016" w:usb3="00000000" w:csb0="00040001" w:csb1="00000000"/>
  </w:font>
  <w:font w:name="仿宋_GB2312">
    <w:altName w:val="微软雅黑"/>
    <w:panose1 w:val="02010609030101010101"/>
    <w:charset w:val="86"/>
    <w:family w:val="auto"/>
    <w:pitch w:val="default"/>
    <w:sig w:usb0="00000000" w:usb1="0000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A7B77">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3950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AD3950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4DAE5">
    <w:pPr>
      <w:pStyle w:val="14"/>
      <w:jc w:val="left"/>
      <w:rPr>
        <w:rFonts w:hint="default" w:eastAsia="宋体"/>
        <w:u w:val="single"/>
        <w:lang w:val="en-US" w:eastAsia="zh-CN"/>
      </w:rPr>
    </w:pPr>
    <w:r>
      <w:rPr>
        <w:rFonts w:hint="eastAsia" w:ascii="宋体" w:hAnsi="宋体" w:cs="宋体"/>
        <w:b/>
        <w:sz w:val="84"/>
        <w:szCs w:val="84"/>
      </w:rPr>
      <w:drawing>
        <wp:inline distT="0" distB="0" distL="114300" distR="114300">
          <wp:extent cx="524510" cy="463550"/>
          <wp:effectExtent l="0" t="0" r="8890" b="12700"/>
          <wp:docPr id="4" name="图片 4" descr="采购文件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采购文件LOGO"/>
                  <pic:cNvPicPr>
                    <a:picLocks noChangeAspect="1"/>
                  </pic:cNvPicPr>
                </pic:nvPicPr>
                <pic:blipFill>
                  <a:blip r:embed="rId1"/>
                  <a:stretch>
                    <a:fillRect/>
                  </a:stretch>
                </pic:blipFill>
                <pic:spPr>
                  <a:xfrm>
                    <a:off x="0" y="0"/>
                    <a:ext cx="524510" cy="463550"/>
                  </a:xfrm>
                  <a:prstGeom prst="rect">
                    <a:avLst/>
                  </a:prstGeom>
                  <a:noFill/>
                  <a:ln>
                    <a:noFill/>
                  </a:ln>
                </pic:spPr>
              </pic:pic>
            </a:graphicData>
          </a:graphic>
        </wp:inline>
      </w:drawing>
    </w:r>
    <w:r>
      <w:rPr>
        <w:rFonts w:hint="eastAsia" w:ascii="宋体" w:hAnsi="宋体"/>
        <w:sz w:val="21"/>
        <w:szCs w:val="21"/>
        <w:u w:val="single"/>
      </w:rPr>
      <w:t xml:space="preserve">政府采购合同                                           </w:t>
    </w:r>
    <w:r>
      <w:rPr>
        <w:rFonts w:hint="eastAsia" w:ascii="宋体" w:hAnsi="宋体"/>
        <w:sz w:val="21"/>
        <w:szCs w:val="21"/>
        <w:u w:val="single"/>
        <w:lang w:eastAsia="zh-CN"/>
      </w:rPr>
      <w:t>JSZC-320000-JZCZ-G2025-00</w:t>
    </w:r>
    <w:r>
      <w:rPr>
        <w:rFonts w:hint="eastAsia" w:ascii="宋体" w:hAnsi="宋体"/>
        <w:sz w:val="21"/>
        <w:szCs w:val="21"/>
        <w:u w:val="single"/>
        <w:lang w:val="en-US" w:eastAsia="zh-CN"/>
      </w:rPr>
      <w:t>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73021"/>
    <w:multiLevelType w:val="multilevel"/>
    <w:tmpl w:val="14D73021"/>
    <w:lvl w:ilvl="0" w:tentative="0">
      <w:start w:val="1"/>
      <w:numFmt w:val="decimal"/>
      <w:lvlText w:val="%1"/>
      <w:lvlJc w:val="left"/>
      <w:pPr>
        <w:ind w:left="0" w:firstLine="0"/>
      </w:pPr>
      <w:rPr>
        <w:rFonts w:hint="eastAsia" w:ascii="等线" w:hAnsi="等线" w:eastAsia="等线"/>
        <w:b/>
        <w:i w:val="0"/>
        <w:sz w:val="32"/>
      </w:rPr>
    </w:lvl>
    <w:lvl w:ilvl="1" w:tentative="0">
      <w:start w:val="1"/>
      <w:numFmt w:val="decimal"/>
      <w:pStyle w:val="3"/>
      <w:lvlText w:val="%1.%2"/>
      <w:lvlJc w:val="left"/>
      <w:pPr>
        <w:ind w:left="0" w:firstLine="0"/>
      </w:pPr>
      <w:rPr>
        <w:rFonts w:hint="eastAsia" w:ascii="等线" w:hAnsi="等线" w:eastAsia="等线"/>
        <w:b/>
        <w:i w:val="0"/>
        <w:sz w:val="30"/>
      </w:rPr>
    </w:lvl>
    <w:lvl w:ilvl="2" w:tentative="0">
      <w:start w:val="1"/>
      <w:numFmt w:val="decimal"/>
      <w:pStyle w:val="4"/>
      <w:lvlText w:val="%1.%2.%3"/>
      <w:lvlJc w:val="left"/>
      <w:pPr>
        <w:ind w:left="0" w:firstLine="0"/>
      </w:pPr>
      <w:rPr>
        <w:rFonts w:hint="eastAsia" w:ascii="等线" w:hAnsi="等线" w:eastAsia="等线"/>
        <w:b/>
        <w:i w:val="0"/>
        <w:sz w:val="28"/>
      </w:rPr>
    </w:lvl>
    <w:lvl w:ilvl="3" w:tentative="0">
      <w:start w:val="1"/>
      <w:numFmt w:val="decimal"/>
      <w:pStyle w:val="5"/>
      <w:lvlText w:val="%1.%2.%3.%4"/>
      <w:lvlJc w:val="left"/>
      <w:pPr>
        <w:ind w:left="0" w:firstLine="0"/>
      </w:pPr>
      <w:rPr>
        <w:rFonts w:hint="eastAsia" w:ascii="等线" w:hAnsi="等线" w:eastAsia="等线"/>
        <w:b/>
        <w:i w:val="0"/>
        <w:sz w:val="24"/>
      </w:rPr>
    </w:lvl>
    <w:lvl w:ilvl="4" w:tentative="0">
      <w:start w:val="1"/>
      <w:numFmt w:val="decimal"/>
      <w:lvlText w:val="%1.%2.%3.%4.%5"/>
      <w:lvlJc w:val="left"/>
      <w:pPr>
        <w:ind w:left="0" w:firstLine="0"/>
      </w:pPr>
      <w:rPr>
        <w:rFonts w:hint="eastAsia" w:ascii="等线" w:hAnsi="等线" w:eastAsia="等线"/>
        <w:b/>
        <w:i w:val="0"/>
        <w:sz w:val="24"/>
      </w:rPr>
    </w:lvl>
    <w:lvl w:ilvl="5" w:tentative="0">
      <w:start w:val="1"/>
      <w:numFmt w:val="decimal"/>
      <w:lvlText w:val="%1.%2.%3.%4.%5.%6"/>
      <w:lvlJc w:val="left"/>
      <w:pPr>
        <w:ind w:left="0" w:firstLine="0"/>
      </w:pPr>
      <w:rPr>
        <w:rFonts w:hint="eastAsia" w:ascii="等线" w:hAnsi="等线" w:eastAsia="等线"/>
        <w:b/>
        <w:i w:val="0"/>
        <w:sz w:val="24"/>
      </w:rPr>
    </w:lvl>
    <w:lvl w:ilvl="6" w:tentative="0">
      <w:start w:val="1"/>
      <w:numFmt w:val="decimal"/>
      <w:lvlText w:val="%1.%2.%3.%4.%5.%6.%7"/>
      <w:lvlJc w:val="left"/>
      <w:pPr>
        <w:ind w:left="0" w:firstLine="0"/>
      </w:pPr>
      <w:rPr>
        <w:rFonts w:hint="eastAsia" w:ascii="等线" w:hAnsi="等线" w:eastAsia="等线"/>
        <w:b/>
        <w:i w:val="0"/>
        <w:sz w:val="24"/>
      </w:rPr>
    </w:lvl>
    <w:lvl w:ilvl="7" w:tentative="0">
      <w:start w:val="1"/>
      <w:numFmt w:val="decimal"/>
      <w:lvlText w:val="%1.%2.%3.%4.%5.%6.%7.%8"/>
      <w:lvlJc w:val="left"/>
      <w:pPr>
        <w:ind w:left="0" w:firstLine="0"/>
      </w:pPr>
      <w:rPr>
        <w:rFonts w:hint="eastAsia" w:ascii="等线" w:hAnsi="等线" w:eastAsia="等线"/>
        <w:b/>
        <w:i w:val="0"/>
        <w:sz w:val="24"/>
      </w:rPr>
    </w:lvl>
    <w:lvl w:ilvl="8" w:tentative="0">
      <w:start w:val="1"/>
      <w:numFmt w:val="decimal"/>
      <w:lvlText w:val="%1.%2.%3.%4.%5.%6.%7.%8.%9"/>
      <w:lvlJc w:val="left"/>
      <w:pPr>
        <w:ind w:left="0" w:firstLine="0"/>
      </w:pPr>
      <w:rPr>
        <w:rFonts w:hint="eastAsia" w:ascii="等线" w:hAnsi="等线" w:eastAsia="等线"/>
        <w:b/>
        <w:i w:val="0"/>
        <w:sz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0ZTBjNjIwODM2YmVmYTE0ZTE3ZGE1MWE1YTU0YzkifQ=="/>
  </w:docVars>
  <w:rsids>
    <w:rsidRoot w:val="12474A95"/>
    <w:rsid w:val="00003C1E"/>
    <w:rsid w:val="00037A30"/>
    <w:rsid w:val="00044EF2"/>
    <w:rsid w:val="00050DDE"/>
    <w:rsid w:val="000A14E6"/>
    <w:rsid w:val="000A4578"/>
    <w:rsid w:val="000A79C8"/>
    <w:rsid w:val="000E5FA1"/>
    <w:rsid w:val="00222F14"/>
    <w:rsid w:val="002B3092"/>
    <w:rsid w:val="00325D52"/>
    <w:rsid w:val="00413BB9"/>
    <w:rsid w:val="004146DA"/>
    <w:rsid w:val="004461A9"/>
    <w:rsid w:val="004A7F8D"/>
    <w:rsid w:val="005612DF"/>
    <w:rsid w:val="00562FB3"/>
    <w:rsid w:val="005722EF"/>
    <w:rsid w:val="005D6515"/>
    <w:rsid w:val="0060398F"/>
    <w:rsid w:val="00631C1B"/>
    <w:rsid w:val="00636937"/>
    <w:rsid w:val="006D0D06"/>
    <w:rsid w:val="0071209D"/>
    <w:rsid w:val="0074188F"/>
    <w:rsid w:val="00802AFA"/>
    <w:rsid w:val="00862B84"/>
    <w:rsid w:val="008E6F6B"/>
    <w:rsid w:val="009129D2"/>
    <w:rsid w:val="00A01A06"/>
    <w:rsid w:val="00A4190E"/>
    <w:rsid w:val="00A9723F"/>
    <w:rsid w:val="00AD54D4"/>
    <w:rsid w:val="00B825B7"/>
    <w:rsid w:val="00BC3B79"/>
    <w:rsid w:val="00CC23C6"/>
    <w:rsid w:val="00D80B94"/>
    <w:rsid w:val="00DB57FC"/>
    <w:rsid w:val="00DB654F"/>
    <w:rsid w:val="00F3780D"/>
    <w:rsid w:val="00F62DCD"/>
    <w:rsid w:val="00FD4A58"/>
    <w:rsid w:val="00FE53A6"/>
    <w:rsid w:val="01107B46"/>
    <w:rsid w:val="015D36C0"/>
    <w:rsid w:val="019C2893"/>
    <w:rsid w:val="0208396B"/>
    <w:rsid w:val="02151639"/>
    <w:rsid w:val="02737766"/>
    <w:rsid w:val="02BA7A6C"/>
    <w:rsid w:val="02CC4F2C"/>
    <w:rsid w:val="02EA7B79"/>
    <w:rsid w:val="02F23728"/>
    <w:rsid w:val="03244896"/>
    <w:rsid w:val="03A11052"/>
    <w:rsid w:val="03B31109"/>
    <w:rsid w:val="042B080D"/>
    <w:rsid w:val="04466A5A"/>
    <w:rsid w:val="0449381C"/>
    <w:rsid w:val="044D6C0B"/>
    <w:rsid w:val="0473187F"/>
    <w:rsid w:val="05AB7BBE"/>
    <w:rsid w:val="0648081E"/>
    <w:rsid w:val="0650547A"/>
    <w:rsid w:val="068A2F84"/>
    <w:rsid w:val="06A42F8B"/>
    <w:rsid w:val="06C3094B"/>
    <w:rsid w:val="06CB59EB"/>
    <w:rsid w:val="07A11279"/>
    <w:rsid w:val="07CD358E"/>
    <w:rsid w:val="09687854"/>
    <w:rsid w:val="097E324C"/>
    <w:rsid w:val="09BE5E69"/>
    <w:rsid w:val="09D41D2D"/>
    <w:rsid w:val="0A3D797F"/>
    <w:rsid w:val="0A6863CF"/>
    <w:rsid w:val="0ACB31DC"/>
    <w:rsid w:val="0B3837A8"/>
    <w:rsid w:val="0B5628E3"/>
    <w:rsid w:val="0B7C3908"/>
    <w:rsid w:val="0B910885"/>
    <w:rsid w:val="0BA224A5"/>
    <w:rsid w:val="0C0A7D34"/>
    <w:rsid w:val="0C822093"/>
    <w:rsid w:val="0C8F4D2C"/>
    <w:rsid w:val="0D26294C"/>
    <w:rsid w:val="0D757C5F"/>
    <w:rsid w:val="0D896813"/>
    <w:rsid w:val="0D975744"/>
    <w:rsid w:val="0D9B43EC"/>
    <w:rsid w:val="0DBB027E"/>
    <w:rsid w:val="0DC348F3"/>
    <w:rsid w:val="0E48771C"/>
    <w:rsid w:val="0EF00D29"/>
    <w:rsid w:val="0FBC7598"/>
    <w:rsid w:val="105C6685"/>
    <w:rsid w:val="10611E62"/>
    <w:rsid w:val="10836F4D"/>
    <w:rsid w:val="10973689"/>
    <w:rsid w:val="11AE07AF"/>
    <w:rsid w:val="12474A95"/>
    <w:rsid w:val="1272086D"/>
    <w:rsid w:val="12D736B9"/>
    <w:rsid w:val="13370CE3"/>
    <w:rsid w:val="13D777CD"/>
    <w:rsid w:val="13E05F2D"/>
    <w:rsid w:val="13F33480"/>
    <w:rsid w:val="14686756"/>
    <w:rsid w:val="148C256F"/>
    <w:rsid w:val="15316332"/>
    <w:rsid w:val="15415E49"/>
    <w:rsid w:val="156E30E2"/>
    <w:rsid w:val="15956F02"/>
    <w:rsid w:val="162E7FBD"/>
    <w:rsid w:val="165A18B8"/>
    <w:rsid w:val="16601ED9"/>
    <w:rsid w:val="16EC10B1"/>
    <w:rsid w:val="170F4451"/>
    <w:rsid w:val="171657DF"/>
    <w:rsid w:val="172B0284"/>
    <w:rsid w:val="179535B9"/>
    <w:rsid w:val="17E91017"/>
    <w:rsid w:val="18410FF6"/>
    <w:rsid w:val="18904E70"/>
    <w:rsid w:val="18FB4E0B"/>
    <w:rsid w:val="191C20A3"/>
    <w:rsid w:val="192D1343"/>
    <w:rsid w:val="19C91428"/>
    <w:rsid w:val="1A5A6ED8"/>
    <w:rsid w:val="1A824F3A"/>
    <w:rsid w:val="1A8573C1"/>
    <w:rsid w:val="1AC90007"/>
    <w:rsid w:val="1AD52E32"/>
    <w:rsid w:val="1B09565B"/>
    <w:rsid w:val="1B097409"/>
    <w:rsid w:val="1B0F4F24"/>
    <w:rsid w:val="1B9C027D"/>
    <w:rsid w:val="1BEA0FE8"/>
    <w:rsid w:val="1C357BE9"/>
    <w:rsid w:val="1CA613B3"/>
    <w:rsid w:val="1CCA1ADF"/>
    <w:rsid w:val="1CCE4466"/>
    <w:rsid w:val="1D5A3D79"/>
    <w:rsid w:val="1DB650CF"/>
    <w:rsid w:val="1DB7139E"/>
    <w:rsid w:val="1DFE6FCD"/>
    <w:rsid w:val="1E596034"/>
    <w:rsid w:val="1E9B1183"/>
    <w:rsid w:val="1F14722D"/>
    <w:rsid w:val="1F38645C"/>
    <w:rsid w:val="1FB2006F"/>
    <w:rsid w:val="1FC23CA6"/>
    <w:rsid w:val="1FF04823"/>
    <w:rsid w:val="201C198C"/>
    <w:rsid w:val="202D1DEC"/>
    <w:rsid w:val="2082367E"/>
    <w:rsid w:val="20846D3D"/>
    <w:rsid w:val="20C22534"/>
    <w:rsid w:val="20CC1F4A"/>
    <w:rsid w:val="20DA787E"/>
    <w:rsid w:val="211F7A59"/>
    <w:rsid w:val="214E201A"/>
    <w:rsid w:val="21C115B0"/>
    <w:rsid w:val="21F7620D"/>
    <w:rsid w:val="22123047"/>
    <w:rsid w:val="221C02AB"/>
    <w:rsid w:val="22284619"/>
    <w:rsid w:val="22346C69"/>
    <w:rsid w:val="223E1DFC"/>
    <w:rsid w:val="224F1EEE"/>
    <w:rsid w:val="22812EA5"/>
    <w:rsid w:val="22FE66B4"/>
    <w:rsid w:val="231322F5"/>
    <w:rsid w:val="231D1CA3"/>
    <w:rsid w:val="23333275"/>
    <w:rsid w:val="23446EF2"/>
    <w:rsid w:val="238748E8"/>
    <w:rsid w:val="239B0E1A"/>
    <w:rsid w:val="23A076DF"/>
    <w:rsid w:val="23B4085A"/>
    <w:rsid w:val="23BF4B92"/>
    <w:rsid w:val="23C323E6"/>
    <w:rsid w:val="23CA033F"/>
    <w:rsid w:val="23D41D4B"/>
    <w:rsid w:val="23DE2C20"/>
    <w:rsid w:val="23F6223D"/>
    <w:rsid w:val="248C70E1"/>
    <w:rsid w:val="24923C3D"/>
    <w:rsid w:val="24CD76F9"/>
    <w:rsid w:val="24D9609E"/>
    <w:rsid w:val="24F42F9F"/>
    <w:rsid w:val="25436039"/>
    <w:rsid w:val="25826736"/>
    <w:rsid w:val="26527EC1"/>
    <w:rsid w:val="26575077"/>
    <w:rsid w:val="269674D6"/>
    <w:rsid w:val="26BC560B"/>
    <w:rsid w:val="26DE46A1"/>
    <w:rsid w:val="26FC7E22"/>
    <w:rsid w:val="273D2D56"/>
    <w:rsid w:val="27B150B0"/>
    <w:rsid w:val="27DB3FEA"/>
    <w:rsid w:val="282B7BD2"/>
    <w:rsid w:val="28C02710"/>
    <w:rsid w:val="28E30E37"/>
    <w:rsid w:val="28EE6DC7"/>
    <w:rsid w:val="2949407C"/>
    <w:rsid w:val="2959155B"/>
    <w:rsid w:val="29FE5C10"/>
    <w:rsid w:val="2A05171C"/>
    <w:rsid w:val="2A1C1189"/>
    <w:rsid w:val="2A5D11BB"/>
    <w:rsid w:val="2A81195B"/>
    <w:rsid w:val="2A827B9E"/>
    <w:rsid w:val="2AD31FB6"/>
    <w:rsid w:val="2B585F6F"/>
    <w:rsid w:val="2B6C5576"/>
    <w:rsid w:val="2B827A30"/>
    <w:rsid w:val="2BC7760D"/>
    <w:rsid w:val="2BD045C6"/>
    <w:rsid w:val="2C112457"/>
    <w:rsid w:val="2C2440A3"/>
    <w:rsid w:val="2C293467"/>
    <w:rsid w:val="2CDE06F5"/>
    <w:rsid w:val="2D244C0A"/>
    <w:rsid w:val="2D423DA5"/>
    <w:rsid w:val="2D777155"/>
    <w:rsid w:val="2D8366BB"/>
    <w:rsid w:val="2DBC27C9"/>
    <w:rsid w:val="2DC73275"/>
    <w:rsid w:val="2DCB368B"/>
    <w:rsid w:val="2DE75388"/>
    <w:rsid w:val="2E165C6D"/>
    <w:rsid w:val="2E4E3659"/>
    <w:rsid w:val="2EE43B2B"/>
    <w:rsid w:val="2F154177"/>
    <w:rsid w:val="2F337E9A"/>
    <w:rsid w:val="2F3F7896"/>
    <w:rsid w:val="2FB44578"/>
    <w:rsid w:val="303845C1"/>
    <w:rsid w:val="304701E7"/>
    <w:rsid w:val="31656C3D"/>
    <w:rsid w:val="31AA7143"/>
    <w:rsid w:val="31AF738A"/>
    <w:rsid w:val="31E80CC4"/>
    <w:rsid w:val="32096215"/>
    <w:rsid w:val="321C0DAD"/>
    <w:rsid w:val="323E39E3"/>
    <w:rsid w:val="3260395B"/>
    <w:rsid w:val="32996261"/>
    <w:rsid w:val="34421188"/>
    <w:rsid w:val="344A003F"/>
    <w:rsid w:val="347E0A97"/>
    <w:rsid w:val="347F6931"/>
    <w:rsid w:val="34872CF7"/>
    <w:rsid w:val="34891F6B"/>
    <w:rsid w:val="348A1163"/>
    <w:rsid w:val="34943D90"/>
    <w:rsid w:val="355718E2"/>
    <w:rsid w:val="35822C5E"/>
    <w:rsid w:val="35BC359E"/>
    <w:rsid w:val="361C453F"/>
    <w:rsid w:val="36590B5D"/>
    <w:rsid w:val="366E1586"/>
    <w:rsid w:val="36707534"/>
    <w:rsid w:val="3690539D"/>
    <w:rsid w:val="36AC2B1C"/>
    <w:rsid w:val="36F269B1"/>
    <w:rsid w:val="370E607B"/>
    <w:rsid w:val="375A2E2B"/>
    <w:rsid w:val="37744822"/>
    <w:rsid w:val="37DF7C38"/>
    <w:rsid w:val="38637D01"/>
    <w:rsid w:val="388667C0"/>
    <w:rsid w:val="38D633DF"/>
    <w:rsid w:val="395D2BAD"/>
    <w:rsid w:val="3A4361F4"/>
    <w:rsid w:val="3ABE55D5"/>
    <w:rsid w:val="3AFB03C1"/>
    <w:rsid w:val="3B4402BD"/>
    <w:rsid w:val="3B455DE4"/>
    <w:rsid w:val="3B4E4C98"/>
    <w:rsid w:val="3B65379A"/>
    <w:rsid w:val="3B96391E"/>
    <w:rsid w:val="3BC177E2"/>
    <w:rsid w:val="3C374FB4"/>
    <w:rsid w:val="3C65652D"/>
    <w:rsid w:val="3CBC20D5"/>
    <w:rsid w:val="3CF4186F"/>
    <w:rsid w:val="3D1141CF"/>
    <w:rsid w:val="3D3C7122"/>
    <w:rsid w:val="3D69400B"/>
    <w:rsid w:val="3DD50036"/>
    <w:rsid w:val="3E0E6961"/>
    <w:rsid w:val="3E682515"/>
    <w:rsid w:val="3E7F1532"/>
    <w:rsid w:val="3E8D5655"/>
    <w:rsid w:val="3E992FDC"/>
    <w:rsid w:val="3EEB5F48"/>
    <w:rsid w:val="3EF4759A"/>
    <w:rsid w:val="3F4F6697"/>
    <w:rsid w:val="3FA5333A"/>
    <w:rsid w:val="3FB3540A"/>
    <w:rsid w:val="3FDA11F0"/>
    <w:rsid w:val="3FE45BCB"/>
    <w:rsid w:val="40421EF0"/>
    <w:rsid w:val="4063042F"/>
    <w:rsid w:val="407D1B7C"/>
    <w:rsid w:val="40D61063"/>
    <w:rsid w:val="41254DD7"/>
    <w:rsid w:val="41260298"/>
    <w:rsid w:val="422C4C64"/>
    <w:rsid w:val="424F741B"/>
    <w:rsid w:val="42672AE3"/>
    <w:rsid w:val="426D00FA"/>
    <w:rsid w:val="42B87C47"/>
    <w:rsid w:val="42DC5DB5"/>
    <w:rsid w:val="43012B66"/>
    <w:rsid w:val="43B535A8"/>
    <w:rsid w:val="43CC2BFE"/>
    <w:rsid w:val="43E90B65"/>
    <w:rsid w:val="43F2211B"/>
    <w:rsid w:val="4447497A"/>
    <w:rsid w:val="44A84435"/>
    <w:rsid w:val="44CA7756"/>
    <w:rsid w:val="450D5B3D"/>
    <w:rsid w:val="45481436"/>
    <w:rsid w:val="458E5EE1"/>
    <w:rsid w:val="45EF7078"/>
    <w:rsid w:val="45F96AC8"/>
    <w:rsid w:val="4651388E"/>
    <w:rsid w:val="465810C1"/>
    <w:rsid w:val="46FE3A16"/>
    <w:rsid w:val="47797541"/>
    <w:rsid w:val="47FE3E1C"/>
    <w:rsid w:val="48031B26"/>
    <w:rsid w:val="48060A29"/>
    <w:rsid w:val="488372E3"/>
    <w:rsid w:val="48B620CF"/>
    <w:rsid w:val="48DC298A"/>
    <w:rsid w:val="48E64762"/>
    <w:rsid w:val="48F36E7F"/>
    <w:rsid w:val="49212BA8"/>
    <w:rsid w:val="492B7268"/>
    <w:rsid w:val="492F6BDC"/>
    <w:rsid w:val="4971313E"/>
    <w:rsid w:val="49890219"/>
    <w:rsid w:val="4A470126"/>
    <w:rsid w:val="4A702375"/>
    <w:rsid w:val="4A9E6406"/>
    <w:rsid w:val="4B040C90"/>
    <w:rsid w:val="4B111850"/>
    <w:rsid w:val="4B2E419E"/>
    <w:rsid w:val="4B483800"/>
    <w:rsid w:val="4B7A3887"/>
    <w:rsid w:val="4B887D52"/>
    <w:rsid w:val="4B8E01C4"/>
    <w:rsid w:val="4B8E776B"/>
    <w:rsid w:val="4B977F95"/>
    <w:rsid w:val="4BAD3775"/>
    <w:rsid w:val="4BFE7762"/>
    <w:rsid w:val="4C107D48"/>
    <w:rsid w:val="4C72305B"/>
    <w:rsid w:val="4CA26BF2"/>
    <w:rsid w:val="4CB71819"/>
    <w:rsid w:val="4CE23C0B"/>
    <w:rsid w:val="4D5819A6"/>
    <w:rsid w:val="4D5831FF"/>
    <w:rsid w:val="4D8865FA"/>
    <w:rsid w:val="4D950505"/>
    <w:rsid w:val="4DCC2424"/>
    <w:rsid w:val="4E002205"/>
    <w:rsid w:val="4E084017"/>
    <w:rsid w:val="4E7740AE"/>
    <w:rsid w:val="4E9C79BD"/>
    <w:rsid w:val="4EBC7D13"/>
    <w:rsid w:val="4F3E7FC5"/>
    <w:rsid w:val="4FFC2ABD"/>
    <w:rsid w:val="505A492D"/>
    <w:rsid w:val="507C775A"/>
    <w:rsid w:val="50926F7D"/>
    <w:rsid w:val="514C655D"/>
    <w:rsid w:val="515661B0"/>
    <w:rsid w:val="51962865"/>
    <w:rsid w:val="51CA7E4A"/>
    <w:rsid w:val="52374280"/>
    <w:rsid w:val="523742AD"/>
    <w:rsid w:val="52426781"/>
    <w:rsid w:val="52561B18"/>
    <w:rsid w:val="527A5743"/>
    <w:rsid w:val="52DD1244"/>
    <w:rsid w:val="52EF6615"/>
    <w:rsid w:val="546535D1"/>
    <w:rsid w:val="54BE47E5"/>
    <w:rsid w:val="54CC6A3E"/>
    <w:rsid w:val="550134ED"/>
    <w:rsid w:val="551F0D2D"/>
    <w:rsid w:val="55306D65"/>
    <w:rsid w:val="556233BD"/>
    <w:rsid w:val="55B11291"/>
    <w:rsid w:val="560D3927"/>
    <w:rsid w:val="56400F5B"/>
    <w:rsid w:val="565C1AFE"/>
    <w:rsid w:val="57390153"/>
    <w:rsid w:val="576D09D7"/>
    <w:rsid w:val="579F3F56"/>
    <w:rsid w:val="57AC6B77"/>
    <w:rsid w:val="58023B15"/>
    <w:rsid w:val="581761E1"/>
    <w:rsid w:val="58785CC8"/>
    <w:rsid w:val="58A92390"/>
    <w:rsid w:val="58B43CAD"/>
    <w:rsid w:val="58B51F91"/>
    <w:rsid w:val="595C43A4"/>
    <w:rsid w:val="59947BF8"/>
    <w:rsid w:val="59B95135"/>
    <w:rsid w:val="5A0368F7"/>
    <w:rsid w:val="5A850AC5"/>
    <w:rsid w:val="5ABF3065"/>
    <w:rsid w:val="5ADA34F9"/>
    <w:rsid w:val="5AF95B09"/>
    <w:rsid w:val="5B2F7149"/>
    <w:rsid w:val="5B5343C3"/>
    <w:rsid w:val="5C0A6562"/>
    <w:rsid w:val="5C493570"/>
    <w:rsid w:val="5CE62E55"/>
    <w:rsid w:val="5D3B78F6"/>
    <w:rsid w:val="5D446039"/>
    <w:rsid w:val="5D836B4D"/>
    <w:rsid w:val="5DB06C95"/>
    <w:rsid w:val="5DEF3C61"/>
    <w:rsid w:val="5E1355D9"/>
    <w:rsid w:val="5E2D1587"/>
    <w:rsid w:val="5E524F12"/>
    <w:rsid w:val="5E5B2985"/>
    <w:rsid w:val="5E5C0B73"/>
    <w:rsid w:val="5E6115B7"/>
    <w:rsid w:val="5E760453"/>
    <w:rsid w:val="5EA2446F"/>
    <w:rsid w:val="5EB83504"/>
    <w:rsid w:val="5FB54A36"/>
    <w:rsid w:val="5FC353A5"/>
    <w:rsid w:val="5FC807B7"/>
    <w:rsid w:val="5FF76DFD"/>
    <w:rsid w:val="60352A61"/>
    <w:rsid w:val="60432042"/>
    <w:rsid w:val="60A11D1A"/>
    <w:rsid w:val="60BF6810"/>
    <w:rsid w:val="60FE61A3"/>
    <w:rsid w:val="611B2BA6"/>
    <w:rsid w:val="61FE187A"/>
    <w:rsid w:val="628F5A13"/>
    <w:rsid w:val="629372B1"/>
    <w:rsid w:val="62D71CE3"/>
    <w:rsid w:val="62FF4669"/>
    <w:rsid w:val="630F140E"/>
    <w:rsid w:val="631F231D"/>
    <w:rsid w:val="63700E1D"/>
    <w:rsid w:val="63D07FE0"/>
    <w:rsid w:val="646F777C"/>
    <w:rsid w:val="652B6BAE"/>
    <w:rsid w:val="653C3F28"/>
    <w:rsid w:val="65E17DFC"/>
    <w:rsid w:val="65FE7137"/>
    <w:rsid w:val="664738EC"/>
    <w:rsid w:val="66750509"/>
    <w:rsid w:val="66911D59"/>
    <w:rsid w:val="66C76451"/>
    <w:rsid w:val="67B4679E"/>
    <w:rsid w:val="67D51A17"/>
    <w:rsid w:val="6896491A"/>
    <w:rsid w:val="68FD7DFE"/>
    <w:rsid w:val="698F7877"/>
    <w:rsid w:val="69CF0886"/>
    <w:rsid w:val="6A366B2D"/>
    <w:rsid w:val="6A776DBB"/>
    <w:rsid w:val="6A8353C1"/>
    <w:rsid w:val="6A94006A"/>
    <w:rsid w:val="6B3453A9"/>
    <w:rsid w:val="6B705BB0"/>
    <w:rsid w:val="6B741C4A"/>
    <w:rsid w:val="6B7E5E0A"/>
    <w:rsid w:val="6C0B610A"/>
    <w:rsid w:val="6C1A062A"/>
    <w:rsid w:val="6C2C7143"/>
    <w:rsid w:val="6D1E78B0"/>
    <w:rsid w:val="6D863A49"/>
    <w:rsid w:val="6DFE6BFE"/>
    <w:rsid w:val="6E0121C6"/>
    <w:rsid w:val="6E05302D"/>
    <w:rsid w:val="6E591E49"/>
    <w:rsid w:val="6ED549B5"/>
    <w:rsid w:val="6F105EF0"/>
    <w:rsid w:val="6F235519"/>
    <w:rsid w:val="6F640BAB"/>
    <w:rsid w:val="6F6C0C22"/>
    <w:rsid w:val="6FF4449F"/>
    <w:rsid w:val="701704AC"/>
    <w:rsid w:val="70932B72"/>
    <w:rsid w:val="70AE3CF2"/>
    <w:rsid w:val="710F64BE"/>
    <w:rsid w:val="715A543E"/>
    <w:rsid w:val="71926986"/>
    <w:rsid w:val="71B354E5"/>
    <w:rsid w:val="71D66B8A"/>
    <w:rsid w:val="72094566"/>
    <w:rsid w:val="727D2AF0"/>
    <w:rsid w:val="72872858"/>
    <w:rsid w:val="72C5165F"/>
    <w:rsid w:val="72EB47D9"/>
    <w:rsid w:val="72F0605A"/>
    <w:rsid w:val="73183AE6"/>
    <w:rsid w:val="738D7E42"/>
    <w:rsid w:val="73BD0A2D"/>
    <w:rsid w:val="73D634A1"/>
    <w:rsid w:val="74324450"/>
    <w:rsid w:val="74386192"/>
    <w:rsid w:val="746826A0"/>
    <w:rsid w:val="74944165"/>
    <w:rsid w:val="749668CA"/>
    <w:rsid w:val="74A7130C"/>
    <w:rsid w:val="754371F9"/>
    <w:rsid w:val="761D41D0"/>
    <w:rsid w:val="766A5A18"/>
    <w:rsid w:val="76A27B43"/>
    <w:rsid w:val="775546DD"/>
    <w:rsid w:val="778F1F68"/>
    <w:rsid w:val="77A31324"/>
    <w:rsid w:val="77C3350C"/>
    <w:rsid w:val="77F4079E"/>
    <w:rsid w:val="787F2BEC"/>
    <w:rsid w:val="78AC43BC"/>
    <w:rsid w:val="795327A9"/>
    <w:rsid w:val="79627585"/>
    <w:rsid w:val="796404F6"/>
    <w:rsid w:val="79CD7139"/>
    <w:rsid w:val="79CF6E07"/>
    <w:rsid w:val="7A356A48"/>
    <w:rsid w:val="7A381000"/>
    <w:rsid w:val="7B126AD1"/>
    <w:rsid w:val="7B435D03"/>
    <w:rsid w:val="7B8824F9"/>
    <w:rsid w:val="7C70045A"/>
    <w:rsid w:val="7C7A4F49"/>
    <w:rsid w:val="7D124186"/>
    <w:rsid w:val="7D1F2501"/>
    <w:rsid w:val="7D263AA8"/>
    <w:rsid w:val="7D487626"/>
    <w:rsid w:val="7D515755"/>
    <w:rsid w:val="7D554BE8"/>
    <w:rsid w:val="7D5E37B8"/>
    <w:rsid w:val="7D790DF2"/>
    <w:rsid w:val="7DBB1012"/>
    <w:rsid w:val="7E775881"/>
    <w:rsid w:val="7EBD6571"/>
    <w:rsid w:val="7ED258B3"/>
    <w:rsid w:val="7EED4BDD"/>
    <w:rsid w:val="7F2A2400"/>
    <w:rsid w:val="7F6C2F0C"/>
    <w:rsid w:val="7F7E5011"/>
    <w:rsid w:val="7FBA5A25"/>
    <w:rsid w:val="7FBE4DEA"/>
    <w:rsid w:val="7FCB7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4"/>
      <w:lang w:val="en-US" w:eastAsia="zh-CN" w:bidi="ar-SA"/>
    </w:rPr>
  </w:style>
  <w:style w:type="paragraph" w:styleId="2">
    <w:name w:val="heading 1"/>
    <w:basedOn w:val="1"/>
    <w:next w:val="1"/>
    <w:link w:val="30"/>
    <w:qFormat/>
    <w:uiPriority w:val="0"/>
    <w:pPr>
      <w:keepNext/>
      <w:keepLines/>
      <w:jc w:val="center"/>
      <w:outlineLvl w:val="0"/>
    </w:pPr>
    <w:rPr>
      <w:rFonts w:ascii="Times New Roman" w:hAnsi="Times New Roman"/>
      <w:b/>
      <w:kern w:val="44"/>
      <w:sz w:val="48"/>
    </w:rPr>
  </w:style>
  <w:style w:type="paragraph" w:styleId="3">
    <w:name w:val="heading 2"/>
    <w:basedOn w:val="1"/>
    <w:next w:val="1"/>
    <w:unhideWhenUsed/>
    <w:qFormat/>
    <w:uiPriority w:val="9"/>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paragraph" w:styleId="5">
    <w:name w:val="heading 4"/>
    <w:basedOn w:val="1"/>
    <w:next w:val="1"/>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character" w:default="1" w:styleId="23">
    <w:name w:val="Default Paragraph Font"/>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1"/>
    <w:unhideWhenUsed/>
    <w:qFormat/>
    <w:uiPriority w:val="0"/>
    <w:pPr>
      <w:adjustRightInd w:val="0"/>
      <w:ind w:firstLine="420"/>
      <w:jc w:val="left"/>
      <w:textAlignment w:val="baseline"/>
    </w:pPr>
  </w:style>
  <w:style w:type="paragraph" w:styleId="7">
    <w:name w:val="annotation text"/>
    <w:basedOn w:val="1"/>
    <w:link w:val="41"/>
    <w:autoRedefine/>
    <w:qFormat/>
    <w:uiPriority w:val="0"/>
    <w:pPr>
      <w:jc w:val="left"/>
    </w:pPr>
  </w:style>
  <w:style w:type="paragraph" w:styleId="8">
    <w:name w:val="Body Text"/>
    <w:basedOn w:val="1"/>
    <w:autoRedefine/>
    <w:unhideWhenUsed/>
    <w:qFormat/>
    <w:uiPriority w:val="0"/>
    <w:rPr>
      <w:rFonts w:ascii="楷体_GB2312" w:eastAsia="楷体_GB2312"/>
      <w:b/>
      <w:bCs/>
      <w:kern w:val="2"/>
      <w:sz w:val="28"/>
    </w:rPr>
  </w:style>
  <w:style w:type="paragraph" w:styleId="9">
    <w:name w:val="Body Text Indent"/>
    <w:basedOn w:val="1"/>
    <w:next w:val="10"/>
    <w:autoRedefine/>
    <w:unhideWhenUsed/>
    <w:qFormat/>
    <w:uiPriority w:val="0"/>
    <w:pPr>
      <w:ind w:firstLine="570"/>
    </w:pPr>
    <w:rPr>
      <w:rFonts w:ascii="宋体"/>
      <w:sz w:val="28"/>
    </w:rPr>
  </w:style>
  <w:style w:type="paragraph" w:styleId="10">
    <w:name w:val="envelope return"/>
    <w:basedOn w:val="1"/>
    <w:autoRedefine/>
    <w:qFormat/>
    <w:uiPriority w:val="0"/>
    <w:pPr>
      <w:snapToGrid w:val="0"/>
    </w:pPr>
    <w:rPr>
      <w:rFonts w:ascii="Arial" w:hAnsi="Arial"/>
    </w:rPr>
  </w:style>
  <w:style w:type="paragraph" w:styleId="11">
    <w:name w:val="Plain Text"/>
    <w:autoRedefine/>
    <w:unhideWhenUsed/>
    <w:qFormat/>
    <w:uiPriority w:val="0"/>
    <w:pPr>
      <w:widowControl w:val="0"/>
      <w:jc w:val="both"/>
    </w:pPr>
    <w:rPr>
      <w:rFonts w:ascii="宋体" w:hAnsi="Courier New" w:eastAsia="宋体" w:cs="Times New Roman"/>
      <w:sz w:val="24"/>
      <w:lang w:val="en-US" w:eastAsia="zh-CN" w:bidi="ar-SA"/>
    </w:rPr>
  </w:style>
  <w:style w:type="paragraph" w:styleId="12">
    <w:name w:val="Balloon Text"/>
    <w:basedOn w:val="1"/>
    <w:qFormat/>
    <w:uiPriority w:val="0"/>
    <w:rPr>
      <w:rFonts w:ascii="Times New Roman" w:hAnsi="Times New Roman" w:eastAsia="宋体" w:cs="Times New Roman"/>
      <w:kern w:val="0"/>
      <w:sz w:val="18"/>
      <w:szCs w:val="18"/>
      <w14:ligatures w14:val="none"/>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Subtitle"/>
    <w:basedOn w:val="1"/>
    <w:next w:val="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oc 2"/>
    <w:basedOn w:val="1"/>
    <w:next w:val="1"/>
    <w:unhideWhenUsed/>
    <w:qFormat/>
    <w:uiPriority w:val="39"/>
    <w:pPr>
      <w:ind w:left="420" w:leftChars="200"/>
    </w:pPr>
  </w:style>
  <w:style w:type="paragraph" w:styleId="1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szCs w:val="21"/>
    </w:r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paragraph" w:styleId="19">
    <w:name w:val="annotation subject"/>
    <w:basedOn w:val="7"/>
    <w:next w:val="7"/>
    <w:link w:val="42"/>
    <w:autoRedefine/>
    <w:qFormat/>
    <w:uiPriority w:val="0"/>
    <w:rPr>
      <w:b/>
      <w:bCs/>
    </w:rPr>
  </w:style>
  <w:style w:type="paragraph" w:styleId="20">
    <w:name w:val="Body Text First Indent 2"/>
    <w:basedOn w:val="9"/>
    <w:autoRedefine/>
    <w:qFormat/>
    <w:uiPriority w:val="0"/>
    <w:pPr>
      <w:spacing w:after="120"/>
      <w:ind w:left="420" w:leftChars="200" w:firstLine="420" w:firstLineChars="200"/>
    </w:pPr>
    <w:rPr>
      <w:rFonts w:ascii="Times New Roman"/>
      <w:sz w:val="21"/>
      <w:szCs w:val="24"/>
    </w:rPr>
  </w:style>
  <w:style w:type="table" w:styleId="22">
    <w:name w:val="Table Grid"/>
    <w:basedOn w:val="2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qFormat/>
    <w:uiPriority w:val="0"/>
    <w:rPr>
      <w:color w:val="333333"/>
      <w:u w:val="none"/>
    </w:rPr>
  </w:style>
  <w:style w:type="character" w:styleId="25">
    <w:name w:val="annotation reference"/>
    <w:basedOn w:val="23"/>
    <w:autoRedefine/>
    <w:qFormat/>
    <w:uiPriority w:val="0"/>
    <w:rPr>
      <w:sz w:val="21"/>
      <w:szCs w:val="21"/>
    </w:rPr>
  </w:style>
  <w:style w:type="paragraph" w:customStyle="1" w:styleId="26">
    <w:name w:val="正文缩进1"/>
    <w:next w:val="1"/>
    <w:qFormat/>
    <w:uiPriority w:val="0"/>
    <w:pPr>
      <w:wordWrap w:val="0"/>
      <w:ind w:left="3400"/>
      <w:jc w:val="both"/>
    </w:pPr>
    <w:rPr>
      <w:rFonts w:ascii="Times New Roman" w:hAnsi="Times New Roman" w:eastAsia="宋体" w:cs="Times New Roman"/>
      <w:sz w:val="21"/>
      <w:lang w:val="en-US" w:eastAsia="zh-CN" w:bidi="ar-SA"/>
    </w:rPr>
  </w:style>
  <w:style w:type="paragraph" w:customStyle="1" w:styleId="27">
    <w:name w:val="段"/>
    <w:next w:val="1"/>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8">
    <w:name w:val="首行缩进"/>
    <w:basedOn w:val="1"/>
    <w:autoRedefine/>
    <w:qFormat/>
    <w:uiPriority w:val="0"/>
    <w:pPr>
      <w:ind w:firstLine="480" w:firstLineChars="200"/>
    </w:pPr>
    <w:rPr>
      <w:sz w:val="21"/>
      <w:lang w:val="zh-CN"/>
    </w:rPr>
  </w:style>
  <w:style w:type="character" w:customStyle="1" w:styleId="29">
    <w:name w:val="标题 1 Char"/>
    <w:autoRedefine/>
    <w:qFormat/>
    <w:uiPriority w:val="0"/>
    <w:rPr>
      <w:rFonts w:ascii="Times New Roman" w:hAnsi="Times New Roman" w:eastAsia="宋体"/>
      <w:b/>
      <w:kern w:val="44"/>
      <w:sz w:val="48"/>
    </w:rPr>
  </w:style>
  <w:style w:type="character" w:customStyle="1" w:styleId="30">
    <w:name w:val="标题 1 字符"/>
    <w:link w:val="2"/>
    <w:autoRedefine/>
    <w:qFormat/>
    <w:uiPriority w:val="0"/>
    <w:rPr>
      <w:rFonts w:eastAsia="楷体_GB2312"/>
      <w:b/>
      <w:kern w:val="44"/>
      <w:sz w:val="44"/>
      <w:lang w:val="en-US" w:eastAsia="zh-CN" w:bidi="ar-SA"/>
    </w:rPr>
  </w:style>
  <w:style w:type="character" w:customStyle="1" w:styleId="31">
    <w:name w:val="font21"/>
    <w:basedOn w:val="23"/>
    <w:autoRedefine/>
    <w:qFormat/>
    <w:uiPriority w:val="0"/>
    <w:rPr>
      <w:rFonts w:hint="eastAsia" w:ascii="宋体" w:hAnsi="宋体" w:eastAsia="宋体" w:cs="宋体"/>
      <w:color w:val="000000"/>
      <w:sz w:val="24"/>
      <w:szCs w:val="24"/>
      <w:u w:val="none"/>
    </w:rPr>
  </w:style>
  <w:style w:type="character" w:customStyle="1" w:styleId="32">
    <w:name w:val="font11"/>
    <w:basedOn w:val="23"/>
    <w:autoRedefine/>
    <w:qFormat/>
    <w:uiPriority w:val="0"/>
    <w:rPr>
      <w:rFonts w:hint="default" w:ascii="Calibri" w:hAnsi="Calibri" w:cs="Calibri"/>
      <w:color w:val="000000"/>
      <w:sz w:val="24"/>
      <w:szCs w:val="24"/>
      <w:u w:val="none"/>
    </w:rPr>
  </w:style>
  <w:style w:type="character" w:customStyle="1" w:styleId="33">
    <w:name w:val="font01"/>
    <w:basedOn w:val="23"/>
    <w:autoRedefine/>
    <w:qFormat/>
    <w:uiPriority w:val="0"/>
    <w:rPr>
      <w:rFonts w:hint="eastAsia" w:ascii="宋体" w:hAnsi="宋体" w:eastAsia="宋体" w:cs="宋体"/>
      <w:color w:val="000000"/>
      <w:sz w:val="24"/>
      <w:szCs w:val="24"/>
      <w:u w:val="single"/>
    </w:rPr>
  </w:style>
  <w:style w:type="character" w:customStyle="1" w:styleId="34">
    <w:name w:val="font51"/>
    <w:basedOn w:val="23"/>
    <w:autoRedefine/>
    <w:qFormat/>
    <w:uiPriority w:val="0"/>
    <w:rPr>
      <w:rFonts w:hint="eastAsia" w:ascii="宋体" w:hAnsi="宋体" w:eastAsia="宋体" w:cs="宋体"/>
      <w:color w:val="000000"/>
      <w:sz w:val="22"/>
      <w:szCs w:val="22"/>
      <w:u w:val="none"/>
    </w:rPr>
  </w:style>
  <w:style w:type="character" w:customStyle="1" w:styleId="35">
    <w:name w:val="font31"/>
    <w:basedOn w:val="23"/>
    <w:autoRedefine/>
    <w:qFormat/>
    <w:uiPriority w:val="0"/>
    <w:rPr>
      <w:rFonts w:hint="eastAsia" w:ascii="宋体" w:hAnsi="宋体" w:eastAsia="宋体" w:cs="宋体"/>
      <w:color w:val="000000"/>
      <w:sz w:val="22"/>
      <w:szCs w:val="22"/>
      <w:u w:val="none"/>
      <w:vertAlign w:val="superscript"/>
    </w:rPr>
  </w:style>
  <w:style w:type="character" w:customStyle="1" w:styleId="36">
    <w:name w:val="font111"/>
    <w:basedOn w:val="23"/>
    <w:autoRedefine/>
    <w:qFormat/>
    <w:uiPriority w:val="0"/>
    <w:rPr>
      <w:rFonts w:hint="default" w:ascii="Times New Roman" w:hAnsi="Times New Roman" w:cs="Times New Roman"/>
      <w:b/>
      <w:bCs/>
      <w:color w:val="000000"/>
      <w:sz w:val="16"/>
      <w:szCs w:val="16"/>
      <w:u w:val="none"/>
    </w:rPr>
  </w:style>
  <w:style w:type="character" w:customStyle="1" w:styleId="37">
    <w:name w:val="font122"/>
    <w:basedOn w:val="23"/>
    <w:autoRedefine/>
    <w:qFormat/>
    <w:uiPriority w:val="0"/>
    <w:rPr>
      <w:rFonts w:hint="eastAsia" w:ascii="宋体" w:hAnsi="宋体" w:eastAsia="宋体" w:cs="宋体"/>
      <w:b/>
      <w:bCs/>
      <w:color w:val="000000"/>
      <w:sz w:val="16"/>
      <w:szCs w:val="16"/>
      <w:u w:val="none"/>
    </w:rPr>
  </w:style>
  <w:style w:type="character" w:customStyle="1" w:styleId="38">
    <w:name w:val="font91"/>
    <w:basedOn w:val="23"/>
    <w:autoRedefine/>
    <w:qFormat/>
    <w:uiPriority w:val="0"/>
    <w:rPr>
      <w:rFonts w:hint="eastAsia" w:ascii="宋体" w:hAnsi="宋体" w:eastAsia="宋体" w:cs="宋体"/>
      <w:color w:val="000000"/>
      <w:sz w:val="16"/>
      <w:szCs w:val="16"/>
      <w:u w:val="none"/>
    </w:rPr>
  </w:style>
  <w:style w:type="character" w:customStyle="1" w:styleId="39">
    <w:name w:val="font131"/>
    <w:basedOn w:val="23"/>
    <w:autoRedefine/>
    <w:qFormat/>
    <w:uiPriority w:val="0"/>
    <w:rPr>
      <w:rFonts w:hint="eastAsia" w:ascii="宋体" w:hAnsi="宋体" w:eastAsia="宋体" w:cs="宋体"/>
      <w:color w:val="000000"/>
      <w:sz w:val="16"/>
      <w:szCs w:val="16"/>
      <w:u w:val="none"/>
    </w:rPr>
  </w:style>
  <w:style w:type="paragraph" w:customStyle="1" w:styleId="40">
    <w:name w:val="Revision"/>
    <w:autoRedefine/>
    <w:hidden/>
    <w:unhideWhenUsed/>
    <w:qFormat/>
    <w:uiPriority w:val="99"/>
    <w:rPr>
      <w:rFonts w:ascii="Calibri" w:hAnsi="Calibri" w:eastAsia="宋体" w:cs="Times New Roman"/>
      <w:sz w:val="24"/>
      <w:lang w:val="en-US" w:eastAsia="zh-CN" w:bidi="ar-SA"/>
    </w:rPr>
  </w:style>
  <w:style w:type="character" w:customStyle="1" w:styleId="41">
    <w:name w:val="批注文字 字符"/>
    <w:basedOn w:val="23"/>
    <w:link w:val="7"/>
    <w:autoRedefine/>
    <w:qFormat/>
    <w:uiPriority w:val="0"/>
    <w:rPr>
      <w:rFonts w:ascii="Calibri" w:hAnsi="Calibri"/>
      <w:sz w:val="24"/>
    </w:rPr>
  </w:style>
  <w:style w:type="character" w:customStyle="1" w:styleId="42">
    <w:name w:val="批注主题 字符"/>
    <w:basedOn w:val="41"/>
    <w:link w:val="19"/>
    <w:autoRedefine/>
    <w:qFormat/>
    <w:uiPriority w:val="0"/>
    <w:rPr>
      <w:rFonts w:ascii="Calibri" w:hAnsi="Calibri"/>
      <w:b/>
      <w:bCs/>
      <w:sz w:val="24"/>
    </w:rPr>
  </w:style>
  <w:style w:type="character" w:customStyle="1" w:styleId="43">
    <w:name w:val="font151"/>
    <w:basedOn w:val="23"/>
    <w:autoRedefine/>
    <w:qFormat/>
    <w:uiPriority w:val="0"/>
    <w:rPr>
      <w:rFonts w:hint="default" w:ascii="Times New Roman" w:hAnsi="Times New Roman" w:cs="Times New Roman"/>
      <w:b/>
      <w:bCs/>
      <w:color w:val="000000"/>
      <w:sz w:val="22"/>
      <w:szCs w:val="22"/>
      <w:u w:val="none"/>
    </w:rPr>
  </w:style>
  <w:style w:type="character" w:customStyle="1" w:styleId="44">
    <w:name w:val="font161"/>
    <w:basedOn w:val="23"/>
    <w:autoRedefine/>
    <w:qFormat/>
    <w:uiPriority w:val="0"/>
    <w:rPr>
      <w:rFonts w:hint="eastAsia" w:ascii="宋体" w:hAnsi="宋体" w:eastAsia="宋体" w:cs="宋体"/>
      <w:b/>
      <w:bCs/>
      <w:color w:val="000000"/>
      <w:sz w:val="22"/>
      <w:szCs w:val="22"/>
      <w:u w:val="none"/>
    </w:rPr>
  </w:style>
  <w:style w:type="character" w:customStyle="1" w:styleId="45">
    <w:name w:val="font171"/>
    <w:basedOn w:val="23"/>
    <w:autoRedefine/>
    <w:qFormat/>
    <w:uiPriority w:val="0"/>
    <w:rPr>
      <w:rFonts w:hint="eastAsia" w:ascii="宋体" w:hAnsi="宋体" w:eastAsia="宋体" w:cs="宋体"/>
      <w:color w:val="333300"/>
      <w:sz w:val="20"/>
      <w:szCs w:val="20"/>
      <w:u w:val="none"/>
    </w:rPr>
  </w:style>
  <w:style w:type="character" w:customStyle="1" w:styleId="46">
    <w:name w:val="font181"/>
    <w:basedOn w:val="23"/>
    <w:autoRedefine/>
    <w:qFormat/>
    <w:uiPriority w:val="0"/>
    <w:rPr>
      <w:rFonts w:hint="default" w:ascii="Times New Roman" w:hAnsi="Times New Roman" w:cs="Times New Roman"/>
      <w:b/>
      <w:bCs/>
      <w:color w:val="000000"/>
      <w:sz w:val="20"/>
      <w:szCs w:val="20"/>
      <w:u w:val="none"/>
    </w:rPr>
  </w:style>
  <w:style w:type="character" w:customStyle="1" w:styleId="47">
    <w:name w:val="font191"/>
    <w:basedOn w:val="23"/>
    <w:autoRedefine/>
    <w:qFormat/>
    <w:uiPriority w:val="0"/>
    <w:rPr>
      <w:rFonts w:hint="eastAsia" w:ascii="宋体" w:hAnsi="宋体" w:eastAsia="宋体" w:cs="宋体"/>
      <w:b/>
      <w:bCs/>
      <w:color w:val="000000"/>
      <w:sz w:val="20"/>
      <w:szCs w:val="20"/>
      <w:u w:val="none"/>
    </w:rPr>
  </w:style>
  <w:style w:type="paragraph" w:styleId="48">
    <w:name w:val="List Paragraph"/>
    <w:basedOn w:val="1"/>
    <w:autoRedefine/>
    <w:qFormat/>
    <w:uiPriority w:val="34"/>
    <w:pPr>
      <w:ind w:left="720"/>
      <w:contextualSpacing/>
    </w:pPr>
  </w:style>
  <w:style w:type="paragraph" w:customStyle="1" w:styleId="49">
    <w:name w:val="正文1"/>
    <w:next w:val="1"/>
    <w:autoRedefine/>
    <w:qFormat/>
    <w:uiPriority w:val="0"/>
    <w:pPr>
      <w:widowControl w:val="0"/>
      <w:jc w:val="both"/>
    </w:pPr>
    <w:rPr>
      <w:rFonts w:ascii="Times New Roman" w:hAnsi="Times New Roman" w:eastAsia="仿宋_GB2312" w:cs="Times New Roman"/>
      <w:sz w:val="24"/>
      <w:lang w:val="en-US" w:eastAsia="zh-CN" w:bidi="ar-SA"/>
    </w:rPr>
  </w:style>
  <w:style w:type="paragraph" w:customStyle="1" w:styleId="50">
    <w:name w:val="M正文"/>
    <w:basedOn w:val="1"/>
    <w:qFormat/>
    <w:uiPriority w:val="0"/>
    <w:pPr>
      <w:spacing w:line="360" w:lineRule="auto"/>
      <w:ind w:firstLine="480" w:firstLineChars="200"/>
    </w:pPr>
    <w:rPr>
      <w:sz w:val="24"/>
      <w:szCs w:val="24"/>
      <w14:ligatures w14:val="none"/>
    </w:rPr>
  </w:style>
  <w:style w:type="paragraph" w:customStyle="1" w:styleId="51">
    <w:name w:val="纯文本4"/>
    <w:basedOn w:val="1"/>
    <w:autoRedefine/>
    <w:qFormat/>
    <w:uiPriority w:val="0"/>
    <w:pPr>
      <w:adjustRightInd w:val="0"/>
      <w:textAlignment w:val="baseline"/>
    </w:pPr>
    <w:rPr>
      <w:rFonts w:ascii="宋体" w:hAnsi="Courier New" w:eastAsia="楷体_GB2312" w:cs="Times New Roman"/>
      <w:kern w:val="0"/>
      <w:sz w:val="26"/>
      <w:szCs w:val="20"/>
    </w:rPr>
  </w:style>
  <w:style w:type="paragraph" w:customStyle="1" w:styleId="52">
    <w:name w:val="表正文"/>
    <w:basedOn w:val="1"/>
    <w:qFormat/>
    <w:uiPriority w:val="0"/>
    <w:pPr>
      <w:jc w:val="left"/>
    </w:pPr>
    <w:rPr>
      <w:rFonts w:ascii="Arial" w:hAnsi="Arial" w:eastAsia="宋体"/>
      <w:sz w:val="18"/>
      <w:szCs w:val="21"/>
    </w:rPr>
  </w:style>
  <w:style w:type="character" w:customStyle="1" w:styleId="53">
    <w:name w:val="font41"/>
    <w:basedOn w:val="23"/>
    <w:qFormat/>
    <w:uiPriority w:val="0"/>
    <w:rPr>
      <w:rFonts w:hint="eastAsia" w:ascii="宋体" w:hAnsi="宋体" w:eastAsia="宋体" w:cs="宋体"/>
      <w:color w:val="000000"/>
      <w:sz w:val="24"/>
      <w:szCs w:val="24"/>
      <w:u w:val="none"/>
    </w:rPr>
  </w:style>
  <w:style w:type="paragraph" w:customStyle="1" w:styleId="54">
    <w:name w:val="纯文本1"/>
    <w:basedOn w:val="1"/>
    <w:next w:val="1"/>
    <w:qFormat/>
    <w:uiPriority w:val="0"/>
    <w:pPr>
      <w:adjustRightInd w:val="0"/>
      <w:snapToGrid/>
      <w:spacing w:line="240" w:lineRule="auto"/>
      <w:jc w:val="both"/>
      <w:textAlignment w:val="baseline"/>
    </w:pPr>
    <w:rPr>
      <w:rFonts w:ascii="宋体" w:hAnsi="Courier New" w:eastAsia="楷体_GB2312" w:cs="Times New Roman"/>
      <w:sz w:val="26"/>
      <w:szCs w:val="20"/>
      <w14:ligatures w14:val="none"/>
    </w:rPr>
  </w:style>
  <w:style w:type="table" w:customStyle="1" w:styleId="55">
    <w:name w:val="Table Normal"/>
    <w:semiHidden/>
    <w:unhideWhenUsed/>
    <w:qFormat/>
    <w:uiPriority w:val="0"/>
    <w:tblPr>
      <w:tblCellMar>
        <w:top w:w="0" w:type="dxa"/>
        <w:left w:w="0" w:type="dxa"/>
        <w:bottom w:w="0" w:type="dxa"/>
        <w:right w:w="0" w:type="dxa"/>
      </w:tblCellMar>
    </w:tblPr>
  </w:style>
  <w:style w:type="paragraph" w:customStyle="1" w:styleId="56">
    <w:name w:val="样式 正文缩进 + 首行缩进:  2 字符"/>
    <w:basedOn w:val="6"/>
    <w:autoRedefine/>
    <w:qFormat/>
    <w:uiPriority w:val="0"/>
    <w:pPr>
      <w:adjustRightInd/>
      <w:spacing w:line="360" w:lineRule="auto"/>
      <w:ind w:firstLine="200" w:firstLineChars="200"/>
    </w:pPr>
    <w:rPr>
      <w:rFonts w:ascii="Calibri"/>
      <w:kern w:val="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6935</Words>
  <Characters>7225</Characters>
  <Lines>62</Lines>
  <Paragraphs>17</Paragraphs>
  <TotalTime>3</TotalTime>
  <ScaleCrop>false</ScaleCrop>
  <LinksUpToDate>false</LinksUpToDate>
  <CharactersWithSpaces>7331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2023-08-14T01:49:00Z</dcterms:created>
  <dc:creator>-</dc:creator>
  <cp:lastModifiedBy>YFY</cp:lastModifiedBy>
  <cp:lastPrinted>2025-10-21T07:18:00Z</cp:lastPrinted>
  <dcterms:modified xsi:type="dcterms:W3CDTF">2026-03-17T02:24:06Z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7569AC914F5E4882A61CF06EE4BBC160_13</vt:lpwstr>
  </property>
  <property fmtid="{D5CDD505-2E9C-101B-9397-08002B2CF9AE}" pid="4" name="KSOTemplateDocerSaveRecord">
    <vt:lpwstr>eyJoZGlkIjoiNjcxMjRkMjZkNjA4MTc1MDExZGUzNTQ0NmM3YjFmOTUiLCJ1c2VySWQiOiI0MTgyNzg2NjIifQ==</vt:lpwstr>
  </property>
</Properties>
</file>