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9B4459">
      <w:pPr>
        <w:pStyle w:val="13"/>
        <w:pageBreakBefore w:val="0"/>
        <w:widowControl w:val="0"/>
        <w:tabs>
          <w:tab w:val="left" w:pos="0"/>
        </w:tabs>
        <w:kinsoku/>
        <w:wordWrap/>
        <w:overflowPunct/>
        <w:topLinePunct w:val="0"/>
        <w:autoSpaceDE w:val="0"/>
        <w:autoSpaceDN w:val="0"/>
        <w:bidi w:val="0"/>
        <w:adjustRightInd w:val="0"/>
        <w:spacing w:before="0" w:after="0" w:line="360" w:lineRule="auto"/>
        <w:jc w:val="center"/>
        <w:textAlignment w:val="auto"/>
        <w:rPr>
          <w:rFonts w:hint="eastAsia" w:hAnsi="宋体" w:eastAsia="宋体" w:cs="宋体"/>
          <w:b/>
          <w:bCs/>
          <w:sz w:val="30"/>
          <w:szCs w:val="30"/>
          <w:lang w:val="en-US" w:eastAsia="zh-CN"/>
        </w:rPr>
      </w:pPr>
      <w:r>
        <w:rPr>
          <w:rFonts w:hint="eastAsia" w:ascii="宋体" w:hAnsi="宋体" w:eastAsia="宋体" w:cs="宋体"/>
          <w:b/>
          <w:bCs/>
          <w:sz w:val="30"/>
          <w:szCs w:val="30"/>
          <w:lang w:eastAsia="zh-CN"/>
        </w:rPr>
        <w:t>徐州市公安局交通管理支队机动车号牌制作及安装服务</w:t>
      </w:r>
      <w:r>
        <w:rPr>
          <w:rFonts w:hint="eastAsia" w:hAnsi="宋体" w:eastAsia="宋体" w:cs="宋体"/>
          <w:b/>
          <w:bCs/>
          <w:sz w:val="30"/>
          <w:szCs w:val="30"/>
          <w:lang w:val="en-US" w:eastAsia="zh-CN"/>
        </w:rPr>
        <w:t>项目</w:t>
      </w:r>
    </w:p>
    <w:p w14:paraId="0F1EFDD1">
      <w:pPr>
        <w:pStyle w:val="13"/>
        <w:pageBreakBefore w:val="0"/>
        <w:widowControl w:val="0"/>
        <w:tabs>
          <w:tab w:val="left" w:pos="0"/>
        </w:tabs>
        <w:kinsoku/>
        <w:wordWrap/>
        <w:overflowPunct/>
        <w:topLinePunct w:val="0"/>
        <w:autoSpaceDE w:val="0"/>
        <w:autoSpaceDN w:val="0"/>
        <w:bidi w:val="0"/>
        <w:adjustRightInd w:val="0"/>
        <w:spacing w:before="0" w:after="0" w:line="360" w:lineRule="auto"/>
        <w:jc w:val="center"/>
        <w:textAlignment w:val="auto"/>
        <w:rPr>
          <w:rFonts w:hint="default" w:ascii="宋体" w:hAnsi="宋体" w:eastAsia="宋体" w:cs="宋体"/>
          <w:b/>
          <w:bCs/>
          <w:sz w:val="30"/>
          <w:szCs w:val="30"/>
          <w:lang w:val="en-US" w:eastAsia="zh-CN"/>
        </w:rPr>
      </w:pPr>
      <w:r>
        <w:rPr>
          <w:rFonts w:hint="eastAsia" w:ascii="宋体" w:hAnsi="宋体" w:eastAsia="宋体" w:cs="宋体"/>
          <w:b/>
          <w:bCs/>
          <w:sz w:val="30"/>
          <w:szCs w:val="30"/>
          <w:lang w:eastAsia="zh-CN"/>
        </w:rPr>
        <w:t>更正（澄清）</w:t>
      </w:r>
      <w:r>
        <w:rPr>
          <w:rFonts w:hint="eastAsia" w:hAnsi="宋体" w:eastAsia="宋体" w:cs="宋体"/>
          <w:b/>
          <w:bCs/>
          <w:sz w:val="30"/>
          <w:szCs w:val="30"/>
          <w:lang w:val="en-US" w:eastAsia="zh-CN"/>
        </w:rPr>
        <w:t>内容</w:t>
      </w:r>
      <w:r>
        <w:rPr>
          <w:rFonts w:hint="eastAsia" w:hAnsi="宋体" w:eastAsia="宋体" w:cs="宋体"/>
          <w:b/>
          <w:bCs/>
          <w:sz w:val="30"/>
          <w:szCs w:val="30"/>
          <w:lang w:eastAsia="zh-CN"/>
        </w:rPr>
        <w:t>（</w:t>
      </w:r>
      <w:r>
        <w:rPr>
          <w:rFonts w:hint="eastAsia" w:hAnsi="宋体" w:eastAsia="宋体" w:cs="宋体"/>
          <w:b/>
          <w:bCs/>
          <w:sz w:val="30"/>
          <w:szCs w:val="30"/>
          <w:lang w:val="en-US" w:eastAsia="zh-CN"/>
        </w:rPr>
        <w:t>一</w:t>
      </w:r>
      <w:r>
        <w:rPr>
          <w:rFonts w:hint="eastAsia" w:hAnsi="宋体" w:eastAsia="宋体" w:cs="宋体"/>
          <w:b/>
          <w:bCs/>
          <w:sz w:val="30"/>
          <w:szCs w:val="30"/>
          <w:lang w:eastAsia="zh-CN"/>
        </w:rPr>
        <w:t>）</w:t>
      </w:r>
    </w:p>
    <w:p w14:paraId="17EC29FE">
      <w:pPr>
        <w:pStyle w:val="14"/>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outlineLvl w:val="1"/>
        <w:rPr>
          <w:rFonts w:hint="eastAsia" w:ascii="宋体" w:hAnsi="宋体" w:eastAsia="宋体" w:cs="宋体"/>
          <w:b/>
          <w:bCs w:val="0"/>
          <w:sz w:val="28"/>
          <w:szCs w:val="28"/>
        </w:rPr>
      </w:pPr>
      <w:r>
        <w:rPr>
          <w:rFonts w:hint="eastAsia" w:ascii="宋体" w:hAnsi="宋体" w:eastAsia="宋体" w:cs="宋体"/>
          <w:b/>
          <w:bCs w:val="0"/>
          <w:sz w:val="28"/>
          <w:szCs w:val="28"/>
        </w:rPr>
        <w:t>一、以下为澄清或者修改的内容</w:t>
      </w:r>
    </w:p>
    <w:p w14:paraId="41CA32EF">
      <w:pPr>
        <w:pageBreakBefore w:val="0"/>
        <w:widowControl w:val="0"/>
        <w:kinsoku/>
        <w:wordWrap/>
        <w:overflowPunct/>
        <w:topLinePunct w:val="0"/>
        <w:autoSpaceDE/>
        <w:autoSpaceDN/>
        <w:bidi w:val="0"/>
        <w:adjustRightInd/>
        <w:snapToGrid/>
        <w:spacing w:line="360" w:lineRule="auto"/>
        <w:textAlignment w:val="auto"/>
        <w:rPr>
          <w:rFonts w:hint="default" w:hAnsi="宋体" w:eastAsia="宋体" w:cs="宋体"/>
          <w:b/>
          <w:bCs/>
          <w:color w:val="FF0000"/>
          <w:sz w:val="28"/>
          <w:szCs w:val="28"/>
          <w:lang w:val="en-US" w:eastAsia="zh-CN"/>
        </w:rPr>
      </w:pPr>
      <w:r>
        <w:rPr>
          <w:rFonts w:hint="eastAsia" w:hAnsi="宋体" w:eastAsia="宋体" w:cs="宋体"/>
          <w:b/>
          <w:bCs/>
          <w:color w:val="FF0000"/>
          <w:sz w:val="28"/>
          <w:szCs w:val="28"/>
          <w:lang w:val="en-US" w:eastAsia="zh-CN"/>
        </w:rPr>
        <w:t>1、原招标文件“第四章 评标标准”中</w:t>
      </w:r>
    </w:p>
    <w:tbl>
      <w:tblPr>
        <w:tblStyle w:val="22"/>
        <w:tblW w:w="5556" w:type="pct"/>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autofit"/>
        <w:tblCellMar>
          <w:top w:w="0" w:type="dxa"/>
          <w:left w:w="108" w:type="dxa"/>
          <w:bottom w:w="0" w:type="dxa"/>
          <w:right w:w="108" w:type="dxa"/>
        </w:tblCellMar>
      </w:tblPr>
      <w:tblGrid>
        <w:gridCol w:w="696"/>
        <w:gridCol w:w="853"/>
        <w:gridCol w:w="6947"/>
        <w:gridCol w:w="974"/>
      </w:tblGrid>
      <w:tr w14:paraId="68F038BA">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642" w:hRule="atLeast"/>
          <w:jc w:val="center"/>
        </w:trPr>
        <w:tc>
          <w:tcPr>
            <w:tcW w:w="818" w:type="pct"/>
            <w:gridSpan w:val="2"/>
            <w:tcBorders>
              <w:top w:val="single" w:color="auto" w:sz="4" w:space="0"/>
              <w:left w:val="single" w:color="auto" w:sz="4" w:space="0"/>
            </w:tcBorders>
            <w:noWrap w:val="0"/>
            <w:vAlign w:val="center"/>
          </w:tcPr>
          <w:p w14:paraId="5E236C5E">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评审因素</w:t>
            </w:r>
          </w:p>
        </w:tc>
        <w:tc>
          <w:tcPr>
            <w:tcW w:w="3667" w:type="pct"/>
            <w:tcBorders>
              <w:top w:val="single" w:color="auto" w:sz="4" w:space="0"/>
              <w:right w:val="single" w:color="000000" w:sz="4" w:space="0"/>
            </w:tcBorders>
            <w:noWrap w:val="0"/>
            <w:vAlign w:val="center"/>
          </w:tcPr>
          <w:p w14:paraId="7258B57A">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评审因素细化和量化</w:t>
            </w:r>
          </w:p>
        </w:tc>
        <w:tc>
          <w:tcPr>
            <w:tcW w:w="514" w:type="pct"/>
            <w:tcBorders>
              <w:top w:val="single" w:color="auto" w:sz="4" w:space="0"/>
              <w:left w:val="single" w:color="000000" w:sz="4" w:space="0"/>
              <w:right w:val="single" w:color="auto" w:sz="4" w:space="0"/>
            </w:tcBorders>
            <w:noWrap w:val="0"/>
            <w:vAlign w:val="center"/>
          </w:tcPr>
          <w:p w14:paraId="5C1375E8">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是否客观分</w:t>
            </w:r>
          </w:p>
        </w:tc>
      </w:tr>
      <w:tr w14:paraId="0DC624F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2220" w:hRule="atLeast"/>
          <w:jc w:val="center"/>
        </w:trPr>
        <w:tc>
          <w:tcPr>
            <w:tcW w:w="367" w:type="pct"/>
            <w:tcBorders>
              <w:left w:val="single" w:color="auto" w:sz="4" w:space="0"/>
            </w:tcBorders>
            <w:noWrap w:val="0"/>
            <w:vAlign w:val="center"/>
          </w:tcPr>
          <w:p w14:paraId="09255FA4">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价格部分（15分）</w:t>
            </w:r>
          </w:p>
        </w:tc>
        <w:tc>
          <w:tcPr>
            <w:tcW w:w="450" w:type="pct"/>
            <w:noWrap w:val="0"/>
            <w:vAlign w:val="center"/>
          </w:tcPr>
          <w:p w14:paraId="7D2718C0">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价格</w:t>
            </w:r>
          </w:p>
          <w:p w14:paraId="6692FDB7">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（15分）</w:t>
            </w:r>
          </w:p>
        </w:tc>
        <w:tc>
          <w:tcPr>
            <w:tcW w:w="3667" w:type="pct"/>
            <w:tcBorders>
              <w:right w:val="single" w:color="000000" w:sz="4" w:space="0"/>
            </w:tcBorders>
            <w:noWrap w:val="0"/>
            <w:vAlign w:val="center"/>
          </w:tcPr>
          <w:p w14:paraId="4C2A1531">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各投标人价格得分=最低报价（投标人的最低评审价格）÷各投标人评审价格×15</w:t>
            </w:r>
          </w:p>
          <w:p w14:paraId="3877BC63">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注：</w:t>
            </w:r>
          </w:p>
          <w:p w14:paraId="67E9CF7A">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政府采购活动中既有本国产品又有非本国产品参与竞争的，依法对本国产品给予价格评审优惠，对本国产品的报价给予20%的价格扣除，用扣除后的价格参与评审。</w:t>
            </w:r>
          </w:p>
          <w:p w14:paraId="58B9ED39">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4C320B7">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该投标人的评审价格=《开标一览表》中的“总价”*（100%-20%）</w:t>
            </w:r>
          </w:p>
          <w:p w14:paraId="32D6F284">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享受价格评审优惠不改变最终中标价格，政府采购合同仍按照中标供应商的报价签订。</w:t>
            </w:r>
          </w:p>
          <w:p w14:paraId="1431B853">
            <w:pPr>
              <w:spacing w:line="240" w:lineRule="auto"/>
              <w:rPr>
                <w:rFonts w:hint="eastAsia" w:ascii="宋体" w:hAnsi="宋体" w:eastAsia="宋体" w:cs="宋体"/>
                <w:strike/>
                <w:color w:val="auto"/>
                <w:sz w:val="24"/>
                <w:szCs w:val="24"/>
              </w:rPr>
            </w:pPr>
            <w:r>
              <w:rPr>
                <w:rFonts w:hint="eastAsia" w:ascii="宋体" w:hAnsi="宋体" w:eastAsia="宋体" w:cs="宋体"/>
                <w:color w:val="auto"/>
                <w:sz w:val="24"/>
                <w:szCs w:val="24"/>
              </w:rPr>
              <w:t>评分结果精确到小数点后两位。</w:t>
            </w:r>
          </w:p>
        </w:tc>
        <w:tc>
          <w:tcPr>
            <w:tcW w:w="514" w:type="pct"/>
            <w:tcBorders>
              <w:left w:val="single" w:color="000000" w:sz="4" w:space="0"/>
              <w:right w:val="single" w:color="auto" w:sz="4" w:space="0"/>
            </w:tcBorders>
            <w:noWrap w:val="0"/>
            <w:vAlign w:val="center"/>
          </w:tcPr>
          <w:p w14:paraId="4844048C">
            <w:pPr>
              <w:widowControl/>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是</w:t>
            </w:r>
          </w:p>
        </w:tc>
      </w:tr>
    </w:tbl>
    <w:p w14:paraId="4F85B286">
      <w:pPr>
        <w:pageBreakBefore w:val="0"/>
        <w:widowControl w:val="0"/>
        <w:kinsoku/>
        <w:wordWrap/>
        <w:overflowPunct/>
        <w:topLinePunct w:val="0"/>
        <w:autoSpaceDE/>
        <w:autoSpaceDN/>
        <w:bidi w:val="0"/>
        <w:adjustRightInd/>
        <w:snapToGrid/>
        <w:spacing w:line="360" w:lineRule="auto"/>
        <w:textAlignment w:val="auto"/>
        <w:rPr>
          <w:rFonts w:hint="eastAsia" w:hAnsi="宋体" w:eastAsia="宋体" w:cs="宋体"/>
          <w:b/>
          <w:bCs/>
          <w:color w:val="FF0000"/>
          <w:sz w:val="28"/>
          <w:szCs w:val="28"/>
          <w:lang w:val="en-US" w:eastAsia="zh-CN"/>
        </w:rPr>
      </w:pPr>
      <w:r>
        <w:rPr>
          <w:rFonts w:hint="eastAsia" w:hAnsi="宋体" w:eastAsia="宋体" w:cs="宋体"/>
          <w:b/>
          <w:bCs/>
          <w:color w:val="FF0000"/>
          <w:sz w:val="28"/>
          <w:szCs w:val="28"/>
          <w:lang w:val="en-US" w:eastAsia="zh-CN"/>
        </w:rPr>
        <w:t>更正（澄清）为：</w:t>
      </w:r>
    </w:p>
    <w:tbl>
      <w:tblPr>
        <w:tblStyle w:val="22"/>
        <w:tblW w:w="5613" w:type="pct"/>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994"/>
        <w:gridCol w:w="975"/>
        <w:gridCol w:w="6642"/>
        <w:gridCol w:w="956"/>
      </w:tblGrid>
      <w:tr w14:paraId="664FF5F8">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666" w:hRule="atLeast"/>
          <w:jc w:val="center"/>
        </w:trPr>
        <w:tc>
          <w:tcPr>
            <w:tcW w:w="1028" w:type="pct"/>
            <w:gridSpan w:val="2"/>
            <w:tcBorders>
              <w:top w:val="single" w:color="auto" w:sz="4" w:space="0"/>
              <w:left w:val="single" w:color="auto" w:sz="4" w:space="0"/>
            </w:tcBorders>
            <w:noWrap w:val="0"/>
            <w:vAlign w:val="center"/>
          </w:tcPr>
          <w:p w14:paraId="676ACAA0">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评审因素</w:t>
            </w:r>
          </w:p>
        </w:tc>
        <w:tc>
          <w:tcPr>
            <w:tcW w:w="3471" w:type="pct"/>
            <w:tcBorders>
              <w:top w:val="single" w:color="auto" w:sz="4" w:space="0"/>
              <w:right w:val="single" w:color="000000" w:sz="4" w:space="0"/>
            </w:tcBorders>
            <w:noWrap w:val="0"/>
            <w:vAlign w:val="center"/>
          </w:tcPr>
          <w:p w14:paraId="60588170">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评审因素细化和量化</w:t>
            </w:r>
          </w:p>
        </w:tc>
        <w:tc>
          <w:tcPr>
            <w:tcW w:w="499" w:type="pct"/>
            <w:tcBorders>
              <w:top w:val="single" w:color="auto" w:sz="4" w:space="0"/>
              <w:left w:val="single" w:color="000000" w:sz="4" w:space="0"/>
              <w:right w:val="single" w:color="auto" w:sz="4" w:space="0"/>
            </w:tcBorders>
            <w:noWrap w:val="0"/>
            <w:vAlign w:val="center"/>
          </w:tcPr>
          <w:p w14:paraId="575D3F47">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是否客观分</w:t>
            </w:r>
          </w:p>
        </w:tc>
      </w:tr>
      <w:tr w14:paraId="2F11D7AA">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2220" w:hRule="atLeast"/>
          <w:jc w:val="center"/>
        </w:trPr>
        <w:tc>
          <w:tcPr>
            <w:tcW w:w="519" w:type="pct"/>
            <w:tcBorders>
              <w:left w:val="single" w:color="auto" w:sz="4" w:space="0"/>
            </w:tcBorders>
            <w:noWrap w:val="0"/>
            <w:vAlign w:val="center"/>
          </w:tcPr>
          <w:p w14:paraId="337CA2D3">
            <w:pPr>
              <w:spacing w:line="240" w:lineRule="auto"/>
              <w:jc w:val="center"/>
              <w:rPr>
                <w:rFonts w:hint="eastAsia" w:ascii="宋体" w:hAnsi="宋体" w:eastAsia="宋体" w:cs="宋体"/>
                <w:color w:val="FF0000"/>
                <w:sz w:val="24"/>
                <w:szCs w:val="24"/>
              </w:rPr>
            </w:pPr>
            <w:r>
              <w:rPr>
                <w:rFonts w:hint="eastAsia" w:ascii="宋体" w:hAnsi="宋体" w:eastAsia="宋体" w:cs="宋体"/>
                <w:color w:val="FF0000"/>
                <w:sz w:val="24"/>
                <w:szCs w:val="24"/>
              </w:rPr>
              <w:t>价格部分（</w:t>
            </w:r>
            <w:r>
              <w:rPr>
                <w:rFonts w:hint="eastAsia" w:ascii="宋体" w:hAnsi="宋体" w:eastAsia="宋体" w:cs="宋体"/>
                <w:color w:val="FF0000"/>
                <w:sz w:val="24"/>
                <w:szCs w:val="24"/>
                <w:lang w:val="en-US" w:eastAsia="zh-CN"/>
              </w:rPr>
              <w:t>20</w:t>
            </w:r>
            <w:r>
              <w:rPr>
                <w:rFonts w:hint="eastAsia" w:ascii="宋体" w:hAnsi="宋体" w:eastAsia="宋体" w:cs="宋体"/>
                <w:color w:val="FF0000"/>
                <w:sz w:val="24"/>
                <w:szCs w:val="24"/>
              </w:rPr>
              <w:t>分）</w:t>
            </w:r>
          </w:p>
        </w:tc>
        <w:tc>
          <w:tcPr>
            <w:tcW w:w="509" w:type="pct"/>
            <w:noWrap w:val="0"/>
            <w:vAlign w:val="center"/>
          </w:tcPr>
          <w:p w14:paraId="4C166B50">
            <w:pPr>
              <w:spacing w:line="240" w:lineRule="auto"/>
              <w:jc w:val="center"/>
              <w:rPr>
                <w:rFonts w:hint="eastAsia" w:ascii="宋体" w:hAnsi="宋体" w:eastAsia="宋体" w:cs="宋体"/>
                <w:color w:val="FF0000"/>
                <w:sz w:val="24"/>
                <w:szCs w:val="24"/>
              </w:rPr>
            </w:pPr>
            <w:r>
              <w:rPr>
                <w:rFonts w:hint="eastAsia" w:ascii="宋体" w:hAnsi="宋体" w:eastAsia="宋体" w:cs="宋体"/>
                <w:color w:val="FF0000"/>
                <w:sz w:val="24"/>
                <w:szCs w:val="24"/>
              </w:rPr>
              <w:t>价格</w:t>
            </w:r>
          </w:p>
          <w:p w14:paraId="576DD01B">
            <w:pPr>
              <w:spacing w:line="240" w:lineRule="auto"/>
              <w:jc w:val="center"/>
              <w:rPr>
                <w:rFonts w:hint="eastAsia" w:ascii="宋体" w:hAnsi="宋体" w:eastAsia="宋体" w:cs="宋体"/>
                <w:color w:val="FF0000"/>
                <w:sz w:val="24"/>
                <w:szCs w:val="24"/>
              </w:rPr>
            </w:pPr>
            <w:r>
              <w:rPr>
                <w:rFonts w:hint="eastAsia" w:ascii="宋体" w:hAnsi="宋体" w:eastAsia="宋体" w:cs="宋体"/>
                <w:color w:val="FF0000"/>
                <w:sz w:val="24"/>
                <w:szCs w:val="24"/>
              </w:rPr>
              <w:t>（</w:t>
            </w:r>
            <w:r>
              <w:rPr>
                <w:rFonts w:hint="eastAsia" w:ascii="宋体" w:hAnsi="宋体" w:eastAsia="宋体" w:cs="宋体"/>
                <w:color w:val="FF0000"/>
                <w:sz w:val="24"/>
                <w:szCs w:val="24"/>
                <w:lang w:val="en-US" w:eastAsia="zh-CN"/>
              </w:rPr>
              <w:t>20</w:t>
            </w:r>
            <w:r>
              <w:rPr>
                <w:rFonts w:hint="eastAsia" w:ascii="宋体" w:hAnsi="宋体" w:eastAsia="宋体" w:cs="宋体"/>
                <w:color w:val="FF0000"/>
                <w:sz w:val="24"/>
                <w:szCs w:val="24"/>
              </w:rPr>
              <w:t>分）</w:t>
            </w:r>
          </w:p>
        </w:tc>
        <w:tc>
          <w:tcPr>
            <w:tcW w:w="3471" w:type="pct"/>
            <w:tcBorders>
              <w:right w:val="single" w:color="000000" w:sz="4" w:space="0"/>
            </w:tcBorders>
            <w:noWrap w:val="0"/>
            <w:vAlign w:val="center"/>
          </w:tcPr>
          <w:p w14:paraId="6299DE3C">
            <w:pPr>
              <w:spacing w:line="240" w:lineRule="auto"/>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rPr>
              <w:t>各投标人价格得分=最低报价（投标人的最低评审价格）÷各投标人评审价格×</w:t>
            </w:r>
            <w:r>
              <w:rPr>
                <w:rFonts w:hint="eastAsia" w:ascii="宋体" w:hAnsi="宋体" w:eastAsia="宋体" w:cs="宋体"/>
                <w:color w:val="FF0000"/>
                <w:sz w:val="24"/>
                <w:szCs w:val="24"/>
                <w:lang w:val="en-US" w:eastAsia="zh-CN"/>
              </w:rPr>
              <w:t>20</w:t>
            </w:r>
          </w:p>
          <w:p w14:paraId="0915B0C3">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注：</w:t>
            </w:r>
          </w:p>
          <w:p w14:paraId="35E4E3FE">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政府采购活动中既有本国产品又有非本国产品参与竞争的，依法对本国产品给予价格评审优惠，对本国产品的报价给予20%的价格扣除，用扣除后的价格参与评审。</w:t>
            </w:r>
          </w:p>
          <w:p w14:paraId="08B4279D">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ED7241A">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该投标人的评审价格=《开标一览表》中的“总价”*（100%-20%）</w:t>
            </w:r>
          </w:p>
          <w:p w14:paraId="0764421F">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享受价格评审优惠不改变最终中标价格，政府采购合同仍按照中标供应商的报价签订。</w:t>
            </w:r>
          </w:p>
          <w:p w14:paraId="01E7E96F">
            <w:pPr>
              <w:spacing w:line="240" w:lineRule="auto"/>
              <w:rPr>
                <w:rFonts w:hint="eastAsia" w:ascii="宋体" w:hAnsi="宋体" w:eastAsia="宋体" w:cs="宋体"/>
                <w:strike/>
                <w:color w:val="auto"/>
                <w:sz w:val="24"/>
                <w:szCs w:val="24"/>
              </w:rPr>
            </w:pPr>
            <w:r>
              <w:rPr>
                <w:rFonts w:hint="eastAsia" w:ascii="宋体" w:hAnsi="宋体" w:eastAsia="宋体" w:cs="宋体"/>
                <w:color w:val="auto"/>
                <w:sz w:val="24"/>
                <w:szCs w:val="24"/>
              </w:rPr>
              <w:t>评分结果精确到小数点后两位。</w:t>
            </w:r>
          </w:p>
        </w:tc>
        <w:tc>
          <w:tcPr>
            <w:tcW w:w="499" w:type="pct"/>
            <w:tcBorders>
              <w:left w:val="single" w:color="000000" w:sz="4" w:space="0"/>
              <w:right w:val="single" w:color="auto" w:sz="4" w:space="0"/>
            </w:tcBorders>
            <w:noWrap w:val="0"/>
            <w:vAlign w:val="center"/>
          </w:tcPr>
          <w:p w14:paraId="41991E50">
            <w:pPr>
              <w:widowControl/>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是</w:t>
            </w:r>
          </w:p>
        </w:tc>
      </w:tr>
    </w:tbl>
    <w:p w14:paraId="5A120F87">
      <w:pPr>
        <w:pageBreakBefore w:val="0"/>
        <w:widowControl w:val="0"/>
        <w:kinsoku/>
        <w:wordWrap/>
        <w:overflowPunct/>
        <w:topLinePunct w:val="0"/>
        <w:autoSpaceDE/>
        <w:autoSpaceDN/>
        <w:bidi w:val="0"/>
        <w:adjustRightInd/>
        <w:snapToGrid/>
        <w:spacing w:line="360" w:lineRule="auto"/>
        <w:textAlignment w:val="auto"/>
        <w:rPr>
          <w:rFonts w:hint="default" w:hAnsi="宋体" w:eastAsia="宋体" w:cs="宋体"/>
          <w:b/>
          <w:bCs/>
          <w:color w:val="FF0000"/>
          <w:sz w:val="28"/>
          <w:szCs w:val="28"/>
          <w:lang w:val="en-US" w:eastAsia="zh-CN"/>
        </w:rPr>
      </w:pPr>
      <w:r>
        <w:rPr>
          <w:rFonts w:hint="eastAsia" w:hAnsi="宋体" w:eastAsia="宋体" w:cs="宋体"/>
          <w:b/>
          <w:bCs/>
          <w:color w:val="FF0000"/>
          <w:sz w:val="28"/>
          <w:szCs w:val="28"/>
          <w:lang w:val="en-US" w:eastAsia="zh-CN"/>
        </w:rPr>
        <w:t>2、原招标文件“第四章 评标标准”中</w:t>
      </w:r>
    </w:p>
    <w:tbl>
      <w:tblPr>
        <w:tblStyle w:val="22"/>
        <w:tblW w:w="5468" w:type="pct"/>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autofit"/>
        <w:tblCellMar>
          <w:top w:w="0" w:type="dxa"/>
          <w:left w:w="108" w:type="dxa"/>
          <w:bottom w:w="0" w:type="dxa"/>
          <w:right w:w="108" w:type="dxa"/>
        </w:tblCellMar>
      </w:tblPr>
      <w:tblGrid>
        <w:gridCol w:w="1103"/>
        <w:gridCol w:w="929"/>
        <w:gridCol w:w="6348"/>
        <w:gridCol w:w="940"/>
      </w:tblGrid>
      <w:tr w14:paraId="482B963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51" w:hRule="atLeast"/>
          <w:jc w:val="center"/>
        </w:trPr>
        <w:tc>
          <w:tcPr>
            <w:tcW w:w="1090" w:type="pct"/>
            <w:gridSpan w:val="2"/>
            <w:tcBorders>
              <w:top w:val="single" w:color="auto" w:sz="4" w:space="0"/>
              <w:left w:val="single" w:color="auto" w:sz="4" w:space="0"/>
            </w:tcBorders>
            <w:noWrap w:val="0"/>
            <w:vAlign w:val="center"/>
          </w:tcPr>
          <w:p w14:paraId="62E7403F">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评审因素</w:t>
            </w:r>
          </w:p>
        </w:tc>
        <w:tc>
          <w:tcPr>
            <w:tcW w:w="3404" w:type="pct"/>
            <w:tcBorders>
              <w:top w:val="single" w:color="auto" w:sz="4" w:space="0"/>
              <w:right w:val="single" w:color="000000" w:sz="4" w:space="0"/>
            </w:tcBorders>
            <w:noWrap w:val="0"/>
            <w:vAlign w:val="center"/>
          </w:tcPr>
          <w:p w14:paraId="1B686058">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评审因素细化和量化</w:t>
            </w:r>
          </w:p>
        </w:tc>
        <w:tc>
          <w:tcPr>
            <w:tcW w:w="504" w:type="pct"/>
            <w:tcBorders>
              <w:top w:val="single" w:color="auto" w:sz="4" w:space="0"/>
              <w:left w:val="single" w:color="000000" w:sz="4" w:space="0"/>
              <w:right w:val="single" w:color="auto" w:sz="4" w:space="0"/>
            </w:tcBorders>
            <w:noWrap w:val="0"/>
            <w:vAlign w:val="center"/>
          </w:tcPr>
          <w:p w14:paraId="5C6AA1DE">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是否客观分</w:t>
            </w:r>
          </w:p>
        </w:tc>
      </w:tr>
      <w:tr w14:paraId="1B4E5499">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2220" w:hRule="atLeast"/>
          <w:jc w:val="center"/>
        </w:trPr>
        <w:tc>
          <w:tcPr>
            <w:tcW w:w="592" w:type="pct"/>
            <w:tcBorders>
              <w:left w:val="single" w:color="auto" w:sz="4" w:space="0"/>
            </w:tcBorders>
            <w:noWrap w:val="0"/>
            <w:vAlign w:val="center"/>
          </w:tcPr>
          <w:p w14:paraId="3119884E">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商务部分</w:t>
            </w:r>
          </w:p>
        </w:tc>
        <w:tc>
          <w:tcPr>
            <w:tcW w:w="497" w:type="pct"/>
            <w:noWrap w:val="0"/>
            <w:vAlign w:val="center"/>
          </w:tcPr>
          <w:p w14:paraId="507BA8A3">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检测报告（10分）</w:t>
            </w:r>
          </w:p>
        </w:tc>
        <w:tc>
          <w:tcPr>
            <w:tcW w:w="3404" w:type="pct"/>
            <w:tcBorders>
              <w:right w:val="single" w:color="000000" w:sz="4" w:space="0"/>
            </w:tcBorders>
            <w:noWrap w:val="0"/>
            <w:vAlign w:val="center"/>
          </w:tcPr>
          <w:p w14:paraId="6021CF44">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投标人提供具有相关资质的第三方检测机构出具的机动车号牌检测报告（</w:t>
            </w:r>
            <w:r>
              <w:rPr>
                <w:rFonts w:hint="eastAsia" w:ascii="宋体" w:hAnsi="宋体" w:eastAsia="宋体" w:cs="宋体"/>
                <w:color w:val="auto"/>
                <w:sz w:val="24"/>
                <w:szCs w:val="24"/>
                <w:lang w:val="en-US" w:eastAsia="zh-CN"/>
              </w:rPr>
              <w:t>检测报告</w:t>
            </w:r>
            <w:r>
              <w:rPr>
                <w:rFonts w:hint="eastAsia" w:ascii="宋体" w:hAnsi="宋体" w:eastAsia="宋体" w:cs="宋体"/>
                <w:color w:val="auto"/>
                <w:sz w:val="24"/>
                <w:szCs w:val="24"/>
              </w:rPr>
              <w:t>须符合《中华人民共和国机动车号牌》GA36-2018</w:t>
            </w:r>
            <w:r>
              <w:rPr>
                <w:rFonts w:hint="eastAsia" w:ascii="宋体" w:hAnsi="宋体" w:eastAsia="宋体" w:cs="宋体"/>
                <w:color w:val="auto"/>
                <w:sz w:val="24"/>
                <w:szCs w:val="24"/>
                <w:lang w:val="en-US" w:eastAsia="zh-CN"/>
              </w:rPr>
              <w:t>要求</w:t>
            </w:r>
            <w:r>
              <w:rPr>
                <w:rFonts w:hint="eastAsia" w:ascii="宋体" w:hAnsi="宋体" w:eastAsia="宋体" w:cs="宋体"/>
                <w:color w:val="auto"/>
                <w:sz w:val="24"/>
                <w:szCs w:val="24"/>
              </w:rPr>
              <w:t>，且在有效期内。型号规格为：①大型汽车号牌；②小型汽车号牌；③大型新能源汽车号牌；④小型新能源汽车号牌；⑤挂车号牌；⑥普通摩托车号牌；⑦轻便摩托车号牌；⑧低速车号牌；⑨教练汽车号牌；⑩教练摩托车号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，全部具备的得10分，缺少1项扣1分，本项最高得10分，最低不得分。</w:t>
            </w:r>
          </w:p>
          <w:p w14:paraId="338C372A">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注：</w:t>
            </w:r>
          </w:p>
          <w:p w14:paraId="5684C1F2">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1、投标文件中提供检测报告原件扫描件方为有效，未按要求提供或不提供的均不得分。</w:t>
            </w:r>
          </w:p>
          <w:p w14:paraId="6C3D138D">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投标人自有或租赁或拟投入的同型号设备生产的号牌所对应的检测报告视为满足上述要求。</w:t>
            </w:r>
          </w:p>
        </w:tc>
        <w:tc>
          <w:tcPr>
            <w:tcW w:w="504" w:type="pct"/>
            <w:tcBorders>
              <w:left w:val="single" w:color="000000" w:sz="4" w:space="0"/>
              <w:right w:val="single" w:color="auto" w:sz="4" w:space="0"/>
            </w:tcBorders>
            <w:noWrap w:val="0"/>
            <w:vAlign w:val="center"/>
          </w:tcPr>
          <w:p w14:paraId="2231C597">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是</w:t>
            </w:r>
          </w:p>
        </w:tc>
      </w:tr>
    </w:tbl>
    <w:p w14:paraId="1402D73E">
      <w:pPr>
        <w:pageBreakBefore w:val="0"/>
        <w:widowControl w:val="0"/>
        <w:kinsoku/>
        <w:wordWrap/>
        <w:overflowPunct/>
        <w:topLinePunct w:val="0"/>
        <w:autoSpaceDE/>
        <w:autoSpaceDN/>
        <w:bidi w:val="0"/>
        <w:adjustRightInd/>
        <w:snapToGrid/>
        <w:spacing w:line="360" w:lineRule="auto"/>
        <w:textAlignment w:val="auto"/>
        <w:rPr>
          <w:rFonts w:hint="eastAsia" w:hAnsi="宋体" w:eastAsia="宋体" w:cs="宋体"/>
          <w:b/>
          <w:bCs/>
          <w:color w:val="FF0000"/>
          <w:sz w:val="28"/>
          <w:szCs w:val="28"/>
          <w:lang w:val="en-US" w:eastAsia="zh-CN"/>
        </w:rPr>
      </w:pPr>
      <w:r>
        <w:rPr>
          <w:rFonts w:hint="eastAsia" w:hAnsi="宋体" w:eastAsia="宋体" w:cs="宋体"/>
          <w:b/>
          <w:bCs/>
          <w:color w:val="FF0000"/>
          <w:sz w:val="28"/>
          <w:szCs w:val="28"/>
          <w:lang w:val="en-US" w:eastAsia="zh-CN"/>
        </w:rPr>
        <w:t>更正（澄清）为：</w:t>
      </w:r>
    </w:p>
    <w:tbl>
      <w:tblPr>
        <w:tblStyle w:val="22"/>
        <w:tblW w:w="5522" w:type="pct"/>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autofit"/>
        <w:tblCellMar>
          <w:top w:w="0" w:type="dxa"/>
          <w:left w:w="108" w:type="dxa"/>
          <w:bottom w:w="0" w:type="dxa"/>
          <w:right w:w="108" w:type="dxa"/>
        </w:tblCellMar>
      </w:tblPr>
      <w:tblGrid>
        <w:gridCol w:w="1096"/>
        <w:gridCol w:w="1013"/>
        <w:gridCol w:w="6358"/>
        <w:gridCol w:w="945"/>
      </w:tblGrid>
      <w:tr w14:paraId="5A7290C6">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51" w:hRule="atLeast"/>
          <w:jc w:val="center"/>
        </w:trPr>
        <w:tc>
          <w:tcPr>
            <w:tcW w:w="1120" w:type="pct"/>
            <w:gridSpan w:val="2"/>
            <w:tcBorders>
              <w:top w:val="single" w:color="auto" w:sz="4" w:space="0"/>
              <w:left w:val="single" w:color="auto" w:sz="4" w:space="0"/>
            </w:tcBorders>
            <w:noWrap w:val="0"/>
            <w:vAlign w:val="center"/>
          </w:tcPr>
          <w:p w14:paraId="7129F336">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评审因素</w:t>
            </w:r>
          </w:p>
        </w:tc>
        <w:tc>
          <w:tcPr>
            <w:tcW w:w="3377" w:type="pct"/>
            <w:tcBorders>
              <w:top w:val="single" w:color="auto" w:sz="4" w:space="0"/>
              <w:right w:val="single" w:color="000000" w:sz="4" w:space="0"/>
            </w:tcBorders>
            <w:noWrap w:val="0"/>
            <w:vAlign w:val="center"/>
          </w:tcPr>
          <w:p w14:paraId="774DD520">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评审因素细化和量化</w:t>
            </w:r>
          </w:p>
        </w:tc>
        <w:tc>
          <w:tcPr>
            <w:tcW w:w="502" w:type="pct"/>
            <w:tcBorders>
              <w:top w:val="single" w:color="auto" w:sz="4" w:space="0"/>
              <w:left w:val="single" w:color="000000" w:sz="4" w:space="0"/>
              <w:right w:val="single" w:color="auto" w:sz="4" w:space="0"/>
            </w:tcBorders>
            <w:noWrap w:val="0"/>
            <w:vAlign w:val="center"/>
          </w:tcPr>
          <w:p w14:paraId="31E4CABC">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是否客观分</w:t>
            </w:r>
          </w:p>
        </w:tc>
      </w:tr>
      <w:tr w14:paraId="00A095E9">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1265" w:hRule="atLeast"/>
          <w:jc w:val="center"/>
        </w:trPr>
        <w:tc>
          <w:tcPr>
            <w:tcW w:w="582" w:type="pct"/>
            <w:tcBorders>
              <w:left w:val="single" w:color="auto" w:sz="4" w:space="0"/>
            </w:tcBorders>
            <w:noWrap w:val="0"/>
            <w:vAlign w:val="center"/>
          </w:tcPr>
          <w:p w14:paraId="2714BDBB">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商务部分</w:t>
            </w:r>
          </w:p>
        </w:tc>
        <w:tc>
          <w:tcPr>
            <w:tcW w:w="538" w:type="pct"/>
            <w:shd w:val="clear" w:color="auto" w:fill="auto"/>
            <w:noWrap w:val="0"/>
            <w:vAlign w:val="center"/>
          </w:tcPr>
          <w:p w14:paraId="50DEF67B">
            <w:pPr>
              <w:spacing w:line="240" w:lineRule="auto"/>
              <w:jc w:val="center"/>
              <w:rPr>
                <w:rFonts w:hint="eastAsia" w:ascii="宋体" w:hAnsi="宋体" w:eastAsia="宋体" w:cs="宋体"/>
                <w:color w:val="auto"/>
                <w:sz w:val="24"/>
                <w:szCs w:val="24"/>
              </w:rPr>
            </w:pPr>
            <w:r>
              <w:rPr>
                <w:rFonts w:hint="eastAsia" w:ascii="宋体" w:hAnsi="宋体" w:eastAsia="宋体" w:cs="宋体"/>
                <w:color w:val="FF0000"/>
                <w:sz w:val="24"/>
                <w:szCs w:val="24"/>
              </w:rPr>
              <w:t>检测报告（</w:t>
            </w:r>
            <w:r>
              <w:rPr>
                <w:rFonts w:hint="eastAsia" w:ascii="宋体" w:hAnsi="宋体" w:eastAsia="宋体" w:cs="宋体"/>
                <w:color w:val="FF0000"/>
                <w:sz w:val="24"/>
                <w:szCs w:val="24"/>
                <w:lang w:val="en-US" w:eastAsia="zh-CN"/>
              </w:rPr>
              <w:t>5</w:t>
            </w:r>
            <w:r>
              <w:rPr>
                <w:rFonts w:hint="eastAsia" w:ascii="宋体" w:hAnsi="宋体" w:eastAsia="宋体" w:cs="宋体"/>
                <w:color w:val="FF0000"/>
                <w:sz w:val="24"/>
                <w:szCs w:val="24"/>
              </w:rPr>
              <w:t>分）</w:t>
            </w:r>
          </w:p>
        </w:tc>
        <w:tc>
          <w:tcPr>
            <w:tcW w:w="3377" w:type="pct"/>
            <w:tcBorders>
              <w:right w:val="single" w:color="000000" w:sz="4" w:space="0"/>
            </w:tcBorders>
            <w:shd w:val="clear" w:color="auto" w:fill="auto"/>
            <w:noWrap w:val="0"/>
            <w:vAlign w:val="center"/>
          </w:tcPr>
          <w:p w14:paraId="0A22C969">
            <w:pPr>
              <w:spacing w:line="240" w:lineRule="auto"/>
              <w:rPr>
                <w:rFonts w:hint="eastAsia" w:ascii="宋体" w:hAnsi="宋体" w:eastAsia="宋体" w:cs="宋体"/>
                <w:color w:val="FF0000"/>
                <w:sz w:val="24"/>
                <w:szCs w:val="24"/>
              </w:rPr>
            </w:pPr>
            <w:r>
              <w:rPr>
                <w:rFonts w:hint="eastAsia" w:ascii="宋体" w:hAnsi="宋体" w:eastAsia="宋体" w:cs="宋体"/>
                <w:color w:val="auto"/>
                <w:sz w:val="24"/>
                <w:szCs w:val="24"/>
              </w:rPr>
              <w:t>投标人提供具有相关资质的第三方检测机构出具的机动车号牌检测报告（</w:t>
            </w:r>
            <w:r>
              <w:rPr>
                <w:rFonts w:hint="eastAsia" w:ascii="宋体" w:hAnsi="宋体" w:eastAsia="宋体" w:cs="宋体"/>
                <w:color w:val="auto"/>
                <w:sz w:val="24"/>
                <w:szCs w:val="24"/>
                <w:lang w:val="en-US" w:eastAsia="zh-CN"/>
              </w:rPr>
              <w:t>检测报告</w:t>
            </w:r>
            <w:r>
              <w:rPr>
                <w:rFonts w:hint="eastAsia" w:ascii="宋体" w:hAnsi="宋体" w:eastAsia="宋体" w:cs="宋体"/>
                <w:color w:val="auto"/>
                <w:sz w:val="24"/>
                <w:szCs w:val="24"/>
              </w:rPr>
              <w:t>须符合《中华人民共和国机动车号牌》GA36-2018</w:t>
            </w:r>
            <w:r>
              <w:rPr>
                <w:rFonts w:hint="eastAsia" w:ascii="宋体" w:hAnsi="宋体" w:eastAsia="宋体" w:cs="宋体"/>
                <w:color w:val="auto"/>
                <w:sz w:val="24"/>
                <w:szCs w:val="24"/>
                <w:lang w:val="en-US" w:eastAsia="zh-CN"/>
              </w:rPr>
              <w:t>要求</w:t>
            </w:r>
            <w:r>
              <w:rPr>
                <w:rFonts w:hint="eastAsia" w:ascii="宋体" w:hAnsi="宋体" w:eastAsia="宋体" w:cs="宋体"/>
                <w:color w:val="auto"/>
                <w:sz w:val="24"/>
                <w:szCs w:val="24"/>
              </w:rPr>
              <w:t>，且在有效期内。型号规格为：①大型汽车号牌；②小型汽车号牌；③大型新能源汽车号牌；④小型新能源汽车号牌；⑤挂车号牌；⑥普通摩托车号牌；⑦轻便摩托车号牌；⑧低速车号牌；⑨教练汽车号牌；⑩教练摩托车号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r>
              <w:rPr>
                <w:rFonts w:hint="eastAsia" w:ascii="宋体" w:hAnsi="宋体" w:eastAsia="宋体" w:cs="宋体"/>
                <w:color w:val="FF0000"/>
                <w:sz w:val="24"/>
                <w:szCs w:val="24"/>
              </w:rPr>
              <w:t>全部具备的得</w:t>
            </w:r>
            <w:r>
              <w:rPr>
                <w:rFonts w:hint="eastAsia" w:ascii="宋体" w:hAnsi="宋体" w:eastAsia="宋体" w:cs="宋体"/>
                <w:color w:val="FF0000"/>
                <w:sz w:val="24"/>
                <w:szCs w:val="24"/>
                <w:lang w:val="en-US" w:eastAsia="zh-CN"/>
              </w:rPr>
              <w:t>5</w:t>
            </w:r>
            <w:r>
              <w:rPr>
                <w:rFonts w:hint="eastAsia" w:ascii="宋体" w:hAnsi="宋体" w:eastAsia="宋体" w:cs="宋体"/>
                <w:color w:val="FF0000"/>
                <w:sz w:val="24"/>
                <w:szCs w:val="24"/>
              </w:rPr>
              <w:t>分，缺少1项扣</w:t>
            </w:r>
            <w:r>
              <w:rPr>
                <w:rFonts w:hint="eastAsia" w:ascii="宋体" w:hAnsi="宋体" w:eastAsia="宋体" w:cs="宋体"/>
                <w:color w:val="FF0000"/>
                <w:sz w:val="24"/>
                <w:szCs w:val="24"/>
                <w:lang w:val="en-US" w:eastAsia="zh-CN"/>
              </w:rPr>
              <w:t>0.5</w:t>
            </w:r>
            <w:r>
              <w:rPr>
                <w:rFonts w:hint="eastAsia" w:ascii="宋体" w:hAnsi="宋体" w:eastAsia="宋体" w:cs="宋体"/>
                <w:color w:val="FF0000"/>
                <w:sz w:val="24"/>
                <w:szCs w:val="24"/>
              </w:rPr>
              <w:t>分，本项最高得</w:t>
            </w:r>
            <w:r>
              <w:rPr>
                <w:rFonts w:hint="eastAsia" w:ascii="宋体" w:hAnsi="宋体" w:eastAsia="宋体" w:cs="宋体"/>
                <w:color w:val="FF0000"/>
                <w:sz w:val="24"/>
                <w:szCs w:val="24"/>
                <w:lang w:val="en-US" w:eastAsia="zh-CN"/>
              </w:rPr>
              <w:t>5</w:t>
            </w:r>
            <w:r>
              <w:rPr>
                <w:rFonts w:hint="eastAsia" w:ascii="宋体" w:hAnsi="宋体" w:eastAsia="宋体" w:cs="宋体"/>
                <w:color w:val="FF0000"/>
                <w:sz w:val="24"/>
                <w:szCs w:val="24"/>
              </w:rPr>
              <w:t>分，最低不得分。</w:t>
            </w:r>
          </w:p>
          <w:p w14:paraId="419F8A88">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注：</w:t>
            </w:r>
          </w:p>
          <w:p w14:paraId="1747A368">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1、投标文件中提供检测报告原件扫描件方为有效，未按要求提供或不提供的均不得分。</w:t>
            </w:r>
          </w:p>
          <w:p w14:paraId="0F68466E">
            <w:pPr>
              <w:spacing w:line="24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投标人自有或租赁或拟投入的同型号设备生产的号牌所对应的检测报告视为满足上述要求。</w:t>
            </w:r>
          </w:p>
        </w:tc>
        <w:tc>
          <w:tcPr>
            <w:tcW w:w="502" w:type="pct"/>
            <w:tcBorders>
              <w:left w:val="single" w:color="000000" w:sz="4" w:space="0"/>
              <w:right w:val="single" w:color="auto" w:sz="4" w:space="0"/>
            </w:tcBorders>
            <w:shd w:val="clear" w:color="auto" w:fill="auto"/>
            <w:noWrap w:val="0"/>
            <w:vAlign w:val="center"/>
          </w:tcPr>
          <w:p w14:paraId="7A0586AA">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是</w:t>
            </w:r>
          </w:p>
        </w:tc>
      </w:tr>
    </w:tbl>
    <w:p w14:paraId="17CD4F24">
      <w:pPr>
        <w:pageBreakBefore w:val="0"/>
        <w:widowControl w:val="0"/>
        <w:kinsoku/>
        <w:wordWrap/>
        <w:overflowPunct/>
        <w:topLinePunct w:val="0"/>
        <w:autoSpaceDE/>
        <w:autoSpaceDN/>
        <w:bidi w:val="0"/>
        <w:adjustRightInd/>
        <w:snapToGrid/>
        <w:spacing w:line="360" w:lineRule="auto"/>
        <w:textAlignment w:val="auto"/>
        <w:rPr>
          <w:rFonts w:hint="eastAsia" w:hAnsi="宋体" w:eastAsia="宋体" w:cs="宋体"/>
          <w:b/>
          <w:bCs/>
          <w:color w:val="FF0000"/>
          <w:sz w:val="28"/>
          <w:szCs w:val="28"/>
          <w:lang w:val="en-US" w:eastAsia="zh-CN"/>
        </w:rPr>
      </w:pPr>
      <w:r>
        <w:rPr>
          <w:rFonts w:hint="eastAsia" w:hAnsi="宋体" w:eastAsia="宋体" w:cs="宋体"/>
          <w:b/>
          <w:bCs/>
          <w:color w:val="FF0000"/>
          <w:sz w:val="28"/>
          <w:szCs w:val="28"/>
          <w:lang w:val="en-US" w:eastAsia="zh-CN"/>
        </w:rPr>
        <w:t>3、本项目提交投标文件截止时间、开标时间修改为“2026年4月10日9：30（北京时间）”。</w:t>
      </w:r>
    </w:p>
    <w:p w14:paraId="0ED80479">
      <w:pPr>
        <w:widowControl/>
        <w:spacing w:line="360" w:lineRule="auto"/>
        <w:rPr>
          <w:rFonts w:hint="default" w:ascii="Calibri" w:hAnsi="Calibri" w:eastAsia="宋体" w:cs="Times New Roman"/>
          <w:b/>
          <w:bCs/>
          <w:color w:val="auto"/>
          <w:kern w:val="2"/>
          <w:sz w:val="28"/>
          <w:szCs w:val="28"/>
          <w:lang w:val="en-US" w:eastAsia="zh-CN" w:bidi="ar-SA"/>
        </w:rPr>
      </w:pPr>
      <w:r>
        <w:rPr>
          <w:rFonts w:hint="default" w:ascii="Calibri" w:hAnsi="Calibri" w:eastAsia="宋体" w:cs="Times New Roman"/>
          <w:b/>
          <w:bCs/>
          <w:color w:val="auto"/>
          <w:kern w:val="2"/>
          <w:sz w:val="28"/>
          <w:szCs w:val="28"/>
          <w:lang w:val="en-US" w:eastAsia="zh-CN" w:bidi="ar-SA"/>
        </w:rPr>
        <w:t>二、其他内容不变。</w:t>
      </w:r>
    </w:p>
    <w:p w14:paraId="0B1C6E68">
      <w:pPr>
        <w:spacing w:line="360" w:lineRule="auto"/>
        <w:jc w:val="right"/>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江苏海外集团国际工程咨询有限公司</w:t>
      </w:r>
    </w:p>
    <w:p w14:paraId="12E6979D">
      <w:pPr>
        <w:spacing w:line="360" w:lineRule="auto"/>
        <w:jc w:val="right"/>
        <w:rPr>
          <w:b/>
          <w:bCs/>
          <w:sz w:val="28"/>
          <w:szCs w:val="28"/>
        </w:rPr>
      </w:pPr>
      <w:r>
        <w:rPr>
          <w:rFonts w:hint="eastAsia" w:ascii="宋体" w:hAnsi="宋体" w:eastAsia="宋体" w:cs="宋体"/>
          <w:b/>
          <w:bCs/>
          <w:color w:val="auto"/>
          <w:sz w:val="28"/>
          <w:szCs w:val="28"/>
          <w:lang w:val="en-US" w:eastAsia="zh-CN"/>
        </w:rPr>
        <w:t>202</w:t>
      </w:r>
      <w:r>
        <w:rPr>
          <w:rFonts w:hint="eastAsia" w:ascii="宋体" w:hAnsi="宋体" w:cs="宋体"/>
          <w:b/>
          <w:bCs/>
          <w:color w:val="auto"/>
          <w:sz w:val="28"/>
          <w:szCs w:val="28"/>
          <w:lang w:val="en-US" w:eastAsia="zh-CN"/>
        </w:rPr>
        <w:t>6</w:t>
      </w:r>
      <w:r>
        <w:rPr>
          <w:rFonts w:hint="eastAsia" w:ascii="宋体" w:hAnsi="宋体" w:eastAsia="宋体" w:cs="宋体"/>
          <w:b/>
          <w:bCs/>
          <w:color w:val="auto"/>
          <w:sz w:val="28"/>
          <w:szCs w:val="28"/>
          <w:lang w:val="en-US" w:eastAsia="zh-CN"/>
        </w:rPr>
        <w:t>年</w:t>
      </w:r>
      <w:r>
        <w:rPr>
          <w:rFonts w:hint="eastAsia" w:ascii="宋体" w:hAnsi="宋体" w:cs="宋体"/>
          <w:b/>
          <w:bCs/>
          <w:color w:val="auto"/>
          <w:sz w:val="28"/>
          <w:szCs w:val="28"/>
          <w:lang w:val="en-US" w:eastAsia="zh-CN"/>
        </w:rPr>
        <w:t>3</w:t>
      </w:r>
      <w:r>
        <w:rPr>
          <w:rFonts w:hint="eastAsia" w:ascii="宋体" w:hAnsi="宋体" w:eastAsia="宋体" w:cs="宋体"/>
          <w:b/>
          <w:bCs/>
          <w:color w:val="auto"/>
          <w:sz w:val="28"/>
          <w:szCs w:val="28"/>
          <w:lang w:val="en-US" w:eastAsia="zh-CN"/>
        </w:rPr>
        <w:t>月</w:t>
      </w:r>
      <w:bookmarkStart w:id="0" w:name="_GoBack"/>
      <w:bookmarkEnd w:id="0"/>
      <w:r>
        <w:rPr>
          <w:rFonts w:hint="eastAsia" w:hAnsi="宋体" w:cs="宋体"/>
          <w:b/>
          <w:bCs/>
          <w:color w:val="auto"/>
          <w:sz w:val="28"/>
          <w:szCs w:val="28"/>
          <w:lang w:val="en-US" w:eastAsia="zh-CN"/>
        </w:rPr>
        <w:t>25</w:t>
      </w:r>
      <w:r>
        <w:rPr>
          <w:rFonts w:hint="eastAsia" w:ascii="宋体" w:hAnsi="宋体" w:eastAsia="宋体" w:cs="宋体"/>
          <w:b/>
          <w:bCs/>
          <w:color w:val="auto"/>
          <w:sz w:val="28"/>
          <w:szCs w:val="28"/>
          <w:lang w:val="en-US" w:eastAsia="zh-CN"/>
        </w:rPr>
        <w:t>日</w:t>
      </w:r>
    </w:p>
    <w:sectPr>
      <w:pgSz w:w="11906" w:h="16838"/>
      <w:pgMar w:top="1100" w:right="1800" w:bottom="110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3B3942"/>
    <w:multiLevelType w:val="multilevel"/>
    <w:tmpl w:val="453B3942"/>
    <w:lvl w:ilvl="0" w:tentative="0">
      <w:start w:val="1"/>
      <w:numFmt w:val="decimal"/>
      <w:lvlText w:val="第%1章"/>
      <w:lvlJc w:val="left"/>
      <w:pPr>
        <w:tabs>
          <w:tab w:val="left" w:pos="851"/>
        </w:tabs>
        <w:ind w:left="0" w:firstLine="0"/>
      </w:pPr>
      <w:rPr>
        <w:rFonts w:hint="eastAsia"/>
      </w:rPr>
    </w:lvl>
    <w:lvl w:ilvl="1" w:tentative="0">
      <w:start w:val="1"/>
      <w:numFmt w:val="decimalZero"/>
      <w:pStyle w:val="14"/>
      <w:isLgl/>
      <w:lvlText w:val="节 %1.%2"/>
      <w:lvlJc w:val="left"/>
      <w:pPr>
        <w:tabs>
          <w:tab w:val="left" w:pos="862"/>
        </w:tabs>
        <w:ind w:left="142" w:firstLine="0"/>
      </w:pPr>
      <w:rPr>
        <w:rFonts w:hint="eastAsia"/>
      </w:rPr>
    </w:lvl>
    <w:lvl w:ilvl="2" w:tentative="0">
      <w:start w:val="1"/>
      <w:numFmt w:val="lowerLetter"/>
      <w:lvlText w:val="(%3)"/>
      <w:lvlJc w:val="left"/>
      <w:pPr>
        <w:tabs>
          <w:tab w:val="left" w:pos="720"/>
        </w:tabs>
        <w:ind w:left="720" w:hanging="432"/>
      </w:pPr>
      <w:rPr>
        <w:rFonts w:hint="eastAsia"/>
      </w:rPr>
    </w:lvl>
    <w:lvl w:ilvl="3" w:tentative="0">
      <w:start w:val="1"/>
      <w:numFmt w:val="lowerRoman"/>
      <w:lvlText w:val="(%4)"/>
      <w:lvlJc w:val="right"/>
      <w:pPr>
        <w:tabs>
          <w:tab w:val="left" w:pos="864"/>
        </w:tabs>
        <w:ind w:left="864" w:hanging="144"/>
      </w:pPr>
      <w:rPr>
        <w:rFonts w:hint="eastAsia"/>
      </w:rPr>
    </w:lvl>
    <w:lvl w:ilvl="4" w:tentative="0">
      <w:start w:val="1"/>
      <w:numFmt w:val="decimal"/>
      <w:lvlText w:val="%5)"/>
      <w:lvlJc w:val="left"/>
      <w:pPr>
        <w:tabs>
          <w:tab w:val="left" w:pos="1008"/>
        </w:tabs>
        <w:ind w:left="1008" w:hanging="432"/>
      </w:pPr>
      <w:rPr>
        <w:rFonts w:hint="eastAsia"/>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183364"/>
    <w:rsid w:val="03214FB2"/>
    <w:rsid w:val="09A0773C"/>
    <w:rsid w:val="0FEF171B"/>
    <w:rsid w:val="287B7B98"/>
    <w:rsid w:val="2D183364"/>
    <w:rsid w:val="30CF301B"/>
    <w:rsid w:val="369D33CF"/>
    <w:rsid w:val="407F76A2"/>
    <w:rsid w:val="42FC76D0"/>
    <w:rsid w:val="496164DE"/>
    <w:rsid w:val="501E6DC8"/>
    <w:rsid w:val="526B45C2"/>
    <w:rsid w:val="526E6040"/>
    <w:rsid w:val="6372336A"/>
    <w:rsid w:val="6A2E7AC1"/>
    <w:rsid w:val="7E3239CA"/>
    <w:rsid w:val="7F0D7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uto"/>
      <w:jc w:val="both"/>
      <w:textAlignment w:val="baseline"/>
    </w:pPr>
    <w:rPr>
      <w:rFonts w:ascii="宋体" w:hAnsi="Times New Roman" w:eastAsia="仿宋" w:cs="Times New Roman"/>
      <w:sz w:val="28"/>
      <w:szCs w:val="21"/>
      <w:lang w:val="en-US" w:eastAsia="zh-CN" w:bidi="ar-SA"/>
    </w:rPr>
  </w:style>
  <w:style w:type="paragraph" w:styleId="13">
    <w:name w:val="heading 1"/>
    <w:basedOn w:val="1"/>
    <w:next w:val="1"/>
    <w:qFormat/>
    <w:uiPriority w:val="0"/>
    <w:pPr>
      <w:keepNext/>
      <w:keepLines/>
      <w:spacing w:before="340" w:after="330" w:line="578" w:lineRule="atLeast"/>
      <w:outlineLvl w:val="0"/>
    </w:pPr>
    <w:rPr>
      <w:b/>
      <w:bCs/>
      <w:kern w:val="44"/>
      <w:sz w:val="44"/>
      <w:szCs w:val="44"/>
    </w:rPr>
  </w:style>
  <w:style w:type="paragraph" w:styleId="14">
    <w:name w:val="heading 2"/>
    <w:basedOn w:val="1"/>
    <w:next w:val="1"/>
    <w:qFormat/>
    <w:uiPriority w:val="0"/>
    <w:pPr>
      <w:keepNext/>
      <w:keepLines/>
      <w:numPr>
        <w:ilvl w:val="1"/>
        <w:numId w:val="1"/>
      </w:numPr>
      <w:tabs>
        <w:tab w:val="left" w:pos="720"/>
      </w:tabs>
      <w:spacing w:before="260" w:after="260" w:line="416" w:lineRule="atLeast"/>
      <w:outlineLvl w:val="1"/>
    </w:pPr>
    <w:rPr>
      <w:rFonts w:ascii="Arial" w:hAnsi="Arial" w:eastAsia="黑体"/>
      <w:b/>
      <w:bCs/>
      <w:sz w:val="32"/>
      <w:szCs w:val="32"/>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customStyle="1" w:styleId="2">
    <w:name w:val="列表段落1"/>
    <w:basedOn w:val="3"/>
    <w:next w:val="1"/>
    <w:qFormat/>
    <w:uiPriority w:val="99"/>
    <w:pPr>
      <w:ind w:firstLine="420"/>
    </w:pPr>
  </w:style>
  <w:style w:type="paragraph" w:customStyle="1" w:styleId="3">
    <w:name w:val="正文1"/>
    <w:basedOn w:val="4"/>
    <w:next w:val="12"/>
    <w:qFormat/>
    <w:uiPriority w:val="0"/>
    <w:rPr>
      <w:rFonts w:ascii="Calibri" w:hAnsi="Calibri"/>
    </w:rPr>
  </w:style>
  <w:style w:type="paragraph" w:customStyle="1" w:styleId="4">
    <w:name w:val="正文11"/>
    <w:next w:val="5"/>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5">
    <w:name w:val="目录 11"/>
    <w:basedOn w:val="6"/>
    <w:next w:val="4"/>
    <w:qFormat/>
    <w:uiPriority w:val="0"/>
    <w:pPr>
      <w:widowControl/>
      <w:spacing w:before="120" w:after="120"/>
      <w:jc w:val="left"/>
    </w:pPr>
    <w:rPr>
      <w:rFonts w:cs="Calibri"/>
      <w:b/>
      <w:bCs/>
      <w:caps/>
      <w:sz w:val="20"/>
      <w:szCs w:val="20"/>
    </w:rPr>
  </w:style>
  <w:style w:type="paragraph" w:customStyle="1" w:styleId="6">
    <w:name w:val="正文12"/>
    <w:next w:val="7"/>
    <w:qFormat/>
    <w:uiPriority w:val="0"/>
    <w:pPr>
      <w:widowControl w:val="0"/>
      <w:jc w:val="both"/>
    </w:pPr>
    <w:rPr>
      <w:rFonts w:hint="default" w:ascii="Calibri" w:hAnsi="Calibri" w:eastAsia="宋体" w:cs="Times New Roman"/>
      <w:sz w:val="21"/>
      <w:szCs w:val="24"/>
      <w:lang w:val="en-US" w:eastAsia="zh-CN" w:bidi="ar-SA"/>
    </w:rPr>
  </w:style>
  <w:style w:type="paragraph" w:customStyle="1" w:styleId="7">
    <w:name w:val="正文文本11"/>
    <w:basedOn w:val="8"/>
    <w:next w:val="9"/>
    <w:qFormat/>
    <w:uiPriority w:val="0"/>
    <w:pPr>
      <w:spacing w:after="120"/>
    </w:pPr>
  </w:style>
  <w:style w:type="paragraph" w:customStyle="1" w:styleId="8">
    <w:name w:val="正文112"/>
    <w:next w:val="7"/>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9">
    <w:name w:val="一级条标题"/>
    <w:basedOn w:val="10"/>
    <w:next w:val="11"/>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10">
    <w:name w:val="章标题"/>
    <w:next w:val="3"/>
    <w:qFormat/>
    <w:uiPriority w:val="0"/>
    <w:pPr>
      <w:tabs>
        <w:tab w:val="left" w:pos="810"/>
        <w:tab w:val="left" w:pos="1265"/>
      </w:tabs>
      <w:spacing w:before="50" w:after="50"/>
      <w:ind w:left="810" w:hanging="810"/>
      <w:jc w:val="both"/>
      <w:outlineLvl w:val="1"/>
    </w:pPr>
    <w:rPr>
      <w:rFonts w:hint="default" w:ascii="黑体" w:hAnsi="Calibri" w:eastAsia="黑体" w:cs="Times New Roman"/>
      <w:sz w:val="21"/>
      <w:szCs w:val="22"/>
      <w:lang w:val="en-US" w:eastAsia="zh-CN" w:bidi="ar-SA"/>
    </w:rPr>
  </w:style>
  <w:style w:type="paragraph" w:customStyle="1" w:styleId="11">
    <w:name w:val="段"/>
    <w:basedOn w:val="3"/>
    <w:next w:val="1"/>
    <w:qFormat/>
    <w:uiPriority w:val="0"/>
    <w:pPr>
      <w:widowControl/>
      <w:ind w:firstLine="200"/>
    </w:pPr>
    <w:rPr>
      <w:sz w:val="20"/>
    </w:rPr>
  </w:style>
  <w:style w:type="paragraph" w:customStyle="1" w:styleId="12">
    <w:name w:val="正文文本1"/>
    <w:basedOn w:val="3"/>
    <w:next w:val="3"/>
    <w:qFormat/>
    <w:uiPriority w:val="0"/>
    <w:pPr>
      <w:spacing w:after="120"/>
    </w:pPr>
    <w:rPr>
      <w:lang w:eastAsia="en-US"/>
    </w:rPr>
  </w:style>
  <w:style w:type="paragraph" w:styleId="15">
    <w:name w:val="toa heading"/>
    <w:basedOn w:val="1"/>
    <w:next w:val="1"/>
    <w:qFormat/>
    <w:uiPriority w:val="0"/>
    <w:rPr>
      <w:rFonts w:ascii="Arial" w:hAnsi="Arial"/>
      <w:szCs w:val="20"/>
    </w:rPr>
  </w:style>
  <w:style w:type="paragraph" w:styleId="16">
    <w:name w:val="Body Text"/>
    <w:basedOn w:val="1"/>
    <w:next w:val="1"/>
    <w:qFormat/>
    <w:uiPriority w:val="0"/>
    <w:rPr>
      <w:rFonts w:ascii="楷体_GB2312" w:eastAsia="楷体_GB2312"/>
      <w:sz w:val="28"/>
      <w:szCs w:val="28"/>
    </w:rPr>
  </w:style>
  <w:style w:type="paragraph" w:styleId="17">
    <w:name w:val="Body Text Indent 2"/>
    <w:basedOn w:val="1"/>
    <w:qFormat/>
    <w:uiPriority w:val="99"/>
    <w:pPr>
      <w:widowControl/>
      <w:ind w:left="420" w:leftChars="200"/>
      <w:jc w:val="center"/>
    </w:pPr>
    <w:rPr>
      <w:rFonts w:ascii="宋体" w:hAnsi="宋体"/>
      <w:szCs w:val="12"/>
    </w:r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spacing w:after="57"/>
    </w:pPr>
  </w:style>
  <w:style w:type="paragraph" w:styleId="21">
    <w:name w:val="Normal (Web)"/>
    <w:basedOn w:val="1"/>
    <w:qFormat/>
    <w:uiPriority w:val="0"/>
    <w:pPr>
      <w:widowControl/>
      <w:spacing w:before="100" w:beforeAutospacing="1" w:after="100" w:afterAutospacing="1"/>
      <w:jc w:val="left"/>
    </w:pPr>
    <w:rPr>
      <w:rFonts w:ascii="宋体" w:cs="宋体"/>
      <w:kern w:val="0"/>
      <w:sz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annotation reference"/>
    <w:basedOn w:val="24"/>
    <w:qFormat/>
    <w:uiPriority w:val="0"/>
    <w:rPr>
      <w:sz w:val="21"/>
      <w:szCs w:val="21"/>
    </w:rPr>
  </w:style>
  <w:style w:type="paragraph" w:customStyle="1" w:styleId="26">
    <w:name w:val="目录 1111"/>
    <w:basedOn w:val="1"/>
    <w:next w:val="1"/>
    <w:unhideWhenUsed/>
    <w:qFormat/>
    <w:uiPriority w:val="39"/>
    <w:pPr>
      <w:widowControl/>
      <w:spacing w:after="100" w:line="259" w:lineRule="auto"/>
      <w:jc w:val="left"/>
    </w:pPr>
    <w:rPr>
      <w:rFonts w:ascii="Calibri" w:hAnsi="Calibri"/>
      <w:sz w:val="22"/>
      <w:szCs w:val="22"/>
    </w:rPr>
  </w:style>
  <w:style w:type="character" w:customStyle="1" w:styleId="27">
    <w:name w:val="font31"/>
    <w:basedOn w:val="24"/>
    <w:qFormat/>
    <w:uiPriority w:val="0"/>
    <w:rPr>
      <w:rFonts w:hint="eastAsia" w:ascii="宋体" w:hAnsi="宋体" w:eastAsia="宋体" w:cs="宋体"/>
      <w:color w:val="191919"/>
      <w:sz w:val="24"/>
      <w:szCs w:val="24"/>
      <w:u w:val="none"/>
    </w:rPr>
  </w:style>
  <w:style w:type="character" w:customStyle="1" w:styleId="28">
    <w:name w:val="font41"/>
    <w:basedOn w:val="24"/>
    <w:autoRedefine/>
    <w:qFormat/>
    <w:uiPriority w:val="0"/>
    <w:rPr>
      <w:rFonts w:hint="eastAsia" w:ascii="宋体" w:hAnsi="宋体" w:eastAsia="宋体" w:cs="宋体"/>
      <w:color w:val="000000"/>
      <w:sz w:val="28"/>
      <w:szCs w:val="28"/>
      <w:u w:val="none"/>
    </w:rPr>
  </w:style>
  <w:style w:type="character" w:customStyle="1" w:styleId="29">
    <w:name w:val="font11"/>
    <w:basedOn w:val="24"/>
    <w:qFormat/>
    <w:uiPriority w:val="0"/>
    <w:rPr>
      <w:rFonts w:hint="eastAsia" w:ascii="宋体" w:hAnsi="宋体" w:eastAsia="宋体" w:cs="宋体"/>
      <w:color w:val="000000"/>
      <w:sz w:val="20"/>
      <w:szCs w:val="20"/>
      <w:u w:val="none"/>
    </w:rPr>
  </w:style>
  <w:style w:type="paragraph" w:styleId="30">
    <w:name w:val="List Paragraph"/>
    <w:basedOn w:val="1"/>
    <w:qFormat/>
    <w:uiPriority w:val="0"/>
    <w:pPr>
      <w:ind w:firstLine="420"/>
    </w:pPr>
  </w:style>
  <w:style w:type="character" w:customStyle="1" w:styleId="31">
    <w:name w:val="font61"/>
    <w:basedOn w:val="24"/>
    <w:autoRedefine/>
    <w:qFormat/>
    <w:uiPriority w:val="0"/>
    <w:rPr>
      <w:rFonts w:hint="eastAsia" w:ascii="宋体" w:hAnsi="宋体" w:eastAsia="宋体" w:cs="宋体"/>
      <w:color w:val="0000FF"/>
      <w:sz w:val="28"/>
      <w:szCs w:val="28"/>
      <w:u w:val="none"/>
    </w:rPr>
  </w:style>
  <w:style w:type="paragraph" w:customStyle="1" w:styleId="32">
    <w:name w:val="&quot;Table&quot;"/>
    <w:autoRedefine/>
    <w:qFormat/>
    <w:uiPriority w:val="0"/>
    <w:pPr>
      <w:widowControl w:val="0"/>
      <w:spacing w:line="500" w:lineRule="exact"/>
      <w:jc w:val="center"/>
    </w:pPr>
    <w:rPr>
      <w:rFonts w:hint="eastAsia" w:ascii="Times New Roman" w:hAnsi="Times New Roman" w:eastAsia="仿宋" w:cs="Times New Roman"/>
      <w:kern w:val="2"/>
      <w:sz w:val="21"/>
      <w:szCs w:val="21"/>
      <w:lang w:val="en-US" w:eastAsia="zh-CN" w:bidi="ar-SA"/>
    </w:rPr>
  </w:style>
  <w:style w:type="paragraph" w:customStyle="1" w:styleId="33">
    <w:name w:val="页脚1"/>
    <w:basedOn w:val="1"/>
    <w:qFormat/>
    <w:uiPriority w:val="99"/>
    <w:pPr>
      <w:tabs>
        <w:tab w:val="center" w:pos="4153"/>
        <w:tab w:val="right" w:pos="8306"/>
      </w:tabs>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1399</Words>
  <Characters>1456</Characters>
  <Lines>0</Lines>
  <Paragraphs>0</Paragraphs>
  <TotalTime>7</TotalTime>
  <ScaleCrop>false</ScaleCrop>
  <LinksUpToDate>false</LinksUpToDate>
  <CharactersWithSpaces>1457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2026-03-18T13:14:00Z</dcterms:created>
  <dc:creator>旌训</dc:creator>
  <cp:lastModifiedBy>lenovo</cp:lastModifiedBy>
  <dcterms:modified xsi:type="dcterms:W3CDTF">2026-03-25T07:06:08Z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392BBC26130D40199F73B91A080CDE63_11</vt:lpwstr>
  </property>
  <property fmtid="{D5CDD505-2E9C-101B-9397-08002B2CF9AE}" pid="4" name="KSOTemplateDocerSaveRecord">
    <vt:lpwstr>eyJoZGlkIjoiYzg0YjJmZjlkNzM3ODY3MTE2YTM3YTRlMDRmNWE5MTEiLCJ1c2VySWQiOiIzMDM4NTU2ODgifQ==</vt:lpwstr>
  </property>
</Properties>
</file>