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2"/>
          <w:szCs w:val="32"/>
          <w:highlight w:val="none"/>
        </w:rPr>
        <w:t xml:space="preserve">JSZC-321000-JSZX-G2026</w:t>
      </w:r>
      <w:r>
        <w:rPr>
          <w:rFonts w:hint="eastAsia" w:ascii="宋体" w:hAnsi="宋体" w:cs="宋体"/>
          <w:b/>
          <w:bCs/>
          <w:color w:val="auto"/>
          <w:sz w:val="32"/>
          <w:szCs w:val="32"/>
          <w:highlight w:val="none"/>
          <w:lang w:eastAsia="zh-CN"/>
        </w:rPr>
        <w:t xml:space="preserve">-0001（080）</w:t>
      </w:r>
      <w:r>
        <w:rPr>
          <w:rFonts w:hint="eastAsia" w:ascii="宋体" w:hAnsi="宋体" w:eastAsia="宋体" w:cs="宋体"/>
          <w:b/>
          <w:bCs/>
          <w:color w:val="auto"/>
          <w:sz w:val="32"/>
          <w:szCs w:val="32"/>
          <w:highlight w:val="none"/>
        </w:rPr>
        <w:t xml:space="preserve">号</w:t>
      </w:r>
      <w:r/>
    </w:p>
    <w:p>
      <w:pPr>
        <w:jc w:val="righ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苏北人民医院智慧后勤安全与能源管理平台项目</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公开招标文件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8"/>
          <w:highlight w:val="none"/>
        </w:rPr>
        <mc:AlternateContent>
          <mc:Choice Requires="wpg">
            <w:drawing>
              <wp:inline xmlns:wp="http://schemas.openxmlformats.org/drawingml/2006/wordprocessingDrawing" distT="0" distB="0" distL="0" distR="0">
                <wp:extent cx="5273040" cy="2970530"/>
                <wp:effectExtent l="0" t="0" r="3810" b="1270"/>
                <wp:docPr id="3"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4"/>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233.9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人：苏北人民医院</w:t>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采购代理机构（章）：江苏中鑫项目管理有限公司</w:t>
      </w:r>
      <w:r/>
    </w:p>
    <w:p>
      <w:pPr>
        <w:ind w:firstLine="1287"/>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0" w:name="EB59c3faf64f2a4bd092a206fb1d0c3c03"/>
      <w:r>
        <w:rPr>
          <w:rFonts w:hint="eastAsia" w:ascii="宋体" w:hAnsi="宋体" w:eastAsia="宋体" w:cs="宋体"/>
          <w:b/>
          <w:bCs/>
          <w:color w:val="auto"/>
          <w:sz w:val="32"/>
          <w:szCs w:val="32"/>
          <w:highlight w:val="none"/>
        </w:rPr>
        <w:t xml:space="preserve">2026年</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月</w:t>
      </w:r>
      <w:bookmarkEnd w:id="0"/>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目  录</w:t>
      </w:r>
      <w:r/>
    </w:p>
    <w:p>
      <w:pPr>
        <w:pStyle w:val="81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\f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投标邀请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3</w:t>
      </w:r>
      <w:r/>
    </w:p>
    <w:p>
      <w:pPr>
        <w:pStyle w:val="81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6</w:t>
      </w:r>
      <w:r/>
    </w:p>
    <w:p>
      <w:pPr>
        <w:pStyle w:val="81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第三章 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15</w:t>
      </w:r>
      <w:r/>
    </w:p>
    <w:p>
      <w:pPr>
        <w:pStyle w:val="81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第四章 采购需求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19</w:t>
      </w:r>
      <w:r/>
    </w:p>
    <w:p>
      <w:pPr>
        <w:pStyle w:val="81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第五章 评标方法及评标标准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42</w:t>
      </w:r>
      <w:r/>
    </w:p>
    <w:p>
      <w:pPr>
        <w:pStyle w:val="81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47</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0"/>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fldChar w:fldCharType="end"/>
      </w:r>
      <w:r>
        <w:rPr>
          <w:rStyle w:val="1016"/>
          <w:rFonts w:hint="eastAsia" w:ascii="宋体" w:hAnsi="宋体" w:eastAsia="宋体" w:cs="宋体"/>
          <w:color w:val="auto"/>
          <w:highlight w:val="none"/>
        </w:rPr>
        <w:t xml:space="preserve">第一章 投标邀请</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受江苏省苏北人民医院的委托，江苏中鑫项目管理有限公司就苏北人民医院智慧后勤安全与能源管理平台项目进行公开招标采购，欢迎符合条件的供应商投标。</w:t>
      </w:r>
      <w:r/>
    </w:p>
    <w:p>
      <w:pPr>
        <w:ind w:firstLine="211"/>
        <w:spacing w:line="360" w:lineRule="auto"/>
        <w:rPr>
          <w:rFonts w:hint="eastAsia" w:ascii="宋体" w:hAnsi="宋体"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highlight w:val="none"/>
        </w:rPr>
        <w:t xml:space="preserve">项目概况</w:t>
      </w:r>
      <w:r/>
    </w:p>
    <w:p>
      <w:pPr>
        <w:ind w:firstLine="210"/>
        <w:spacing w:line="360" w:lineRule="auto"/>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highlight w:val="none"/>
          <w:u w:val="single"/>
        </w:rPr>
        <w:t xml:space="preserve">苏北人民医院智慧后勤安全与能源管理平台项目</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u w:val="single"/>
        </w:rPr>
        <w:t xml:space="preserve"> “扬州市政府采购网”“江苏省政府采购网”</w:t>
      </w:r>
      <w:r>
        <w:rPr>
          <w:rFonts w:hint="eastAsia" w:ascii="宋体" w:hAnsi="宋体" w:eastAsia="宋体" w:cs="宋体"/>
          <w:color w:val="auto"/>
          <w:highlight w:val="none"/>
        </w:rPr>
        <w:t xml:space="preserve">获取招标文件，并于</w:t>
      </w:r>
      <w:r>
        <w:rPr>
          <w:rFonts w:hint="eastAsia" w:ascii="宋体" w:hAnsi="宋体" w:eastAsia="宋体" w:cs="宋体"/>
          <w:b/>
          <w:bCs/>
          <w:color w:val="auto"/>
          <w:highlight w:val="none"/>
          <w:u w:val="single"/>
        </w:rPr>
        <w:t xml:space="preserve">2026年</w:t>
      </w:r>
      <w:r>
        <w:rPr>
          <w:rFonts w:hint="eastAsia" w:ascii="宋体" w:hAnsi="宋体" w:eastAsia="宋体" w:cs="宋体"/>
          <w:b/>
          <w:bCs/>
          <w:color w:val="auto"/>
          <w:highlight w:val="none"/>
          <w:u w:val="single"/>
          <w:lang w:val="en-US" w:eastAsia="zh-CN"/>
        </w:rPr>
        <w:t xml:space="preserve">3</w:t>
      </w:r>
      <w:r>
        <w:rPr>
          <w:rFonts w:hint="eastAsia" w:ascii="宋体" w:hAnsi="宋体" w:eastAsia="宋体" w:cs="宋体"/>
          <w:b/>
          <w:bCs/>
          <w:color w:val="auto"/>
          <w:highlight w:val="none"/>
          <w:u w:val="single"/>
        </w:rPr>
        <w:t xml:space="preserve">月</w:t>
      </w:r>
      <w:r>
        <w:rPr>
          <w:rFonts w:hint="eastAsia" w:ascii="宋体" w:hAnsi="宋体" w:eastAsia="宋体" w:cs="宋体"/>
          <w:b/>
          <w:bCs/>
          <w:color w:val="auto"/>
          <w:highlight w:val="none"/>
          <w:u w:val="single"/>
          <w:lang w:val="en-US" w:eastAsia="zh-CN"/>
        </w:rPr>
        <w:t xml:space="preserve">26</w:t>
      </w:r>
      <w:r>
        <w:rPr>
          <w:rFonts w:hint="eastAsia" w:ascii="宋体" w:hAnsi="宋体" w:eastAsia="宋体" w:cs="宋体"/>
          <w:b/>
          <w:bCs/>
          <w:color w:val="auto"/>
          <w:highlight w:val="none"/>
          <w:u w:val="single"/>
        </w:rPr>
        <w:t xml:space="preserve">日9:30</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ind w:firstLine="422"/>
        <w:spacing w:line="360" w:lineRule="auto"/>
        <w:tabs>
          <w:tab w:val="left" w:pos="266" w:leader="none"/>
        </w:tabs>
        <w:rPr>
          <w:rFonts w:hint="eastAsia" w:ascii="宋体" w:hAnsi="宋体" w:eastAsia="宋体" w:cs="宋体"/>
          <w:b/>
          <w:bCs/>
          <w:color w:val="auto"/>
          <w:highlight w:val="none"/>
        </w:rPr>
      </w:pPr>
      <w:r/>
      <w:bookmarkStart w:id="1" w:name="_Toc35393790"/>
      <w:r/>
      <w:bookmarkStart w:id="2" w:name="_Toc35393621"/>
      <w:r/>
      <w:bookmarkStart w:id="3" w:name="_Toc28359002"/>
      <w:r/>
      <w:bookmarkStart w:id="4" w:name="_Toc38985263"/>
      <w:r/>
      <w:bookmarkStart w:id="5" w:name="_Toc28359079"/>
      <w:r/>
      <w:bookmarkStart w:id="6" w:name="_Hlk24379207"/>
      <w:r>
        <w:rPr>
          <w:rFonts w:hint="eastAsia" w:ascii="宋体" w:hAnsi="宋体" w:eastAsia="宋体" w:cs="宋体"/>
          <w:b/>
          <w:bCs/>
          <w:color w:val="auto"/>
          <w:highlight w:val="none"/>
        </w:rPr>
        <w:t xml:space="preserve">一、项目基本情况</w:t>
      </w:r>
      <w:bookmarkEnd w:id="1"/>
      <w:r/>
      <w:bookmarkEnd w:id="2"/>
      <w:r/>
      <w:bookmarkEnd w:id="3"/>
      <w:r/>
      <w:bookmarkEnd w:id="4"/>
      <w:r/>
      <w:bookmarkEnd w:id="5"/>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1.项目编号：JSZC-321000-JSZX-G2026</w:t>
      </w:r>
      <w:r>
        <w:rPr>
          <w:rFonts w:hint="eastAsia" w:ascii="宋体" w:hAnsi="宋体" w:cs="宋体"/>
          <w:color w:val="auto"/>
          <w:highlight w:val="none"/>
          <w:lang w:eastAsia="zh-CN"/>
        </w:rPr>
        <w:t xml:space="preserve">-0001（080）</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2.项目名称：苏北人民医院智慧后勤安全与能源管理平台项目；</w:t>
      </w:r>
      <w:bookmarkEnd w:id="6"/>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bookmarkStart w:id="7" w:name="_Hlk164694237"/>
      <w:r>
        <w:rPr>
          <w:rFonts w:hint="eastAsia" w:ascii="宋体" w:hAnsi="宋体" w:eastAsia="宋体" w:cs="宋体"/>
          <w:color w:val="auto"/>
          <w:highlight w:val="none"/>
        </w:rPr>
        <w:t xml:space="preserve">190万元；</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4.本项目设置最高限价：190万元，报价超过最高限价按无效投标文件处理；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5.采购需求：详见招标文件第四章；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6.交货期或交付使用期：合同签订后90个日历天完成上线，试运行1个月后，组织项目验收。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7.质保期：三年（自</w:t>
      </w:r>
      <w:r>
        <w:rPr>
          <w:rFonts w:hint="eastAsia" w:ascii="宋体" w:hAnsi="宋体" w:eastAsia="宋体" w:cs="宋体"/>
          <w:color w:val="auto"/>
          <w:highlight w:val="none"/>
          <w:lang w:val="en-US" w:eastAsia="zh-CN"/>
        </w:rPr>
        <w:t xml:space="preserve">项目验收合格</w:t>
      </w:r>
      <w:r>
        <w:rPr>
          <w:rFonts w:hint="eastAsia" w:ascii="宋体" w:hAnsi="宋体" w:eastAsia="宋体" w:cs="宋体"/>
          <w:color w:val="auto"/>
          <w:highlight w:val="none"/>
        </w:rPr>
        <w:t xml:space="preserve">之日起计算）。 </w:t>
      </w:r>
      <w:r/>
    </w:p>
    <w:p>
      <w:pPr>
        <w:ind w:firstLine="422"/>
        <w:spacing w:line="360" w:lineRule="auto"/>
        <w:tabs>
          <w:tab w:val="left" w:pos="266" w:leader="none"/>
        </w:tabs>
        <w:rPr>
          <w:rFonts w:hint="eastAsia" w:ascii="宋体" w:hAnsi="宋体" w:eastAsia="宋体" w:cs="宋体"/>
          <w:b/>
          <w:bCs/>
          <w:color w:val="auto"/>
          <w:highlight w:val="none"/>
        </w:rPr>
      </w:pPr>
      <w:r/>
      <w:bookmarkStart w:id="8" w:name="_Toc28359003"/>
      <w:r/>
      <w:bookmarkStart w:id="9" w:name="_Toc28359080"/>
      <w:r/>
      <w:bookmarkStart w:id="10" w:name="_Toc35393622"/>
      <w:r/>
      <w:bookmarkStart w:id="11" w:name="_Toc38985264"/>
      <w:r/>
      <w:bookmarkStart w:id="12" w:name="_Toc35393791"/>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color w:val="auto"/>
          <w:highlight w:val="none"/>
        </w:rPr>
      </w:pPr>
      <w:r/>
      <w:bookmarkStart w:id="13" w:name="_Toc35393792"/>
      <w:r/>
      <w:bookmarkStart w:id="14" w:name="_Toc38985265"/>
      <w:r/>
      <w:bookmarkStart w:id="15" w:name="_Toc35393623"/>
      <w:r/>
      <w:bookmarkStart w:id="16" w:name="_Toc28359081"/>
      <w:r/>
      <w:bookmarkStart w:id="17" w:name="_Toc28359004"/>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szCs w:val="18"/>
          <w:highlight w:val="none"/>
        </w:rPr>
        <w:t xml:space="preserve">2024或2025年度</w:t>
      </w:r>
      <w:r>
        <w:rPr>
          <w:rFonts w:hint="eastAsia" w:ascii="宋体" w:hAnsi="宋体" w:eastAsia="宋体" w:cs="宋体"/>
          <w:color w:val="auto"/>
          <w:highlight w:val="none"/>
        </w:rPr>
        <w:t xml:space="preserve">的财务状况报告（成立不满一年无需提供）；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具备履行合同所必需的设备和专业技术能力的书面声明；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 参加政府采购活动前3年内在经营活动中没有重大违法记录的书面声明；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 供应商信用承诺函。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bookmarkStart w:id="18" w:name="OLE_LINK17"/>
      <w:r/>
      <w:bookmarkStart w:id="19" w:name="OLE_LINK16"/>
      <w:r>
        <w:rPr>
          <w:rFonts w:hint="eastAsia" w:ascii="宋体" w:hAnsi="宋体" w:eastAsia="宋体" w:cs="宋体"/>
          <w:color w:val="auto"/>
          <w:highlight w:val="none"/>
        </w:rPr>
        <w:t xml:space="preserve">.</w:t>
      </w:r>
      <w:bookmarkEnd w:id="18"/>
      <w:r/>
      <w:bookmarkEnd w:id="19"/>
      <w:r>
        <w:rPr>
          <w:rFonts w:hint="eastAsia" w:ascii="宋体" w:hAnsi="宋体" w:eastAsia="宋体" w:cs="宋体"/>
          <w:color w:val="auto"/>
          <w:highlight w:val="none"/>
        </w:rPr>
        <w:t xml:space="preserve">落实政府采购政策须满足的资格要求：无。</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4.本项目不接受联合体投标。</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5.本项目不接受进口产品投标。</w:t>
      </w:r>
      <w:r/>
    </w:p>
    <w:p>
      <w:pPr>
        <w:ind w:firstLine="42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（二）本项目的特定资格要求：无。</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eastAsia="宋体" w:cs="宋体"/>
          <w:color w:val="auto"/>
          <w:highlight w:val="none"/>
        </w:rPr>
      </w:pPr>
      <w:r/>
      <w:bookmarkStart w:id="20" w:name="_Toc28359082"/>
      <w:r/>
      <w:bookmarkStart w:id="21" w:name="_Toc38985266"/>
      <w:r/>
      <w:bookmarkStart w:id="22" w:name="_Toc35393793"/>
      <w:r/>
      <w:bookmarkStart w:id="23" w:name="_Toc28359005"/>
      <w:r/>
      <w:bookmarkStart w:id="24" w:name="_Toc35393624"/>
      <w:r>
        <w:rPr>
          <w:rFonts w:hint="eastAsia" w:ascii="宋体" w:hAnsi="宋体" w:eastAsia="宋体" w:cs="宋体"/>
          <w:color w:val="auto"/>
          <w:highlight w:val="none"/>
        </w:rPr>
        <w:t xml:space="preserve">1.时间：自招标文件公告发布之日起5个工作日。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bookmarkEnd w:id="20"/>
      <w:r/>
      <w:bookmarkEnd w:id="21"/>
      <w:r/>
      <w:bookmarkEnd w:id="22"/>
      <w:r/>
      <w:bookmarkEnd w:id="23"/>
      <w:r/>
      <w:bookmarkEnd w:id="24"/>
      <w:r>
        <w:rPr>
          <w:rFonts w:hint="eastAsia" w:ascii="宋体" w:hAnsi="宋体" w:eastAsia="宋体" w:cs="宋体"/>
          <w:b/>
          <w:bCs/>
          <w:color w:val="auto"/>
          <w:highlight w:val="none"/>
        </w:rPr>
        <w:t xml:space="preserve">提交投标文件截止时间、开标时间和地点</w:t>
      </w:r>
      <w:r/>
    </w:p>
    <w:p>
      <w:pPr>
        <w:ind w:firstLine="420"/>
        <w:spacing w:line="360" w:lineRule="auto"/>
        <w:rPr>
          <w:rFonts w:hint="eastAsia" w:ascii="宋体" w:hAnsi="宋体" w:eastAsia="宋体" w:cs="宋体"/>
          <w:iCs/>
          <w:color w:val="auto"/>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
          <w:bCs/>
          <w:color w:val="auto"/>
          <w:highlight w:val="none"/>
        </w:rPr>
        <w:t xml:space="preserve">：2026年</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26</w:t>
      </w:r>
      <w:r>
        <w:rPr>
          <w:rFonts w:hint="eastAsia" w:ascii="宋体" w:hAnsi="宋体" w:eastAsia="宋体" w:cs="宋体"/>
          <w:b/>
          <w:bCs/>
          <w:color w:val="auto"/>
          <w:highlight w:val="none"/>
        </w:rPr>
        <w:t xml:space="preserve">日9点30分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color w:val="auto"/>
          <w:highlight w:val="none"/>
        </w:rPr>
        <w:t xml:space="preserve">“苏采云”系统（网址：http://jszfcg.jsczt.cn/）“开标大厅”</w:t>
      </w:r>
      <w:r/>
    </w:p>
    <w:p>
      <w:pPr>
        <w:ind w:firstLine="422"/>
        <w:spacing w:line="360" w:lineRule="auto"/>
        <w:tabs>
          <w:tab w:val="left" w:pos="266" w:leader="none"/>
        </w:tabs>
        <w:rPr>
          <w:rFonts w:hint="eastAsia" w:ascii="宋体" w:hAnsi="宋体" w:eastAsia="宋体" w:cs="宋体"/>
          <w:b/>
          <w:bCs/>
          <w:color w:val="auto"/>
          <w:highlight w:val="none"/>
        </w:rPr>
      </w:pPr>
      <w:r/>
      <w:bookmarkStart w:id="25" w:name="_Toc28359007"/>
      <w:r/>
      <w:bookmarkStart w:id="26" w:name="_Toc35393625"/>
      <w:r/>
      <w:bookmarkStart w:id="27" w:name="_Toc28359084"/>
      <w:r/>
      <w:bookmarkStart w:id="28" w:name="_Toc35393794"/>
      <w:r/>
      <w:bookmarkStart w:id="29" w:name="_Toc38985267"/>
      <w:r>
        <w:rPr>
          <w:rFonts w:hint="eastAsia" w:ascii="宋体" w:hAnsi="宋体" w:eastAsia="宋体" w:cs="宋体"/>
          <w:b/>
          <w:bCs/>
          <w:color w:val="auto"/>
          <w:highlight w:val="none"/>
        </w:rPr>
        <w:t xml:space="preserve">五、公告期限</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w:t>
      </w:r>
      <w:bookmarkEnd w:id="25"/>
      <w:r/>
      <w:bookmarkEnd w:id="26"/>
      <w:r/>
      <w:bookmarkEnd w:id="27"/>
      <w:r/>
      <w:bookmarkEnd w:id="28"/>
      <w:r/>
      <w:bookmarkEnd w:id="29"/>
      <w:r/>
      <w:bookmarkStart w:id="30" w:name="_Toc38985268"/>
      <w:r/>
      <w:bookmarkStart w:id="31" w:name="_Toc35393626"/>
      <w:r/>
      <w:bookmarkStart w:id="32" w:name="_Toc35393795"/>
      <w:r>
        <w:rPr>
          <w:rFonts w:hint="eastAsia" w:ascii="宋体" w:hAnsi="宋体" w:eastAsia="宋体" w:cs="宋体"/>
          <w:b/>
          <w:bCs/>
          <w:color w:val="auto"/>
          <w:highlight w:val="none"/>
        </w:rPr>
        <w:t xml:space="preserve">其他补充事宜</w:t>
      </w:r>
      <w:bookmarkEnd w:id="30"/>
      <w:r/>
      <w:bookmarkEnd w:id="31"/>
      <w:r/>
      <w:bookmarkEnd w:id="32"/>
      <w:r/>
      <w:r/>
    </w:p>
    <w:p>
      <w:pPr>
        <w:ind w:firstLine="420"/>
        <w:spacing w:line="360" w:lineRule="auto"/>
        <w:tabs>
          <w:tab w:val="left" w:pos="266" w:leader="none"/>
        </w:tabs>
        <w:rPr>
          <w:rFonts w:hint="eastAsia" w:ascii="宋体" w:hAnsi="宋体" w:eastAsia="宋体" w:cs="宋体"/>
          <w:color w:val="auto"/>
          <w:highlight w:val="none"/>
        </w:rPr>
      </w:pPr>
      <w:r/>
      <w:bookmarkStart w:id="33" w:name="_Toc38985269"/>
      <w:r/>
      <w:bookmarkStart w:id="34" w:name="_Toc28359085"/>
      <w:r/>
      <w:bookmarkStart w:id="35" w:name="_Toc35393627"/>
      <w:r/>
      <w:bookmarkStart w:id="36" w:name="_Toc28359008"/>
      <w:r/>
      <w:bookmarkStart w:id="37" w:name="_Toc35393796"/>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集中考察或召开答疑会：本项目将组织投标人开展现场集中勘查，请各投标人按规定时间，持授权代表委托书（原件）、授权代表身份证前往苏北人民医院参与勘查，全面充分了解项目现场环境、实施具体位置及其他可能影响投标报价、交付周期的相关情况。望各投标人结合现场实际综合考量，自主进行投标报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集中考察时间：2026年</w:t>
      </w: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月</w:t>
      </w:r>
      <w:r>
        <w:rPr>
          <w:rFonts w:hint="eastAsia" w:ascii="宋体" w:hAnsi="宋体" w:eastAsia="宋体" w:cs="宋体"/>
          <w:b/>
          <w:color w:val="auto"/>
          <w:highlight w:val="none"/>
          <w:lang w:val="en-US" w:eastAsia="zh-CN"/>
        </w:rPr>
        <w:t xml:space="preserve">13</w:t>
      </w:r>
      <w:r>
        <w:rPr>
          <w:rFonts w:hint="eastAsia" w:ascii="宋体" w:hAnsi="宋体" w:eastAsia="宋体" w:cs="宋体"/>
          <w:b/>
          <w:color w:val="auto"/>
          <w:highlight w:val="none"/>
        </w:rPr>
        <w:t xml:space="preserve">日10点00分（北京时间）</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地点：苏北人民医院18号楼519会议室</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现场联系人：</w:t>
      </w:r>
      <w:r>
        <w:rPr>
          <w:rFonts w:hint="eastAsia" w:ascii="宋体" w:hAnsi="宋体" w:cs="宋体"/>
          <w:b/>
          <w:color w:val="auto"/>
          <w:highlight w:val="none"/>
          <w:lang w:val="en-US" w:eastAsia="zh-CN"/>
        </w:rPr>
        <w:t xml:space="preserve">孙老师</w:t>
      </w:r>
      <w:r>
        <w:rPr>
          <w:rFonts w:hint="eastAsia" w:ascii="宋体" w:hAnsi="宋体" w:eastAsia="宋体" w:cs="宋体"/>
          <w:b/>
          <w:color w:val="auto"/>
          <w:highlight w:val="none"/>
        </w:rPr>
        <w:t xml:space="preserve">；联系电话：0514</w:t>
      </w:r>
      <w:r>
        <w:rPr>
          <w:rFonts w:hint="eastAsia" w:ascii="宋体" w:hAnsi="宋体" w:cs="宋体"/>
          <w:b/>
          <w:color w:val="auto"/>
          <w:highlight w:val="none"/>
          <w:lang w:val="en-US" w:eastAsia="zh-CN"/>
        </w:rPr>
        <w:t xml:space="preserve">-</w:t>
      </w:r>
      <w:r>
        <w:rPr>
          <w:rFonts w:hint="eastAsia" w:ascii="宋体" w:hAnsi="宋体" w:eastAsia="宋体" w:cs="宋体"/>
          <w:b/>
          <w:color w:val="auto"/>
          <w:highlight w:val="none"/>
        </w:rPr>
        <w:t xml:space="preserve">87373477；</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3"/>
      <w:r/>
      <w:bookmarkEnd w:id="34"/>
      <w:r/>
      <w:bookmarkEnd w:id="35"/>
      <w:r/>
      <w:bookmarkEnd w:id="36"/>
      <w:r/>
      <w:bookmarkEnd w:id="37"/>
      <w:r/>
      <w:r/>
    </w:p>
    <w:p>
      <w:pPr>
        <w:ind w:firstLine="420"/>
        <w:spacing w:line="360" w:lineRule="auto"/>
        <w:widowControl/>
        <w:rPr>
          <w:rFonts w:hint="eastAsia" w:ascii="宋体" w:hAnsi="宋体" w:eastAsia="宋体" w:cs="宋体"/>
          <w:color w:val="auto"/>
          <w:highlight w:val="none"/>
        </w:rPr>
      </w:pPr>
      <w:r/>
      <w:bookmarkStart w:id="38" w:name="_Toc28359009"/>
      <w:r/>
      <w:bookmarkStart w:id="39" w:name="_Toc28359086"/>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称：江苏省苏北人民医院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联系人：丁老师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联系方式：0514-87373493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8"/>
      <w:r/>
      <w:bookmarkEnd w:id="39"/>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称：江苏中鑫项目管理有限公司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址：扬州市京华城路8号五彩世界B座19楼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联系人：高工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bookmarkStart w:id="40" w:name="_Toc28359010"/>
      <w:r/>
      <w:bookmarkStart w:id="41" w:name="_Toc28359087"/>
      <w:r>
        <w:rPr>
          <w:rFonts w:hint="eastAsia" w:ascii="宋体" w:hAnsi="宋体" w:eastAsia="宋体" w:cs="宋体"/>
          <w:color w:val="auto"/>
          <w:highlight w:val="none"/>
        </w:rPr>
        <w:t xml:space="preserve">18912120715</w:t>
      </w:r>
      <w:bookmarkEnd w:id="40"/>
      <w:r/>
      <w:bookmarkEnd w:id="41"/>
      <w:r/>
      <w:r/>
    </w:p>
    <w:p>
      <w:pPr>
        <w:ind w:right="8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94"/>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第二章 投标人须知</w:t>
      </w:r>
      <w:r/>
    </w:p>
    <w:p>
      <w:pPr>
        <w:ind w:firstLine="422"/>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一、总则</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1、招标方式</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1.1本次招标采取公开招标方式，本招标文件仅适用于此项目。</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2、合格的投标人</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2.1满足招标公告中供应商的资格要求的规定。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2.2满足本文件实质性要求的规定。。</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3、适用法律</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3.1本次招标及由此产生的合同受中华人民共和国有关的法律法规制约和保护。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4、投标费用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4.1投标人应自行承担所有与参加投标有关的费用，无论投标过程中的做法和结果如何，代理机构在任何情况下均无义务和责任承担这些费用。 </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4.2本次招标代理费参照《招标采购代理规范》标准的肆折计取，不足叁仟按叁仟元，由成交供应商在领取成交通知书前一次性支付给招标代理机构服务费。</w:t>
      </w:r>
      <w:r>
        <w:rPr>
          <w:rFonts w:hint="eastAsia" w:ascii="宋体" w:hAnsi="宋体" w:eastAsia="宋体" w:cs="宋体"/>
          <w:bCs/>
          <w:color w:val="auto"/>
          <w:highlight w:val="none"/>
          <w:lang w:val="en-US" w:eastAsia="zh-CN"/>
        </w:rPr>
        <w:t xml:space="preserve">评审费按实结算不提供票据。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w:t>
      </w:r>
      <w:r/>
    </w:p>
    <w:tbl>
      <w:tblPr>
        <w:tblStyle w:val="80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Height w:val="367"/>
        </w:trPr>
        <w:tc>
          <w:tcPr>
            <w:tcW w:w="5000" w:type="pct"/>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开户行：中国建设银行股份有限公司扬州曲江分理处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号：32050174473600000049</w:t>
            </w:r>
            <w:r/>
          </w:p>
        </w:tc>
      </w:tr>
    </w:tbl>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5、招标文件的约束力</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5.1投标人一旦参加本项目采购活动，即被认为接受了本招标文件的规定和约束。</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二、招标文件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6、招标文件构成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 招标文件由以下部分组成：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（1）投标邀请</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（2）投标人须知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（3）合同文本</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（4）采购需求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（5）评标方法与评标标准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（6）投标文件格式</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7、招标文件的修改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7.1在投标截止时间前，代理机构可以对招标文件进行修改。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三、投标文件的编制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8、投标文件的语言、度量衡单位、货币</w:t>
      </w:r>
      <w:bookmarkStart w:id="88" w:name="_GoBack"/>
      <w:r/>
      <w:bookmarkEnd w:id="88"/>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8.2 除技术性能另有规定外，投标文件所使用的度量衡单位，均须采用国家法定计量单位。</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9、投标文件构成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投标人编写的投标文件应包括基本目录、资格审查内容、符合性审查内容、价格扣除证明文件等部分。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10、证明投标人资格及符合招标文件规定的文件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10.1 投标人应按照招标文件要求提交证明文件，证明其投标标的符合招标文件规定。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10.2招标文件对证明文件无明确形式要求的，证明文件可以以文字资料、图纸和数据等形式提交。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11、投标分项报价表</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11.1 投标人按照招标文件规定格式填报投标分项报价表。</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11.2投标货币。投标文件中的单价和总价无特殊规定的采用人民币报价，以元为单位标注。招标文件中另有规定的按规定执行。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、技术参数响应及偏离表、商务条款响应及偏离表及投标货物说明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12.1 投标人需对招标文件中的技术要求与商务要求逐项作出响应或偏离，并说明原因。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12.2 投标人需按照招标文件要求，在投标文件中提供与技术要求和商务要求相关的证明材料。</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、投标函和开标一览表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13.1 投标人应按照招标文件中提供的格式完整、正确填写投标函、开标一览表。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14、投标有效期</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14.1投标有效期为开标之日起六十（60）天。投标有效期比规定短的将被视为非响应性投标而予以拒绝。</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15.投标有效期的延长</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highlight w:val="none"/>
        </w:rPr>
      </w:pPr>
      <w:r/>
      <w:bookmarkStart w:id="42" w:name="_Toc513029226"/>
      <w:r/>
      <w:bookmarkStart w:id="43" w:name="_Toc16938542"/>
      <w:r/>
      <w:bookmarkStart w:id="44" w:name="_Toc20823298"/>
      <w:r>
        <w:rPr>
          <w:rFonts w:hint="eastAsia" w:ascii="宋体" w:hAnsi="宋体" w:eastAsia="宋体" w:cs="宋体"/>
          <w:b/>
          <w:color w:val="auto"/>
          <w:highlight w:val="none"/>
        </w:rPr>
        <w:t xml:space="preserve">四、投标文件的递交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16、电子投标文件的递交</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16.1电子投标文件的递交投标人应当按照《操作手册》规定，在投标截止时间前制作并上传电子投标文件。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16.2</w:t>
      </w:r>
      <w:r>
        <w:rPr>
          <w:rFonts w:hint="eastAsia" w:ascii="宋体" w:hAnsi="宋体" w:eastAsia="宋体" w:cs="宋体"/>
          <w:b/>
          <w:bCs/>
          <w:color w:val="auto"/>
          <w:highlight w:val="none"/>
        </w:rPr>
        <w:t xml:space="preserve">政府采购管理交易系统（苏采云）</w:t>
      </w:r>
      <w:r>
        <w:rPr>
          <w:rFonts w:hint="eastAsia" w:ascii="宋体" w:hAnsi="宋体" w:eastAsia="宋体" w:cs="宋体"/>
          <w:b/>
          <w:color w:val="auto"/>
          <w:highlight w:val="none"/>
        </w:rPr>
        <w:t xml:space="preserve">相关要求是本招标文件的组成部分。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.3投标人应对 CA 证书妥善保管，如被他人盗用投标，因此带来的后果均由投标人自行承担。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.7各投标人应在规定时间内凭CA证书进行网上解密。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17、投标截止日期</w:t>
      </w:r>
      <w:r/>
    </w:p>
    <w:p>
      <w:pPr>
        <w:ind w:firstLine="420"/>
        <w:spacing w:line="360" w:lineRule="auto"/>
        <w:rPr>
          <w:rFonts w:hint="eastAsia" w:ascii="宋体" w:hAnsi="宋体" w:eastAsia="宋体" w:cs="宋体"/>
          <w:bCs/>
          <w:iCs/>
          <w:color w:val="auto"/>
          <w:highlight w:val="none"/>
        </w:rPr>
      </w:pPr>
      <w:r>
        <w:rPr>
          <w:rFonts w:hint="eastAsia" w:ascii="宋体" w:hAnsi="宋体" w:eastAsia="宋体" w:cs="宋体"/>
          <w:bCs/>
          <w:iCs/>
          <w:color w:val="auto"/>
          <w:highlight w:val="none"/>
        </w:rPr>
        <w:t xml:space="preserve">1</w:t>
      </w:r>
      <w:r>
        <w:rPr>
          <w:rFonts w:hint="eastAsia" w:ascii="宋体" w:hAnsi="宋体" w:eastAsia="宋体" w:cs="宋体"/>
          <w:b/>
          <w:bCs/>
          <w:iCs/>
          <w:color w:val="auto"/>
          <w:highlight w:val="none"/>
        </w:rPr>
        <w:t xml:space="preserve">7.1 投标人上传电子投标文件的时间不得迟于招标公告中规定的投标截止时间。</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highlight w:val="none"/>
        </w:rPr>
      </w:pPr>
      <w:r/>
      <w:bookmarkStart w:id="45" w:name="_Toc513029227"/>
      <w:r/>
      <w:bookmarkStart w:id="46" w:name="_Toc20823299"/>
      <w:r/>
      <w:bookmarkStart w:id="47" w:name="_Toc16938543"/>
      <w:r>
        <w:rPr>
          <w:rFonts w:hint="eastAsia" w:ascii="宋体" w:hAnsi="宋体" w:eastAsia="宋体" w:cs="宋体"/>
          <w:b/>
          <w:color w:val="auto"/>
          <w:highlight w:val="none"/>
        </w:rPr>
        <w:t xml:space="preserve">18、投标文件</w:t>
      </w:r>
      <w:bookmarkEnd w:id="45"/>
      <w:r/>
      <w:bookmarkEnd w:id="46"/>
      <w:r/>
      <w:bookmarkEnd w:id="47"/>
      <w:r>
        <w:rPr>
          <w:rFonts w:hint="eastAsia" w:ascii="宋体" w:hAnsi="宋体" w:eastAsia="宋体" w:cs="宋体"/>
          <w:b/>
          <w:color w:val="auto"/>
          <w:highlight w:val="none"/>
        </w:rPr>
        <w:t xml:space="preserve">的拒收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.1代理机构拒绝接收在其规定的投标截止时间后上传的任何投标文件。 </w:t>
      </w:r>
      <w:r/>
    </w:p>
    <w:p>
      <w:pPr>
        <w:ind w:firstLine="422"/>
        <w:spacing w:line="360" w:lineRule="auto"/>
        <w:rPr>
          <w:rFonts w:hint="eastAsia" w:ascii="宋体" w:hAnsi="宋体" w:eastAsia="宋体" w:cs="宋体"/>
          <w:b/>
          <w:color w:val="auto"/>
          <w:highlight w:val="none"/>
        </w:rPr>
      </w:pPr>
      <w:r/>
      <w:bookmarkStart w:id="48" w:name="_Toc20823300"/>
      <w:r/>
      <w:bookmarkStart w:id="49" w:name="_Toc513029228"/>
      <w:r/>
      <w:bookmarkStart w:id="50" w:name="_Toc16938544"/>
      <w:r>
        <w:rPr>
          <w:rFonts w:hint="eastAsia" w:ascii="宋体" w:hAnsi="宋体" w:eastAsia="宋体" w:cs="宋体"/>
          <w:b/>
          <w:color w:val="auto"/>
          <w:highlight w:val="none"/>
        </w:rPr>
        <w:t xml:space="preserve">19、投标文件的撤回和修改</w:t>
      </w:r>
      <w:bookmarkEnd w:id="48"/>
      <w:r/>
      <w:bookmarkEnd w:id="49"/>
      <w:r/>
      <w:bookmarkEnd w:id="50"/>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 投标文件的撤回</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19.1.1 电子投标文件的撤回</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19.1.2 投标人撤回电子投标文件，则认为其不再参与本项目投标活动。</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 投标文件的修改</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19.2.1投标人可在投标截止时间前，对其电子投标文件进行修改，具体操作方法见《操作手册》。</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19.2.2 在投标截止时间之后，投标人不得对其电子投标文件作任何修改。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19.3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五、开标与评标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20、开标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20.1代理机构将在招标公告中规定的时间和地点组织公开开标。投标人应当按照《操作手册》规定，参加开标活动。投标人未参加开标的，视同认可开标结果。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0</w:t>
      </w:r>
      <w:r>
        <w:rPr>
          <w:rFonts w:hint="eastAsia" w:ascii="宋体" w:hAnsi="宋体" w:eastAsia="宋体" w:cs="宋体"/>
          <w:b/>
          <w:color w:val="auto"/>
          <w:highlight w:val="none"/>
        </w:rPr>
        <w:t xml:space="preserve">.2开标仪式由代理机构组织。苏采云系统将自动对项目进行开标，并宣读各投标人的《开标一览表》。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.3投标人在开标过程中涉及的投标文件解密、开标结果确认等工作，应按照《操作手册》规定执行。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.4投标人如果对开标过程和开标记录有疑义，应当根据《操作手册》规定提出，</w:t>
      </w:r>
      <w:r>
        <w:rPr>
          <w:rFonts w:hint="eastAsia" w:ascii="宋体" w:hAnsi="宋体" w:eastAsia="宋体" w:cs="宋体"/>
          <w:bCs/>
          <w:color w:val="auto"/>
          <w:highlight w:val="none"/>
          <w:lang w:val="en-US" w:eastAsia="zh-CN"/>
        </w:rPr>
        <w:t xml:space="preserve">如</w:t>
      </w:r>
      <w:r>
        <w:rPr>
          <w:rFonts w:hint="eastAsia" w:ascii="宋体" w:hAnsi="宋体" w:eastAsia="宋体" w:cs="宋体"/>
          <w:bCs/>
          <w:color w:val="auto"/>
          <w:highlight w:val="none"/>
          <w:lang w:eastAsia="zh-CN"/>
        </w:rPr>
        <w:t xml:space="preserve">苏采云系统</w:t>
      </w:r>
      <w:r>
        <w:rPr>
          <w:rFonts w:hint="eastAsia" w:ascii="宋体" w:hAnsi="宋体" w:eastAsia="宋体" w:cs="宋体"/>
          <w:bCs/>
          <w:color w:val="auto"/>
          <w:highlight w:val="none"/>
        </w:rPr>
        <w:t xml:space="preserve">中《开标记录表》宣布后5分钟内未提出的，视同认可开标结果。</w:t>
      </w:r>
      <w:bookmarkEnd w:id="42"/>
      <w:r/>
      <w:bookmarkEnd w:id="43"/>
      <w:r/>
      <w:bookmarkEnd w:id="44"/>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21、评标委员会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.1 开标后，代理机构将立即组织评标委员会（以下简称评委会）进行评标。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.2 评委会由采购人代表和有关技术、经济等方面的专家组成，且人员构成符合政府采购有关规定。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.3评委会独立工作，负责评审所有投标文件并确定中标候选人。</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、评标过程的保密与公正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.1凡是与审查、澄清、评价和比较投标的有关资料以及授标建议等，采购人、评委、代理机构工作人员均不得向投标人或与评标无关的其他人员透露。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.3代理机构和评委会不向未中标的投标人解释未中标原因，也不公布评标过程中的相关细节。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.4采用综合评分法的项目，未中标的投标人可于中标结果公告期限届满之日起通过苏采云系统查看自己的评审得分及排序情况。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23、投标的澄清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23.1评标期间，评委会对投标文件中含义不明确、同类问题表述不一致或者有明显文字和计算错误的内容，有权要求投标人作出必要的澄清、说明或者补正。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评委会并非对每个投标人都做澄清要求。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23.3接到评委会澄清、说明和补正要求的投标人如未按规定做出澄清、说明和补正，其风险由投标人自行承担。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24、对投标文件的初审</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24.1投标文件初审分为资格审查和符合性审查。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24.1.1 资格审查：依据法律法规和招标文件的规定，由采购人对投标文件中的资格证明文件进行审查。资格审查的结论，采购人以书面形式向评委会进行反馈。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24.1.3 未通过资格审查或符合性审查的投标人，</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将在苏采云系统中告知未通过资格审查或符合性审查的原因，评审结束后，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将不再告知未通过资格审查或符合性审查的原因。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24.3如果投标文件实质上没有响应招标文件的要求，评委会将予以拒绝，投标人不得通过修改或撤销不合要求的偏离或保留而使其投标成为实质性响应的投标。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24.4评委会将对确定为实质性响应的投标进行进一步审核，是否有计算上或累加上的算术错误，修正错误的原则如下：</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（1）投标文件中开标一览表内容与投标文件中相应内容不一致的，以开标一览表为准。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（2）大写金额和小写金额不一致的，以大写金额为准。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（3）单价金额小数点或者百分比有明显错位的，以开标一览表的总价为准，并修改单价。</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（4）总价金额与按单价汇总金额不一致的，以单价金额计算结果为准。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同时出现两种以上错误的，按照前款规定的顺序修正。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24.6投标人在开、评标全过程中应保持通讯畅通，及时登录苏采云系统查阅、答复相关信息，并安排专人与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及评委会联系。</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25、无效投标、废标及投标人不足三家的处理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25.1无效投标条款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 投标人在苏采云系统规定的时间内未成功解密电子投标文件的。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25.1.2 投标人未按照招标文件要求上传电子投标文件的。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25.1.3 投标人同一采购包提交两个（含两个）以上不同的投标报价的。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25.1.4投标人不具备招标文件中规定资格要求的。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25.1.5投标人的报价超过了采购预算或最高限价的。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25.1.6未通过符合性审查的。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25.1.7不符合招标文件中规定的实质性要求的（本招标文件中斜体且有下划线部分为实质性要求）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25.1.9 投标文件含有采购人不能接受的附加条件的。</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 异常低价投标（响应）</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25.1.11 投标文件未按照招标文件要求加盖CA电子公章的。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25.1.12其他法律、法规及本招标文件规定的属无效投标的情形。</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25.2废标条款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25.2.1符合专业条件的供应商或者对招标文件作实质响应的供应商不足三家的。25.2.2出现影响采购公正的违法、违规行为的。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25.2.3因重大变故，采购任务取消的。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25.2.4评委会认定招标文件存在歧义、重大缺陷导致评审工作无法进行。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25.2.5 因苏采云系统系统故障原因造成开标不成功的。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 投标截止时间结束后参加投标的供应商不足三家的处理：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25.3.1如出现投标截止时间结束后参加投标的供应商或者在评标期间对招标文件做出实质响应的供应商不足三家情况，按政府采购相关规定执行。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六、定标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26、确定中标单位</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26.1中标候选人的选取原则和数量见招标文件第五章规定。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26.2 采购人应根据评委会推荐的中标候选人确定中标供应商。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26.3 </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将在“江苏政府采购网、扬州市政府采购网”发布中标公告，公告期限为1个工作日。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 若有充分证据证明，中标供应商出现下列情况之一的，一经查实，将被取消中标资格：</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26.4.1提供虚假材料谋取中标的。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26.4.2向采购人、</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行贿或者提供其他不正当利益的。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26.4.3属于本文件规定的无效条件，但在评标过程中又未被评委会发现的。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26.4.4与采购人或者其他供应商恶意串通的。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26.4.5采取不正当手段诋毁、排挤其他供应商的。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 有下列情形之一的，视为投标人串通投标，投标无效：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26.5.1不同投标人的投标文件由同一单位或者个人编制。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26.5.2不同投标人委托同一单位或者个人办理投标事宜。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26.5.3 不同投标人的投标文件载明的项目管理成员或者联系人员为同一人。</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26.5.4不同投标人的投标文件异常一致或者投标报价呈规律性差异。</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27、质疑处理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27.2供应商认为采购文件、采购过程和采购结果使自己的权益受到损害的，可以在知道或应知其权益受到损害之日起七个工作日内，以书面形式根据下述27.4条款的规定向</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或采购人提出质疑。上述应知其权益受到损害之日，是指：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27.2.1对可以质疑的采购文件提出质疑的，为收到采购文件之日或者采购文件公告期限届满之日；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27.2.2对采购过程提出质疑的，为各采购程序环节结束之日；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27.2.3对中标或者成交结果提出质疑的，为中标或者成交结果公告期限届满之日。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、采购人将只对供应商第一次质疑作出答复。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提出，由</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采购人及</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只接收以纸质原件形式送达的质疑,建议供应商尽量通过邮寄方式提交质疑（采购人和</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不接受无快递运单号的快递）。</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质疑接收人及联系方式见招标文件第一章。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 以下情形的质疑不予受理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27.5.1 内容不符合《政府采购质疑和投诉办法》第十二条规定的质疑。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27.5.2 超出政府采购法定期限的质疑。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27.5.3 以传真、电子邮件等方式递交的非原件形式的质疑。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27.6 供应商提出书面质疑必须有理、有据，不得捏造事实、提供虚假材料进行恶意质疑。否则，一经查实，</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有权依据政府采购的有关规定，报请政府采购监管部门对该供应商进行相应的行政处罚和记录该供应商的失信信息。</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28、中标通知书</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28.l 中标结果确定后，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七、授予合同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29、签订合同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29.l中标供应商应当在中标通知书发出之日起三十日内，按照招标文件确定的事项与采购人签订政府采购合同。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29.2 招标文件、中标供应商的投标文件及招标过程中有关澄清、承诺文件均应作为合同附件。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30、政府采购履约资金扶持政策</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中标供应商可凭政府采购合同办理融资贷款，详情请见江苏政府采购网“政采贷”专栏。</w:t>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794"/>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第三章 合同文本</w:t>
      </w:r>
      <w:r/>
    </w:p>
    <w:p>
      <w:pPr>
        <w:spacing w:before="145" w:after="14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 </w:t>
      </w:r>
      <w:r/>
    </w:p>
    <w:p>
      <w:pPr>
        <w:jc w:val="center"/>
        <w:spacing w:before="145" w:after="14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江苏省政府采购合同（服务）（合同编号）</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项目名称：*****                   </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项目编号：*****             </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甲方：（买方/采购人）_________</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乙方：（卖方/中标投标人）_________</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甲、乙双方根据江苏中鑫项目管理有限公司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项目公开招标的结果，签署本合同。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一、合同内容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 标的名称：</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1.2标的质量：</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1.3 标的数量（规模）：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 履行时间（期限）：</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1.5 履行地点：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1.6 履行方式：</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二、合同金额</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2.1 本合同金额为（大写）：________圆（________元）人民币或其他币种。</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三、技术资料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四、知识产权</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4.2乙方为履行本合同所专门创造、开发并交付给甲方的所有工作成果（包括但不限于软件源代码、目标代码、技术文档、设计图纸等，以下简称“交付成果”）的知识产权（包括但不限于著作权、专利权、专利申请权及技术秘密），自该成果产生之日起即全部归甲方所有。乙方应提供一切必要协助，配合甲方办理相关权利的登记或备案手续。</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五、产权担保</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5.1 乙方保证所交付的服务（包含与服务相关的货物）的所有权完全属于乙方且无任何抵押、查封等产权瑕疵。</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六、履约保证金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6.1 乙方交纳人民币___</w:t>
      </w:r>
      <w:r>
        <w:rPr>
          <w:rFonts w:hint="eastAsia" w:ascii="宋体" w:hAnsi="宋体" w:eastAsia="宋体" w:cs="宋体"/>
          <w:color w:val="auto"/>
          <w:highlight w:val="none"/>
          <w:u w:val="single"/>
        </w:rPr>
        <w:t xml:space="preserve">零</w:t>
      </w:r>
      <w:r>
        <w:rPr>
          <w:rFonts w:hint="eastAsia" w:ascii="宋体" w:hAnsi="宋体" w:eastAsia="宋体" w:cs="宋体"/>
          <w:color w:val="auto"/>
          <w:highlight w:val="none"/>
        </w:rPr>
        <w:t xml:space="preserve">______元作为本合同的履约保证金。（不得超过合同金额的10%）</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6.2合同履行结束后，甲方应及时退还交纳的履约保证金。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6.2.1履约保证金退还方式：无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6.2.2履约保证金退还时间：无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6.2.3履约保证金退还条件：无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6.2.4履约保证金不予退还的情形：无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6.2.5履约保证金逾期退还的违约责任：无</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七、合同转包或分包</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7.1乙方不得将合同标的转包给他人履行。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7.2乙方不得将合同标的分包给他人履行。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7.3乙方如有转包或未经甲方同意的分包行为，甲方有权解除合同。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八、合同款项支付</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（1）合同签订后，10个工作日内，甲方向乙方支付合同总金额30%的预付款；</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（2）验收通过后，乙方向甲方开具发票，甲方自收到发票后30个工作日内支付合同总金额的70%。</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九、税费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9.1本合同执行中相关的一切税费均由乙方负担。</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十、项目验收</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10.1甲方依法组织履约验收工作。</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10.3对于实际使用人和甲方分离的项目，甲方邀请实际使用人参与验收。</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10.4如有必要，甲方邀请参加本项目的其他投标人或第三方专业机构及专家参与验收，相关意见将作为验收书的参考资料。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十一、违约责任</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10%</w:t>
      </w:r>
      <w:r>
        <w:rPr>
          <w:rFonts w:hint="eastAsia" w:ascii="宋体" w:hAnsi="宋体" w:eastAsia="宋体" w:cs="宋体"/>
          <w:color w:val="auto"/>
          <w:highlight w:val="none"/>
        </w:rPr>
        <w:t xml:space="preserve">的违约金，如造成甲方损失超过违约金的，超出部分由乙方继续承担赔偿责11.4 乙方所提供服务的标准不符合合同规定及招标文件规定标准的，</w:t>
      </w:r>
      <w:bookmarkStart w:id="51" w:name="OLE_LINK7"/>
      <w:r>
        <w:rPr>
          <w:rFonts w:hint="eastAsia" w:ascii="宋体" w:hAnsi="宋体" w:eastAsia="宋体" w:cs="宋体"/>
          <w:color w:val="auto"/>
          <w:highlight w:val="none"/>
        </w:rPr>
        <w:t xml:space="preserve">甲方有权拒绝接受服务，并可单方面解除合同</w:t>
      </w:r>
      <w:bookmarkEnd w:id="51"/>
      <w:r>
        <w:rPr>
          <w:rFonts w:hint="eastAsia" w:ascii="宋体" w:hAnsi="宋体" w:eastAsia="宋体" w:cs="宋体"/>
          <w:color w:val="auto"/>
          <w:highlight w:val="none"/>
        </w:rPr>
        <w:t xml:space="preserve">。</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十二、不可抗力事件处理</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12.2不可抗力事件发生后，应立即通知对方，并寄送有关权威机构出具的证明。</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12.3不可抗力事件延续120天以上，双方应通过友好协商，确定是否继续履行合同。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十三、解决争议的方法</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十四、合同生效及其它</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14.1合同经双方法定代表人或授权委托代表人签字并加盖单位公章后生效。</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14.2本合同未尽事宜，遵照中华人民共和国现行法律法规有关条文执行。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14.3本合同正本一式两份，具有同等法律效力，甲方、乙方各执一份。</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联系电话：</w:t>
            </w:r>
            <w:r/>
          </w:p>
        </w:tc>
      </w:tr>
    </w:tbl>
    <w:p>
      <w:pPr>
        <w:jc w:val="cente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righ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签订日期：  年  月 日</w:t>
      </w:r>
      <w:r>
        <w:rPr>
          <w:rFonts w:hint="eastAsia" w:ascii="宋体" w:hAnsi="宋体" w:eastAsia="宋体" w:cs="宋体"/>
          <w:color w:val="auto"/>
          <w:sz w:val="24"/>
          <w:highlight w:val="none"/>
        </w:rPr>
        <w:br w:type="page" w:clear="all"/>
      </w:r>
      <w:r/>
    </w:p>
    <w:p>
      <w:pPr>
        <w:pStyle w:val="794"/>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第四章 采购需求</w:t>
      </w:r>
      <w:r/>
    </w:p>
    <w:p>
      <w:pPr>
        <w:pStyle w:val="795"/>
        <w:spacing w:before="0" w:after="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一、项目属性:服务类项目</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3.采购标的清单</w:t>
      </w:r>
      <w:r/>
    </w:p>
    <w:tbl>
      <w:tblPr>
        <w:tblStyle w:val="827"/>
        <w:tblW w:w="87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3895"/>
        <w:gridCol w:w="3647"/>
      </w:tblGrid>
      <w:tr>
        <w:trPr>
          <w:jc w:val="center"/>
          <w:trHeight w:val="51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对应中小企业划分标准所属行业</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苏北人民医院智慧后勤安全与能源管理平台项目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软件和信息技术服务业</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二、技术要求</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技术要求是指对采购标的功能和质量要求，包括性能、材料、结构、外观、安全，或者服务内容和标准等。其中</w:t>
      </w:r>
      <w:r>
        <w:rPr>
          <w:rFonts w:hint="eastAsia" w:ascii="宋体" w:hAnsi="宋体" w:eastAsia="宋体" w:cs="宋体"/>
          <w:b/>
          <w:i/>
          <w:color w:val="auto"/>
          <w:highlight w:val="none"/>
          <w:u w:val="single"/>
        </w:rPr>
        <w:t xml:space="preserve">斜体且有下划线部分</w:t>
      </w:r>
      <w:r>
        <w:rPr>
          <w:rFonts w:hint="eastAsia" w:ascii="宋体" w:hAnsi="宋体" w:eastAsia="宋体" w:cs="宋体"/>
          <w:b/>
          <w:color w:val="auto"/>
          <w:highlight w:val="none"/>
        </w:rPr>
        <w:t xml:space="preserve">为实质性要求。</w:t>
      </w:r>
      <w:r/>
    </w:p>
    <w:p>
      <w:pPr>
        <w:pStyle w:val="795"/>
        <w:spacing w:before="0" w:after="0" w:line="360" w:lineRule="auto"/>
        <w:rPr>
          <w:rFonts w:hint="eastAsia" w:ascii="宋体" w:hAnsi="宋体" w:eastAsia="宋体" w:cs="宋体"/>
          <w:b/>
          <w:bCs/>
          <w:color w:val="auto"/>
          <w:sz w:val="21"/>
          <w:highlight w:val="none"/>
        </w:rPr>
      </w:pPr>
      <w:r/>
      <w:bookmarkStart w:id="52" w:name="_Toc101395701"/>
      <w:r>
        <w:rPr>
          <w:rFonts w:hint="eastAsia" w:ascii="宋体" w:hAnsi="宋体" w:eastAsia="宋体" w:cs="宋体"/>
          <w:b/>
          <w:bCs/>
          <w:color w:val="auto"/>
          <w:sz w:val="21"/>
          <w:highlight w:val="none"/>
        </w:rPr>
        <w:t xml:space="preserve">三、</w:t>
      </w:r>
      <w:bookmarkEnd w:id="52"/>
      <w:r>
        <w:rPr>
          <w:rFonts w:hint="eastAsia" w:ascii="宋体" w:hAnsi="宋体" w:eastAsia="宋体" w:cs="宋体"/>
          <w:b/>
          <w:bCs/>
          <w:color w:val="auto"/>
          <w:sz w:val="21"/>
          <w:highlight w:val="none"/>
        </w:rPr>
        <w:t xml:space="preserve">项目概述</w:t>
      </w:r>
      <w:r/>
    </w:p>
    <w:p>
      <w:pPr>
        <w:pStyle w:val="796"/>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（一）项目背景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苏北人民医院积极推进后勤信息化建设，已初步建成以“安全、高效”为核心的智慧后勤管理系统。现面向医院高质量发展要求，拟通过整合现有系统、拓展功能模块、扩大覆盖点位、打通数据孤岛、强化安全保障等措施，构建覆盖全业务、全流程的智慧后勤安全与能源管理平台，提升医院安全保障</w:t>
      </w:r>
      <w:r>
        <w:rPr>
          <w:rFonts w:hint="eastAsia" w:ascii="宋体" w:hAnsi="宋体" w:eastAsia="宋体" w:cs="宋体"/>
          <w:color w:val="auto"/>
          <w:highlight w:val="none"/>
          <w:lang w:val="en-US" w:eastAsia="zh-CN"/>
        </w:rPr>
        <w:t xml:space="preserve">水平和</w:t>
      </w:r>
      <w:r>
        <w:rPr>
          <w:rFonts w:hint="eastAsia" w:ascii="宋体" w:hAnsi="宋体" w:eastAsia="宋体" w:cs="宋体"/>
          <w:color w:val="auto"/>
          <w:highlight w:val="none"/>
        </w:rPr>
        <w:t xml:space="preserve">运营效率。</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（二）建设目标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实现后勤业务全流程数字化管理，包括设备管理、能耗管理、环境管理、停车管理、房屋管理、安全管理等，实现从计划、执行到监督、评估的全生命周期数字化管理，消除信息孤岛，确保数据互联互通，提升管理效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2.推动绿色低碳与节能减排。通过能耗监测和节能管理，实时监控医院能源使用情况，识别节能潜力，并实施节能措施。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3.强化安全保障与应急管理。完善包括设备安全、环境安全、应急事件处理等管理</w:t>
      </w:r>
      <w:r>
        <w:rPr>
          <w:rFonts w:hint="eastAsia" w:ascii="宋体" w:hAnsi="宋体" w:eastAsia="宋体" w:cs="宋体"/>
          <w:color w:val="auto"/>
          <w:highlight w:val="none"/>
          <w:lang w:val="en-US" w:eastAsia="zh-CN"/>
        </w:rPr>
        <w:t xml:space="preserve">措施</w:t>
      </w:r>
      <w:r>
        <w:rPr>
          <w:rFonts w:hint="eastAsia" w:ascii="宋体" w:hAnsi="宋体" w:eastAsia="宋体" w:cs="宋体"/>
          <w:color w:val="auto"/>
          <w:highlight w:val="none"/>
        </w:rPr>
        <w:t xml:space="preserve">，有效提升医院的安全管理水平和应急处理能力。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4.创建基于数据驱动的后勤智能化决策支持新机制。通过实时采集、深度挖掘和诊断分析实现数据支撑决策，为医院管理层提供客观准确的管理依据。</w:t>
      </w:r>
      <w:r/>
    </w:p>
    <w:p>
      <w:pPr>
        <w:pStyle w:val="1082"/>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优化后勤服务流程，构建高质量后勤管理服务模式，全面提升医护患满意度，满足医院智慧化建设和高质量发展要求。</w:t>
      </w:r>
      <w:r/>
    </w:p>
    <w:p>
      <w:pPr>
        <w:pStyle w:val="795"/>
        <w:rPr>
          <w:rFonts w:hint="eastAsia" w:ascii="宋体" w:hAnsi="宋体" w:eastAsia="宋体" w:cs="宋体"/>
          <w:color w:val="auto"/>
          <w:sz w:val="21"/>
          <w:highlight w:val="none"/>
        </w:rPr>
      </w:pPr>
      <w:r/>
      <w:bookmarkStart w:id="53" w:name="_Toc101395703"/>
      <w:r>
        <w:rPr>
          <w:rFonts w:hint="eastAsia" w:ascii="宋体" w:hAnsi="宋体" w:eastAsia="宋体" w:cs="宋体"/>
          <w:b/>
          <w:bCs/>
          <w:color w:val="auto"/>
          <w:sz w:val="21"/>
          <w:highlight w:val="none"/>
        </w:rPr>
        <w:t xml:space="preserve">四、</w:t>
      </w:r>
      <w:bookmarkEnd w:id="53"/>
      <w:r>
        <w:rPr>
          <w:rFonts w:hint="eastAsia" w:ascii="宋体" w:hAnsi="宋体" w:eastAsia="宋体" w:cs="宋体"/>
          <w:b/>
          <w:bCs/>
          <w:color w:val="auto"/>
          <w:sz w:val="21"/>
          <w:highlight w:val="none"/>
        </w:rPr>
        <w:t xml:space="preserve">项目建设清单</w:t>
      </w:r>
      <w:r/>
    </w:p>
    <w:tbl>
      <w:tblPr>
        <w:tblStyle w:val="827"/>
        <w:tblW w:w="8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078"/>
        <w:gridCol w:w="1560"/>
        <w:gridCol w:w="1842"/>
        <w:gridCol w:w="2263"/>
        <w:gridCol w:w="1180"/>
      </w:tblGrid>
      <w:tr>
        <w:trPr>
          <w:jc w:val="center"/>
          <w:trHeight w:val="397"/>
        </w:trPr>
        <w:tc>
          <w:tcPr>
            <w:tcW w:w="731"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gridSpan w:val="3"/>
            <w:tcW w:w="4480"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服务名称</w:t>
            </w:r>
            <w:r/>
          </w:p>
        </w:tc>
        <w:tc>
          <w:tcPr>
            <w:tcW w:w="2263"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服务要求</w:t>
            </w:r>
            <w:r/>
          </w:p>
        </w:tc>
        <w:tc>
          <w:tcPr>
            <w:tcW w:w="1180"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采购数量</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平台底座基础</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Align w:val="center"/>
            <w:vMerge w:val="restart"/>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078"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集中一体化安全监控系统</w:t>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UPS系统设备管理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配电间系统管理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集水井系统管理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热交换系统管理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生活热水系统管理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视频监控系统管理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净化空调系统管理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自控柜更新升级</w:t>
            </w:r>
            <w:r/>
          </w:p>
        </w:tc>
        <w:tc>
          <w:tcPr>
            <w:shd w:val="clear" w:color="auto" w:fill="auto"/>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shd w:val="clear" w:color="auto" w:fill="auto"/>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新风机组与送风系统管理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冷却塔系统管理</w:t>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平台功能服务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Merge w:val="continue"/>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78"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运行诊断与报警管理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能效与双碳管理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停车调度管理系统</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房屋管理系统</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大模型赋能运维管理</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gridSpan w:val="3"/>
            <w:tcW w:w="44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移动端应用</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详见“技术要求”</w:t>
            </w:r>
            <w:r/>
          </w:p>
        </w:tc>
        <w:tc>
          <w:tcPr>
            <w:tcW w:w="1180"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1套</w:t>
            </w:r>
            <w:r/>
          </w:p>
        </w:tc>
      </w:tr>
      <w:tr>
        <w:trPr>
          <w:jc w:val="center"/>
          <w:trHeight w:val="283"/>
        </w:trPr>
        <w:tc>
          <w:tcPr>
            <w:tcW w:w="731" w:type="dxa"/>
            <w:vAlign w:val="center"/>
            <w:textDirection w:val="lrTb"/>
            <w:noWrap w:val="false"/>
          </w:tcPr>
          <w:p>
            <w:pPr>
              <w:ind w:firstLine="210"/>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gridSpan w:val="3"/>
            <w:tcW w:w="448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项目集成服务</w:t>
            </w:r>
            <w:r/>
          </w:p>
        </w:tc>
        <w:tc>
          <w:tcPr>
            <w:tcW w:w="226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含系统部署、安装调测、平台集成服务</w:t>
            </w:r>
            <w:r/>
          </w:p>
        </w:tc>
        <w:tc>
          <w:tcPr>
            <w:tcW w:w="118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1项</w:t>
            </w:r>
            <w:r/>
          </w:p>
        </w:tc>
      </w:tr>
    </w:tbl>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795"/>
        <w:spacing w:before="0" w:after="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五、技术要求</w:t>
      </w:r>
      <w:r/>
    </w:p>
    <w:p>
      <w:pPr>
        <w:pStyle w:val="795"/>
        <w:ind w:firstLine="420"/>
        <w:spacing w:before="0"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1.总体要求</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b w:val="0"/>
          <w:bCs w:val="0"/>
          <w:i/>
          <w:iCs/>
          <w:color w:val="auto"/>
          <w:highlight w:val="none"/>
          <w:u w:val="single"/>
        </w:rPr>
        <w:t xml:space="preserve">（1）</w:t>
      </w:r>
      <w:r>
        <w:rPr>
          <w:rFonts w:hint="eastAsia" w:ascii="宋体" w:hAnsi="宋体" w:eastAsia="宋体" w:cs="宋体"/>
          <w:i/>
          <w:iCs/>
          <w:color w:val="auto"/>
          <w:highlight w:val="none"/>
          <w:u w:val="single"/>
        </w:rPr>
        <w:t xml:space="preserve">本次项目中集中一体化安全监控系统、运行诊断与报警管理系统、能效与双碳管理系统、移动端应用均需与医院智慧后勤运维平台实现无缝对接。功能须与现有系统功能及实现程度保持高度统一，包括UI整体风格、核心交互逻辑及操作流程等关键维度等。</w:t>
      </w:r>
      <w:r>
        <w:rPr>
          <w:rFonts w:hint="eastAsia" w:ascii="宋体" w:hAnsi="宋体" w:eastAsia="宋体" w:cs="宋体"/>
          <w:b/>
          <w:bCs/>
          <w:i/>
          <w:iCs/>
          <w:color w:val="auto"/>
          <w:highlight w:val="none"/>
          <w:u w:val="single"/>
        </w:rPr>
        <w:t xml:space="preserve">（提供承诺函加盖投标人公章，原件扫描上传，格式自拟）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注：医院现有智慧后勤运维平台，包含：安全监控功能模块（冷热源、变配电、给排水、电梯、视频）、能耗模块（覆盖到变电所一级）、报警管理功能模块、巡检巡查功能模块等功能，支持移动端服务。</w:t>
      </w:r>
      <w:r/>
    </w:p>
    <w:p>
      <w:pPr>
        <w:pStyle w:val="841"/>
        <w:ind w:left="0"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highlight w:val="none"/>
          <w:u w:val="single"/>
        </w:rPr>
        <w:t xml:space="preserve">（2）为确保本项目平台功能的实现和数据采集的点位覆盖，投标人需承诺在中标后提供详细设计方案给采购人确认，并根据现场实际情况做出适当调整。</w:t>
      </w:r>
      <w:r>
        <w:rPr>
          <w:rFonts w:hint="eastAsia" w:ascii="宋体" w:hAnsi="宋体" w:eastAsia="宋体" w:cs="宋体"/>
          <w:b/>
          <w:bCs/>
          <w:i/>
          <w:iCs/>
          <w:color w:val="auto"/>
          <w:highlight w:val="none"/>
          <w:u w:val="single"/>
        </w:rPr>
        <w:t xml:space="preserve">（提供承诺函加盖投标人公章，原件扫描上传，格式自拟）</w:t>
      </w:r>
      <w:r/>
    </w:p>
    <w:p>
      <w:pPr>
        <w:pStyle w:val="841"/>
        <w:ind w:left="0"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highlight w:val="none"/>
          <w:u w:val="single"/>
        </w:rPr>
        <w:t xml:space="preserve">（3）本项目需要集成并展示医院的智慧后勤运维平台、智慧消防系统、智慧水务系统、智慧照明等功能及数据，实现本期新建内容与医院既有运行系统内容的一体化全景融合展现。由此产生的技术开发与对接协调等费用包含在投标报价中，均由投标人自行承担。</w:t>
      </w:r>
      <w:r>
        <w:rPr>
          <w:rFonts w:hint="eastAsia" w:ascii="宋体" w:hAnsi="宋体" w:eastAsia="宋体" w:cs="宋体"/>
          <w:b/>
          <w:bCs/>
          <w:i/>
          <w:iCs/>
          <w:color w:val="auto"/>
          <w:highlight w:val="none"/>
          <w:u w:val="single"/>
        </w:rPr>
        <w:t xml:space="preserve">（提供承诺函加盖投标人公章，原件扫描上传，格式自拟）</w:t>
      </w:r>
      <w:r/>
    </w:p>
    <w:p>
      <w:pPr>
        <w:pStyle w:val="795"/>
        <w:ind w:firstLine="420"/>
        <w:spacing w:before="0"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2.平台设计要求</w:t>
      </w:r>
      <w:r/>
    </w:p>
    <w:p>
      <w:pPr>
        <w:pStyle w:val="795"/>
        <w:ind w:firstLine="420"/>
        <w:spacing w:before="0"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技术要求</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系统软件使用最新版本数据库，兼容主流数据库包括但不限于Oracle、MySQL、SQL Server及同等级别的国产数据库等。对于数据库复杂查询的响应时间能够达到秒级。</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系统支持B/S架构，支持目前常用的浏览器，如IE（IE8及以上版本）、谷歌及苹果Safari浏览器或主流的客户端操作系统等，支持院内常用版本，并具有良好的兼容性。</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系统提供7×24小时运行，在出现异常情况下提供后备解决方案；保障系统维护及时性，可支持数据容灾。</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具备较强的事务处理能力，能够保证系统业务数据的一致性。</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支持标准医疗协议HL7标准V2、V3版本,XML，JSON，视图多种数据类型；支持MQ、Webservice、HTTPS多种网络协议、视图等方式。</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平台化设计，具有内置流程配置功能，业务流程可灵活配置。系统设计符合HL7、CDA、DICOM3.0等数据标准。</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可提供定制化流程，满足医院的实际工作需要。</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具备良好的扩展性、开放性，支持根据医院业务进行功能拓展，包括但不限于以下对接需求：</w:t>
      </w:r>
      <w:r/>
    </w:p>
    <w:p>
      <w:pPr>
        <w:numPr>
          <w:ilvl w:val="0"/>
          <w:numId w:val="6"/>
        </w:numPr>
        <w:ind w:left="0"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支持与医院信息集成平台进行对接和数据交互，实现人员、部门等基础数据字典的同步更新。</w:t>
      </w:r>
      <w:r/>
    </w:p>
    <w:p>
      <w:pPr>
        <w:numPr>
          <w:ilvl w:val="0"/>
          <w:numId w:val="6"/>
        </w:numPr>
        <w:ind w:left="0"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支持与第三方平台对接，提供数据。</w:t>
      </w:r>
      <w:r/>
    </w:p>
    <w:p>
      <w:pPr>
        <w:numPr>
          <w:ilvl w:val="0"/>
          <w:numId w:val="6"/>
        </w:numPr>
        <w:ind w:left="0"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支持与AI平台对接，实现人工智能场景的应用和展现。</w:t>
      </w:r>
      <w:r/>
    </w:p>
    <w:p>
      <w:pPr>
        <w:numPr>
          <w:ilvl w:val="0"/>
          <w:numId w:val="6"/>
        </w:numPr>
        <w:ind w:left="0"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支持对接短信平台、钉钉平台、微信小程序，发送消息推送。</w:t>
      </w:r>
      <w:r/>
    </w:p>
    <w:p>
      <w:pPr>
        <w:numPr>
          <w:ilvl w:val="0"/>
          <w:numId w:val="6"/>
        </w:numPr>
        <w:ind w:left="0" w:firstLine="420"/>
        <w:spacing w:line="360" w:lineRule="auto"/>
        <w:rPr>
          <w:rFonts w:hint="eastAsia" w:ascii="宋体" w:hAnsi="宋体" w:eastAsia="宋体" w:cs="宋体"/>
          <w:color w:val="auto"/>
          <w:highlight w:val="none"/>
        </w:rPr>
      </w:pPr>
      <w:r>
        <w:rPr>
          <w:rFonts w:hint="eastAsia" w:ascii="宋体" w:hAnsi="宋体" w:eastAsia="宋体" w:cs="宋体"/>
          <w:iCs/>
          <w:color w:val="auto"/>
          <w:highlight w:val="none"/>
        </w:rPr>
        <w:t xml:space="preserve">支持与第三方设备对接。</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具有良好的用户交互，操作界面友好、易于使用；提供完善的日志管理，方便问题排查。</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支持客户端程序启动后自检和自动更新功能，保证客户端程序的一致性。</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平台需采用分层设计原则，各层级之间数据业务互通，底层为上层提供数据及业务支撑，支持多院区管理模式。</w:t>
      </w:r>
      <w:r/>
    </w:p>
    <w:p>
      <w:pPr>
        <w:pStyle w:val="809"/>
        <w:numPr>
          <w:ilvl w:val="0"/>
          <w:numId w:val="5"/>
        </w:numPr>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支持所有操作的全程日志记录与追溯查询。</w:t>
      </w:r>
      <w:r/>
    </w:p>
    <w:p>
      <w:pPr>
        <w:pStyle w:val="795"/>
        <w:ind w:firstLine="420"/>
        <w:spacing w:before="0"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 数据安全要求：</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系统具有安全控制和物理保护措施，数据库与公共网络物理隔离。软件系统安全可靠，能够有效防止来自网络以及内部的攻击，在网络拓扑层和应用层保证各个关键业务独立，架构中各个角色只通过接口通信，保证数据安全性与模块独立性。</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支持用户操作权限分级管理，能够根据不同角色对用户进行权限配置和管理，保证系统数据安全。</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支持数据加密管理，包括数据存储加密、数据传输加密等，保证用户信息和系统业务数据的安全。</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符合国家相关法律法规，包括但不限于《网络安全法》、《数据安全法》、《个人信息保护法》、国家网络安全等级保护建设要求，有效地防止系统数据的遗失和破坏。</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具备数据备份与恢复功能，提供数据库在线备份和故障恢复工具，保障数据库系统完全故障后能迅速恢复到故障前状态。</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系统上线前需提供江苏卫健委2022年发布的《江苏省卫生健康信息化项目建设网络安全管理规定（试行）》中的《网络安全检测评估情况表》。</w:t>
      </w:r>
      <w:r/>
    </w:p>
    <w:p>
      <w:pPr>
        <w:ind w:firstLine="420"/>
        <w:spacing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不得以任何授权码、加密狗等方式限制采购人使用该项目所包含的软硬件产品。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平台兼容性要求：在WEB端，系统需支持主流浏览器 Chrome 、FireFox、Microsoft Edge 、 360 极速等浏览器；在移动端，平台需支持移动操作系统 Android、IOS、鸿蒙等主流版本。</w:t>
      </w:r>
      <w:r/>
    </w:p>
    <w:p>
      <w:pPr>
        <w:pStyle w:val="795"/>
        <w:ind w:firstLine="420"/>
        <w:spacing w:before="0"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3.平台功能要求</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平台底座功能要求</w:t>
      </w:r>
      <w:r/>
    </w:p>
    <w:p>
      <w:pPr>
        <w:pStyle w:val="798"/>
        <w:ind w:firstLine="422"/>
        <w:spacing w:before="0" w:after="0" w:line="360" w:lineRule="auto"/>
        <w:tabs>
          <w:tab w:val="left" w:pos="780" w:leader="none"/>
        </w:tabs>
        <w:rPr>
          <w:rFonts w:hint="eastAsia" w:ascii="宋体" w:hAnsi="宋体" w:eastAsia="宋体" w:cs="宋体"/>
          <w:color w:val="auto"/>
          <w:sz w:val="21"/>
          <w:szCs w:val="21"/>
          <w:highlight w:val="none"/>
        </w:rPr>
      </w:pPr>
      <w:r/>
      <w:bookmarkStart w:id="54" w:name="_Toc27561"/>
      <w:r/>
      <w:bookmarkStart w:id="55" w:name="_Toc15338"/>
      <w:r>
        <w:rPr>
          <w:rFonts w:hint="eastAsia" w:ascii="宋体" w:hAnsi="宋体" w:eastAsia="宋体" w:cs="宋体"/>
          <w:color w:val="auto"/>
          <w:sz w:val="21"/>
          <w:szCs w:val="21"/>
          <w:highlight w:val="none"/>
        </w:rPr>
        <w:t xml:space="preserve">3.1.1记录和分析</w:t>
      </w:r>
      <w:bookmarkEnd w:id="54"/>
      <w:r/>
      <w:bookmarkEnd w:id="55"/>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平台应提供日志管理功能，提供自动记录用户操作及其它日志功能，主要包括：用户操作日志、软件重要操作日志、记录系统的指令下发等。</w:t>
      </w:r>
      <w:r/>
    </w:p>
    <w:p>
      <w:pPr>
        <w:pStyle w:val="798"/>
        <w:ind w:firstLine="422"/>
        <w:spacing w:before="0" w:after="0" w:line="360" w:lineRule="auto"/>
        <w:tabs>
          <w:tab w:val="left" w:pos="780" w:leader="none"/>
        </w:tabs>
        <w:rPr>
          <w:rFonts w:hint="eastAsia" w:ascii="宋体" w:hAnsi="宋体" w:eastAsia="宋体" w:cs="宋体"/>
          <w:color w:val="auto"/>
          <w:sz w:val="21"/>
          <w:szCs w:val="21"/>
          <w:highlight w:val="none"/>
        </w:rPr>
      </w:pPr>
      <w:r/>
      <w:bookmarkStart w:id="56" w:name="_Toc12244"/>
      <w:r/>
      <w:bookmarkStart w:id="57" w:name="_Toc13226"/>
      <w:r>
        <w:rPr>
          <w:rFonts w:hint="eastAsia" w:ascii="宋体" w:hAnsi="宋体" w:eastAsia="宋体" w:cs="宋体"/>
          <w:color w:val="auto"/>
          <w:sz w:val="21"/>
          <w:szCs w:val="21"/>
          <w:highlight w:val="none"/>
        </w:rPr>
        <w:t xml:space="preserve">3.1.2用户与权限管理功能</w:t>
      </w:r>
      <w:bookmarkEnd w:id="56"/>
      <w:r/>
      <w:bookmarkEnd w:id="57"/>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平台应提供登录验证（用户名和密码通过验证）、用户及权限定义和修改(不同角色可查看的功能模块定义）等功能。</w:t>
      </w:r>
      <w:bookmarkStart w:id="58" w:name="_Toc25099"/>
      <w:r/>
      <w:bookmarkStart w:id="59" w:name="_Toc6316"/>
      <w:r/>
      <w:bookmarkStart w:id="60" w:name="_Toc6596"/>
      <w:r/>
      <w:r/>
    </w:p>
    <w:p>
      <w:pPr>
        <w:pStyle w:val="798"/>
        <w:ind w:firstLine="422"/>
        <w:spacing w:before="0" w:after="0" w:line="360" w:lineRule="auto"/>
        <w:tabs>
          <w:tab w:val="left" w:pos="7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3.1.3备份与恢复</w:t>
      </w:r>
      <w:bookmarkEnd w:id="58"/>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平台应具备自动对系统数据库进行归档或备份功能。当发生系统崩溃时，可以将系统迅速恢复。</w:t>
      </w:r>
      <w:r/>
    </w:p>
    <w:p>
      <w:pPr>
        <w:pStyle w:val="798"/>
        <w:ind w:firstLine="422"/>
        <w:spacing w:before="0" w:after="0" w:line="360" w:lineRule="auto"/>
        <w:tabs>
          <w:tab w:val="left" w:pos="7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3.1.4报表功能</w:t>
      </w:r>
      <w:bookmarkEnd w:id="59"/>
      <w:r/>
      <w:bookmarkEnd w:id="60"/>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平台应提供报表功能，以报表的形式输出各类运行管理数据。报表页面支持运行报表查询和运行报表导出的操作。</w:t>
      </w:r>
      <w:r/>
    </w:p>
    <w:p>
      <w:pPr>
        <w:pStyle w:val="798"/>
        <w:ind w:firstLine="422"/>
        <w:spacing w:before="0" w:after="0" w:line="360" w:lineRule="auto"/>
        <w:tabs>
          <w:tab w:val="left" w:pos="7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3.1.5决策指挥看板功能</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平台应提供基于管理需要的运营与运行关键指标、重点系统功能实时动态数据与评价指标等内容，支持看板内容与展现形式的自定义及对应系统和数据下载。</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集中一体化安全监控系统建设要求</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集中一体化安全监控系统建设包含两部分，一部分为基于原智慧后勤运维平台安全监管功能扩容（即增加同类型监测覆盖点位）；一部分为原智慧后勤运维平台无此安全监管功能，为新增建设功能模块。</w:t>
      </w:r>
      <w:r/>
    </w:p>
    <w:p>
      <w:pPr>
        <w:pStyle w:val="796"/>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3.2.1 基于智慧后勤运维平台建设范围扩容项：</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3.2.2.1 UPS系统设备管理功能</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目前医院智慧后勤运维平台已实现对 CCU、ICU、出入院收费大厅、检验科、NICU等关键区域共计 20 台 UPS 设备的远程运行监控及运维管理。系统功能需满足：</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（1）系统功能要求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以图形化形式展示UPS设备的状态，提供实时的运行参数、历史运行记录的查询以及设备的故障信息，主要功能包括：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1）实时监测：</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监测UPS三相输入电压、三相输入电流、输入功率、输入频率，三相输出电压、三相输出电流，输出功率，输出频率，电量，旁路电压，旁路电流参数，逆变器、整流器状态及电池充放电状态。</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具备UPS全生命周期档案（包含放电记录）功能。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2）故障告警：</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过流、过压、过负荷、温度超限，电池使用时间超限时，平台即时显示系统警报及故障原因，触发报警处理联动流程。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本次项目建设需要扩容手术室、司法鉴定所、NICU等区域18台UPS设备的远程运行监控及运维管理。安装UPS监测数据采集器，采集UPS的工作参数，上传至系统。与采集服务配套的采集器需满足以下要求：</w:t>
      </w:r>
      <w:r/>
    </w:p>
    <w:tbl>
      <w:tblPr>
        <w:tblStyle w:val="8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60"/>
        <w:gridCol w:w="1716"/>
        <w:gridCol w:w="4702"/>
        <w:gridCol w:w="981"/>
        <w:gridCol w:w="1106"/>
      </w:tblGrid>
      <w:tr>
        <w:trPr>
          <w:trHeight w:val="336"/>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64"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418"/>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UPS通讯板卡</w:t>
            </w:r>
            <w:r/>
          </w:p>
        </w:tc>
        <w:tc>
          <w:tcPr>
            <w:tcBorders>
              <w:top w:val="single" w:color="000000" w:sz="4" w:space="0"/>
              <w:left w:val="single" w:color="000000" w:sz="4" w:space="0"/>
              <w:bottom w:val="single" w:color="000000" w:sz="4" w:space="0"/>
              <w:right w:val="single" w:color="000000" w:sz="4" w:space="0"/>
            </w:tcBorders>
            <w:tcW w:w="25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和UPS主机品牌保持一致。（当前品牌为：艾默生、山特、施耐德、青岛创统、埃阔电气）</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块</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r>
      <w:tr>
        <w:trPr>
          <w:trHeight w:val="500"/>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数据采集箱</w:t>
            </w:r>
            <w:r/>
          </w:p>
        </w:tc>
        <w:tc>
          <w:tcPr>
            <w:tcBorders>
              <w:top w:val="single" w:color="000000" w:sz="4" w:space="0"/>
              <w:left w:val="single" w:color="000000" w:sz="4" w:space="0"/>
              <w:bottom w:val="single" w:color="000000" w:sz="4" w:space="0"/>
              <w:right w:val="single" w:color="000000" w:sz="4" w:space="0"/>
            </w:tcBorders>
            <w:tcW w:w="25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≥500*400*200，含空开、模数化插座，导轨，线槽等。</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trHeight w:val="1125"/>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数据采集器</w:t>
            </w:r>
            <w:r/>
          </w:p>
        </w:tc>
        <w:tc>
          <w:tcPr>
            <w:tcBorders>
              <w:top w:val="single" w:color="000000" w:sz="4" w:space="0"/>
              <w:left w:val="single" w:color="000000" w:sz="4" w:space="0"/>
              <w:bottom w:val="single" w:color="000000" w:sz="4" w:space="0"/>
              <w:right w:val="single" w:color="000000" w:sz="4" w:space="0"/>
            </w:tcBorders>
            <w:tcW w:w="25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网口数量：≥1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协议模式：支持 TCP Server、TCP Client、UDP 模式</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串口类型：RS485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端口数量：≥2</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级联/透传：双向透传</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w:t>
      </w:r>
      <w:r>
        <w:rPr>
          <w:rFonts w:hint="eastAsia" w:ascii="宋体" w:hAnsi="宋体" w:eastAsia="宋体" w:cs="宋体"/>
          <w:strike/>
          <w:color w:val="auto"/>
          <w:highlight w:val="none"/>
        </w:rPr>
        <w:t xml:space="preserve">需</w:t>
      </w:r>
      <w:r>
        <w:rPr>
          <w:rFonts w:hint="eastAsia" w:ascii="宋体" w:hAnsi="宋体" w:eastAsia="宋体" w:cs="宋体"/>
          <w:color w:val="auto"/>
          <w:highlight w:val="none"/>
        </w:rPr>
        <w:t xml:space="preserve">自行增加的设备数量，投标人须在投标文件中体现。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3.2.1.2配电间系统管理功能</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目前医院智慧后勤运维平台已对医学研究中心、公寓楼、1号楼、5号楼、8号楼配电间共14块总表的远程数据采集与监测。系统功能需满足：</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（1）系统功能要求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支持楼层配电间设备运行状态的实时可视化、历史数据存储及异常预警功能；支持实时监测楼层配电运行情况，实现医院楼层配电系统的动态管理。</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1）实时监测：</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监测配电间系统的运行状态和参数（电流、电压、有功功率、功率因数、电量、电量、开关状态等），支持历史运行数据查询；</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2）故障报警：</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过电压、过电流、过负荷时，平台即时显示系统警报及故障原因，触发报警处理联动流程。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建设需要扩容1号楼、5号楼、8号楼、医学研究中心、公寓楼等5个区域配电间74块分电表的远程数据采集与监测。安装电表监测数据采集器，采集电表的工作参数，采集数据上传至系统。与采集服务配套的采集器需满足以下要求：</w:t>
      </w:r>
      <w:r/>
    </w:p>
    <w:tbl>
      <w:tblPr>
        <w:tblStyle w:val="804"/>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21"/>
        <w:gridCol w:w="1865"/>
        <w:gridCol w:w="4577"/>
        <w:gridCol w:w="938"/>
        <w:gridCol w:w="1062"/>
      </w:tblGrid>
      <w:tr>
        <w:trPr>
          <w:trHeight w:val="346"/>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418"/>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数据采集网关</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处理器：主频≥1GHZ</w:t>
            </w:r>
            <w:r>
              <w:rPr>
                <w:rFonts w:hint="eastAsia" w:ascii="宋体" w:hAnsi="宋体" w:eastAsia="宋体" w:cs="宋体"/>
                <w:color w:val="auto"/>
                <w:highlight w:val="none"/>
              </w:rPr>
              <w:br/>
            </w:r>
            <w:r>
              <w:rPr>
                <w:rFonts w:hint="eastAsia" w:ascii="宋体" w:hAnsi="宋体" w:eastAsia="宋体" w:cs="宋体"/>
                <w:color w:val="auto"/>
                <w:highlight w:val="none"/>
              </w:rPr>
              <w:t xml:space="preserve">内存：≥512M</w:t>
            </w:r>
            <w:r>
              <w:rPr>
                <w:rFonts w:hint="eastAsia" w:ascii="宋体" w:hAnsi="宋体" w:eastAsia="宋体" w:cs="宋体"/>
                <w:color w:val="auto"/>
                <w:highlight w:val="none"/>
              </w:rPr>
              <w:br/>
            </w:r>
            <w:r>
              <w:rPr>
                <w:rFonts w:hint="eastAsia" w:ascii="宋体" w:hAnsi="宋体" w:eastAsia="宋体" w:cs="宋体"/>
                <w:color w:val="auto"/>
                <w:highlight w:val="none"/>
              </w:rPr>
              <w:t xml:space="preserve">Flash：≥4G</w:t>
            </w:r>
            <w:r>
              <w:rPr>
                <w:rFonts w:hint="eastAsia" w:ascii="宋体" w:hAnsi="宋体" w:eastAsia="宋体" w:cs="宋体"/>
                <w:color w:val="auto"/>
                <w:highlight w:val="none"/>
              </w:rPr>
              <w:br/>
            </w:r>
            <w:r>
              <w:rPr>
                <w:rFonts w:hint="eastAsia" w:ascii="宋体" w:hAnsi="宋体" w:eastAsia="宋体" w:cs="宋体"/>
                <w:color w:val="auto"/>
                <w:highlight w:val="none"/>
              </w:rPr>
              <w:t xml:space="preserve">系统：LINUX系统</w:t>
            </w:r>
            <w:r>
              <w:rPr>
                <w:rFonts w:hint="eastAsia" w:ascii="宋体" w:hAnsi="宋体" w:eastAsia="宋体" w:cs="宋体"/>
                <w:color w:val="auto"/>
                <w:highlight w:val="none"/>
              </w:rPr>
              <w:br/>
            </w:r>
            <w:r>
              <w:rPr>
                <w:rFonts w:hint="eastAsia" w:ascii="宋体" w:hAnsi="宋体" w:eastAsia="宋体" w:cs="宋体"/>
                <w:color w:val="auto"/>
                <w:highlight w:val="none"/>
              </w:rPr>
              <w:t xml:space="preserve">接口：≥2个网口,≥4个RS485接口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网络：≥2个高性能100M/1000M自适应工业网口,支持AUTO MDI/MDIX</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数据采集箱</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≥500*400*200，含空开、模数化插座，导轨，线槽等。</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r>
      <w:tr>
        <w:trPr>
          <w:trHeight w:val="1125"/>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端口数量：≥5电口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网关类型：非网管</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上行端口速率：≥千兆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下行端口速率：≥千兆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供电方式：非POE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w:t>
      </w:r>
      <w:r>
        <w:rPr>
          <w:rFonts w:hint="eastAsia" w:ascii="宋体" w:hAnsi="宋体" w:eastAsia="宋体" w:cs="宋体"/>
          <w:strike/>
          <w:color w:val="auto"/>
          <w:highlight w:val="none"/>
        </w:rPr>
        <w:t xml:space="preserve">需</w:t>
      </w:r>
      <w:r>
        <w:rPr>
          <w:rFonts w:hint="eastAsia" w:ascii="宋体" w:hAnsi="宋体" w:eastAsia="宋体" w:cs="宋体"/>
          <w:color w:val="auto"/>
          <w:highlight w:val="none"/>
        </w:rPr>
        <w:t xml:space="preserve">自行增加设备数量，投标人须在投标文件中体现。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3.2.1.3集水井系统管理功能</w:t>
      </w:r>
      <w:r/>
    </w:p>
    <w:p>
      <w:pPr>
        <w:pStyle w:val="809"/>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目前医院智慧后勤运维平台已实现对1号楼、2号楼、3号楼、9号楼、医技楼、门诊楼共25个集水井实现远程监控与运维管理。系统功能需满足：</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实时获取水泵的运行状态、故障状态、手自动状态、浮球阀状态，实现集水井液位和污水泵的运行状态的实时可视化、历史数据存储及异常预警功能，完成从本地化控制到远程智能化管理的升级；支持以图形化形式监测集水井及设备的运行状态，为用户提供实时的运行参数、历史运行记录的查询以及设备的故障信息，主要功能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1）监测内容</w:t>
      </w:r>
      <w:r/>
    </w:p>
    <w:p>
      <w:pPr>
        <w:numPr>
          <w:ilvl w:val="0"/>
          <w:numId w:val="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以图形化形式实时监测并记录污水泵等设备的运行状态，支持历史运行记录查询；</w:t>
      </w:r>
      <w:r/>
    </w:p>
    <w:p>
      <w:pPr>
        <w:numPr>
          <w:ilvl w:val="0"/>
          <w:numId w:val="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以图形化形式实时监测并记录集水坑液位等运行参数，支持历史运行数据查询；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2）故障报警</w:t>
      </w:r>
      <w:r/>
    </w:p>
    <w:p>
      <w:pPr>
        <w:numPr>
          <w:ilvl w:val="0"/>
          <w:numId w:val="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检测集水井设备的故障情况，包括污水泵等设备的故障，并进行相应的告警推送；</w:t>
      </w:r>
      <w:r/>
    </w:p>
    <w:p>
      <w:pPr>
        <w:numPr>
          <w:ilvl w:val="0"/>
          <w:numId w:val="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当水位超过警戒值或其他关键参数异常时，发出相应的告警信息。</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建设需要扩容1号楼、2号楼、3号楼、门诊楼、6号楼、7号楼、9号楼、10号楼等8个区域31个集水井中水泵的远程数据采集与监测。在指定区域安装监测数据采集器，采集集水井中水泵的工作参数，采集数据上传至系统。与采集服务配套的采集器需满足以下要求：</w:t>
      </w:r>
      <w:r/>
    </w:p>
    <w:tbl>
      <w:tblPr>
        <w:tblStyle w:val="804"/>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1013"/>
        <w:gridCol w:w="1879"/>
        <w:gridCol w:w="4305"/>
        <w:gridCol w:w="894"/>
        <w:gridCol w:w="1072"/>
      </w:tblGrid>
      <w:tr>
        <w:trPr>
          <w:trHeight w:val="323"/>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348"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5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监控箱</w:t>
            </w:r>
            <w:r/>
          </w:p>
        </w:tc>
        <w:tc>
          <w:tcPr>
            <w:tcBorders>
              <w:top w:val="single" w:color="000000" w:sz="4" w:space="0"/>
              <w:left w:val="single" w:color="000000" w:sz="4" w:space="0"/>
              <w:bottom w:val="single" w:color="000000" w:sz="4" w:space="0"/>
              <w:right w:val="single" w:color="000000" w:sz="4" w:space="0"/>
            </w:tcBorders>
            <w:tcW w:w="2348"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≥400*300*250，含空开、模数化插座，导轨，线槽等。</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p>
        </w:tc>
      </w:tr>
      <w:tr>
        <w:trPr>
          <w:trHeight w:val="225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监测模块</w:t>
            </w:r>
            <w:r/>
          </w:p>
        </w:tc>
        <w:tc>
          <w:tcPr>
            <w:tcBorders>
              <w:top w:val="single" w:color="000000" w:sz="4" w:space="0"/>
              <w:left w:val="single" w:color="000000" w:sz="4" w:space="0"/>
              <w:bottom w:val="single" w:color="000000" w:sz="4" w:space="0"/>
              <w:right w:val="single" w:color="000000" w:sz="4" w:space="0"/>
            </w:tcBorders>
            <w:tcW w:w="2348"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DI 路数：≥8</w:t>
            </w:r>
            <w:r>
              <w:rPr>
                <w:rFonts w:hint="eastAsia" w:ascii="宋体" w:hAnsi="宋体" w:eastAsia="宋体" w:cs="宋体"/>
                <w:color w:val="auto"/>
                <w:highlight w:val="none"/>
              </w:rPr>
              <w:br/>
            </w:r>
            <w:r>
              <w:rPr>
                <w:rFonts w:hint="eastAsia" w:ascii="宋体" w:hAnsi="宋体" w:eastAsia="宋体" w:cs="宋体"/>
                <w:color w:val="auto"/>
                <w:highlight w:val="none"/>
              </w:rPr>
              <w:t xml:space="preserve">接口类型：干接点</w:t>
            </w:r>
            <w:r>
              <w:rPr>
                <w:rFonts w:hint="eastAsia" w:ascii="宋体" w:hAnsi="宋体" w:eastAsia="宋体" w:cs="宋体"/>
                <w:color w:val="auto"/>
                <w:highlight w:val="none"/>
              </w:rPr>
              <w:br/>
            </w:r>
            <w:r>
              <w:rPr>
                <w:rFonts w:hint="eastAsia" w:ascii="宋体" w:hAnsi="宋体" w:eastAsia="宋体" w:cs="宋体"/>
                <w:color w:val="auto"/>
                <w:highlight w:val="none"/>
              </w:rPr>
              <w:t xml:space="preserve">DO 路数：≥2</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通信协议：标准 Modbus TCP 协议</w:t>
            </w:r>
            <w:r>
              <w:rPr>
                <w:rFonts w:hint="eastAsia" w:ascii="宋体" w:hAnsi="宋体" w:eastAsia="宋体" w:cs="宋体"/>
                <w:color w:val="auto"/>
                <w:highlight w:val="none"/>
              </w:rPr>
              <w:br/>
            </w:r>
            <w:r>
              <w:rPr>
                <w:rFonts w:hint="eastAsia" w:ascii="宋体" w:hAnsi="宋体" w:eastAsia="宋体" w:cs="宋体"/>
                <w:color w:val="auto"/>
                <w:highlight w:val="none"/>
              </w:rPr>
              <w:t xml:space="preserve">协议模式：支持 TCP Server/Client 模式</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串口类型：RS485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端口数量： ≥1</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级联/透传： RS485 级联</w:t>
            </w:r>
            <w:r>
              <w:rPr>
                <w:rFonts w:hint="eastAsia" w:ascii="宋体" w:hAnsi="宋体" w:eastAsia="宋体" w:cs="宋体"/>
                <w:color w:val="auto"/>
                <w:highlight w:val="none"/>
              </w:rPr>
              <w:br/>
            </w:r>
            <w:r>
              <w:rPr>
                <w:rFonts w:hint="eastAsia" w:ascii="宋体" w:hAnsi="宋体" w:eastAsia="宋体" w:cs="宋体"/>
                <w:color w:val="auto"/>
                <w:highlight w:val="none"/>
              </w:rPr>
              <w:t xml:space="preserve">输入电压：9~27VDC</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p>
        </w:tc>
      </w:tr>
      <w:tr>
        <w:trPr>
          <w:trHeight w:val="1125"/>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数据采集器</w:t>
            </w:r>
            <w:r/>
          </w:p>
        </w:tc>
        <w:tc>
          <w:tcPr>
            <w:tcBorders>
              <w:top w:val="single" w:color="000000" w:sz="4" w:space="0"/>
              <w:left w:val="single" w:color="000000" w:sz="4" w:space="0"/>
              <w:bottom w:val="single" w:color="000000" w:sz="4" w:space="0"/>
              <w:right w:val="single" w:color="000000" w:sz="4" w:space="0"/>
            </w:tcBorders>
            <w:tcW w:w="2348"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网口数量：≥1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协议模式：支持 TCP Server、TCP Client、UDP 模式</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串口类型：RS485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端口数量：≥4</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级联/透传：双向透传</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p>
        </w:tc>
      </w:tr>
      <w:tr>
        <w:trPr>
          <w:trHeight w:val="428"/>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浮球阀</w:t>
            </w:r>
            <w:r/>
          </w:p>
        </w:tc>
        <w:tc>
          <w:tcPr>
            <w:tcBorders>
              <w:top w:val="single" w:color="000000" w:sz="4" w:space="0"/>
              <w:left w:val="single" w:color="000000" w:sz="4" w:space="0"/>
              <w:bottom w:val="single" w:color="000000" w:sz="4" w:space="0"/>
              <w:right w:val="single" w:color="000000" w:sz="4" w:space="0"/>
            </w:tcBorders>
            <w:tcW w:w="2348"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≥3米</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3.2.1.4热交换系统管理功能</w:t>
      </w:r>
      <w:r/>
    </w:p>
    <w:p>
      <w:pPr>
        <w:pStyle w:val="809"/>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目前医院智慧后勤运维平台已实现1号楼、2号楼、5号楼、医技楼、医技楼手术室、8号楼、9号楼的热交换系统远程运行监测与运维管理。系统功能需满足：</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平台支持接入热交换系统现场运行数据，以图形化形式监测热交换系统及设备的运行状态，为用户提供实时的运行参数、历史运行记录的查询以及设备的故障信息，主要功能包括：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1）监测内容</w:t>
      </w:r>
      <w:r/>
    </w:p>
    <w:p>
      <w:pPr>
        <w:numPr>
          <w:ilvl w:val="0"/>
          <w:numId w:val="9"/>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实时监测设备的运行状态，支持历史运行记录查询；</w:t>
      </w:r>
      <w:r/>
    </w:p>
    <w:p>
      <w:pPr>
        <w:numPr>
          <w:ilvl w:val="0"/>
          <w:numId w:val="9"/>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实时监测管路温度，供、回、补水压力等运行参数，支持历史运行记录查询；</w:t>
      </w:r>
      <w:r/>
    </w:p>
    <w:p>
      <w:pPr>
        <w:numPr>
          <w:ilvl w:val="0"/>
          <w:numId w:val="9"/>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实时监测蒸汽压力的数值，蒸汽电磁阀开关状态，蒸汽调节阀状态，支持历史运行记录查询。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2）故障报警</w:t>
      </w:r>
      <w:r/>
    </w:p>
    <w:p>
      <w:pPr>
        <w:numPr>
          <w:ilvl w:val="0"/>
          <w:numId w:val="9"/>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当设备运行故障及运行参数超警戒时（包括但不限于补水压力、回水压力、当前热水温度、当前供回水压差、蒸汽压力值、循环水泵、补水泵），平台即时显示系统警报及故障原因，触发报警处理联动流程。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本次项目需要扩容第一手术部区域热交换系统的远程数据采集与监测。安装监测数据采集器，采集热交换系统的工作参数，采集数据上传至系统。与采集服务配套的采集器需满足以下要求：</w:t>
      </w:r>
      <w:r/>
    </w:p>
    <w:tbl>
      <w:tblPr>
        <w:tblStyle w:val="804"/>
        <w:tblW w:w="5087" w:type="pct"/>
        <w:tblInd w:w="0" w:type="dxa"/>
        <w:tblLayout w:type="autofit"/>
        <w:tblCellMar>
          <w:left w:w="108" w:type="dxa"/>
          <w:top w:w="0" w:type="dxa"/>
          <w:right w:w="108" w:type="dxa"/>
          <w:bottom w:w="0" w:type="dxa"/>
        </w:tblCellMar>
        <w:tblLook w:val="04A0" w:firstRow="1" w:lastRow="0" w:firstColumn="1" w:lastColumn="0" w:noHBand="0" w:noVBand="1"/>
      </w:tblPr>
      <w:tblGrid>
        <w:gridCol w:w="734"/>
        <w:gridCol w:w="1899"/>
        <w:gridCol w:w="4661"/>
        <w:gridCol w:w="954"/>
        <w:gridCol w:w="1081"/>
      </w:tblGrid>
      <w:tr>
        <w:trPr>
          <w:trHeight w:val="38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469"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117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数据采集器</w:t>
            </w:r>
            <w:r/>
          </w:p>
        </w:tc>
        <w:tc>
          <w:tcPr>
            <w:tcBorders>
              <w:top w:val="single" w:color="000000" w:sz="4" w:space="0"/>
              <w:left w:val="single" w:color="000000" w:sz="4" w:space="0"/>
              <w:bottom w:val="single" w:color="000000" w:sz="4" w:space="0"/>
              <w:right w:val="single" w:color="000000" w:sz="4" w:space="0"/>
            </w:tcBorders>
            <w:tcW w:w="5469"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网口数量：≥1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协议模式：支持 TCP Server、TCP Client、UDP 模式</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串口类型：RS485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端口数量：≥2</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级联/透传：双向透传</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499"/>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数据采集箱</w:t>
            </w:r>
            <w:r/>
          </w:p>
        </w:tc>
        <w:tc>
          <w:tcPr>
            <w:tcBorders>
              <w:top w:val="single" w:color="000000" w:sz="4" w:space="0"/>
              <w:left w:val="single" w:color="000000" w:sz="4" w:space="0"/>
              <w:bottom w:val="single" w:color="000000" w:sz="4" w:space="0"/>
              <w:right w:val="single" w:color="000000" w:sz="4" w:space="0"/>
            </w:tcBorders>
            <w:tcW w:w="5469"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≥500*400*200，含空开、模数化插座，导轨，线槽等。</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3.2.1.5生活热水系统管理功能</w:t>
      </w:r>
      <w:r/>
    </w:p>
    <w:p>
      <w:pPr>
        <w:pStyle w:val="809"/>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目前医院智慧后勤运维平台已实现对5号楼等区域的生活热水设备实现远程监控与运维管理。系统功能需满足：</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平台支持实时监测温度，实时获取运行参数，实现热水温度的实时可视化、历史数据存储及异常报警功能。支持以图形化形式监测生活热水系统温度，提供实时的运行参数、历史运行记录的查询，主要功能包括：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1）监测内容</w:t>
      </w:r>
      <w:r/>
    </w:p>
    <w:p>
      <w:pPr>
        <w:numPr>
          <w:ilvl w:val="0"/>
          <w:numId w:val="1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实时监测供回水温度、压力、蒸汽电动阀开度、水温设定等运行参数，支持历史运行数据查询。</w:t>
      </w:r>
      <w:r/>
    </w:p>
    <w:p>
      <w:pPr>
        <w:numPr>
          <w:ilvl w:val="0"/>
          <w:numId w:val="1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实现水泵设备的启停、故障的远程监测；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2）故障报警</w:t>
      </w:r>
      <w:r/>
    </w:p>
    <w:p>
      <w:pPr>
        <w:numPr>
          <w:ilvl w:val="0"/>
          <w:numId w:val="1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当设备运行故障及运行参数超警戒时，平台即时显示系统警报及故障原因，触发报警处理联动流程。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本次项目需要扩容10#楼生活热水系统的远程数据采集与监测。安装监测数据采集器，采集生活热水系统的工作参数，采集数据上传至系统。与采集服务配套的采集器需满足以下要求：</w:t>
      </w:r>
      <w:r/>
    </w:p>
    <w:tbl>
      <w:tblPr>
        <w:tblStyle w:val="8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66"/>
        <w:gridCol w:w="1686"/>
        <w:gridCol w:w="4593"/>
        <w:gridCol w:w="849"/>
        <w:gridCol w:w="1571"/>
      </w:tblGrid>
      <w:tr>
        <w:trPr>
          <w:trHeight w:val="346"/>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2475"/>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模拟量采集模块</w:t>
            </w:r>
            <w:r/>
          </w:p>
        </w:tc>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AI 路数：≥2</w:t>
            </w:r>
            <w:r>
              <w:rPr>
                <w:rFonts w:hint="eastAsia" w:ascii="宋体" w:hAnsi="宋体" w:eastAsia="宋体" w:cs="宋体"/>
                <w:color w:val="auto"/>
                <w:highlight w:val="none"/>
              </w:rPr>
              <w:br/>
            </w:r>
            <w:r>
              <w:rPr>
                <w:rFonts w:hint="eastAsia" w:ascii="宋体" w:hAnsi="宋体" w:eastAsia="宋体" w:cs="宋体"/>
                <w:color w:val="auto"/>
                <w:highlight w:val="none"/>
              </w:rPr>
              <w:t xml:space="preserve">采集范围：0-20/4-20mA</w:t>
            </w:r>
            <w:r>
              <w:rPr>
                <w:rFonts w:hint="eastAsia" w:ascii="宋体" w:hAnsi="宋体" w:eastAsia="宋体" w:cs="宋体"/>
                <w:color w:val="auto"/>
                <w:highlight w:val="none"/>
              </w:rPr>
              <w:br/>
            </w:r>
            <w:r>
              <w:rPr>
                <w:rFonts w:hint="eastAsia" w:ascii="宋体" w:hAnsi="宋体" w:eastAsia="宋体" w:cs="宋体"/>
                <w:color w:val="auto"/>
                <w:highlight w:val="none"/>
              </w:rPr>
              <w:t xml:space="preserve">采集精度：≤1‰</w:t>
            </w:r>
            <w:r>
              <w:rPr>
                <w:rFonts w:hint="eastAsia" w:ascii="宋体" w:hAnsi="宋体" w:eastAsia="宋体" w:cs="宋体"/>
                <w:color w:val="auto"/>
                <w:highlight w:val="none"/>
              </w:rPr>
              <w:br/>
            </w:r>
            <w:r>
              <w:rPr>
                <w:rFonts w:hint="eastAsia" w:ascii="宋体" w:hAnsi="宋体" w:eastAsia="宋体" w:cs="宋体"/>
                <w:color w:val="auto"/>
                <w:highlight w:val="none"/>
              </w:rPr>
              <w:t xml:space="preserve">分辨率：≥16位</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通信协议：标准 Modbus TCP 协议</w:t>
            </w:r>
            <w:r>
              <w:rPr>
                <w:rFonts w:hint="eastAsia" w:ascii="宋体" w:hAnsi="宋体" w:eastAsia="宋体" w:cs="宋体"/>
                <w:color w:val="auto"/>
                <w:highlight w:val="none"/>
              </w:rPr>
              <w:br/>
            </w:r>
            <w:r>
              <w:rPr>
                <w:rFonts w:hint="eastAsia" w:ascii="宋体" w:hAnsi="宋体" w:eastAsia="宋体" w:cs="宋体"/>
                <w:color w:val="auto"/>
                <w:highlight w:val="none"/>
              </w:rPr>
              <w:t xml:space="preserve">协议模式：支持 TCP Server/Client 模式</w:t>
            </w:r>
            <w:r>
              <w:rPr>
                <w:rFonts w:hint="eastAsia" w:ascii="宋体" w:hAnsi="宋体" w:eastAsia="宋体" w:cs="宋体"/>
                <w:color w:val="auto"/>
                <w:highlight w:val="none"/>
              </w:rPr>
              <w:br/>
            </w:r>
            <w:r>
              <w:rPr>
                <w:rFonts w:hint="eastAsia" w:ascii="宋体" w:hAnsi="宋体" w:eastAsia="宋体" w:cs="宋体"/>
                <w:color w:val="auto"/>
                <w:highlight w:val="none"/>
              </w:rPr>
              <w:t xml:space="preserve">向下串行接口：RS485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端口数量：≥1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级联/透传：RS485 级联</w:t>
            </w:r>
            <w:r>
              <w:rPr>
                <w:rFonts w:hint="eastAsia" w:ascii="宋体" w:hAnsi="宋体" w:eastAsia="宋体" w:cs="宋体"/>
                <w:color w:val="auto"/>
                <w:highlight w:val="none"/>
              </w:rPr>
              <w:br/>
            </w:r>
            <w:r>
              <w:rPr>
                <w:rFonts w:hint="eastAsia" w:ascii="宋体" w:hAnsi="宋体" w:eastAsia="宋体" w:cs="宋体"/>
                <w:color w:val="auto"/>
                <w:highlight w:val="none"/>
              </w:rPr>
              <w:t xml:space="preserve">输入电压：9~27VDC</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贴片温度传感器</w:t>
            </w:r>
            <w:r/>
          </w:p>
        </w:tc>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铂热电阻4-20MA</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数据采集箱</w:t>
            </w:r>
            <w:r/>
          </w:p>
        </w:tc>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≥500*400*200，含空开、模数化插座，导轨，线槽等。</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3.2.1.6视频监控系统管理功能</w:t>
      </w:r>
      <w:r/>
    </w:p>
    <w:p>
      <w:pPr>
        <w:pStyle w:val="809"/>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目前医院智慧后勤运维平台已实现配电房、热水机房、冷冻机房、柴发机房、热交换间、楼顶热泵机组等重点机房的视频监控，同时完成了全院直梯轿厢内的监控探头全部对接（合计94个监控探头）。系统功能需满足：</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平台支持接入摄像头监控数据，实现医院配电间、UPS间等设备机房和监测区域的视频图像实时展示。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支持实时监控、高清监控、系统联动等；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支持集中存储、实时图像延迟、历史图像检索与回放等。</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需要扩容医技楼、门诊6楼、司法鉴定所、心脏大血管手术室、10#楼、7#楼、一部手术室、ICU等重点UPS机房及配电间约32个点位的视频监控。安装视频监测设备，对UPS间及配电间进行视频监控。视频监测及配套设备需满足以下要求：</w:t>
      </w:r>
      <w:r/>
    </w:p>
    <w:tbl>
      <w:tblPr>
        <w:tblStyle w:val="80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15"/>
        <w:gridCol w:w="1812"/>
        <w:gridCol w:w="4291"/>
        <w:gridCol w:w="954"/>
        <w:gridCol w:w="1093"/>
      </w:tblGrid>
      <w:tr>
        <w:trPr>
          <w:jc w:val="center"/>
          <w:trHeight w:val="5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监控摄像头</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存储编码：H.265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焦距：≥2.8mm</w:t>
            </w:r>
            <w:r>
              <w:rPr>
                <w:rFonts w:hint="eastAsia" w:ascii="宋体" w:hAnsi="宋体" w:eastAsia="宋体" w:cs="宋体"/>
                <w:color w:val="auto"/>
                <w:highlight w:val="none"/>
              </w:rPr>
              <w:br/>
            </w:r>
            <w:r>
              <w:rPr>
                <w:rFonts w:hint="eastAsia" w:ascii="宋体" w:hAnsi="宋体" w:eastAsia="宋体" w:cs="宋体"/>
                <w:color w:val="auto"/>
                <w:highlight w:val="none"/>
              </w:rPr>
              <w:t xml:space="preserve">像素：≥200万</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摄像机支架</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摄像机电源</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DC12V 2A</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w:t>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端口数量：≥5电口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网关类型：非网管</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上行端口速率：≥千兆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下行端口速率：≥千兆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供电方式：非POE</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电源箱</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≥220×190×75mm，带插座</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 基于智慧后勤运维平台建设范围新增项：</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3.2.2.1净化空调系统管理功能要求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本次项目需要建设关于一、二部、日间、心脏大血管、眼科等8个手术区域77套净化空调机组设备的远程数据采集与监测（部分净化机组自控柜更新升级）。需要满足的系统功能要求如下：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（1）自控柜更新升级要求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更换一部手术室3号新风机组自控柜1套，更换OP9、OP12、OP20循环机组3套自控柜，使其具备通讯功能。</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963"/>
        <w:gridCol w:w="2802"/>
      </w:tblGrid>
      <w:tr>
        <w:trPr>
          <w:jc w:val="center"/>
        </w:trPr>
        <w:tc>
          <w:tcPr>
            <w:tcW w:w="1611" w:type="dxa"/>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机组</w:t>
            </w:r>
            <w:r/>
          </w:p>
        </w:tc>
        <w:tc>
          <w:tcPr>
            <w:tcW w:w="3963" w:type="dxa"/>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功能要求</w:t>
            </w:r>
            <w:r/>
          </w:p>
        </w:tc>
        <w:tc>
          <w:tcPr>
            <w:tcW w:w="2802" w:type="dxa"/>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配置要求</w:t>
            </w:r>
            <w:r/>
          </w:p>
        </w:tc>
      </w:tr>
      <w:tr>
        <w:trPr>
          <w:jc w:val="center"/>
        </w:trPr>
        <w:tc>
          <w:tcPr>
            <w:tcW w:w="1611"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新风机组3号自控柜（1套）</w:t>
            </w:r>
            <w:r/>
          </w:p>
        </w:tc>
        <w:tc>
          <w:tcPr>
            <w:tcW w:w="3963" w:type="dxa"/>
            <w:textDirection w:val="lrTb"/>
            <w:noWrap w:val="false"/>
          </w:tcPr>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1、实时查看新风机组运行状态；</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2、实时查看温湿度数值、冷热水比例调节阀开度；</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3、过滤器脏堵、电机工作异常报警；</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4、具备TCP/IP、485通讯功能；</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5、夏季新风温度在稳定控制在12℃（±1℃）；</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备注：新自控柜尺寸、结构须满足安装要求，与原机组情报面板、各类传感器、执行器、电磁阀等兼容，控制逻辑保持一致，满足使用需求。</w:t>
            </w:r>
            <w:r/>
          </w:p>
        </w:tc>
        <w:tc>
          <w:tcPr>
            <w:tcW w:w="2802" w:type="dxa"/>
            <w:textDirection w:val="lrTb"/>
            <w:noWrap w:val="false"/>
          </w:tcPr>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1、配置4KW变频器；</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2、可视化人机界面触摸屏；</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3、新风温湿度传感器；</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4、送风温湿度触感器；</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5、四管制冷/热水比例调节阀；</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6、压差开关、压力传感器等；</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7、满足控制功能的其他器件。</w:t>
            </w:r>
            <w:r/>
          </w:p>
        </w:tc>
      </w:tr>
      <w:tr>
        <w:trPr>
          <w:jc w:val="center"/>
        </w:trPr>
        <w:tc>
          <w:tcPr>
            <w:tcW w:w="1611"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OP9、OP12、OP20循环机组自控柜（共3套）</w:t>
            </w:r>
            <w:r/>
          </w:p>
        </w:tc>
        <w:tc>
          <w:tcPr>
            <w:tcW w:w="3963" w:type="dxa"/>
            <w:textDirection w:val="lrTb"/>
            <w:noWrap w:val="false"/>
          </w:tcPr>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1、实时查看新风机组运行状态；</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2、实时查看温湿度数值、冷热水比例调节阀开度；</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3、过滤器脏堵、电机工作异常报警；</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4、具备TCP/IP、485通讯功能；</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5、温度控制精度±0.5度，湿度控制精度±10%；</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6、冬季过度加湿报警保护停机、电机缺风保护；</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备注：新自控柜尺寸、结构须满足安装要求，与原机组情报面板、各类传感器、执行器、电磁阀等兼容，控制逻辑保持一致，满足使用需求。</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802" w:type="dxa"/>
            <w:textDirection w:val="lrTb"/>
            <w:noWrap w:val="false"/>
          </w:tcPr>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1、OP9和OP12循环机组自控柜各配置3KW变频器各1个；</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2、OP20循环机组配置7.5KW变频器1个；</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3、自控柜均配置可视化人界面触摸屏；</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4、室内送风温湿度传感器、回风温湿度传感；</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5、新风电动阀、四管制冷热水比例调节阀；</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6、加湿比例调节阀、加湿电磁阀；</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7、压差开关、压力传感器；</w:t>
            </w:r>
            <w:r/>
          </w:p>
          <w:p>
            <w:pPr>
              <w:contextualSpacing/>
              <w:rPr>
                <w:rFonts w:hint="eastAsia" w:ascii="宋体" w:hAnsi="宋体" w:eastAsia="宋体" w:cs="宋体"/>
                <w:color w:val="auto"/>
                <w:highlight w:val="none"/>
              </w:rPr>
            </w:pPr>
            <w:r>
              <w:rPr>
                <w:rFonts w:hint="eastAsia" w:ascii="宋体" w:hAnsi="宋体" w:eastAsia="宋体" w:cs="宋体"/>
                <w:color w:val="auto"/>
                <w:highlight w:val="none"/>
              </w:rPr>
              <w:t xml:space="preserve">8、满足控制功能的其他器件。</w:t>
            </w:r>
            <w:r/>
          </w:p>
        </w:tc>
      </w:tr>
    </w:tbl>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（2）平台功能要求：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实时获取净化空调运行参数，实现净化空调运行状态的实时可视化、历史数据存储及异常预警功能。系统数据须与本地化终端显示数据一致。运行监控管理内容包括：</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1）监控内容</w:t>
      </w:r>
      <w:r/>
    </w:p>
    <w:tbl>
      <w:tblPr>
        <w:tblStyle w:val="804"/>
        <w:tblW w:w="7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1514"/>
        <w:gridCol w:w="3733"/>
      </w:tblGrid>
      <w:tr>
        <w:trPr>
          <w:jc w:val="center"/>
          <w:trHeight w:val="311"/>
          <w:tblHeader/>
        </w:trPr>
        <w:tc>
          <w:tcPr>
            <w:shd w:val="clear" w:color="000000" w:fill="d9d9d9"/>
            <w:tcW w:w="2239" w:type="dxa"/>
            <w:vAlign w:val="center"/>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000000" w:fill="d9d9d9"/>
            <w:tcW w:w="1514" w:type="dxa"/>
            <w:vAlign w:val="center"/>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shd w:val="clear" w:color="000000" w:fill="d9d9d9"/>
            <w:tcW w:w="3733" w:type="dxa"/>
            <w:vAlign w:val="center"/>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运行状态监测点位要求</w:t>
            </w:r>
            <w:r/>
          </w:p>
        </w:tc>
      </w:tr>
      <w:tr>
        <w:trPr>
          <w:jc w:val="center"/>
          <w:trHeight w:val="280"/>
        </w:trPr>
        <w:tc>
          <w:tcPr>
            <w:shd w:val="clear" w:color="auto" w:fill="auto"/>
            <w:tcW w:w="2239" w:type="dxa"/>
            <w:vAlign w:val="center"/>
            <w:vMerge w:val="restart"/>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一部手术</w:t>
            </w:r>
            <w:r/>
          </w:p>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日间手术室</w:t>
            </w:r>
            <w:r/>
          </w:p>
          <w:p>
            <w:pPr>
              <w:contextualSpacing/>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二部手术室</w:t>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机组启停状态</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回风温度</w:t>
            </w:r>
            <w:r/>
          </w:p>
        </w:tc>
      </w:tr>
      <w:tr>
        <w:trPr>
          <w:jc w:val="center"/>
          <w:trHeight w:val="472"/>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回风湿度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送风温度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送风湿度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冷水阀门开度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热水阀门开度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加湿器阀门开度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加湿器电磁阀开关状态</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手术间温度设定</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送风机频率</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电加热开度（仅二部手术室）</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过滤器状态</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室间温湿度</w:t>
            </w:r>
            <w:r/>
          </w:p>
        </w:tc>
      </w:tr>
      <w:tr>
        <w:trPr>
          <w:jc w:val="center"/>
          <w:trHeight w:val="280"/>
        </w:trPr>
        <w:tc>
          <w:tcPr>
            <w:shd w:val="clear" w:color="auto" w:fill="auto"/>
            <w:tcW w:w="2239" w:type="dxa"/>
            <w:vAlign w:val="center"/>
            <w:vMerge w:val="restart"/>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眼科手术</w:t>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机组启停状态</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室间温度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室间湿度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加湿设定</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除湿设定</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送风湿度</w:t>
            </w:r>
            <w:r/>
          </w:p>
        </w:tc>
      </w:tr>
      <w:tr>
        <w:trPr>
          <w:jc w:val="center"/>
          <w:trHeight w:val="280"/>
        </w:trPr>
        <w:tc>
          <w:tcPr>
            <w:shd w:val="clear" w:color="auto" w:fill="auto"/>
            <w:tcW w:w="2239" w:type="dxa"/>
            <w:vAlign w:val="center"/>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新风温度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室内压差</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送风风速</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中控温度设定</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主机表冷后温度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1#从机1表冷后温度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2#从机1表冷后温度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主机电加热后温度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1#从机1电加热后温度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2#从机1电加热后温度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18</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压缩机运行模式</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19</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电预热开度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电再热开度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加湿开度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过滤器状态</w:t>
            </w:r>
            <w:r/>
          </w:p>
        </w:tc>
      </w:tr>
      <w:tr>
        <w:trPr>
          <w:jc w:val="center"/>
          <w:trHeight w:val="280"/>
        </w:trPr>
        <w:tc>
          <w:tcPr>
            <w:tcW w:w="2239" w:type="dxa"/>
            <w:vAlign w:val="center"/>
            <w:vMerge w:val="restart"/>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心脏大血管手术室</w:t>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机组启停状态</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回风温度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回风湿度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新风温度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新风湿度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冷水阀门开度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热水阀门开度（大系统、小系统）</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加湿开度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手术间温度设定</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送风机频率</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新风电预热开度</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过滤器状态</w:t>
            </w:r>
            <w:r/>
          </w:p>
        </w:tc>
      </w:tr>
      <w:tr>
        <w:trPr>
          <w:jc w:val="center"/>
          <w:trHeight w:val="280"/>
        </w:trPr>
        <w:tc>
          <w:tcPr>
            <w:tcW w:w="2239" w:type="dxa"/>
            <w:vMerge w:val="continue"/>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1514"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shd w:val="clear" w:color="auto" w:fill="auto"/>
            <w:tcW w:w="3733"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室间温湿度</w:t>
            </w:r>
            <w:r/>
          </w:p>
        </w:tc>
      </w:tr>
    </w:tbl>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包含但不限于以上表格中监测内容；</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支持历史运行数据查询。</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2）报警管理</w:t>
      </w:r>
      <w:r/>
    </w:p>
    <w:p>
      <w:pPr>
        <w:pStyle w:val="809"/>
        <w:numPr>
          <w:ilvl w:val="0"/>
          <w:numId w:val="7"/>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故障报警：当温湿度、送风状态等超过设定阈值，及其他设备故障报警时，平台即时显示系统报警及故障原因，触发报警处理联动流程。</w:t>
      </w:r>
      <w:r/>
    </w:p>
    <w:tbl>
      <w:tblPr>
        <w:tblStyle w:val="804"/>
        <w:tblW w:w="4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4116"/>
      </w:tblGrid>
      <w:tr>
        <w:trPr>
          <w:jc w:val="center"/>
          <w:trHeight w:val="311"/>
          <w:tblHeader/>
        </w:trPr>
        <w:tc>
          <w:tcPr>
            <w:shd w:val="clear" w:color="000000" w:fill="d9d9d9"/>
            <w:tcW w:w="690" w:type="dxa"/>
            <w:vAlign w:val="center"/>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shd w:val="clear" w:color="000000" w:fill="d9d9d9"/>
            <w:tcW w:w="4116" w:type="dxa"/>
            <w:vAlign w:val="center"/>
            <w:textDirection w:val="lrTb"/>
            <w:noWrap w:val="false"/>
          </w:tcPr>
          <w:p>
            <w:pPr>
              <w:contextualSpacing/>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故障报警监测内容</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回风温度</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回风湿度</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送风温度</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送风湿度</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缺风报警</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初效、中效、亚高效、高效过滤器更换时间预警（根据设定规则提醒过滤器使用到期预警提醒）</w:t>
            </w:r>
            <w:r/>
          </w:p>
        </w:tc>
      </w:tr>
      <w:tr>
        <w:trPr>
          <w:jc w:val="center"/>
          <w:trHeight w:val="280"/>
        </w:trPr>
        <w:tc>
          <w:tcPr>
            <w:shd w:val="clear" w:color="auto" w:fill="auto"/>
            <w:tcW w:w="690"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W w:w="4116" w:type="dxa"/>
            <w:vAlign w:val="center"/>
            <w:textDirection w:val="lrTb"/>
            <w:noWrap w:val="false"/>
          </w:tcPr>
          <w:p>
            <w:pPr>
              <w:contextualSpacing/>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环境监控器报警（仅一部手术室）</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（3）数据采集要求：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在一、二部、日间、心脏大血管、眼科等8个手术室区域77套净化空调机组设备上安装监测数据采集器，采集净化空调的工作参数，采集数据上传至系统。与采集服务配套的采集器需满足以下要求：</w:t>
      </w:r>
      <w:r/>
    </w:p>
    <w:tbl>
      <w:tblPr>
        <w:tblStyle w:val="804"/>
        <w:tblW w:w="5088" w:type="pct"/>
        <w:tblInd w:w="0" w:type="dxa"/>
        <w:tblLayout w:type="autofit"/>
        <w:tblCellMar>
          <w:left w:w="108" w:type="dxa"/>
          <w:top w:w="0" w:type="dxa"/>
          <w:right w:w="108" w:type="dxa"/>
          <w:bottom w:w="0" w:type="dxa"/>
        </w:tblCellMar>
        <w:tblLook w:val="04A0" w:firstRow="1" w:lastRow="0" w:firstColumn="1" w:lastColumn="0" w:noHBand="0" w:noVBand="1"/>
      </w:tblPr>
      <w:tblGrid>
        <w:gridCol w:w="790"/>
        <w:gridCol w:w="2043"/>
        <w:gridCol w:w="4308"/>
        <w:gridCol w:w="1026"/>
        <w:gridCol w:w="1163"/>
      </w:tblGrid>
      <w:tr>
        <w:trPr>
          <w:trHeight w:val="426"/>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117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端口数量：≥24电口+4光口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网关类型：网管</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上行端口速率：≥千兆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下行端口速率：≥千兆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供电方式：非POE</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r>
      <w:tr>
        <w:trPr>
          <w:trHeight w:val="117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端口数量：≥16电口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网关类型：网管</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上行端口速率：≥千兆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下行端口速率：≥千兆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供电方式：非POE</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118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端口数量：≥8电口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网关类型：非网管</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上行端口速率：≥千兆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下行端口速率：≥千兆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供电方式：非POE</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3.2.2.2新风机组系统管理功能</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需增加新风机组的监管功能模块，使用新增控制柜替代原先旧的控制柜。范围包括门诊楼、2#楼、8#楼、医技楼、9#楼、10#楼等区域50台新风机组，实现远程数据采集与监测。需要满足的系统功能要求如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（1）平台功能要求：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平台支持新风机组智能监测和控制；支持以图形化形式监测新风机组的运行状态，提供实时的运行参数、历史运行记录的查询以及设备的故障信息。</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1）实时监测</w:t>
      </w:r>
      <w:r/>
    </w:p>
    <w:p>
      <w:pPr>
        <w:pStyle w:val="809"/>
        <w:numPr>
          <w:ilvl w:val="0"/>
          <w:numId w:val="11"/>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新风机组的运行状态、送风温度等运行参数，支持历史运行记录查询；</w:t>
      </w:r>
      <w:r/>
    </w:p>
    <w:p>
      <w:pPr>
        <w:pStyle w:val="809"/>
        <w:numPr>
          <w:ilvl w:val="0"/>
          <w:numId w:val="11"/>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机组进行群控参数配置，根据需要进行不同区域的多个设备进行统一操作控制；</w:t>
      </w:r>
      <w:r/>
    </w:p>
    <w:p>
      <w:pPr>
        <w:pStyle w:val="809"/>
        <w:numPr>
          <w:ilvl w:val="0"/>
          <w:numId w:val="11"/>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支持通过控制器，实现进行一对一监控。</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2）故障报警</w:t>
      </w:r>
      <w:r/>
    </w:p>
    <w:p>
      <w:pPr>
        <w:pStyle w:val="809"/>
        <w:numPr>
          <w:ilvl w:val="0"/>
          <w:numId w:val="11"/>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当风机等设备运行故障时，平台即时显示系统警报及故障原因，触发报警处理联动流程。</w:t>
      </w:r>
      <w:r/>
    </w:p>
    <w:p>
      <w:pPr>
        <w:pStyle w:val="809"/>
        <w:numPr>
          <w:ilvl w:val="0"/>
          <w:numId w:val="11"/>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支持新风过滤器更换过滤器更换时间预警（根据设定规则提醒过滤器使用到期预警提醒）。</w:t>
      </w:r>
      <w:r/>
    </w:p>
    <w:p>
      <w:pPr>
        <w:numPr>
          <w:ilvl w:val="0"/>
          <w:numId w:val="12"/>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控制要求：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远程控制启动和停机，可设定多种自动启停时间模式。</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（3）数据采集要求：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在门诊楼、2#楼、8#楼、医技楼、9#楼、10#楼等区域50台新风机组与送排风系统设备上安装监测数据采集器，采集新风机组的工作参数。采集数据上传至系统，与采集服务配套的采集器需满足以下要求：</w:t>
      </w:r>
      <w:r/>
    </w:p>
    <w:tbl>
      <w:tblPr>
        <w:tblStyle w:val="804"/>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1025"/>
        <w:gridCol w:w="1878"/>
        <w:gridCol w:w="4266"/>
        <w:gridCol w:w="909"/>
        <w:gridCol w:w="1085"/>
      </w:tblGrid>
      <w:tr>
        <w:trPr>
          <w:trHeight w:val="323"/>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500"/>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控制箱</w:t>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≥500*400*200，含空开、24V开关电源交流接触器、中间继电器、热继电器、按钮、指示灯、旋钮、模数化插座，导轨，线槽等。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w:t>
            </w:r>
            <w:r/>
          </w:p>
        </w:tc>
      </w:tr>
      <w:tr>
        <w:trPr>
          <w:trHeight w:val="418"/>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I/O模块</w:t>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数字量≥8入8出/模拟量6入2出</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w:t>
            </w:r>
            <w:r/>
          </w:p>
        </w:tc>
      </w:tr>
      <w:tr>
        <w:trPr>
          <w:trHeight w:val="383"/>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风管温度传感器</w:t>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4-20mA单温度</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w:t>
            </w:r>
            <w:r/>
          </w:p>
        </w:tc>
      </w:tr>
      <w:tr>
        <w:trPr>
          <w:trHeight w:val="428"/>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数据采集器</w:t>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网口数量：≥1</w:t>
            </w:r>
            <w:r>
              <w:rPr>
                <w:rFonts w:hint="eastAsia" w:ascii="宋体" w:hAnsi="宋体" w:eastAsia="宋体" w:cs="宋体"/>
                <w:color w:val="auto"/>
                <w:highlight w:val="none"/>
              </w:rPr>
              <w:br/>
            </w:r>
            <w:r>
              <w:rPr>
                <w:rFonts w:hint="eastAsia" w:ascii="宋体" w:hAnsi="宋体" w:eastAsia="宋体" w:cs="宋体"/>
                <w:color w:val="auto"/>
                <w:highlight w:val="none"/>
              </w:rPr>
              <w:t xml:space="preserve">协议模式：支持 TCP Server、TCP Client、UDP 模式</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串口类型：RS485</w:t>
            </w:r>
            <w:r>
              <w:rPr>
                <w:rFonts w:hint="eastAsia" w:ascii="宋体" w:hAnsi="宋体" w:eastAsia="宋体" w:cs="宋体"/>
                <w:color w:val="auto"/>
                <w:highlight w:val="none"/>
              </w:rPr>
              <w:br/>
            </w:r>
            <w:r>
              <w:rPr>
                <w:rFonts w:hint="eastAsia" w:ascii="宋体" w:hAnsi="宋体" w:eastAsia="宋体" w:cs="宋体"/>
                <w:color w:val="auto"/>
                <w:highlight w:val="none"/>
              </w:rPr>
              <w:t xml:space="preserve">端口数量：≥2</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级联/透传：双向透传</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8"/>
        <w:ind w:firstLine="422"/>
        <w:spacing w:before="0" w:after="0" w:line="360" w:lineRule="auto"/>
        <w:tabs>
          <w:tab w:val="left" w:pos="78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3.2.2.3冷却塔系统管理功能</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本次项目需要建设关于1#楼、9#楼、医技楼3个区域冷却塔系统的远程数据采集与监测。需要满足的系统功能要求如下：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（1）平台功能要求：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平台支持冷却塔智能监测和控制；支持以图形化形式监测冷却塔的运行状态，提供实时的运行参数、历史运行记录的查询以及设备的故障信息。</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1）实时监测</w:t>
      </w:r>
      <w:r/>
    </w:p>
    <w:p>
      <w:pPr>
        <w:pStyle w:val="809"/>
        <w:numPr>
          <w:ilvl w:val="0"/>
          <w:numId w:val="13"/>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冷却塔的运行状态、手自动状态、故障状态等运行参数，支持历史运行记录查询。</w:t>
      </w:r>
      <w:r/>
    </w:p>
    <w:p>
      <w:pPr>
        <w:pStyle w:val="809"/>
        <w:numPr>
          <w:ilvl w:val="0"/>
          <w:numId w:val="13"/>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支持冷却塔群控，根据需要进行不同区域的多个设备进行统一操作控制，包括定时控制、一键开关控制等；</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2）故障报警</w:t>
      </w:r>
      <w:r/>
    </w:p>
    <w:p>
      <w:pPr>
        <w:pStyle w:val="809"/>
        <w:numPr>
          <w:ilvl w:val="0"/>
          <w:numId w:val="13"/>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当冷却塔等设备运行故障时，平台即时显示系统警报及故障原因，触发报警处理联动流程。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（2）数据采集要求：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需要在1#楼、9#楼、医技楼等3个区域冷却塔系统安装监测数据采集器，采集冷却塔系统的工作参数，采集数据上传至系统。与采集服务配套的采集器需满足以下要求：</w:t>
      </w:r>
      <w:r/>
    </w:p>
    <w:tbl>
      <w:tblPr>
        <w:tblStyle w:val="804"/>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1000"/>
        <w:gridCol w:w="2162"/>
        <w:gridCol w:w="3905"/>
        <w:gridCol w:w="1026"/>
        <w:gridCol w:w="1070"/>
      </w:tblGrid>
      <w:tr>
        <w:trPr>
          <w:trHeight w:val="369"/>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PLC控制柜</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含成套</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PLC</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‌输入/输出‌：≥14 路 24V DC 数字输入（支持漏型/源型）、≥10 路 24V DC 晶体管输出（最大电流 0.5A）、≥2 路 0-10V 模拟输入。</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性能参数‌：集成≥75KB 工作内存、≥4MB 存储空间，支持≥6路高速计数器（最高 100kHz）和≥2路脉冲输出（PTO/PWM）。</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扩展能力‌：支持≥8个信号模块，通过 PROFINET 接口实现设备通信。</w:t>
            </w:r>
            <w:r>
              <w:rPr>
                <w:rFonts w:hint="eastAsia" w:ascii="宋体" w:hAnsi="宋体" w:eastAsia="宋体" w:cs="宋体"/>
                <w:color w:val="auto"/>
                <w:highlight w:val="none"/>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PLC通讯板</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接口类型‌：RS485（两线制半双工）</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‌共模电压范围‌：-7V ~ +12V</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‌发送器最小输出电压‌：</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RL≥1000Ω时，≥2V</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RL≥540Ω时，≥1.5V</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‌接收器输入阻抗‌：≥10kΩ（对+5V）</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‌终端电阻‌：≥1270Ω（有效值）</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块</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8位数字量输入模块</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通道数‌：≥8路</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‌输入电压‌：24V DC（额定值），允许范围20.4V DC至28.8V DC</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‌输入信号类型‌：支持漏型/源型输入（NPN/PNP兼容）</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‌响应时间：≤1ms</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16位数字量输入模块</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通道数‌：≥16路</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‌输入电压‌：24V DC（额定值），允许范围20.4V DC至28.8V DC</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‌输入信号类型‌：支持漏型/源型输入（NPN/PNP兼容）</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‌响应时间：≤1ms</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8位数字量输出模块</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通道数‌：≥8路</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‌输出电压‌：24V DC（额定值），允许范围20.4V DC至28.8V DC</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‌输出类型‌：固态（MOSFET）</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‌负载电流‌：≤0.5A/点</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16位数字量输出模块</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通道数‌：≥16路</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‌输出电压‌：24V DC（额定值），允许范围20.4V DC至28.8V DC</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‌输出类型‌：固态（MOSFET）</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‌负载电流‌：≤0.5A/点</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网络球机</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像素：≥400万</w:t>
            </w:r>
            <w:r>
              <w:rPr>
                <w:rFonts w:hint="eastAsia" w:ascii="宋体" w:hAnsi="宋体" w:eastAsia="宋体" w:cs="宋体"/>
                <w:color w:val="auto"/>
                <w:highlight w:val="none"/>
              </w:rPr>
              <w:br/>
            </w:r>
            <w:r>
              <w:rPr>
                <w:rFonts w:hint="eastAsia" w:ascii="宋体" w:hAnsi="宋体" w:eastAsia="宋体" w:cs="宋体"/>
                <w:color w:val="auto"/>
                <w:highlight w:val="none"/>
              </w:rPr>
              <w:t xml:space="preserve">红外夜视距离：≥100m以上</w:t>
            </w:r>
            <w:r>
              <w:rPr>
                <w:rFonts w:hint="eastAsia" w:ascii="宋体" w:hAnsi="宋体" w:eastAsia="宋体" w:cs="宋体"/>
                <w:color w:val="auto"/>
                <w:highlight w:val="none"/>
              </w:rPr>
              <w:br/>
            </w:r>
            <w:r>
              <w:rPr>
                <w:rFonts w:hint="eastAsia" w:ascii="宋体" w:hAnsi="宋体" w:eastAsia="宋体" w:cs="宋体"/>
                <w:color w:val="auto"/>
                <w:highlight w:val="none"/>
              </w:rPr>
              <w:t xml:space="preserve">变倍变焦：数字+光学</w:t>
            </w:r>
            <w:r>
              <w:rPr>
                <w:rFonts w:hint="eastAsia" w:ascii="宋体" w:hAnsi="宋体" w:eastAsia="宋体" w:cs="宋体"/>
                <w:color w:val="auto"/>
                <w:highlight w:val="none"/>
              </w:rPr>
              <w:br/>
            </w:r>
            <w:r>
              <w:rPr>
                <w:rFonts w:hint="eastAsia" w:ascii="宋体" w:hAnsi="宋体" w:eastAsia="宋体" w:cs="宋体"/>
                <w:color w:val="auto"/>
                <w:highlight w:val="none"/>
              </w:rPr>
              <w:t xml:space="preserve">存储编码：H.265</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供电方式：网线供电</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只</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r>
      <w:tr>
        <w:trPr>
          <w:trHeight w:val="1125"/>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端口数量：≥5电口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网关类型：非网管</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上行端口速率：≥千兆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下行端口速率：≥千兆</w:t>
            </w:r>
            <w:r>
              <w:rPr>
                <w:rFonts w:hint="eastAsia" w:ascii="宋体" w:hAnsi="宋体" w:eastAsia="宋体" w:cs="宋体"/>
                <w:color w:val="auto"/>
                <w:highlight w:val="none"/>
              </w:rPr>
              <w:br/>
            </w:r>
            <w:r>
              <w:rPr>
                <w:rFonts w:hint="eastAsia" w:ascii="宋体" w:hAnsi="宋体" w:eastAsia="宋体" w:cs="宋体"/>
                <w:color w:val="auto"/>
                <w:highlight w:val="none"/>
              </w:rPr>
              <w:t xml:space="preserve">供电方式：非POE</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6"/>
        <w:ind w:firstLine="420"/>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3.2.3集中一体化安全监控系统</w:t>
      </w:r>
      <w:r>
        <w:rPr>
          <w:rFonts w:hint="eastAsia" w:ascii="宋体" w:hAnsi="宋体" w:eastAsia="宋体" w:cs="宋体"/>
          <w:color w:val="auto"/>
          <w:sz w:val="21"/>
          <w:szCs w:val="21"/>
          <w:highlight w:val="none"/>
          <w:lang w:val="en-US" w:eastAsia="zh-CN"/>
        </w:rPr>
        <w:t xml:space="preserve">专项</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针对集中一体化安全监控系统的建设，</w:t>
      </w:r>
      <w:bookmarkStart w:id="61" w:name="OLE_LINK9"/>
      <w:r>
        <w:rPr>
          <w:rFonts w:hint="eastAsia" w:ascii="宋体" w:hAnsi="宋体" w:eastAsia="宋体" w:cs="宋体"/>
          <w:color w:val="auto"/>
          <w:highlight w:val="none"/>
        </w:rPr>
        <w:t xml:space="preserve">投标人需提供适配医院实际情况的</w:t>
      </w:r>
      <w:r>
        <w:rPr>
          <w:rFonts w:hint="eastAsia" w:ascii="宋体" w:hAnsi="宋体" w:eastAsia="宋体" w:cs="宋体"/>
          <w:color w:val="auto"/>
          <w:highlight w:val="none"/>
          <w:lang w:val="en-US" w:eastAsia="zh-CN"/>
        </w:rPr>
        <w:t xml:space="preserve">专项</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highlight w:val="none"/>
        </w:rPr>
        <w:t xml:space="preserve">方案，包含不限于施工进度计划、电源配置、线（管）路铺设、人员安排、应急预案等。</w:t>
      </w:r>
      <w:bookmarkEnd w:id="61"/>
      <w:r/>
      <w:r/>
    </w:p>
    <w:p>
      <w:pPr>
        <w:pStyle w:val="796"/>
        <w:ind w:firstLine="420"/>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3.3 </w:t>
      </w:r>
      <w:r>
        <w:rPr>
          <w:rFonts w:hint="eastAsia" w:ascii="宋体" w:hAnsi="宋体" w:eastAsia="宋体" w:cs="宋体"/>
          <w:bCs/>
          <w:color w:val="auto"/>
          <w:sz w:val="21"/>
          <w:szCs w:val="21"/>
          <w:highlight w:val="none"/>
        </w:rPr>
        <w:t xml:space="preserve">运行诊断与报警管理功能</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3.3.1报警管理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平台应提供故障实时报警、报警处理、历史报警和自定义报警功能。包括但不限于：</w:t>
      </w:r>
      <w:r/>
    </w:p>
    <w:p>
      <w:pPr>
        <w:numPr>
          <w:ilvl w:val="0"/>
          <w:numId w:val="14"/>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当报警发生时，通过系统消息提示、声光报警等通知运行人员，并呈现在实时报警列表中；</w:t>
      </w:r>
      <w:r/>
    </w:p>
    <w:p>
      <w:pPr>
        <w:numPr>
          <w:ilvl w:val="0"/>
          <w:numId w:val="14"/>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支持对报警进行实时批注处理（包括判断是否误报、调试、检修等状态）；</w:t>
      </w:r>
      <w:r/>
    </w:p>
    <w:p>
      <w:pPr>
        <w:numPr>
          <w:ilvl w:val="0"/>
          <w:numId w:val="14"/>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支持对报警进行屏蔽并设定屏蔽时长，并可解除屏蔽；</w:t>
      </w:r>
      <w:r/>
    </w:p>
    <w:p>
      <w:pPr>
        <w:numPr>
          <w:ilvl w:val="0"/>
          <w:numId w:val="14"/>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支持对报警提报工单，并执行工单流程；</w:t>
      </w:r>
      <w:r/>
    </w:p>
    <w:p>
      <w:pPr>
        <w:numPr>
          <w:ilvl w:val="0"/>
          <w:numId w:val="14"/>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储存所有发生的报警，并可进行历史报警的统计与下载；</w:t>
      </w:r>
      <w:r/>
    </w:p>
    <w:p>
      <w:pPr>
        <w:numPr>
          <w:ilvl w:val="0"/>
          <w:numId w:val="14"/>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可在平台自定义报警级别、报警规则及报警联动规则。</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3.3.2报警分析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平台支持报警分析功能，可按照发生时间和频率、报警响应及处理时间、报警类型、报警级别等进行统计对比分析。</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3.3.3跨系统联动管理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平台应具有联动管理功能，将接入的冷热源、配电、UPS系统、视频监控系统等系统设备数据打通，实现各系统具有关联性数据之间的联动功能。</w:t>
      </w:r>
      <w:r/>
    </w:p>
    <w:p>
      <w:pPr>
        <w:numPr>
          <w:ilvl w:val="0"/>
          <w:numId w:val="15"/>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当设备运行异常时，通过联动消息提醒、声光报警、短信通知等方式发出故障报警；</w:t>
      </w:r>
      <w:r/>
    </w:p>
    <w:p>
      <w:pPr>
        <w:numPr>
          <w:ilvl w:val="0"/>
          <w:numId w:val="15"/>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联动视频系统相关联视频监控画面；</w:t>
      </w:r>
      <w:r/>
    </w:p>
    <w:p>
      <w:pPr>
        <w:numPr>
          <w:ilvl w:val="0"/>
          <w:numId w:val="15"/>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联动报修工单系统，报警可自动派发工单，通过工单实现报警闭环处理。</w:t>
      </w:r>
      <w:r/>
    </w:p>
    <w:p>
      <w:pPr>
        <w:pStyle w:val="796"/>
        <w:ind w:firstLine="420"/>
        <w:spacing w:before="0" w:after="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3.4 </w:t>
      </w:r>
      <w:r>
        <w:rPr>
          <w:rFonts w:hint="eastAsia" w:ascii="宋体" w:hAnsi="宋体" w:eastAsia="宋体" w:cs="宋体"/>
          <w:bCs/>
          <w:color w:val="auto"/>
          <w:sz w:val="21"/>
          <w:szCs w:val="21"/>
          <w:highlight w:val="none"/>
        </w:rPr>
        <w:t xml:space="preserve">能效与双碳管理功能</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医院已通过对接高低压配电系统，实现了全院区总用电量、各个市政进线用电量、系统用电量的计量、分析、对比和抄表等监测与运维管理。需要满足的系统功能要求如下：</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3.4.1平台功能要求：</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bookmarkStart w:id="62" w:name="_Toc91490446"/>
      <w:r>
        <w:rPr>
          <w:rFonts w:hint="eastAsia" w:ascii="宋体" w:hAnsi="宋体" w:eastAsia="宋体" w:cs="宋体"/>
          <w:color w:val="auto"/>
          <w:sz w:val="21"/>
          <w:szCs w:val="21"/>
          <w:highlight w:val="none"/>
        </w:rPr>
        <w:t xml:space="preserve">3.4.1.1能耗</w:t>
      </w:r>
      <w:bookmarkEnd w:id="62"/>
      <w:r>
        <w:rPr>
          <w:rFonts w:hint="eastAsia" w:ascii="宋体" w:hAnsi="宋体" w:eastAsia="宋体" w:cs="宋体"/>
          <w:color w:val="auto"/>
          <w:sz w:val="21"/>
          <w:szCs w:val="21"/>
          <w:highlight w:val="none"/>
        </w:rPr>
        <w:t xml:space="preserve">概览</w:t>
      </w:r>
      <w:r/>
    </w:p>
    <w:p>
      <w:pPr>
        <w:pStyle w:val="809"/>
        <w:ind w:firstLine="420"/>
        <w:spacing w:after="0" w:line="360" w:lineRule="auto"/>
        <w:rPr>
          <w:rFonts w:hint="eastAsia" w:ascii="宋体" w:hAnsi="宋体" w:eastAsia="宋体" w:cs="宋体"/>
          <w:color w:val="auto"/>
          <w:highlight w:val="none"/>
        </w:rPr>
      </w:pPr>
      <w:r/>
      <w:bookmarkStart w:id="63" w:name="_Toc91490447"/>
      <w:r>
        <w:rPr>
          <w:rFonts w:hint="eastAsia" w:ascii="宋体" w:hAnsi="宋体" w:eastAsia="宋体" w:cs="宋体"/>
          <w:color w:val="auto"/>
          <w:highlight w:val="none"/>
        </w:rPr>
        <w:t xml:space="preserve">支持可配置展示项目整体能耗使用状况，提供同环比、KPI、能耗排名、重点区域用能等多种组件，在首页直观地显示需要重点关注的能源相关信息。</w:t>
      </w:r>
      <w:r/>
    </w:p>
    <w:p>
      <w:pPr>
        <w:pStyle w:val="841"/>
        <w:ind w:left="0" w:firstLine="422"/>
        <w:spacing w:line="360" w:lineRule="auto"/>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系统须能够监测、统计、分析楼栋用电量，楼层强电井照明、动力、应急照明用电量，重点区域（如手术室、CU类病房等）用电量，以及重点设备用电量（如冷冻机、CT、磁共振等）。（提供承诺函加盖投标人公章，原件扫描上传，格式自拟）</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3.4.1.2能耗分级与汇总</w:t>
      </w:r>
      <w:bookmarkEnd w:id="63"/>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支持以能流图形式展示各类用能分项系统流向、空间区域流向或组织机构流向；</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以能流图的形式展示系统（空调、照明、电梯等）能耗分级及流向；</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以能流图的形式展示空间（楼体、楼层）能耗分级及流向；</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以能流图的形式展示组织机构能耗分级及流向。</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bookmarkStart w:id="64" w:name="_Toc91490448"/>
      <w:r>
        <w:rPr>
          <w:rFonts w:hint="eastAsia" w:ascii="宋体" w:hAnsi="宋体" w:eastAsia="宋体" w:cs="宋体"/>
          <w:color w:val="auto"/>
          <w:sz w:val="21"/>
          <w:szCs w:val="21"/>
          <w:highlight w:val="none"/>
        </w:rPr>
        <w:t xml:space="preserve">3.4.1.3能耗指标及分析</w:t>
      </w:r>
      <w:bookmarkEnd w:id="64"/>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支持提供医院能耗指标的多维度分析，应同时支持柱状图、雷达图、表格方式，指标分析的数据可以导出。</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展示医院整体的实际单位能耗或能效值，与行业间水平或规范值（横向）对比情况，与项目历史用能情况的基准值（纵向）对比情况。</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展示设备或系统的实际单位能耗或能效值，与行业间水平或规范值（横向）对比情况，或与项目历史用能情况的基准值（纵向）对比情况。</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bookmarkStart w:id="65" w:name="_Toc91490449"/>
      <w:r>
        <w:rPr>
          <w:rFonts w:hint="eastAsia" w:ascii="宋体" w:hAnsi="宋体" w:eastAsia="宋体" w:cs="宋体"/>
          <w:color w:val="auto"/>
          <w:sz w:val="21"/>
          <w:szCs w:val="21"/>
          <w:highlight w:val="none"/>
        </w:rPr>
        <w:t xml:space="preserve">3.4.1.4能耗对比分析</w:t>
      </w:r>
      <w:bookmarkEnd w:id="65"/>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应提供对各能耗节点的多维度对比分析，能耗分析展现形式美观和丰富，同时支持柱状图、折线图、表格方式，分析的数据可以导出。</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同比环比分析：选择某一能耗节点，进行某个时间维度的多日期对比，分析能耗最值和均值等情况；</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结构对比：选择多个能耗节点，进行同时期对比，分析能耗最值和均值等情况。</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bookmarkStart w:id="66" w:name="_Toc91490451"/>
      <w:r>
        <w:rPr>
          <w:rFonts w:hint="eastAsia" w:ascii="宋体" w:hAnsi="宋体" w:eastAsia="宋体" w:cs="宋体"/>
          <w:color w:val="auto"/>
          <w:sz w:val="21"/>
          <w:szCs w:val="21"/>
          <w:highlight w:val="none"/>
        </w:rPr>
        <w:t xml:space="preserve">3.4.1.5能耗排名</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支持对能耗模型中的不同节点进行能耗排名。</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3.4.1.6能耗异常诊断</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具备能源异常诊断功能，能够监测当前能源异常情况，如能流平衡异常、峰值异常、对比异常等。</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3.4.1.7能耗定额</w:t>
      </w:r>
      <w:bookmarkEnd w:id="66"/>
      <w:r>
        <w:rPr>
          <w:rFonts w:hint="eastAsia" w:ascii="宋体" w:hAnsi="宋体" w:eastAsia="宋体" w:cs="宋体"/>
          <w:color w:val="auto"/>
          <w:sz w:val="21"/>
          <w:szCs w:val="21"/>
          <w:highlight w:val="none"/>
        </w:rPr>
        <w:t xml:space="preserve">管理</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提供对医院内不同区域用能定额配置，支持对医院各类能耗量进行管理。</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bookmarkStart w:id="67" w:name="_Toc91490453"/>
      <w:r/>
      <w:bookmarkStart w:id="68" w:name="_Toc91490452"/>
      <w:r>
        <w:rPr>
          <w:rFonts w:hint="eastAsia" w:ascii="宋体" w:hAnsi="宋体" w:eastAsia="宋体" w:cs="宋体"/>
          <w:color w:val="auto"/>
          <w:sz w:val="21"/>
          <w:szCs w:val="21"/>
          <w:highlight w:val="none"/>
        </w:rPr>
        <w:t xml:space="preserve">3.4.1.8能耗报表与报告</w:t>
      </w:r>
      <w:bookmarkEnd w:id="67"/>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支持定制能耗报告格式，并自动生成月度、季度及年度能耗报告。</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3.4.1.9自动抄表</w:t>
      </w:r>
      <w:bookmarkEnd w:id="68"/>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应提供自动抄表功能，可根据需求可配置展示表名、回路名称、位置及表底数的统计，同时支持下载功能。</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bookmarkStart w:id="69" w:name="_Toc24222"/>
      <w:r>
        <w:rPr>
          <w:rFonts w:hint="eastAsia" w:ascii="宋体" w:hAnsi="宋体" w:eastAsia="宋体" w:cs="宋体"/>
          <w:color w:val="auto"/>
          <w:sz w:val="21"/>
          <w:szCs w:val="21"/>
          <w:highlight w:val="none"/>
        </w:rPr>
        <w:t xml:space="preserve">3.4.1.10手动录入</w:t>
      </w:r>
      <w:bookmarkEnd w:id="69"/>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支持移动端APP录入抄表数值；</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支持人工录入/修订某一设备或某一能耗节点的能耗值；</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支持批量录入/修订一段时间的多个能耗值；</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支持录入表头值和消耗值两种方式；</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支持录入/修订后的数值能向上一致性更新，可更新上级统计时段能耗。</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支持在移动端增加手动抄表入口，通过人工定时手动抄表。平台将抄表的数据自动保存到数据库，并能够实现用能数据的统计、分析和展示。</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3.4.1.11双碳管理</w:t>
      </w:r>
      <w:r/>
    </w:p>
    <w:p>
      <w:pPr>
        <w:pStyle w:val="809"/>
        <w:numPr>
          <w:ilvl w:val="1"/>
          <w:numId w:val="17"/>
        </w:numPr>
        <w:spacing w:after="0" w:line="360" w:lineRule="auto"/>
        <w:rPr>
          <w:rFonts w:hint="eastAsia" w:ascii="宋体" w:hAnsi="宋体" w:eastAsia="宋体" w:cs="宋体"/>
          <w:b/>
          <w:bCs/>
          <w:color w:val="auto"/>
          <w:highlight w:val="none"/>
        </w:rPr>
      </w:pPr>
      <w:r/>
      <w:bookmarkStart w:id="70" w:name="_Toc15619"/>
      <w:r>
        <w:rPr>
          <w:rFonts w:hint="eastAsia" w:ascii="宋体" w:hAnsi="宋体" w:eastAsia="宋体" w:cs="宋体"/>
          <w:b/>
          <w:bCs/>
          <w:color w:val="auto"/>
          <w:highlight w:val="none"/>
        </w:rPr>
        <w:t xml:space="preserve">碳总览</w:t>
      </w:r>
      <w:bookmarkEnd w:id="70"/>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展示能耗总量、能耗强度、碳排放总量和碳排放强度等关键指标，并设定目标值和多级预警线。</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支持动态展示不同时间段碳排放数据变化,支持查看不同时间维度趋势，支持碳排放趋势分析。</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支持动态展示各部分占比，可提供“碳排放源分析” 和 “能耗结构分析”图展示不同能源类型占比。</w:t>
      </w:r>
      <w:r/>
    </w:p>
    <w:p>
      <w:pPr>
        <w:pStyle w:val="809"/>
        <w:numPr>
          <w:ilvl w:val="1"/>
          <w:numId w:val="17"/>
        </w:numPr>
        <w:spacing w:after="0" w:line="360" w:lineRule="auto"/>
        <w:rPr>
          <w:rFonts w:hint="eastAsia" w:ascii="宋体" w:hAnsi="宋体" w:eastAsia="宋体" w:cs="宋体"/>
          <w:b/>
          <w:bCs/>
          <w:color w:val="auto"/>
          <w:highlight w:val="none"/>
        </w:rPr>
      </w:pPr>
      <w:r/>
      <w:bookmarkStart w:id="71" w:name="_Toc6819"/>
      <w:r>
        <w:rPr>
          <w:rFonts w:hint="eastAsia" w:ascii="宋体" w:hAnsi="宋体" w:eastAsia="宋体" w:cs="宋体"/>
          <w:b/>
          <w:bCs/>
          <w:color w:val="auto"/>
          <w:highlight w:val="none"/>
        </w:rPr>
        <w:t xml:space="preserve">碳构成</w:t>
      </w:r>
      <w:bookmarkEnd w:id="71"/>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支持设置目标值和多级预警线，一旦数据异常便及时预警。</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支持图形展示直接排放、能源间接排放和其他直接排放等不同范围的占比。</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支持以表格形式，按排放源分类，清晰列出每个排放源所属的范围、二氧化碳的排放量和合计排放量。</w:t>
      </w:r>
      <w:r/>
    </w:p>
    <w:p>
      <w:pPr>
        <w:pStyle w:val="809"/>
        <w:numPr>
          <w:ilvl w:val="1"/>
          <w:numId w:val="17"/>
        </w:numPr>
        <w:spacing w:after="0" w:line="360" w:lineRule="auto"/>
        <w:rPr>
          <w:rFonts w:hint="eastAsia" w:ascii="宋体" w:hAnsi="宋体" w:eastAsia="宋体" w:cs="宋体"/>
          <w:b/>
          <w:bCs/>
          <w:color w:val="auto"/>
          <w:highlight w:val="none"/>
        </w:rPr>
      </w:pPr>
      <w:r/>
      <w:bookmarkStart w:id="72" w:name="_Toc7836"/>
      <w:r>
        <w:rPr>
          <w:rFonts w:hint="eastAsia" w:ascii="宋体" w:hAnsi="宋体" w:eastAsia="宋体" w:cs="宋体"/>
          <w:b/>
          <w:bCs/>
          <w:color w:val="auto"/>
          <w:highlight w:val="none"/>
        </w:rPr>
        <w:t xml:space="preserve">碳排放因子</w:t>
      </w:r>
      <w:bookmarkEnd w:id="72"/>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支持按范围分类展示不同排放源的详细信息，包括名称、所属排放源、测算方式、单位、数值及说明等。</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支持对因子信息进行编辑和删除操作，支持根据实际情况调整和维护因子库，提供用户准确地核算自身碳排放支撑。</w:t>
      </w:r>
      <w:r/>
    </w:p>
    <w:p>
      <w:pPr>
        <w:pStyle w:val="809"/>
        <w:numPr>
          <w:ilvl w:val="1"/>
          <w:numId w:val="17"/>
        </w:numPr>
        <w:spacing w:after="0" w:line="360" w:lineRule="auto"/>
        <w:rPr>
          <w:rFonts w:hint="eastAsia" w:ascii="宋体" w:hAnsi="宋体" w:eastAsia="宋体" w:cs="宋体"/>
          <w:b/>
          <w:bCs/>
          <w:color w:val="auto"/>
          <w:highlight w:val="none"/>
        </w:rPr>
      </w:pPr>
      <w:r/>
      <w:bookmarkStart w:id="73" w:name="_Toc5209"/>
      <w:r>
        <w:rPr>
          <w:rFonts w:hint="eastAsia" w:ascii="宋体" w:hAnsi="宋体" w:eastAsia="宋体" w:cs="宋体"/>
          <w:b/>
          <w:bCs/>
          <w:color w:val="auto"/>
          <w:highlight w:val="none"/>
        </w:rPr>
        <w:t xml:space="preserve">碳</w:t>
      </w:r>
      <w:bookmarkEnd w:id="73"/>
      <w:r>
        <w:rPr>
          <w:rFonts w:hint="eastAsia" w:ascii="宋体" w:hAnsi="宋体" w:eastAsia="宋体" w:cs="宋体"/>
          <w:b/>
          <w:bCs/>
          <w:color w:val="auto"/>
          <w:highlight w:val="none"/>
        </w:rPr>
        <w:t xml:space="preserve">数据录入</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支持按范围分类展示各类能源或物质的信息，包括名称、计算单位、是否自动采集、关联点位、能源消耗量及系数等。</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支持对数据进行录入和编辑操作，确保各类能源消耗数据准确无误。</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支持数据变更后重新计算，及时更新相关结果。</w:t>
      </w:r>
      <w:r/>
    </w:p>
    <w:p>
      <w:pPr>
        <w:pStyle w:val="809"/>
        <w:numPr>
          <w:ilvl w:val="1"/>
          <w:numId w:val="17"/>
        </w:numPr>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碳指标制定</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列表展示各类碳排放相关指标，包括名称、计算公式、更新时间、计算周期、数值及单位等。</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支持对指标进行编辑和删除操作，灵活调整指标体系。</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支持在指标变更后重新计算功能，及时更新相关结果。</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3.4.1.12能耗经济运行核算</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支持以表格的形式在线录入水、电、气、蒸汽、柴油、汽油等能耗类型的用量和金额；</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按照三级公立医院绩效考核及公共机构能耗计算规范要求，统计不同区域万元收入能耗支出、单位建筑面积能耗、人均综合能耗。不同区域可根据业务需求进行自定义组合，生成医疗区、生活区、科研区等区域的能耗指标数据。</w:t>
      </w:r>
      <w:r/>
    </w:p>
    <w:p>
      <w:pPr>
        <w:pStyle w:val="809"/>
        <w:numPr>
          <w:ilvl w:val="0"/>
          <w:numId w:val="16"/>
        </w:numPr>
        <w:ind w:left="0"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支持输出月度、季度、年度等不同时间维度的统计报告，报告中支持以多图表形式呈现用能分析。</w:t>
      </w:r>
      <w:r/>
    </w:p>
    <w:p>
      <w:pPr>
        <w:pStyle w:val="79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3.4.2数据采集要求：</w:t>
      </w:r>
      <w:r/>
    </w:p>
    <w:p>
      <w:pPr>
        <w:pStyle w:val="809"/>
        <w:ind w:firstLine="42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项目建设需要增加对1#楼~3#楼、门诊楼、5#楼、医技楼、7#楼~13#楼、15#楼~20#楼20个点位的能耗远程监测，通过安装监测数据采集器，采集能耗系统的工作参数，采集数据上传至系统。与采集服务配套的采集器需满足以下要求：</w:t>
      </w:r>
      <w:r/>
    </w:p>
    <w:tbl>
      <w:tblPr>
        <w:tblStyle w:val="8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15"/>
        <w:gridCol w:w="1908"/>
        <w:gridCol w:w="4164"/>
        <w:gridCol w:w="844"/>
        <w:gridCol w:w="1234"/>
      </w:tblGrid>
      <w:tr>
        <w:trPr>
          <w:trHeight w:val="346"/>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4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规则参数</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预估数量</w:t>
            </w:r>
            <w:r/>
          </w:p>
        </w:tc>
      </w:tr>
      <w:tr>
        <w:trPr>
          <w:trHeight w:val="1575"/>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04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数据采集网关</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处理器：主频≥1GHZ</w:t>
            </w:r>
            <w:r>
              <w:rPr>
                <w:rFonts w:hint="eastAsia" w:ascii="宋体" w:hAnsi="宋体" w:eastAsia="宋体" w:cs="宋体"/>
                <w:color w:val="auto"/>
                <w:highlight w:val="none"/>
              </w:rPr>
              <w:br/>
            </w:r>
            <w:r>
              <w:rPr>
                <w:rFonts w:hint="eastAsia" w:ascii="宋体" w:hAnsi="宋体" w:eastAsia="宋体" w:cs="宋体"/>
                <w:color w:val="auto"/>
                <w:highlight w:val="none"/>
              </w:rPr>
              <w:t xml:space="preserve">内存：≥512M</w:t>
            </w:r>
            <w:r>
              <w:rPr>
                <w:rFonts w:hint="eastAsia" w:ascii="宋体" w:hAnsi="宋体" w:eastAsia="宋体" w:cs="宋体"/>
                <w:color w:val="auto"/>
                <w:highlight w:val="none"/>
              </w:rPr>
              <w:br/>
            </w:r>
            <w:r>
              <w:rPr>
                <w:rFonts w:hint="eastAsia" w:ascii="宋体" w:hAnsi="宋体" w:eastAsia="宋体" w:cs="宋体"/>
                <w:color w:val="auto"/>
                <w:highlight w:val="none"/>
              </w:rPr>
              <w:t xml:space="preserve">Flash：≥4G</w:t>
            </w:r>
            <w:r>
              <w:rPr>
                <w:rFonts w:hint="eastAsia" w:ascii="宋体" w:hAnsi="宋体" w:eastAsia="宋体" w:cs="宋体"/>
                <w:color w:val="auto"/>
                <w:highlight w:val="none"/>
              </w:rPr>
              <w:br/>
            </w:r>
            <w:r>
              <w:rPr>
                <w:rFonts w:hint="eastAsia" w:ascii="宋体" w:hAnsi="宋体" w:eastAsia="宋体" w:cs="宋体"/>
                <w:color w:val="auto"/>
                <w:highlight w:val="none"/>
              </w:rPr>
              <w:t xml:space="preserve">系统：LINUX系统</w:t>
            </w:r>
            <w:r>
              <w:rPr>
                <w:rFonts w:hint="eastAsia" w:ascii="宋体" w:hAnsi="宋体" w:eastAsia="宋体" w:cs="宋体"/>
                <w:color w:val="auto"/>
                <w:highlight w:val="none"/>
              </w:rPr>
              <w:br/>
            </w:r>
            <w:r>
              <w:rPr>
                <w:rFonts w:hint="eastAsia" w:ascii="宋体" w:hAnsi="宋体" w:eastAsia="宋体" w:cs="宋体"/>
                <w:color w:val="auto"/>
                <w:highlight w:val="none"/>
              </w:rPr>
              <w:t xml:space="preserve">接口：≥2个网口,≥4个RS485接口</w:t>
            </w:r>
            <w:r>
              <w:rPr>
                <w:rFonts w:hint="eastAsia" w:ascii="宋体" w:hAnsi="宋体" w:eastAsia="宋体" w:cs="宋体"/>
                <w:color w:val="auto"/>
                <w:highlight w:val="none"/>
              </w:rPr>
              <w:br/>
            </w:r>
            <w:r>
              <w:rPr>
                <w:rFonts w:hint="eastAsia" w:ascii="宋体" w:hAnsi="宋体" w:eastAsia="宋体" w:cs="宋体"/>
                <w:color w:val="auto"/>
                <w:highlight w:val="none"/>
              </w:rPr>
              <w:t xml:space="preserve">网络：≥2个高性能100M/1000M自适应工业网口,支持AUTO MDI/MDIX</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r>
      <w:tr>
        <w:trPr>
          <w:trHeight w:val="500"/>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04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数据采集箱</w:t>
            </w:r>
            <w:r/>
          </w:p>
        </w:tc>
        <w:tc>
          <w:tcPr>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≥500*400*200，含空开、模数化插座，导轨，线槽等。</w:t>
            </w:r>
            <w:r/>
          </w:p>
        </w:tc>
        <w:tc>
          <w:tcPr>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以上数量仅为参考，本清单所列数量为本项目的最低数量要求。为满足平台建设内容所需要的设备及辅材选型及品牌性能要求等均以现场实际为准。如投标人建设方案采用上述清单设备无法满足系统功能要求，需自行增加设备数量，投标人须在投标</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中体现。</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停车调度管理功能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医院已运行车辆管理系统，实现车辆进出监控、缴费监测、停车位动态管理等，现需通过对接现有系统及院内视频监控系统等提升停车智慧调度与监管。</w:t>
      </w:r>
      <w:r/>
    </w:p>
    <w:p>
      <w:pPr>
        <w:pStyle w:val="798"/>
        <w:ind w:firstLine="422"/>
        <w:spacing w:before="0" w:after="0" w:line="360" w:lineRule="auto"/>
        <w:widowControl/>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3.5.1可视化指挥大屏要求</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全景视图：以电子地图形式直观展示所有车位的分布，并用不同颜色（如绿色/红色）展示车位的空闲/占用状态。</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车位数量管理：实时展现医院地上/地下车位数量，实时展现空闲/占用车位数量及占比；</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车位使用情况统计：可呈现日/周/月/统计车位利用率；</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监控设备管理：可呈现监控摄像头总数、在线/离线设备数及设备在线率；</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当前识别非标车位：可展示当前识别的非标空闲车位信息；</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非机动车违停告警：可展示非机动车违停告警信息，包含告警时间、抓拍截图等告警信息；</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车位布局图：可还原地上车位布局，实时标注车位使用状态；可还原地下车位布局，实时标注车位使用状态。</w:t>
      </w:r>
      <w:r/>
    </w:p>
    <w:p>
      <w:pPr>
        <w:pStyle w:val="798"/>
        <w:ind w:firstLine="422"/>
        <w:spacing w:before="0" w:after="0" w:line="360" w:lineRule="auto"/>
        <w:widowControl/>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3.5.2停车信息管理要求</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当前停车情况：可展示当前的车辆信息列表，支持筛选条件筛选车辆；可展示当前停车的详情信息；</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历史停车情况：可展示历史的车辆信息列表，可筛选条件筛选车辆进出记录；可展示历史停车的单条详情信息；</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当前非标车位管理：可展示当前识别的非标车位信息；</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违停告警：可检测车辆违停信息，管理人员对告警信息确认处理。</w:t>
      </w:r>
      <w:r/>
    </w:p>
    <w:p>
      <w:pPr>
        <w:pStyle w:val="798"/>
        <w:ind w:firstLine="422"/>
        <w:spacing w:before="0" w:after="0" w:line="360" w:lineRule="auto"/>
        <w:widowControl/>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3.5.3基于AI的车道占用管理功能要求</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基于AI的自动检测识别消防通道、禁停区域等违规停放车辆，并立即触发系统告警信息及工单；</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以滚动或弹窗等形式在大屏上显示告警详情（如时间、地点、摄像头编号）。</w:t>
      </w:r>
      <w:r/>
    </w:p>
    <w:p>
      <w:pPr>
        <w:pStyle w:val="798"/>
        <w:ind w:firstLine="422"/>
        <w:spacing w:before="0" w:after="0" w:line="360" w:lineRule="auto"/>
        <w:widowControl/>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3.5.4视频联动功能要求</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监控点位地图：显示摄像头的位置，方便管理者快速定位；</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展示所有的摄像头列表，支持通过筛选条件查询设备；</w:t>
      </w:r>
      <w:r/>
    </w:p>
    <w:p>
      <w:pPr>
        <w:numPr>
          <w:ilvl w:val="0"/>
          <w:numId w:val="18"/>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支持调用任意摄像头的实时视频进行查看，实现可视化管理。</w:t>
      </w:r>
      <w:r/>
    </w:p>
    <w:p>
      <w:pPr>
        <w:pStyle w:val="798"/>
        <w:ind w:firstLine="422"/>
        <w:spacing w:before="0" w:after="0" w:line="360" w:lineRule="auto"/>
        <w:widowControl/>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3.5.5图像识别诊断功能要求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与视频监控等软硬件系统对接开发，实现视频流等影像分析处理。</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房屋管理系统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院总院区共有建筑19栋，分别为1号楼、2号楼、3号楼、门诊楼、5号楼、医技楼、7号楼、8号楼、9号楼、10号楼、11号楼科创中心、12号楼、13号楼、15号楼、16号楼、17号楼、18号楼、19号楼、20号楼（零星建筑，不再列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建设房屋管理系统须实现医院房屋资产全生命周期电子化管理，可展现房屋功能和属性、使用历史及状态、维修信息、改扩建资料，以及调配、拆除等全生命周期数据，实现图纸电子化及便捷调阅。实现全院房屋资产的统一规划、动态监管、高效配置与智能运维。</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3.6.1房屋分类分级管理要求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建立全院房屋“一楼一档、一房一档”的数字化档案，实现房屋资产信息全要素、可视化管理。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建立可自定义层级的目录，将全院所有房屋信息统一格式。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建立两级房屋分类，在“医疗、行政办公、教学、科研、附属用房”等大类下依据用途的不同进一步细化分类，便于完成各项统计。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支持采用科室编码记录使用科室，每个科室对应唯一编码；若房屋所属科室发生变更，房屋使用科室编码对应调整。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支持采用统一的分类分级编码体系维护全院的房屋信息。房屋分级节点具体内容包括但不限于：房屋分类编码、房屋分类名称等。</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3.6.2房屋台账管理要求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创建与编辑更新房屋档案，包括但不限于编码信息、名称、面积、使用科室、管理员、联系方式等。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建立房屋资产标签（二维码）并联动报修、巡检功能。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可在线查阅房屋对应相关图纸和资料。</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3.6.3房屋查询统计功能要求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可自动生成房屋资产管理报表。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可按房屋编码、名称、使用状态或用途分类查询医院房屋资产情况。</w:t>
      </w:r>
      <w:r/>
    </w:p>
    <w:p>
      <w:pPr>
        <w:pStyle w:val="798"/>
        <w:ind w:firstLine="422"/>
        <w:spacing w:before="0" w:after="0" w:line="360" w:lineRule="auto"/>
        <w:tabs>
          <w:tab w:val="left" w:pos="7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3.6.4房屋2.5D电子地图功能要求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支持以2.5D电子地图显示房屋的位置、编号。支持通过电子地图查询房屋的详细信息，包括但不限于：所属部门、管理人员，维修记录等。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支持在电子地图上同一楼层不同科室采用不同颜色标注。</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大模型赋能运维管理功能要求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平台</w:t>
      </w:r>
      <w:r>
        <w:rPr>
          <w:rFonts w:hint="eastAsia" w:ascii="宋体" w:hAnsi="宋体" w:eastAsia="宋体" w:cs="宋体"/>
          <w:color w:val="auto"/>
          <w:highlight w:val="none"/>
          <w:shd w:val="clear" w:color="auto" w:fill="ffffff"/>
        </w:rPr>
        <w:t xml:space="preserve">构建基于大语言模型的智能化运维知识库系统，提升运维效率与精准度。支持整合行业标准与用户内部资料，形成专属知识库；支持智能问答，快速响应故障并提供解决方案；支持融入运维管理全流程，辅助工单提报、分流、执行与验收，实现运维流程的规范化与高效化</w:t>
      </w:r>
      <w:r>
        <w:rPr>
          <w:rFonts w:hint="eastAsia" w:ascii="宋体" w:hAnsi="宋体" w:eastAsia="宋体" w:cs="宋体"/>
          <w:color w:val="auto"/>
          <w:highlight w:val="none"/>
        </w:rPr>
        <w:t xml:space="preserve">。</w:t>
      </w:r>
      <w:r/>
    </w:p>
    <w:p>
      <w:pPr>
        <w:pStyle w:val="796"/>
        <w:ind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移动端应用功能要求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本项目设置独立APP应用，包含以下功能：</w:t>
      </w:r>
      <w:r/>
    </w:p>
    <w:p>
      <w:pPr>
        <w:pStyle w:val="809"/>
        <w:ind w:firstLine="422"/>
        <w:spacing w:after="0" w:line="360" w:lineRule="auto"/>
        <w:widowControl/>
        <w:tabs>
          <w:tab w:val="left" w:pos="783" w:leader="none"/>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3.8.1设备监控：</w:t>
      </w:r>
      <w:r>
        <w:rPr>
          <w:rFonts w:hint="eastAsia" w:ascii="宋体" w:hAnsi="宋体" w:eastAsia="宋体" w:cs="宋体"/>
          <w:color w:val="auto"/>
          <w:highlight w:val="none"/>
        </w:rPr>
        <w:t xml:space="preserve">支持实现实时参数、运行趋势查看；设备的相关技术规范、报警记录、报修记录、巡检记录、维保记录查询。</w:t>
      </w:r>
      <w:r/>
    </w:p>
    <w:p>
      <w:pPr>
        <w:pStyle w:val="809"/>
        <w:ind w:firstLine="422"/>
        <w:spacing w:after="0" w:line="360" w:lineRule="auto"/>
        <w:widowControl/>
        <w:tabs>
          <w:tab w:val="left" w:pos="783" w:leader="none"/>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3.8.2能源管理</w:t>
      </w:r>
      <w:r>
        <w:rPr>
          <w:rFonts w:hint="eastAsia" w:ascii="宋体" w:hAnsi="宋体" w:eastAsia="宋体" w:cs="宋体"/>
          <w:color w:val="auto"/>
          <w:highlight w:val="none"/>
        </w:rPr>
        <w:t xml:space="preserve">：支持实时能耗数据查询，用能趋势查询；支持移动端APP录入抄表数值，提供手动抄表入口，通过人工定时手动抄表，将抄表的数据自动保存到数据库，并能够实现用能数据的统计、分析和展示。</w:t>
      </w:r>
      <w:r/>
    </w:p>
    <w:p>
      <w:pPr>
        <w:pStyle w:val="809"/>
        <w:ind w:firstLine="422"/>
        <w:spacing w:after="0" w:line="360" w:lineRule="auto"/>
        <w:widowControl/>
        <w:tabs>
          <w:tab w:val="left" w:pos="783" w:leader="none"/>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3.8.3报警管理：</w:t>
      </w:r>
      <w:r>
        <w:rPr>
          <w:rFonts w:hint="eastAsia" w:ascii="宋体" w:hAnsi="宋体" w:eastAsia="宋体" w:cs="宋体"/>
          <w:color w:val="auto"/>
          <w:highlight w:val="none"/>
        </w:rPr>
        <w:t xml:space="preserve">支持实时报警的系统通知推送；展示实时报警信息以及对报警信息进行处理。</w:t>
      </w:r>
      <w:r/>
    </w:p>
    <w:p>
      <w:pPr>
        <w:pStyle w:val="809"/>
        <w:ind w:firstLine="422"/>
        <w:spacing w:after="0" w:line="360" w:lineRule="auto"/>
        <w:widowControl/>
        <w:tabs>
          <w:tab w:val="left" w:pos="783" w:leader="none"/>
        </w:tabs>
        <w:rPr>
          <w:rFonts w:hint="eastAsia" w:ascii="宋体" w:hAnsi="宋体" w:eastAsia="宋体" w:cs="宋体"/>
          <w:color w:val="auto"/>
          <w:highlight w:val="none"/>
        </w:rPr>
      </w:pPr>
      <w:r>
        <w:rPr>
          <w:rFonts w:hint="eastAsia" w:ascii="宋体" w:hAnsi="宋体" w:eastAsia="宋体" w:cs="宋体"/>
          <w:b/>
          <w:color w:val="auto"/>
          <w:highlight w:val="none"/>
        </w:rPr>
        <w:t xml:space="preserve">3.8.4视频查看：</w:t>
      </w:r>
      <w:r>
        <w:rPr>
          <w:rFonts w:hint="eastAsia" w:ascii="宋体" w:hAnsi="宋体" w:eastAsia="宋体" w:cs="宋体"/>
          <w:color w:val="auto"/>
          <w:highlight w:val="none"/>
        </w:rPr>
        <w:t xml:space="preserve">支持实时视频查看。</w:t>
      </w:r>
      <w:r/>
    </w:p>
    <w:p>
      <w:pPr>
        <w:pStyle w:val="809"/>
        <w:ind w:firstLine="422"/>
        <w:spacing w:after="0" w:line="360" w:lineRule="auto"/>
        <w:widowControl/>
        <w:tabs>
          <w:tab w:val="left" w:pos="783" w:leader="none"/>
        </w:tabs>
        <w:rPr>
          <w:rFonts w:hint="eastAsia" w:ascii="宋体" w:hAnsi="宋体" w:eastAsia="宋体" w:cs="宋体"/>
          <w:color w:val="auto"/>
          <w:highlight w:val="none"/>
        </w:rPr>
      </w:pPr>
      <w:r>
        <w:rPr>
          <w:rFonts w:hint="eastAsia" w:ascii="宋体" w:hAnsi="宋体" w:eastAsia="宋体" w:cs="宋体"/>
          <w:b/>
          <w:color w:val="auto"/>
          <w:highlight w:val="none"/>
        </w:rPr>
        <w:t xml:space="preserve">3.8.5房屋管理：</w:t>
      </w:r>
      <w:r>
        <w:rPr>
          <w:rFonts w:hint="eastAsia" w:ascii="宋体" w:hAnsi="宋体" w:eastAsia="宋体" w:cs="宋体"/>
          <w:color w:val="auto"/>
          <w:highlight w:val="none"/>
        </w:rPr>
        <w:t xml:space="preserve">支持查询房屋资产相关信息（含2.5D电子地图显示）。</w:t>
      </w:r>
      <w:r/>
    </w:p>
    <w:p>
      <w:pPr>
        <w:pStyle w:val="795"/>
        <w:spacing w:before="0" w:after="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六、项目服务要求</w:t>
      </w:r>
      <w:r/>
    </w:p>
    <w:p>
      <w:pPr>
        <w:pStyle w:val="796"/>
        <w:numPr>
          <w:ilvl w:val="0"/>
          <w:numId w:val="19"/>
        </w:numPr>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项目实施要求</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实施计划：投标人应制定切实可行的项目实施方案和实施计划。方案中要明确各阶段的目标、各阶段的实施内容、管理控制措施、以及阶段性成果等。</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项目过程管理：在项目实施过程中，采购人对项目进度、软硬件质量和工作状态进行监督控制，中标人应全面配合，定期向采购人提交项目进展情况报告。采购人有权要求中标人对问题进行整改，中标人必须及时响应，排查解决问题。如整改不到位，采购人有权要求暂停或终止，由此造成的经济损失由中标人承担。</w:t>
      </w:r>
      <w:r/>
    </w:p>
    <w:p>
      <w:pPr>
        <w:pStyle w:val="841"/>
        <w:ind w:left="-2" w:firstLine="422"/>
        <w:spacing w:line="360" w:lineRule="auto"/>
        <w:rPr>
          <w:rFonts w:hint="eastAsia" w:ascii="宋体" w:hAnsi="宋体" w:eastAsia="宋体" w:cs="宋体"/>
          <w:b/>
          <w:bCs/>
          <w:i/>
          <w:iCs/>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项目质量与进度保障：为保障项目顺利实施，投标人需要提供项目质量保障措施和进度保障措施，明确项目实施流程；确保最终项目满足产品需求并遵循系统设计，以保障交付给用户的是完整、稳定、可靠的产品。</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实施团队：中标人需为本项目组建专业实施团队，专业分配合理，至少包括项目经理、技术负责人、设计、开发、设备安装、安全保障等人员。</w:t>
      </w:r>
      <w:r>
        <w:rPr>
          <w:rFonts w:hint="eastAsia" w:ascii="宋体" w:hAnsi="宋体" w:eastAsia="宋体" w:cs="宋体"/>
          <w:i/>
          <w:iCs/>
          <w:color w:val="auto"/>
          <w:highlight w:val="none"/>
          <w:u w:val="single"/>
        </w:rPr>
        <w:t xml:space="preserve">在项目试运行期间提供不少于1人的驻场运维服务。</w:t>
      </w:r>
      <w:r>
        <w:rPr>
          <w:rFonts w:hint="eastAsia" w:ascii="宋体" w:hAnsi="宋体" w:eastAsia="宋体" w:cs="宋体"/>
          <w:b/>
          <w:bCs/>
          <w:i/>
          <w:iCs/>
          <w:color w:val="auto"/>
          <w:highlight w:val="none"/>
          <w:u w:val="single"/>
        </w:rPr>
        <w:t xml:space="preserve">（提供承诺函加盖投标人公章，原件扫描上传，格式自拟）</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实施安全要求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中标人全面负责本项目的安全管理工作，在项目履行期间必须实施必要的安全防护措施及防火策略。若因中标人的原因导致任何人员伤亡、财产损失或其他形式的损失事件发生，其责任完全由中标人承担，与采购人无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（2）中标人严格遵循采购人及相关部门制定的现场交通管理、噪音控制、环境卫生维护以及防止污染的各项规定。</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进行动火作业时，应按照人员密集场所动火管理规定，确保所有操作均符合安全标准，并采取有效措施保障改造区域及其周边环境的安全。如因未能遵循上述要求而引发的问题或损害，所有责任由中标人承担，与采购人无关。</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项目工期要求：合同签订后90个日历天完成上线，试运行1个月后，组织项目验收。</w:t>
      </w:r>
      <w:r/>
    </w:p>
    <w:p>
      <w:pPr>
        <w:pStyle w:val="841"/>
        <w:ind w:left="-2"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i/>
          <w:iCs/>
          <w:color w:val="auto"/>
          <w:highlight w:val="none"/>
          <w:u w:val="single"/>
        </w:rPr>
        <w:t xml:space="preserve">投标人中标后，须在交付使用期内完成与医院智慧后勤运维平台、智慧消防系统、智慧水务、停车管理系统的功能整合、数据对接和一体化全景融合展示，若无法完成，</w:t>
      </w:r>
      <w:r>
        <w:rPr>
          <w:rFonts w:hint="eastAsia" w:ascii="宋体" w:hAnsi="宋体" w:eastAsia="宋体" w:cs="宋体"/>
          <w:i/>
          <w:iCs/>
          <w:color w:val="auto"/>
          <w:highlight w:val="none"/>
          <w:u w:val="single"/>
          <w:lang w:val="en-US" w:eastAsia="zh-CN"/>
        </w:rPr>
        <w:t xml:space="preserve">采购人</w:t>
      </w:r>
      <w:r>
        <w:rPr>
          <w:rFonts w:hint="eastAsia" w:ascii="宋体" w:hAnsi="宋体" w:eastAsia="宋体" w:cs="宋体"/>
          <w:i/>
          <w:iCs/>
          <w:color w:val="auto"/>
          <w:highlight w:val="none"/>
          <w:u w:val="single"/>
        </w:rPr>
        <w:t xml:space="preserve">有权单方面解除合同，项目实施过程中所发生的一切费用由投标人自行承担，与采购人无关。</w:t>
      </w:r>
      <w:r>
        <w:rPr>
          <w:rFonts w:hint="eastAsia" w:ascii="宋体" w:hAnsi="宋体" w:eastAsia="宋体" w:cs="宋体"/>
          <w:b/>
          <w:bCs/>
          <w:i/>
          <w:iCs/>
          <w:color w:val="auto"/>
          <w:highlight w:val="none"/>
          <w:u w:val="single"/>
        </w:rPr>
        <w:t xml:space="preserve">（提供承诺函加盖投标人公章，原件扫描上传，格式自拟）</w:t>
      </w:r>
      <w:r/>
    </w:p>
    <w:p>
      <w:pPr>
        <w:pStyle w:val="796"/>
        <w:numPr>
          <w:ilvl w:val="0"/>
          <w:numId w:val="19"/>
        </w:numPr>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项目售后服务要求</w:t>
      </w:r>
      <w:r/>
    </w:p>
    <w:p>
      <w:pPr>
        <w:pStyle w:val="841"/>
        <w:numPr>
          <w:ilvl w:val="0"/>
          <w:numId w:val="20"/>
        </w:numPr>
        <w:ind w:left="0" w:firstLine="420"/>
        <w:spacing w:line="360" w:lineRule="auto"/>
        <w:rPr>
          <w:rFonts w:hint="eastAsia" w:ascii="宋体" w:hAnsi="宋体" w:eastAsia="宋体" w:cs="宋体"/>
          <w:color w:val="auto"/>
          <w:highlight w:val="none"/>
        </w:rPr>
      </w:pPr>
      <w:r>
        <w:rPr>
          <w:rFonts w:hint="eastAsia" w:ascii="宋体" w:hAnsi="宋体" w:eastAsia="宋体" w:cs="宋体"/>
          <w:i/>
          <w:iCs/>
          <w:color w:val="auto"/>
          <w:highlight w:val="none"/>
          <w:u w:val="single"/>
        </w:rPr>
        <w:t xml:space="preserve">服务期要求：中标人需提供自项目验收合格之日起三年免费运维服务。本项目所交付的服务（包含与服务相关的货物及软件）归属采购人所有。</w:t>
      </w:r>
      <w:r>
        <w:rPr>
          <w:rFonts w:hint="eastAsia" w:ascii="宋体" w:hAnsi="宋体" w:eastAsia="宋体" w:cs="宋体"/>
          <w:b/>
          <w:bCs/>
          <w:i/>
          <w:iCs/>
          <w:color w:val="auto"/>
          <w:highlight w:val="none"/>
          <w:u w:val="single"/>
        </w:rPr>
        <w:t xml:space="preserve">（提供承诺函加盖投标人公章，原件扫描上传，格式自拟）</w:t>
      </w:r>
      <w:r/>
    </w:p>
    <w:p>
      <w:pPr>
        <w:pStyle w:val="841"/>
        <w:numPr>
          <w:ilvl w:val="0"/>
          <w:numId w:val="2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服务体系：运维服务期内需安排专业的运维人员提供全方位支持。</w:t>
      </w:r>
      <w:r/>
    </w:p>
    <w:p>
      <w:pPr>
        <w:pStyle w:val="841"/>
        <w:numPr>
          <w:ilvl w:val="0"/>
          <w:numId w:val="20"/>
        </w:numPr>
        <w:ind w:left="0" w:firstLine="422"/>
        <w:spacing w:line="360" w:lineRule="auto"/>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服务响应时间要求：中标人在运维期内应免费提供7*24小时的技术支持和服务。承诺故障响应时间小于30分钟，远程无法解决的故障，需在1小时内到达现场，对于影响系统运行的故障保证24小时内修复，不影响系统运行的故障保证48小时内修复。（提供承诺函加盖投标人公章，原件扫描上传，格式自拟格式自拟，原件扫描上传）</w:t>
      </w:r>
      <w:r/>
    </w:p>
    <w:p>
      <w:pPr>
        <w:pStyle w:val="841"/>
        <w:numPr>
          <w:ilvl w:val="0"/>
          <w:numId w:val="2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服务内容要求：在项目运维期内，中标人需免费负责系统软、硬件的安装、运行、维护和升级服务，对系统运行进行定期巡检，根据巡检情况进行系统分析和优化。</w:t>
      </w:r>
      <w:r/>
    </w:p>
    <w:p>
      <w:pPr>
        <w:pStyle w:val="841"/>
        <w:numPr>
          <w:ilvl w:val="0"/>
          <w:numId w:val="2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项目运维期内，中标人需负责对其提供的硬件设备、软件系统进行现场维修服务，不收取额外费用。系统和设备由于施工质量或产品本身质量原因造成的损伤或损坏，中标人须免费修理或更换，由此产生的费用由中标人承担。</w:t>
      </w:r>
      <w:r/>
    </w:p>
    <w:p>
      <w:pPr>
        <w:pStyle w:val="841"/>
        <w:numPr>
          <w:ilvl w:val="0"/>
          <w:numId w:val="2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应急响应服务要求：投标人应具备成熟的应急响应服务体系，能针对系统出现的突发情况给予技术支持和应急响应服务，并提供针对重大节日活动、会议期间的技术保障。</w:t>
      </w:r>
      <w:r/>
    </w:p>
    <w:p>
      <w:pPr>
        <w:pStyle w:val="841"/>
        <w:numPr>
          <w:ilvl w:val="0"/>
          <w:numId w:val="20"/>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质保期满后，中标人提供终身售后服务，维保费不得高于中标价的8%。</w:t>
      </w:r>
      <w:r/>
    </w:p>
    <w:p>
      <w:pPr>
        <w:pStyle w:val="796"/>
        <w:numPr>
          <w:ilvl w:val="0"/>
          <w:numId w:val="19"/>
        </w:numPr>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项目培训要求</w:t>
      </w:r>
      <w:r/>
    </w:p>
    <w:p>
      <w:pPr>
        <w:pStyle w:val="841"/>
        <w:numPr>
          <w:ilvl w:val="0"/>
          <w:numId w:val="21"/>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投标人需提供满足本项目的项目培训方案，使采购人能够熟练地对系统进行操作和运用。培训的具体时间根据采购人要求进行。培训场地应可以提供系统运行所需网络环境进行实操学习。</w:t>
      </w:r>
      <w:r/>
    </w:p>
    <w:p>
      <w:pPr>
        <w:pStyle w:val="841"/>
        <w:numPr>
          <w:ilvl w:val="0"/>
          <w:numId w:val="21"/>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投标人负责提供培训计划，培训资料，为每位受训人员发放培训资料，采购人有权在系统内部使用这些资料。</w:t>
      </w:r>
      <w:r/>
    </w:p>
    <w:p>
      <w:pPr>
        <w:pStyle w:val="841"/>
        <w:numPr>
          <w:ilvl w:val="0"/>
          <w:numId w:val="21"/>
        </w:num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投标人提供本项目详细的、涵盖所有软件及设备各个模块的操作使用手册。</w:t>
      </w:r>
      <w:r/>
    </w:p>
    <w:p>
      <w:pPr>
        <w:pStyle w:val="795"/>
        <w:spacing w:before="0" w:after="0" w:line="360" w:lineRule="auto"/>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 xml:space="preserve">三、演示要求</w:t>
      </w:r>
      <w:r/>
    </w:p>
    <w:p>
      <w:pPr>
        <w:pStyle w:val="809"/>
        <w:ind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人需按照招标文件第五章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w:t>
      </w:r>
      <w:r/>
    </w:p>
    <w:tbl>
      <w:tblPr>
        <w:tblStyle w:val="804"/>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271"/>
        <w:gridCol w:w="6742"/>
      </w:tblGrid>
      <w:tr>
        <w:trPr>
          <w:trHeight w:val="500"/>
        </w:trPr>
        <w:tc>
          <w:tcPr>
            <w:tcW w:w="0" w:type="auto"/>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功能大项</w:t>
            </w:r>
            <w:r/>
          </w:p>
        </w:tc>
        <w:tc>
          <w:tcPr>
            <w:tcW w:w="0" w:type="auto"/>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具体功能点</w:t>
            </w:r>
            <w:r/>
          </w:p>
        </w:tc>
        <w:tc>
          <w:tcPr>
            <w:tcW w:w="0" w:type="auto"/>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演示内容</w:t>
            </w:r>
            <w:r/>
          </w:p>
        </w:tc>
      </w:tr>
      <w:tr>
        <w:trPr>
          <w:trHeight w:val="936"/>
        </w:trPr>
        <w:tc>
          <w:tcPr>
            <w:tcW w:w="0" w:type="auto"/>
            <w:vAlign w:val="center"/>
            <w:vMerge w:val="restart"/>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报警管理</w:t>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报警弹窗</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报警弹窗中同时显示报警设备名称、报警描述、当前报警值及趋势、显示关联的视频和BIM、工单触发按钮、报警标记按钮。</w:t>
            </w:r>
            <w:r/>
          </w:p>
        </w:tc>
      </w:tr>
      <w:tr>
        <w:trPr>
          <w:trHeight w:val="1414"/>
        </w:trPr>
        <w:tc>
          <w:tcPr>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报警列表</w:t>
            </w:r>
            <w:r/>
          </w:p>
        </w:tc>
        <w:tc>
          <w:tcPr>
            <w:tcW w:w="0" w:type="auto"/>
            <w:vAlign w:val="center"/>
            <w:textDirection w:val="lrTb"/>
            <w:noWrap w:val="false"/>
          </w:tcPr>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报警列表包含实时报警、处理中报警、屏蔽中报警、已关闭报警。支持在列表中模糊搜索、按时间搜索、按子系统搜索、按报警等级搜索、按时间进行正序或倒序进行排序。支持在列表中直接查看报警的详情弹窗，支持在列表中定位报警设备在平面模型中的位置。支持在列表中直接对报警进行屏蔽处理、播报处理、关闭处理等操作。</w:t>
            </w:r>
            <w:r/>
          </w:p>
        </w:tc>
      </w:tr>
      <w:tr>
        <w:trPr>
          <w:trHeight w:val="624"/>
        </w:trPr>
        <w:tc>
          <w:tcPr>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自定义报警</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支持用户自定义报警规则，包含报警动作、报警级别、报警延迟时间、报警类型、报警描述、报警条件。</w:t>
            </w:r>
            <w:r/>
          </w:p>
        </w:tc>
      </w:tr>
      <w:tr>
        <w:trPr>
          <w:trHeight w:val="764"/>
        </w:trPr>
        <w:tc>
          <w:tcPr>
            <w:tcW w:w="0" w:type="auto"/>
            <w:vAlign w:val="center"/>
            <w:vMerge w:val="restart"/>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双碳管理</w:t>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碳总览</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页面中包含能耗总量、能耗强度、碳排总量、碳排放强度、碳排放分析趋势图、碳排放组成分析图、碳排放源分析、能耗结构分析。</w:t>
            </w:r>
            <w:r/>
          </w:p>
        </w:tc>
      </w:tr>
      <w:tr>
        <w:trPr>
          <w:trHeight w:val="1129"/>
        </w:trPr>
        <w:tc>
          <w:tcPr>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排放因子</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页面内置</w:t>
            </w:r>
            <w:bookmarkStart w:id="74" w:name="OLE_LINK8"/>
            <w:r>
              <w:rPr>
                <w:rFonts w:hint="eastAsia" w:ascii="宋体" w:hAnsi="宋体" w:eastAsia="宋体" w:cs="宋体"/>
                <w:color w:val="auto"/>
                <w:highlight w:val="none"/>
              </w:rPr>
              <w:t xml:space="preserve">范围一、范围二、范围三的</w:t>
            </w:r>
            <w:bookmarkEnd w:id="74"/>
            <w:r>
              <w:rPr>
                <w:rFonts w:hint="eastAsia" w:ascii="宋体" w:hAnsi="宋体" w:eastAsia="宋体" w:cs="宋体"/>
                <w:color w:val="auto"/>
                <w:highlight w:val="none"/>
              </w:rPr>
              <w:t xml:space="preserve">排放因子库。包括排放因子名称、排放源、测算方式、单位、数值。支持用户自定义增加排放因子，或调整每个排放因子的具体参数及数值。</w:t>
            </w:r>
            <w:r/>
          </w:p>
        </w:tc>
      </w:tr>
      <w:tr>
        <w:trPr>
          <w:trHeight w:val="706"/>
        </w:trPr>
        <w:tc>
          <w:tcPr>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数据录入</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支持基于排放因子进行数据录入，支持自动关联采集的能耗数据自动统计分析，支持用户手动输入能源消耗量完成统计分析。</w:t>
            </w:r>
            <w:r/>
          </w:p>
        </w:tc>
      </w:tr>
      <w:tr>
        <w:trPr>
          <w:trHeight w:val="624"/>
        </w:trPr>
        <w:tc>
          <w:tcPr>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指标制定</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支持用户按月度或年度的计算周期、业务参数和系统参数完成指标制定。</w:t>
            </w:r>
            <w:r/>
          </w:p>
        </w:tc>
      </w:tr>
      <w:tr>
        <w:trPr>
          <w:trHeight w:val="576"/>
        </w:trPr>
        <w:tc>
          <w:tcPr>
            <w:tcW w:w="0" w:type="auto"/>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0" w:type="auto"/>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碳构成</w:t>
            </w:r>
            <w:r/>
          </w:p>
        </w:tc>
        <w:tc>
          <w:tcPr>
            <w:tcW w:w="0" w:type="auto"/>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系统根据排放因子、系统采集的能耗数据、用户手动录入的能耗数据自动统计不同范围的碳构成。包括碳排放总量、不同范围的二氧化碳量。</w:t>
            </w:r>
            <w:r/>
          </w:p>
        </w:tc>
      </w:tr>
    </w:tbl>
    <w:p>
      <w:pPr>
        <w:pStyle w:val="980"/>
        <w:rPr>
          <w:rFonts w:hint="eastAsia" w:ascii="宋体" w:hAnsi="宋体" w:eastAsia="宋体" w:cs="宋体"/>
          <w:color w:val="auto"/>
          <w:highlight w:val="none"/>
        </w:rPr>
      </w:pPr>
      <w:r>
        <w:rPr>
          <w:rFonts w:hint="eastAsia" w:ascii="宋体" w:hAnsi="宋体" w:eastAsia="宋体" w:cs="宋体"/>
          <w:color w:val="auto"/>
          <w:sz w:val="21"/>
          <w:highlight w:val="none"/>
        </w:rPr>
        <w:t xml:space="preserve"> </w:t>
      </w:r>
      <w:r/>
    </w:p>
    <w:p>
      <w:pPr>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r/>
    </w:p>
    <w:p>
      <w:pPr>
        <w:pStyle w:val="980"/>
        <w:rPr>
          <w:rFonts w:hint="eastAsia" w:ascii="宋体" w:hAnsi="宋体" w:eastAsia="宋体" w:cs="宋体"/>
          <w:color w:val="auto"/>
          <w:highlight w:val="none"/>
        </w:rPr>
      </w:pPr>
      <w:r>
        <w:rPr>
          <w:rFonts w:hint="eastAsia" w:ascii="宋体" w:hAnsi="宋体" w:eastAsia="宋体" w:cs="宋体"/>
          <w:color w:val="auto"/>
          <w:highlight w:val="none"/>
        </w:rPr>
        <w:t xml:space="preserve">第五章评标方法与评标标准</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8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本项目不专门面向中小企业。</w:t>
      </w:r>
      <w:r/>
    </w:p>
    <w:tbl>
      <w:tblPr>
        <w:tblStyle w:val="827"/>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62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4"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否</w:t>
            </w:r>
            <w:r/>
          </w:p>
        </w:tc>
      </w:tr>
    </w:tbl>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1、小微型企业价格扣除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（1）本项目对小型和微型企业产品给予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的扣除价格，用扣除后的价格参与评审。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（2）投标人需按照采购文件的要求提供相应的《中小企业声明函》。</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2、残疾人福利单位价格扣除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（2）残疾人福利单位需按照采购文件的要求提供《残疾人福利性单位声明函》。</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3、监狱和戒毒企业价格扣除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4、残疾人福利单位、监狱企业属于小型、微型企业的，不重复享受政策。</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价格扣除，用扣除后的价格参与评审。</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评标方法与评标标准</w:t>
      </w:r>
      <w:r/>
    </w:p>
    <w:tbl>
      <w:tblPr>
        <w:tblStyle w:val="80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3"/>
        <w:gridCol w:w="7876"/>
      </w:tblGrid>
      <w:tr>
        <w:trPr>
          <w:jc w:val="center"/>
          <w:trHeight w:val="285"/>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center"/>
              <w:spacing w:before="120" w:after="120" w:line="400" w:lineRule="atLeast"/>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评分标准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以满足招标文件要求的最低投标报价为评标基准价，得满分10分，其他投标报价得分＝（评标基准价/其他投标报价）×10×100％。</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技术方案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（41分）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平台总体设计方案（3分）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包括平台架构、技术架构与现有系统对接、信息安全设计等内容。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方案优于项目要求得3分；符合项目要求得1分；不符合项目要求或未提供得0分。</w:t>
            </w:r>
            <w:r/>
          </w:p>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集中一体化安全监控系统（扩容部分）：（6分）</w:t>
            </w:r>
            <w:r/>
          </w:p>
          <w:p>
            <w:pPr>
              <w:jc w:val="left"/>
              <w:spacing w:line="360" w:lineRule="auto"/>
              <w:widowControl/>
              <w:rPr>
                <w:rStyle w:val="1104"/>
                <w:rFonts w:hint="eastAsia" w:ascii="宋体" w:hAnsi="宋体" w:eastAsia="宋体" w:cs="宋体"/>
                <w:color w:val="auto"/>
                <w:sz w:val="21"/>
                <w:szCs w:val="21"/>
                <w:highlight w:val="none"/>
              </w:rPr>
            </w:pPr>
            <w:r>
              <w:rPr>
                <w:rStyle w:val="1104"/>
                <w:rFonts w:hint="eastAsia" w:ascii="宋体" w:hAnsi="宋体" w:eastAsia="宋体" w:cs="宋体"/>
                <w:color w:val="auto"/>
                <w:sz w:val="21"/>
                <w:szCs w:val="21"/>
                <w:highlight w:val="none"/>
              </w:rPr>
              <w:t xml:space="preserve">包括UPS系统设备管理、配电间系统管理、热交换系统管理、生活热水系统管理、集水井系统管理、视频监控的建设方案。</w:t>
            </w:r>
            <w:r/>
          </w:p>
          <w:p>
            <w:pPr>
              <w:jc w:val="left"/>
              <w:spacing w:line="360" w:lineRule="auto"/>
              <w:widowControl/>
              <w:rPr>
                <w:rStyle w:val="1104"/>
                <w:rFonts w:hint="eastAsia" w:ascii="宋体" w:hAnsi="宋体" w:eastAsia="宋体" w:cs="宋体"/>
                <w:color w:val="auto"/>
                <w:sz w:val="21"/>
                <w:szCs w:val="21"/>
                <w:highlight w:val="none"/>
              </w:rPr>
            </w:pPr>
            <w:r/>
            <w:bookmarkStart w:id="75" w:name="OLE_LINK21"/>
            <w:r/>
            <w:bookmarkStart w:id="76" w:name="OLE_LINK1"/>
            <w:r>
              <w:rPr>
                <w:rStyle w:val="1104"/>
                <w:rFonts w:hint="eastAsia" w:ascii="宋体" w:hAnsi="宋体" w:eastAsia="宋体" w:cs="宋体"/>
                <w:color w:val="auto"/>
                <w:sz w:val="21"/>
                <w:szCs w:val="21"/>
                <w:highlight w:val="none"/>
              </w:rPr>
              <w:t xml:space="preserve">（1）建设方案优于项目要求，得3分；方案符合项目要求，得1分；未提供不得分； </w:t>
            </w:r>
            <w:r/>
          </w:p>
          <w:p>
            <w:pPr>
              <w:spacing w:line="360" w:lineRule="auto"/>
              <w:rPr>
                <w:rFonts w:hint="eastAsia" w:ascii="宋体" w:hAnsi="宋体" w:eastAsia="宋体" w:cs="宋体"/>
                <w:color w:val="auto"/>
                <w:sz w:val="21"/>
                <w:szCs w:val="21"/>
                <w:highlight w:val="none"/>
              </w:rPr>
            </w:pPr>
            <w:r/>
            <w:bookmarkStart w:id="77" w:name="OLE_LINK5"/>
            <w:r/>
            <w:bookmarkStart w:id="78" w:name="OLE_LINK6"/>
            <w:r>
              <w:rPr>
                <w:rStyle w:val="1104"/>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投标人需提供适配医院实际情况的</w:t>
            </w:r>
            <w:r>
              <w:rPr>
                <w:rFonts w:hint="eastAsia" w:ascii="宋体" w:hAnsi="宋体" w:eastAsia="宋体" w:cs="宋体"/>
                <w:color w:val="auto"/>
                <w:sz w:val="21"/>
                <w:szCs w:val="21"/>
                <w:highlight w:val="none"/>
                <w:lang w:val="en-US" w:eastAsia="zh-CN"/>
              </w:rPr>
              <w:t xml:space="preserve">专项施工</w:t>
            </w:r>
            <w:r>
              <w:rPr>
                <w:rFonts w:hint="eastAsia" w:ascii="宋体" w:hAnsi="宋体" w:eastAsia="宋体" w:cs="宋体"/>
                <w:color w:val="auto"/>
                <w:sz w:val="21"/>
                <w:szCs w:val="21"/>
                <w:highlight w:val="none"/>
              </w:rPr>
              <w:t xml:space="preserve">方案，包含不限于施工进度计划、电源配置、线（管）路铺设、人员安排、应急预案等。</w:t>
            </w:r>
            <w:r/>
          </w:p>
          <w:p>
            <w:pPr>
              <w:jc w:val="left"/>
              <w:spacing w:line="360" w:lineRule="auto"/>
              <w:widowControl/>
              <w:rPr>
                <w:rStyle w:val="1104"/>
                <w:rFonts w:hint="eastAsia" w:ascii="宋体" w:hAnsi="宋体" w:eastAsia="宋体" w:cs="宋体"/>
                <w:color w:val="auto"/>
                <w:sz w:val="21"/>
                <w:szCs w:val="21"/>
                <w:highlight w:val="none"/>
              </w:rPr>
            </w:pPr>
            <w:r/>
            <w:bookmarkStart w:id="79" w:name="OLE_LINK14"/>
            <w:r/>
            <w:bookmarkStart w:id="80" w:name="OLE_LINK12"/>
            <w:r/>
            <w:bookmarkStart w:id="81" w:name="OLE_LINK13"/>
            <w:r>
              <w:rPr>
                <w:rFonts w:hint="eastAsia" w:ascii="宋体" w:hAnsi="宋体" w:eastAsia="宋体" w:cs="宋体"/>
                <w:color w:val="auto"/>
                <w:sz w:val="21"/>
                <w:szCs w:val="21"/>
                <w:highlight w:val="none"/>
                <w:lang w:val="en-US" w:eastAsia="zh-CN"/>
              </w:rPr>
              <w:t xml:space="preserve">施工</w:t>
            </w:r>
            <w:r>
              <w:rPr>
                <w:rStyle w:val="1104"/>
                <w:rFonts w:hint="eastAsia" w:ascii="宋体" w:hAnsi="宋体" w:eastAsia="宋体" w:cs="宋体"/>
                <w:color w:val="auto"/>
                <w:sz w:val="21"/>
                <w:szCs w:val="21"/>
                <w:highlight w:val="none"/>
              </w:rPr>
              <w:t xml:space="preserve">方案全面合理、逻辑严密，</w:t>
            </w:r>
            <w:r>
              <w:rPr>
                <w:rFonts w:hint="eastAsia" w:ascii="宋体" w:hAnsi="宋体" w:eastAsia="宋体" w:cs="宋体"/>
                <w:color w:val="auto"/>
                <w:sz w:val="21"/>
                <w:szCs w:val="21"/>
                <w:highlight w:val="none"/>
              </w:rPr>
              <w:t xml:space="preserve">具备医疗行业针对性</w:t>
            </w:r>
            <w:r>
              <w:rPr>
                <w:rStyle w:val="1104"/>
                <w:rFonts w:hint="eastAsia" w:ascii="宋体" w:hAnsi="宋体" w:eastAsia="宋体" w:cs="宋体"/>
                <w:color w:val="auto"/>
                <w:sz w:val="21"/>
                <w:szCs w:val="21"/>
                <w:highlight w:val="none"/>
              </w:rPr>
              <w:t xml:space="preserve">，能充分减少对医疗业务开展影响，</w:t>
            </w:r>
            <w:r>
              <w:rPr>
                <w:rFonts w:hint="eastAsia" w:ascii="宋体" w:hAnsi="宋体" w:eastAsia="宋体" w:cs="宋体"/>
                <w:color w:val="auto"/>
                <w:sz w:val="21"/>
                <w:szCs w:val="21"/>
                <w:highlight w:val="none"/>
                <w:lang w:val="en-US" w:eastAsia="zh-CN"/>
              </w:rPr>
              <w:t xml:space="preserve">施工</w:t>
            </w:r>
            <w:r>
              <w:rPr>
                <w:rStyle w:val="1104"/>
                <w:rFonts w:hint="eastAsia" w:ascii="宋体" w:hAnsi="宋体" w:eastAsia="宋体" w:cs="宋体"/>
                <w:color w:val="auto"/>
                <w:sz w:val="21"/>
                <w:szCs w:val="21"/>
                <w:highlight w:val="none"/>
              </w:rPr>
              <w:t xml:space="preserve">方案切实可行，内容描述详细的得3分；</w:t>
            </w:r>
            <w:r>
              <w:rPr>
                <w:rFonts w:hint="eastAsia" w:ascii="宋体" w:hAnsi="宋体" w:eastAsia="宋体" w:cs="宋体"/>
                <w:color w:val="auto"/>
                <w:sz w:val="21"/>
                <w:szCs w:val="21"/>
                <w:highlight w:val="none"/>
                <w:lang w:val="en-US" w:eastAsia="zh-CN"/>
              </w:rPr>
              <w:t xml:space="preserve">施工</w:t>
            </w:r>
            <w:r>
              <w:rPr>
                <w:rStyle w:val="1104"/>
                <w:rFonts w:hint="eastAsia" w:ascii="宋体" w:hAnsi="宋体" w:eastAsia="宋体" w:cs="宋体"/>
                <w:color w:val="auto"/>
                <w:sz w:val="21"/>
                <w:szCs w:val="21"/>
                <w:highlight w:val="none"/>
              </w:rPr>
              <w:t xml:space="preserve">方案存在部分不合理内容，描述简略，存在一定的实施难度得1分；未提供不得分。</w:t>
            </w:r>
            <w:bookmarkEnd w:id="79"/>
            <w:r/>
            <w:bookmarkEnd w:id="75"/>
            <w:r/>
            <w:bookmarkEnd w:id="76"/>
            <w:r/>
            <w:bookmarkEnd w:id="77"/>
            <w:r/>
            <w:bookmarkEnd w:id="78"/>
            <w:r/>
            <w:bookmarkEnd w:id="80"/>
            <w:r/>
            <w:bookmarkEnd w:id="81"/>
            <w:r/>
            <w:r/>
          </w:p>
          <w:p>
            <w:pPr>
              <w:numPr>
                <w:ilvl w:val="0"/>
                <w:numId w:val="0"/>
              </w:num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集中一体化安全监控系统（新增部分）：（6分）</w:t>
            </w:r>
            <w:r/>
          </w:p>
          <w:p>
            <w:pPr>
              <w:jc w:val="left"/>
              <w:spacing w:line="360" w:lineRule="auto"/>
              <w:widowControl/>
              <w:rPr>
                <w:rStyle w:val="1104"/>
                <w:rFonts w:hint="eastAsia" w:ascii="宋体" w:hAnsi="宋体" w:eastAsia="宋体" w:cs="宋体"/>
                <w:color w:val="auto"/>
                <w:sz w:val="21"/>
                <w:szCs w:val="21"/>
                <w:highlight w:val="none"/>
              </w:rPr>
            </w:pPr>
            <w:r/>
            <w:bookmarkStart w:id="82" w:name="OLE_LINK2"/>
            <w:r/>
            <w:bookmarkStart w:id="83" w:name="OLE_LINK3"/>
            <w:r>
              <w:rPr>
                <w:rStyle w:val="1104"/>
                <w:rFonts w:hint="eastAsia" w:ascii="宋体" w:hAnsi="宋体" w:eastAsia="宋体" w:cs="宋体"/>
                <w:color w:val="auto"/>
                <w:sz w:val="21"/>
                <w:szCs w:val="21"/>
                <w:highlight w:val="none"/>
              </w:rPr>
              <w:t xml:space="preserve">包括净化空调系统管理、新风机组与送排风系统管理、冷却塔系统管理的建设方案。</w:t>
            </w:r>
            <w:r/>
          </w:p>
          <w:p>
            <w:pPr>
              <w:jc w:val="left"/>
              <w:spacing w:line="360" w:lineRule="auto"/>
              <w:widowControl/>
              <w:rPr>
                <w:rStyle w:val="1104"/>
                <w:rFonts w:hint="eastAsia" w:ascii="宋体" w:hAnsi="宋体" w:eastAsia="宋体" w:cs="宋体"/>
                <w:color w:val="auto"/>
                <w:sz w:val="21"/>
                <w:szCs w:val="21"/>
                <w:highlight w:val="none"/>
              </w:rPr>
            </w:pPr>
            <w:r>
              <w:rPr>
                <w:rStyle w:val="1104"/>
                <w:rFonts w:hint="eastAsia" w:ascii="宋体" w:hAnsi="宋体" w:eastAsia="宋体" w:cs="宋体"/>
                <w:color w:val="auto"/>
                <w:sz w:val="21"/>
                <w:szCs w:val="21"/>
                <w:highlight w:val="none"/>
              </w:rPr>
              <w:t xml:space="preserve">（1）建设方案优于项目要求，得3分；方案符合项目要求，得1分；未提供不得分； </w:t>
            </w:r>
            <w:r/>
          </w:p>
          <w:p>
            <w:pPr>
              <w:jc w:val="left"/>
              <w:spacing w:line="360" w:lineRule="auto"/>
              <w:widowControl/>
              <w:rPr>
                <w:rStyle w:val="1104"/>
                <w:rFonts w:hint="eastAsia" w:ascii="宋体" w:hAnsi="宋体" w:eastAsia="宋体" w:cs="宋体"/>
                <w:color w:val="auto"/>
                <w:sz w:val="21"/>
                <w:szCs w:val="21"/>
                <w:highlight w:val="none"/>
              </w:rPr>
            </w:pPr>
            <w:r>
              <w:rPr>
                <w:rStyle w:val="1104"/>
                <w:rFonts w:hint="eastAsia" w:ascii="宋体" w:hAnsi="宋体" w:eastAsia="宋体" w:cs="宋体"/>
                <w:color w:val="auto"/>
                <w:sz w:val="21"/>
                <w:szCs w:val="21"/>
                <w:highlight w:val="none"/>
              </w:rPr>
              <w:t xml:space="preserve">（2）投标人需提供适配医院实际情况的</w:t>
            </w:r>
            <w:r>
              <w:rPr>
                <w:rFonts w:hint="eastAsia" w:ascii="宋体" w:hAnsi="宋体" w:eastAsia="宋体" w:cs="宋体"/>
                <w:color w:val="auto"/>
                <w:sz w:val="21"/>
                <w:szCs w:val="21"/>
                <w:highlight w:val="none"/>
                <w:lang w:val="en-US" w:eastAsia="zh-CN"/>
              </w:rPr>
              <w:t xml:space="preserve">专项施工</w:t>
            </w:r>
            <w:r>
              <w:rPr>
                <w:rStyle w:val="1104"/>
                <w:rFonts w:hint="eastAsia" w:ascii="宋体" w:hAnsi="宋体" w:eastAsia="宋体" w:cs="宋体"/>
                <w:color w:val="auto"/>
                <w:sz w:val="21"/>
                <w:szCs w:val="21"/>
                <w:highlight w:val="none"/>
              </w:rPr>
              <w:t xml:space="preserve">方案，包含不限于施工进度计划、电源配置、线（管）路铺设、人员安排、应急预案等。</w:t>
            </w:r>
            <w:r/>
          </w:p>
          <w:p>
            <w:pPr>
              <w:jc w:val="left"/>
              <w:spacing w:line="360" w:lineRule="auto"/>
              <w:widowControl/>
              <w:rPr>
                <w:rStyle w:val="110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施工</w:t>
            </w:r>
            <w:r>
              <w:rPr>
                <w:rStyle w:val="1104"/>
                <w:rFonts w:hint="eastAsia" w:ascii="宋体" w:hAnsi="宋体" w:eastAsia="宋体" w:cs="宋体"/>
                <w:color w:val="auto"/>
                <w:sz w:val="21"/>
                <w:szCs w:val="21"/>
                <w:highlight w:val="none"/>
              </w:rPr>
              <w:t xml:space="preserve">方案全面合理、逻辑严密，具备医疗行业针对性，能充分减少对医疗业务开展影响，</w:t>
            </w:r>
            <w:r>
              <w:rPr>
                <w:rFonts w:hint="eastAsia" w:ascii="宋体" w:hAnsi="宋体" w:eastAsia="宋体" w:cs="宋体"/>
                <w:color w:val="auto"/>
                <w:sz w:val="21"/>
                <w:szCs w:val="21"/>
                <w:highlight w:val="none"/>
                <w:lang w:val="en-US" w:eastAsia="zh-CN"/>
              </w:rPr>
              <w:t xml:space="preserve">施工</w:t>
            </w:r>
            <w:r>
              <w:rPr>
                <w:rStyle w:val="1104"/>
                <w:rFonts w:hint="eastAsia" w:ascii="宋体" w:hAnsi="宋体" w:eastAsia="宋体" w:cs="宋体"/>
                <w:color w:val="auto"/>
                <w:sz w:val="21"/>
                <w:szCs w:val="21"/>
                <w:highlight w:val="none"/>
              </w:rPr>
              <w:t xml:space="preserve">方案切实可行，内容描述详细的得3分；</w:t>
            </w:r>
            <w:r>
              <w:rPr>
                <w:rFonts w:hint="eastAsia" w:ascii="宋体" w:hAnsi="宋体" w:eastAsia="宋体" w:cs="宋体"/>
                <w:color w:val="auto"/>
                <w:sz w:val="21"/>
                <w:szCs w:val="21"/>
                <w:highlight w:val="none"/>
                <w:lang w:val="en-US" w:eastAsia="zh-CN"/>
              </w:rPr>
              <w:t xml:space="preserve">施工</w:t>
            </w:r>
            <w:r>
              <w:rPr>
                <w:rStyle w:val="1104"/>
                <w:rFonts w:hint="eastAsia" w:ascii="宋体" w:hAnsi="宋体" w:eastAsia="宋体" w:cs="宋体"/>
                <w:color w:val="auto"/>
                <w:sz w:val="21"/>
                <w:szCs w:val="21"/>
                <w:highlight w:val="none"/>
              </w:rPr>
              <w:t xml:space="preserve">方案存在部分不合理内容，描述简略，存在一定的实施难度得1分；未提供不得分。</w:t>
            </w:r>
            <w:bookmarkEnd w:id="82"/>
            <w:r/>
            <w:bookmarkEnd w:id="83"/>
            <w:r/>
            <w:r/>
          </w:p>
          <w:p>
            <w:pPr>
              <w:numPr>
                <w:ilvl w:val="0"/>
                <w:numId w:val="0"/>
              </w:numPr>
              <w:jc w:val="left"/>
              <w:spacing w:line="360" w:lineRule="auto"/>
              <w:widowControl/>
              <w:rPr>
                <w:rStyle w:val="110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运行诊断与报警管理系统方案（4分）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方案优于项目要求得4分；符合项目要求得2分；</w:t>
            </w:r>
            <w:bookmarkStart w:id="84" w:name="OLE_LINK19"/>
            <w:r/>
            <w:bookmarkStart w:id="85" w:name="OLE_LINK20"/>
            <w:r>
              <w:rPr>
                <w:rStyle w:val="1105"/>
                <w:rFonts w:hint="eastAsia" w:ascii="宋体" w:hAnsi="宋体" w:eastAsia="宋体" w:cs="宋体"/>
                <w:color w:val="auto"/>
                <w:sz w:val="21"/>
                <w:szCs w:val="21"/>
                <w:highlight w:val="none"/>
              </w:rPr>
              <w:t xml:space="preserve">不符合项目要求或未提供得0分</w:t>
            </w:r>
            <w:bookmarkEnd w:id="84"/>
            <w:r/>
            <w:bookmarkEnd w:id="85"/>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5、能效与双碳管理系统方案（4分）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方案优于项目要求得4分；符合项目要求得2分；不符合项目要求或未提供得0分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6、停车调度管理系统方案（5分）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方案优于项目要求得5分；符合项目要求得3分；不符合项目要求或未提供得0分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7、房屋管理系统方案（4分）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方案优于项目要求得4分；符合项目要求得2分；不符合项目要求或未提供得0分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8、</w:t>
            </w:r>
            <w:r>
              <w:rPr>
                <w:rStyle w:val="1105"/>
                <w:rFonts w:hint="eastAsia" w:ascii="宋体" w:hAnsi="宋体" w:eastAsia="宋体" w:cs="宋体"/>
                <w:color w:val="auto"/>
                <w:sz w:val="21"/>
                <w:szCs w:val="21"/>
                <w:highlight w:val="none"/>
                <w:lang w:val="en-US" w:eastAsia="zh-CN"/>
              </w:rPr>
              <w:t xml:space="preserve">总体</w:t>
            </w:r>
            <w:r>
              <w:rPr>
                <w:rStyle w:val="1105"/>
                <w:rFonts w:hint="eastAsia" w:ascii="宋体" w:hAnsi="宋体" w:eastAsia="宋体" w:cs="宋体"/>
                <w:color w:val="auto"/>
                <w:sz w:val="21"/>
                <w:szCs w:val="21"/>
                <w:highlight w:val="none"/>
              </w:rPr>
              <w:t xml:space="preserve">实施方案（5分）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投标人需提供满足本项目的</w:t>
            </w:r>
            <w:r>
              <w:rPr>
                <w:rStyle w:val="1105"/>
                <w:rFonts w:hint="eastAsia" w:ascii="宋体" w:hAnsi="宋体" w:eastAsia="宋体" w:cs="宋体"/>
                <w:color w:val="auto"/>
                <w:sz w:val="21"/>
                <w:szCs w:val="21"/>
                <w:highlight w:val="none"/>
                <w:lang w:val="en-US" w:eastAsia="zh-CN"/>
              </w:rPr>
              <w:t xml:space="preserve">总体</w:t>
            </w:r>
            <w:r>
              <w:rPr>
                <w:rStyle w:val="1105"/>
                <w:rFonts w:hint="eastAsia" w:ascii="宋体" w:hAnsi="宋体" w:eastAsia="宋体" w:cs="宋体"/>
                <w:color w:val="auto"/>
                <w:sz w:val="21"/>
                <w:szCs w:val="21"/>
                <w:highlight w:val="none"/>
              </w:rPr>
              <w:t xml:space="preserve">实施方案，内容需包括：①实施计划、②项目管理、③项目质量与保障措施、④实施团队、</w:t>
            </w:r>
            <w:r>
              <w:rPr>
                <w:rStyle w:val="1105"/>
                <w:rFonts w:hint="eastAsia" w:ascii="宋体" w:hAnsi="宋体" w:eastAsia="宋体" w:cs="宋体"/>
                <w:color w:val="auto"/>
                <w:sz w:val="21"/>
                <w:szCs w:val="21"/>
                <w:highlight w:val="none"/>
              </w:rPr>
              <w:fldChar w:fldCharType="begin"/>
            </w:r>
            <w:r>
              <w:rPr>
                <w:rStyle w:val="1105"/>
                <w:rFonts w:hint="eastAsia" w:ascii="宋体" w:hAnsi="宋体" w:eastAsia="宋体" w:cs="宋体"/>
                <w:color w:val="auto"/>
                <w:sz w:val="21"/>
                <w:szCs w:val="21"/>
                <w:highlight w:val="none"/>
              </w:rPr>
              <w:instrText xml:space="preserve"> = 5 \* GB3 \* MERGEFORMAT </w:instrText>
            </w:r>
            <w:r>
              <w:rPr>
                <w:rStyle w:val="1105"/>
                <w:rFonts w:hint="eastAsia" w:ascii="宋体" w:hAnsi="宋体" w:eastAsia="宋体" w:cs="宋体"/>
                <w:color w:val="auto"/>
                <w:sz w:val="21"/>
                <w:szCs w:val="21"/>
                <w:highlight w:val="none"/>
              </w:rPr>
              <w:fldChar w:fldCharType="separate"/>
            </w:r>
            <w:r>
              <w:rPr>
                <w:rStyle w:val="1105"/>
                <w:rFonts w:hint="eastAsia" w:ascii="宋体" w:hAnsi="宋体" w:eastAsia="宋体" w:cs="宋体"/>
                <w:color w:val="auto"/>
                <w:sz w:val="21"/>
                <w:szCs w:val="21"/>
                <w:highlight w:val="none"/>
              </w:rPr>
              <w:t xml:space="preserve">⑤</w:t>
            </w:r>
            <w:r>
              <w:rPr>
                <w:rStyle w:val="1105"/>
                <w:rFonts w:hint="eastAsia" w:ascii="宋体" w:hAnsi="宋体" w:eastAsia="宋体" w:cs="宋体"/>
                <w:color w:val="auto"/>
                <w:sz w:val="21"/>
                <w:szCs w:val="21"/>
                <w:highlight w:val="none"/>
              </w:rPr>
              <w:fldChar w:fldCharType="end"/>
            </w:r>
            <w:r>
              <w:rPr>
                <w:rStyle w:val="1105"/>
                <w:rFonts w:hint="eastAsia" w:ascii="宋体" w:hAnsi="宋体" w:eastAsia="宋体" w:cs="宋体"/>
                <w:color w:val="auto"/>
                <w:sz w:val="21"/>
                <w:szCs w:val="21"/>
                <w:highlight w:val="none"/>
              </w:rPr>
              <w:t xml:space="preserve">实施安全管理。满分5分。</w:t>
            </w:r>
            <w:r/>
          </w:p>
          <w:p>
            <w:pPr>
              <w:jc w:val="left"/>
              <w:spacing w:line="360" w:lineRule="auto"/>
              <w:widowControl/>
              <w:rPr>
                <w:rStyle w:val="1105"/>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每个点方案优于招标文件要求的得1分。</w:t>
            </w:r>
            <w:r/>
          </w:p>
          <w:p>
            <w:pPr>
              <w:jc w:val="left"/>
              <w:spacing w:line="360" w:lineRule="auto"/>
              <w:widowControl/>
              <w:rPr>
                <w:rStyle w:val="1105"/>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每个点方案符合招标文件要求的得0.5分。</w:t>
            </w:r>
            <w:r/>
          </w:p>
          <w:p>
            <w:pPr>
              <w:jc w:val="left"/>
              <w:spacing w:line="360" w:lineRule="auto"/>
              <w:widowControl/>
              <w:rPr>
                <w:rStyle w:val="1105"/>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每个点方案不符合招标文件要求或未提供的不得分</w:t>
            </w:r>
            <w:r>
              <w:rPr>
                <w:rStyle w:val="1105"/>
                <w:rFonts w:hint="eastAsia" w:ascii="宋体" w:hAnsi="宋体" w:eastAsia="宋体" w:cs="宋体"/>
                <w:color w:val="auto"/>
                <w:sz w:val="21"/>
                <w:szCs w:val="21"/>
                <w:highlight w:val="none"/>
                <w:lang w:eastAsia="zh-CN"/>
              </w:rPr>
              <w:t xml:space="preserve">。</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9、售后服务方案（4分）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投标人需提供满足本项目的售后服务方案，内容需包括：①服务体系、②服务响应时间、③服务内容、④应急响应服务。满分4分。</w:t>
            </w:r>
            <w:r/>
          </w:p>
          <w:p>
            <w:pPr>
              <w:jc w:val="left"/>
              <w:spacing w:line="360" w:lineRule="auto"/>
              <w:widowControl/>
              <w:rPr>
                <w:rStyle w:val="1105"/>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每个点方案优于招标文件要求的得1分。</w:t>
            </w:r>
            <w:r/>
          </w:p>
          <w:p>
            <w:pPr>
              <w:jc w:val="left"/>
              <w:spacing w:line="360" w:lineRule="auto"/>
              <w:widowControl/>
              <w:rPr>
                <w:rStyle w:val="1105"/>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每个点方案符合招标文件要求的得0.5分。</w:t>
            </w:r>
            <w:r/>
          </w:p>
          <w:p>
            <w:pPr>
              <w:jc w:val="left"/>
              <w:spacing w:line="360" w:lineRule="auto"/>
              <w:widowControl/>
              <w:rPr>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每个点方案不符合招标文件要求或未提供的不得分。</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系统演示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（24分）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每演示1个功能得3分，满分24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演示内容：</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1、报警管理：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（1）报警弹窗（3分）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演示：报警弹窗中同时显示报警设备名称、报警描述、当前报警值及趋势、显示关联的视频和BIM、工单触发按钮、报警标记按钮。</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（2）报警列表（3分）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报警列表包含实时报警、处理中报警、屏蔽中报警、已关闭报警。支持在列表中模糊搜索、按时间搜索、按子系统搜索、按报警等级搜索、按时间进行正序或倒序进行排序。支持在列表中直接查看报警的详情弹窗，支持在列表中定位报警设备在平面模型中的位置。支持在列表中直接对报警进行屏蔽处理、播报处理、关闭处理等操作。</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（3）自定义预警（3分）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演示：支持用户自定义报警规则，包含报警动作、报警级别、报警延迟时间、报警类型、报警描述、报警条件。</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2、双碳管理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（1）碳总览（3分）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演示：页面中包含能耗总量、能耗强度、碳排总量、碳排放强度、碳排放分析趋势图、碳排放组成分析图、碳排放源分析、能耗结构分析。</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（2）排放因子（3分）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演示：页面内置范围一、范围二、范围三的排放因子库。包括排放因子名称、排放源、测算方式、单位、数值。支持用户自定义增加排放因子，或调整每个排放因子的具体参数及数值。</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（3）数据录入（3分）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演示：支持基于排放因子进行数据录入，支持自动关联采集的能耗数据自动统计分析，支持用户手动输入能源消耗量完成统计分析。</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（4）指标制定（3分）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演示：支持用户按月度或年度的计算周期、业务参数和系统参数完成指标制定。</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（5）碳构成（3分）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演示系统根据排放因子、系统采集的能耗数据、用户手动录入的能耗数据自动统计不同范围的碳构成。包括碳排放总量、不同范围的二氧化碳量。</w:t>
            </w:r>
            <w:r/>
          </w:p>
          <w:p>
            <w:pPr>
              <w:jc w:val="left"/>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以上内容每个演示点，基于真实系统演示系数为1；采用系统原型（DEMO）演示系数为0.5；采用PPT等方式演示系数为0.25。</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企业实力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1、投标人需具有以下资质（</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br/>
            </w:r>
            <w:r>
              <w:rPr>
                <w:rStyle w:val="1104"/>
                <w:rFonts w:hint="eastAsia" w:ascii="宋体" w:hAnsi="宋体" w:eastAsia="宋体" w:cs="宋体"/>
                <w:color w:val="auto"/>
                <w:sz w:val="21"/>
                <w:szCs w:val="21"/>
                <w:highlight w:val="none"/>
              </w:rPr>
              <w:t xml:space="preserve">（1）投标人具有有效的国家信息安全测评CNIT-SEC信息安全服务资质证书（安全工程类）证书（中国信息安全测评中心），得3分，不提供不得分。</w:t>
            </w:r>
            <w:r>
              <w:rPr>
                <w:rStyle w:val="1104"/>
                <w:rFonts w:hint="eastAsia" w:ascii="宋体" w:hAnsi="宋体" w:eastAsia="宋体" w:cs="宋体"/>
                <w:color w:val="auto"/>
                <w:sz w:val="21"/>
                <w:szCs w:val="21"/>
                <w:highlight w:val="none"/>
              </w:rPr>
              <w:br/>
            </w:r>
            <w:r>
              <w:rPr>
                <w:rStyle w:val="1104"/>
                <w:rFonts w:hint="eastAsia" w:ascii="宋体" w:hAnsi="宋体" w:eastAsia="宋体" w:cs="宋体"/>
                <w:color w:val="auto"/>
                <w:sz w:val="21"/>
                <w:szCs w:val="21"/>
                <w:highlight w:val="none"/>
              </w:rPr>
              <w:t xml:space="preserve">（2）投标人具有有效的ITSS信息技术服务标准证书（智能运维）（中国电子工业标准化技术协会），得2分，不提供不得分。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（3）投标人具有有效的ISO9001 质量管理体系认证证书，得1分，不提供不得分。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2、投标人需要提供以下类似软件著作权证书（6分）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（1）智慧停车系统</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（2）能耗管理系统</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（3）房屋管理系统</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每提供一个证书，得2分，不提供不得分，满分6分。</w:t>
            </w:r>
            <w:r>
              <w:rPr>
                <w:rStyle w:val="1105"/>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rPr>
              <w:t xml:space="preserve">（提供以上相关证书，原件扫描上传）</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团队能力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881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Style w:val="1105"/>
                <w:rFonts w:hint="eastAsia" w:ascii="宋体" w:hAnsi="宋体" w:eastAsia="宋体" w:cs="宋体"/>
                <w:color w:val="auto"/>
                <w:sz w:val="21"/>
                <w:szCs w:val="21"/>
                <w:highlight w:val="none"/>
              </w:rPr>
              <w:t xml:space="preserve">1、项目经理（1人），需具备有效的信息系统项目管理师证书（软考）、</w:t>
            </w:r>
            <w:r>
              <w:rPr>
                <w:rFonts w:hint="eastAsia" w:ascii="宋体" w:hAnsi="宋体" w:eastAsia="宋体" w:cs="宋体"/>
                <w:color w:val="auto"/>
                <w:sz w:val="21"/>
                <w:szCs w:val="21"/>
                <w:highlight w:val="none"/>
              </w:rPr>
              <w:t xml:space="preserve">高级弱电系统工程师证书</w:t>
            </w:r>
            <w:bookmarkStart w:id="86" w:name="OLE_LINK11"/>
            <w:r/>
            <w:bookmarkStart w:id="87" w:name="OLE_LINK10"/>
            <w:r>
              <w:rPr>
                <w:rStyle w:val="1105"/>
                <w:rFonts w:hint="eastAsia" w:ascii="宋体" w:hAnsi="宋体" w:eastAsia="宋体" w:cs="宋体"/>
                <w:color w:val="auto"/>
                <w:sz w:val="21"/>
                <w:szCs w:val="21"/>
                <w:highlight w:val="none"/>
              </w:rPr>
              <w:t xml:space="preserve">（工业和信息化部教育与考试中心）</w:t>
            </w:r>
            <w:bookmarkEnd w:id="86"/>
            <w:r/>
            <w:bookmarkEnd w:id="87"/>
            <w:r>
              <w:rPr>
                <w:rFonts w:hint="eastAsia" w:ascii="宋体" w:hAnsi="宋体" w:eastAsia="宋体" w:cs="宋体"/>
                <w:color w:val="auto"/>
                <w:sz w:val="21"/>
                <w:szCs w:val="21"/>
                <w:highlight w:val="none"/>
              </w:rPr>
              <w:t xml:space="preserve">，每提供1个证书得2分，满分4分。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2、项目技术负责人（1人，除项目经理外），需具备有效的系统架构设计师证书（软考）、软件测试工程师证书（工业和信息化部教育与考试中心）、注册信息安全人员CISP证书（中国安全测评中心），每提供1个证书得1分，满分3分。</w:t>
            </w:r>
            <w:r>
              <w:rPr>
                <w:rStyle w:val="1105"/>
                <w:rFonts w:hint="eastAsia" w:ascii="宋体" w:hAnsi="宋体" w:eastAsia="宋体" w:cs="宋体"/>
                <w:color w:val="auto"/>
                <w:sz w:val="21"/>
                <w:szCs w:val="21"/>
                <w:highlight w:val="none"/>
              </w:rPr>
              <w:br/>
            </w:r>
            <w:r>
              <w:rPr>
                <w:rStyle w:val="1105"/>
                <w:rFonts w:hint="eastAsia" w:ascii="宋体" w:hAnsi="宋体" w:eastAsia="宋体" w:cs="宋体"/>
                <w:color w:val="auto"/>
                <w:sz w:val="21"/>
                <w:szCs w:val="21"/>
                <w:highlight w:val="none"/>
              </w:rPr>
              <w:t xml:space="preserve">3、项目团队成员（除项目经理、项目技术负责人外）：具有有效的</w:t>
            </w:r>
            <w:r>
              <w:rPr>
                <w:rFonts w:hint="eastAsia" w:ascii="宋体" w:hAnsi="宋体" w:eastAsia="宋体" w:cs="宋体"/>
                <w:color w:val="auto"/>
                <w:sz w:val="21"/>
                <w:szCs w:val="21"/>
                <w:highlight w:val="none"/>
              </w:rPr>
              <w:t xml:space="preserve">系统集成项目管理工程师</w:t>
            </w:r>
            <w:r>
              <w:rPr>
                <w:rStyle w:val="1105"/>
                <w:rFonts w:hint="eastAsia" w:ascii="宋体" w:hAnsi="宋体" w:eastAsia="宋体" w:cs="宋体"/>
                <w:color w:val="auto"/>
                <w:sz w:val="21"/>
                <w:szCs w:val="21"/>
                <w:highlight w:val="none"/>
              </w:rPr>
              <w:t xml:space="preserve">（软考）</w:t>
            </w:r>
            <w:r>
              <w:rPr>
                <w:rFonts w:hint="eastAsia" w:ascii="宋体" w:hAnsi="宋体" w:eastAsia="宋体" w:cs="宋体"/>
                <w:color w:val="auto"/>
                <w:sz w:val="21"/>
                <w:szCs w:val="21"/>
                <w:highlight w:val="none"/>
              </w:rPr>
              <w:t xml:space="preserve">、</w:t>
            </w:r>
            <w:r>
              <w:rPr>
                <w:rStyle w:val="1105"/>
                <w:rFonts w:hint="eastAsia" w:ascii="宋体" w:hAnsi="宋体" w:eastAsia="宋体" w:cs="宋体"/>
                <w:color w:val="auto"/>
                <w:sz w:val="21"/>
                <w:szCs w:val="21"/>
                <w:highlight w:val="none"/>
              </w:rPr>
              <w:t xml:space="preserve">网络规划设计师（软考）、信息安全保障人员证书（安全运维）（中国网络安全审查认证和市场监督大数据中心），每提供1人得1分，满分3分。（</w:t>
            </w:r>
            <w:r>
              <w:rPr>
                <w:rFonts w:hint="eastAsia" w:ascii="宋体" w:hAnsi="宋体" w:eastAsia="宋体" w:cs="宋体"/>
                <w:b/>
                <w:bCs/>
                <w:color w:val="auto"/>
                <w:sz w:val="21"/>
                <w:szCs w:val="21"/>
                <w:highlight w:val="none"/>
              </w:rPr>
              <w:t xml:space="preserve">一人多证不重复计分）</w:t>
            </w:r>
            <w:r>
              <w:rPr>
                <w:rStyle w:val="1105"/>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rPr>
              <w:t xml:space="preserve">（提供以上人员相关证书及投标人为其缴纳的近一年内任意一个月的社保缴纳证明，原件扫描上传）</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2023年1月1日（含）以来，投标人提供与本项目类似的业绩，每提供一个得1分，满分3分。（提供合同原件扫描上传）</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jc w:val="center"/>
        <w:spacing w:before="240" w:after="24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pStyle w:val="980"/>
        <w:rPr>
          <w:rFonts w:hint="eastAsia" w:ascii="宋体" w:hAnsi="宋体" w:eastAsia="宋体" w:cs="宋体"/>
          <w:color w:val="auto"/>
          <w:szCs w:val="44"/>
          <w:highlight w:val="none"/>
        </w:rPr>
      </w:pPr>
      <w:r>
        <w:rPr>
          <w:rStyle w:val="1016"/>
          <w:rFonts w:hint="eastAsia" w:ascii="宋体" w:hAnsi="宋体" w:eastAsia="宋体" w:cs="宋体"/>
          <w:color w:val="auto"/>
          <w:highlight w:val="none"/>
        </w:rPr>
        <w:t xml:space="preserve">第六章投标文件格式</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投标文件</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firstLine="1084"/>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jc w:val="left"/>
        <w:rPr>
          <w:rFonts w:hint="eastAsia" w:ascii="宋体" w:hAnsi="宋体" w:eastAsia="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ind w:firstLine="1084"/>
        <w:jc w:val="left"/>
        <w:rPr>
          <w:rFonts w:hint="eastAsia" w:ascii="宋体" w:hAnsi="宋体" w:eastAsia="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r/>
    </w:p>
    <w:p>
      <w:pPr>
        <w:ind w:firstLine="1084"/>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1084"/>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投标文件的组成</w:t>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一、基本目录</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5.法人授权书（格式见附件5）</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6.投标函（格式见附件6）</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7.主要标的信息（格式见附件7）</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8.其他</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****（格式见附件**）</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二、资格审查内容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2.2024或2025年度的财务状况报告（成立不满一年无需提供）</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4.具备履行合同所必需的设备和专业技术能力的书面声明（格式见附件8）</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5.参加政府采购活动前 3 年内在经营活动中没有重大违法记录的书面声明（格式见附件9）</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6.投标人信用承诺函（格式见附件10）</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7.企业报价折扣证明文件：</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中小企业声明函（格式见附件11）。如果本项目专门面向中小企业采购，则必须提供。</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残疾人福利性单位声明函（格式见附件12）。如果本项目专门面向中小企业采购，投标人为残疾人福利性单位并提供本单位制造的货物，或者提供其他残疾人福利性单位制造的货物，则必须提供。</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监狱企业的证明文件。</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8.联合体协议（格式见附件13）。如果本项目接受联合体投标，投标人是联合体的，则必须提供。</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9.特定资格要求的证明文件。如果本项目对投标人做出特定资格要求的，则必须提供。</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三、符合性审查内容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投标人必须对技术要求和商务要求中加斜体下划线的实质性要求逐条做出响应，并按照招标文件要求提供证明材料，否则做无效投标处理。（格式见附件14）</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四、价格扣除证明文件</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1.中小企业声明函（格式见附件11）</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2.残疾人福利性单位声明函（格式见附件12）</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 开标一览表</w:t>
      </w:r>
      <w:r/>
    </w:p>
    <w:p>
      <w:pPr>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项目编号：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采购包号：</w:t>
      </w:r>
      <w:r/>
    </w:p>
    <w:tbl>
      <w:tblPr>
        <w:tblStyle w:val="8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725"/>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投标总报价</w:t>
            </w:r>
            <w:r/>
          </w:p>
        </w:tc>
      </w:tr>
      <w:tr>
        <w:trPr>
          <w:trHeight w:val="612"/>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大写：                   （人民币：元）</w:t>
            </w:r>
            <w:r/>
          </w:p>
        </w:tc>
      </w:tr>
      <w:tr>
        <w:trPr>
          <w:trHeight w:val="612"/>
        </w:trPr>
        <w:tc>
          <w:tcPr>
            <w:tcMar>
              <w:left w:w="108" w:type="dxa"/>
              <w:top w:w="0" w:type="dxa"/>
              <w:right w:w="108" w:type="dxa"/>
              <w:bottom w:w="0" w:type="dxa"/>
            </w:tcMar>
            <w:tcW w:w="5000" w:type="pct"/>
            <w:vAlign w:val="center"/>
            <w:textDirection w:val="lrTb"/>
            <w:noWrap w:val="false"/>
          </w:tcPr>
          <w:p>
            <w:pPr>
              <w:jc w:val="cente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p>
        </w:tc>
      </w:tr>
    </w:tbl>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          投标分项报价表（采购包号：**）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tbl>
      <w:tblPr>
        <w:tblStyle w:val="8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801"/>
        <w:gridCol w:w="1497"/>
        <w:gridCol w:w="1054"/>
        <w:gridCol w:w="1312"/>
        <w:gridCol w:w="1448"/>
        <w:gridCol w:w="2011"/>
      </w:tblGrid>
      <w:tr>
        <w:trPr>
          <w:trHeight w:val="544"/>
        </w:trPr>
        <w:tc>
          <w:tcPr>
            <w:tcMar>
              <w:left w:w="108" w:type="dxa"/>
              <w:top w:w="0" w:type="dxa"/>
              <w:right w:w="108" w:type="dxa"/>
              <w:bottom w:w="0" w:type="dxa"/>
            </w:tcMar>
            <w:tcW w:w="567" w:type="pct"/>
            <w:vAlign w:val="center"/>
            <w:vMerge w:val="restart"/>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43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81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57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71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Mar>
              <w:left w:w="108" w:type="dxa"/>
              <w:top w:w="0" w:type="dxa"/>
              <w:right w:w="108" w:type="dxa"/>
              <w:bottom w:w="0" w:type="dxa"/>
            </w:tcMar>
            <w:tcW w:w="789"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tcMar>
              <w:left w:w="108" w:type="dxa"/>
              <w:top w:w="0" w:type="dxa"/>
              <w:right w:w="108" w:type="dxa"/>
              <w:bottom w:w="0" w:type="dxa"/>
            </w:tcMar>
            <w:tcW w:w="109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r>
      <w:tr>
        <w:trPr>
          <w:trHeight w:val="294"/>
        </w:trPr>
        <w:tc>
          <w:tcPr>
            <w:tcW w:w="567" w:type="pct"/>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43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分项服务名称</w:t>
            </w:r>
            <w:r/>
          </w:p>
        </w:tc>
        <w:tc>
          <w:tcPr>
            <w:tcMar>
              <w:left w:w="108" w:type="dxa"/>
              <w:top w:w="0" w:type="dxa"/>
              <w:right w:w="108" w:type="dxa"/>
              <w:bottom w:w="0" w:type="dxa"/>
            </w:tcMar>
            <w:tcW w:w="81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交付期</w:t>
            </w:r>
            <w:r/>
          </w:p>
        </w:tc>
        <w:tc>
          <w:tcPr>
            <w:tcMar>
              <w:left w:w="108" w:type="dxa"/>
              <w:top w:w="0" w:type="dxa"/>
              <w:right w:w="108" w:type="dxa"/>
              <w:bottom w:w="0" w:type="dxa"/>
            </w:tcMar>
            <w:tcW w:w="57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分项单位</w:t>
            </w:r>
            <w:r/>
          </w:p>
        </w:tc>
        <w:tc>
          <w:tcPr>
            <w:tcMar>
              <w:left w:w="108" w:type="dxa"/>
              <w:top w:w="0" w:type="dxa"/>
              <w:right w:w="108" w:type="dxa"/>
              <w:bottom w:w="0" w:type="dxa"/>
            </w:tcMar>
            <w:tcW w:w="71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Mar>
              <w:left w:w="108" w:type="dxa"/>
              <w:top w:w="0" w:type="dxa"/>
              <w:right w:w="108" w:type="dxa"/>
              <w:bottom w:w="0" w:type="dxa"/>
            </w:tcMar>
            <w:tcW w:w="789"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tcMar>
              <w:left w:w="108" w:type="dxa"/>
              <w:top w:w="0" w:type="dxa"/>
              <w:right w:w="108" w:type="dxa"/>
              <w:bottom w:w="0" w:type="dxa"/>
            </w:tcMar>
            <w:tcW w:w="109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p>
        </w:tc>
      </w:tr>
      <w:tr>
        <w:trPr>
          <w:trHeight w:val="654"/>
        </w:trPr>
        <w:tc>
          <w:tcPr>
            <w:tcMar>
              <w:left w:w="108" w:type="dxa"/>
              <w:top w:w="0" w:type="dxa"/>
              <w:right w:w="108" w:type="dxa"/>
              <w:bottom w:w="0" w:type="dxa"/>
            </w:tcMar>
            <w:tcW w:w="56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43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1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tc>
        <w:tc>
          <w:tcPr>
            <w:tcMar>
              <w:left w:w="108" w:type="dxa"/>
              <w:top w:w="0" w:type="dxa"/>
              <w:right w:w="108" w:type="dxa"/>
              <w:bottom w:w="0" w:type="dxa"/>
            </w:tcMar>
            <w:tcW w:w="57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71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789"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09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Mar>
              <w:left w:w="108" w:type="dxa"/>
              <w:top w:w="0" w:type="dxa"/>
              <w:right w:w="108" w:type="dxa"/>
              <w:bottom w:w="0" w:type="dxa"/>
            </w:tcMar>
            <w:tcW w:w="56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43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1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7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71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789"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09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487"/>
        </w:trPr>
        <w:tc>
          <w:tcPr>
            <w:gridSpan w:val="6"/>
            <w:tcMar>
              <w:left w:w="108" w:type="dxa"/>
              <w:top w:w="0" w:type="dxa"/>
              <w:right w:w="108" w:type="dxa"/>
              <w:bottom w:w="0" w:type="dxa"/>
            </w:tcMar>
            <w:tcW w:w="3902"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投标总报价（人民币：元）</w:t>
            </w:r>
            <w:r/>
          </w:p>
        </w:tc>
        <w:tc>
          <w:tcPr>
            <w:tcMar>
              <w:left w:w="108" w:type="dxa"/>
              <w:top w:w="0" w:type="dxa"/>
              <w:right w:w="108" w:type="dxa"/>
              <w:bottom w:w="0" w:type="dxa"/>
            </w:tcMar>
            <w:tcW w:w="1097"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2.“投标分项报价表”中“投标总报价”数额应当与“开标一览表”中“投标总报价”数额一致。</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 项目经办人可以根据项目实际需要对表格结构进行调整。</w:t>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pStyle w:val="805"/>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附件3        技术要求响应及偏离表（采购包号：**）</w:t>
      </w:r>
      <w:r/>
    </w:p>
    <w:tbl>
      <w:tblPr>
        <w:tblStyle w:val="8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2946"/>
        <w:gridCol w:w="2990"/>
        <w:gridCol w:w="2160"/>
      </w:tblGrid>
      <w:tr>
        <w:trPr/>
        <w:tc>
          <w:tcPr>
            <w:tcMar>
              <w:left w:w="108" w:type="dxa"/>
              <w:top w:w="0" w:type="dxa"/>
              <w:right w:w="108" w:type="dxa"/>
              <w:bottom w:w="0" w:type="dxa"/>
            </w:tcMar>
            <w:tcW w:w="583"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607"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Mar>
              <w:left w:w="108" w:type="dxa"/>
              <w:top w:w="0" w:type="dxa"/>
              <w:right w:w="108" w:type="dxa"/>
              <w:bottom w:w="0" w:type="dxa"/>
            </w:tcMar>
            <w:tcW w:w="1631"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117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607"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3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07"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63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附件3-1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附件4        商务要求响应及偏离表（采购包号：**）</w:t>
      </w:r>
      <w:r/>
    </w:p>
    <w:tbl>
      <w:tblPr>
        <w:tblStyle w:val="8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2968"/>
        <w:gridCol w:w="2856"/>
        <w:gridCol w:w="2266"/>
      </w:tblGrid>
      <w:tr>
        <w:trPr/>
        <w:tc>
          <w:tcPr>
            <w:tcMar>
              <w:left w:w="108" w:type="dxa"/>
              <w:top w:w="0" w:type="dxa"/>
              <w:right w:w="108" w:type="dxa"/>
              <w:bottom w:w="0" w:type="dxa"/>
            </w:tcMar>
            <w:tcW w:w="585"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619"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Mar>
              <w:left w:w="108" w:type="dxa"/>
              <w:top w:w="0" w:type="dxa"/>
              <w:right w:w="108" w:type="dxa"/>
              <w:bottom w:w="0" w:type="dxa"/>
            </w:tcMar>
            <w:tcW w:w="155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1236"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619"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55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19"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55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附件4-1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附件5            法人授权书</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号项目采购活动的合法代理人，以本单位名义全权处理一切与该项目采购有关的事务。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firstLine="12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被授权人电子邮箱：</w:t>
      </w:r>
      <w:r>
        <w:rPr>
          <w:rFonts w:hint="eastAsia" w:ascii="宋体" w:hAnsi="宋体" w:eastAsia="宋体" w:cs="宋体"/>
          <w:color w:val="auto"/>
          <w:sz w:val="24"/>
          <w:highlight w:val="none"/>
          <w:u w:val="single"/>
        </w:rPr>
        <w:t xml:space="preserve">           </w:t>
      </w:r>
      <w:r/>
    </w:p>
    <w:p>
      <w:pPr>
        <w:ind w:firstLine="12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1200"/>
        <w:spacing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法人及授权人身份证正反面</w:t>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附件6              投标函</w:t>
      </w:r>
      <w:r/>
    </w:p>
    <w:p>
      <w:pPr>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致：江苏中鑫项目管理有限公司：</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号招标文件，正式授权下述签字人_____(姓名)代表我方_______（投标人的名称），全权处理本次项目投标的有关事宜。</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据此函，__________签字人兹宣布同意如下：</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1.按招标文件规定的各项要求，向买方提供所需货物（包含与货物相关的服务）。</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2.我们完全理解贵方不一定将合同授予最低报价的投标人。</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7.与本投标有关的正式通讯地址为：</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电话：</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传真：</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投标人开户行：</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账号： </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日期：______年____月____日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附件7           主要标的信息（中标后将公示）</w:t>
      </w:r>
      <w:r/>
    </w:p>
    <w:p>
      <w:pPr>
        <w:spacing w:after="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jc w:val="center"/>
        </w:trPr>
        <w:tc>
          <w:tcPr>
            <w:tcMar>
              <w:left w:w="108" w:type="dxa"/>
              <w:top w:w="0" w:type="dxa"/>
              <w:right w:w="108" w:type="dxa"/>
              <w:bottom w:w="0" w:type="dxa"/>
            </w:tcMar>
            <w:tcW w:w="3433"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货物类</w:t>
            </w:r>
            <w:r/>
          </w:p>
        </w:tc>
        <w:tc>
          <w:tcPr>
            <w:tcMar>
              <w:left w:w="108" w:type="dxa"/>
              <w:top w:w="0" w:type="dxa"/>
              <w:right w:w="108" w:type="dxa"/>
              <w:bottom w:w="0" w:type="dxa"/>
            </w:tcMar>
            <w:tcW w:w="329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服务类</w:t>
            </w:r>
            <w:r/>
          </w:p>
        </w:tc>
      </w:tr>
      <w:tr>
        <w:trPr>
          <w:jc w:val="center"/>
          <w:trHeight w:val="3810"/>
        </w:trPr>
        <w:tc>
          <w:tcPr>
            <w:tcMar>
              <w:left w:w="108" w:type="dxa"/>
              <w:top w:w="0" w:type="dxa"/>
              <w:right w:w="108" w:type="dxa"/>
              <w:bottom w:w="0" w:type="dxa"/>
            </w:tcMar>
            <w:tcW w:w="3433"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品牌（如有）：</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规格型号：</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tcMar>
              <w:left w:w="108" w:type="dxa"/>
              <w:top w:w="0" w:type="dxa"/>
              <w:right w:w="108" w:type="dxa"/>
              <w:bottom w:w="0" w:type="dxa"/>
            </w:tcMar>
            <w:tcW w:w="329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服务范围：</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服务要求：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服务时间：</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服务标准：</w:t>
            </w:r>
            <w:r/>
          </w:p>
        </w:tc>
      </w:tr>
    </w:tbl>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5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附件8</w:t>
      </w:r>
      <w:r/>
    </w:p>
    <w:p>
      <w:pPr>
        <w:ind w:firstLine="120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具备履行合同所必需的设备和专业技术能力的书面声明</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附件9</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参加政府采购活动前 3 年内在经营活动中没有重大违法记录的书面声明</w:t>
      </w:r>
      <w:r/>
    </w:p>
    <w:p>
      <w:pPr>
        <w:jc w:val="cente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附件10            投标人信用承诺函</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承诺主体名称：</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统一社会信用代码：</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四、自觉接受行政管理部门、行业组织、社会公众、新闻舆论的监督；</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七、严格遵守信用信息公示相关规定，向社会公示信用信息；</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八、在“信用中国”和“中国政府采购网”网站中无严重失信记录；</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十、本承诺书自签订之日起生效。</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（注：法定代表人或负责人、主体名称发生变更的应当重新做出承诺。）</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承诺单位（加盖CA电子公章）：    </w:t>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年  月  日</w:t>
      </w:r>
      <w:r/>
    </w:p>
    <w:p>
      <w:pPr>
        <w:jc w:val="center"/>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after="36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附件11        中小企业声明函（服务类项目）（采购包号：**）</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本公司（联合体）郑重声明，根据《政府采购促进中小企业发展管理办法》(财库[2020]46号)的规定，本公司（联合体）参加江苏中鑫项目管理有限公司组织的</w:t>
      </w:r>
      <w:r>
        <w:rPr>
          <w:rFonts w:hint="eastAsia" w:ascii="宋体" w:hAnsi="宋体" w:eastAsia="宋体" w:cs="宋体"/>
          <w:color w:val="auto"/>
          <w:sz w:val="24"/>
          <w:highlight w:val="none"/>
          <w:u w:val="single"/>
        </w:rPr>
        <w:t xml:space="preserve">（项目名称）（采购包号：**）</w:t>
      </w:r>
      <w:r>
        <w:rPr>
          <w:rFonts w:hint="eastAsia" w:ascii="宋体" w:hAnsi="宋体" w:eastAsia="宋体" w:cs="宋体"/>
          <w:color w:val="auto"/>
          <w:sz w:val="24"/>
          <w:highlight w:val="none"/>
        </w:rPr>
        <w:t xml:space="preserve">的采购活动，服务全部由符合政策的中小企业承接。相关企业（含联合体中的中小企业、签订采购包意向协议的中小企业）的具体情况如下：</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（包一标的名称）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b/>
          <w:bCs/>
          <w:color w:val="auto"/>
          <w:sz w:val="24"/>
          <w:highlight w:val="none"/>
          <w:u w:val="single"/>
        </w:rPr>
        <w:t xml:space="preserve">（软件和信息技术服务业）</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 □小型企业 □微型企业）；</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（包二标的名称）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b/>
          <w:bCs/>
          <w:color w:val="auto"/>
          <w:sz w:val="24"/>
          <w:highlight w:val="none"/>
          <w:u w:val="single"/>
        </w:rPr>
        <w:t xml:space="preserve">（软件和信息技术服务业）</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 □小型企业 □微型企业）；</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180" w:firstLine="360"/>
        <w:jc w:val="righ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right="480" w:firstLine="54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firstLine="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left="540" w:hanging="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3.投标人应对照《工业和信息化部、国家统计局、国家发展和改革委员会、财政</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p>
      <w:pPr>
        <w:spacing w:before="300" w:after="45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中小微企业划型标准如下：</w:t>
      </w:r>
      <w:r/>
    </w:p>
    <w:tbl>
      <w:tblPr>
        <w:tblStyle w:val="8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X＜5</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bl>
    <w:p>
      <w:pPr>
        <w:ind w:firstLine="810"/>
        <w:spacing w:before="300" w:after="45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附件12     残疾人福利性单位声明函（服务类项目）（采购包号：**）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1.专门面向中小微型企业采购的项目，投标人为残疾人福利性单位并提供服务的必须提供此声明函，否则将不能通过资格审查。</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2.非专门面向中小微型企业采购的项目，投标人如不提供此声明函，价格将不做相应扣除。</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3.中标/成交投标人为残疾人福利性单位的，此声明函将随中标/成交结果同时公告，接受社会监督</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投标人全称（加盖CA电子公章）：</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附件13          联合体协议（参考格式）（采购包号：**）</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（联合体中各投标人全称）在此达成以下协议：</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（投标人1），（投标人2） ，……</w:t>
      </w:r>
      <w:r>
        <w:rPr>
          <w:rFonts w:hint="eastAsia" w:ascii="宋体" w:hAnsi="宋体" w:eastAsia="宋体" w:cs="宋体"/>
          <w:color w:val="auto"/>
          <w:sz w:val="24"/>
          <w:highlight w:val="none"/>
        </w:rPr>
        <w:t xml:space="preserve">自愿组成联合体，参加江苏中鑫项目管理有限公司组织的采购编号为</w:t>
      </w:r>
      <w:r>
        <w:rPr>
          <w:rFonts w:hint="eastAsia" w:ascii="宋体" w:hAnsi="宋体" w:eastAsia="宋体" w:cs="宋体"/>
          <w:color w:val="auto"/>
          <w:sz w:val="24"/>
          <w:highlight w:val="none"/>
          <w:u w:val="single"/>
        </w:rPr>
        <w:t xml:space="preserve">（编号全称），（项目全称）</w:t>
      </w:r>
      <w:r>
        <w:rPr>
          <w:rFonts w:hint="eastAsia" w:ascii="宋体" w:hAnsi="宋体" w:eastAsia="宋体" w:cs="宋体"/>
          <w:color w:val="auto"/>
          <w:sz w:val="24"/>
          <w:highlight w:val="none"/>
        </w:rPr>
        <w:t xml:space="preserve">项目（采购包号：**）的政府采购活动，我联合体指定</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highlight w:val="none"/>
        </w:rPr>
        <w:t xml:space="preserve">为牵头单位（牵头单位必须为联合体成员）。</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（小型、微型企业/残疾人福利性单位/监狱企业全称）为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6"/>
        <w:jc w:val="right"/>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联合体中各投标人全称（公章）：     </w:t>
      </w:r>
      <w:r/>
    </w:p>
    <w:p>
      <w:pPr>
        <w:ind w:firstLine="646"/>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备注：本招标文件中要求加盖CA电子签章的地方，仅需加盖牵头单位的CA电子签章。</w:t>
      </w:r>
      <w:r/>
    </w:p>
    <w:p>
      <w:pPr>
        <w:ind w:firstLine="645"/>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after="36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附件14        实质性要求响应及偏离表（采购包号：**）</w:t>
      </w:r>
      <w:r/>
    </w:p>
    <w:tbl>
      <w:tblPr>
        <w:tblStyle w:val="8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652"/>
        <w:gridCol w:w="3283"/>
        <w:gridCol w:w="1629"/>
      </w:tblGrid>
      <w:tr>
        <w:trPr/>
        <w:tc>
          <w:tcPr>
            <w:tcMar>
              <w:left w:w="108" w:type="dxa"/>
              <w:top w:w="0" w:type="dxa"/>
              <w:right w:w="108" w:type="dxa"/>
              <w:bottom w:w="0" w:type="dxa"/>
            </w:tcMar>
            <w:tcW w:w="32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991"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b/>
                <w:color w:val="auto"/>
                <w:sz w:val="24"/>
                <w:highlight w:val="none"/>
              </w:rPr>
              <w:t xml:space="preserve">（</w:t>
            </w:r>
            <w:r>
              <w:rPr>
                <w:rFonts w:hint="eastAsia" w:ascii="宋体" w:hAnsi="宋体" w:eastAsia="宋体" w:cs="宋体"/>
                <w:b/>
                <w:i/>
                <w:color w:val="auto"/>
                <w:sz w:val="24"/>
                <w:highlight w:val="none"/>
                <w:u w:val="single"/>
              </w:rPr>
              <w:t xml:space="preserve">斜体且有下划线部分</w:t>
            </w:r>
            <w:r>
              <w:rPr>
                <w:rFonts w:hint="eastAsia" w:ascii="宋体" w:hAnsi="宋体" w:eastAsia="宋体" w:cs="宋体"/>
                <w:b/>
                <w:color w:val="auto"/>
                <w:sz w:val="24"/>
                <w:highlight w:val="none"/>
              </w:rPr>
              <w:t xml:space="preserve">）</w:t>
            </w:r>
            <w:r/>
          </w:p>
        </w:tc>
        <w:tc>
          <w:tcPr>
            <w:tcMar>
              <w:left w:w="108" w:type="dxa"/>
              <w:top w:w="0" w:type="dxa"/>
              <w:right w:w="108" w:type="dxa"/>
              <w:bottom w:w="0" w:type="dxa"/>
            </w:tcMar>
            <w:tcW w:w="1790"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88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附件14-1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b/>
          <w:color w:val="auto"/>
          <w:sz w:val="24"/>
          <w:highlight w:val="none"/>
        </w:rPr>
        <w:t xml:space="preserve">（</w:t>
      </w:r>
      <w:r>
        <w:rPr>
          <w:rFonts w:hint="eastAsia" w:ascii="宋体" w:hAnsi="宋体" w:eastAsia="宋体" w:cs="宋体"/>
          <w:b/>
          <w:i/>
          <w:color w:val="auto"/>
          <w:sz w:val="24"/>
          <w:highlight w:val="none"/>
          <w:u w:val="single"/>
        </w:rPr>
        <w:t xml:space="preserve">斜体且有下划线部分</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3.投标人未对实质性要求逐条作出明确响应的，或未按招标文件要求提供证明材料的，该采购包作无效投标处理。</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质疑函范本</w:t>
      </w:r>
      <w:r/>
    </w:p>
    <w:p>
      <w:pPr>
        <w:spacing w:before="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一、质疑投标人基本信息</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质疑投标人：</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二、质疑项目基本情况</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三、质疑事项具体内容</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四、与质疑事项相关的质疑请求</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1.投标人提出质疑时，应提交质疑函和必要的证明材料。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3.质疑投标人若对项目的某一采购包进行质疑，质疑函中应列明具体采购包号。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839"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4683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6pt;height:12.1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decimalEnclosedCircleChinese"/>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60" w:hanging="420"/>
        <w:tabs>
          <w:tab w:val="left" w:pos="1260" w:leader="none"/>
        </w:tabs>
      </w:pPr>
      <w:rPr>
        <w:rFonts w:hint="default"/>
      </w:rPr>
    </w:lvl>
    <w:lvl w:ilvl="3">
      <w:start w:val="1"/>
      <w:numFmt w:val="lowerLetter"/>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Letter"/>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6"/>
      <w:isLgl w:val="false"/>
      <w:suff w:val="nothing"/>
      <w:lvlText w:val=""/>
      <w:lvlJc w:val="left"/>
      <w:pPr>
        <w:ind w:left="0" w:firstLine="0"/>
      </w:pPr>
      <w:rPr>
        <w:rFonts w:hint="eastAsia"/>
      </w:rPr>
    </w:lvl>
    <w:lvl w:ilvl="6">
      <w:start w:val="1"/>
      <w:numFmt w:val="decimal"/>
      <w:pStyle w:val="987"/>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8">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none"/>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850"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14:ligatures w14:val="none"/>
      </w:rPr>
    </w:lvl>
    <w:lvl w:ilvl="3">
      <w:start w:val="1"/>
      <w:numFmt w:val="decimal"/>
      <w:pStyle w:val="1098"/>
      <w:isLgl w:val="false"/>
      <w:suff w:val="nothing"/>
      <w:lvlText w:val="%1%2.%3.%4　"/>
      <w:lvlJc w:val="left"/>
      <w:pPr>
        <w:ind w:left="1418" w:firstLine="0"/>
      </w:pPr>
      <w:rPr>
        <w:rFonts w:hint="eastAsia" w:ascii="黑体" w:eastAsia="黑体"/>
        <w:b w:val="0"/>
        <w:i w:val="0"/>
        <w:sz w:val="21"/>
      </w:rPr>
    </w:lvl>
    <w:lvl w:ilvl="4">
      <w:start w:val="1"/>
      <w:numFmt w:val="decimal"/>
      <w:isLgl w:val="false"/>
      <w:suff w:val="nothing"/>
      <w:lvlText w:val="%1%2.%3.%4.%5　"/>
      <w:lvlJc w:val="left"/>
      <w:pPr>
        <w:ind w:left="0" w:firstLine="0"/>
      </w:pPr>
      <w:rPr>
        <w:rFonts w:hint="eastAsia" w:ascii="黑体" w:eastAsia="黑体"/>
        <w:b w:val="0"/>
        <w:i w:val="0"/>
        <w:sz w:val="21"/>
      </w:rPr>
    </w:lvl>
    <w:lvl w:ilvl="5">
      <w:start w:val="1"/>
      <w:numFmt w:val="decimal"/>
      <w:isLgl w:val="false"/>
      <w:suff w:val="nothing"/>
      <w:lvlText w:val="%1%2.%3.%4.%5.%6　"/>
      <w:lvlJc w:val="left"/>
      <w:pPr>
        <w:ind w:left="0" w:firstLine="0"/>
      </w:pPr>
      <w:rPr>
        <w:rFonts w:hint="eastAsia" w:ascii="黑体" w:eastAsia="黑体"/>
        <w:b w:val="0"/>
        <w:i w:val="0"/>
        <w:sz w:val="21"/>
      </w:rPr>
    </w:lvl>
    <w:lvl w:ilvl="6">
      <w:start w:val="1"/>
      <w:numFmt w:val="decimal"/>
      <w:isLgl w:val="false"/>
      <w:suff w:val="nothing"/>
      <w:lvlText w:val="%1%2.%3.%4.%5.%6.%7　"/>
      <w:lvlJc w:val="left"/>
      <w:pPr>
        <w:ind w:left="0"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1"/>
  </w:num>
  <w:num w:numId="2">
    <w:abstractNumId w:val="5"/>
  </w:num>
  <w:num w:numId="3">
    <w:abstractNumId w:val="18"/>
  </w:num>
  <w:num w:numId="4">
    <w:abstractNumId w:val="20"/>
  </w:num>
  <w:num w:numId="5">
    <w:abstractNumId w:val="12"/>
  </w:num>
  <w:num w:numId="6">
    <w:abstractNumId w:val="14"/>
  </w:num>
  <w:num w:numId="7">
    <w:abstractNumId w:val="8"/>
  </w:num>
  <w:num w:numId="8">
    <w:abstractNumId w:val="15"/>
  </w:num>
  <w:num w:numId="9">
    <w:abstractNumId w:val="4"/>
  </w:num>
  <w:num w:numId="10">
    <w:abstractNumId w:val="2"/>
  </w:num>
  <w:num w:numId="11">
    <w:abstractNumId w:val="9"/>
  </w:num>
  <w:num w:numId="12">
    <w:abstractNumId w:val="1"/>
  </w:num>
  <w:num w:numId="13">
    <w:abstractNumId w:val="0"/>
  </w:num>
  <w:num w:numId="14">
    <w:abstractNumId w:val="19"/>
  </w:num>
  <w:num w:numId="15">
    <w:abstractNumId w:val="6"/>
  </w:num>
  <w:num w:numId="16">
    <w:abstractNumId w:val="3"/>
  </w:num>
  <w:num w:numId="17">
    <w:abstractNumId w:val="10"/>
  </w:num>
  <w:num w:numId="18">
    <w:abstractNumId w:val="16"/>
  </w:num>
  <w:num w:numId="19">
    <w:abstractNumId w:val="7"/>
    <w:lvlOverride w:ilvl="0">
      <w:startOverride w:val="1"/>
    </w:lvlOverride>
  </w:num>
  <w:num w:numId="20">
    <w:abstractNumId w:val="1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803"/>
    <w:link w:val="794"/>
    <w:uiPriority w:val="9"/>
    <w:rPr>
      <w:rFonts w:ascii="Arial" w:hAnsi="Arial" w:eastAsia="Arial" w:cs="Arial"/>
      <w:sz w:val="40"/>
      <w:szCs w:val="40"/>
    </w:rPr>
  </w:style>
  <w:style w:type="character" w:styleId="757">
    <w:name w:val="Heading 2 Char"/>
    <w:basedOn w:val="803"/>
    <w:link w:val="795"/>
    <w:uiPriority w:val="9"/>
    <w:rPr>
      <w:rFonts w:ascii="Arial" w:hAnsi="Arial" w:eastAsia="Arial" w:cs="Arial"/>
      <w:sz w:val="34"/>
    </w:rPr>
  </w:style>
  <w:style w:type="character" w:styleId="758">
    <w:name w:val="Heading 3 Char"/>
    <w:basedOn w:val="803"/>
    <w:link w:val="796"/>
    <w:uiPriority w:val="9"/>
    <w:rPr>
      <w:rFonts w:ascii="Arial" w:hAnsi="Arial" w:eastAsia="Arial" w:cs="Arial"/>
      <w:sz w:val="30"/>
      <w:szCs w:val="30"/>
    </w:rPr>
  </w:style>
  <w:style w:type="character" w:styleId="759">
    <w:name w:val="Heading 4 Char"/>
    <w:basedOn w:val="803"/>
    <w:link w:val="797"/>
    <w:uiPriority w:val="9"/>
    <w:rPr>
      <w:rFonts w:ascii="Arial" w:hAnsi="Arial" w:eastAsia="Arial" w:cs="Arial"/>
      <w:b/>
      <w:bCs/>
      <w:sz w:val="26"/>
      <w:szCs w:val="26"/>
    </w:rPr>
  </w:style>
  <w:style w:type="character" w:styleId="760">
    <w:name w:val="Heading 5 Char"/>
    <w:basedOn w:val="803"/>
    <w:link w:val="798"/>
    <w:uiPriority w:val="9"/>
    <w:rPr>
      <w:rFonts w:ascii="Arial" w:hAnsi="Arial" w:eastAsia="Arial" w:cs="Arial"/>
      <w:b/>
      <w:bCs/>
      <w:sz w:val="24"/>
      <w:szCs w:val="24"/>
    </w:rPr>
  </w:style>
  <w:style w:type="character" w:styleId="761">
    <w:name w:val="Heading 6 Char"/>
    <w:basedOn w:val="803"/>
    <w:link w:val="799"/>
    <w:uiPriority w:val="9"/>
    <w:rPr>
      <w:rFonts w:ascii="Arial" w:hAnsi="Arial" w:eastAsia="Arial" w:cs="Arial"/>
      <w:b/>
      <w:bCs/>
      <w:sz w:val="22"/>
      <w:szCs w:val="22"/>
    </w:rPr>
  </w:style>
  <w:style w:type="character" w:styleId="762">
    <w:name w:val="Heading 7 Char"/>
    <w:basedOn w:val="803"/>
    <w:link w:val="800"/>
    <w:uiPriority w:val="9"/>
    <w:rPr>
      <w:rFonts w:ascii="Arial" w:hAnsi="Arial" w:eastAsia="Arial" w:cs="Arial"/>
      <w:b/>
      <w:bCs/>
      <w:i/>
      <w:iCs/>
      <w:sz w:val="22"/>
      <w:szCs w:val="22"/>
    </w:rPr>
  </w:style>
  <w:style w:type="character" w:styleId="763">
    <w:name w:val="Heading 8 Char"/>
    <w:basedOn w:val="803"/>
    <w:link w:val="801"/>
    <w:uiPriority w:val="9"/>
    <w:rPr>
      <w:rFonts w:ascii="Arial" w:hAnsi="Arial" w:eastAsia="Arial" w:cs="Arial"/>
      <w:i/>
      <w:iCs/>
      <w:sz w:val="22"/>
      <w:szCs w:val="22"/>
    </w:rPr>
  </w:style>
  <w:style w:type="character" w:styleId="764">
    <w:name w:val="Heading 9 Char"/>
    <w:basedOn w:val="803"/>
    <w:link w:val="802"/>
    <w:uiPriority w:val="9"/>
    <w:rPr>
      <w:rFonts w:ascii="Arial" w:hAnsi="Arial" w:eastAsia="Arial" w:cs="Arial"/>
      <w:i/>
      <w:iCs/>
      <w:sz w:val="21"/>
      <w:szCs w:val="21"/>
    </w:rPr>
  </w:style>
  <w:style w:type="character" w:styleId="765">
    <w:name w:val="Title Char"/>
    <w:basedOn w:val="803"/>
    <w:link w:val="825"/>
    <w:uiPriority w:val="10"/>
    <w:rPr>
      <w:sz w:val="48"/>
      <w:szCs w:val="48"/>
    </w:rPr>
  </w:style>
  <w:style w:type="character" w:styleId="766">
    <w:name w:val="Subtitle Char"/>
    <w:basedOn w:val="803"/>
    <w:link w:val="818"/>
    <w:uiPriority w:val="11"/>
    <w:rPr>
      <w:sz w:val="24"/>
      <w:szCs w:val="24"/>
    </w:rPr>
  </w:style>
  <w:style w:type="character" w:styleId="767">
    <w:name w:val="Quote Char"/>
    <w:link w:val="845"/>
    <w:uiPriority w:val="29"/>
    <w:rPr>
      <w:i/>
    </w:rPr>
  </w:style>
  <w:style w:type="character" w:styleId="768">
    <w:name w:val="Intense Quote Char"/>
    <w:link w:val="847"/>
    <w:uiPriority w:val="30"/>
    <w:rPr>
      <w:i/>
    </w:rPr>
  </w:style>
  <w:style w:type="character" w:styleId="769">
    <w:name w:val="Header Char"/>
    <w:basedOn w:val="803"/>
    <w:link w:val="815"/>
    <w:uiPriority w:val="99"/>
  </w:style>
  <w:style w:type="character" w:styleId="770">
    <w:name w:val="Caption Char"/>
    <w:basedOn w:val="807"/>
    <w:link w:val="814"/>
    <w:uiPriority w:val="99"/>
  </w:style>
  <w:style w:type="table" w:styleId="771">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0">
    <w:name w:val="Footnote Text Char"/>
    <w:link w:val="819"/>
    <w:uiPriority w:val="99"/>
    <w:rPr>
      <w:sz w:val="18"/>
    </w:rPr>
  </w:style>
  <w:style w:type="character" w:styleId="791">
    <w:name w:val="Endnote Text Char"/>
    <w:link w:val="813"/>
    <w:uiPriority w:val="99"/>
    <w:rPr>
      <w:sz w:val="20"/>
    </w:rPr>
  </w:style>
  <w:style w:type="paragraph" w:styleId="792">
    <w:name w:val="TOC Heading"/>
    <w:uiPriority w:val="39"/>
    <w:unhideWhenUsed/>
  </w:style>
  <w:style w:type="paragraph" w:styleId="793" w:default="1">
    <w:name w:val="Normal"/>
    <w:next w:val="805"/>
    <w:uiPriority w:val="0"/>
    <w:qFormat/>
    <w:pPr>
      <w:jc w:val="both"/>
      <w:widowControl w:val="off"/>
    </w:pPr>
    <w:rPr>
      <w:rFonts w:ascii="Times New Roman" w:hAnsi="Times New Roman" w:eastAsia="宋体" w:cs="Times New Roman"/>
      <w:sz w:val="21"/>
      <w:szCs w:val="21"/>
      <w:lang w:val="en-US" w:eastAsia="zh-CN" w:bidi="ar-SA"/>
    </w:rPr>
  </w:style>
  <w:style w:type="paragraph" w:styleId="794">
    <w:name w:val="Heading 1"/>
    <w:basedOn w:val="793"/>
    <w:next w:val="793"/>
    <w:link w:val="832"/>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33"/>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34"/>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35"/>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9"/>
    <w:link w:val="836"/>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800"/>
    <w:link w:val="837"/>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801"/>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39"/>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40"/>
    <w:uiPriority w:val="9"/>
    <w:unhideWhenUsed/>
    <w:qFormat/>
    <w:pPr>
      <w:keepLines/>
      <w:keepNext/>
      <w:spacing w:before="320" w:after="200"/>
      <w:outlineLvl w:val="8"/>
    </w:pPr>
    <w:rPr>
      <w:rFonts w:ascii="Arial" w:hAnsi="Arial" w:eastAsia="Arial" w:cs="Arial"/>
      <w:i/>
      <w:iCs/>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index 4"/>
    <w:basedOn w:val="793"/>
    <w:next w:val="793"/>
    <w:uiPriority w:val="0"/>
    <w:unhideWhenUsed/>
    <w:qFormat/>
    <w:pPr>
      <w:ind w:left="600"/>
    </w:pPr>
    <w:rPr>
      <w:rFonts w:ascii="Calibri" w:hAnsi="Calibri"/>
    </w:rPr>
  </w:style>
  <w:style w:type="paragraph" w:styleId="806">
    <w:name w:val="toc 7"/>
    <w:basedOn w:val="793"/>
    <w:next w:val="793"/>
    <w:uiPriority w:val="39"/>
    <w:unhideWhenUsed/>
    <w:qFormat/>
    <w:pPr>
      <w:ind w:left="1701"/>
      <w:spacing w:after="57"/>
    </w:pPr>
  </w:style>
  <w:style w:type="paragraph" w:styleId="807">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annotation text"/>
    <w:basedOn w:val="793"/>
    <w:uiPriority w:val="0"/>
    <w:qFormat/>
    <w:pPr>
      <w:jc w:val="left"/>
    </w:pPr>
  </w:style>
  <w:style w:type="paragraph" w:styleId="809">
    <w:name w:val="Body Text"/>
    <w:basedOn w:val="793"/>
    <w:next w:val="793"/>
    <w:uiPriority w:val="99"/>
    <w:unhideWhenUsed/>
    <w:qFormat/>
    <w:pPr>
      <w:spacing w:after="120"/>
    </w:pPr>
  </w:style>
  <w:style w:type="paragraph" w:styleId="810">
    <w:name w:val="toc 5"/>
    <w:basedOn w:val="793"/>
    <w:next w:val="793"/>
    <w:uiPriority w:val="39"/>
    <w:unhideWhenUsed/>
    <w:qFormat/>
    <w:pPr>
      <w:ind w:left="1134"/>
      <w:spacing w:after="57"/>
    </w:pPr>
  </w:style>
  <w:style w:type="paragraph" w:styleId="811">
    <w:name w:val="toc 3"/>
    <w:basedOn w:val="793"/>
    <w:next w:val="793"/>
    <w:uiPriority w:val="39"/>
    <w:unhideWhenUsed/>
    <w:qFormat/>
    <w:pPr>
      <w:ind w:left="567"/>
      <w:spacing w:after="57"/>
    </w:pPr>
  </w:style>
  <w:style w:type="paragraph" w:styleId="812">
    <w:name w:val="toc 8"/>
    <w:basedOn w:val="793"/>
    <w:next w:val="793"/>
    <w:uiPriority w:val="39"/>
    <w:unhideWhenUsed/>
    <w:qFormat/>
    <w:pPr>
      <w:ind w:left="1984"/>
      <w:spacing w:after="57"/>
    </w:pPr>
  </w:style>
  <w:style w:type="paragraph" w:styleId="813">
    <w:name w:val="endnote text"/>
    <w:basedOn w:val="793"/>
    <w:link w:val="978"/>
    <w:uiPriority w:val="99"/>
    <w:semiHidden/>
    <w:unhideWhenUsed/>
    <w:qFormat/>
    <w:rPr>
      <w:sz w:val="20"/>
    </w:rPr>
  </w:style>
  <w:style w:type="paragraph" w:styleId="814">
    <w:name w:val="Footer"/>
    <w:basedOn w:val="793"/>
    <w:link w:val="851"/>
    <w:uiPriority w:val="99"/>
    <w:unhideWhenUsed/>
    <w:qFormat/>
    <w:pPr>
      <w:tabs>
        <w:tab w:val="center" w:pos="7143" w:leader="none"/>
        <w:tab w:val="right" w:pos="14287" w:leader="none"/>
      </w:tabs>
    </w:pPr>
  </w:style>
  <w:style w:type="paragraph" w:styleId="815">
    <w:name w:val="Header"/>
    <w:basedOn w:val="793"/>
    <w:link w:val="849"/>
    <w:uiPriority w:val="99"/>
    <w:unhideWhenUsed/>
    <w:qFormat/>
    <w:pPr>
      <w:tabs>
        <w:tab w:val="center" w:pos="7143" w:leader="none"/>
        <w:tab w:val="right" w:pos="14287" w:leader="none"/>
      </w:tabs>
    </w:pPr>
  </w:style>
  <w:style w:type="paragraph" w:styleId="816">
    <w:name w:val="toc 1"/>
    <w:basedOn w:val="793"/>
    <w:next w:val="793"/>
    <w:uiPriority w:val="39"/>
    <w:unhideWhenUsed/>
    <w:qFormat/>
    <w:pPr>
      <w:spacing w:after="57"/>
    </w:pPr>
  </w:style>
  <w:style w:type="paragraph" w:styleId="817">
    <w:name w:val="toc 4"/>
    <w:basedOn w:val="793"/>
    <w:next w:val="793"/>
    <w:uiPriority w:val="39"/>
    <w:unhideWhenUsed/>
    <w:qFormat/>
    <w:pPr>
      <w:ind w:left="850"/>
      <w:spacing w:after="57"/>
    </w:pPr>
  </w:style>
  <w:style w:type="paragraph" w:styleId="818">
    <w:name w:val="Subtitle"/>
    <w:basedOn w:val="793"/>
    <w:next w:val="793"/>
    <w:link w:val="844"/>
    <w:uiPriority w:val="11"/>
    <w:qFormat/>
    <w:pPr>
      <w:spacing w:before="200" w:after="200"/>
    </w:pPr>
    <w:rPr>
      <w:sz w:val="24"/>
      <w:szCs w:val="24"/>
    </w:rPr>
  </w:style>
  <w:style w:type="paragraph" w:styleId="819">
    <w:name w:val="footnote text"/>
    <w:basedOn w:val="793"/>
    <w:link w:val="977"/>
    <w:uiPriority w:val="99"/>
    <w:semiHidden/>
    <w:unhideWhenUsed/>
    <w:qFormat/>
    <w:pPr>
      <w:spacing w:after="40"/>
    </w:pPr>
    <w:rPr>
      <w:sz w:val="18"/>
    </w:rPr>
  </w:style>
  <w:style w:type="paragraph" w:styleId="820">
    <w:name w:val="toc 6"/>
    <w:basedOn w:val="793"/>
    <w:next w:val="793"/>
    <w:uiPriority w:val="39"/>
    <w:unhideWhenUsed/>
    <w:qFormat/>
    <w:pPr>
      <w:ind w:left="1417"/>
      <w:spacing w:after="57"/>
    </w:pPr>
  </w:style>
  <w:style w:type="paragraph" w:styleId="821">
    <w:name w:val="table of figures"/>
    <w:basedOn w:val="793"/>
    <w:next w:val="793"/>
    <w:uiPriority w:val="99"/>
    <w:unhideWhenUsed/>
    <w:qFormat/>
  </w:style>
  <w:style w:type="paragraph" w:styleId="822">
    <w:name w:val="toc 2"/>
    <w:basedOn w:val="793"/>
    <w:next w:val="793"/>
    <w:uiPriority w:val="39"/>
    <w:unhideWhenUsed/>
    <w:qFormat/>
    <w:pPr>
      <w:ind w:left="283"/>
      <w:spacing w:after="57"/>
    </w:pPr>
  </w:style>
  <w:style w:type="paragraph" w:styleId="823">
    <w:name w:val="toc 9"/>
    <w:basedOn w:val="793"/>
    <w:next w:val="793"/>
    <w:uiPriority w:val="39"/>
    <w:unhideWhenUsed/>
    <w:qFormat/>
    <w:pPr>
      <w:ind w:left="2268"/>
      <w:spacing w:after="57"/>
    </w:pPr>
  </w:style>
  <w:style w:type="paragraph" w:styleId="824">
    <w:name w:val="Body Text 2"/>
    <w:basedOn w:val="793"/>
    <w:next w:val="793"/>
    <w:uiPriority w:val="0"/>
    <w:qFormat/>
    <w:pPr>
      <w:spacing w:line="480" w:lineRule="atLeast"/>
    </w:pPr>
    <w:rPr>
      <w:sz w:val="28"/>
    </w:rPr>
  </w:style>
  <w:style w:type="paragraph" w:styleId="825">
    <w:name w:val="Title"/>
    <w:basedOn w:val="793"/>
    <w:next w:val="793"/>
    <w:link w:val="843"/>
    <w:uiPriority w:val="10"/>
    <w:qFormat/>
    <w:pPr>
      <w:contextualSpacing/>
      <w:spacing w:before="300" w:after="200"/>
    </w:pPr>
    <w:rPr>
      <w:sz w:val="48"/>
      <w:szCs w:val="48"/>
    </w:rPr>
  </w:style>
  <w:style w:type="paragraph" w:styleId="826">
    <w:name w:val="Body Text First Indent"/>
    <w:basedOn w:val="809"/>
    <w:next w:val="820"/>
    <w:uiPriority w:val="99"/>
    <w:semiHidden/>
    <w:unhideWhenUsed/>
    <w:qFormat/>
    <w:pPr>
      <w:ind w:firstLine="420"/>
    </w:p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annotation reference"/>
    <w:basedOn w:val="803"/>
    <w:uiPriority w:val="0"/>
    <w:qFormat/>
    <w:rPr>
      <w:sz w:val="21"/>
      <w:szCs w:val="21"/>
    </w:rPr>
  </w:style>
  <w:style w:type="character" w:styleId="831">
    <w:name w:val="footnote reference"/>
    <w:uiPriority w:val="99"/>
    <w:unhideWhenUsed/>
    <w:qFormat/>
    <w:rPr>
      <w:vertAlign w:val="superscript"/>
    </w:rPr>
  </w:style>
  <w:style w:type="character" w:styleId="832" w:customStyle="1">
    <w:name w:val="标题 1 Char1"/>
    <w:link w:val="794"/>
    <w:uiPriority w:val="9"/>
    <w:qFormat/>
    <w:rPr>
      <w:rFonts w:ascii="Arial" w:hAnsi="Arial" w:eastAsia="Arial" w:cs="Arial"/>
      <w:sz w:val="40"/>
      <w:szCs w:val="40"/>
    </w:rPr>
  </w:style>
  <w:style w:type="character" w:styleId="833" w:customStyle="1">
    <w:name w:val="标题 2 Char1"/>
    <w:link w:val="795"/>
    <w:uiPriority w:val="9"/>
    <w:qFormat/>
    <w:rPr>
      <w:rFonts w:ascii="Arial" w:hAnsi="Arial" w:eastAsia="Arial" w:cs="Arial"/>
      <w:sz w:val="34"/>
    </w:rPr>
  </w:style>
  <w:style w:type="character" w:styleId="834" w:customStyle="1">
    <w:name w:val="标题 3 Char1"/>
    <w:link w:val="796"/>
    <w:uiPriority w:val="9"/>
    <w:qFormat/>
    <w:rPr>
      <w:rFonts w:ascii="Arial" w:hAnsi="Arial" w:eastAsia="Arial" w:cs="Arial"/>
      <w:sz w:val="30"/>
      <w:szCs w:val="30"/>
    </w:rPr>
  </w:style>
  <w:style w:type="character" w:styleId="835" w:customStyle="1">
    <w:name w:val="标题 4 Char1"/>
    <w:link w:val="797"/>
    <w:uiPriority w:val="9"/>
    <w:qFormat/>
    <w:rPr>
      <w:rFonts w:ascii="Arial" w:hAnsi="Arial" w:eastAsia="Arial" w:cs="Arial"/>
      <w:b/>
      <w:bCs/>
      <w:sz w:val="26"/>
      <w:szCs w:val="26"/>
    </w:rPr>
  </w:style>
  <w:style w:type="character" w:styleId="836" w:customStyle="1">
    <w:name w:val="标题 5 Char1"/>
    <w:link w:val="798"/>
    <w:uiPriority w:val="9"/>
    <w:qFormat/>
    <w:rPr>
      <w:rFonts w:ascii="Arial" w:hAnsi="Arial" w:eastAsia="Arial" w:cs="Arial"/>
      <w:b/>
      <w:bCs/>
      <w:sz w:val="24"/>
      <w:szCs w:val="24"/>
    </w:rPr>
  </w:style>
  <w:style w:type="character" w:styleId="837" w:customStyle="1">
    <w:name w:val="标题 6 Char1"/>
    <w:link w:val="799"/>
    <w:uiPriority w:val="9"/>
    <w:qFormat/>
    <w:rPr>
      <w:rFonts w:ascii="Arial" w:hAnsi="Arial" w:eastAsia="Arial" w:cs="Arial"/>
      <w:b/>
      <w:bCs/>
      <w:sz w:val="22"/>
      <w:szCs w:val="22"/>
    </w:rPr>
  </w:style>
  <w:style w:type="character" w:styleId="838" w:customStyle="1">
    <w:name w:val="标题 7 Char1"/>
    <w:link w:val="800"/>
    <w:uiPriority w:val="9"/>
    <w:qFormat/>
    <w:rPr>
      <w:rFonts w:ascii="Arial" w:hAnsi="Arial" w:eastAsia="Arial" w:cs="Arial"/>
      <w:b/>
      <w:bCs/>
      <w:i/>
      <w:iCs/>
      <w:sz w:val="22"/>
      <w:szCs w:val="22"/>
    </w:rPr>
  </w:style>
  <w:style w:type="character" w:styleId="839" w:customStyle="1">
    <w:name w:val="标题 8 Char1"/>
    <w:link w:val="801"/>
    <w:uiPriority w:val="9"/>
    <w:qFormat/>
    <w:rPr>
      <w:rFonts w:ascii="Arial" w:hAnsi="Arial" w:eastAsia="Arial" w:cs="Arial"/>
      <w:i/>
      <w:iCs/>
      <w:sz w:val="22"/>
      <w:szCs w:val="22"/>
    </w:rPr>
  </w:style>
  <w:style w:type="character" w:styleId="840" w:customStyle="1">
    <w:name w:val="标题 9 Char1"/>
    <w:link w:val="802"/>
    <w:uiPriority w:val="9"/>
    <w:qFormat/>
    <w:rPr>
      <w:rFonts w:ascii="Arial" w:hAnsi="Arial" w:eastAsia="Arial" w:cs="Arial"/>
      <w:i/>
      <w:iCs/>
      <w:sz w:val="21"/>
      <w:szCs w:val="21"/>
    </w:rPr>
  </w:style>
  <w:style w:type="paragraph" w:styleId="841">
    <w:name w:val="List Paragraph"/>
    <w:basedOn w:val="793"/>
    <w:uiPriority w:val="34"/>
    <w:qFormat/>
    <w:pPr>
      <w:contextualSpacing/>
      <w:ind w:left="720"/>
    </w:pPr>
  </w:style>
  <w:style w:type="paragraph" w:styleId="842">
    <w:name w:val="No Spacing"/>
    <w:uiPriority w:val="1"/>
    <w:qFormat/>
    <w:rPr>
      <w:rFonts w:ascii="Times New Roman" w:hAnsi="Times New Roman" w:eastAsia="宋体" w:cs="Times New Roman"/>
      <w:lang w:val="en-US" w:eastAsia="zh-CN" w:bidi="ar-SA"/>
    </w:rPr>
  </w:style>
  <w:style w:type="character" w:styleId="843" w:customStyle="1">
    <w:name w:val="标题 Char"/>
    <w:link w:val="825"/>
    <w:uiPriority w:val="10"/>
    <w:qFormat/>
    <w:rPr>
      <w:sz w:val="48"/>
      <w:szCs w:val="48"/>
    </w:rPr>
  </w:style>
  <w:style w:type="character" w:styleId="844" w:customStyle="1">
    <w:name w:val="副标题 Char"/>
    <w:link w:val="818"/>
    <w:uiPriority w:val="11"/>
    <w:qFormat/>
    <w:rPr>
      <w:sz w:val="24"/>
      <w:szCs w:val="24"/>
    </w:rPr>
  </w:style>
  <w:style w:type="paragraph" w:styleId="845">
    <w:name w:val="Quote"/>
    <w:basedOn w:val="793"/>
    <w:next w:val="793"/>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93"/>
    <w:next w:val="793"/>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页眉 Char1"/>
    <w:link w:val="815"/>
    <w:uiPriority w:val="99"/>
    <w:qFormat/>
  </w:style>
  <w:style w:type="character" w:styleId="850" w:customStyle="1">
    <w:name w:val="Footer Char"/>
    <w:uiPriority w:val="99"/>
    <w:qFormat/>
  </w:style>
  <w:style w:type="character" w:styleId="851" w:customStyle="1">
    <w:name w:val="页脚 Char1"/>
    <w:link w:val="814"/>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Char"/>
    <w:link w:val="819"/>
    <w:uiPriority w:val="99"/>
    <w:qFormat/>
    <w:rPr>
      <w:sz w:val="18"/>
    </w:rPr>
  </w:style>
  <w:style w:type="character" w:styleId="978" w:customStyle="1">
    <w:name w:val="尾注文本 Char"/>
    <w:link w:val="813"/>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标题 11"/>
    <w:basedOn w:val="793"/>
    <w:next w:val="793"/>
    <w:link w:val="1016"/>
    <w:uiPriority w:val="0"/>
    <w:qFormat/>
    <w:pPr>
      <w:jc w:val="center"/>
      <w:keepNext/>
      <w:outlineLvl w:val="0"/>
    </w:pPr>
    <w:rPr>
      <w:rFonts w:ascii="楷体_GB2312" w:hAnsi="楷体_GB2312" w:eastAsia="黑体"/>
      <w:sz w:val="44"/>
      <w:szCs w:val="28"/>
    </w:rPr>
  </w:style>
  <w:style w:type="paragraph" w:styleId="981" w:customStyle="1">
    <w:name w:val="标题 21"/>
    <w:basedOn w:val="793"/>
    <w:next w:val="982"/>
    <w:link w:val="9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2" w:customStyle="1">
    <w:name w:val="正文缩进1"/>
    <w:basedOn w:val="793"/>
    <w:link w:val="1022"/>
    <w:uiPriority w:val="0"/>
    <w:qFormat/>
    <w:pPr>
      <w:ind w:firstLine="420"/>
    </w:pPr>
  </w:style>
  <w:style w:type="paragraph" w:styleId="983" w:customStyle="1">
    <w:name w:val="标题 31"/>
    <w:basedOn w:val="793"/>
    <w:next w:val="982"/>
    <w:link w:val="992"/>
    <w:uiPriority w:val="0"/>
    <w:qFormat/>
    <w:pPr>
      <w:keepLines/>
      <w:keepNext/>
      <w:spacing w:before="260" w:after="260" w:line="416" w:lineRule="auto"/>
      <w:outlineLvl w:val="2"/>
    </w:pPr>
    <w:rPr>
      <w:b/>
      <w:bCs/>
      <w:sz w:val="32"/>
      <w:szCs w:val="32"/>
    </w:rPr>
  </w:style>
  <w:style w:type="paragraph" w:styleId="984" w:customStyle="1">
    <w:name w:val="标题 41"/>
    <w:basedOn w:val="793"/>
    <w:next w:val="982"/>
    <w:link w:val="1036"/>
    <w:uiPriority w:val="0"/>
    <w:qFormat/>
    <w:pPr>
      <w:keepLines/>
      <w:keepNext/>
      <w:spacing w:before="280" w:after="290" w:line="376" w:lineRule="auto"/>
      <w:outlineLvl w:val="3"/>
    </w:pPr>
    <w:rPr>
      <w:rFonts w:ascii="Arial" w:hAnsi="Arial" w:eastAsia="黑体" w:cs="Arial"/>
      <w:b/>
      <w:bCs/>
      <w:sz w:val="28"/>
      <w:szCs w:val="28"/>
    </w:rPr>
  </w:style>
  <w:style w:type="paragraph" w:styleId="985" w:customStyle="1">
    <w:name w:val="标题 51"/>
    <w:basedOn w:val="793"/>
    <w:next w:val="982"/>
    <w:link w:val="1028"/>
    <w:uiPriority w:val="0"/>
    <w:qFormat/>
    <w:pPr>
      <w:keepNext/>
      <w:outlineLvl w:val="4"/>
    </w:pPr>
    <w:rPr>
      <w:rFonts w:ascii="宋体"/>
      <w:color w:val="000000"/>
      <w:sz w:val="28"/>
      <w:szCs w:val="28"/>
    </w:rPr>
  </w:style>
  <w:style w:type="paragraph" w:styleId="986" w:customStyle="1">
    <w:name w:val="标题 61"/>
    <w:basedOn w:val="793"/>
    <w:next w:val="793"/>
    <w:link w:val="10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7" w:customStyle="1">
    <w:name w:val="标题 71"/>
    <w:basedOn w:val="793"/>
    <w:next w:val="793"/>
    <w:link w:val="1024"/>
    <w:uiPriority w:val="0"/>
    <w:qFormat/>
    <w:pPr>
      <w:numPr>
        <w:ilvl w:val="6"/>
        <w:numId w:val="1"/>
      </w:numPr>
      <w:keepLines/>
      <w:keepNext/>
      <w:spacing w:before="240" w:after="64" w:line="320" w:lineRule="auto"/>
      <w:outlineLvl w:val="6"/>
    </w:pPr>
    <w:rPr>
      <w:b/>
      <w:bCs/>
      <w:sz w:val="24"/>
      <w:szCs w:val="24"/>
    </w:rPr>
  </w:style>
  <w:style w:type="paragraph" w:styleId="988" w:customStyle="1">
    <w:name w:val="标题 81"/>
    <w:basedOn w:val="793"/>
    <w:next w:val="793"/>
    <w:link w:val="10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9" w:customStyle="1">
    <w:name w:val="标题 91"/>
    <w:basedOn w:val="793"/>
    <w:next w:val="793"/>
    <w:link w:val="1026"/>
    <w:uiPriority w:val="0"/>
    <w:qFormat/>
    <w:pPr>
      <w:numPr>
        <w:ilvl w:val="8"/>
        <w:numId w:val="1"/>
      </w:numPr>
      <w:keepLines/>
      <w:keepNext/>
      <w:spacing w:before="240" w:after="64" w:line="320" w:lineRule="auto"/>
      <w:outlineLvl w:val="8"/>
    </w:pPr>
    <w:rPr>
      <w:rFonts w:ascii="Arial" w:hAnsi="Arial" w:eastAsia="黑体"/>
    </w:rPr>
  </w:style>
  <w:style w:type="character" w:styleId="990" w:customStyle="1">
    <w:name w:val="默认段落字体1"/>
    <w:uiPriority w:val="1"/>
    <w:unhideWhenUsed/>
    <w:qFormat/>
  </w:style>
  <w:style w:type="table" w:styleId="991" w:customStyle="1">
    <w:name w:val="普通表格1"/>
    <w:uiPriority w:val="99"/>
    <w:unhideWhenUsed/>
    <w:qFormat/>
    <w:tblPr>
      <w:tblCellMar>
        <w:left w:w="0" w:type="dxa"/>
        <w:top w:w="0" w:type="dxa"/>
        <w:right w:w="0" w:type="dxa"/>
        <w:bottom w:w="0" w:type="dxa"/>
      </w:tblCellMar>
    </w:tblPr>
  </w:style>
  <w:style w:type="character" w:styleId="992" w:customStyle="1">
    <w:name w:val="标题 3 Char"/>
    <w:link w:val="983"/>
    <w:uiPriority w:val="0"/>
    <w:qFormat/>
    <w:rPr>
      <w:rFonts w:ascii="Times New Roman" w:hAnsi="Times New Roman" w:eastAsia="宋体" w:cs="Times New Roman"/>
      <w:b/>
      <w:bCs/>
      <w:sz w:val="32"/>
      <w:szCs w:val="32"/>
    </w:rPr>
  </w:style>
  <w:style w:type="character" w:styleId="993" w:customStyle="1">
    <w:name w:val="标题 2 Char"/>
    <w:link w:val="981"/>
    <w:uiPriority w:val="0"/>
    <w:qFormat/>
    <w:rPr>
      <w:rFonts w:ascii="Arial" w:hAnsi="Arial" w:eastAsia="幼圆" w:cs="Arial"/>
      <w:b/>
      <w:bCs/>
      <w:sz w:val="44"/>
      <w:szCs w:val="44"/>
    </w:rPr>
  </w:style>
  <w:style w:type="character" w:styleId="994" w:customStyle="1">
    <w:name w:val="批注引用1"/>
    <w:uiPriority w:val="0"/>
    <w:semiHidden/>
    <w:qFormat/>
    <w:rPr>
      <w:sz w:val="21"/>
      <w:szCs w:val="21"/>
    </w:rPr>
  </w:style>
  <w:style w:type="character" w:styleId="995" w:customStyle="1">
    <w:name w:val="纯文本 Char"/>
    <w:link w:val="996"/>
    <w:uiPriority w:val="0"/>
    <w:qFormat/>
    <w:rPr>
      <w:rFonts w:ascii="宋体" w:hAnsi="Courier New" w:eastAsia="宋体" w:cs="Courier New"/>
      <w:szCs w:val="21"/>
    </w:rPr>
  </w:style>
  <w:style w:type="paragraph" w:styleId="996" w:customStyle="1">
    <w:name w:val="纯文本1"/>
    <w:basedOn w:val="793"/>
    <w:link w:val="995"/>
    <w:uiPriority w:val="0"/>
    <w:qFormat/>
    <w:rPr>
      <w:rFonts w:ascii="宋体" w:hAnsi="Courier New" w:cs="Courier New"/>
    </w:rPr>
  </w:style>
  <w:style w:type="character" w:styleId="997" w:customStyle="1">
    <w:name w:val="文档结构图 Char"/>
    <w:link w:val="998"/>
    <w:uiPriority w:val="0"/>
    <w:semiHidden/>
    <w:qFormat/>
    <w:rPr>
      <w:rFonts w:ascii="Times New Roman" w:hAnsi="Times New Roman" w:eastAsia="宋体" w:cs="Times New Roman"/>
      <w:szCs w:val="21"/>
      <w:shd w:val="clear" w:color="auto" w:fill="000080"/>
    </w:rPr>
  </w:style>
  <w:style w:type="paragraph" w:styleId="998" w:customStyle="1">
    <w:name w:val="文档结构图1"/>
    <w:basedOn w:val="793"/>
    <w:link w:val="997"/>
    <w:uiPriority w:val="0"/>
    <w:semiHidden/>
    <w:qFormat/>
    <w:pPr>
      <w:shd w:val="clear" w:color="auto" w:fill="000080"/>
    </w:pPr>
  </w:style>
  <w:style w:type="character" w:styleId="999" w:customStyle="1">
    <w:name w:val="要点1"/>
    <w:uiPriority w:val="0"/>
    <w:qFormat/>
    <w:rPr>
      <w:b/>
      <w:bCs/>
    </w:rPr>
  </w:style>
  <w:style w:type="character" w:styleId="1000" w:customStyle="1">
    <w:name w:val="页脚 Char"/>
    <w:link w:val="1001"/>
    <w:uiPriority w:val="0"/>
    <w:qFormat/>
    <w:rPr>
      <w:rFonts w:ascii="Times New Roman" w:hAnsi="Times New Roman" w:eastAsia="宋体" w:cs="Times New Roman"/>
      <w:sz w:val="18"/>
      <w:szCs w:val="18"/>
    </w:rPr>
  </w:style>
  <w:style w:type="paragraph" w:styleId="1001" w:customStyle="1">
    <w:name w:val="页脚1"/>
    <w:basedOn w:val="793"/>
    <w:link w:val="1000"/>
    <w:uiPriority w:val="0"/>
    <w:qFormat/>
    <w:pPr>
      <w:jc w:val="left"/>
      <w:tabs>
        <w:tab w:val="center" w:pos="4153" w:leader="none"/>
        <w:tab w:val="right" w:pos="8306" w:leader="none"/>
      </w:tabs>
    </w:pPr>
    <w:rPr>
      <w:sz w:val="18"/>
      <w:szCs w:val="18"/>
    </w:rPr>
  </w:style>
  <w:style w:type="character" w:styleId="1002" w:customStyle="1">
    <w:name w:val="列出段落 Char"/>
    <w:link w:val="1003"/>
    <w:uiPriority w:val="0"/>
    <w:qFormat/>
    <w:rPr>
      <w:rFonts w:ascii="Calibri" w:hAnsi="Calibri"/>
      <w:sz w:val="24"/>
      <w:szCs w:val="24"/>
      <w:lang w:eastAsia="en-US" w:bidi="en-US"/>
    </w:rPr>
  </w:style>
  <w:style w:type="paragraph" w:styleId="1003" w:customStyle="1">
    <w:name w:val="列出段落1"/>
    <w:basedOn w:val="793"/>
    <w:link w:val="1002"/>
    <w:uiPriority w:val="0"/>
    <w:qFormat/>
    <w:pPr>
      <w:contextualSpacing/>
      <w:ind w:left="720"/>
      <w:jc w:val="left"/>
      <w:widowControl/>
    </w:pPr>
    <w:rPr>
      <w:rFonts w:ascii="Calibri" w:hAnsi="Calibri"/>
      <w:sz w:val="24"/>
      <w:szCs w:val="24"/>
      <w:lang w:eastAsia="en-US" w:bidi="en-US"/>
    </w:rPr>
  </w:style>
  <w:style w:type="character" w:styleId="1004" w:customStyle="1">
    <w:name w:val="标题 6 Char"/>
    <w:link w:val="986"/>
    <w:uiPriority w:val="0"/>
    <w:qFormat/>
    <w:rPr>
      <w:rFonts w:ascii="Arial" w:hAnsi="Arial" w:eastAsia="黑体" w:cs="Times New Roman"/>
      <w:b/>
      <w:bCs/>
      <w:sz w:val="24"/>
      <w:szCs w:val="24"/>
    </w:rPr>
  </w:style>
  <w:style w:type="character" w:styleId="1005" w:customStyle="1">
    <w:name w:val="批注主题 Char"/>
    <w:link w:val="1006"/>
    <w:uiPriority w:val="0"/>
    <w:semiHidden/>
    <w:qFormat/>
    <w:rPr>
      <w:rFonts w:ascii="Times New Roman" w:hAnsi="Times New Roman" w:eastAsia="宋体" w:cs="Times New Roman"/>
      <w:b/>
      <w:bCs/>
      <w:szCs w:val="21"/>
    </w:rPr>
  </w:style>
  <w:style w:type="paragraph" w:styleId="1006" w:customStyle="1">
    <w:name w:val="批注主题1"/>
    <w:basedOn w:val="1007"/>
    <w:next w:val="1007"/>
    <w:link w:val="1005"/>
    <w:uiPriority w:val="0"/>
    <w:semiHidden/>
    <w:qFormat/>
    <w:rPr>
      <w:b/>
      <w:bCs/>
    </w:rPr>
  </w:style>
  <w:style w:type="paragraph" w:styleId="1007" w:customStyle="1">
    <w:name w:val="批注文字1"/>
    <w:basedOn w:val="793"/>
    <w:link w:val="1027"/>
    <w:uiPriority w:val="0"/>
    <w:semiHidden/>
    <w:qFormat/>
    <w:pPr>
      <w:jc w:val="left"/>
    </w:pPr>
  </w:style>
  <w:style w:type="character" w:styleId="1008" w:customStyle="1">
    <w:name w:val="正文文本 2 Char"/>
    <w:link w:val="1009"/>
    <w:uiPriority w:val="0"/>
    <w:qFormat/>
    <w:rPr>
      <w:rFonts w:ascii="楷体_GB2312" w:hAnsi="Times New Roman" w:eastAsia="楷体_GB2312" w:cs="Times New Roman"/>
      <w:sz w:val="28"/>
      <w:szCs w:val="28"/>
    </w:rPr>
  </w:style>
  <w:style w:type="paragraph" w:styleId="1009" w:customStyle="1">
    <w:name w:val="正文文本 21"/>
    <w:basedOn w:val="793"/>
    <w:link w:val="1008"/>
    <w:uiPriority w:val="0"/>
    <w:qFormat/>
    <w:pPr>
      <w:jc w:val="center"/>
      <w:widowControl/>
    </w:pPr>
    <w:rPr>
      <w:rFonts w:ascii="楷体_GB2312" w:eastAsia="楷体_GB2312"/>
      <w:sz w:val="28"/>
      <w:szCs w:val="28"/>
    </w:rPr>
  </w:style>
  <w:style w:type="character" w:styleId="1010" w:customStyle="1">
    <w:name w:val="正文首行缩进 Char"/>
    <w:link w:val="1011"/>
    <w:uiPriority w:val="0"/>
    <w:qFormat/>
    <w:rPr>
      <w:rFonts w:ascii="仿宋_GB2312" w:hAnsi="Times New Roman" w:eastAsia="仿宋_GB2312" w:cs="Times New Roman"/>
      <w:sz w:val="30"/>
      <w:szCs w:val="30"/>
    </w:rPr>
  </w:style>
  <w:style w:type="paragraph" w:styleId="1011" w:customStyle="1">
    <w:name w:val="正文首行缩进1"/>
    <w:basedOn w:val="793"/>
    <w:link w:val="1010"/>
    <w:uiPriority w:val="0"/>
    <w:qFormat/>
    <w:pPr>
      <w:ind w:firstLine="200"/>
      <w:spacing w:line="360" w:lineRule="auto"/>
    </w:pPr>
    <w:rPr>
      <w:rFonts w:ascii="仿宋_GB2312" w:eastAsia="仿宋_GB2312"/>
      <w:sz w:val="30"/>
      <w:szCs w:val="30"/>
    </w:rPr>
  </w:style>
  <w:style w:type="character" w:styleId="1012" w:customStyle="1">
    <w:name w:val="正文首行缩进 2 Char"/>
    <w:link w:val="1013"/>
    <w:uiPriority w:val="0"/>
    <w:qFormat/>
    <w:rPr>
      <w:rFonts w:ascii="宋体" w:hAnsi="宋体" w:eastAsia="宋体" w:cs="Times New Roman"/>
      <w:sz w:val="32"/>
      <w:szCs w:val="20"/>
    </w:rPr>
  </w:style>
  <w:style w:type="paragraph" w:styleId="1013" w:customStyle="1">
    <w:name w:val="正文首行缩进 21"/>
    <w:basedOn w:val="1014"/>
    <w:next w:val="793"/>
    <w:link w:val="1012"/>
    <w:uiPriority w:val="0"/>
    <w:qFormat/>
    <w:pPr>
      <w:ind w:firstLine="420"/>
      <w:spacing w:line="360" w:lineRule="auto"/>
    </w:pPr>
    <w:rPr>
      <w:rFonts w:ascii="宋体" w:hAnsi="宋体" w:eastAsia="宋体"/>
      <w:sz w:val="21"/>
      <w:szCs w:val="20"/>
    </w:rPr>
  </w:style>
  <w:style w:type="paragraph" w:styleId="1014" w:customStyle="1">
    <w:name w:val="正文文本缩进1"/>
    <w:basedOn w:val="793"/>
    <w:next w:val="1015"/>
    <w:link w:val="1025"/>
    <w:uiPriority w:val="0"/>
    <w:qFormat/>
    <w:pPr>
      <w:ind w:firstLine="645"/>
    </w:pPr>
    <w:rPr>
      <w:rFonts w:ascii="楷体_GB2312" w:eastAsia="楷体_GB2312"/>
      <w:sz w:val="32"/>
      <w:szCs w:val="32"/>
    </w:rPr>
  </w:style>
  <w:style w:type="paragraph" w:styleId="1015" w:customStyle="1">
    <w:name w:val="寄信人地址1"/>
    <w:basedOn w:val="793"/>
    <w:uiPriority w:val="0"/>
    <w:qFormat/>
    <w:rPr>
      <w:rFonts w:ascii="Arial" w:hAnsi="Arial"/>
    </w:rPr>
  </w:style>
  <w:style w:type="character" w:styleId="1016" w:customStyle="1">
    <w:name w:val="标题 1 Char"/>
    <w:link w:val="980"/>
    <w:uiPriority w:val="0"/>
    <w:qFormat/>
    <w:rPr>
      <w:rFonts w:ascii="楷体_GB2312" w:hAnsi="楷体_GB2312" w:eastAsia="黑体" w:cs="Times New Roman"/>
      <w:sz w:val="44"/>
      <w:szCs w:val="28"/>
    </w:rPr>
  </w:style>
  <w:style w:type="character" w:styleId="1017" w:customStyle="1">
    <w:name w:val="已访问的超链接1"/>
    <w:uiPriority w:val="0"/>
    <w:qFormat/>
    <w:rPr>
      <w:color w:val="800080"/>
      <w:u w:val="single"/>
    </w:rPr>
  </w:style>
  <w:style w:type="character" w:styleId="1018" w:customStyle="1">
    <w:name w:val="正文文本 3 Char"/>
    <w:link w:val="1019"/>
    <w:uiPriority w:val="0"/>
    <w:qFormat/>
    <w:rPr>
      <w:rFonts w:ascii="仿宋_GB2312" w:hAnsi="Arial" w:eastAsia="仿宋_GB2312" w:cs="Times New Roman"/>
      <w:sz w:val="32"/>
      <w:szCs w:val="32"/>
    </w:rPr>
  </w:style>
  <w:style w:type="paragraph" w:styleId="1019" w:customStyle="1">
    <w:name w:val="正文文本 31"/>
    <w:basedOn w:val="793"/>
    <w:link w:val="1018"/>
    <w:uiPriority w:val="0"/>
    <w:qFormat/>
    <w:rPr>
      <w:rFonts w:ascii="仿宋_GB2312" w:hAnsi="Arial" w:eastAsia="仿宋_GB2312"/>
      <w:sz w:val="32"/>
      <w:szCs w:val="32"/>
    </w:rPr>
  </w:style>
  <w:style w:type="character" w:styleId="1020" w:customStyle="1">
    <w:name w:val="二级目录 Char"/>
    <w:link w:val="1021"/>
    <w:uiPriority w:val="0"/>
    <w:qFormat/>
    <w:rPr>
      <w:b/>
      <w:sz w:val="30"/>
      <w:szCs w:val="28"/>
    </w:rPr>
  </w:style>
  <w:style w:type="paragraph" w:styleId="1021" w:customStyle="1">
    <w:name w:val="二级目录"/>
    <w:next w:val="793"/>
    <w:link w:val="102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2" w:customStyle="1">
    <w:name w:val="正文缩进 Char"/>
    <w:link w:val="982"/>
    <w:uiPriority w:val="0"/>
    <w:qFormat/>
    <w:rPr>
      <w:rFonts w:ascii="Times New Roman" w:hAnsi="Times New Roman" w:eastAsia="宋体" w:cs="Times New Roman"/>
      <w:szCs w:val="21"/>
    </w:rPr>
  </w:style>
  <w:style w:type="character" w:styleId="1023" w:customStyle="1">
    <w:name w:val="页码1"/>
    <w:uiPriority w:val="0"/>
    <w:qFormat/>
  </w:style>
  <w:style w:type="character" w:styleId="1024" w:customStyle="1">
    <w:name w:val="标题 7 Char"/>
    <w:link w:val="987"/>
    <w:uiPriority w:val="0"/>
    <w:qFormat/>
    <w:rPr>
      <w:rFonts w:ascii="Times New Roman" w:hAnsi="Times New Roman" w:eastAsia="宋体" w:cs="Times New Roman"/>
      <w:b/>
      <w:bCs/>
      <w:sz w:val="24"/>
      <w:szCs w:val="24"/>
    </w:rPr>
  </w:style>
  <w:style w:type="character" w:styleId="1025" w:customStyle="1">
    <w:name w:val="正文文本缩进 Char"/>
    <w:link w:val="1014"/>
    <w:uiPriority w:val="0"/>
    <w:qFormat/>
    <w:rPr>
      <w:rFonts w:ascii="楷体_GB2312" w:hAnsi="Times New Roman" w:eastAsia="楷体_GB2312" w:cs="Times New Roman"/>
      <w:sz w:val="32"/>
      <w:szCs w:val="32"/>
    </w:rPr>
  </w:style>
  <w:style w:type="character" w:styleId="1026" w:customStyle="1">
    <w:name w:val="标题 9 Char"/>
    <w:link w:val="989"/>
    <w:uiPriority w:val="0"/>
    <w:qFormat/>
    <w:rPr>
      <w:rFonts w:ascii="Arial" w:hAnsi="Arial" w:eastAsia="黑体" w:cs="Times New Roman"/>
      <w:szCs w:val="21"/>
    </w:rPr>
  </w:style>
  <w:style w:type="character" w:styleId="1027" w:customStyle="1">
    <w:name w:val="批注文字 Char"/>
    <w:link w:val="1007"/>
    <w:uiPriority w:val="0"/>
    <w:semiHidden/>
    <w:qFormat/>
    <w:rPr>
      <w:rFonts w:ascii="Times New Roman" w:hAnsi="Times New Roman" w:eastAsia="宋体" w:cs="Times New Roman"/>
      <w:szCs w:val="21"/>
    </w:rPr>
  </w:style>
  <w:style w:type="character" w:styleId="1028" w:customStyle="1">
    <w:name w:val="标题 5 Char"/>
    <w:link w:val="985"/>
    <w:uiPriority w:val="0"/>
    <w:qFormat/>
    <w:rPr>
      <w:rFonts w:ascii="宋体" w:hAnsi="Times New Roman" w:eastAsia="宋体" w:cs="Times New Roman"/>
      <w:color w:val="000000"/>
      <w:sz w:val="28"/>
      <w:szCs w:val="28"/>
    </w:rPr>
  </w:style>
  <w:style w:type="character" w:styleId="1029" w:customStyle="1">
    <w:name w:val="正文文本缩进 2 Char"/>
    <w:link w:val="1030"/>
    <w:uiPriority w:val="0"/>
    <w:qFormat/>
    <w:rPr>
      <w:rFonts w:ascii="Arial" w:hAnsi="Arial" w:eastAsia="仿宋_GB2312" w:cs="Arial"/>
      <w:sz w:val="32"/>
      <w:szCs w:val="32"/>
    </w:rPr>
  </w:style>
  <w:style w:type="paragraph" w:styleId="1030" w:customStyle="1">
    <w:name w:val="正文文本缩进 21"/>
    <w:basedOn w:val="793"/>
    <w:link w:val="1029"/>
    <w:uiPriority w:val="0"/>
    <w:qFormat/>
    <w:pPr>
      <w:ind w:left="630" w:firstLine="645"/>
    </w:pPr>
    <w:rPr>
      <w:rFonts w:ascii="Arial" w:hAnsi="Arial" w:eastAsia="仿宋_GB2312" w:cs="Arial"/>
      <w:sz w:val="32"/>
      <w:szCs w:val="32"/>
    </w:rPr>
  </w:style>
  <w:style w:type="character" w:styleId="1031" w:customStyle="1">
    <w:name w:val="日期 Char"/>
    <w:link w:val="1032"/>
    <w:uiPriority w:val="0"/>
    <w:qFormat/>
    <w:rPr>
      <w:rFonts w:ascii="Times New Roman" w:hAnsi="Times New Roman" w:eastAsia="宋体" w:cs="Times New Roman"/>
      <w:sz w:val="24"/>
      <w:szCs w:val="24"/>
    </w:rPr>
  </w:style>
  <w:style w:type="paragraph" w:styleId="1032" w:customStyle="1">
    <w:name w:val="日期1"/>
    <w:basedOn w:val="793"/>
    <w:next w:val="793"/>
    <w:link w:val="1031"/>
    <w:uiPriority w:val="0"/>
    <w:qFormat/>
    <w:rPr>
      <w:sz w:val="24"/>
      <w:szCs w:val="24"/>
    </w:rPr>
  </w:style>
  <w:style w:type="character" w:styleId="1033" w:customStyle="1">
    <w:name w:val="超链接1"/>
    <w:uiPriority w:val="0"/>
    <w:qFormat/>
    <w:rPr>
      <w:color w:val="0000ff"/>
      <w:u w:val="single"/>
    </w:rPr>
  </w:style>
  <w:style w:type="character" w:styleId="1034" w:customStyle="1">
    <w:name w:val="批注框文本 Char"/>
    <w:link w:val="1035"/>
    <w:uiPriority w:val="0"/>
    <w:semiHidden/>
    <w:qFormat/>
    <w:rPr>
      <w:rFonts w:ascii="Times New Roman" w:hAnsi="Times New Roman" w:eastAsia="宋体" w:cs="Times New Roman"/>
      <w:sz w:val="18"/>
      <w:szCs w:val="18"/>
    </w:rPr>
  </w:style>
  <w:style w:type="paragraph" w:styleId="1035" w:customStyle="1">
    <w:name w:val="批注框文本1"/>
    <w:basedOn w:val="793"/>
    <w:link w:val="1034"/>
    <w:uiPriority w:val="0"/>
    <w:semiHidden/>
    <w:qFormat/>
    <w:rPr>
      <w:sz w:val="18"/>
      <w:szCs w:val="18"/>
    </w:rPr>
  </w:style>
  <w:style w:type="character" w:styleId="1036" w:customStyle="1">
    <w:name w:val="标题 4 Char"/>
    <w:link w:val="984"/>
    <w:uiPriority w:val="0"/>
    <w:qFormat/>
    <w:rPr>
      <w:rFonts w:ascii="Arial" w:hAnsi="Arial" w:eastAsia="黑体" w:cs="Arial"/>
      <w:b/>
      <w:bCs/>
      <w:sz w:val="28"/>
      <w:szCs w:val="28"/>
    </w:rPr>
  </w:style>
  <w:style w:type="character" w:styleId="1037" w:customStyle="1">
    <w:name w:val="font5 Char"/>
    <w:uiPriority w:val="0"/>
    <w:qFormat/>
    <w:rPr>
      <w:rFonts w:ascii="宋体" w:hAnsi="宋体" w:eastAsia="宋体"/>
      <w:sz w:val="28"/>
      <w:szCs w:val="28"/>
      <w:lang w:val="en-US" w:eastAsia="zh-CN" w:bidi="ar-SA"/>
    </w:rPr>
  </w:style>
  <w:style w:type="character" w:styleId="1038" w:customStyle="1">
    <w:name w:val="页眉 Char"/>
    <w:link w:val="1039"/>
    <w:uiPriority w:val="0"/>
    <w:qFormat/>
    <w:rPr>
      <w:rFonts w:ascii="Times New Roman" w:hAnsi="Times New Roman" w:eastAsia="宋体" w:cs="Times New Roman"/>
      <w:sz w:val="18"/>
      <w:szCs w:val="18"/>
    </w:rPr>
  </w:style>
  <w:style w:type="paragraph" w:styleId="1039" w:customStyle="1">
    <w:name w:val="页眉1"/>
    <w:basedOn w:val="793"/>
    <w:link w:val="1038"/>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正文文本 Char"/>
    <w:link w:val="1041"/>
    <w:uiPriority w:val="0"/>
    <w:qFormat/>
    <w:rPr>
      <w:rFonts w:ascii="楷体_GB2312" w:hAnsi="Arial" w:eastAsia="楷体_GB2312" w:cs="Times New Roman"/>
      <w:sz w:val="28"/>
      <w:szCs w:val="28"/>
    </w:rPr>
  </w:style>
  <w:style w:type="paragraph" w:styleId="1041" w:customStyle="1">
    <w:name w:val="正文文本1"/>
    <w:basedOn w:val="793"/>
    <w:next w:val="1042"/>
    <w:link w:val="1040"/>
    <w:uiPriority w:val="0"/>
    <w:qFormat/>
    <w:rPr>
      <w:rFonts w:ascii="楷体_GB2312" w:hAnsi="Arial" w:eastAsia="楷体_GB2312"/>
      <w:sz w:val="28"/>
      <w:szCs w:val="28"/>
    </w:rPr>
  </w:style>
  <w:style w:type="paragraph" w:styleId="1042" w:customStyle="1">
    <w:name w:val="一级条标题"/>
    <w:basedOn w:val="1043"/>
    <w:next w:val="10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next w:val="79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44" w:customStyle="1">
    <w:name w:val="段"/>
    <w:next w:val="793"/>
    <w:uiPriority w:val="0"/>
    <w:qFormat/>
    <w:pPr>
      <w:ind w:firstLine="200"/>
      <w:jc w:val="both"/>
    </w:pPr>
    <w:rPr>
      <w:rFonts w:ascii="宋体" w:hAnsi="Times New Roman" w:eastAsia="Times New Roman" w:cs="Times New Roman"/>
      <w:sz w:val="21"/>
      <w:lang w:val="en-US" w:eastAsia="zh-CN" w:bidi="ar-SA"/>
    </w:rPr>
  </w:style>
  <w:style w:type="character" w:styleId="1045" w:customStyle="1">
    <w:name w:val="正文文本缩进 3 Char"/>
    <w:link w:val="1046"/>
    <w:uiPriority w:val="0"/>
    <w:qFormat/>
    <w:rPr>
      <w:rFonts w:ascii="Arial" w:hAnsi="Arial" w:eastAsia="仿宋_GB2312" w:cs="Arial"/>
      <w:color w:val="ffff00"/>
      <w:sz w:val="32"/>
      <w:szCs w:val="32"/>
    </w:rPr>
  </w:style>
  <w:style w:type="paragraph" w:styleId="1046" w:customStyle="1">
    <w:name w:val="正文文本缩进 31"/>
    <w:basedOn w:val="793"/>
    <w:link w:val="1045"/>
    <w:uiPriority w:val="0"/>
    <w:qFormat/>
    <w:pPr>
      <w:ind w:left="645" w:firstLine="645"/>
    </w:pPr>
    <w:rPr>
      <w:rFonts w:ascii="Arial" w:hAnsi="Arial" w:eastAsia="仿宋_GB2312" w:cs="Arial"/>
      <w:color w:val="ffff00"/>
      <w:sz w:val="32"/>
      <w:szCs w:val="32"/>
    </w:rPr>
  </w:style>
  <w:style w:type="character" w:styleId="1047" w:customStyle="1">
    <w:name w:val="标题 8 Char"/>
    <w:link w:val="988"/>
    <w:uiPriority w:val="0"/>
    <w:qFormat/>
    <w:rPr>
      <w:rFonts w:ascii="Arial" w:hAnsi="Arial" w:eastAsia="黑体" w:cs="Times New Roman"/>
      <w:sz w:val="24"/>
      <w:szCs w:val="24"/>
    </w:rPr>
  </w:style>
  <w:style w:type="paragraph" w:styleId="1048" w:customStyle="1">
    <w:name w:val="xl25"/>
    <w:basedOn w:val="7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xl27"/>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标题1"/>
    <w:basedOn w:val="793"/>
    <w:next w:val="7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目录 31"/>
    <w:basedOn w:val="793"/>
    <w:next w:val="793"/>
    <w:uiPriority w:val="0"/>
    <w:semiHidden/>
    <w:qFormat/>
    <w:pPr>
      <w:ind w:left="420"/>
      <w:jc w:val="left"/>
    </w:pPr>
    <w:rPr>
      <w:i/>
      <w:iCs/>
      <w:szCs w:val="24"/>
    </w:rPr>
  </w:style>
  <w:style w:type="paragraph" w:styleId="1052" w:customStyle="1">
    <w:name w:val="font6"/>
    <w:basedOn w:val="793"/>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30"/>
    <w:basedOn w:val="793"/>
    <w:uiPriority w:val="0"/>
    <w:qFormat/>
    <w:pPr>
      <w:jc w:val="center"/>
      <w:spacing w:before="100" w:beforeAutospacing="1" w:after="100" w:afterAutospacing="1"/>
      <w:widowControl/>
    </w:pPr>
    <w:rPr>
      <w:rFonts w:ascii="宋体" w:hAnsi="宋体"/>
      <w:b/>
      <w:bCs/>
      <w:sz w:val="36"/>
      <w:szCs w:val="36"/>
    </w:rPr>
  </w:style>
  <w:style w:type="paragraph" w:styleId="1054" w:customStyle="1">
    <w:name w:val="font5"/>
    <w:basedOn w:val="793"/>
    <w:uiPriority w:val="0"/>
    <w:qFormat/>
    <w:pPr>
      <w:jc w:val="left"/>
      <w:spacing w:before="100" w:beforeAutospacing="1" w:after="100" w:afterAutospacing="1"/>
      <w:widowControl/>
    </w:pPr>
    <w:rPr>
      <w:rFonts w:hint="eastAsia" w:ascii="宋体" w:hAnsi="宋体"/>
      <w:sz w:val="28"/>
      <w:szCs w:val="28"/>
    </w:rPr>
  </w:style>
  <w:style w:type="paragraph" w:styleId="1055" w:customStyle="1">
    <w:name w:val="图标"/>
    <w:basedOn w:val="793"/>
    <w:next w:val="7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6" w:customStyle="1">
    <w:name w:val="列表 31"/>
    <w:basedOn w:val="793"/>
    <w:uiPriority w:val="0"/>
    <w:qFormat/>
    <w:pPr>
      <w:ind w:left="100" w:hanging="200"/>
    </w:pPr>
  </w:style>
  <w:style w:type="paragraph" w:styleId="1057" w:customStyle="1">
    <w:name w:val="列表1"/>
    <w:basedOn w:val="793"/>
    <w:uiPriority w:val="0"/>
    <w:qFormat/>
    <w:pPr>
      <w:ind w:left="200" w:hanging="200"/>
    </w:pPr>
  </w:style>
  <w:style w:type="paragraph" w:styleId="1058" w:customStyle="1">
    <w:name w:val="Char Char Char Char"/>
    <w:basedOn w:val="998"/>
    <w:uiPriority w:val="0"/>
    <w:qFormat/>
    <w:pPr>
      <w:spacing w:line="360" w:lineRule="auto"/>
    </w:pPr>
    <w:rPr>
      <w:rFonts w:ascii="Tahoma" w:hAnsi="Tahoma"/>
      <w:sz w:val="24"/>
      <w:szCs w:val="24"/>
    </w:rPr>
  </w:style>
  <w:style w:type="paragraph" w:styleId="1059" w:customStyle="1">
    <w:name w:val="目录 81"/>
    <w:basedOn w:val="793"/>
    <w:next w:val="793"/>
    <w:uiPriority w:val="0"/>
    <w:semiHidden/>
    <w:qFormat/>
    <w:pPr>
      <w:ind w:left="1470"/>
      <w:jc w:val="left"/>
    </w:pPr>
  </w:style>
  <w:style w:type="paragraph" w:styleId="1060" w:customStyle="1">
    <w:name w:val="修订1"/>
    <w:uiPriority w:val="99"/>
    <w:semiHidden/>
    <w:qFormat/>
    <w:rPr>
      <w:rFonts w:ascii="Times New Roman" w:hAnsi="Times New Roman" w:eastAsia="宋体" w:cs="Times New Roman"/>
      <w:sz w:val="21"/>
      <w:szCs w:val="21"/>
      <w:lang w:val="en-US" w:eastAsia="zh-CN" w:bidi="ar-SA"/>
    </w:rPr>
  </w:style>
  <w:style w:type="paragraph" w:styleId="1061" w:customStyle="1">
    <w:name w:val="列表 21"/>
    <w:basedOn w:val="793"/>
    <w:uiPriority w:val="0"/>
    <w:qFormat/>
    <w:pPr>
      <w:ind w:left="100" w:hanging="200"/>
    </w:pPr>
  </w:style>
  <w:style w:type="paragraph" w:styleId="1062" w:customStyle="1">
    <w:name w:val="xl24"/>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目录 51"/>
    <w:basedOn w:val="793"/>
    <w:next w:val="793"/>
    <w:uiPriority w:val="0"/>
    <w:semiHidden/>
    <w:qFormat/>
    <w:pPr>
      <w:ind w:left="840"/>
      <w:jc w:val="left"/>
    </w:pPr>
  </w:style>
  <w:style w:type="paragraph" w:styleId="1064" w:customStyle="1">
    <w:name w:val="普通(网站)1"/>
    <w:basedOn w:val="793"/>
    <w:uiPriority w:val="99"/>
    <w:qFormat/>
    <w:pPr>
      <w:jc w:val="left"/>
      <w:spacing w:before="100" w:beforeAutospacing="1" w:after="100" w:afterAutospacing="1"/>
      <w:widowControl/>
    </w:pPr>
    <w:rPr>
      <w:rFonts w:ascii="宋体" w:hAnsi="宋体" w:cs="宋体"/>
      <w:sz w:val="24"/>
      <w:szCs w:val="24"/>
    </w:rPr>
  </w:style>
  <w:style w:type="paragraph" w:styleId="1065" w:customStyle="1">
    <w:name w:val="Char Char Char Char Char Char Char Char"/>
    <w:basedOn w:val="793"/>
    <w:uiPriority w:val="0"/>
    <w:qFormat/>
    <w:pPr>
      <w:jc w:val="left"/>
      <w:spacing w:after="160" w:line="240" w:lineRule="exact"/>
      <w:widowControl/>
    </w:pPr>
    <w:rPr>
      <w:rFonts w:ascii="Verdana" w:hAnsi="Verdana"/>
      <w:sz w:val="20"/>
      <w:szCs w:val="20"/>
      <w:lang w:eastAsia="en-US"/>
    </w:rPr>
  </w:style>
  <w:style w:type="paragraph" w:styleId="1066" w:customStyle="1">
    <w:name w:val="font7"/>
    <w:basedOn w:val="793"/>
    <w:uiPriority w:val="0"/>
    <w:qFormat/>
    <w:pPr>
      <w:jc w:val="left"/>
      <w:spacing w:before="100" w:beforeAutospacing="1" w:after="100" w:afterAutospacing="1"/>
      <w:widowControl/>
    </w:pPr>
    <w:rPr>
      <w:rFonts w:hint="eastAsia" w:ascii="宋体" w:hAnsi="宋体"/>
      <w:sz w:val="18"/>
      <w:szCs w:val="18"/>
    </w:rPr>
  </w:style>
  <w:style w:type="paragraph" w:styleId="1067" w:customStyle="1">
    <w:name w:val="索引 11"/>
    <w:basedOn w:val="793"/>
    <w:next w:val="793"/>
    <w:uiPriority w:val="0"/>
    <w:semiHidden/>
    <w:qFormat/>
    <w:pPr>
      <w:spacing w:line="240" w:lineRule="atLeast"/>
    </w:pPr>
    <w:rPr>
      <w:b/>
      <w:bCs/>
    </w:rPr>
  </w:style>
  <w:style w:type="paragraph" w:styleId="1068" w:customStyle="1">
    <w:name w:val="目录 61"/>
    <w:basedOn w:val="793"/>
    <w:next w:val="793"/>
    <w:uiPriority w:val="0"/>
    <w:semiHidden/>
    <w:qFormat/>
    <w:pPr>
      <w:ind w:left="1050"/>
      <w:jc w:val="left"/>
    </w:pPr>
  </w:style>
  <w:style w:type="paragraph" w:styleId="1069" w:customStyle="1">
    <w:name w:val="Char Char Char Char Char Char Char Char1"/>
    <w:basedOn w:val="793"/>
    <w:uiPriority w:val="0"/>
    <w:qFormat/>
    <w:pPr>
      <w:jc w:val="left"/>
      <w:spacing w:after="160" w:line="240" w:lineRule="exact"/>
      <w:widowControl/>
    </w:pPr>
    <w:rPr>
      <w:rFonts w:ascii="Verdana" w:hAnsi="Verdana"/>
      <w:sz w:val="20"/>
      <w:szCs w:val="20"/>
      <w:lang w:eastAsia="en-US"/>
    </w:rPr>
  </w:style>
  <w:style w:type="paragraph" w:styleId="1070" w:customStyle="1">
    <w:name w:val="table_lines"/>
    <w:basedOn w:val="793"/>
    <w:uiPriority w:val="0"/>
    <w:qFormat/>
    <w:pPr>
      <w:jc w:val="left"/>
      <w:widowControl/>
    </w:pPr>
    <w:rPr>
      <w:sz w:val="20"/>
      <w:szCs w:val="20"/>
      <w:lang w:val="de-DE" w:eastAsia="de-DE"/>
    </w:rPr>
  </w:style>
  <w:style w:type="paragraph" w:styleId="1071" w:customStyle="1">
    <w:name w:val="Char"/>
    <w:basedOn w:val="998"/>
    <w:uiPriority w:val="0"/>
    <w:qFormat/>
    <w:rPr>
      <w:rFonts w:ascii="Tahoma" w:hAnsi="Tahoma"/>
      <w:sz w:val="24"/>
      <w:szCs w:val="24"/>
    </w:rPr>
  </w:style>
  <w:style w:type="paragraph" w:styleId="107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4" w:customStyle="1">
    <w:name w:val="图表目录1"/>
    <w:basedOn w:val="793"/>
    <w:next w:val="793"/>
    <w:uiPriority w:val="0"/>
    <w:semiHidden/>
    <w:qFormat/>
    <w:pPr>
      <w:ind w:left="840" w:hanging="420"/>
    </w:pPr>
  </w:style>
  <w:style w:type="paragraph" w:styleId="1075" w:customStyle="1">
    <w:name w:val="Body Text(ch)"/>
    <w:basedOn w:val="793"/>
    <w:next w:val="1041"/>
    <w:uiPriority w:val="0"/>
    <w:qFormat/>
    <w:pPr>
      <w:spacing w:after="120"/>
    </w:pPr>
    <w:rPr>
      <w:rFonts w:ascii="宋体" w:hAnsi="Arial"/>
      <w:bCs/>
      <w:iCs/>
      <w:szCs w:val="24"/>
    </w:rPr>
  </w:style>
  <w:style w:type="paragraph" w:styleId="1076" w:customStyle="1">
    <w:name w:val="目录 91"/>
    <w:basedOn w:val="793"/>
    <w:next w:val="793"/>
    <w:uiPriority w:val="0"/>
    <w:semiHidden/>
    <w:qFormat/>
    <w:pPr>
      <w:ind w:left="1680"/>
      <w:jc w:val="left"/>
    </w:pPr>
  </w:style>
  <w:style w:type="paragraph" w:styleId="1077" w:customStyle="1">
    <w:name w:val="目录 11"/>
    <w:basedOn w:val="793"/>
    <w:next w:val="793"/>
    <w:uiPriority w:val="0"/>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xl2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9" w:customStyle="1">
    <w:name w:val="目录 21"/>
    <w:basedOn w:val="793"/>
    <w:next w:val="793"/>
    <w:uiPriority w:val="0"/>
    <w:semiHidden/>
    <w:qFormat/>
    <w:pPr>
      <w:ind w:left="210"/>
      <w:jc w:val="left"/>
    </w:pPr>
    <w:rPr>
      <w:smallCaps/>
      <w:szCs w:val="24"/>
    </w:rPr>
  </w:style>
  <w:style w:type="paragraph" w:styleId="1080" w:customStyle="1">
    <w:name w:val="普通 (Web)"/>
    <w:basedOn w:val="793"/>
    <w:uiPriority w:val="0"/>
    <w:qFormat/>
    <w:pPr>
      <w:jc w:val="left"/>
      <w:spacing w:before="100" w:beforeAutospacing="1" w:after="100" w:afterAutospacing="1"/>
      <w:widowControl/>
    </w:pPr>
    <w:rPr>
      <w:rFonts w:ascii="宋体" w:hAnsi="宋体"/>
      <w:sz w:val="24"/>
      <w:szCs w:val="24"/>
    </w:rPr>
  </w:style>
  <w:style w:type="paragraph" w:styleId="1081" w:customStyle="1">
    <w:name w:val="列出段落2"/>
    <w:basedOn w:val="793"/>
    <w:uiPriority w:val="0"/>
    <w:qFormat/>
    <w:pPr>
      <w:contextualSpacing/>
      <w:ind w:left="720"/>
      <w:jc w:val="left"/>
      <w:widowControl/>
    </w:pPr>
    <w:rPr>
      <w:rFonts w:ascii="Calibri" w:hAnsi="Calibri"/>
      <w:sz w:val="24"/>
      <w:szCs w:val="24"/>
      <w:lang w:eastAsia="en-US" w:bidi="en-US"/>
    </w:rPr>
  </w:style>
  <w:style w:type="paragraph" w:styleId="1082" w:customStyle="1">
    <w:name w:val="普通正文"/>
    <w:basedOn w:val="1083"/>
    <w:uiPriority w:val="0"/>
    <w:qFormat/>
    <w:pPr>
      <w:ind w:firstLine="480"/>
      <w:spacing w:before="120" w:after="120" w:line="360" w:lineRule="auto"/>
    </w:pPr>
    <w:rPr>
      <w:rFonts w:ascii="Arial" w:hAnsi="Arial"/>
      <w:szCs w:val="24"/>
    </w:rPr>
  </w:style>
  <w:style w:type="paragraph" w:styleId="1083" w:customStyle="1">
    <w:name w:val="正文1"/>
    <w:basedOn w:val="1084"/>
    <w:next w:val="1041"/>
    <w:uiPriority w:val="0"/>
    <w:qFormat/>
    <w:pPr>
      <w:jc w:val="left"/>
      <w:spacing w:line="360" w:lineRule="atLeast"/>
    </w:pPr>
    <w:rPr>
      <w:rFonts w:ascii="宋体" w:hAnsi="Calibri"/>
      <w:sz w:val="24"/>
      <w:szCs w:val="20"/>
    </w:rPr>
  </w:style>
  <w:style w:type="paragraph" w:styleId="1084" w:customStyle="1">
    <w:name w:val="正文11"/>
    <w:next w:val="1013"/>
    <w:uiPriority w:val="0"/>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目录 71"/>
    <w:basedOn w:val="793"/>
    <w:next w:val="793"/>
    <w:uiPriority w:val="0"/>
    <w:semiHidden/>
    <w:qFormat/>
    <w:pPr>
      <w:ind w:left="1260"/>
      <w:jc w:val="left"/>
    </w:pPr>
  </w:style>
  <w:style w:type="paragraph" w:styleId="1086" w:customStyle="1">
    <w:name w:val="目录 41"/>
    <w:basedOn w:val="793"/>
    <w:next w:val="793"/>
    <w:uiPriority w:val="0"/>
    <w:semiHidden/>
    <w:qFormat/>
    <w:pPr>
      <w:ind w:left="630"/>
      <w:jc w:val="left"/>
    </w:pPr>
  </w:style>
  <w:style w:type="paragraph" w:styleId="1087" w:customStyle="1">
    <w:name w:val="xl2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customStyle="1">
    <w:name w:val="xl29"/>
    <w:basedOn w:val="7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9" w:customStyle="1">
    <w:name w:val="Char1"/>
    <w:basedOn w:val="793"/>
    <w:uiPriority w:val="0"/>
    <w:qFormat/>
    <w:pPr>
      <w:ind w:firstLine="200"/>
      <w:tabs>
        <w:tab w:val="left" w:pos="360" w:leader="none"/>
      </w:tabs>
    </w:pPr>
    <w:rPr>
      <w:sz w:val="28"/>
      <w:szCs w:val="30"/>
    </w:rPr>
  </w:style>
  <w:style w:type="paragraph" w:styleId="1090" w:customStyle="1">
    <w:name w:val="4"/>
    <w:basedOn w:val="793"/>
    <w:next w:val="1046"/>
    <w:uiPriority w:val="0"/>
    <w:qFormat/>
    <w:pPr>
      <w:ind w:firstLine="420"/>
      <w:spacing w:line="360" w:lineRule="auto"/>
    </w:pPr>
    <w:rPr>
      <w:color w:val="ff0000"/>
      <w:sz w:val="24"/>
      <w:szCs w:val="24"/>
    </w:rPr>
  </w:style>
  <w:style w:type="paragraph" w:styleId="1091" w:customStyle="1">
    <w:name w:val="Char Char Char Char Char Char Char Char Char Char"/>
    <w:basedOn w:val="793"/>
    <w:uiPriority w:val="0"/>
    <w:qFormat/>
    <w:pPr>
      <w:spacing w:line="360" w:lineRule="auto"/>
    </w:pPr>
    <w:rPr>
      <w:sz w:val="24"/>
      <w:szCs w:val="20"/>
    </w:rPr>
  </w:style>
  <w:style w:type="paragraph" w:styleId="1092" w:customStyle="1">
    <w:name w:val="样式1"/>
    <w:basedOn w:val="793"/>
    <w:uiPriority w:val="0"/>
    <w:qFormat/>
    <w:pPr>
      <w:numPr>
        <w:ilvl w:val="0"/>
        <w:numId w:val="3"/>
      </w:numPr>
    </w:pPr>
    <w:rPr>
      <w:rFonts w:ascii="宋体" w:hAnsi="宋体"/>
    </w:rPr>
  </w:style>
  <w:style w:type="paragraph" w:styleId="1093" w:customStyle="1">
    <w:name w:val="标题3"/>
    <w:basedOn w:val="793"/>
    <w:next w:val="793"/>
    <w:uiPriority w:val="0"/>
    <w:qFormat/>
    <w:pPr>
      <w:ind w:firstLine="624"/>
      <w:spacing w:line="590" w:lineRule="atLeast"/>
    </w:pPr>
    <w:rPr>
      <w:rFonts w:ascii="方正黑体_GBK" w:eastAsia="方正黑体_GBK"/>
      <w:sz w:val="32"/>
      <w:szCs w:val="32"/>
    </w:rPr>
  </w:style>
  <w:style w:type="paragraph" w:styleId="1094" w:customStyle="1">
    <w:name w:val="Char Char Char Char1"/>
    <w:basedOn w:val="998"/>
    <w:uiPriority w:val="0"/>
    <w:qFormat/>
    <w:pPr>
      <w:spacing w:line="360" w:lineRule="auto"/>
    </w:pPr>
    <w:rPr>
      <w:rFonts w:ascii="Tahoma" w:hAnsi="Tahoma"/>
      <w:sz w:val="24"/>
      <w:szCs w:val="24"/>
    </w:rPr>
  </w:style>
  <w:style w:type="paragraph" w:styleId="1095" w:customStyle="1">
    <w:name w:val="table_1stline"/>
    <w:basedOn w:val="793"/>
    <w:uiPriority w:val="0"/>
    <w:qFormat/>
    <w:pPr>
      <w:jc w:val="left"/>
      <w:spacing w:before="120"/>
      <w:widowControl/>
    </w:pPr>
    <w:rPr>
      <w:bCs/>
      <w:sz w:val="20"/>
      <w:szCs w:val="20"/>
      <w:lang w:val="de-DE" w:eastAsia="de-DE"/>
    </w:rPr>
  </w:style>
  <w:style w:type="table" w:styleId="1096" w:customStyle="1">
    <w:name w:val="网格型1"/>
    <w:basedOn w:val="991"/>
    <w:uiPriority w:val="0"/>
    <w:qFormat/>
    <w:pPr>
      <w:jc w:val="both"/>
      <w:widowControl w:val="off"/>
    </w:pPr>
    <w:tblPr/>
  </w:style>
  <w:style w:type="paragraph" w:styleId="1097" w:customStyle="1">
    <w:name w:val="标准文件_二级无标题"/>
    <w:basedOn w:val="1098"/>
    <w:uiPriority w:val="0"/>
    <w:qFormat/>
    <w:pPr>
      <w:ind w:left="1418"/>
      <w:spacing w:before="0" w:after="0"/>
      <w:outlineLvl w:val="9"/>
    </w:pPr>
    <w:rPr>
      <w:rFonts w:ascii="宋体" w:eastAsia="宋体"/>
    </w:rPr>
  </w:style>
  <w:style w:type="paragraph" w:styleId="1098" w:customStyle="1">
    <w:name w:val="标准文件_二级条标题"/>
    <w:next w:val="1099"/>
    <w:uiPriority w:val="0"/>
    <w:qFormat/>
    <w:pPr>
      <w:numPr>
        <w:ilvl w:val="3"/>
        <w:numId w:val="4"/>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1099"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1100" w:customStyle="1">
    <w:name w:val="font51"/>
    <w:basedOn w:val="803"/>
    <w:uiPriority w:val="0"/>
    <w:qFormat/>
    <w:rPr>
      <w:rFonts w:hint="default" w:ascii="Times New Roman" w:hAnsi="Times New Roman" w:cs="Times New Roman"/>
      <w:color w:val="000000"/>
      <w:sz w:val="24"/>
      <w:szCs w:val="24"/>
      <w:u w:val="none"/>
    </w:rPr>
  </w:style>
  <w:style w:type="character" w:styleId="1101" w:customStyle="1">
    <w:name w:val="font41"/>
    <w:basedOn w:val="803"/>
    <w:uiPriority w:val="0"/>
    <w:qFormat/>
    <w:rPr>
      <w:rFonts w:hint="eastAsia" w:ascii="宋体" w:hAnsi="宋体" w:eastAsia="宋体" w:cs="宋体"/>
      <w:color w:val="000000"/>
      <w:sz w:val="24"/>
      <w:szCs w:val="24"/>
      <w:u w:val="none"/>
    </w:rPr>
  </w:style>
  <w:style w:type="character" w:styleId="1102" w:customStyle="1">
    <w:name w:val="font11"/>
    <w:basedOn w:val="803"/>
    <w:uiPriority w:val="0"/>
    <w:qFormat/>
    <w:rPr>
      <w:rFonts w:hint="eastAsia" w:ascii="宋体" w:hAnsi="宋体" w:eastAsia="宋体" w:cs="宋体"/>
      <w:color w:val="000000"/>
      <w:sz w:val="18"/>
      <w:szCs w:val="18"/>
      <w:u w:val="none"/>
    </w:rPr>
  </w:style>
  <w:style w:type="character" w:styleId="1103" w:customStyle="1">
    <w:name w:val="font01"/>
    <w:basedOn w:val="803"/>
    <w:uiPriority w:val="0"/>
    <w:qFormat/>
    <w:rPr>
      <w:rFonts w:hint="eastAsia" w:ascii="宋体" w:hAnsi="宋体" w:eastAsia="宋体" w:cs="宋体"/>
      <w:color w:val="000000"/>
      <w:sz w:val="24"/>
      <w:szCs w:val="24"/>
      <w:u w:val="none"/>
    </w:rPr>
  </w:style>
  <w:style w:type="character" w:styleId="1104" w:customStyle="1">
    <w:name w:val="font31"/>
    <w:basedOn w:val="803"/>
    <w:uiPriority w:val="0"/>
    <w:qFormat/>
    <w:rPr>
      <w:rFonts w:hint="eastAsia" w:ascii="宋体" w:hAnsi="宋体" w:eastAsia="宋体" w:cs="宋体"/>
      <w:color w:val="ff0000"/>
      <w:sz w:val="22"/>
      <w:szCs w:val="22"/>
      <w:u w:val="none"/>
    </w:rPr>
  </w:style>
  <w:style w:type="character" w:styleId="1105" w:customStyle="1">
    <w:name w:val="font21"/>
    <w:basedOn w:val="803"/>
    <w:uiPriority w:val="0"/>
    <w:qFormat/>
    <w:rPr>
      <w:rFonts w:hint="eastAsia" w:ascii="宋体" w:hAnsi="宋体" w:eastAsia="宋体" w:cs="宋体"/>
      <w:color w:val="000000"/>
      <w:sz w:val="22"/>
      <w:szCs w:val="22"/>
      <w:u w:val="none"/>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A2C771-E02B-421C-A9AB-CC1138DEE3F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高静雅</cp:lastModifiedBy>
  <cp:revision>86</cp:revision>
  <dcterms:created xsi:type="dcterms:W3CDTF">2023-03-16T02:16:00Z</dcterms:created>
  <dcterms:modified xsi:type="dcterms:W3CDTF">2026-03-02T09:04:31Z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eyJoZGlkIjoiZjcxM2FiMDhiYzVlNmY0NWE1MTIzODBhNzVmNjY2MDgiLCJ1c2VySWQiOiI0NDIxNDkxMTMifQ==</vt:lpwstr>
  </property>
  <property fmtid="{D5CDD505-2E9C-101B-9397-08002B2CF9AE}" pid="3" name="KSOProductBuildVer">
    <vt:lpwstr>2052-12.1.0.25225</vt:lpwstr>
  </property>
  <property fmtid="{D5CDD505-2E9C-101B-9397-08002B2CF9AE}" pid="4" name="ICV">
    <vt:lpwstr>6AF5737D1A1B4F18A8FD3B1743983109_13</vt:lpwstr>
  </property>
</Properties>
</file>