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left"/>
        <w:rPr>
          <w:rFonts w:ascii="宋体"/>
          <w:color w:val="000000"/>
          <w:spacing w:val="76"/>
          <w:sz w:val="144"/>
        </w:rPr>
      </w:pPr>
      <w:r>
        <w:rPr>
          <w:rFonts w:ascii="宋体"/>
          <w:color w:val="000000"/>
          <w:spacing w:val="76"/>
          <w:sz w:val="144"/>
          <w14:ligatures w14:val="standardContextual"/>
        </w:rPr>
        <mc:AlternateContent>
          <mc:Choice Requires="wpg">
            <w:drawing>
              <wp:inline xmlns:wp="http://schemas.openxmlformats.org/drawingml/2006/wordprocessingDrawing" distT="0" distB="0" distL="0" distR="0">
                <wp:extent cx="1911350" cy="80962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74102" name="图片 1"/>
                        <pic:cNvPicPr>
                          <a:picLocks noChangeAspect="1"/>
                        </pic:cNvPicPr>
                        <pic:nvPr/>
                      </pic:nvPicPr>
                      <pic:blipFill>
                        <a:blip r:embed="rId12"/>
                        <a:stretch/>
                      </pic:blipFill>
                      <pic:spPr bwMode="auto">
                        <a:xfrm>
                          <a:off x="0" y="0"/>
                          <a:ext cx="1925056" cy="81531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5pt;height:63.8pt;mso-wrap-distance-left:0.0pt;mso-wrap-distance-top:0.0pt;mso-wrap-distance-right:0.0pt;mso-wrap-distance-bottom:0.0pt;" stroked="false">
                <v:path textboxrect="0,0,0,0"/>
                <v:imagedata r:id="rId12" o:title=""/>
              </v:shape>
            </w:pict>
          </mc:Fallback>
        </mc:AlternateContent>
      </w:r>
      <w:r/>
    </w:p>
    <w:p>
      <w:pPr>
        <w:pStyle w:val="844"/>
        <w:jc w:val="center"/>
        <w:rPr>
          <w:rFonts w:ascii="宋体"/>
          <w:color w:val="000000"/>
          <w:spacing w:val="76"/>
          <w:sz w:val="144"/>
        </w:rPr>
      </w:pPr>
      <w:r>
        <w:rPr>
          <w:rFonts w:hint="eastAsia" w:ascii="宋体"/>
          <w:color w:val="000000"/>
          <w:spacing w:val="76"/>
          <w:sz w:val="144"/>
        </w:rPr>
        <w:t xml:space="preserve">磋</w:t>
      </w:r>
      <w:r/>
    </w:p>
    <w:p>
      <w:pPr>
        <w:pStyle w:val="844"/>
        <w:jc w:val="center"/>
        <w:rPr>
          <w:rFonts w:ascii="宋体"/>
          <w:color w:val="000000"/>
          <w:spacing w:val="76"/>
          <w:sz w:val="144"/>
        </w:rPr>
      </w:pPr>
      <w:r>
        <w:rPr>
          <w:rFonts w:hint="eastAsia" w:ascii="宋体"/>
          <w:color w:val="000000"/>
          <w:spacing w:val="76"/>
          <w:sz w:val="144"/>
        </w:rPr>
        <w:t xml:space="preserve">商</w:t>
      </w:r>
      <w:r/>
    </w:p>
    <w:p>
      <w:pPr>
        <w:pStyle w:val="844"/>
        <w:jc w:val="center"/>
        <w:rPr>
          <w:rFonts w:ascii="宋体"/>
          <w:color w:val="000000"/>
          <w:spacing w:val="76"/>
          <w:sz w:val="144"/>
        </w:rPr>
      </w:pPr>
      <w:r>
        <w:rPr>
          <w:rFonts w:ascii="宋体"/>
          <w:color w:val="000000"/>
          <w:spacing w:val="76"/>
          <w:sz w:val="144"/>
        </w:rPr>
        <w:t xml:space="preserve">文</w:t>
      </w:r>
      <w:r/>
    </w:p>
    <w:p>
      <w:pPr>
        <w:pStyle w:val="844"/>
        <w:jc w:val="center"/>
        <w:rPr>
          <w:rFonts w:ascii="宋体"/>
          <w:color w:val="000000"/>
          <w:spacing w:val="76"/>
          <w:sz w:val="144"/>
        </w:rPr>
      </w:pPr>
      <w:r>
        <w:rPr>
          <w:rFonts w:ascii="宋体"/>
          <w:color w:val="000000"/>
          <w:spacing w:val="76"/>
          <w:sz w:val="144"/>
        </w:rPr>
        <w:t xml:space="preserve">件</w:t>
      </w:r>
      <w:r/>
    </w:p>
    <w:p>
      <w:pPr>
        <w:pStyle w:val="844"/>
        <w:ind w:firstLine="2100"/>
        <w:rPr>
          <w:rFonts w:ascii="宋体"/>
          <w:color w:val="000000"/>
          <w:sz w:val="30"/>
          <w:szCs w:val="30"/>
        </w:rPr>
      </w:pPr>
      <w:r>
        <w:rPr>
          <w:rFonts w:ascii="宋体"/>
          <w:color w:val="000000"/>
          <w:sz w:val="30"/>
          <w:szCs w:val="30"/>
        </w:rPr>
      </w:r>
      <w:r/>
    </w:p>
    <w:p>
      <w:pPr>
        <w:pStyle w:val="844"/>
        <w:ind w:firstLine="2100"/>
        <w:rPr>
          <w:rFonts w:ascii="宋体"/>
          <w:color w:val="000000"/>
          <w:sz w:val="30"/>
          <w:szCs w:val="30"/>
        </w:rPr>
      </w:pPr>
      <w:r>
        <w:rPr>
          <w:rFonts w:ascii="宋体"/>
          <w:color w:val="000000"/>
          <w:sz w:val="30"/>
          <w:szCs w:val="30"/>
        </w:rPr>
      </w:r>
      <w:r/>
    </w:p>
    <w:p>
      <w:pPr>
        <w:pStyle w:val="844"/>
        <w:ind w:firstLine="2100"/>
        <w:spacing w:line="520" w:lineRule="exact"/>
        <w:rPr>
          <w:rFonts w:ascii="宋体"/>
          <w:b/>
          <w:bCs/>
          <w:color w:val="000000"/>
          <w:sz w:val="32"/>
          <w:szCs w:val="32"/>
        </w:rPr>
      </w:pPr>
      <w:r>
        <w:rPr>
          <w:rFonts w:ascii="宋体"/>
          <w:b/>
          <w:bCs/>
          <w:color w:val="000000"/>
          <w:sz w:val="32"/>
          <w:szCs w:val="32"/>
        </w:rPr>
        <w:t xml:space="preserve">项目名</w:t>
      </w:r>
      <w:r>
        <w:rPr>
          <w:rFonts w:hint="eastAsia" w:ascii="宋体"/>
          <w:b/>
          <w:bCs/>
          <w:color w:val="000000"/>
          <w:sz w:val="32"/>
          <w:szCs w:val="32"/>
        </w:rPr>
        <w:t xml:space="preserve">称：兴化市基层医疗机构相关保险 </w:t>
      </w:r>
      <w:r/>
    </w:p>
    <w:p>
      <w:pPr>
        <w:pStyle w:val="844"/>
        <w:ind w:firstLine="1606"/>
        <w:spacing w:line="520" w:lineRule="exact"/>
        <w:rPr>
          <w:rFonts w:ascii="宋体"/>
          <w:b/>
          <w:bCs/>
          <w:color w:val="000000"/>
          <w:sz w:val="32"/>
          <w:szCs w:val="32"/>
        </w:rPr>
      </w:pPr>
      <w:r>
        <w:rPr>
          <w:rFonts w:hint="eastAsia" w:ascii="宋体"/>
          <w:b/>
          <w:bCs/>
          <w:color w:val="000000"/>
          <w:sz w:val="32"/>
          <w:szCs w:val="32"/>
        </w:rPr>
        <w:t xml:space="preserve">项目编号：JSZC-321281-TZYH-C2026-0006号</w:t>
      </w:r>
      <w:r/>
    </w:p>
    <w:p>
      <w:pPr>
        <w:pStyle w:val="844"/>
        <w:ind w:firstLine="2100"/>
        <w:spacing w:line="520" w:lineRule="exact"/>
        <w:rPr>
          <w:rFonts w:ascii="宋体"/>
          <w:b/>
          <w:bCs/>
          <w:color w:val="000000"/>
          <w:sz w:val="32"/>
          <w:szCs w:val="32"/>
        </w:rPr>
      </w:pPr>
      <w:r>
        <w:rPr>
          <w:rFonts w:ascii="宋体"/>
          <w:b/>
          <w:bCs/>
          <w:color w:val="000000"/>
          <w:sz w:val="32"/>
          <w:szCs w:val="32"/>
        </w:rPr>
        <w:t xml:space="preserve">采 购 人：</w:t>
      </w:r>
      <w:r>
        <w:rPr>
          <w:rFonts w:hint="eastAsia" w:ascii="宋体"/>
          <w:b/>
          <w:bCs/>
          <w:color w:val="000000"/>
          <w:sz w:val="32"/>
          <w:szCs w:val="32"/>
        </w:rPr>
        <w:t xml:space="preserve"> 兴化市卫生健康委员会</w:t>
      </w:r>
      <w:r/>
    </w:p>
    <w:p>
      <w:pPr>
        <w:pStyle w:val="844"/>
        <w:jc w:val="center"/>
        <w:spacing w:line="520" w:lineRule="exact"/>
        <w:rPr>
          <w:rFonts w:ascii="宋体"/>
          <w:b/>
          <w:bCs/>
          <w:color w:val="000000"/>
          <w:sz w:val="32"/>
          <w:szCs w:val="32"/>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rPr>
        <w:t xml:space="preserve">泰州市永晖工程招标代理</w:t>
      </w:r>
      <w:r>
        <w:rPr>
          <w:rFonts w:ascii="宋体"/>
          <w:b/>
          <w:bCs/>
          <w:color w:val="000000"/>
          <w:sz w:val="32"/>
          <w:szCs w:val="32"/>
        </w:rPr>
        <w:t xml:space="preserve">有限公司</w:t>
      </w:r>
      <w:r/>
    </w:p>
    <w:p>
      <w:pPr>
        <w:pStyle w:val="845"/>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rPr>
        <w:t xml:space="preserve">六</w:t>
      </w:r>
      <w:r>
        <w:rPr>
          <w:rFonts w:ascii="宋体"/>
          <w:b/>
          <w:bCs/>
          <w:color w:val="000000"/>
          <w:sz w:val="32"/>
          <w:szCs w:val="32"/>
        </w:rPr>
        <w:t xml:space="preserve">年</w:t>
      </w:r>
      <w:r>
        <w:rPr>
          <w:rFonts w:hint="eastAsia" w:ascii="宋体"/>
          <w:b/>
          <w:bCs/>
          <w:color w:val="000000"/>
          <w:sz w:val="32"/>
          <w:szCs w:val="32"/>
          <w:lang w:val="en-US" w:eastAsia="zh-CN"/>
        </w:rPr>
        <w:t xml:space="preserve">三</w:t>
      </w:r>
      <w:r>
        <w:rPr>
          <w:rFonts w:ascii="宋体"/>
          <w:b/>
          <w:bCs/>
          <w:color w:val="000000"/>
          <w:sz w:val="32"/>
          <w:szCs w:val="32"/>
        </w:rPr>
        <w:t xml:space="preserve">月</w:t>
      </w:r>
      <w:r/>
    </w:p>
    <w:p>
      <w:pPr>
        <w:jc w:val="left"/>
        <w:widowControl/>
      </w:pPr>
      <w:r>
        <w:br w:type="page" w:clear="all"/>
      </w:r>
      <w:r/>
    </w:p>
    <w:p>
      <w:pPr>
        <w:jc w:val="center"/>
        <w:rPr>
          <w:rFonts w:hint="eastAsia" w:ascii="宋体" w:hAnsi="宋体" w:cs="仿宋"/>
          <w:b/>
          <w:bCs/>
          <w:sz w:val="44"/>
          <w:szCs w:val="44"/>
        </w:rPr>
      </w:pPr>
      <w:r>
        <w:rPr>
          <w:rFonts w:hint="eastAsia" w:ascii="宋体" w:hAnsi="宋体" w:cs="仿宋"/>
          <w:b/>
          <w:bCs/>
          <w:sz w:val="44"/>
          <w:szCs w:val="44"/>
        </w:rPr>
        <w:t xml:space="preserve">兴化市政府采购不见面交易相关提醒</w:t>
      </w:r>
      <w:r/>
    </w:p>
    <w:p>
      <w:pPr>
        <w:spacing w:line="520" w:lineRule="exact"/>
        <w:rPr>
          <w:rFonts w:hint="eastAsia" w:ascii="宋体" w:hAnsi="宋体" w:cs="仿宋"/>
          <w:b/>
          <w:bCs/>
          <w:spacing w:val="-3"/>
          <w:sz w:val="28"/>
          <w:szCs w:val="28"/>
        </w:rPr>
      </w:pPr>
      <w:r>
        <w:rPr>
          <w:rFonts w:hint="eastAsia" w:ascii="宋体" w:hAnsi="宋体" w:cs="仿宋"/>
          <w:b/>
          <w:bCs/>
          <w:sz w:val="28"/>
          <w:szCs w:val="28"/>
        </w:rPr>
        <w:t xml:space="preserve">一、政府采购线上合同信用融资功能告知提醒</w:t>
      </w:r>
      <w:r/>
    </w:p>
    <w:p>
      <w:pPr>
        <w:ind w:firstLine="562"/>
        <w:spacing w:line="400" w:lineRule="exact"/>
        <w:rPr>
          <w:rFonts w:hint="eastAsia" w:ascii="宋体" w:hAnsi="宋体" w:cs="仿宋"/>
          <w:spacing w:val="1"/>
          <w:sz w:val="28"/>
          <w:szCs w:val="28"/>
        </w:rPr>
      </w:pPr>
      <w:r>
        <w:rPr>
          <w:rFonts w:hint="eastAsia" w:ascii="宋体" w:hAnsi="宋体" w:cs="仿宋"/>
          <w:spacing w:val="1"/>
          <w:sz w:val="28"/>
          <w:szCs w:val="28"/>
        </w:rPr>
        <w:t xml:space="preserve">今年我市已正式启用“苏采云”系统，目前已全面开</w:t>
      </w:r>
      <w:r>
        <w:rPr>
          <w:rFonts w:hint="eastAsia" w:ascii="宋体" w:hAnsi="宋体" w:cs="仿宋"/>
          <w:spacing w:val="11"/>
          <w:sz w:val="28"/>
          <w:szCs w:val="28"/>
        </w:rPr>
        <w:t xml:space="preserve">通</w:t>
      </w:r>
      <w:r>
        <w:rPr>
          <w:rFonts w:hint="eastAsia" w:ascii="宋体" w:hAnsi="宋体" w:cs="仿宋"/>
          <w:spacing w:val="1"/>
          <w:sz w:val="28"/>
          <w:szCs w:val="28"/>
        </w:rPr>
        <w:t xml:space="preserve">政府采购线上合同信用融资（以下简称“政采贷”）功能。成交供应商可凭政府采购合同在中征平台发起贷款申请贷款。</w:t>
      </w:r>
      <w:r/>
    </w:p>
    <w:p>
      <w:pPr>
        <w:pStyle w:val="829"/>
        <w:ind w:left="640"/>
        <w:jc w:val="both"/>
        <w:spacing w:beforeAutospacing="0" w:afterAutospacing="0" w:line="400" w:lineRule="exact"/>
        <w:rPr>
          <w:rFonts w:hint="eastAsia" w:cs="仿宋"/>
          <w:b/>
          <w:bCs/>
          <w:sz w:val="28"/>
          <w:szCs w:val="28"/>
        </w:rPr>
      </w:pPr>
      <w:r>
        <w:rPr>
          <w:rFonts w:hint="eastAsia" w:cs="仿宋"/>
          <w:b/>
          <w:bCs/>
          <w:sz w:val="28"/>
          <w:szCs w:val="28"/>
        </w:rPr>
        <w:t xml:space="preserve">1.“政采贷”业务流程</w:t>
      </w:r>
      <w:r/>
    </w:p>
    <w:p>
      <w:pPr>
        <w:pStyle w:val="829"/>
        <w:jc w:val="both"/>
        <w:spacing w:beforeAutospacing="0" w:afterAutospacing="0"/>
        <w:rPr>
          <w:rFonts w:hint="eastAsia" w:cs="仿宋"/>
          <w:sz w:val="28"/>
          <w:szCs w:val="28"/>
        </w:rPr>
      </w:pPr>
      <w:r>
        <w:rPr>
          <w:rFonts w:hint="eastAsia" w:cs="仿宋"/>
          <w:sz w:val="28"/>
          <w:szCs w:val="28"/>
        </w:rPr>
        <mc:AlternateContent>
          <mc:Choice Requires="wpg">
            <w:drawing>
              <wp:inline xmlns:wp="http://schemas.openxmlformats.org/drawingml/2006/wordprocessingDrawing" distT="0" distB="0" distL="0" distR="0">
                <wp:extent cx="5267325" cy="1553845"/>
                <wp:effectExtent l="0" t="0" r="9525" b="825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3" o:title=""/>
              </v:shape>
            </w:pict>
          </mc:Fallback>
        </mc:AlternateContent>
      </w:r>
      <w:r/>
    </w:p>
    <w:p>
      <w:pPr>
        <w:pStyle w:val="829"/>
        <w:ind w:left="640"/>
        <w:jc w:val="both"/>
        <w:spacing w:beforeAutospacing="0" w:afterAutospacing="0" w:line="400" w:lineRule="exact"/>
        <w:rPr>
          <w:rFonts w:hint="eastAsia" w:cs="仿宋"/>
          <w:b/>
          <w:bCs/>
          <w:sz w:val="28"/>
          <w:szCs w:val="28"/>
        </w:rPr>
      </w:pPr>
      <w:r>
        <w:rPr>
          <w:rFonts w:hint="eastAsia" w:cs="仿宋"/>
          <w:b/>
          <w:bCs/>
          <w:sz w:val="28"/>
          <w:szCs w:val="28"/>
        </w:rPr>
        <w:t xml:space="preserve">2.常见问题</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Q1：哪些企业能申请“政采贷”？</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答：江苏省内采用国库集中支付的政府采购项目的中标供应商，可凭政府采购合同申请"政采贷"。</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Q2：供应商在哪里申请“政采贷”？</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答：中标供应商在“中征应收账款融资服务平台”（简称“中征平台”）上向意向银行发起融资申请</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Q3：中标供应商要注意什么？</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答：中标供应商要加强和采购单位的沟通协调，尽早确定融资需求。需要“政采贷”融资的，政府采购合同付款账号应当空置。</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Q4：采购单位要做什么？</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Q5：“政采贷”融资失败怎么办？</w:t>
      </w:r>
      <w:r/>
    </w:p>
    <w:p>
      <w:pPr>
        <w:pStyle w:val="829"/>
        <w:jc w:val="both"/>
        <w:spacing w:beforeAutospacing="0" w:afterAutospacing="0" w:line="400" w:lineRule="exact"/>
        <w:rPr>
          <w:rFonts w:hint="eastAsia" w:cs="仿宋"/>
          <w:sz w:val="28"/>
          <w:szCs w:val="28"/>
        </w:rPr>
      </w:pPr>
      <w:r>
        <w:rPr>
          <w:rFonts w:hint="eastAsia"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29"/>
        <w:ind w:left="640"/>
        <w:jc w:val="both"/>
        <w:spacing w:beforeAutospacing="0" w:afterAutospacing="0" w:line="400" w:lineRule="exact"/>
        <w:rPr>
          <w:rFonts w:hint="eastAsia" w:cs="仿宋"/>
          <w:b/>
          <w:bCs/>
          <w:sz w:val="28"/>
          <w:szCs w:val="28"/>
        </w:rPr>
      </w:pPr>
      <w:r>
        <w:rPr>
          <w:rFonts w:hint="eastAsia" w:cs="仿宋"/>
          <w:b/>
          <w:bCs/>
          <w:sz w:val="28"/>
          <w:szCs w:val="28"/>
        </w:rPr>
        <w:t xml:space="preserve">3.网址及联系方式</w:t>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t xml:space="preserve">政采贷：</w:t>
      </w:r>
      <w:r>
        <w:fldChar w:fldCharType="begin"/>
      </w:r>
      <w:r>
        <w:instrText xml:space="preserve"> HYPERLINK "http://www.ccgp-jiangsu.gov.cn/jiangsu/paying.html" </w:instrText>
      </w:r>
      <w:r>
        <w:fldChar w:fldCharType="separate"/>
      </w:r>
      <w:r>
        <w:rPr>
          <w:rStyle w:val="838"/>
          <w:rFonts w:hint="eastAsia" w:ascii="宋体" w:hAnsi="宋体" w:cs="仿宋"/>
          <w:spacing w:val="1"/>
          <w:sz w:val="28"/>
          <w:szCs w:val="28"/>
        </w:rPr>
        <w:t xml:space="preserve">http://www.ccgp-jiangsu.gov.cn/jiangsu/paying.html</w:t>
      </w:r>
      <w:r>
        <w:rPr>
          <w:rStyle w:val="838"/>
          <w:rFonts w:hint="eastAsia" w:ascii="宋体" w:hAnsi="宋体" w:cs="仿宋"/>
          <w:spacing w:val="1"/>
          <w:sz w:val="28"/>
          <w:szCs w:val="28"/>
        </w:rPr>
        <w:fldChar w:fldCharType="end"/>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t xml:space="preserve">中征平台：</w:t>
      </w:r>
      <w:r>
        <w:rPr>
          <w:rFonts w:hint="eastAsia" w:ascii="宋体" w:hAnsi="宋体" w:cs="仿宋"/>
          <w:spacing w:val="1"/>
          <w:sz w:val="28"/>
          <w:szCs w:val="28"/>
        </w:rPr>
        <w:fldChar w:fldCharType="begin"/>
      </w:r>
      <w:r>
        <w:rPr>
          <w:rFonts w:hint="eastAsia" w:ascii="宋体" w:hAnsi="宋体" w:cs="仿宋"/>
          <w:spacing w:val="1"/>
          <w:sz w:val="28"/>
          <w:szCs w:val="28"/>
        </w:rPr>
        <w:instrText xml:space="preserve"> HYPERLINK "https://www.crcrfsp.com/" </w:instrText>
      </w:r>
      <w:r>
        <w:rPr>
          <w:rFonts w:hint="eastAsia" w:ascii="宋体" w:hAnsi="宋体" w:cs="仿宋"/>
          <w:spacing w:val="1"/>
          <w:sz w:val="28"/>
          <w:szCs w:val="28"/>
        </w:rPr>
        <w:fldChar w:fldCharType="separate"/>
      </w:r>
      <w:r>
        <w:rPr>
          <w:rStyle w:val="838"/>
          <w:rFonts w:hint="eastAsia" w:ascii="宋体" w:hAnsi="宋体" w:cs="仿宋"/>
          <w:spacing w:val="1"/>
          <w:sz w:val="28"/>
          <w:szCs w:val="28"/>
        </w:rPr>
        <w:t xml:space="preserve">https://www.crcrfsp.com/</w:t>
      </w:r>
      <w:r>
        <w:rPr>
          <w:rFonts w:hint="eastAsia" w:ascii="宋体" w:hAnsi="宋体" w:cs="仿宋"/>
          <w:spacing w:val="1"/>
          <w:sz w:val="28"/>
          <w:szCs w:val="28"/>
        </w:rPr>
        <w:fldChar w:fldCharType="end"/>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t xml:space="preserve">联系人：张女士           联系电话：0523-82020605</w:t>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r>
      <w:r/>
    </w:p>
    <w:p>
      <w:pPr>
        <w:ind w:firstLine="643"/>
        <w:spacing w:line="520" w:lineRule="exact"/>
        <w:rPr>
          <w:rFonts w:hint="eastAsia" w:ascii="宋体" w:hAnsi="宋体" w:cs="仿宋"/>
          <w:b/>
          <w:bCs/>
          <w:sz w:val="28"/>
          <w:szCs w:val="28"/>
        </w:rPr>
      </w:pPr>
      <w:r>
        <w:rPr>
          <w:rFonts w:hint="eastAsia" w:ascii="宋体" w:hAnsi="宋体" w:cs="仿宋"/>
          <w:b/>
          <w:bCs/>
          <w:sz w:val="28"/>
          <w:szCs w:val="28"/>
        </w:rPr>
        <w:t xml:space="preserve">二、不见面交易投标文件制作提交说明</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1.业务流程：</w:t>
      </w:r>
      <w:r>
        <w:rPr>
          <w:rFonts w:hint="eastAsia" w:ascii="宋体" w:hAnsi="宋体" w:cs="仿宋"/>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2.苏采云资料：</w:t>
      </w:r>
      <w:r>
        <w:rPr>
          <w:rFonts w:hint="eastAsia" w:ascii="宋体" w:hAnsi="宋体" w:cs="仿宋"/>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cs="仿宋"/>
          <w:color w:val="333333"/>
          <w:sz w:val="28"/>
          <w:szCs w:val="28"/>
          <w:shd w:val="clear" w:color="auto" w:fill="ffffff"/>
          <w:lang w:bidi="ar"/>
        </w:rPr>
        <w:fldChar w:fldCharType="begin"/>
      </w:r>
      <w:r>
        <w:rPr>
          <w:rFonts w:hint="eastAsia" w:ascii="宋体" w:hAnsi="宋体" w:cs="仿宋"/>
          <w:color w:val="333333"/>
          <w:sz w:val="28"/>
          <w:szCs w:val="28"/>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cs="仿宋"/>
          <w:color w:val="333333"/>
          <w:sz w:val="28"/>
          <w:szCs w:val="28"/>
          <w:shd w:val="clear" w:color="auto" w:fill="ffffff"/>
          <w:lang w:bidi="ar"/>
        </w:rPr>
        <w:fldChar w:fldCharType="separate"/>
      </w:r>
      <w:r>
        <w:rPr>
          <w:rStyle w:val="838"/>
          <w:rFonts w:hint="eastAsia" w:ascii="宋体" w:hAnsi="宋体" w:cs="仿宋"/>
          <w:sz w:val="28"/>
          <w:szCs w:val="28"/>
          <w:shd w:val="clear" w:color="auto" w:fill="ffffff"/>
        </w:rPr>
        <w:t xml:space="preserve">苏采云系统操作手册（供应商）</w:t>
      </w:r>
      <w:r>
        <w:rPr>
          <w:rFonts w:hint="eastAsia" w:ascii="宋体" w:hAnsi="宋体" w:cs="仿宋"/>
          <w:color w:val="333333"/>
          <w:sz w:val="28"/>
          <w:szCs w:val="28"/>
          <w:shd w:val="clear" w:color="auto" w:fill="ffffff"/>
          <w:lang w:bidi="ar"/>
        </w:rPr>
        <w:fldChar w:fldCharType="end"/>
      </w:r>
      <w:r>
        <w:rPr>
          <w:rFonts w:hint="eastAsia" w:ascii="宋体" w:hAnsi="宋体" w:cs="仿宋"/>
          <w:sz w:val="28"/>
          <w:szCs w:val="28"/>
          <w:shd w:val="clear" w:color="auto" w:fill="ffffff"/>
          <w:lang w:bidi="ar"/>
        </w:rPr>
        <w:t xml:space="preserve">”，进行下载。</w:t>
      </w:r>
      <w:r/>
    </w:p>
    <w:p>
      <w:pPr>
        <w:ind w:firstLine="420"/>
        <w:jc w:val="left"/>
        <w:spacing w:line="520" w:lineRule="exact"/>
        <w:rPr>
          <w:rFonts w:hint="eastAsia" w:ascii="宋体" w:hAnsi="宋体" w:cs="仿宋"/>
          <w:sz w:val="28"/>
          <w:szCs w:val="28"/>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838"/>
          <w:rFonts w:hint="eastAsia" w:ascii="宋体" w:hAnsi="宋体" w:cs="仿宋"/>
          <w:sz w:val="28"/>
          <w:szCs w:val="28"/>
          <w:shd w:val="clear" w:color="auto" w:fill="ffffff"/>
          <w:lang w:bidi="ar"/>
        </w:rPr>
        <w:t xml:space="preserve">http://czj.taizhou.gov.cn/col/col61762/index.html</w:t>
      </w:r>
      <w:r>
        <w:rPr>
          <w:rStyle w:val="838"/>
          <w:rFonts w:hint="eastAsia" w:ascii="宋体" w:hAnsi="宋体" w:cs="仿宋"/>
          <w:sz w:val="28"/>
          <w:szCs w:val="28"/>
          <w:shd w:val="clear" w:color="auto" w:fill="ffffff"/>
          <w:lang w:bidi="ar"/>
        </w:rPr>
        <w:fldChar w:fldCharType="end"/>
      </w:r>
      <w:r/>
    </w:p>
    <w:p>
      <w:pPr>
        <w:ind w:left="559"/>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3.视频参考资料：</w:t>
      </w:r>
      <w:r>
        <w:rPr>
          <w:rFonts w:hint="eastAsia" w:ascii="宋体" w:hAnsi="宋体" w:cs="仿宋"/>
          <w:sz w:val="28"/>
          <w:szCs w:val="28"/>
          <w:shd w:val="clear" w:color="auto" w:fill="ffffff"/>
          <w:lang w:bidi="ar"/>
        </w:rPr>
        <w:t xml:space="preserve">http://czj.xz.gov.cn/Home/HomeDetails?type=13&amp;articleid=1d984549-f767-40c7-8647-cbbd55af52da</w:t>
      </w:r>
      <w:r/>
    </w:p>
    <w:p>
      <w:pPr>
        <w:ind w:left="559"/>
        <w:jc w:val="left"/>
        <w:spacing w:line="520" w:lineRule="exact"/>
        <w:rPr>
          <w:rFonts w:hint="eastAsia" w:ascii="宋体" w:hAnsi="宋体" w:cs="仿宋"/>
          <w:sz w:val="28"/>
          <w:szCs w:val="28"/>
          <w:shd w:val="clear" w:color="auto" w:fill="ffffff"/>
          <w:lang w:bidi="ar"/>
        </w:rPr>
      </w:pPr>
      <w:r>
        <w:rPr>
          <w:rFonts w:hint="eastAsia" w:ascii="宋体" w:hAnsi="宋体" w:cs="仿宋"/>
          <w:sz w:val="28"/>
          <w:szCs w:val="28"/>
          <w:shd w:val="clear" w:color="auto" w:fill="ffffff"/>
          <w:lang w:bidi="ar"/>
        </w:rPr>
        <w:t xml:space="preserve">联系人: </w:t>
      </w:r>
      <w:r>
        <w:rPr>
          <w:rFonts w:hint="eastAsia" w:ascii="宋体" w:hAnsi="宋体" w:cs="仿宋"/>
          <w:spacing w:val="1"/>
          <w:sz w:val="28"/>
          <w:szCs w:val="28"/>
        </w:rPr>
        <w:t xml:space="preserve">张女士</w:t>
      </w:r>
      <w:r>
        <w:rPr>
          <w:rFonts w:hint="eastAsia" w:ascii="宋体" w:hAnsi="宋体" w:cs="仿宋"/>
          <w:sz w:val="28"/>
          <w:szCs w:val="28"/>
          <w:shd w:val="clear" w:color="auto" w:fill="ffffff"/>
          <w:lang w:bidi="ar"/>
        </w:rPr>
        <w:t xml:space="preserve">  联系电话：</w:t>
      </w:r>
      <w:r>
        <w:rPr>
          <w:rFonts w:hint="eastAsia" w:ascii="宋体" w:hAnsi="宋体" w:cs="仿宋"/>
          <w:spacing w:val="1"/>
          <w:sz w:val="28"/>
          <w:szCs w:val="28"/>
        </w:rPr>
        <w:t xml:space="preserve">0523-82020605</w:t>
      </w:r>
      <w:r/>
    </w:p>
    <w:p>
      <w:pPr>
        <w:ind w:firstLine="643"/>
        <w:spacing w:line="520" w:lineRule="exact"/>
        <w:rPr>
          <w:rFonts w:hint="eastAsia" w:ascii="宋体" w:hAnsi="宋体" w:cs="仿宋"/>
          <w:b/>
          <w:bCs/>
          <w:sz w:val="28"/>
          <w:szCs w:val="28"/>
        </w:rPr>
      </w:pPr>
      <w:r>
        <w:rPr>
          <w:rFonts w:hint="eastAsia" w:ascii="宋体" w:hAnsi="宋体" w:cs="仿宋"/>
          <w:b/>
          <w:bCs/>
          <w:sz w:val="28"/>
          <w:szCs w:val="28"/>
        </w:rPr>
        <w:t xml:space="preserve">三、竞争性谈判、磋商不见面交易注意事项</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1.确保音视频畅通。</w:t>
      </w:r>
      <w:r>
        <w:rPr>
          <w:rFonts w:hint="eastAsia" w:ascii="宋体" w:hAnsi="宋体" w:cs="仿宋"/>
          <w:sz w:val="28"/>
          <w:szCs w:val="28"/>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2.及时完成最终报价。</w:t>
      </w:r>
      <w:r>
        <w:rPr>
          <w:rFonts w:hint="eastAsia" w:ascii="宋体" w:hAnsi="宋体" w:cs="仿宋"/>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hint="eastAsia" w:ascii="宋体" w:hAnsi="宋体" w:cs="仿宋"/>
          <w:b/>
          <w:bCs/>
          <w:sz w:val="28"/>
          <w:szCs w:val="28"/>
        </w:rPr>
      </w:pPr>
      <w:r>
        <w:rPr>
          <w:rFonts w:hint="eastAsia" w:ascii="宋体" w:hAnsi="宋体" w:cs="仿宋"/>
          <w:b/>
          <w:bCs/>
          <w:sz w:val="28"/>
          <w:szCs w:val="28"/>
        </w:rPr>
        <w:t xml:space="preserve">四、供应商相关法律责任提醒</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相关法律法规：</w:t>
      </w:r>
      <w:r/>
    </w:p>
    <w:p>
      <w:pPr>
        <w:ind w:firstLine="562"/>
        <w:spacing w:line="520" w:lineRule="exact"/>
        <w:rPr>
          <w:rFonts w:hint="eastAsia" w:ascii="宋体" w:hAnsi="宋体" w:cs="仿宋"/>
          <w:color w:val="auto"/>
          <w:sz w:val="28"/>
          <w:szCs w:val="28"/>
        </w:rPr>
      </w:pPr>
      <w:r>
        <w:rPr>
          <w:rFonts w:hint="eastAsia" w:ascii="宋体" w:hAnsi="宋体" w:cs="仿宋"/>
          <w:b/>
          <w:bCs/>
          <w:color w:val="auto"/>
          <w:sz w:val="28"/>
          <w:szCs w:val="28"/>
        </w:rPr>
        <w:t xml:space="preserve">《政府采购法》</w:t>
      </w:r>
      <w:r>
        <w:rPr>
          <w:rFonts w:hint="eastAsia" w:ascii="宋体" w:hAnsi="宋体" w:cs="仿宋"/>
          <w:color w:val="auto"/>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20" w:lineRule="exact"/>
        <w:rPr>
          <w:rFonts w:hint="eastAsia" w:ascii="宋体" w:hAnsi="宋体" w:cs="仿宋"/>
          <w:color w:val="auto"/>
          <w:sz w:val="28"/>
          <w:szCs w:val="28"/>
        </w:rPr>
      </w:pPr>
      <w:r>
        <w:rPr>
          <w:rFonts w:hint="eastAsia" w:ascii="宋体" w:hAnsi="宋体" w:cs="仿宋"/>
          <w:color w:val="auto"/>
          <w:sz w:val="28"/>
          <w:szCs w:val="28"/>
        </w:rPr>
        <w:t xml:space="preserve">（一）提供虚假材料谋取中标、成交的；</w:t>
      </w:r>
      <w:r/>
    </w:p>
    <w:p>
      <w:pPr>
        <w:ind w:firstLine="560"/>
        <w:spacing w:line="520" w:lineRule="exact"/>
        <w:rPr>
          <w:rFonts w:hint="eastAsia" w:ascii="宋体" w:hAnsi="宋体" w:cs="仿宋"/>
          <w:color w:val="auto"/>
          <w:sz w:val="28"/>
          <w:szCs w:val="28"/>
        </w:rPr>
      </w:pPr>
      <w:r>
        <w:rPr>
          <w:rFonts w:hint="eastAsia" w:ascii="宋体" w:hAnsi="宋体" w:cs="仿宋"/>
          <w:color w:val="auto"/>
          <w:sz w:val="28"/>
          <w:szCs w:val="28"/>
        </w:rPr>
        <w:t xml:space="preserve">（二）采取不正当手段诋毁、排挤其他供应商的；</w:t>
      </w:r>
      <w:r/>
    </w:p>
    <w:p>
      <w:pPr>
        <w:ind w:firstLine="560"/>
        <w:spacing w:line="520" w:lineRule="exact"/>
        <w:rPr>
          <w:rFonts w:hint="eastAsia" w:ascii="宋体" w:hAnsi="宋体" w:cs="仿宋"/>
          <w:color w:val="auto"/>
          <w:sz w:val="28"/>
          <w:szCs w:val="28"/>
        </w:rPr>
      </w:pPr>
      <w:r>
        <w:rPr>
          <w:rFonts w:hint="eastAsia" w:ascii="宋体" w:hAnsi="宋体" w:cs="仿宋"/>
          <w:color w:val="auto"/>
          <w:sz w:val="28"/>
          <w:szCs w:val="28"/>
        </w:rPr>
        <w:t xml:space="preserve">（三）与采购人、其他供应商或者采购代理机构恶意串通的；</w:t>
      </w:r>
      <w:r/>
    </w:p>
    <w:p>
      <w:pPr>
        <w:ind w:firstLine="560"/>
        <w:spacing w:line="520" w:lineRule="exact"/>
        <w:rPr>
          <w:rFonts w:hint="eastAsia" w:ascii="宋体" w:hAnsi="宋体" w:cs="仿宋"/>
          <w:color w:val="auto"/>
          <w:sz w:val="28"/>
          <w:szCs w:val="28"/>
        </w:rPr>
      </w:pPr>
      <w:r>
        <w:rPr>
          <w:rFonts w:hint="eastAsia" w:ascii="宋体" w:hAnsi="宋体" w:cs="仿宋"/>
          <w:color w:val="auto"/>
          <w:sz w:val="28"/>
          <w:szCs w:val="28"/>
        </w:rPr>
        <w:t xml:space="preserve">（四）向采购人、采购代理机构行贿或者提供其他不正当利益的；</w:t>
      </w:r>
      <w:r/>
    </w:p>
    <w:p>
      <w:pPr>
        <w:ind w:firstLine="560"/>
        <w:spacing w:line="520" w:lineRule="exact"/>
        <w:rPr>
          <w:rFonts w:hint="eastAsia" w:ascii="宋体" w:hAnsi="宋体" w:cs="仿宋"/>
          <w:color w:val="auto"/>
          <w:sz w:val="28"/>
          <w:szCs w:val="28"/>
        </w:rPr>
      </w:pPr>
      <w:r>
        <w:rPr>
          <w:rFonts w:hint="eastAsia" w:ascii="宋体" w:hAnsi="宋体" w:cs="仿宋"/>
          <w:color w:val="auto"/>
          <w:sz w:val="28"/>
          <w:szCs w:val="28"/>
        </w:rPr>
        <w:t xml:space="preserve">（五）在招标采购过程中与采购人进行协商谈判的；</w:t>
      </w:r>
      <w:r/>
    </w:p>
    <w:p>
      <w:pPr>
        <w:ind w:firstLine="560"/>
        <w:spacing w:line="520" w:lineRule="exact"/>
        <w:rPr>
          <w:rFonts w:hint="eastAsia" w:ascii="宋体" w:hAnsi="宋体" w:cs="仿宋"/>
          <w:color w:val="auto"/>
          <w:sz w:val="28"/>
          <w:szCs w:val="28"/>
        </w:rPr>
      </w:pPr>
      <w:r>
        <w:rPr>
          <w:rFonts w:hint="eastAsia" w:ascii="宋体" w:hAnsi="宋体" w:cs="仿宋"/>
          <w:color w:val="auto"/>
          <w:sz w:val="28"/>
          <w:szCs w:val="28"/>
        </w:rPr>
        <w:t xml:space="preserve">（六）拒绝有关部门监督检查或者提供虚假情况的。</w:t>
      </w:r>
      <w:r/>
    </w:p>
    <w:p>
      <w:pPr>
        <w:ind w:firstLine="560"/>
        <w:spacing w:line="520" w:lineRule="exact"/>
        <w:rPr>
          <w:rFonts w:hint="eastAsia" w:ascii="宋体" w:hAnsi="宋体" w:cs="仿宋"/>
          <w:color w:val="auto"/>
          <w:sz w:val="28"/>
          <w:szCs w:val="28"/>
        </w:rPr>
      </w:pPr>
      <w:r>
        <w:rPr>
          <w:rFonts w:hint="eastAsia" w:ascii="宋体" w:hAnsi="宋体" w:cs="仿宋"/>
          <w:color w:val="auto"/>
          <w:sz w:val="28"/>
          <w:szCs w:val="28"/>
        </w:rPr>
        <w:t xml:space="preserve">供应商有前款第（一）至（五）项情形之一的，中标、成交无效。</w:t>
      </w:r>
      <w:r/>
    </w:p>
    <w:p>
      <w:pPr>
        <w:ind w:firstLine="562"/>
        <w:spacing w:line="520" w:lineRule="exact"/>
        <w:rPr>
          <w:rFonts w:hint="eastAsia" w:ascii="宋体" w:hAnsi="宋体" w:cs="仿宋"/>
          <w:color w:val="auto"/>
          <w:sz w:val="28"/>
          <w:szCs w:val="28"/>
        </w:rPr>
      </w:pPr>
      <w:r>
        <w:rPr>
          <w:rFonts w:hint="eastAsia" w:ascii="宋体" w:hAnsi="宋体" w:cs="仿宋"/>
          <w:b/>
          <w:bCs/>
          <w:color w:val="auto"/>
          <w:sz w:val="28"/>
          <w:szCs w:val="28"/>
        </w:rPr>
        <w:t xml:space="preserve">《政府采购法实施条例》</w:t>
      </w:r>
      <w:r>
        <w:rPr>
          <w:rFonts w:hint="eastAsia" w:ascii="宋体" w:hAnsi="宋体" w:cs="仿宋"/>
          <w:color w:val="auto"/>
          <w:sz w:val="28"/>
          <w:szCs w:val="28"/>
        </w:rPr>
        <w:t xml:space="preserve">第七十二条　供应商有下列情形之一的，依照政府采购法第七十七条第一款的规定追究法律责任：</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（一）向评标委员会、竞争性谈判小组或者询价小组成员行贿或者提供其他不正当利益；</w:t>
      </w:r>
      <w:r/>
    </w:p>
    <w:p>
      <w:pPr>
        <w:ind w:firstLine="560"/>
        <w:spacing w:line="520" w:lineRule="exact"/>
        <w:rPr>
          <w:rFonts w:hint="eastAsia" w:ascii="宋体" w:hAnsi="宋体" w:cs="仿宋"/>
          <w:color w:val="auto"/>
          <w:sz w:val="28"/>
          <w:szCs w:val="28"/>
        </w:rPr>
      </w:pPr>
      <w:r>
        <w:rPr>
          <w:rFonts w:hint="eastAsia" w:ascii="宋体" w:hAnsi="宋体" w:cs="仿宋"/>
          <w:color w:val="auto"/>
          <w:sz w:val="28"/>
          <w:szCs w:val="28"/>
        </w:rPr>
        <w:t xml:space="preserve">（二）中标或者成交后无正当理由拒不与采购人签订政府采购合同；</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（三）未按照采购文件确定的事项签订政府采购合同；</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（四）将政府采购合同转包；</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（五）提供假冒伪劣产品；</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（六）擅自变更、中止或者终止政府采购合同。</w:t>
      </w:r>
      <w:r/>
    </w:p>
    <w:p>
      <w:pPr>
        <w:pStyle w:val="803"/>
        <w:rPr>
          <w:rFonts w:hint="eastAsia" w:ascii="宋体" w:hAnsi="宋体" w:eastAsia="宋体"/>
          <w:color w:val="000000"/>
          <w:szCs w:val="28"/>
        </w:rPr>
      </w:pPr>
      <w:r>
        <w:rPr>
          <w:rFonts w:hint="eastAsia" w:ascii="宋体" w:hAnsi="宋体" w:eastAsia="宋体" w:cs="仿宋"/>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18"/>
        <w:spacing w:line="520" w:lineRule="exact"/>
        <w:rPr>
          <w:rFonts w:hint="eastAsia" w:ascii="宋体" w:hAnsi="宋体" w:cs="仿宋"/>
          <w:b/>
          <w:bCs/>
          <w:sz w:val="28"/>
          <w:szCs w:val="28"/>
        </w:rPr>
      </w:pPr>
      <w:r>
        <w:rPr>
          <w:rFonts w:hint="eastAsia" w:ascii="宋体" w:hAnsi="宋体" w:cs="仿宋"/>
          <w:b/>
          <w:bCs/>
          <w:sz w:val="28"/>
          <w:szCs w:val="28"/>
        </w:rPr>
      </w:r>
      <w:r/>
    </w:p>
    <w:p>
      <w:pPr>
        <w:jc w:val="left"/>
        <w:widowControl/>
        <w:rPr>
          <w:rFonts w:hint="eastAsia" w:ascii="宋体" w:hAnsi="宋体"/>
          <w:b/>
          <w:color w:val="000000"/>
          <w:sz w:val="52"/>
          <w:szCs w:val="52"/>
        </w:rPr>
      </w:pPr>
      <w:r>
        <w:rPr>
          <w:rFonts w:hint="eastAsia" w:ascii="宋体" w:hAnsi="宋体"/>
          <w:b/>
          <w:color w:val="000000"/>
          <w:sz w:val="52"/>
          <w:szCs w:val="52"/>
        </w:rPr>
        <w:br w:type="page" w:clear="all"/>
      </w:r>
      <w:r/>
    </w:p>
    <w:p>
      <w:r/>
      <w:r/>
    </w:p>
    <w:p>
      <w:pPr>
        <w:ind w:firstLine="40"/>
        <w:jc w:val="center"/>
        <w:spacing w:after="936"/>
        <w:rPr>
          <w:rFonts w:hint="eastAsia" w:ascii="宋体" w:hAnsi="宋体"/>
          <w:b/>
          <w:color w:val="000000"/>
          <w:sz w:val="44"/>
          <w:szCs w:val="44"/>
        </w:rPr>
      </w:pPr>
      <w:r>
        <w:rPr>
          <w:rFonts w:hint="eastAsia" w:ascii="宋体" w:hAnsi="宋体"/>
          <w:b/>
          <w:color w:val="000000"/>
          <w:sz w:val="44"/>
          <w:szCs w:val="44"/>
        </w:rPr>
        <w:t xml:space="preserve">目 录</w:t>
      </w:r>
      <w:r/>
    </w:p>
    <w:p>
      <w:pPr>
        <w:pStyle w:val="818"/>
        <w:tabs>
          <w:tab w:val="clear" w:pos="142" w:leader="none"/>
          <w:tab w:val="right" w:pos="8306" w:leader="dot"/>
          <w:tab w:val="clear" w:pos="9617" w:leader="none"/>
        </w:tabs>
        <w:rPr>
          <w:rFonts w:hint="eastAsia" w:ascii="宋体" w:hAnsi="宋体" w:eastAsia="宋体" w:cs="宋体"/>
          <w:b/>
          <w:bCs/>
          <w:sz w:val="28"/>
          <w:szCs w:val="28"/>
        </w:rPr>
      </w:pPr>
      <w:r>
        <w:rPr>
          <w:rFonts w:hint="eastAsia" w:ascii="宋体" w:hAnsi="宋体"/>
          <w:b/>
          <w:color w:val="000000"/>
          <w:sz w:val="52"/>
          <w:szCs w:val="52"/>
        </w:rPr>
        <w:fldChar w:fldCharType="begin"/>
      </w:r>
      <w:r>
        <w:rPr>
          <w:rFonts w:hint="eastAsia" w:ascii="宋体" w:hAnsi="宋体"/>
          <w:b/>
          <w:color w:val="000000"/>
          <w:sz w:val="52"/>
          <w:szCs w:val="52"/>
        </w:rPr>
        <w:instrText xml:space="preserve">TOC \o "1-3" \h \u </w:instrText>
      </w:r>
      <w:r>
        <w:rPr>
          <w:rFonts w:hint="eastAsia" w:ascii="宋体" w:hAnsi="宋体"/>
          <w:b/>
          <w:color w:val="000000"/>
          <w:sz w:val="52"/>
          <w:szCs w:val="52"/>
        </w:rPr>
        <w:fldChar w:fldCharType="separate"/>
      </w: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_Toc340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投标邀请</w:t>
      </w:r>
      <w:r>
        <w:rPr>
          <w:rFonts w:hint="eastAsia" w:ascii="宋体" w:hAnsi="宋体" w:eastAsia="宋体" w:cs="宋体"/>
          <w:b/>
          <w:bCs/>
          <w:sz w:val="28"/>
          <w:szCs w:val="28"/>
        </w:rPr>
        <w:tab/>
      </w:r>
      <w:r>
        <w:rPr>
          <w:rFonts w:hint="eastAsia" w:ascii="宋体" w:hAnsi="宋体" w:eastAsia="宋体" w:cs="宋体"/>
          <w:b/>
          <w:bCs/>
          <w:sz w:val="28"/>
          <w:szCs w:val="28"/>
          <w:lang w:val="en-US" w:eastAsia="zh-CN"/>
        </w:rPr>
        <w:t xml:space="preserve">7</w:t>
      </w:r>
      <w:r>
        <w:rPr>
          <w:rFonts w:hint="eastAsia" w:ascii="宋体" w:hAnsi="宋体" w:eastAsia="宋体" w:cs="宋体"/>
          <w:b/>
          <w:bCs/>
          <w:color w:val="000000"/>
          <w:sz w:val="28"/>
          <w:szCs w:val="28"/>
        </w:rPr>
        <w:fldChar w:fldCharType="end"/>
      </w:r>
      <w:r/>
    </w:p>
    <w:p>
      <w:pPr>
        <w:pStyle w:val="818"/>
        <w:tabs>
          <w:tab w:val="clear" w:pos="142" w:leader="none"/>
          <w:tab w:val="right" w:pos="8306" w:leader="dot"/>
          <w:tab w:val="clear" w:pos="9617" w:leader="none"/>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_Toc17937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响应文件</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_Toc17937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11</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p>
    <w:p>
      <w:pPr>
        <w:pStyle w:val="818"/>
        <w:tabs>
          <w:tab w:val="clear" w:pos="142" w:leader="none"/>
          <w:tab w:val="right" w:pos="8306" w:leader="dot"/>
          <w:tab w:val="clear" w:pos="9617" w:leader="none"/>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_Toc9132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磋商相关说明</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_Toc9132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24</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p>
    <w:p>
      <w:pPr>
        <w:pStyle w:val="818"/>
        <w:tabs>
          <w:tab w:val="clear" w:pos="142" w:leader="none"/>
          <w:tab w:val="right" w:pos="8306" w:leader="dot"/>
          <w:tab w:val="clear" w:pos="9617" w:leader="none"/>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_Toc7579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确定成交供应商及合同签订等</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_Toc7579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30</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p>
    <w:p>
      <w:pPr>
        <w:pStyle w:val="818"/>
        <w:tabs>
          <w:tab w:val="clear" w:pos="142" w:leader="none"/>
          <w:tab w:val="right" w:pos="8306" w:leader="dot"/>
          <w:tab w:val="clear" w:pos="9617" w:leader="none"/>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_Toc29947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磋商文件的澄清或者修改</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_Toc29947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32</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p>
    <w:p>
      <w:pPr>
        <w:pStyle w:val="818"/>
        <w:tabs>
          <w:tab w:val="clear" w:pos="142" w:leader="none"/>
          <w:tab w:val="right" w:pos="8306" w:leader="dot"/>
          <w:tab w:val="clear" w:pos="9617" w:leader="none"/>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_Toc26368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询问和质疑</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_Toc26368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33</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p>
    <w:p>
      <w:pPr>
        <w:pStyle w:val="818"/>
        <w:tabs>
          <w:tab w:val="clear" w:pos="142" w:leader="none"/>
          <w:tab w:val="right" w:pos="8306" w:leader="dot"/>
          <w:tab w:val="clear" w:pos="9617" w:leader="none"/>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_Toc4467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第七章 评分标准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_Toc4467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35</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p>
    <w:p>
      <w:pPr>
        <w:pStyle w:val="818"/>
        <w:tabs>
          <w:tab w:val="clear" w:pos="142" w:leader="none"/>
          <w:tab w:val="right" w:pos="8306" w:leader="dot"/>
          <w:tab w:val="clear" w:pos="9617" w:leader="none"/>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_Toc5579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第八章采购需求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_Toc5579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40</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p>
    <w:p>
      <w:pPr>
        <w:pStyle w:val="818"/>
        <w:tabs>
          <w:tab w:val="clear" w:pos="142" w:leader="none"/>
          <w:tab w:val="right" w:pos="8306" w:leader="dot"/>
          <w:tab w:val="clear" w:pos="9617" w:leader="none"/>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_Toc20134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第九章 响应文件相关格式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_Toc20134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43</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p>
    <w:p>
      <w:pPr>
        <w:pStyle w:val="818"/>
        <w:tabs>
          <w:tab w:val="clear" w:pos="142" w:leader="none"/>
          <w:tab w:val="right" w:pos="8306" w:leader="dot"/>
          <w:tab w:val="clear" w:pos="9617" w:leader="none"/>
        </w:tabs>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_Toc5868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第十章 兴化市基层医疗机构医疗责任保险项目采购协议</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_Toc5868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61</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p>
    <w:p>
      <w:pPr>
        <w:pStyle w:val="826"/>
        <w:tabs>
          <w:tab w:val="clear" w:pos="1134" w:leader="none"/>
          <w:tab w:val="right" w:pos="8306" w:leader="dot"/>
          <w:tab w:val="clear" w:pos="9639" w:leader="none"/>
        </w:tabs>
      </w:pPr>
      <w:r/>
      <w:r/>
    </w:p>
    <w:p>
      <w:pPr>
        <w:jc w:val="left"/>
        <w:widowControl/>
        <w:rPr>
          <w:rFonts w:ascii="宋体"/>
          <w:b/>
          <w:color w:val="000000" w:themeColor="text1"/>
          <w:sz w:val="44"/>
          <w:szCs w:val="44"/>
          <w14:textFill>
            <w14:solidFill>
              <w14:schemeClr w14:val="tx1"/>
            </w14:solidFill>
          </w14:textFill>
        </w:rPr>
      </w:pPr>
      <w:r>
        <w:rPr>
          <w:rFonts w:hint="eastAsia" w:ascii="宋体" w:hAnsi="宋体"/>
          <w:color w:val="000000"/>
          <w:szCs w:val="52"/>
        </w:rPr>
        <w:fldChar w:fldCharType="end"/>
      </w:r>
      <w:r>
        <w:rPr>
          <w:rFonts w:hint="eastAsia" w:ascii="宋体" w:hAnsi="宋体"/>
          <w:b/>
          <w:color w:val="000000"/>
          <w:sz w:val="52"/>
          <w:szCs w:val="52"/>
        </w:rPr>
        <w:t xml:space="preserve"> </w:t>
      </w:r>
      <w:r/>
    </w:p>
    <w:p>
      <w:pPr>
        <w:rPr>
          <w:rFonts w:hint="eastAsia" w:ascii="宋体"/>
          <w:b/>
          <w:color w:val="000000" w:themeColor="text1"/>
          <w:sz w:val="44"/>
          <w:szCs w:val="44"/>
          <w14:textFill>
            <w14:solidFill>
              <w14:schemeClr w14:val="tx1"/>
            </w14:solidFill>
          </w14:textFill>
        </w:rPr>
      </w:pPr>
      <w:r>
        <w:rPr>
          <w:rFonts w:hint="eastAsia" w:ascii="宋体"/>
          <w:b/>
          <w:color w:val="000000" w:themeColor="text1"/>
          <w:sz w:val="44"/>
          <w:szCs w:val="44"/>
          <w14:textFill>
            <w14:solidFill>
              <w14:schemeClr w14:val="tx1"/>
            </w14:solidFill>
          </w14:textFill>
        </w:rPr>
        <w:br w:type="page" w:clear="all"/>
      </w:r>
      <w:r/>
    </w:p>
    <w:p>
      <w:pPr>
        <w:pStyle w:val="844"/>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14:textFill>
            <w14:solidFill>
              <w14:schemeClr w14:val="tx1"/>
            </w14:solidFill>
          </w14:textFill>
        </w:rPr>
        <w:t xml:space="preserve">兴化市基层医疗机构相关保险磋商</w:t>
      </w:r>
      <w:r>
        <w:rPr>
          <w:rFonts w:ascii="宋体"/>
          <w:b/>
          <w:color w:val="000000" w:themeColor="text1"/>
          <w:sz w:val="44"/>
          <w:szCs w:val="44"/>
          <w14:textFill>
            <w14:solidFill>
              <w14:schemeClr w14:val="tx1"/>
            </w14:solidFill>
          </w14:textFill>
        </w:rPr>
        <w:t xml:space="preserve">文件</w:t>
      </w:r>
      <w:r>
        <w:rPr>
          <w:rFonts w:ascii="宋体"/>
          <w:b/>
          <w:color w:val="000000" w:themeColor="text1"/>
          <w:sz w:val="30"/>
          <w:szCs w:val="30"/>
          <w14:textFill>
            <w14:solidFill>
              <w14:schemeClr w14:val="tx1"/>
            </w14:solidFill>
          </w14:textFill>
        </w:rPr>
        <w:t xml:space="preserve"> </w:t>
      </w:r>
      <w:r/>
    </w:p>
    <w:p>
      <w:pPr>
        <w:pStyle w:val="844"/>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844"/>
        <w:ind w:firstLine="600"/>
        <w:spacing w:line="52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遵照政府采购法律法规、制度规定和采购人的采购需求、评标标准、评标办法，编制本项目</w:t>
      </w:r>
      <w:r>
        <w:rPr>
          <w:rFonts w:hint="eastAsia" w:ascii="宋体"/>
          <w:color w:val="000000" w:themeColor="text1"/>
          <w:sz w:val="28"/>
          <w:szCs w:val="28"/>
          <w14:textFill>
            <w14:solidFill>
              <w14:schemeClr w14:val="tx1"/>
            </w14:solidFill>
          </w14:textFill>
        </w:rPr>
        <w:t xml:space="preserve">磋商</w:t>
      </w:r>
      <w:r>
        <w:rPr>
          <w:rFonts w:ascii="宋体"/>
          <w:color w:val="000000" w:themeColor="text1"/>
          <w:sz w:val="28"/>
          <w:szCs w:val="28"/>
          <w14:textFill>
            <w14:solidFill>
              <w14:schemeClr w14:val="tx1"/>
            </w14:solidFill>
          </w14:textFill>
        </w:rPr>
        <w:t xml:space="preserve">文件。本项目</w:t>
      </w:r>
      <w:r>
        <w:rPr>
          <w:rFonts w:hint="eastAsia" w:ascii="宋体"/>
          <w:color w:val="000000" w:themeColor="text1"/>
          <w:sz w:val="28"/>
          <w:szCs w:val="28"/>
          <w14:textFill>
            <w14:solidFill>
              <w14:schemeClr w14:val="tx1"/>
            </w14:solidFill>
          </w14:textFill>
        </w:rPr>
        <w:t xml:space="preserve">磋商</w:t>
      </w:r>
      <w:r>
        <w:rPr>
          <w:rFonts w:ascii="宋体"/>
          <w:color w:val="000000" w:themeColor="text1"/>
          <w:sz w:val="28"/>
          <w:szCs w:val="28"/>
          <w14:textFill>
            <w14:solidFill>
              <w14:schemeClr w14:val="tx1"/>
            </w14:solidFill>
          </w14:textFill>
        </w:rPr>
        <w:t xml:space="preserve">文件共分</w:t>
      </w:r>
      <w:r>
        <w:rPr>
          <w:rFonts w:hint="eastAsia" w:ascii="宋体"/>
          <w:color w:val="000000" w:themeColor="text1"/>
          <w:sz w:val="28"/>
          <w:szCs w:val="28"/>
          <w14:textFill>
            <w14:solidFill>
              <w14:schemeClr w14:val="tx1"/>
            </w14:solidFill>
          </w14:textFill>
        </w:rPr>
        <w:t xml:space="preserve">九</w:t>
      </w:r>
      <w:r>
        <w:rPr>
          <w:rFonts w:ascii="宋体"/>
          <w:color w:val="000000" w:themeColor="text1"/>
          <w:sz w:val="28"/>
          <w:szCs w:val="28"/>
          <w14:textFill>
            <w14:solidFill>
              <w14:schemeClr w14:val="tx1"/>
            </w14:solidFill>
          </w14:textFill>
        </w:rPr>
        <w:t xml:space="preserve">章：第一章，投标邀请;第二章，</w:t>
      </w:r>
      <w:r>
        <w:rPr>
          <w:rFonts w:hint="eastAsia" w:ascii="宋体"/>
          <w:color w:val="000000" w:themeColor="text1"/>
          <w:sz w:val="28"/>
          <w:szCs w:val="28"/>
          <w14:textFill>
            <w14:solidFill>
              <w14:schemeClr w14:val="tx1"/>
            </w14:solidFill>
          </w14:textFill>
        </w:rPr>
        <w:t xml:space="preserve">响应文件</w:t>
      </w:r>
      <w:r>
        <w:rPr>
          <w:rFonts w:ascii="宋体"/>
          <w:color w:val="000000" w:themeColor="text1"/>
          <w:sz w:val="28"/>
          <w:szCs w:val="28"/>
          <w14:textFill>
            <w14:solidFill>
              <w14:schemeClr w14:val="tx1"/>
            </w14:solidFill>
          </w14:textFill>
        </w:rPr>
        <w:t xml:space="preserve">;第三章，</w:t>
      </w:r>
      <w:r>
        <w:rPr>
          <w:rFonts w:hint="eastAsia" w:ascii="宋体"/>
          <w:color w:val="000000" w:themeColor="text1"/>
          <w:sz w:val="28"/>
          <w:szCs w:val="28"/>
          <w14:textFill>
            <w14:solidFill>
              <w14:schemeClr w14:val="tx1"/>
            </w14:solidFill>
          </w14:textFill>
        </w:rPr>
        <w:t xml:space="preserve">磋商相关说明</w:t>
      </w:r>
      <w:r>
        <w:rPr>
          <w:rFonts w:ascii="宋体"/>
          <w:color w:val="000000" w:themeColor="text1"/>
          <w:sz w:val="28"/>
          <w:szCs w:val="28"/>
          <w14:textFill>
            <w14:solidFill>
              <w14:schemeClr w14:val="tx1"/>
            </w14:solidFill>
          </w14:textFill>
        </w:rPr>
        <w:t xml:space="preserve">;第四章，</w:t>
      </w:r>
      <w:r>
        <w:rPr>
          <w:rFonts w:hint="eastAsia" w:ascii="宋体"/>
          <w:color w:val="000000" w:themeColor="text1"/>
          <w:sz w:val="28"/>
          <w:szCs w:val="28"/>
          <w14:textFill>
            <w14:solidFill>
              <w14:schemeClr w14:val="tx1"/>
            </w14:solidFill>
          </w14:textFill>
        </w:rPr>
        <w:t xml:space="preserve">确定成交供应商及合同签订等</w:t>
      </w:r>
      <w:r>
        <w:rPr>
          <w:rFonts w:ascii="宋体"/>
          <w:color w:val="000000" w:themeColor="text1"/>
          <w:sz w:val="28"/>
          <w:szCs w:val="28"/>
          <w14:textFill>
            <w14:solidFill>
              <w14:schemeClr w14:val="tx1"/>
            </w14:solidFill>
          </w14:textFill>
        </w:rPr>
        <w:t xml:space="preserve">;第五章，</w:t>
      </w:r>
      <w:r>
        <w:rPr>
          <w:rFonts w:hint="eastAsia" w:ascii="宋体"/>
          <w:color w:val="000000" w:themeColor="text1"/>
          <w:sz w:val="28"/>
          <w:szCs w:val="28"/>
          <w14:textFill>
            <w14:solidFill>
              <w14:schemeClr w14:val="tx1"/>
            </w14:solidFill>
          </w14:textFill>
        </w:rPr>
        <w:t xml:space="preserve">磋商文件的澄清或者修改</w:t>
      </w:r>
      <w:r>
        <w:rPr>
          <w:rFonts w:ascii="宋体"/>
          <w:color w:val="000000" w:themeColor="text1"/>
          <w:sz w:val="28"/>
          <w:szCs w:val="28"/>
          <w14:textFill>
            <w14:solidFill>
              <w14:schemeClr w14:val="tx1"/>
            </w14:solidFill>
          </w14:textFill>
        </w:rPr>
        <w:t xml:space="preserve">;第六章，</w:t>
      </w:r>
      <w:r>
        <w:rPr>
          <w:rFonts w:hint="eastAsia" w:ascii="宋体"/>
          <w:color w:val="000000" w:themeColor="text1"/>
          <w:sz w:val="28"/>
          <w:szCs w:val="28"/>
          <w14:textFill>
            <w14:solidFill>
              <w14:schemeClr w14:val="tx1"/>
            </w14:solidFill>
          </w14:textFill>
        </w:rPr>
        <w:t xml:space="preserve">询问和质疑</w:t>
      </w:r>
      <w:r>
        <w:rPr>
          <w:rFonts w:ascii="宋体"/>
          <w:color w:val="000000" w:themeColor="text1"/>
          <w:sz w:val="28"/>
          <w:szCs w:val="28"/>
          <w14:textFill>
            <w14:solidFill>
              <w14:schemeClr w14:val="tx1"/>
            </w14:solidFill>
          </w14:textFill>
        </w:rPr>
        <w:t xml:space="preserve">;第七章，</w:t>
      </w:r>
      <w:r>
        <w:rPr>
          <w:rFonts w:hint="eastAsia" w:ascii="宋体"/>
          <w:color w:val="000000" w:themeColor="text1"/>
          <w:sz w:val="28"/>
          <w:szCs w:val="28"/>
          <w14:textFill>
            <w14:solidFill>
              <w14:schemeClr w14:val="tx1"/>
            </w14:solidFill>
          </w14:textFill>
        </w:rPr>
        <w:t xml:space="preserve">评分标准；第八章，采购需求；第九章，响应文件相关格式</w:t>
      </w:r>
      <w:r>
        <w:rPr>
          <w:rFonts w:ascii="宋体"/>
          <w:color w:val="000000" w:themeColor="text1"/>
          <w:sz w:val="28"/>
          <w:szCs w:val="28"/>
          <w14:textFill>
            <w14:solidFill>
              <w14:schemeClr w14:val="tx1"/>
            </w14:solidFill>
          </w14:textFill>
        </w:rPr>
        <w:t xml:space="preserve">。</w:t>
      </w:r>
      <w:r/>
    </w:p>
    <w:p>
      <w:pPr>
        <w:pStyle w:val="844"/>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1203"/>
        <w:jc w:val="center"/>
        <w:spacing w:line="520" w:lineRule="exact"/>
        <w:rPr>
          <w:rFonts w:ascii="宋体"/>
          <w:color w:val="000000" w:themeColor="text1"/>
          <w14:textFill>
            <w14:solidFill>
              <w14:schemeClr w14:val="tx1"/>
            </w14:solidFill>
          </w14:textFill>
        </w:rPr>
        <w:outlineLvl w:val="0"/>
      </w:pPr>
      <w:r/>
      <w:bookmarkStart w:id="0" w:name="_Toc340"/>
      <w:r/>
      <w:bookmarkStart w:id="1" w:name="_Toc523404695"/>
      <w:r>
        <w:rPr>
          <w:rFonts w:ascii="宋体"/>
          <w:color w:val="000000" w:themeColor="text1"/>
          <w14:textFill>
            <w14:solidFill>
              <w14:schemeClr w14:val="tx1"/>
            </w14:solidFill>
          </w14:textFill>
        </w:rPr>
        <w:t xml:space="preserve">第一章  投标邀请</w:t>
      </w:r>
      <w:bookmarkEnd w:id="0"/>
      <w:r/>
      <w:bookmarkEnd w:id="1"/>
      <w:r/>
      <w:r/>
    </w:p>
    <w:p>
      <w:pPr>
        <w:pStyle w:val="844"/>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项目概况</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兴化市基层医疗机构相关保险招标项目的潜在供应商应在江苏政府采购网（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"http://jszfcg.jsczt.cn/）获取招标文件，并于2026年" </w:instrText>
      </w:r>
      <w:r>
        <w:rPr>
          <w:rFonts w:hint="eastAsia" w:ascii="宋体" w:hAnsi="宋体" w:eastAsia="宋体" w:cs="宋体"/>
          <w:color w:val="auto"/>
          <w:sz w:val="28"/>
          <w:szCs w:val="28"/>
        </w:rPr>
        <w:fldChar w:fldCharType="separate"/>
      </w:r>
      <w:r>
        <w:rPr>
          <w:rStyle w:val="838"/>
          <w:rFonts w:hint="eastAsia" w:ascii="宋体" w:hAnsi="宋体" w:eastAsia="宋体" w:cs="宋体"/>
          <w:color w:val="auto"/>
          <w:sz w:val="28"/>
          <w:szCs w:val="28"/>
        </w:rPr>
        <w:t xml:space="preserve">http://jszfcg.jsczt.cn/）获取招标文件，并于2026年</w:t>
      </w:r>
      <w:r>
        <w:rPr>
          <w:rStyle w:val="838"/>
          <w:rFonts w:hint="eastAsia" w:ascii="宋体" w:hAnsi="宋体" w:eastAsia="宋体" w:cs="宋体"/>
          <w:color w:val="auto"/>
          <w:sz w:val="28"/>
          <w:szCs w:val="28"/>
        </w:rPr>
        <w:fldChar w:fldCharType="end"/>
      </w:r>
      <w:r>
        <w:rPr>
          <w:rFonts w:hint="eastAsia" w:ascii="宋体" w:hAnsi="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cs="宋体"/>
          <w:color w:val="000000" w:themeColor="text1"/>
          <w:sz w:val="28"/>
          <w:szCs w:val="28"/>
          <w:lang w:val="en-US" w:eastAsia="zh-CN"/>
          <w14:textFill>
            <w14:solidFill>
              <w14:schemeClr w14:val="tx1"/>
            </w14:solidFill>
          </w14:textFill>
        </w:rPr>
        <w:t xml:space="preserve">19</w:t>
      </w:r>
      <w:r>
        <w:rPr>
          <w:rFonts w:hint="eastAsia" w:ascii="宋体" w:hAnsi="宋体" w:eastAsia="宋体" w:cs="宋体"/>
          <w:color w:val="000000" w:themeColor="text1"/>
          <w:sz w:val="28"/>
          <w:szCs w:val="28"/>
          <w14:textFill>
            <w14:solidFill>
              <w14:schemeClr w14:val="tx1"/>
            </w14:solidFill>
          </w14:textFill>
        </w:rPr>
        <w:t xml:space="preserve">日14点30分（北京时间）前递交投标文件。</w:t>
      </w:r>
      <w:r/>
    </w:p>
    <w:p>
      <w:pPr>
        <w:pStyle w:val="844"/>
        <w:ind w:firstLine="600"/>
        <w:spacing w:line="520" w:lineRule="exact"/>
        <w:rPr>
          <w:rFonts w:hint="eastAsia" w:ascii="宋体" w:hAnsi="宋体" w:eastAsia="宋体" w:cs="宋体"/>
          <w:b/>
          <w:color w:val="000000" w:themeColor="text1"/>
          <w:sz w:val="28"/>
          <w:szCs w:val="28"/>
          <w14:textFill>
            <w14:solidFill>
              <w14:schemeClr w14:val="tx1"/>
            </w14:solidFill>
          </w14:textFill>
        </w:rPr>
      </w:pPr>
      <w:r/>
      <w:bookmarkStart w:id="2" w:name="_Toc28359002"/>
      <w:r/>
      <w:bookmarkStart w:id="3" w:name="_Toc35393790"/>
      <w:r/>
      <w:bookmarkStart w:id="4" w:name="_Toc35393621"/>
      <w:r/>
      <w:bookmarkStart w:id="5" w:name="_Toc28359079"/>
      <w:r/>
      <w:bookmarkStart w:id="6" w:name="_Hlk24379207"/>
      <w:r>
        <w:rPr>
          <w:rFonts w:hint="eastAsia" w:ascii="宋体" w:hAnsi="宋体" w:eastAsia="宋体" w:cs="宋体"/>
          <w:b/>
          <w:color w:val="000000" w:themeColor="text1"/>
          <w:sz w:val="28"/>
          <w:szCs w:val="28"/>
          <w14:textFill>
            <w14:solidFill>
              <w14:schemeClr w14:val="tx1"/>
            </w14:solidFill>
          </w14:textFill>
        </w:rPr>
        <w:t xml:space="preserve">一、项目基本情况</w:t>
      </w:r>
      <w:bookmarkEnd w:id="2"/>
      <w:r/>
      <w:bookmarkEnd w:id="3"/>
      <w:r/>
      <w:bookmarkEnd w:id="4"/>
      <w:r/>
      <w:bookmarkEnd w:id="5"/>
      <w:r/>
      <w:r/>
    </w:p>
    <w:p>
      <w:pPr>
        <w:pStyle w:val="844"/>
        <w:ind w:left="416"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项目编号：JSZC-321281-TZYH-C2026-0006号</w:t>
      </w:r>
      <w:r/>
    </w:p>
    <w:p>
      <w:pPr>
        <w:pStyle w:val="844"/>
        <w:ind w:left="416"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bookmarkEnd w:id="6"/>
      <w:r>
        <w:rPr>
          <w:rFonts w:hint="eastAsia" w:ascii="宋体" w:hAnsi="宋体" w:eastAsia="宋体" w:cs="宋体"/>
          <w:color w:val="000000" w:themeColor="text1"/>
          <w:sz w:val="28"/>
          <w:szCs w:val="28"/>
          <w14:textFill>
            <w14:solidFill>
              <w14:schemeClr w14:val="tx1"/>
            </w14:solidFill>
          </w14:textFill>
        </w:rPr>
        <w:t xml:space="preserve"> 兴化市基层医疗机构相关保险</w:t>
      </w:r>
      <w:r/>
    </w:p>
    <w:p>
      <w:pPr>
        <w:pStyle w:val="844"/>
        <w:ind w:left="416" w:firstLine="600"/>
        <w:spacing w:line="520" w:lineRule="exact"/>
        <w:rPr>
          <w:rFonts w:hint="eastAsia" w:ascii="宋体" w:hAnsi="宋体" w:eastAsia="宋体" w:cs="宋体"/>
          <w:color w:val="000000" w:themeColor="text1"/>
          <w:sz w:val="28"/>
          <w:szCs w:val="28"/>
          <w14:textFill>
            <w14:solidFill>
              <w14:schemeClr w14:val="tx1"/>
            </w14:solidFill>
          </w14:textFill>
        </w:rPr>
      </w:pPr>
      <w:r/>
      <w:bookmarkStart w:id="7" w:name="OLE_LINK16"/>
      <w:r>
        <w:rPr>
          <w:rFonts w:hint="eastAsia" w:ascii="宋体" w:hAnsi="宋体" w:eastAsia="宋体" w:cs="宋体"/>
          <w:color w:val="000000" w:themeColor="text1"/>
          <w:sz w:val="28"/>
          <w:szCs w:val="28"/>
          <w14:textFill>
            <w14:solidFill>
              <w14:schemeClr w14:val="tx1"/>
            </w14:solidFill>
          </w14:textFill>
        </w:rPr>
        <w:t xml:space="preserve">预算金额：人民币壹佰玖拾玖万贰仟伍佰元整（￥：1992500.00）</w:t>
      </w:r>
      <w:r/>
    </w:p>
    <w:p>
      <w:pPr>
        <w:pStyle w:val="844"/>
        <w:ind w:left="416"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最高限价：本项目不设最高限价。</w:t>
      </w:r>
      <w:bookmarkEnd w:id="7"/>
      <w:r/>
      <w:r/>
    </w:p>
    <w:p>
      <w:pPr>
        <w:pStyle w:val="844"/>
        <w:ind w:left="416"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采购需求（简介）：兴化市基层医疗机构相关保险（详细内容见本磋商文件第四章）</w:t>
      </w:r>
      <w:r/>
    </w:p>
    <w:p>
      <w:pPr>
        <w:pStyle w:val="844"/>
        <w:ind w:left="416"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合同履行期限： 1年。</w:t>
      </w:r>
      <w:r/>
    </w:p>
    <w:p>
      <w:pPr>
        <w:pStyle w:val="844"/>
        <w:ind w:left="416"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本项目接受联合体投标，本项目采用资格后审方式。</w:t>
      </w:r>
      <w:r/>
    </w:p>
    <w:p>
      <w:pPr>
        <w:pStyle w:val="844"/>
        <w:ind w:firstLine="600"/>
        <w:spacing w:line="520" w:lineRule="exact"/>
        <w:rPr>
          <w:rFonts w:hint="eastAsia" w:ascii="宋体" w:hAnsi="宋体" w:eastAsia="宋体" w:cs="宋体"/>
          <w:b/>
          <w:color w:val="000000" w:themeColor="text1"/>
          <w:sz w:val="28"/>
          <w:szCs w:val="28"/>
          <w14:textFill>
            <w14:solidFill>
              <w14:schemeClr w14:val="tx1"/>
            </w14:solidFill>
          </w14:textFill>
        </w:rPr>
      </w:pPr>
      <w:r/>
      <w:bookmarkStart w:id="8" w:name="_Toc35393622"/>
      <w:r/>
      <w:bookmarkStart w:id="9" w:name="_Toc28359080"/>
      <w:r/>
      <w:bookmarkStart w:id="10" w:name="_Toc35393791"/>
      <w:r/>
      <w:bookmarkStart w:id="11" w:name="_Toc28359003"/>
      <w:r>
        <w:rPr>
          <w:rFonts w:hint="eastAsia" w:ascii="宋体" w:hAnsi="宋体" w:eastAsia="宋体" w:cs="宋体"/>
          <w:b/>
          <w:color w:val="000000" w:themeColor="text1"/>
          <w:sz w:val="28"/>
          <w:szCs w:val="28"/>
          <w14:textFill>
            <w14:solidFill>
              <w14:schemeClr w14:val="tx1"/>
            </w14:solidFill>
          </w14:textFill>
        </w:rPr>
        <w:t xml:space="preserve">二、申请人的资格要求：</w:t>
      </w:r>
      <w:bookmarkEnd w:id="8"/>
      <w:r/>
      <w:bookmarkEnd w:id="9"/>
      <w:r/>
      <w:bookmarkEnd w:id="10"/>
      <w:r/>
      <w:bookmarkEnd w:id="11"/>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1.满足《中华人民共和国政府采购法》第二十二条规定：</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（1）具有独立承担民事责任的能力；</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（2）具有良好的商业信誉和健全的财务会计制度；</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（3）具有履行合同所必需的设备和专业技术能力；</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（4）有依法缴纳税收和社会保障资金的良好记录；</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（5）参加政府采购活动前三年内，在经营活动中没有重大违法记录；</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（6）法律、行政法规规定的其他条件。</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2.落实政府采购政策需满足的资格要求：</w:t>
      </w:r>
      <w:bookmarkStart w:id="12" w:name="OLE_LINK15"/>
      <w:r>
        <w:rPr>
          <w:rFonts w:hint="eastAsia" w:ascii="宋体" w:hAnsi="宋体" w:eastAsia="宋体" w:cs="宋体"/>
          <w:color w:val="000000" w:themeColor="text1"/>
          <w:sz w:val="28"/>
          <w:szCs w:val="28"/>
          <w14:textFill>
            <w14:solidFill>
              <w14:schemeClr w14:val="tx1"/>
            </w14:solidFill>
          </w14:textFill>
        </w:rPr>
        <w:t xml:space="preserve">本项目非专门面向中小企业采购。</w:t>
      </w:r>
      <w:bookmarkEnd w:id="12"/>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bookmarkStart w:id="13" w:name="_Toc28359081"/>
      <w:r/>
      <w:bookmarkStart w:id="14" w:name="_Toc28359004"/>
      <w:r>
        <w:rPr>
          <w:rFonts w:hint="eastAsia" w:ascii="宋体" w:hAnsi="宋体" w:eastAsia="宋体" w:cs="宋体"/>
          <w:color w:val="000000" w:themeColor="text1"/>
          <w:sz w:val="28"/>
          <w:szCs w:val="28"/>
          <w14:textFill>
            <w14:solidFill>
              <w14:schemeClr w14:val="tx1"/>
            </w14:solidFill>
          </w14:textFill>
        </w:rPr>
        <w:t xml:space="preserve">3.本项目的特定资格要求：</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（1）未被“信用中国”网站（www.creditchina.gov.cn）列入失信被执行人、重大税收违法案件当事人名单、政府采购严重失信行为记录名单。</w:t>
      </w:r>
      <w:r/>
    </w:p>
    <w:p>
      <w:pPr>
        <w:pStyle w:val="829"/>
        <w:ind w:firstLine="560"/>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themeColor="text1"/>
          <w:sz w:val="28"/>
          <w:szCs w:val="28"/>
          <w14:textFill>
            <w14:solidFill>
              <w14:schemeClr w14:val="tx1"/>
            </w14:solidFill>
          </w14:textFill>
        </w:rPr>
        <w:t xml:space="preserve">（2）</w:t>
      </w:r>
      <w:r>
        <w:rPr>
          <w:rFonts w:hint="eastAsia" w:ascii="宋体" w:hAnsi="宋体" w:eastAsia="宋体" w:cs="宋体"/>
          <w:color w:val="000000"/>
          <w:sz w:val="28"/>
          <w:szCs w:val="28"/>
        </w:rPr>
        <w:t xml:space="preserve">供应商须为经保险监管部门批准设立的商业保险公司授权的分支机构，同一上级公司只能授权一家分支机构参与投标；根据《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p>
    <w:p>
      <w:pPr>
        <w:pStyle w:val="829"/>
        <w:ind w:firstLine="560"/>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（3）具有《保险许可证》；</w:t>
      </w:r>
      <w:r/>
    </w:p>
    <w:p>
      <w:pPr>
        <w:pStyle w:val="829"/>
        <w:ind w:firstLine="560"/>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（4）本项目接受联合体投标。若以联合体参与磋商时，联合体各成员必须完全满足合格供应商的所有条件。参与磋商时，应将联合体每一成员的相关资格证明材料上传至响应文件中，同时符合以下规定要求：</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联合体各成员之间应签订《联合体协议书》，明确联合体牵头人及各成员的权利、义务以及保费份额比例、工作人员分配和成本分担方案，供应商的响应文件及中标后签署的合同书，对联合体的每一成员均有法律约束力。</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②由联合体各成员法定代表人（负责人）签署提交一份授权委托书（自拟），委托牵头人参加磋商，并全权处理有关该项目的投标事宜。</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③联合体牵头人代表应被授权作为联合体各方的代表（该代表须为联合体成员之一），承担责任和接受指令，并负责整个合同的全面履行。</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④所有联合体成员应按合同条件的规定，为实施合同共同和分别承担责任。在联合体协议书和授权委托书中，以及在响应文件和成交后签署的合同书中应对此作出相应的声明。</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⑤联合体各成员之间签订的联合体协议书（自拟）应与响应文件一起递交。</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⑥参加联合体的各成员不得再以自己名义单独投标，也不得再与其他供应商组成联合体参与投标。如有违反将取消该联合体及联合体各成员的投标资格。</w:t>
      </w:r>
      <w:r/>
    </w:p>
    <w:p>
      <w:pPr>
        <w:pStyle w:val="829"/>
        <w:spacing w:before="0" w:beforeAutospacing="0" w:after="0" w:afterAutospacing="0" w:line="440" w:lineRule="exact"/>
        <w:widowControl w:val="off"/>
        <w:rPr>
          <w:rFonts w:hint="eastAsia" w:ascii="宋体" w:hAnsi="宋体" w:eastAsia="宋体" w:cs="宋体"/>
          <w:sz w:val="28"/>
          <w:szCs w:val="28"/>
        </w:rPr>
      </w:pPr>
      <w:r>
        <w:rPr>
          <w:rFonts w:hint="eastAsia" w:ascii="宋体" w:hAnsi="宋体" w:eastAsia="宋体" w:cs="宋体"/>
          <w:color w:val="000000"/>
          <w:sz w:val="28"/>
          <w:szCs w:val="28"/>
        </w:rPr>
        <w:t xml:space="preserve">⑦联合体单位不得超过5家（含牵头人）。</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844"/>
        <w:ind w:firstLine="600"/>
        <w:spacing w:line="520" w:lineRule="exact"/>
        <w:rPr>
          <w:rFonts w:hint="eastAsia" w:ascii="宋体" w:hAnsi="宋体" w:eastAsia="宋体" w:cs="宋体"/>
          <w:b/>
          <w:color w:val="000000" w:themeColor="text1"/>
          <w:sz w:val="28"/>
          <w:szCs w:val="28"/>
          <w14:textFill>
            <w14:solidFill>
              <w14:schemeClr w14:val="tx1"/>
            </w14:solidFill>
          </w14:textFill>
        </w:rPr>
      </w:pPr>
      <w:r/>
      <w:bookmarkStart w:id="15" w:name="_Toc35393792"/>
      <w:r/>
      <w:bookmarkStart w:id="16" w:name="_Toc35393623"/>
      <w:r>
        <w:rPr>
          <w:rFonts w:hint="eastAsia" w:ascii="宋体" w:hAnsi="宋体" w:eastAsia="宋体" w:cs="宋体"/>
          <w:b/>
          <w:color w:val="000000" w:themeColor="text1"/>
          <w:sz w:val="28"/>
          <w:szCs w:val="28"/>
          <w14:textFill>
            <w14:solidFill>
              <w14:schemeClr w14:val="tx1"/>
            </w14:solidFill>
          </w14:textFill>
        </w:rPr>
        <w:t xml:space="preserve">三、获取磋商文件</w:t>
      </w:r>
      <w:bookmarkEnd w:id="13"/>
      <w:r/>
      <w:bookmarkEnd w:id="14"/>
      <w:r/>
      <w:bookmarkEnd w:id="15"/>
      <w:r/>
      <w:bookmarkEnd w:id="16"/>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（一）自采购文件公告发布之日起5个工作日</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（二）</w:t>
      </w:r>
      <w:bookmarkStart w:id="17" w:name="OLE_LINK25"/>
      <w:r>
        <w:rPr>
          <w:rFonts w:hint="eastAsia" w:ascii="宋体" w:hAnsi="宋体" w:eastAsia="宋体" w:cs="宋体"/>
          <w:color w:val="000000" w:themeColor="text1"/>
          <w:sz w:val="28"/>
          <w:szCs w:val="28"/>
          <w14:textFill>
            <w14:solidFill>
              <w14:schemeClr w14:val="tx1"/>
            </w14:solidFill>
          </w14:textFill>
        </w:rPr>
        <w:t xml:space="preserve">获取方式：</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1.地点：网上注册登记成功后系统内免费下载。</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2.获取方式：本项目采用网上注册登记方式。</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3.潜在投标人访问电子招标投标交易平台的网络地址和方法：</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（1）登录http://jszfcg.jsczt.cn/，点击“苏采云”进入系统。</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（3）采购代理机构将数据电文形式的招标文件加载至电子招标投标交易平台，供潜在投标人下载或者查阅。</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4.有关本次采购的事项若存在变动或修改，敬请及时关注“江苏政府采购网”发布的更正公告。</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如潜在供应商未按上述要求操作，将自行承担所产生的风险。</w:t>
      </w:r>
      <w:bookmarkEnd w:id="17"/>
      <w:r/>
      <w:r/>
    </w:p>
    <w:p>
      <w:pPr>
        <w:pStyle w:val="844"/>
        <w:ind w:firstLine="600"/>
        <w:spacing w:line="520" w:lineRule="exact"/>
        <w:rPr>
          <w:rFonts w:hint="eastAsia" w:ascii="宋体" w:hAnsi="宋体" w:eastAsia="宋体" w:cs="宋体"/>
          <w:b/>
          <w:color w:val="000000" w:themeColor="text1"/>
          <w:sz w:val="28"/>
          <w:szCs w:val="28"/>
          <w14:textFill>
            <w14:solidFill>
              <w14:schemeClr w14:val="tx1"/>
            </w14:solidFill>
          </w14:textFill>
        </w:rPr>
      </w:pPr>
      <w:r/>
      <w:bookmarkStart w:id="18" w:name="_Toc28359005"/>
      <w:r/>
      <w:bookmarkStart w:id="19" w:name="_Toc28359082"/>
      <w:r/>
      <w:bookmarkStart w:id="20" w:name="_Toc35393624"/>
      <w:r/>
      <w:bookmarkStart w:id="21" w:name="_Toc35393793"/>
      <w:r>
        <w:rPr>
          <w:rFonts w:hint="eastAsia" w:ascii="宋体" w:hAnsi="宋体" w:eastAsia="宋体" w:cs="宋体"/>
          <w:b/>
          <w:color w:val="000000" w:themeColor="text1"/>
          <w:sz w:val="28"/>
          <w:szCs w:val="28"/>
          <w14:textFill>
            <w14:solidFill>
              <w14:schemeClr w14:val="tx1"/>
            </w14:solidFill>
          </w14:textFill>
        </w:rPr>
        <w:t xml:space="preserve">四、提交投标文件</w:t>
      </w:r>
      <w:bookmarkEnd w:id="18"/>
      <w:r/>
      <w:bookmarkEnd w:id="19"/>
      <w:r>
        <w:rPr>
          <w:rFonts w:hint="eastAsia" w:ascii="宋体" w:hAnsi="宋体" w:eastAsia="宋体" w:cs="宋体"/>
          <w:b/>
          <w:color w:val="000000" w:themeColor="text1"/>
          <w:sz w:val="28"/>
          <w:szCs w:val="28"/>
          <w14:textFill>
            <w14:solidFill>
              <w14:schemeClr w14:val="tx1"/>
            </w14:solidFill>
          </w14:textFill>
        </w:rPr>
        <w:t xml:space="preserve">截止时间、开标时间和地点</w:t>
      </w:r>
      <w:bookmarkEnd w:id="20"/>
      <w:r/>
      <w:bookmarkEnd w:id="21"/>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投标文件接收截止时间： 2026年 月 日  14:30（北京时间）</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地点：苏采云”系统（网址：http://jszfcg.jsczt.cn/）“开标大厅，点击“苏采云”进入系统“开标大厅”</w:t>
      </w:r>
      <w:r/>
    </w:p>
    <w:p>
      <w:pPr>
        <w:pStyle w:val="844"/>
        <w:ind w:firstLine="600"/>
        <w:spacing w:line="520" w:lineRule="exact"/>
        <w:rPr>
          <w:rFonts w:hint="eastAsia" w:ascii="宋体" w:hAnsi="宋体" w:eastAsia="宋体" w:cs="宋体"/>
          <w:b/>
          <w:color w:val="000000" w:themeColor="text1"/>
          <w:sz w:val="28"/>
          <w:szCs w:val="28"/>
          <w14:textFill>
            <w14:solidFill>
              <w14:schemeClr w14:val="tx1"/>
            </w14:solidFill>
          </w14:textFill>
        </w:rPr>
      </w:pPr>
      <w:r/>
      <w:bookmarkStart w:id="22" w:name="_Toc35393625"/>
      <w:r/>
      <w:bookmarkStart w:id="23" w:name="_Toc35393794"/>
      <w:r/>
      <w:bookmarkStart w:id="24" w:name="_Toc28359084"/>
      <w:r/>
      <w:bookmarkStart w:id="25" w:name="_Toc28359007"/>
      <w:r>
        <w:rPr>
          <w:rFonts w:hint="eastAsia" w:ascii="宋体" w:hAnsi="宋体" w:eastAsia="宋体" w:cs="宋体"/>
          <w:b/>
          <w:color w:val="000000" w:themeColor="text1"/>
          <w:sz w:val="28"/>
          <w:szCs w:val="28"/>
          <w14:textFill>
            <w14:solidFill>
              <w14:schemeClr w14:val="tx1"/>
            </w14:solidFill>
          </w14:textFill>
        </w:rPr>
        <w:t xml:space="preserve">五、公告期限</w:t>
      </w:r>
      <w:bookmarkEnd w:id="22"/>
      <w:r/>
      <w:bookmarkEnd w:id="23"/>
      <w:r/>
      <w:bookmarkEnd w:id="24"/>
      <w:r/>
      <w:bookmarkEnd w:id="25"/>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自本公告发布之日起5个工作日。</w:t>
      </w:r>
      <w:r/>
    </w:p>
    <w:p>
      <w:pPr>
        <w:pStyle w:val="844"/>
        <w:ind w:firstLine="600"/>
        <w:spacing w:line="520" w:lineRule="exact"/>
        <w:rPr>
          <w:rFonts w:hint="eastAsia" w:ascii="宋体" w:hAnsi="宋体" w:eastAsia="宋体" w:cs="宋体"/>
          <w:b/>
          <w:color w:val="000000" w:themeColor="text1"/>
          <w:sz w:val="28"/>
          <w:szCs w:val="28"/>
          <w14:textFill>
            <w14:solidFill>
              <w14:schemeClr w14:val="tx1"/>
            </w14:solidFill>
          </w14:textFill>
        </w:rPr>
      </w:pPr>
      <w:r/>
      <w:bookmarkStart w:id="26" w:name="_Toc28359008"/>
      <w:r/>
      <w:bookmarkStart w:id="27" w:name="_Toc35393627"/>
      <w:r/>
      <w:bookmarkStart w:id="28" w:name="_Toc28359085"/>
      <w:r/>
      <w:bookmarkStart w:id="29" w:name="_Toc35393796"/>
      <w:r>
        <w:rPr>
          <w:rFonts w:hint="eastAsia" w:ascii="宋体" w:hAnsi="宋体" w:eastAsia="宋体" w:cs="宋体"/>
          <w:b/>
          <w:color w:val="000000" w:themeColor="text1"/>
          <w:sz w:val="28"/>
          <w:szCs w:val="28"/>
          <w14:textFill>
            <w14:solidFill>
              <w14:schemeClr w14:val="tx1"/>
            </w14:solidFill>
          </w14:textFill>
        </w:rPr>
        <w:t xml:space="preserve">六、对本次招标提出询问，请按以下方式联系。</w:t>
      </w:r>
      <w:bookmarkEnd w:id="26"/>
      <w:r/>
      <w:bookmarkEnd w:id="27"/>
      <w:r/>
      <w:bookmarkEnd w:id="28"/>
      <w:r/>
      <w:bookmarkEnd w:id="29"/>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1.采购人信息</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名 称： 兴化市卫生健康委员会</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 兴化市昭阳路3号 </w:t>
      </w:r>
      <w:r/>
    </w:p>
    <w:p>
      <w:pPr>
        <w:pStyle w:val="844"/>
        <w:ind w:firstLine="600"/>
        <w:spacing w:line="520" w:lineRule="exact"/>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联系方式：</w:t>
      </w:r>
      <w:r>
        <w:rPr>
          <w:rFonts w:hint="eastAsia" w:ascii="宋体" w:hAnsi="宋体" w:cs="宋体"/>
          <w:color w:val="000000" w:themeColor="text1"/>
          <w:sz w:val="28"/>
          <w:szCs w:val="28"/>
          <w:lang w:val="en-US" w:eastAsia="zh-CN"/>
          <w14:textFill>
            <w14:solidFill>
              <w14:schemeClr w14:val="tx1"/>
            </w14:solidFill>
          </w14:textFill>
        </w:rPr>
        <w:t xml:space="preserve">束</w:t>
      </w:r>
      <w:r>
        <w:rPr>
          <w:rFonts w:hint="eastAsia" w:ascii="宋体" w:hAnsi="宋体" w:eastAsia="宋体" w:cs="宋体"/>
          <w:color w:val="000000" w:themeColor="text1"/>
          <w:sz w:val="28"/>
          <w:szCs w:val="28"/>
          <w14:textFill>
            <w14:solidFill>
              <w14:schemeClr w14:val="tx1"/>
            </w14:solidFill>
          </w14:textFill>
        </w:rPr>
        <w:t xml:space="preserve">先生   </w:t>
      </w:r>
      <w:r>
        <w:rPr>
          <w:rFonts w:hint="eastAsia" w:ascii="宋体" w:hAnsi="宋体" w:cs="宋体"/>
          <w:color w:val="000000" w:themeColor="text1"/>
          <w:sz w:val="28"/>
          <w:szCs w:val="28"/>
          <w:lang w:val="en-US" w:eastAsia="zh-CN"/>
          <w14:textFill>
            <w14:solidFill>
              <w14:schemeClr w14:val="tx1"/>
            </w14:solidFill>
          </w14:textFill>
        </w:rPr>
        <w:t xml:space="preserve">0523-83316312</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2.采购代理机构信息</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名 称：泰州市永晖工程招标代理有限公司</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　址：兴化市南津路90号</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联系方式：朱先生 </w:t>
      </w:r>
      <w:bookmarkStart w:id="30" w:name="OLE_LINK13"/>
      <w:r>
        <w:rPr>
          <w:rFonts w:hint="eastAsia" w:ascii="宋体" w:hAnsi="宋体" w:eastAsia="宋体" w:cs="宋体"/>
          <w:color w:val="000000" w:themeColor="text1"/>
          <w:sz w:val="28"/>
          <w:szCs w:val="28"/>
          <w14:textFill>
            <w14:solidFill>
              <w14:schemeClr w14:val="tx1"/>
            </w14:solidFill>
          </w14:textFill>
        </w:rPr>
        <w:t xml:space="preserve"> 0523-83388256</w:t>
      </w:r>
      <w:bookmarkEnd w:id="30"/>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3.项目联系方式</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项目联系人： </w:t>
      </w:r>
      <w:r>
        <w:rPr>
          <w:rFonts w:hint="eastAsia" w:ascii="宋体" w:hAnsi="宋体" w:cs="宋体"/>
          <w:color w:val="000000" w:themeColor="text1"/>
          <w:sz w:val="28"/>
          <w:szCs w:val="28"/>
          <w:lang w:val="en-US" w:eastAsia="zh-CN"/>
          <w14:textFill>
            <w14:solidFill>
              <w14:schemeClr w14:val="tx1"/>
            </w14:solidFill>
          </w14:textFill>
        </w:rPr>
        <w:t xml:space="preserve">束</w:t>
      </w:r>
      <w:r>
        <w:rPr>
          <w:rFonts w:hint="eastAsia" w:ascii="宋体" w:hAnsi="宋体" w:eastAsia="宋体" w:cs="宋体"/>
          <w:color w:val="000000" w:themeColor="text1"/>
          <w:sz w:val="28"/>
          <w:szCs w:val="28"/>
          <w14:textFill>
            <w14:solidFill>
              <w14:schemeClr w14:val="tx1"/>
            </w14:solidFill>
          </w14:textFill>
        </w:rPr>
        <w:t xml:space="preserve">先生  </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朱先生</w:t>
      </w:r>
      <w:r/>
    </w:p>
    <w:p>
      <w:pPr>
        <w:pStyle w:val="844"/>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　话：</w:t>
      </w:r>
      <w:r>
        <w:rPr>
          <w:rFonts w:hint="eastAsia" w:ascii="宋体" w:hAnsi="宋体" w:cs="宋体"/>
          <w:color w:val="000000" w:themeColor="text1"/>
          <w:sz w:val="28"/>
          <w:szCs w:val="28"/>
          <w:lang w:val="en-US" w:eastAsia="zh-CN"/>
          <w14:textFill>
            <w14:solidFill>
              <w14:schemeClr w14:val="tx1"/>
            </w14:solidFill>
          </w14:textFill>
        </w:rPr>
        <w:t xml:space="preserve">0523-83316312</w:t>
      </w:r>
      <w:r>
        <w:rPr>
          <w:rFonts w:hint="eastAsia" w:ascii="宋体" w:hAnsi="宋体" w:eastAsia="宋体" w:cs="宋体"/>
          <w:color w:val="000000" w:themeColor="text1"/>
          <w:sz w:val="28"/>
          <w:szCs w:val="28"/>
          <w14:textFill>
            <w14:solidFill>
              <w14:schemeClr w14:val="tx1"/>
            </w14:solidFill>
          </w14:textFill>
        </w:rPr>
        <w:t xml:space="preserve">  0523-83388256 </w:t>
      </w:r>
      <w:r/>
    </w:p>
    <w:p>
      <w:pPr>
        <w:pStyle w:val="811"/>
        <w:ind w:firstLine="0"/>
        <w:spacing w:line="240" w:lineRule="auto"/>
        <w:tabs>
          <w:tab w:val="left" w:pos="7182" w:leader="none"/>
        </w:tabs>
        <w:rPr>
          <w:rFonts w:hint="eastAsia" w:ascii="宋体" w:hAnsi="宋体" w:eastAsia="宋体" w:cs="仿宋"/>
          <w:color w:val="333333"/>
          <w:sz w:val="28"/>
          <w:szCs w:val="28"/>
          <w:shd w:val="clear" w:color="auto" w:fill="ffffff"/>
        </w:rPr>
      </w:pPr>
      <w:r>
        <w:rPr>
          <w:rFonts w:hint="eastAsia" w:ascii="宋体" w:hAnsi="宋体" w:eastAsia="宋体" w:cs="仿宋"/>
          <w:color w:val="333333"/>
          <w:sz w:val="28"/>
          <w:szCs w:val="28"/>
          <w:shd w:val="clear" w:color="auto" w:fill="ffffff"/>
        </w:rPr>
      </w:r>
      <w:r/>
    </w:p>
    <w:p>
      <w:pPr>
        <w:pStyle w:val="1048"/>
        <w:jc w:val="center"/>
        <w:keepNext/>
        <w:pageBreakBefore/>
        <w:rPr>
          <w:rFonts w:hint="eastAsia"/>
          <w:b/>
          <w:bCs/>
          <w:sz w:val="44"/>
          <w:szCs w:val="44"/>
        </w:rPr>
        <w:outlineLvl w:val="0"/>
      </w:pPr>
      <w:r/>
      <w:bookmarkStart w:id="31" w:name="_Toc13586"/>
      <w:r/>
      <w:bookmarkStart w:id="32" w:name="_Toc8423"/>
      <w:r/>
      <w:bookmarkStart w:id="33" w:name="_Toc17937"/>
      <w:r>
        <w:rPr>
          <w:rFonts w:hint="eastAsia"/>
          <w:b/>
          <w:bCs/>
          <w:sz w:val="44"/>
          <w:szCs w:val="44"/>
        </w:rPr>
        <w:t xml:space="preserve">第二章 响应文件</w:t>
      </w:r>
      <w:bookmarkEnd w:id="31"/>
      <w:r/>
      <w:bookmarkEnd w:id="32"/>
      <w:r/>
      <w:bookmarkEnd w:id="33"/>
      <w:r/>
      <w:r/>
    </w:p>
    <w:p>
      <w:pPr>
        <w:pStyle w:val="1048"/>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一、提交响应文件要求</w:t>
      </w:r>
      <w:r/>
    </w:p>
    <w:p>
      <w:pPr>
        <w:pStyle w:val="1048"/>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（一）本项目通过“苏采云”系统进行电子采购，即供应商响应文件从政府采购客户端工具制作并通过“苏采云”系统提交。</w:t>
      </w:r>
      <w:r/>
    </w:p>
    <w:p>
      <w:pPr>
        <w:pStyle w:val="1048"/>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1、供应商应当通过“苏采云”系统提交数据电文形式的响应文件（即电子投标）。未进行线上响应文件提交并解密(因“苏采云”系统导致解密失败的除外)的供应商，响应无效。</w:t>
      </w:r>
      <w:r/>
    </w:p>
    <w:p>
      <w:pPr>
        <w:pStyle w:val="1048"/>
        <w:ind w:firstLine="480"/>
        <w:spacing w:line="500" w:lineRule="exact"/>
        <w:rPr>
          <w:rFonts w:hint="eastAsia" w:ascii="宋体" w:hAnsi="宋体" w:eastAsia="宋体" w:cs="宋体"/>
          <w:sz w:val="28"/>
          <w:szCs w:val="28"/>
        </w:rPr>
      </w:pPr>
      <w:r>
        <w:rPr>
          <w:rFonts w:hint="eastAsia" w:ascii="宋体" w:hAnsi="宋体" w:eastAsia="宋体" w:cs="宋体"/>
          <w:bCs/>
          <w:color w:val="000000"/>
          <w:sz w:val="28"/>
          <w:szCs w:val="28"/>
        </w:rPr>
        <w:t xml:space="preserve">2、“CA数字证书”的获取：</w:t>
      </w:r>
      <w:r>
        <w:rPr>
          <w:rFonts w:hint="eastAsia" w:ascii="宋体" w:hAnsi="宋体" w:eastAsia="宋体" w:cs="宋体"/>
          <w:sz w:val="28"/>
          <w:szCs w:val="28"/>
        </w:rPr>
        <w:t xml:space="preserve">供应商需办理CA锁，“苏采云”系统目前仅支持“苏采云”系统下的政务CA，省内各地区办理的“苏采云”系统下的政务CA全省通用。“CA数字证书”的办理材料详见“泰州政府采购网-服务指南-下载中心”中的《江苏省政府采购管理交易系统（苏采云）供应商操作指南》。</w:t>
      </w:r>
      <w:r/>
    </w:p>
    <w:p>
      <w:pPr>
        <w:pStyle w:val="1048"/>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1047"/>
        <w:ind w:firstLine="48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4、“苏采云”系统使用要求：</w:t>
      </w:r>
      <w:r/>
    </w:p>
    <w:p>
      <w:pPr>
        <w:pStyle w:val="1047"/>
        <w:ind w:firstLine="48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4.1、使用谷歌、360等浏览器参与不见面开标及磋商环节。</w:t>
      </w:r>
      <w:r/>
    </w:p>
    <w:p>
      <w:pPr>
        <w:pStyle w:val="1047"/>
        <w:ind w:firstLine="48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4.2、电脑需提前准备好麦克风、音响，摄像头，提前检查保证能够正常使用。</w:t>
      </w:r>
      <w:r/>
    </w:p>
    <w:p>
      <w:pPr>
        <w:pStyle w:val="1047"/>
        <w:ind w:firstLine="48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4.3、操作系统至少win7以上，建议使用win10操作系统。</w:t>
      </w:r>
      <w:r/>
    </w:p>
    <w:p>
      <w:pPr>
        <w:ind w:firstLine="482"/>
        <w:spacing w:line="50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44"/>
        <w:ind w:firstLine="482"/>
        <w:spacing w:line="500" w:lineRule="exact"/>
        <w:rPr>
          <w:rFonts w:hint="eastAsia" w:ascii="宋体" w:hAnsi="宋体" w:eastAsia="宋体" w:cs="宋体"/>
          <w:sz w:val="28"/>
          <w:szCs w:val="28"/>
        </w:rPr>
      </w:pPr>
      <w:r>
        <w:rPr>
          <w:rFonts w:hint="eastAsia" w:ascii="宋体" w:hAnsi="宋体" w:eastAsia="宋体" w:cs="宋体"/>
          <w:b/>
          <w:bCs/>
          <w:sz w:val="28"/>
          <w:szCs w:val="28"/>
        </w:rPr>
        <w:t xml:space="preserve">（二）首次响应文件提交的截止时间：</w:t>
      </w:r>
      <w:r>
        <w:rPr>
          <w:rFonts w:hint="eastAsia" w:ascii="宋体" w:hAnsi="宋体" w:eastAsia="宋体" w:cs="宋体"/>
          <w:b/>
          <w:bCs/>
          <w:color w:val="ff0000"/>
          <w:sz w:val="28"/>
          <w:szCs w:val="28"/>
        </w:rPr>
        <w:t xml:space="preserve">2026年</w:t>
      </w:r>
      <w:r>
        <w:rPr>
          <w:rFonts w:hint="eastAsia" w:ascii="宋体" w:hAnsi="宋体" w:cs="宋体"/>
          <w:b/>
          <w:bCs/>
          <w:color w:val="ff0000"/>
          <w:sz w:val="28"/>
          <w:szCs w:val="28"/>
          <w:lang w:val="en-US" w:eastAsia="zh-CN"/>
        </w:rPr>
        <w:t xml:space="preserve">3</w:t>
      </w:r>
      <w:r>
        <w:rPr>
          <w:rFonts w:hint="eastAsia" w:ascii="宋体" w:hAnsi="宋体" w:eastAsia="宋体" w:cs="宋体"/>
          <w:b/>
          <w:bCs/>
          <w:color w:val="ff0000"/>
          <w:sz w:val="28"/>
          <w:szCs w:val="28"/>
        </w:rPr>
        <w:t xml:space="preserve">月</w:t>
      </w:r>
      <w:r>
        <w:rPr>
          <w:rFonts w:hint="eastAsia" w:ascii="宋体" w:hAnsi="宋体" w:cs="宋体"/>
          <w:b/>
          <w:bCs/>
          <w:color w:val="ff0000"/>
          <w:sz w:val="28"/>
          <w:szCs w:val="28"/>
          <w:lang w:val="en-US" w:eastAsia="zh-CN"/>
        </w:rPr>
        <w:t xml:space="preserve">19</w:t>
      </w:r>
      <w:r>
        <w:rPr>
          <w:rFonts w:hint="eastAsia" w:ascii="宋体" w:hAnsi="宋体" w:eastAsia="宋体" w:cs="宋体"/>
          <w:b/>
          <w:bCs/>
          <w:color w:val="ff0000"/>
          <w:sz w:val="28"/>
          <w:szCs w:val="28"/>
        </w:rPr>
        <w:t xml:space="preserve">日14:30</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在截止时间后提交的首次响应文件为无效文件，将被拒收。</w:t>
      </w:r>
      <w:r/>
    </w:p>
    <w:p>
      <w:pPr>
        <w:pStyle w:val="844"/>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（三）首次响应文件提交时间、地点：</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1、提交时间</w:t>
      </w:r>
      <w:r/>
    </w:p>
    <w:p>
      <w:pPr>
        <w:pStyle w:val="844"/>
        <w:ind w:firstLine="480"/>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首次响应文件提交的截止时间</w:t>
      </w:r>
      <w:r>
        <w:rPr>
          <w:rFonts w:hint="eastAsia" w:ascii="宋体" w:hAnsi="宋体" w:eastAsia="宋体" w:cs="宋体"/>
          <w:b/>
          <w:bCs/>
          <w:sz w:val="28"/>
          <w:szCs w:val="28"/>
        </w:rPr>
        <w:t xml:space="preserve">:</w:t>
      </w:r>
      <w:r>
        <w:rPr>
          <w:rFonts w:hint="eastAsia" w:ascii="宋体" w:hAnsi="宋体" w:eastAsia="宋体" w:cs="宋体"/>
          <w:b/>
          <w:bCs/>
          <w:color w:val="ff0000"/>
          <w:sz w:val="28"/>
          <w:szCs w:val="28"/>
          <w:u w:val="single"/>
        </w:rPr>
        <w:t xml:space="preserve">2026年</w:t>
      </w:r>
      <w:r>
        <w:rPr>
          <w:rFonts w:hint="eastAsia" w:ascii="宋体" w:hAnsi="宋体" w:cs="宋体"/>
          <w:b/>
          <w:bCs/>
          <w:color w:val="ff0000"/>
          <w:sz w:val="28"/>
          <w:szCs w:val="28"/>
          <w:u w:val="single"/>
          <w:lang w:val="en-US" w:eastAsia="zh-CN"/>
        </w:rPr>
        <w:t xml:space="preserve">3</w:t>
      </w:r>
      <w:r>
        <w:rPr>
          <w:rFonts w:hint="eastAsia" w:ascii="宋体" w:hAnsi="宋体" w:eastAsia="宋体" w:cs="宋体"/>
          <w:b/>
          <w:bCs/>
          <w:color w:val="ff0000"/>
          <w:sz w:val="28"/>
          <w:szCs w:val="28"/>
          <w:u w:val="single"/>
        </w:rPr>
        <w:t xml:space="preserve">月</w:t>
      </w:r>
      <w:r>
        <w:rPr>
          <w:rFonts w:hint="eastAsia" w:ascii="宋体" w:hAnsi="宋体" w:cs="宋体"/>
          <w:b/>
          <w:bCs/>
          <w:color w:val="ff0000"/>
          <w:sz w:val="28"/>
          <w:szCs w:val="28"/>
          <w:u w:val="single"/>
          <w:lang w:val="en-US" w:eastAsia="zh-CN"/>
        </w:rPr>
        <w:t xml:space="preserve">19</w:t>
      </w:r>
      <w:r>
        <w:rPr>
          <w:rFonts w:hint="eastAsia" w:ascii="宋体" w:hAnsi="宋体" w:eastAsia="宋体" w:cs="宋体"/>
          <w:b/>
          <w:bCs/>
          <w:color w:val="ff0000"/>
          <w:sz w:val="28"/>
          <w:szCs w:val="28"/>
          <w:u w:val="single"/>
        </w:rPr>
        <w:t xml:space="preserve">日14:30前</w:t>
      </w:r>
      <w:r>
        <w:rPr>
          <w:rFonts w:hint="eastAsia" w:ascii="宋体" w:hAnsi="宋体" w:eastAsia="宋体" w:cs="宋体"/>
          <w:b/>
          <w:bCs/>
          <w:sz w:val="28"/>
          <w:szCs w:val="28"/>
        </w:rPr>
        <w:t xml:space="preserve">。</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2、提交地点：</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“苏采云”系统（网址：http://jszfcg.jsczt.cn/）“开标大厅”。 </w:t>
      </w:r>
      <w:r/>
    </w:p>
    <w:p>
      <w:pPr>
        <w:pStyle w:val="844"/>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（四）首次响应文件开启时间：</w:t>
      </w:r>
      <w:r>
        <w:rPr>
          <w:rFonts w:hint="eastAsia" w:ascii="宋体" w:hAnsi="宋体" w:eastAsia="宋体" w:cs="宋体"/>
          <w:b/>
          <w:bCs/>
          <w:color w:val="ff0000"/>
          <w:sz w:val="28"/>
          <w:szCs w:val="28"/>
          <w:u w:val="single"/>
        </w:rPr>
        <w:t xml:space="preserve">2026年</w:t>
      </w:r>
      <w:r>
        <w:rPr>
          <w:rFonts w:hint="eastAsia" w:ascii="宋体" w:hAnsi="宋体" w:cs="宋体"/>
          <w:b/>
          <w:bCs/>
          <w:color w:val="ff0000"/>
          <w:sz w:val="28"/>
          <w:szCs w:val="28"/>
          <w:u w:val="single"/>
          <w:lang w:val="en-US" w:eastAsia="zh-CN"/>
        </w:rPr>
        <w:t xml:space="preserve">3</w:t>
      </w:r>
      <w:r>
        <w:rPr>
          <w:rFonts w:hint="eastAsia" w:ascii="宋体" w:hAnsi="宋体" w:eastAsia="宋体" w:cs="宋体"/>
          <w:b/>
          <w:bCs/>
          <w:color w:val="ff0000"/>
          <w:sz w:val="28"/>
          <w:szCs w:val="28"/>
          <w:u w:val="single"/>
        </w:rPr>
        <w:t xml:space="preserve">月</w:t>
      </w:r>
      <w:r>
        <w:rPr>
          <w:rFonts w:hint="eastAsia" w:ascii="宋体" w:hAnsi="宋体" w:cs="宋体"/>
          <w:b/>
          <w:bCs/>
          <w:color w:val="ff0000"/>
          <w:sz w:val="28"/>
          <w:szCs w:val="28"/>
          <w:u w:val="single"/>
          <w:lang w:val="en-US" w:eastAsia="zh-CN"/>
        </w:rPr>
        <w:t xml:space="preserve">19</w:t>
      </w:r>
      <w:r>
        <w:rPr>
          <w:rFonts w:hint="eastAsia" w:ascii="宋体" w:hAnsi="宋体" w:eastAsia="宋体" w:cs="宋体"/>
          <w:b/>
          <w:bCs/>
          <w:color w:val="ff0000"/>
          <w:sz w:val="28"/>
          <w:szCs w:val="28"/>
          <w:u w:val="single"/>
        </w:rPr>
        <w:t xml:space="preserve">日14:30</w:t>
      </w:r>
      <w:r>
        <w:rPr>
          <w:rFonts w:hint="eastAsia" w:ascii="宋体" w:hAnsi="宋体" w:eastAsia="宋体" w:cs="宋体"/>
          <w:b/>
          <w:bCs/>
          <w:sz w:val="28"/>
          <w:szCs w:val="28"/>
        </w:rPr>
        <w:t xml:space="preserve">。</w:t>
      </w:r>
      <w:r/>
    </w:p>
    <w:p>
      <w:pPr>
        <w:pStyle w:val="844"/>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（五）首次响应文件开启地点：</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“苏采云”系统（网址：http://jszfcg.jsczt.cn/）“开标大厅”。</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44"/>
        <w:ind w:firstLine="480"/>
        <w:jc w:val="left"/>
        <w:spacing w:line="500" w:lineRule="exact"/>
        <w:shd w:val="clear" w:color="auto" w:fill="ffffff"/>
        <w:widowControl/>
        <w:rPr>
          <w:rFonts w:hint="eastAsia" w:ascii="宋体" w:hAnsi="宋体" w:eastAsia="宋体" w:cs="宋体"/>
          <w:sz w:val="28"/>
          <w:szCs w:val="28"/>
        </w:rPr>
      </w:pPr>
      <w:r/>
      <w:bookmarkStart w:id="34" w:name="_Toc24675"/>
      <w:r>
        <w:rPr>
          <w:rFonts w:hint="eastAsia" w:ascii="宋体" w:hAnsi="宋体" w:eastAsia="宋体" w:cs="宋体"/>
          <w:sz w:val="28"/>
          <w:szCs w:val="28"/>
        </w:rPr>
        <w:t xml:space="preserve">（七）不接受不按要求加盖公章（电子签章）的首次响应文件。电子签章相关要求见“苏采云”系统。</w:t>
      </w:r>
      <w:bookmarkEnd w:id="34"/>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（八）首次响应文件解密：到达开启时间，</w:t>
      </w:r>
      <w:r>
        <w:rPr>
          <w:rFonts w:hint="eastAsia" w:ascii="宋体" w:hAnsi="宋体" w:eastAsia="宋体" w:cs="宋体"/>
          <w:sz w:val="28"/>
          <w:szCs w:val="28"/>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sz w:val="28"/>
          <w:szCs w:val="28"/>
        </w:rPr>
        <w:t xml:space="preserve">开启时间后30分钟内</w:t>
      </w:r>
      <w:r>
        <w:rPr>
          <w:rFonts w:hint="eastAsia" w:ascii="宋体" w:hAnsi="宋体" w:eastAsia="宋体" w:cs="宋体"/>
          <w:sz w:val="28"/>
          <w:szCs w:val="28"/>
        </w:rPr>
        <w:t xml:space="preserve">，通过“苏采云”系统（使用“CA数字证书”）解密。</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（九）采购文件（后缀名为“.kedt”）、供应商操作手册及政府采购客户端工具可通过“苏采云”系统（网址：</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http://jszfcg.jsczt.cn/</w:t>
      </w:r>
      <w:r>
        <w:rPr>
          <w:rFonts w:hint="eastAsia" w:ascii="宋体" w:hAnsi="宋体" w:eastAsia="宋体" w:cs="宋体"/>
          <w:sz w:val="28"/>
          <w:szCs w:val="28"/>
        </w:rPr>
        <w:fldChar w:fldCharType="end"/>
      </w:r>
      <w:r>
        <w:rPr>
          <w:rFonts w:hint="eastAsia" w:ascii="宋体" w:hAnsi="宋体" w:eastAsia="宋体" w:cs="宋体"/>
          <w:sz w:val="28"/>
          <w:szCs w:val="28"/>
        </w:rPr>
        <w:t xml:space="preserve">）--已报名项目--报名详情页面内相应链接进行下载。</w:t>
      </w:r>
      <w:r/>
    </w:p>
    <w:p>
      <w:pPr>
        <w:pStyle w:val="1198"/>
        <w:ind w:left="0" w:firstLine="480"/>
        <w:spacing w:after="0" w:line="500" w:lineRule="exact"/>
        <w:rPr>
          <w:rFonts w:hint="eastAsia" w:ascii="宋体" w:hAnsi="宋体" w:eastAsia="宋体" w:cs="宋体"/>
          <w:sz w:val="28"/>
          <w:szCs w:val="28"/>
        </w:rPr>
      </w:pPr>
      <w:r>
        <w:rPr>
          <w:rFonts w:hint="eastAsia" w:ascii="宋体" w:hAnsi="宋体" w:eastAsia="宋体" w:cs="宋体"/>
          <w:sz w:val="28"/>
          <w:szCs w:val="28"/>
        </w:rPr>
        <w:t xml:space="preserve">（十）相关说明: 供应商在“苏采云”系统中提交首次响应文件的时间即为数据电文（响应文件，下同）的发送时间和接收时间。</w:t>
      </w:r>
      <w:r/>
    </w:p>
    <w:p>
      <w:pPr>
        <w:pStyle w:val="1199"/>
        <w:rPr>
          <w:rFonts w:hint="eastAsia" w:ascii="宋体" w:hAnsi="宋体"/>
          <w:sz w:val="28"/>
          <w:szCs w:val="28"/>
        </w:rPr>
      </w:pPr>
      <w:r>
        <w:rPr>
          <w:rFonts w:hint="eastAsia" w:ascii="宋体" w:hAnsi="宋体"/>
          <w:sz w:val="28"/>
          <w:szCs w:val="28"/>
        </w:rPr>
      </w:r>
      <w:r/>
    </w:p>
    <w:p>
      <w:pPr>
        <w:pStyle w:val="1048"/>
        <w:ind w:firstLine="482"/>
        <w:jc w:val="center"/>
        <w:spacing w:line="500" w:lineRule="exact"/>
        <w:rPr>
          <w:rFonts w:hint="eastAsia"/>
          <w:b/>
          <w:bCs/>
          <w:sz w:val="30"/>
          <w:szCs w:val="30"/>
        </w:rPr>
      </w:pPr>
      <w:r>
        <w:rPr>
          <w:rFonts w:hint="eastAsia" w:cs="宋体"/>
          <w:b/>
          <w:bCs/>
          <w:sz w:val="30"/>
          <w:szCs w:val="30"/>
        </w:rPr>
        <w:t xml:space="preserve">二、响应文件编制要求</w:t>
      </w:r>
      <w:r/>
    </w:p>
    <w:p>
      <w:pPr>
        <w:pStyle w:val="1048"/>
        <w:ind w:firstLine="482"/>
        <w:jc w:val="center"/>
        <w:spacing w:before="157" w:after="157" w:line="500" w:lineRule="exact"/>
        <w:rPr>
          <w:rFonts w:hint="eastAsia"/>
          <w:b/>
          <w:bCs/>
          <w:sz w:val="30"/>
          <w:szCs w:val="30"/>
        </w:rPr>
      </w:pPr>
      <w:r>
        <w:rPr>
          <w:rFonts w:hint="eastAsia"/>
          <w:b/>
          <w:bCs/>
          <w:sz w:val="30"/>
          <w:szCs w:val="30"/>
        </w:rPr>
        <w:t xml:space="preserve">第一部分 基本要求</w:t>
      </w:r>
      <w:r/>
    </w:p>
    <w:p>
      <w:pPr>
        <w:pStyle w:val="844"/>
        <w:ind w:firstLine="482"/>
        <w:spacing w:line="500" w:lineRule="exact"/>
        <w:rPr>
          <w:rFonts w:hint="eastAsia" w:ascii="宋体" w:hAnsi="宋体" w:cs="宋体"/>
          <w:b/>
          <w:bCs/>
          <w:sz w:val="30"/>
          <w:szCs w:val="30"/>
        </w:rPr>
      </w:pPr>
      <w:r>
        <w:rPr>
          <w:rFonts w:hint="eastAsia" w:ascii="宋体" w:hAnsi="宋体" w:cs="宋体"/>
          <w:b/>
          <w:bCs/>
          <w:sz w:val="30"/>
          <w:szCs w:val="30"/>
        </w:rPr>
        <w:t xml:space="preserve">（一）提交的首次响应文件的密封、签署、盖章要求：</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1、密封（加密）要求：</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2、签署要求：</w:t>
      </w:r>
      <w:r>
        <w:rPr>
          <w:rFonts w:hint="eastAsia" w:ascii="宋体" w:hAnsi="宋体" w:eastAsia="宋体" w:cs="宋体"/>
          <w:b/>
          <w:bCs/>
          <w:sz w:val="28"/>
          <w:szCs w:val="28"/>
        </w:rPr>
        <w:t xml:space="preserve">特别提醒：竞争性磋商文件中如需“被授权代表签字或盖章”，供应商可打印成文档，签字或盖章后再扫描上传，最后再电子签章。</w:t>
      </w:r>
      <w:r>
        <w:rPr>
          <w:rFonts w:hint="eastAsia" w:ascii="宋体" w:hAnsi="宋体" w:eastAsia="宋体" w:cs="宋体"/>
          <w:sz w:val="28"/>
          <w:szCs w:val="28"/>
        </w:rPr>
        <w:t xml:space="preserve">见《磋商文件》第九章附件中相关格式要求。</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3、盖章要求：见《磋商文件》第九章附件中相关格式要求。供应商须通过“苏采云”系统提供的政府采购客户端工具（使用“CA数字证书”）加盖电子签章。</w:t>
      </w:r>
      <w:r/>
    </w:p>
    <w:p>
      <w:pPr>
        <w:pStyle w:val="844"/>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（二）通过“苏采云”系统提交政府采购客户端工具导出加密的响应文件（后缀名为zip）。</w:t>
      </w:r>
      <w:r>
        <w:rPr>
          <w:rFonts w:hint="eastAsia" w:ascii="宋体" w:hAnsi="宋体" w:eastAsia="宋体" w:cs="宋体"/>
          <w:b/>
          <w:sz w:val="28"/>
          <w:szCs w:val="28"/>
        </w:rPr>
        <w:t xml:space="preserve">响应文件不得超</w:t>
      </w:r>
      <w:r>
        <w:rPr>
          <w:rFonts w:hint="eastAsia" w:ascii="宋体" w:hAnsi="宋体" w:eastAsia="宋体" w:cs="宋体"/>
          <w:b/>
          <w:bCs/>
          <w:sz w:val="28"/>
          <w:szCs w:val="28"/>
        </w:rPr>
        <w:t xml:space="preserve">过350M！（以系统为准）</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1、供应商应当按照《磋商文件》的要求编制响应文件，并对其提交的响应文件的真实性、合法性承担法律责任。</w:t>
      </w:r>
      <w:r/>
    </w:p>
    <w:p>
      <w:pPr>
        <w:pStyle w:val="1048"/>
        <w:ind w:firstLine="480"/>
        <w:spacing w:line="500" w:lineRule="exact"/>
        <w:rPr>
          <w:rFonts w:hint="eastAsia" w:ascii="宋体" w:hAnsi="宋体" w:eastAsia="宋体" w:cs="宋体"/>
          <w:color w:val="000000"/>
          <w:sz w:val="28"/>
          <w:szCs w:val="28"/>
        </w:rPr>
      </w:pPr>
      <w:r>
        <w:rPr>
          <w:rFonts w:hint="eastAsia" w:ascii="宋体" w:hAnsi="宋体" w:eastAsia="宋体" w:cs="宋体"/>
          <w:sz w:val="28"/>
          <w:szCs w:val="28"/>
        </w:rPr>
        <w:t xml:space="preserve">2、采购人索取成交供应商的响应文件，须在双方签订政府采购合同后，由采购代理机构提供给采购人。</w:t>
      </w:r>
      <w:r/>
    </w:p>
    <w:p>
      <w:pPr>
        <w:pStyle w:val="1048"/>
        <w:ind w:firstLine="482"/>
        <w:jc w:val="center"/>
        <w:spacing w:before="157" w:after="157"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第二部分  响应文件的组成</w:t>
      </w:r>
      <w:r/>
    </w:p>
    <w:p>
      <w:pPr>
        <w:pStyle w:val="844"/>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请按照以下要求（包括但不限于以下要求）制作：</w:t>
      </w:r>
      <w:r/>
    </w:p>
    <w:p>
      <w:pPr>
        <w:pStyle w:val="844"/>
        <w:ind w:firstLine="48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1、《承诺书》（加盖公章，格式见《磋商文件》第九章《响应文件相关格式》）</w:t>
      </w:r>
      <w:r/>
    </w:p>
    <w:p>
      <w:pPr>
        <w:pStyle w:val="844"/>
        <w:ind w:firstLine="48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2、《磋商报价表》（加盖电子签章，格式见《磋商文件》第九章《响应文件相关格式》。政府采购客户端工具输入报价自动生成）；</w:t>
      </w:r>
      <w:r/>
    </w:p>
    <w:p>
      <w:pPr>
        <w:pStyle w:val="844"/>
        <w:ind w:firstLine="48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3、法人授权委托书（提供原件的扫描件，格式见《磋商文件》第九章《响应文件相关格式》）；</w:t>
      </w:r>
      <w:r/>
    </w:p>
    <w:p>
      <w:pPr>
        <w:pStyle w:val="844"/>
        <w:ind w:firstLine="48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4、授权委托书中委托人（法人）、受托人（授权代理人）身份证原件的扫描件；</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5、供应商认为需要提供的其他资料的扫描件（如有）。</w:t>
      </w:r>
      <w:r/>
    </w:p>
    <w:p>
      <w:pPr>
        <w:pStyle w:val="844"/>
        <w:ind w:firstLine="482"/>
        <w:spacing w:line="500" w:lineRule="exact"/>
        <w:rPr>
          <w:rFonts w:hint="eastAsia" w:ascii="宋体" w:hAnsi="宋体" w:eastAsia="宋体" w:cs="宋体"/>
          <w:b/>
          <w:color w:val="ff0000"/>
          <w:sz w:val="28"/>
          <w:szCs w:val="28"/>
        </w:rPr>
      </w:pPr>
      <w:r>
        <w:rPr>
          <w:rFonts w:hint="eastAsia" w:ascii="宋体" w:hAnsi="宋体" w:eastAsia="宋体" w:cs="宋体"/>
          <w:b/>
          <w:sz w:val="28"/>
          <w:szCs w:val="28"/>
        </w:rPr>
        <w:t xml:space="preserve">6、资格条件</w:t>
      </w:r>
      <w:r>
        <w:rPr>
          <w:rFonts w:hint="eastAsia" w:ascii="宋体" w:hAnsi="宋体" w:eastAsia="宋体" w:cs="宋体"/>
          <w:b/>
          <w:color w:val="ff0000"/>
          <w:sz w:val="28"/>
          <w:szCs w:val="28"/>
        </w:rPr>
        <w:t xml:space="preserve">（6.1～6.7项必须提供原件扫描件，否则响应无效）</w:t>
      </w:r>
      <w:r/>
    </w:p>
    <w:p>
      <w:pPr>
        <w:pStyle w:val="1047"/>
        <w:ind w:firstLine="482"/>
        <w:spacing w:line="500" w:lineRule="exact"/>
        <w:rPr>
          <w:rFonts w:hint="eastAsia" w:ascii="宋体" w:hAnsi="宋体" w:eastAsia="宋体" w:cs="宋体"/>
          <w:sz w:val="28"/>
          <w:szCs w:val="28"/>
        </w:rPr>
      </w:pPr>
      <w:r>
        <w:rPr>
          <w:rFonts w:hint="eastAsia" w:ascii="宋体" w:hAnsi="宋体" w:eastAsia="宋体" w:cs="宋体"/>
          <w:sz w:val="28"/>
          <w:szCs w:val="28"/>
        </w:rPr>
        <w:t xml:space="preserve">6.1</w:t>
      </w:r>
      <w:bookmarkStart w:id="35" w:name="OLE_LINK17"/>
      <w:r>
        <w:rPr>
          <w:rFonts w:hint="eastAsia" w:ascii="宋体" w:hAnsi="宋体" w:eastAsia="宋体" w:cs="宋体"/>
          <w:sz w:val="28"/>
          <w:szCs w:val="28"/>
        </w:rPr>
        <w:t xml:space="preserve">合法有效的法人或者其他组织的营业执照等证明文件。以上证明文件提供原件的扫描件</w:t>
      </w:r>
      <w:bookmarkEnd w:id="35"/>
      <w:r>
        <w:rPr>
          <w:rFonts w:hint="eastAsia" w:ascii="宋体" w:hAnsi="宋体" w:eastAsia="宋体" w:cs="宋体"/>
          <w:sz w:val="28"/>
          <w:szCs w:val="28"/>
        </w:rPr>
        <w:t xml:space="preserve">；</w:t>
      </w:r>
      <w:r/>
    </w:p>
    <w:p>
      <w:pPr>
        <w:pStyle w:val="1047"/>
        <w:ind w:firstLine="482"/>
        <w:spacing w:line="500" w:lineRule="exact"/>
        <w:rPr>
          <w:rFonts w:hint="eastAsia" w:ascii="宋体" w:hAnsi="宋体" w:eastAsia="宋体" w:cs="宋体"/>
          <w:sz w:val="28"/>
          <w:szCs w:val="28"/>
        </w:rPr>
      </w:pPr>
      <w:r>
        <w:rPr>
          <w:rFonts w:hint="eastAsia" w:ascii="宋体" w:hAnsi="宋体" w:eastAsia="宋体" w:cs="宋体"/>
          <w:sz w:val="28"/>
          <w:szCs w:val="28"/>
        </w:rPr>
        <w:t xml:space="preserve">6.2 </w:t>
      </w:r>
      <w:bookmarkStart w:id="36" w:name="OLE_LINK18"/>
      <w:r>
        <w:rPr>
          <w:rFonts w:hint="eastAsia" w:ascii="宋体" w:hAnsi="宋体" w:eastAsia="宋体" w:cs="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w:t>
      </w:r>
      <w:bookmarkEnd w:id="36"/>
      <w:r/>
      <w:r/>
    </w:p>
    <w:p>
      <w:pPr>
        <w:pStyle w:val="1047"/>
        <w:ind w:firstLine="482"/>
        <w:spacing w:line="500" w:lineRule="exact"/>
        <w:rPr>
          <w:rFonts w:hint="eastAsia" w:ascii="宋体" w:hAnsi="宋体" w:eastAsia="宋体" w:cs="宋体"/>
          <w:sz w:val="28"/>
          <w:szCs w:val="28"/>
        </w:rPr>
      </w:pPr>
      <w:r>
        <w:rPr>
          <w:rFonts w:hint="eastAsia" w:ascii="宋体" w:hAnsi="宋体" w:eastAsia="宋体" w:cs="宋体"/>
          <w:sz w:val="28"/>
          <w:szCs w:val="28"/>
        </w:rPr>
        <w:t xml:space="preserve">6.3</w:t>
      </w:r>
      <w:r>
        <w:rPr>
          <w:rFonts w:hint="eastAsia" w:ascii="宋体" w:hAnsi="宋体" w:eastAsia="宋体" w:cs="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p>
    <w:p>
      <w:pPr>
        <w:pStyle w:val="1047"/>
        <w:ind w:firstLine="482"/>
        <w:spacing w:line="500" w:lineRule="exact"/>
        <w:rPr>
          <w:rFonts w:hint="eastAsia" w:ascii="宋体" w:hAnsi="宋体" w:eastAsia="宋体" w:cs="宋体"/>
          <w:sz w:val="28"/>
          <w:szCs w:val="28"/>
        </w:rPr>
      </w:pPr>
      <w:r>
        <w:rPr>
          <w:rFonts w:hint="eastAsia" w:ascii="宋体" w:hAnsi="宋体" w:eastAsia="宋体" w:cs="宋体"/>
          <w:sz w:val="28"/>
          <w:szCs w:val="28"/>
        </w:rPr>
        <w:t xml:space="preserve">6.4具备履行合同所必需的资质和专业技术能力的证明材料，响应文件中提供《</w:t>
      </w:r>
      <w:bookmarkStart w:id="37" w:name="_Toc515551102"/>
      <w:r>
        <w:rPr>
          <w:rFonts w:hint="eastAsia" w:ascii="宋体" w:hAnsi="宋体" w:eastAsia="宋体" w:cs="宋体"/>
          <w:sz w:val="28"/>
          <w:szCs w:val="28"/>
        </w:rPr>
        <w:t xml:space="preserve">具备履行合同所必需的设备和专业技术能力的书面声明</w:t>
      </w:r>
      <w:bookmarkEnd w:id="37"/>
      <w:r>
        <w:rPr>
          <w:rFonts w:hint="eastAsia" w:ascii="宋体" w:hAnsi="宋体" w:eastAsia="宋体" w:cs="宋体"/>
          <w:sz w:val="28"/>
          <w:szCs w:val="28"/>
        </w:rPr>
        <w:t xml:space="preserve">》（加盖电子签章，格式见《磋商文件》</w:t>
      </w:r>
      <w:r>
        <w:rPr>
          <w:rFonts w:hint="eastAsia" w:ascii="宋体" w:hAnsi="宋体" w:eastAsia="宋体" w:cs="宋体"/>
          <w:bCs/>
          <w:sz w:val="28"/>
          <w:szCs w:val="28"/>
        </w:rPr>
        <w:t xml:space="preserve">第九章《响应文件相关格式</w:t>
      </w:r>
      <w:r>
        <w:rPr>
          <w:rFonts w:hint="eastAsia" w:ascii="宋体" w:hAnsi="宋体" w:eastAsia="宋体" w:cs="宋体"/>
          <w:sz w:val="28"/>
          <w:szCs w:val="28"/>
        </w:rPr>
        <w:t xml:space="preserve">》。</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6.5供应商参加政府采购活动前3年内在经营活动中没有重大违法记录的书面声明(格式见《磋商文件》</w:t>
      </w:r>
      <w:r>
        <w:rPr>
          <w:rFonts w:hint="eastAsia" w:ascii="宋体" w:hAnsi="宋体" w:eastAsia="宋体" w:cs="宋体"/>
          <w:bCs/>
          <w:sz w:val="28"/>
          <w:szCs w:val="28"/>
        </w:rPr>
        <w:t xml:space="preserve">第九章《响应文件相关格式》</w:t>
      </w:r>
      <w:r>
        <w:rPr>
          <w:rFonts w:hint="eastAsia" w:ascii="宋体" w:hAnsi="宋体" w:eastAsia="宋体" w:cs="宋体"/>
          <w:sz w:val="28"/>
          <w:szCs w:val="28"/>
        </w:rPr>
        <w:t xml:space="preserve">)；</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6.6特定资格条件：(1) 未被“信用中国”网站（www.creditchina.gov.cn）列入失信被执行人、重大税收违法案件当事人名单、政府采购严重失信行为记录名单。</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sz w:val="28"/>
          <w:szCs w:val="28"/>
        </w:rPr>
        <w:t xml:space="preserve">（2）</w:t>
      </w:r>
      <w:r>
        <w:rPr>
          <w:rFonts w:hint="eastAsia" w:ascii="宋体" w:hAnsi="宋体" w:eastAsia="宋体" w:cs="宋体"/>
          <w:color w:val="000000"/>
          <w:sz w:val="28"/>
          <w:szCs w:val="28"/>
        </w:rPr>
        <w:t xml:space="preserve">供应商须为经保险监管部门批准设立的商业保险公司授权的分支机构，同一上级公司只能授权一家分支机构参与投标；根据《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（3）具有《保险许可证》；</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（4）本项目接受联合体投标。若以联合体参与磋商时，联合体各成员必须完全满足合格供应商的所有条件。参与磋商时，应将联合体每一成员的相关资格证明材料上传至响应文件中，同时符合以下规定要求：</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联合体各成员之间应签订《联合体协议书》，明确联合体牵头人及各成员的权利、义务以及保费份额比例、工作人员分配和成本分担方案，供应商的响应文件及中标后签署的合同书，对联合体的每一成员均有法律约束力。</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②由联合体各成员法定代表人（负责人）签署提交一份授权委托书（自拟），委托牵头人参加磋商，并全权处理有关该项目的投标事宜。</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③联合体牵头人代表应被授权作为联合体各方的代表（该代表须为联合体成员之一），承担责任和接受指令，并负责整个合同的全面履行。</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④所有联合体成员应按合同条件的规定，为实施合同共同和分别承担责任。在联合体协议书和授权委托书中，以及在响应文件和成交后签署的合同书中应对此作出相应的声明。</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⑤联合体各成员之间签订的联合体协议书（自拟）应与响应文件一起递交。</w:t>
      </w:r>
      <w:r/>
    </w:p>
    <w:p>
      <w:pPr>
        <w:pStyle w:val="829"/>
        <w:spacing w:before="0" w:beforeAutospacing="0" w:after="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⑥参加联合体的各成员不得再以自己名义单独投标，也不得再与其他供应商组成联合体参与投标。如有违反将取消该联合体及联合体各成员的投标资格。</w:t>
      </w:r>
      <w:r/>
    </w:p>
    <w:p>
      <w:pPr>
        <w:pStyle w:val="829"/>
        <w:spacing w:before="0" w:beforeAutospacing="0" w:after="0" w:afterAutospacing="0" w:line="440" w:lineRule="exact"/>
        <w:widowControl w:val="off"/>
        <w:rPr>
          <w:rFonts w:hint="eastAsia" w:ascii="宋体" w:hAnsi="宋体" w:eastAsia="宋体" w:cs="宋体"/>
          <w:sz w:val="28"/>
          <w:szCs w:val="28"/>
        </w:rPr>
      </w:pPr>
      <w:r>
        <w:rPr>
          <w:rFonts w:hint="eastAsia" w:ascii="宋体" w:hAnsi="宋体" w:eastAsia="宋体" w:cs="宋体"/>
          <w:color w:val="000000"/>
          <w:sz w:val="28"/>
          <w:szCs w:val="28"/>
        </w:rPr>
        <w:t xml:space="preserve">⑦联合体单位不得超过5家（含牵头人）。</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r>
      <w:r/>
    </w:p>
    <w:p>
      <w:pPr>
        <w:pStyle w:val="844"/>
        <w:ind w:firstLine="480"/>
        <w:spacing w:line="500" w:lineRule="exact"/>
        <w:rPr>
          <w:rFonts w:hint="eastAsia" w:ascii="宋体" w:hAnsi="宋体" w:eastAsia="宋体" w:cs="宋体"/>
          <w:color w:val="000000"/>
          <w:sz w:val="28"/>
          <w:szCs w:val="28"/>
        </w:rPr>
      </w:pPr>
      <w:r>
        <w:rPr>
          <w:rFonts w:hint="eastAsia" w:ascii="宋体" w:hAnsi="宋体" w:eastAsia="宋体" w:cs="宋体"/>
          <w:sz w:val="28"/>
          <w:szCs w:val="28"/>
        </w:rPr>
        <w:t xml:space="preserve">6.7供应商提供作</w:t>
      </w:r>
      <w:r>
        <w:rPr>
          <w:rFonts w:hint="eastAsia" w:ascii="宋体" w:hAnsi="宋体" w:eastAsia="宋体" w:cs="宋体"/>
          <w:color w:val="000000"/>
          <w:sz w:val="28"/>
          <w:szCs w:val="28"/>
        </w:rPr>
        <w:t xml:space="preserve">为中小企业（含中型、小型、微型企业，下同）的《中小企业声明函》原件（电子签章，填写完整。格式见《磋商文件》</w:t>
      </w:r>
      <w:r>
        <w:rPr>
          <w:rFonts w:hint="eastAsia" w:ascii="宋体" w:hAnsi="宋体" w:eastAsia="宋体" w:cs="宋体"/>
          <w:bCs/>
          <w:sz w:val="28"/>
          <w:szCs w:val="28"/>
        </w:rPr>
        <w:t xml:space="preserve">第九章《响应文件相关格式》</w:t>
      </w:r>
      <w:r>
        <w:rPr>
          <w:rFonts w:hint="eastAsia" w:ascii="宋体" w:hAnsi="宋体" w:eastAsia="宋体" w:cs="宋体"/>
          <w:color w:val="000000"/>
          <w:sz w:val="28"/>
          <w:szCs w:val="28"/>
        </w:rPr>
        <w:t xml:space="preserve">）（如有）。</w:t>
      </w:r>
      <w:r/>
    </w:p>
    <w:p>
      <w:pPr>
        <w:pStyle w:val="844"/>
        <w:ind w:firstLine="482"/>
        <w:spacing w:line="5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注：中小微企业，应当同时符合以下条件：</w:t>
      </w:r>
      <w:r/>
    </w:p>
    <w:p>
      <w:pPr>
        <w:pStyle w:val="844"/>
        <w:ind w:firstLine="48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44"/>
        <w:ind w:firstLine="48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供应商为残疾人福利性单位的，视同小微企业，提供《残疾人福利性单位声明函》（电子签章，格式见附件》）。具体以《关于促进残疾人就业政府采购政策的通知》（财库〔2017〕141号）的规定为准。</w:t>
      </w:r>
      <w:r/>
    </w:p>
    <w:p>
      <w:pPr>
        <w:pStyle w:val="844"/>
        <w:ind w:firstLine="48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47"/>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7、符合条件（必须提供，否则响应无效）</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7.1.《磋商报价表》（加盖电子签章，格式见《磋商文件》第九章《响应文件相关格式》。政府采购客户端工具输入报价自动生成）；</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7.2. 《分项价格表》（（加盖电子签章，要求见《磋商文件》第九章《项目要求（采购需求）》,</w:t>
      </w:r>
      <w:r>
        <w:rPr>
          <w:rFonts w:hint="eastAsia" w:ascii="宋体" w:hAnsi="宋体" w:eastAsia="宋体" w:cs="宋体"/>
          <w:sz w:val="28"/>
          <w:szCs w:val="28"/>
        </w:rPr>
        <w:t xml:space="preserve">格式见《磋商文件》第九章《响应文件相关格式》</w:t>
      </w:r>
      <w:r>
        <w:rPr>
          <w:rFonts w:hint="eastAsia" w:ascii="宋体" w:hAnsi="宋体" w:eastAsia="宋体" w:cs="宋体"/>
          <w:bCs/>
          <w:sz w:val="28"/>
          <w:szCs w:val="28"/>
        </w:rPr>
        <w:t xml:space="preserve">）；</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7.3.《承诺书》（加盖电子签章，格式见《磋商文件》</w:t>
      </w:r>
      <w:r>
        <w:rPr>
          <w:rFonts w:hint="eastAsia" w:ascii="宋体" w:hAnsi="宋体" w:eastAsia="宋体" w:cs="宋体"/>
          <w:sz w:val="28"/>
          <w:szCs w:val="28"/>
        </w:rPr>
        <w:t xml:space="preserve">第九章《响应文件相关格式》</w:t>
      </w:r>
      <w:r>
        <w:rPr>
          <w:rFonts w:hint="eastAsia" w:ascii="宋体" w:hAnsi="宋体" w:eastAsia="宋体" w:cs="宋体"/>
          <w:bCs/>
          <w:sz w:val="28"/>
          <w:szCs w:val="28"/>
        </w:rPr>
        <w:t xml:space="preserve">）；</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7.4.《授权委托书》（提供原件的扫描件，需附上委托人（法人）、受托人（授权代理人）身份证原件的扫描件，格式见《磋商文件》</w:t>
      </w:r>
      <w:r>
        <w:rPr>
          <w:rFonts w:hint="eastAsia" w:ascii="宋体" w:hAnsi="宋体" w:eastAsia="宋体" w:cs="宋体"/>
          <w:sz w:val="28"/>
          <w:szCs w:val="28"/>
        </w:rPr>
        <w:t xml:space="preserve">第九章《响应文件相关格式》</w:t>
      </w:r>
      <w:r>
        <w:rPr>
          <w:rFonts w:hint="eastAsia" w:ascii="宋体" w:hAnsi="宋体" w:eastAsia="宋体" w:cs="宋体"/>
          <w:bCs/>
          <w:sz w:val="28"/>
          <w:szCs w:val="28"/>
        </w:rPr>
        <w:t xml:space="preserve">）；</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7.5.《偏离表》（加盖电子签章，格式见《磋商文件》</w:t>
      </w:r>
      <w:r>
        <w:rPr>
          <w:rFonts w:hint="eastAsia" w:ascii="宋体" w:hAnsi="宋体" w:eastAsia="宋体" w:cs="宋体"/>
          <w:sz w:val="28"/>
          <w:szCs w:val="28"/>
        </w:rPr>
        <w:t xml:space="preserve">第九章《响应文件相关格式》</w:t>
      </w:r>
      <w:r>
        <w:rPr>
          <w:rFonts w:hint="eastAsia" w:ascii="宋体" w:hAnsi="宋体" w:eastAsia="宋体" w:cs="宋体"/>
          <w:bCs/>
          <w:sz w:val="28"/>
          <w:szCs w:val="28"/>
        </w:rPr>
        <w:t xml:space="preserve">）；</w:t>
      </w:r>
      <w:r/>
    </w:p>
    <w:p>
      <w:pPr>
        <w:pStyle w:val="1047"/>
        <w:ind w:firstLine="482"/>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7.6. </w:t>
      </w:r>
      <w:bookmarkStart w:id="38" w:name="OLE_LINK19"/>
      <w:r>
        <w:rPr>
          <w:rFonts w:hint="eastAsia" w:ascii="宋体" w:hAnsi="宋体" w:eastAsia="宋体" w:cs="宋体"/>
          <w:bCs/>
          <w:sz w:val="28"/>
          <w:szCs w:val="28"/>
        </w:rPr>
        <w:t xml:space="preserve">磋商文件中要求的相关内容及供应商认为其他需要提供的和磋商有关的资料说明（如有）</w:t>
      </w:r>
      <w:bookmarkEnd w:id="38"/>
      <w:r>
        <w:rPr>
          <w:rFonts w:hint="eastAsia" w:ascii="宋体" w:hAnsi="宋体" w:eastAsia="宋体" w:cs="宋体"/>
          <w:bCs/>
          <w:sz w:val="28"/>
          <w:szCs w:val="28"/>
        </w:rPr>
        <w:t xml:space="preserve">。</w:t>
      </w:r>
      <w:r/>
    </w:p>
    <w:p>
      <w:pPr>
        <w:pStyle w:val="844"/>
        <w:ind w:firstLine="48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8、价格折扣文件格式</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供应商为中小企业（含中型、小型、微型企业，下同）的，提供《中小企业声明函》（填写完整，加盖电子签章，</w:t>
      </w:r>
      <w:r>
        <w:rPr>
          <w:rFonts w:hint="eastAsia" w:ascii="宋体" w:hAnsi="宋体" w:eastAsia="宋体" w:cs="宋体"/>
          <w:bCs/>
          <w:color w:val="auto"/>
          <w:sz w:val="28"/>
          <w:szCs w:val="28"/>
          <w:highlight w:val="none"/>
        </w:rPr>
        <w:t xml:space="preserve">格式见磋商文件第九章《响应文件相关格式》</w:t>
      </w:r>
      <w:r>
        <w:rPr>
          <w:rFonts w:hint="eastAsia" w:ascii="宋体" w:hAnsi="宋体" w:eastAsia="宋体" w:cs="宋体"/>
          <w:bCs/>
          <w:sz w:val="28"/>
          <w:szCs w:val="28"/>
        </w:rPr>
        <w:t xml:space="preserve">）。查询渠道参考工业和信息化部发布的中小企业规模自测小程序。</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政府采购政策功能落实：</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①本项目对小型和微型企业给予10%的扣除价格，用扣除后的价格参与评审。</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②参加报价的中小企业，应当根据《政府采购促进中小企业发展管理办法》（财库﹝2020﹞46号）的规定提供《中小企业声明函》。</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③企业标准请参照《关于印发中小企业划型标准规定的通知》（工信部联企业[2011]300号）文件规定。 </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①本项目对残疾人福利性单位视同小型、微型企业，给予10%的价格扣除，用扣除后的价格参与评审。</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②残疾人福利单位需按照采购文件的要求提供《残疾人福利性单位声明函》（见附件）。</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③残疾人福利单位标准请参照《关于促进残疾人就业政府采购政策的通知》（财库〔2017〕141号）。</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①本项目对监狱和戒毒企业（简称监狱企业）视同小型、微型企业，给予10%的价格扣除，用扣除后的价格参与评审。</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②监狱和戒毒企业需按照采购文件的要求提供《监狱企业声明函》（见附件）。</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④监狱企业标准请参照《关于政府采购支持监狱企业发展有关问题的通知》（财库[2014]68号）。</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（6）联合体各方均为小型、微型企业（残疾人福利单位、监狱企业）的，联合体享受10%价格扣除，用扣除后的价格参与评审。</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（7）符合本采购文件优先采购 “环境标志产品”或“节能产品”的；必须提供“环境标志产品”或“节能产品”证明，否则不予认可。</w:t>
      </w:r>
      <w:r/>
    </w:p>
    <w:p>
      <w:pPr>
        <w:pStyle w:val="844"/>
        <w:ind w:firstLine="48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pStyle w:val="844"/>
        <w:ind w:firstLine="482"/>
        <w:spacing w:line="500" w:lineRule="exact"/>
        <w:rPr>
          <w:rFonts w:hint="eastAsia" w:ascii="宋体" w:hAnsi="宋体" w:eastAsia="宋体" w:cs="宋体"/>
          <w:b/>
          <w:sz w:val="28"/>
          <w:szCs w:val="28"/>
        </w:rPr>
      </w:pPr>
      <w:r/>
      <w:bookmarkStart w:id="39" w:name="_Toc103848531"/>
      <w:r/>
      <w:bookmarkStart w:id="40" w:name="_Toc104560842"/>
      <w:r/>
      <w:bookmarkStart w:id="41" w:name="_Toc107246218"/>
      <w:r>
        <w:rPr>
          <w:rFonts w:hint="eastAsia" w:ascii="宋体" w:hAnsi="宋体" w:eastAsia="宋体" w:cs="宋体"/>
          <w:b/>
          <w:sz w:val="28"/>
          <w:szCs w:val="28"/>
        </w:rPr>
        <w:t xml:space="preserve">9.</w:t>
      </w:r>
      <w:bookmarkEnd w:id="39"/>
      <w:r>
        <w:rPr>
          <w:rFonts w:hint="eastAsia" w:ascii="宋体" w:hAnsi="宋体" w:eastAsia="宋体" w:cs="宋体"/>
          <w:b/>
          <w:sz w:val="28"/>
          <w:szCs w:val="28"/>
        </w:rPr>
        <w:t xml:space="preserve">政府采购政策（包括但不限于下列具体政策要求）</w:t>
      </w:r>
      <w:bookmarkEnd w:id="40"/>
      <w:r/>
      <w:bookmarkEnd w:id="41"/>
      <w:r/>
      <w:r/>
    </w:p>
    <w:p>
      <w:pPr>
        <w:ind w:firstLine="422"/>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9.1中小企业、监狱企业及残疾人福利性单位</w:t>
      </w:r>
      <w:r/>
    </w:p>
    <w:p>
      <w:pPr>
        <w:ind w:firstLine="420"/>
        <w:spacing w:line="400" w:lineRule="exact"/>
        <w:rPr>
          <w:rFonts w:hint="eastAsia" w:ascii="宋体" w:hAnsi="宋体" w:eastAsia="宋体" w:cs="宋体"/>
          <w:sz w:val="28"/>
          <w:szCs w:val="28"/>
        </w:rPr>
      </w:pPr>
      <w:r>
        <w:rPr>
          <w:rFonts w:hint="eastAsia" w:ascii="宋体" w:hAnsi="宋体" w:eastAsia="宋体" w:cs="宋体"/>
          <w:sz w:val="28"/>
          <w:szCs w:val="28"/>
        </w:rPr>
        <w:t xml:space="preserve">9.1.1中小企业定义：</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9.1.1.1中小企业是</w:t>
      </w:r>
      <w:r>
        <w:rPr>
          <w:rFonts w:hint="eastAsia" w:ascii="宋体" w:hAnsi="宋体" w:eastAsia="宋体" w:cs="宋体"/>
          <w:bCs/>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9.1.1.2投标人提供的货物、工程或者服务符合下列情形的，享受中小企业扶持政策：</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（1）在货物采购项目中，货物由中小企业制造，即货物由中小企业生产且使用该中小企业商号或者注册商标；</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（2）在工程采购项目中，工程由中小企业承建，即工程施工单位为中小企业；</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（3）在服务采购项目中，服务由中小企业承接，即提供服务的人员为中小企业依照《中华人民共和国劳动合同法》订立劳动合同的从业人员。</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9.1.1.3在货物采购项目中，投标人提供的货物既有中小企业制造货物，也有大型企业制造货物的，不享受中小企业扶持政策。</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9.1.1.4以联合体形式参加政府采购活动，联合体各方均为中小企业的，联合体视同中小企业。其中，联合体各方均为小微企业的，联合体视同小微企业。</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9.1.3残疾人福利单位定义：享受政府采购支持政策的残疾人福利性单位应当同时满足以下条件：</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（1）安置的残疾人占本单位在职职工人数的比例不低于25%（含25%），并且安置的残疾人人数不少于10 人（含10 人）；</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（2）依法与安置的每位残疾人签订了一年以上（含一年）的劳动合同或服务协议；</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（3）为安置的每位残疾人按月足额缴纳了基本养老保险、基本医疗保险、失业保险、工伤保险和生育保险等社会保险费；</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（4）通过银行等金融机构向安置的每位残疾人，按月支付了不低于单位所在区县适用的经省级人民政府批准的月最低工资标准的工资；</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（5）提供本单位制造的货物、承担的工程或者服务（以下简称产品），或者提供其他残疾人福利性单位制造的货物（不包括使用非残疾人福利性单位注册商标的货物）；</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9.2政府采购节能产品、环境标志产品</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47"/>
        <w:ind w:firstLine="482"/>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9.2.2采购人拟采购的产品属于品目清单范围的，采购方依据国家确定的认证机构出具的、处于有效期之内的节能产品、环境标志产品认证证书，对获得证书的产品实施政府优先采购或强制采购。关于政府采购节能产品、环境标志</w:t>
      </w:r>
      <w:r>
        <w:rPr>
          <w:rFonts w:hint="eastAsia" w:ascii="宋体" w:hAnsi="宋体" w:eastAsia="宋体" w:cs="宋体"/>
          <w:sz w:val="28"/>
          <w:szCs w:val="28"/>
        </w:rPr>
        <w:t xml:space="preserve">产品的相关规定依据《关于调整优化节能产品、环境标志产品政府采购执行机制的通知》（财库〔2019〕9号）。 </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9.2.3如本项目采购产品属于实施政府强制采购品目清单范围的节能产品，则投标人所报产品必须获得国家确定的认证机构出具的、处于有效期之内的节能产品认证证书，否则投标无效；</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9.2.4非政府强制采购的节能产品或环境标志产品，依据品目清单和认证证书实施政府优先采购。</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9.3商品包装、快递包装</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9.4绿色数据中心</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根据财政部 生态环境部 工业和信息化部关于印发《绿色数据中心政府采购需求标准（试行）》的通知（ </w:t>
      </w:r>
      <w:bookmarkStart w:id="42" w:name="sendNo"/>
      <w:r>
        <w:rPr>
          <w:rFonts w:hint="eastAsia" w:ascii="宋体" w:hAnsi="宋体" w:eastAsia="宋体" w:cs="宋体"/>
          <w:bCs/>
          <w:sz w:val="28"/>
          <w:szCs w:val="28"/>
        </w:rPr>
        <w:t xml:space="preserve">财库〔2023〕7号</w:t>
      </w:r>
      <w:bookmarkEnd w:id="42"/>
      <w:r>
        <w:rPr>
          <w:rFonts w:hint="eastAsia" w:ascii="宋体" w:hAnsi="宋体" w:eastAsia="宋体" w:cs="宋体"/>
          <w:bCs/>
          <w:sz w:val="28"/>
          <w:szCs w:val="28"/>
        </w:rPr>
        <w:t xml:space="preserve">）要求。</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9.4.1采购人采购数据中心相关设备、运维服务，应当有利于节约能源、环境保护和资源循环利用，按照《需求标准》实施相关采购活动。</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9.4.2采购人应当加强采购需求管理，根据《需求标准》提出的指标编制数据中心相关设备、运维服务政府采购项目的采购文件，并在合同中明确对相关指标的验收方式和违约责任。</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9.4.3采购人在项目的投标、响应环节，原则上不对数据中心相关设备、服务进行检测、认证，也不要求供应商提供检测报告、认证报告，供应商出具符合相关要求的承诺函可视为符合规定。</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9.4.5对于供应商未按合同约定提供设备或服务的，采购人应当依法追究其违约责任。对于供应商提供虚假材料谋取中标、成交的，依法予以处理。</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9.5信息安全产品</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9.5.1依据《关于信息安全产品实施政府采购的通知》（财库〔2010〕48 号），所投产品属于《关于调整信息安全产品强制性认证实施要求的公告》（2009 年第33 号）范围的，应采用经国家认证的信息安全产品，否则投标无效。</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9.5.2未按要求提供相关材料的，不享受相关政策。</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9.6 电子履约保函(保险)</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47"/>
        <w:ind w:firstLine="482"/>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供应商可登录江苏政府采购网“资料下载”栏目（网址：</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"http://www.ccgp-jiangsu.gov.cn/jiangsu/zlxz" \o "www.ccgp-jiangsu.gov.cn/jiangsu/zlxz）下载"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www.ccgp-jiangsu.gov.cn/jiangsu/zlxz）下载“政府采购电子履约</w: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保函（保险）操作手册”。</w:t>
      </w:r>
      <w:r/>
    </w:p>
    <w:p>
      <w:pPr>
        <w:pStyle w:val="1192"/>
        <w:rPr>
          <w:rFonts w:hint="eastAsia" w:ascii="宋体" w:hAnsi="宋体"/>
          <w:sz w:val="28"/>
          <w:szCs w:val="28"/>
        </w:rPr>
      </w:pPr>
      <w:r>
        <w:rPr>
          <w:rFonts w:hint="eastAsia" w:ascii="宋体" w:hAnsi="宋体"/>
          <w:sz w:val="28"/>
          <w:szCs w:val="28"/>
        </w:rPr>
      </w:r>
      <w:r/>
    </w:p>
    <w:p>
      <w:pPr>
        <w:pStyle w:val="1048"/>
        <w:jc w:val="center"/>
        <w:keepNext/>
        <w:pageBreakBefore/>
        <w:rPr>
          <w:rFonts w:hint="eastAsia"/>
          <w:b/>
          <w:bCs/>
          <w:sz w:val="44"/>
          <w:szCs w:val="44"/>
        </w:rPr>
        <w:outlineLvl w:val="0"/>
      </w:pPr>
      <w:r/>
      <w:bookmarkStart w:id="43" w:name="_Toc30162"/>
      <w:r/>
      <w:bookmarkStart w:id="44" w:name="_Toc9132"/>
      <w:r/>
      <w:bookmarkStart w:id="45" w:name="_Toc8517"/>
      <w:r>
        <w:rPr>
          <w:rFonts w:hint="eastAsia"/>
          <w:b/>
          <w:bCs/>
          <w:sz w:val="44"/>
          <w:szCs w:val="44"/>
        </w:rPr>
        <w:t xml:space="preserve">第三章 磋商相关说明</w:t>
      </w:r>
      <w:bookmarkEnd w:id="43"/>
      <w:r/>
      <w:bookmarkEnd w:id="44"/>
      <w:r/>
      <w:bookmarkEnd w:id="45"/>
      <w:r/>
      <w:r/>
    </w:p>
    <w:p>
      <w:pPr>
        <w:pStyle w:val="1048"/>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一、磋商要求</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1、被邀请参与磋商的供应商需按本竞争性磋商文件要求的截止时间、方式（地点）提交首次响应文件，同时派人通过“苏采云”系统在“开标大厅”等待磋商。</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2、供应商可通过CA数字证书，在首次响应文件开启时间后，使用CA数字证书在规定时间内解密各自响应文件。</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3、供应商授权的磋商人员需携带授权委托书原件及身份证原件，经磋商小组核查后参与磋商活动。</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4、磋商顺序按照电子标书解密先后时间进行，解密时间相同的，不分先后顺序。</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8"/>
          <w:szCs w:val="28"/>
        </w:rPr>
        <w:t xml:space="preserve">所有邀请等待时间2分钟，2分钟内所邀请供应商无响应，视同放弃磋商的权利，由解密顺序下一家进行磋商，不再后补</w:t>
      </w:r>
      <w:r>
        <w:rPr>
          <w:rFonts w:hint="eastAsia" w:ascii="宋体" w:hAnsi="宋体" w:eastAsia="宋体" w:cs="宋体"/>
          <w:sz w:val="28"/>
          <w:szCs w:val="28"/>
        </w:rPr>
        <w:t xml:space="preserve">）。</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6、未在规定时间内进行答疑澄清的，视同放弃澄清。</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b/>
          <w:bCs/>
          <w:sz w:val="28"/>
          <w:szCs w:val="28"/>
        </w:rPr>
        <w:t xml:space="preserve">被邀请参与磋商的供应商在“苏采云”系统“开标大厅”等候统一进行二次或终次报价，二次或终次报价等待时间为20分钟，未在规定时间内进行报价的，视为响应无效。</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8、被邀请参与磋商的供应商如未按上述磋商要求执行，视同放弃磋商的权利。</w:t>
      </w:r>
      <w:r/>
    </w:p>
    <w:p>
      <w:pPr>
        <w:pStyle w:val="1048"/>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二、评审方法和评审标准</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1、评审方法：综合评估法</w:t>
      </w:r>
      <w:r/>
    </w:p>
    <w:p>
      <w:pPr>
        <w:pStyle w:val="844"/>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2、评审标准：详见《评分细则》</w:t>
      </w:r>
      <w:r/>
    </w:p>
    <w:p>
      <w:pPr>
        <w:pStyle w:val="1048"/>
        <w:ind w:firstLine="48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三、评审程序</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1、磋商评审小组的组建：采购人组建。磋商小组成员构成：3人。磋商小组确定方式：采购人评委和政府采购专家组成（从《江苏省政府采购专家库》随机抽取）。</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3、磋商小组所有成员应当集中与单一供应商分别进行磋商，并给予所有参加磋商的供应商平等的磋商机会。</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4.1对磋商文件作出的实质性变动是磋商文件的有效组成部分，磋商小组应当及时以书面形式同时通知所有参加磋商的供应商。</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4.2供应商应当按照磋商文件的变动情况和磋商小组的要求重新提交响应文件，并由其法定代表人或授权代表签字或者加盖公章。</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6、已提交响应文件的供应商，在提交最后报价之前，可以根据磋商情况退出磋商。</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7、经磋商确定最终采购需求和提交最后报价的供应商后，由磋商小组采用综合评分法对提交最后报价的供应商的响应文件和最后报价进行综合评分。</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8、磋商小组应当根据综合评分情况，按照评审得分由高到低顺序推荐3名成交候选供应商，并编写评审报告。评审得分相同的，按照最后报价由低到高的顺序推荐。</w:t>
      </w:r>
      <w:r>
        <w:rPr>
          <w:rFonts w:hint="eastAsia" w:ascii="宋体" w:hAnsi="宋体" w:eastAsia="宋体" w:cs="宋体"/>
          <w:sz w:val="28"/>
          <w:szCs w:val="28"/>
          <w:highlight w:val="none"/>
        </w:rPr>
        <w:t xml:space="preserve">评审得分且最后报价相同的，按抽签确定顺序排列。</w:t>
      </w:r>
      <w:r/>
    </w:p>
    <w:p>
      <w:pPr>
        <w:ind w:firstLine="482"/>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pStyle w:val="1048"/>
        <w:ind w:firstLine="482"/>
        <w:spacing w:line="500" w:lineRule="exact"/>
        <w:rPr>
          <w:rFonts w:hint="eastAsia" w:ascii="宋体" w:hAnsi="宋体" w:eastAsia="宋体" w:cs="宋体"/>
          <w:b/>
          <w:bCs/>
          <w:sz w:val="28"/>
          <w:szCs w:val="28"/>
        </w:rPr>
      </w:pPr>
      <w:r/>
      <w:bookmarkStart w:id="46" w:name="_Toc22538"/>
      <w:r>
        <w:rPr>
          <w:rFonts w:hint="eastAsia" w:ascii="宋体" w:hAnsi="宋体" w:eastAsia="宋体" w:cs="宋体"/>
          <w:b/>
          <w:bCs/>
          <w:sz w:val="28"/>
          <w:szCs w:val="28"/>
        </w:rPr>
        <w:t xml:space="preserve">四、有下列情形之一的，其响应无效：</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1、电子响应文件未按规定期限提交的； </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2、电子响应文件未按磋商文件要求签章的；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3、投标人未在规定时间内解密电子响应文件的；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4、供应商的法定代表人授权代表，无法定代表人授权委托书的；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5、不具备磋商文件中规定的资格要求或未按磋商文件规定的要求提供资格、资信证明文件的；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6、被列入“信用中国”网站（www.creditchina.gov.cn）失信被执行人、重大税收违法案件当事人名单、政府采购严重违法失信行为记录名单的；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7、响应文件未按磋商文件规定的内容和要求填写的；没有在投标系统指定位置上传对应文件、材料的；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8、响应文件中有磋商文件未允许提供的选择性内容；</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9、不同供应商委托同一单位或者个人办理投标事宜的；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10、不同供应商的单位负责人为同一人或者存在直接控股、管理关系的；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11、不同供应商的响应文件的装订形式、纸张情况、目录序号、排版格式、文字风格等存在明显的相似性或一致性，特征显示由同一单位或者同一个人编制的；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12、不同供应商响应文件内容存在非正常一致、项目组成员出现同一人、响应文件中错误（ 或异常）一致或雷同、电子文档信息一致或雷同的、投标报价呈规律性差异的；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13、不同供应商的委托代理人、项目负责人以及其他相关人员有在同一个单位缴纳社会保险 、同一响应文件中单位名称落款与公章不是同一单位的；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14、项目（标段）响应总价超过本项目（标段）预算或最高限价的；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15、提供虚假材料的（包括工商营业执照、财务报表、资格证明文件等）；</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16、响应文件含有采购人不能接受的附加条件的；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17、磋商小组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18、除单一来源采购项目外，为采购项目提供整体设计、规范编制或者项目管理、监理、检测等服务的；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19、响应文件内容不全或不符合磋商文件中规定的其它实质性要求的；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20、法律法规和磋商文件规定的其它无效情形。</w:t>
      </w:r>
      <w:r/>
    </w:p>
    <w:p>
      <w:pPr>
        <w:ind w:firstLine="48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五、其他要求：</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（一）提供虚假材料谋取中标、成交的；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（二）采取不正当手段诋毁、排挤其他供应商的；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（三）与采购人、其他供应商或者采购代理机构恶意串通的；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（四）向采购人、采购代理机构行贿或者提供其他不正当利益的；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（五）在招标采购过程中与采购人进行协商磋商的；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（六）拒绝有关部门监督检查或者提供虚假情况的。</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供应商有前款第（一）至（五）项情形之一的，中标、成交无效。</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2、供应商有下列情形之一的，依照政府采购法第七十七条第一款的规定追究法律责任：</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（一）向评标委员会、竞争性磋商小组或者询价小组成员行贿或者提供其他不正当利益；</w:t>
      </w:r>
      <w:r/>
    </w:p>
    <w:p>
      <w:pPr>
        <w:ind w:firstLine="480"/>
        <w:spacing w:line="50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（二）中标或者成交后无正当理由拒不与采购人签订政府采购合同；</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（三）未按照采购文件确定的事项签订政府采购合同；</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（四）将政府采购合同转包；</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（五）提供假冒伪劣产品；</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（六）擅自变更、中止或者终止政府采购合同。</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2"/>
        </w:num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供应商捏造事实、提供虚假材料或者以非法手段取得证明材料进行投诉的，由财政部门列入不良行为记录名单，禁止其1至3年内参加政府采购活动。</w:t>
      </w:r>
      <w:r/>
    </w:p>
    <w:p>
      <w:pPr>
        <w:numPr>
          <w:ilvl w:val="0"/>
          <w:numId w:val="3"/>
        </w:numPr>
        <w:ind w:firstLine="48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磋商响应费用</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（1）供应商无论成交与否，都须自行承担编制磋商响应文件以及递交磋商响应文件所涉及的一切费用。</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（2）该项目的报价应包括完成该项目服务所需的一切相关费用、磋商文件制作费、磋商代理服务费及其它应付的费用等。</w:t>
      </w:r>
      <w:r/>
    </w:p>
    <w:p>
      <w:pPr>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（3）本项目磋商代理服务费依据为《江苏省政府采购代理服务收费指导意见》的通知”（</w:t>
      </w:r>
      <w:bookmarkStart w:id="47" w:name="OLE_LINK4"/>
      <w:r>
        <w:rPr>
          <w:rFonts w:hint="eastAsia" w:ascii="宋体" w:hAnsi="宋体" w:eastAsia="宋体" w:cs="宋体"/>
          <w:sz w:val="28"/>
          <w:szCs w:val="28"/>
        </w:rPr>
        <w:t xml:space="preserve">苏政采协【2024】20号</w:t>
      </w:r>
      <w:bookmarkEnd w:id="47"/>
      <w:r>
        <w:rPr>
          <w:rFonts w:hint="eastAsia" w:ascii="宋体" w:hAnsi="宋体" w:eastAsia="宋体" w:cs="宋体"/>
          <w:sz w:val="28"/>
          <w:szCs w:val="28"/>
        </w:rPr>
        <w:t xml:space="preserve">）。文件收费标准收取，由成交供应商在领取成交通知书时向泰州市永晖工程招标代理有限公司缴纳。</w:t>
      </w:r>
      <w:r/>
    </w:p>
    <w:p>
      <w:pPr>
        <w:jc w:val="left"/>
        <w:widowControl/>
        <w:rPr>
          <w:rFonts w:hint="eastAsia" w:ascii="宋体" w:hAnsi="宋体"/>
          <w:b/>
          <w:bCs/>
          <w:sz w:val="44"/>
          <w:szCs w:val="44"/>
        </w:rPr>
      </w:pPr>
      <w:r/>
      <w:bookmarkStart w:id="48" w:name="_Toc17710"/>
      <w:r>
        <w:rPr>
          <w:rFonts w:hint="eastAsia" w:ascii="宋体" w:hAnsi="宋体" w:eastAsia="宋体" w:cs="宋体"/>
          <w:b/>
          <w:bCs/>
          <w:sz w:val="28"/>
          <w:szCs w:val="28"/>
        </w:rPr>
        <w:br w:type="page" w:clear="all"/>
      </w:r>
      <w:r/>
    </w:p>
    <w:p>
      <w:pPr>
        <w:pStyle w:val="1048"/>
        <w:ind w:firstLine="643"/>
        <w:jc w:val="center"/>
        <w:spacing w:before="157" w:after="157" w:line="500" w:lineRule="exact"/>
        <w:rPr>
          <w:rFonts w:hint="eastAsia"/>
          <w:b/>
          <w:bCs/>
          <w:sz w:val="44"/>
          <w:szCs w:val="44"/>
        </w:rPr>
        <w:outlineLvl w:val="0"/>
      </w:pPr>
      <w:r/>
      <w:bookmarkStart w:id="49" w:name="_Toc7579"/>
      <w:r>
        <w:rPr>
          <w:b/>
          <w:bCs/>
          <w:sz w:val="44"/>
          <w:szCs w:val="44"/>
        </w:rPr>
        <w:t xml:space="preserve">第四章 确定成交供应商及合同签订等</w:t>
      </w:r>
      <w:bookmarkEnd w:id="46"/>
      <w:r/>
      <w:bookmarkEnd w:id="48"/>
      <w:r/>
      <w:bookmarkEnd w:id="49"/>
      <w:r/>
      <w:r/>
    </w:p>
    <w:p>
      <w:pPr>
        <w:ind w:firstLine="420"/>
        <w:jc w:val="left"/>
        <w:spacing w:line="500" w:lineRule="exact"/>
        <w:rPr>
          <w:rFonts w:hint="eastAsia" w:ascii="宋体" w:hAnsi="宋体" w:cs="宋体"/>
          <w:sz w:val="28"/>
          <w:szCs w:val="28"/>
        </w:rPr>
      </w:pPr>
      <w:r/>
      <w:bookmarkStart w:id="50" w:name="_Toc8493"/>
      <w:r>
        <w:rPr>
          <w:rFonts w:hint="eastAsia" w:ascii="宋体" w:hAnsi="宋体" w:cs="宋体"/>
          <w:sz w:val="28"/>
          <w:szCs w:val="28"/>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放弃成交的供应商不得参加对该项目重新开展的采购活动。</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采购人对未成交的供应商不做未成交原因的解释。</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2、采购人有权对供应商的响应文件的真实性进行核实。如供应商不能提供有效文件，采购人将根据客观事实，有权取消成交供应商，同时供应商承担相应的法律责任。</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3、采购人与成交供应商应当在成交通知书发出之日起</w:t>
      </w:r>
      <w:r>
        <w:rPr>
          <w:rFonts w:hint="eastAsia" w:ascii="宋体" w:hAnsi="宋体" w:cs="宋体"/>
          <w:sz w:val="28"/>
          <w:szCs w:val="28"/>
          <w:u w:val="single"/>
        </w:rPr>
        <w:t xml:space="preserve">30</w:t>
      </w:r>
      <w:r>
        <w:rPr>
          <w:rFonts w:hint="eastAsia" w:ascii="宋体" w:hAnsi="宋体" w:cs="宋体"/>
          <w:sz w:val="28"/>
          <w:szCs w:val="28"/>
        </w:rPr>
        <w:t xml:space="preserve">日内，按照磋商文件确定的合同文本以及采购标的、规格型号、采购金额、采购数量、技术和服务要求等事项签订政府采购合同。</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numPr>
          <w:ilvl w:val="0"/>
          <w:numId w:val="2"/>
        </w:numPr>
        <w:ind w:firstLine="480"/>
        <w:jc w:val="left"/>
        <w:spacing w:line="500" w:lineRule="exact"/>
        <w:rPr>
          <w:rFonts w:hint="eastAsia" w:ascii="宋体" w:hAnsi="宋体" w:cs="宋体"/>
          <w:sz w:val="28"/>
          <w:szCs w:val="28"/>
        </w:rPr>
      </w:pPr>
      <w:r>
        <w:rPr>
          <w:rStyle w:val="1202"/>
          <w:rFonts w:hint="eastAsia" w:ascii="宋体" w:hAnsi="宋体" w:cs="宋体"/>
          <w:sz w:val="28"/>
          <w:szCs w:val="28"/>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sz w:val="28"/>
          <w:szCs w:val="28"/>
        </w:rPr>
        <w:t xml:space="preserve">。</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5、项目验收</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5.1 甲方可依法组织履约验收工作。</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    5.3 对于实际使用人和甲方分离的项目，甲方邀请实际使用人参与验收。</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5.4如有必要，甲方邀请参加本项目的其他供应商或第三方专业机构及专家参与验收，相关意见将作为验收书的参考资料。</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jc w:val="left"/>
        <w:spacing w:line="500" w:lineRule="exact"/>
        <w:rPr>
          <w:rFonts w:hint="eastAsia" w:ascii="宋体" w:hAnsi="宋体" w:cs="宋体"/>
          <w:sz w:val="28"/>
          <w:szCs w:val="28"/>
        </w:rPr>
      </w:pPr>
      <w:r>
        <w:rPr>
          <w:rFonts w:hint="eastAsia" w:ascii="宋体" w:hAnsi="宋体" w:cs="宋体"/>
          <w:sz w:val="28"/>
          <w:szCs w:val="28"/>
        </w:rPr>
      </w:r>
      <w:r/>
    </w:p>
    <w:p>
      <w:pPr>
        <w:ind w:firstLine="420"/>
        <w:jc w:val="left"/>
        <w:spacing w:line="500"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b/>
          <w:bCs/>
          <w:sz w:val="28"/>
          <w:szCs w:val="28"/>
        </w:rPr>
      </w:pPr>
      <w:r/>
      <w:bookmarkStart w:id="51" w:name="_Toc12721"/>
      <w:r>
        <w:rPr>
          <w:rFonts w:hint="eastAsia"/>
          <w:b/>
          <w:bCs/>
          <w:sz w:val="28"/>
          <w:szCs w:val="28"/>
        </w:rPr>
        <w:br w:type="page" w:clear="all"/>
      </w:r>
      <w:r/>
    </w:p>
    <w:p>
      <w:pPr>
        <w:pStyle w:val="1048"/>
        <w:ind w:firstLine="643"/>
        <w:jc w:val="center"/>
        <w:spacing w:before="157" w:after="157" w:line="500" w:lineRule="exact"/>
        <w:rPr>
          <w:rFonts w:hint="eastAsia"/>
          <w:b/>
          <w:bCs/>
          <w:sz w:val="44"/>
          <w:szCs w:val="44"/>
        </w:rPr>
        <w:outlineLvl w:val="0"/>
      </w:pPr>
      <w:r/>
      <w:bookmarkStart w:id="52" w:name="_Toc29947"/>
      <w:r>
        <w:rPr>
          <w:b/>
          <w:bCs/>
          <w:sz w:val="44"/>
          <w:szCs w:val="44"/>
        </w:rPr>
        <w:t xml:space="preserve">第五章 </w:t>
      </w:r>
      <w:r>
        <w:rPr>
          <w:rFonts w:hint="eastAsia"/>
          <w:b/>
          <w:bCs/>
          <w:sz w:val="44"/>
          <w:szCs w:val="44"/>
        </w:rPr>
        <w:t xml:space="preserve">磋商文件</w:t>
      </w:r>
      <w:r>
        <w:rPr>
          <w:b/>
          <w:bCs/>
          <w:sz w:val="44"/>
          <w:szCs w:val="44"/>
        </w:rPr>
        <w:t xml:space="preserve">的澄清或者修改</w:t>
      </w:r>
      <w:bookmarkEnd w:id="50"/>
      <w:r/>
      <w:bookmarkEnd w:id="51"/>
      <w:r/>
      <w:bookmarkEnd w:id="52"/>
      <w:r/>
      <w:r/>
    </w:p>
    <w:p>
      <w:pPr>
        <w:pStyle w:val="1048"/>
        <w:ind w:firstLine="482"/>
        <w:spacing w:line="500" w:lineRule="exact"/>
        <w:rPr>
          <w:rFonts w:hint="eastAsia"/>
          <w:b/>
          <w:bCs/>
          <w:sz w:val="28"/>
          <w:szCs w:val="28"/>
        </w:rPr>
      </w:pPr>
      <w:r>
        <w:rPr>
          <w:b/>
          <w:bCs/>
          <w:sz w:val="28"/>
          <w:szCs w:val="28"/>
        </w:rPr>
        <w:t xml:space="preserve">《</w:t>
      </w:r>
      <w:r>
        <w:rPr>
          <w:rFonts w:hint="eastAsia"/>
          <w:b/>
          <w:bCs/>
          <w:sz w:val="28"/>
          <w:szCs w:val="28"/>
        </w:rPr>
        <w:t xml:space="preserve">磋商文件</w:t>
      </w:r>
      <w:r>
        <w:rPr>
          <w:b/>
          <w:bCs/>
          <w:sz w:val="28"/>
          <w:szCs w:val="28"/>
        </w:rPr>
        <w:t xml:space="preserve">》的澄清或者修改</w:t>
      </w:r>
      <w:r/>
    </w:p>
    <w:p>
      <w:pPr>
        <w:pStyle w:val="1048"/>
        <w:ind w:firstLine="480"/>
        <w:spacing w:line="500" w:lineRule="exact"/>
        <w:rPr>
          <w:rFonts w:hint="eastAsia"/>
          <w:sz w:val="28"/>
          <w:szCs w:val="28"/>
        </w:rPr>
      </w:pPr>
      <w:r>
        <w:rPr>
          <w:sz w:val="28"/>
          <w:szCs w:val="28"/>
        </w:rPr>
        <w:t xml:space="preserve">提交首次响应文件截止之日（即“首次响应文件提交的截止时间”）前，采购代理机构可以对已发出的《</w:t>
      </w:r>
      <w:r>
        <w:rPr>
          <w:rFonts w:hint="eastAsia"/>
          <w:sz w:val="28"/>
          <w:szCs w:val="28"/>
        </w:rPr>
        <w:t xml:space="preserve">磋商文件</w:t>
      </w:r>
      <w:r>
        <w:rPr>
          <w:sz w:val="28"/>
          <w:szCs w:val="28"/>
        </w:rPr>
        <w:t xml:space="preserve">》进行必要的澄清或者修改，澄清或者修改的内容作为《</w:t>
      </w:r>
      <w:r>
        <w:rPr>
          <w:rFonts w:hint="eastAsia"/>
          <w:sz w:val="28"/>
          <w:szCs w:val="28"/>
        </w:rPr>
        <w:t xml:space="preserve">磋商文件</w:t>
      </w:r>
      <w:r>
        <w:rPr>
          <w:sz w:val="28"/>
          <w:szCs w:val="28"/>
        </w:rPr>
        <w:t xml:space="preserve">》的组成部分。澄清或者修改的内容以所发布的本项目的“更正公告”的附件的形式通知所有获取《</w:t>
      </w:r>
      <w:r>
        <w:rPr>
          <w:rFonts w:hint="eastAsia"/>
          <w:sz w:val="28"/>
          <w:szCs w:val="28"/>
        </w:rPr>
        <w:t xml:space="preserve">磋商文件</w:t>
      </w:r>
      <w:r>
        <w:rPr>
          <w:sz w:val="28"/>
          <w:szCs w:val="28"/>
        </w:rPr>
        <w:t xml:space="preserve">》的供应商。发布本项目的“更正公告”后采购代理机构已尽通知义务。敬请各所有获取《</w:t>
      </w:r>
      <w:r>
        <w:rPr>
          <w:rFonts w:hint="eastAsia"/>
          <w:sz w:val="28"/>
          <w:szCs w:val="28"/>
        </w:rPr>
        <w:t xml:space="preserve">磋商文件</w:t>
      </w:r>
      <w:r>
        <w:rPr>
          <w:sz w:val="28"/>
          <w:szCs w:val="28"/>
        </w:rPr>
        <w:t xml:space="preserve">》的供应商关注本项目的“更正公告”及附件，否则，将自行承担相应的风险。</w:t>
      </w:r>
      <w:r/>
    </w:p>
    <w:p>
      <w:pPr>
        <w:pStyle w:val="1048"/>
        <w:jc w:val="center"/>
        <w:keepNext/>
        <w:pageBreakBefore/>
        <w:rPr>
          <w:rFonts w:hint="eastAsia"/>
          <w:b/>
          <w:bCs/>
          <w:sz w:val="44"/>
          <w:szCs w:val="44"/>
        </w:rPr>
        <w:outlineLvl w:val="0"/>
      </w:pPr>
      <w:r/>
      <w:bookmarkStart w:id="53" w:name="_Toc28175"/>
      <w:r/>
      <w:bookmarkStart w:id="54" w:name="_Toc26368"/>
      <w:r/>
      <w:bookmarkStart w:id="55" w:name="_Toc12387"/>
      <w:r>
        <w:rPr>
          <w:rFonts w:hint="eastAsia"/>
          <w:b/>
          <w:bCs/>
          <w:sz w:val="44"/>
          <w:szCs w:val="44"/>
        </w:rPr>
        <w:t xml:space="preserve">第六章 询问和质疑</w:t>
      </w:r>
      <w:bookmarkEnd w:id="53"/>
      <w:r/>
      <w:bookmarkEnd w:id="54"/>
      <w:r/>
      <w:bookmarkEnd w:id="55"/>
      <w:r/>
      <w:r/>
    </w:p>
    <w:p>
      <w:pPr>
        <w:pStyle w:val="1048"/>
        <w:ind w:firstLine="482"/>
        <w:keepLines/>
        <w:spacing w:line="500" w:lineRule="exact"/>
        <w:widowControl w:val="off"/>
        <w:rPr>
          <w:rFonts w:hint="eastAsia"/>
          <w:b/>
          <w:bCs/>
          <w:sz w:val="28"/>
          <w:szCs w:val="28"/>
        </w:rPr>
      </w:pPr>
      <w:r>
        <w:rPr>
          <w:rFonts w:hint="eastAsia"/>
          <w:b/>
          <w:bCs/>
          <w:sz w:val="28"/>
          <w:szCs w:val="28"/>
        </w:rPr>
        <w:t xml:space="preserve">1、</w:t>
      </w:r>
      <w:r>
        <w:rPr>
          <w:b/>
          <w:bCs/>
          <w:sz w:val="28"/>
          <w:szCs w:val="28"/>
        </w:rPr>
        <w:t xml:space="preserve">询问和质疑</w:t>
      </w:r>
      <w:r/>
    </w:p>
    <w:p>
      <w:pPr>
        <w:ind w:firstLine="492"/>
        <w:jc w:val="left"/>
        <w:spacing w:line="30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质疑和投诉按《政府采购质疑和投诉办法》执行。 供应商对同一采购程序环节的质疑应在质疑期内一次性提出。</w:t>
      </w:r>
      <w:r/>
    </w:p>
    <w:p>
      <w:pPr>
        <w:pStyle w:val="1048"/>
        <w:ind w:firstLine="480"/>
        <w:spacing w:line="500" w:lineRule="exact"/>
        <w:rPr>
          <w:rFonts w:hint="eastAsia"/>
          <w:sz w:val="28"/>
          <w:szCs w:val="28"/>
        </w:rPr>
      </w:pPr>
      <w:r>
        <w:rPr>
          <w:sz w:val="28"/>
          <w:szCs w:val="28"/>
        </w:rPr>
        <w:t xml:space="preserve">质疑接收人：</w:t>
      </w:r>
      <w:r>
        <w:rPr>
          <w:rFonts w:hint="eastAsia"/>
          <w:sz w:val="28"/>
          <w:szCs w:val="28"/>
        </w:rPr>
        <w:t xml:space="preserve">朱先生</w:t>
      </w:r>
      <w:r>
        <w:rPr>
          <w:sz w:val="28"/>
          <w:szCs w:val="28"/>
        </w:rPr>
        <w:t xml:space="preserve">   联系电话：</w:t>
      </w:r>
      <w:r>
        <w:rPr>
          <w:rFonts w:hint="eastAsia"/>
          <w:sz w:val="28"/>
          <w:szCs w:val="28"/>
        </w:rPr>
        <w:t xml:space="preserve">0523-83388256</w:t>
      </w:r>
      <w:r/>
    </w:p>
    <w:p>
      <w:pPr>
        <w:pStyle w:val="1048"/>
        <w:ind w:firstLine="480"/>
        <w:spacing w:line="500" w:lineRule="exact"/>
        <w:rPr>
          <w:rFonts w:hint="eastAsia"/>
          <w:sz w:val="28"/>
          <w:szCs w:val="28"/>
        </w:rPr>
      </w:pPr>
      <w:r>
        <w:rPr>
          <w:sz w:val="28"/>
          <w:szCs w:val="28"/>
        </w:rPr>
        <w:t xml:space="preserve">地址：</w:t>
      </w:r>
      <w:r>
        <w:rPr>
          <w:rFonts w:hint="eastAsia"/>
          <w:sz w:val="28"/>
          <w:szCs w:val="28"/>
        </w:rPr>
        <w:t xml:space="preserve">兴化市南津路90号</w:t>
      </w:r>
      <w:r/>
    </w:p>
    <w:p>
      <w:pPr>
        <w:ind w:firstLine="492"/>
        <w:jc w:val="left"/>
        <w:spacing w:line="30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、供应商对评审过程、成交结果提出质疑的，采购人、采购代理机构可以组织原评审委员会协助答复质疑。</w:t>
      </w:r>
      <w:r/>
    </w:p>
    <w:p>
      <w:pPr>
        <w:ind w:firstLine="480"/>
        <w:jc w:val="left"/>
        <w:spacing w:line="500" w:lineRule="exact"/>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、采购人或采购代理机构在收到供应商的书面质疑后7个工作日内予以答复，并告知本项目的有关供应商。</w:t>
      </w:r>
      <w:r/>
    </w:p>
    <w:p>
      <w:pPr>
        <w:ind w:firstLine="482"/>
        <w:jc w:val="left"/>
        <w:spacing w:line="500" w:lineRule="exact"/>
        <w:rPr>
          <w:rFonts w:hint="eastAsia" w:ascii="宋体" w:hAnsi="宋体"/>
          <w:b/>
          <w:bCs/>
          <w:sz w:val="28"/>
          <w:szCs w:val="28"/>
        </w:rPr>
      </w:pPr>
      <w:r>
        <w:rPr>
          <w:rFonts w:hint="eastAsia" w:ascii="宋体" w:hAnsi="宋体"/>
          <w:b/>
          <w:bCs/>
          <w:sz w:val="28"/>
          <w:szCs w:val="28"/>
        </w:rPr>
        <w:t xml:space="preserve">2、</w:t>
      </w:r>
      <w:r>
        <w:rPr>
          <w:rFonts w:ascii="宋体" w:hAnsi="宋体"/>
          <w:b/>
          <w:bCs/>
          <w:sz w:val="28"/>
          <w:szCs w:val="28"/>
        </w:rPr>
        <w:t xml:space="preserve">质疑时效期间的计算：</w:t>
      </w:r>
      <w:r/>
    </w:p>
    <w:p>
      <w:pPr>
        <w:ind w:firstLine="480"/>
        <w:jc w:val="left"/>
        <w:spacing w:line="500" w:lineRule="exact"/>
        <w:rPr>
          <w:rFonts w:hint="eastAsia" w:ascii="宋体" w:hAnsi="宋体"/>
          <w:sz w:val="28"/>
          <w:szCs w:val="28"/>
        </w:rPr>
      </w:pPr>
      <w:r>
        <w:rPr>
          <w:rFonts w:ascii="宋体" w:hAnsi="宋体"/>
          <w:sz w:val="28"/>
          <w:szCs w:val="28"/>
        </w:rPr>
        <w:t xml:space="preserve">（1）对磋商文件提出质疑的，为收到磋商文件之日或磋商文件公告期限届满之日；</w:t>
      </w:r>
      <w:r/>
    </w:p>
    <w:p>
      <w:pPr>
        <w:ind w:firstLine="480"/>
        <w:jc w:val="left"/>
        <w:spacing w:line="500" w:lineRule="exact"/>
        <w:rPr>
          <w:rFonts w:hint="eastAsia" w:ascii="宋体" w:hAnsi="宋体"/>
          <w:sz w:val="28"/>
          <w:szCs w:val="28"/>
        </w:rPr>
      </w:pPr>
      <w:r>
        <w:rPr>
          <w:rFonts w:ascii="宋体" w:hAnsi="宋体"/>
          <w:sz w:val="28"/>
          <w:szCs w:val="28"/>
        </w:rPr>
        <w:t xml:space="preserve">（2）对磋商过程提出质疑的，为磋商程序各环节结束之日；</w:t>
      </w:r>
      <w:r/>
    </w:p>
    <w:p>
      <w:pPr>
        <w:ind w:firstLine="480"/>
        <w:jc w:val="left"/>
        <w:spacing w:line="500" w:lineRule="exact"/>
        <w:rPr>
          <w:rFonts w:hint="eastAsia" w:ascii="宋体" w:hAnsi="宋体"/>
          <w:sz w:val="28"/>
          <w:szCs w:val="28"/>
        </w:rPr>
      </w:pPr>
      <w:r>
        <w:rPr>
          <w:rFonts w:ascii="宋体" w:hAnsi="宋体"/>
          <w:sz w:val="28"/>
          <w:szCs w:val="28"/>
        </w:rPr>
        <w:t xml:space="preserve">（3）对成交结果提出质疑的，为成交公告期限届满之日。</w:t>
      </w:r>
      <w:r/>
    </w:p>
    <w:p>
      <w:pPr>
        <w:ind w:firstLine="482"/>
        <w:jc w:val="left"/>
        <w:spacing w:line="500" w:lineRule="exact"/>
        <w:rPr>
          <w:rFonts w:hint="eastAsia" w:ascii="宋体" w:hAnsi="宋体"/>
          <w:sz w:val="28"/>
          <w:szCs w:val="28"/>
        </w:rPr>
      </w:pPr>
      <w:r>
        <w:rPr>
          <w:rFonts w:hint="eastAsia" w:ascii="宋体" w:hAnsi="宋体"/>
          <w:b/>
          <w:bCs/>
          <w:sz w:val="28"/>
          <w:szCs w:val="28"/>
        </w:rPr>
        <w:t xml:space="preserve">3</w:t>
      </w:r>
      <w:r>
        <w:rPr>
          <w:rFonts w:ascii="宋体" w:hAnsi="宋体"/>
          <w:b/>
          <w:bCs/>
          <w:sz w:val="28"/>
          <w:szCs w:val="28"/>
        </w:rPr>
        <w:t xml:space="preserve">、</w:t>
      </w:r>
      <w:r>
        <w:rPr>
          <w:rFonts w:ascii="宋体" w:hAnsi="宋体"/>
          <w:sz w:val="28"/>
          <w:szCs w:val="28"/>
        </w:rPr>
        <w:t xml:space="preserve">成交供应商领取成交通知书时，向</w:t>
      </w:r>
      <w:r>
        <w:rPr>
          <w:rFonts w:hint="eastAsia" w:ascii="宋体" w:hAnsi="宋体"/>
          <w:sz w:val="28"/>
          <w:szCs w:val="28"/>
        </w:rPr>
        <w:t xml:space="preserve">泰州市永晖工程招标代理有限公司</w:t>
      </w:r>
      <w:r>
        <w:rPr>
          <w:rFonts w:ascii="宋体" w:hAnsi="宋体"/>
          <w:sz w:val="28"/>
          <w:szCs w:val="28"/>
        </w:rPr>
        <w:t xml:space="preserve">一次性支付招标代理服务费，收费标准见附件。</w:t>
      </w:r>
      <w:r>
        <w:rPr>
          <w:rFonts w:hint="eastAsia" w:ascii="宋体" w:hAnsi="宋体"/>
          <w:sz w:val="28"/>
          <w:szCs w:val="28"/>
        </w:rPr>
        <w:t xml:space="preserve">同时提供纸质版响应文件一正三副及电子响应文件（U</w:t>
      </w:r>
      <w:r>
        <w:rPr>
          <w:rFonts w:ascii="宋体" w:hAnsi="宋体"/>
          <w:sz w:val="28"/>
          <w:szCs w:val="28"/>
        </w:rPr>
        <w:t xml:space="preserve">盘）</w:t>
      </w:r>
      <w:r>
        <w:rPr>
          <w:rFonts w:hint="eastAsia" w:ascii="宋体" w:hAnsi="宋体"/>
          <w:sz w:val="28"/>
          <w:szCs w:val="28"/>
        </w:rPr>
        <w:t xml:space="preserve">。</w:t>
      </w:r>
      <w:r/>
    </w:p>
    <w:p>
      <w:pPr>
        <w:pStyle w:val="1048"/>
        <w:ind w:firstLine="480"/>
        <w:spacing w:line="500" w:lineRule="exact"/>
        <w:rPr>
          <w:rFonts w:hint="eastAsia"/>
          <w:sz w:val="28"/>
          <w:szCs w:val="28"/>
        </w:rPr>
      </w:pPr>
      <w:r>
        <w:rPr>
          <w:rFonts w:hint="eastAsia"/>
          <w:sz w:val="28"/>
          <w:szCs w:val="28"/>
        </w:rPr>
        <w:t xml:space="preserve">4</w:t>
      </w:r>
      <w:r>
        <w:rPr>
          <w:sz w:val="28"/>
          <w:szCs w:val="28"/>
        </w:rPr>
        <w:t xml:space="preserve">、成交结果在</w:t>
      </w:r>
      <w:r>
        <w:rPr>
          <w:rFonts w:hint="eastAsia"/>
          <w:sz w:val="28"/>
          <w:szCs w:val="28"/>
        </w:rPr>
        <w:t xml:space="preserve">江苏</w:t>
      </w:r>
      <w:r>
        <w:rPr>
          <w:sz w:val="28"/>
          <w:szCs w:val="28"/>
        </w:rPr>
        <w:t xml:space="preserve">政府采购网</w:t>
      </w:r>
      <w:r>
        <w:rPr>
          <w:rFonts w:hint="eastAsia"/>
          <w:sz w:val="28"/>
          <w:szCs w:val="28"/>
        </w:rPr>
        <w:t xml:space="preserve">http://www.ccgp-jiangsu.gov.cn/</w:t>
      </w:r>
      <w:r>
        <w:rPr>
          <w:sz w:val="28"/>
          <w:szCs w:val="28"/>
        </w:rPr>
        <w:t xml:space="preserve">上公布。</w:t>
      </w:r>
      <w:r/>
    </w:p>
    <w:p>
      <w:pPr>
        <w:pStyle w:val="1048"/>
        <w:numPr>
          <w:ilvl w:val="0"/>
          <w:numId w:val="4"/>
        </w:numPr>
        <w:jc w:val="center"/>
        <w:keepNext/>
        <w:pageBreakBefore/>
        <w:rPr>
          <w:rFonts w:hint="eastAsia"/>
          <w:b/>
          <w:bCs/>
          <w:sz w:val="44"/>
          <w:szCs w:val="44"/>
        </w:rPr>
        <w:outlineLvl w:val="0"/>
      </w:pPr>
      <w:r/>
      <w:bookmarkStart w:id="56" w:name="_Toc15925"/>
      <w:r/>
      <w:bookmarkStart w:id="57" w:name="_Toc4467"/>
      <w:r/>
      <w:bookmarkStart w:id="58" w:name="_Toc27152"/>
      <w:r/>
      <w:bookmarkStart w:id="59" w:name="_Hlk211865463"/>
      <w:r>
        <w:rPr>
          <w:rFonts w:hint="eastAsia"/>
          <w:b/>
          <w:bCs/>
          <w:sz w:val="44"/>
          <w:szCs w:val="44"/>
        </w:rPr>
        <w:t xml:space="preserve">评分</w:t>
      </w:r>
      <w:bookmarkEnd w:id="56"/>
      <w:r>
        <w:rPr>
          <w:rFonts w:hint="eastAsia"/>
          <w:b/>
          <w:bCs/>
          <w:sz w:val="44"/>
          <w:szCs w:val="44"/>
        </w:rPr>
        <w:t xml:space="preserve">标准</w:t>
      </w:r>
      <w:bookmarkEnd w:id="57"/>
      <w:r>
        <w:rPr>
          <w:rFonts w:hint="eastAsia"/>
          <w:b/>
          <w:bCs/>
          <w:sz w:val="44"/>
          <w:szCs w:val="44"/>
        </w:rPr>
        <w:t xml:space="preserve"> </w:t>
      </w:r>
      <w:r/>
    </w:p>
    <w:p>
      <w:pPr>
        <w:ind w:firstLine="482"/>
        <w:spacing w:line="440" w:lineRule="exact"/>
        <w:rPr>
          <w:rFonts w:hint="eastAsia" w:ascii="宋体" w:hAnsi="宋体" w:eastAsia="宋体" w:cs="宋体"/>
          <w:b/>
          <w:bCs/>
          <w:color w:val="000000" w:themeColor="text1"/>
          <w:sz w:val="28"/>
          <w:szCs w:val="28"/>
          <w14:textFill>
            <w14:solidFill>
              <w14:schemeClr w14:val="tx1"/>
            </w14:solidFill>
          </w14:textFill>
        </w:rPr>
      </w:pPr>
      <w:r/>
      <w:bookmarkStart w:id="60" w:name="_Toc23864"/>
      <w:r>
        <w:rPr>
          <w:rFonts w:hint="eastAsia" w:ascii="宋体" w:hAnsi="宋体" w:eastAsia="宋体" w:cs="宋体"/>
          <w:b/>
          <w:bCs/>
          <w:color w:val="000000" w:themeColor="text1"/>
          <w:sz w:val="28"/>
          <w:szCs w:val="28"/>
          <w14:textFill>
            <w14:solidFill>
              <w14:schemeClr w14:val="tx1"/>
            </w14:solidFill>
          </w14:textFill>
        </w:rPr>
        <w:t xml:space="preserve">一、评审方法</w:t>
      </w:r>
      <w:r/>
    </w:p>
    <w:p>
      <w:pPr>
        <w:ind w:firstLine="48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1、评审方法采用综合评分法，总分值为100分。</w:t>
      </w:r>
      <w:r/>
    </w:p>
    <w:p>
      <w:pPr>
        <w:ind w:firstLine="48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2、评审时，对每个有效供应商的响应文件进行评分，对评委的评分进行统计汇总，按算术平均方法计算出每个供应商的评审得分。（保留小数点后2位）。</w:t>
      </w:r>
      <w:r/>
    </w:p>
    <w:p>
      <w:pPr>
        <w:ind w:firstLine="482"/>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二、评分标准（总分100分）</w:t>
      </w:r>
      <w:r/>
    </w:p>
    <w:p>
      <w:pPr>
        <w:rPr>
          <w:rFonts w:hint="eastAsia" w:ascii="宋体" w:hAnsi="宋体" w:eastAsia="宋体" w:cs="宋体"/>
          <w:sz w:val="28"/>
          <w:szCs w:val="28"/>
        </w:rPr>
      </w:pPr>
      <w:r>
        <w:rPr>
          <w:rFonts w:hint="eastAsia" w:ascii="宋体" w:hAnsi="宋体" w:eastAsia="宋体" w:cs="宋体"/>
          <w:sz w:val="28"/>
          <w:szCs w:val="28"/>
        </w:rPr>
        <w:t xml:space="preserve">评分标准如下：</w:t>
      </w:r>
      <w:r/>
    </w:p>
    <w:tbl>
      <w:tblPr>
        <w:tblStyle w:val="792"/>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1007"/>
        <w:gridCol w:w="1026"/>
        <w:gridCol w:w="1417"/>
        <w:gridCol w:w="4567"/>
      </w:tblGrid>
      <w:tr>
        <w:trPr/>
        <w:tc>
          <w:tcPr>
            <w:tcW w:w="1228"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评分项</w:t>
            </w:r>
            <w:r/>
          </w:p>
        </w:tc>
        <w:tc>
          <w:tcPr>
            <w:tcW w:w="100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权值</w:t>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评分单项</w:t>
            </w:r>
            <w:r/>
          </w:p>
        </w:tc>
        <w:tc>
          <w:tcPr>
            <w:tcW w:w="141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单项权值</w:t>
            </w:r>
            <w:r/>
          </w:p>
        </w:tc>
        <w:tc>
          <w:tcPr>
            <w:tcW w:w="4567" w:type="dxa"/>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评分标准</w:t>
            </w:r>
            <w:r/>
          </w:p>
        </w:tc>
      </w:tr>
      <w:tr>
        <w:trPr>
          <w:trHeight w:val="3440"/>
        </w:trPr>
        <w:tc>
          <w:tcPr>
            <w:tcW w:w="1228"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保险报价</w:t>
            </w:r>
            <w:r/>
          </w:p>
        </w:tc>
        <w:tc>
          <w:tcPr>
            <w:tcW w:w="100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10分</w:t>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医疗责任保险报价</w:t>
            </w:r>
            <w:r/>
          </w:p>
        </w:tc>
        <w:tc>
          <w:tcPr>
            <w:tcW w:w="1417" w:type="dxa"/>
            <w:vAlign w:val="center"/>
            <w:textDirection w:val="lrTb"/>
            <w:noWrap/>
          </w:tcPr>
          <w:p>
            <w:pPr>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10分</w:t>
            </w:r>
            <w:r/>
          </w:p>
          <w:p>
            <w:pPr>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r>
            <w:r/>
          </w:p>
        </w:tc>
        <w:tc>
          <w:tcPr>
            <w:tcW w:w="4567" w:type="dxa"/>
            <w:textDirection w:val="lrTb"/>
            <w:noWrap/>
          </w:tcPr>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本项总分为10分，所有供应商保费报价的最低价作为基准价；供应商保费报价得分按照下列公式确定：</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报价得分=（供应商报价基准价/供应商保费报价）*总分</w:t>
            </w:r>
            <w:r/>
          </w:p>
        </w:tc>
      </w:tr>
      <w:tr>
        <w:trPr>
          <w:trHeight w:val="1462"/>
        </w:trPr>
        <w:tc>
          <w:tcPr>
            <w:tcW w:w="1228" w:type="dxa"/>
            <w:vAlign w:val="center"/>
            <w:vMerge w:val="restart"/>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供应商资信</w:t>
            </w:r>
            <w:r/>
          </w:p>
        </w:tc>
        <w:tc>
          <w:tcPr>
            <w:tcW w:w="1007" w:type="dxa"/>
            <w:vAlign w:val="center"/>
            <w:vMerge w:val="restart"/>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20分</w:t>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综合偿付能力</w:t>
            </w:r>
            <w:r/>
          </w:p>
        </w:tc>
        <w:tc>
          <w:tcPr>
            <w:tcW w:w="141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10分</w:t>
            </w:r>
            <w:r/>
          </w:p>
        </w:tc>
        <w:tc>
          <w:tcPr>
            <w:tcW w:w="4567" w:type="dxa"/>
            <w:textDirection w:val="lrTb"/>
            <w:noWrap/>
          </w:tcPr>
          <w:p>
            <w:pPr>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2025年三季度综合偿付能力达到</w:t>
            </w:r>
            <w:r>
              <w:rPr>
                <w:rFonts w:hint="eastAsia" w:ascii="宋体" w:hAnsi="宋体" w:eastAsia="宋体" w:cs="宋体"/>
                <w:sz w:val="28"/>
                <w:szCs w:val="28"/>
                <w:highlight w:val="none"/>
              </w:rPr>
              <w:t xml:space="preserve">230%（含）以上的得10分，200%（含）-230%得5分，200%以下得2分。</w:t>
            </w:r>
            <w:r>
              <w:rPr>
                <w:rFonts w:hint="eastAsia" w:ascii="宋体" w:hAnsi="宋体" w:eastAsia="宋体" w:cs="宋体"/>
                <w:sz w:val="28"/>
                <w:szCs w:val="28"/>
              </w:rPr>
              <w:t xml:space="preserve">（以各家供应商最新偿付能力报告为准，最新偿付能力报告截图并加盖磋商供应商公章，未提供不得分，联合体招标的，以平均值作为参考）。</w:t>
            </w:r>
            <w:r/>
          </w:p>
        </w:tc>
      </w:tr>
      <w:tr>
        <w:trPr>
          <w:trHeight w:val="1462"/>
        </w:trPr>
        <w:tc>
          <w:tcPr>
            <w:tcW w:w="1228" w:type="dxa"/>
            <w:vAlign w:val="center"/>
            <w:vMerge w:val="continue"/>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07" w:type="dxa"/>
            <w:vAlign w:val="center"/>
            <w:vMerge w:val="continue"/>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风险综合评级</w:t>
            </w:r>
            <w:r/>
          </w:p>
        </w:tc>
        <w:tc>
          <w:tcPr>
            <w:tcW w:w="141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10分</w:t>
            </w:r>
            <w:r/>
          </w:p>
        </w:tc>
        <w:tc>
          <w:tcPr>
            <w:tcW w:w="4567" w:type="dxa"/>
            <w:textDirection w:val="lrTb"/>
            <w:noWrap/>
          </w:tcPr>
          <w:p>
            <w:pPr>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参选人总公司2025年三季度末的风险综合评级（分类监管）情况评分，A类得10分、B类得5分，其他不得分。（提供中国保险行业协会网站上公开披露的2025年第（三)季度风险综合评级复印件或者保险监督管理机构监管信息系统截图，</w:t>
            </w:r>
            <w:r>
              <w:rPr>
                <w:rFonts w:ascii="SimSun" w:hAnsi="SimSun" w:eastAsia="SimSun" w:cs="SimSun"/>
                <w:color w:val="000000"/>
                <w:sz w:val="28"/>
              </w:rPr>
              <w:t xml:space="preserve">以牵头单位为准。</w:t>
            </w:r>
            <w:r>
              <w:rPr>
                <w:rFonts w:hint="eastAsia" w:ascii="宋体" w:hAnsi="宋体" w:eastAsia="宋体" w:cs="宋体"/>
                <w:sz w:val="28"/>
                <w:szCs w:val="28"/>
              </w:rPr>
              <w:t xml:space="preserve">未按上述要求提供的</w:t>
            </w:r>
            <w:r>
              <w:rPr>
                <w:rFonts w:hint="eastAsia" w:ascii="宋体" w:hAnsi="宋体" w:eastAsia="宋体" w:cs="宋体"/>
                <w:sz w:val="28"/>
                <w:szCs w:val="28"/>
                <w:lang w:val="zh-CN"/>
              </w:rPr>
              <w:t xml:space="preserve">不得分</w:t>
            </w:r>
            <w:r>
              <w:rPr>
                <w:rFonts w:hint="eastAsia" w:ascii="宋体" w:hAnsi="宋体" w:eastAsia="宋体" w:cs="宋体"/>
                <w:sz w:val="28"/>
                <w:szCs w:val="28"/>
              </w:rPr>
              <w:t xml:space="preserve">。）</w:t>
            </w:r>
            <w:r/>
          </w:p>
        </w:tc>
      </w:tr>
      <w:tr>
        <w:trPr>
          <w:trHeight w:val="274"/>
        </w:trPr>
        <w:tc>
          <w:tcPr>
            <w:tcW w:w="1228" w:type="dxa"/>
            <w:vAlign w:val="center"/>
            <w:vMerge w:val="restart"/>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服务能力</w:t>
            </w:r>
            <w:r/>
          </w:p>
        </w:tc>
        <w:tc>
          <w:tcPr>
            <w:tcW w:w="1007" w:type="dxa"/>
            <w:vAlign w:val="center"/>
            <w:vMerge w:val="restart"/>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15分</w:t>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人员配备</w:t>
            </w:r>
            <w:r/>
          </w:p>
        </w:tc>
        <w:tc>
          <w:tcPr>
            <w:tcW w:w="141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分</w:t>
            </w:r>
            <w:r/>
          </w:p>
        </w:tc>
        <w:tc>
          <w:tcPr>
            <w:tcW w:w="4567" w:type="dxa"/>
            <w:textDirection w:val="lrTb"/>
            <w:noWrap/>
          </w:tcPr>
          <w:p>
            <w:pPr>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为本项目配备的服务团队人数，每配备1人得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rPr>
                <w:rFonts w:hint="eastAsia" w:ascii="宋体" w:hAnsi="宋体" w:eastAsia="宋体" w:cs="宋体"/>
                <w:color w:val="auto"/>
                <w:sz w:val="28"/>
                <w:szCs w:val="28"/>
                <w:highlight w:val="none"/>
              </w:rPr>
              <w:t xml:space="preserve">，最高</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w:t>
            </w:r>
            <w:r/>
          </w:p>
          <w:p>
            <w:pPr>
              <w:spacing w:line="360" w:lineRule="auto"/>
              <w:widowControl/>
              <w:rPr>
                <w:rFonts w:hint="eastAsia" w:ascii="宋体" w:hAnsi="宋体" w:eastAsia="宋体" w:cs="宋体"/>
                <w:bCs/>
                <w:sz w:val="28"/>
                <w:szCs w:val="28"/>
              </w:rPr>
            </w:pPr>
            <w:r>
              <w:rPr>
                <w:rFonts w:hint="eastAsia" w:ascii="宋体" w:hAnsi="宋体" w:eastAsia="宋体" w:cs="宋体"/>
                <w:bCs/>
                <w:sz w:val="28"/>
                <w:szCs w:val="28"/>
              </w:rPr>
              <w:t xml:space="preserve">注：为本项目配备的服务团队人员名单，及截磋商文件递交日期近六个月任意一个月缴费的社保证明，不提供不得分。</w:t>
            </w:r>
            <w:r/>
          </w:p>
        </w:tc>
      </w:tr>
      <w:tr>
        <w:trPr>
          <w:trHeight w:val="274"/>
        </w:trPr>
        <w:tc>
          <w:tcPr>
            <w:tcW w:w="1228" w:type="dxa"/>
            <w:vAlign w:val="center"/>
            <w:vMerge w:val="continue"/>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07" w:type="dxa"/>
            <w:vAlign w:val="center"/>
            <w:vMerge w:val="continue"/>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26" w:type="dxa"/>
            <w:vAlign w:val="center"/>
            <w:textDirection w:val="lrTb"/>
            <w:noWrap/>
          </w:tcPr>
          <w:p>
            <w:pPr>
              <w:jc w:val="cente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快捷服务能力</w:t>
            </w:r>
            <w:r/>
          </w:p>
        </w:tc>
        <w:tc>
          <w:tcPr>
            <w:tcW w:w="1417" w:type="dxa"/>
            <w:vAlign w:val="center"/>
            <w:textDirection w:val="lrTb"/>
            <w:noWrap/>
          </w:tcPr>
          <w:p>
            <w:pPr>
              <w:jc w:val="cente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10分</w:t>
            </w:r>
            <w:r/>
          </w:p>
        </w:tc>
        <w:tc>
          <w:tcPr>
            <w:tcW w:w="4567" w:type="dxa"/>
            <w:textDirection w:val="lrTb"/>
            <w:noWrap/>
          </w:tcPr>
          <w:p>
            <w:pPr>
              <w:spacing w:line="360" w:lineRule="auto"/>
              <w:widowControl/>
              <w:rPr>
                <w:rFonts w:hint="eastAsia" w:ascii="宋体" w:hAnsi="宋体" w:eastAsia="宋体" w:cs="宋体"/>
                <w:bCs/>
                <w:sz w:val="28"/>
                <w:szCs w:val="28"/>
              </w:rPr>
            </w:pPr>
            <w:r>
              <w:rPr>
                <w:rFonts w:hint="eastAsia" w:ascii="宋体" w:hAnsi="宋体" w:eastAsia="宋体" w:cs="宋体"/>
                <w:bCs/>
                <w:sz w:val="28"/>
                <w:szCs w:val="28"/>
              </w:rPr>
              <w:t xml:space="preserve">该项目服务区域广，为了能更好的做好落地服务，供应商承诺成交之后在兴化地区设置营业网点，每有一家得2分，最高得10分;不提供承诺函的，不得分。(已建成的营业网点需提供经营保险业务许可证和营业执照复印件加盖公章，未建成需提供承诺函并加盖公章，不提供不得分)。</w:t>
            </w:r>
            <w:r/>
          </w:p>
        </w:tc>
      </w:tr>
      <w:tr>
        <w:trPr>
          <w:trHeight w:val="2574"/>
        </w:trPr>
        <w:tc>
          <w:tcPr>
            <w:tcW w:w="1228" w:type="dxa"/>
            <w:vAlign w:val="center"/>
            <w:vMerge w:val="restart"/>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项目经验</w:t>
            </w:r>
            <w:r/>
          </w:p>
        </w:tc>
        <w:tc>
          <w:tcPr>
            <w:tcW w:w="1007" w:type="dxa"/>
            <w:vAlign w:val="center"/>
            <w:vMerge w:val="restart"/>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22分</w:t>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医责险承保经验</w:t>
            </w:r>
            <w:r/>
          </w:p>
        </w:tc>
        <w:tc>
          <w:tcPr>
            <w:tcW w:w="1417" w:type="dxa"/>
            <w:vAlign w:val="center"/>
            <w:textDirection w:val="lrTb"/>
            <w:noWrap/>
          </w:tcPr>
          <w:p>
            <w:pPr>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12分</w:t>
            </w:r>
            <w:r/>
          </w:p>
        </w:tc>
        <w:tc>
          <w:tcPr>
            <w:tcW w:w="4567" w:type="dxa"/>
            <w:textDirection w:val="lrTb"/>
            <w:noWrap/>
          </w:tcPr>
          <w:p>
            <w:pPr>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医责险承保经验（12分）：2024年1月1日以来，供应商承保的类似医疗责任保险承保经验，独家或首席承保的每有一例得2分，最高得12分；非首席承保或入围承保的每有一例得1分，最高得6分，没有不得分。(同一项目的承保经验仅可计算一次分数，每一个项目经验须附合同协议或中标通知书或其他相关证明材料，如所提供材料中无法体现承保类别，则不予认可);</w:t>
            </w:r>
            <w:r/>
          </w:p>
        </w:tc>
      </w:tr>
      <w:tr>
        <w:trPr>
          <w:trHeight w:val="2495"/>
        </w:trPr>
        <w:tc>
          <w:tcPr>
            <w:tcW w:w="1228" w:type="dxa"/>
            <w:vAlign w:val="center"/>
            <w:vMerge w:val="continue"/>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07" w:type="dxa"/>
            <w:vAlign w:val="center"/>
            <w:vMerge w:val="continue"/>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其他责任险承保经验</w:t>
            </w:r>
            <w:r/>
          </w:p>
        </w:tc>
        <w:tc>
          <w:tcPr>
            <w:tcW w:w="141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10分</w:t>
            </w:r>
            <w:r/>
          </w:p>
        </w:tc>
        <w:tc>
          <w:tcPr>
            <w:tcW w:w="4567" w:type="dxa"/>
            <w:textDirection w:val="lrTb"/>
            <w:noWrap/>
          </w:tcPr>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其他责任险承保经验（10分）：2024年</w:t>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t xml:space="preserve">月1日以来，供应商承保的其他责任保险承保经验，独家或首席承保的每有一例得2分，最高得10分；非首席承保或入围承保的每有一例得1分，最高得5分，没有不得分。(同一项目的承保经验仅可计算一次分数，每一个项目经验须附合同协议或中标通知书或其他相关证明材料，如所提供材料中无法体现承保类别，则不予认可)</w:t>
            </w:r>
            <w:r/>
          </w:p>
        </w:tc>
      </w:tr>
      <w:tr>
        <w:trPr>
          <w:trHeight w:val="7111"/>
        </w:trPr>
        <w:tc>
          <w:tcPr>
            <w:tcW w:w="1228"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承保服务</w:t>
            </w:r>
            <w:r/>
          </w:p>
        </w:tc>
        <w:tc>
          <w:tcPr>
            <w:tcW w:w="100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10分</w:t>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承保服务</w:t>
            </w:r>
            <w:r/>
          </w:p>
        </w:tc>
        <w:tc>
          <w:tcPr>
            <w:tcW w:w="141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10分</w:t>
            </w:r>
            <w:r/>
          </w:p>
        </w:tc>
        <w:tc>
          <w:tcPr>
            <w:tcW w:w="4567" w:type="dxa"/>
            <w:textDirection w:val="lrTb"/>
            <w:noWrap/>
          </w:tcPr>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针对本项目提供的承保服务进行评分，方案内容至少包括：①指定专门的客服人员，接受咨询，解释相关保险内容。②定期走访参保客户，听取客户相关意见和建议，不断提高服务水平，为后续的参保工作做好准备。③组织保险方案的宣传。④事故预防的培训。</w:t>
            </w:r>
            <w:r>
              <w:rPr>
                <w:rFonts w:hint="eastAsia" w:ascii="宋体" w:hAnsi="宋体" w:eastAsia="宋体" w:cs="宋体"/>
                <w:bCs/>
                <w:color w:val="000000" w:themeColor="text1"/>
                <w:sz w:val="28"/>
                <w:szCs w:val="28"/>
                <w14:textFill>
                  <w14:solidFill>
                    <w14:schemeClr w14:val="tx1"/>
                  </w14:solidFill>
                </w14:textFill>
              </w:rPr>
              <w:t xml:space="preserve">由评标委员会进行综合评审</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sz w:val="28"/>
                <w:szCs w:val="28"/>
                <w:lang w:val="en-US" w:eastAsia="zh-CN"/>
              </w:rPr>
              <w:t xml:space="preserve">方案</w:t>
            </w:r>
            <w:r>
              <w:rPr>
                <w:rFonts w:hint="eastAsia" w:ascii="宋体" w:hAnsi="宋体" w:eastAsia="宋体" w:cs="宋体"/>
                <w:bCs/>
                <w:color w:val="000000" w:themeColor="text1"/>
                <w:sz w:val="28"/>
                <w:szCs w:val="28"/>
                <w14:textFill>
                  <w14:solidFill>
                    <w14:schemeClr w14:val="tx1"/>
                  </w14:solidFill>
                </w14:textFill>
              </w:rPr>
              <w:t xml:space="preserve">优于采购需求的得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10</w:t>
            </w:r>
            <w:r>
              <w:rPr>
                <w:rFonts w:hint="eastAsia" w:ascii="宋体" w:hAnsi="宋体" w:eastAsia="宋体" w:cs="宋体"/>
                <w:bCs/>
                <w:color w:val="000000" w:themeColor="text1"/>
                <w:sz w:val="28"/>
                <w:szCs w:val="28"/>
                <w14:textFill>
                  <w14:solidFill>
                    <w14:schemeClr w14:val="tx1"/>
                  </w14:solidFill>
                </w14:textFill>
              </w:rPr>
              <w:t xml:space="preserve">分，符合采购需求的得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14:textFill>
                  <w14:solidFill>
                    <w14:schemeClr w14:val="tx1"/>
                  </w14:solidFill>
                </w14:textFill>
              </w:rPr>
              <w:t xml:space="preserve">分，不符合采购需求或者未提供的不得分</w:t>
            </w:r>
            <w:r>
              <w:rPr>
                <w:rFonts w:hint="eastAsia" w:ascii="宋体" w:hAnsi="宋体" w:eastAsia="宋体" w:cs="宋体"/>
                <w:bCs/>
                <w:sz w:val="28"/>
                <w:szCs w:val="28"/>
              </w:rPr>
              <w:t xml:space="preserve">。</w:t>
            </w:r>
            <w:r/>
          </w:p>
        </w:tc>
      </w:tr>
      <w:tr>
        <w:trPr>
          <w:trHeight w:val="1147"/>
        </w:trPr>
        <w:tc>
          <w:tcPr>
            <w:tcW w:w="1228"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理赔服务</w:t>
            </w:r>
            <w:r/>
          </w:p>
        </w:tc>
        <w:tc>
          <w:tcPr>
            <w:tcW w:w="100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15分</w:t>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理赔服务</w:t>
            </w:r>
            <w:r/>
          </w:p>
        </w:tc>
        <w:tc>
          <w:tcPr>
            <w:tcW w:w="141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15分</w:t>
            </w:r>
            <w:r/>
          </w:p>
        </w:tc>
        <w:tc>
          <w:tcPr>
            <w:tcW w:w="4567" w:type="dxa"/>
            <w:textDirection w:val="lrTb"/>
            <w:noWrap/>
          </w:tcPr>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针对本项目提供的理赔服务进行评分，方案内容至少包括：①理赔方案。②理赔时效方案。</w:t>
            </w:r>
            <w:r>
              <w:rPr>
                <w:rFonts w:hint="eastAsia" w:ascii="宋体" w:hAnsi="宋体" w:eastAsia="宋体" w:cs="宋体"/>
                <w:bCs/>
                <w:color w:val="000000" w:themeColor="text1"/>
                <w:sz w:val="28"/>
                <w:szCs w:val="28"/>
                <w14:textFill>
                  <w14:solidFill>
                    <w14:schemeClr w14:val="tx1"/>
                  </w14:solidFill>
                </w14:textFill>
              </w:rPr>
              <w:t xml:space="preserve">由评标委员会进行综合评审</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sz w:val="28"/>
                <w:szCs w:val="28"/>
                <w:lang w:val="en-US" w:eastAsia="zh-CN"/>
              </w:rPr>
              <w:t xml:space="preserve">方案</w:t>
            </w:r>
            <w:r>
              <w:rPr>
                <w:rFonts w:hint="eastAsia" w:ascii="宋体" w:hAnsi="宋体" w:eastAsia="宋体" w:cs="宋体"/>
                <w:bCs/>
                <w:color w:val="000000" w:themeColor="text1"/>
                <w:sz w:val="28"/>
                <w:szCs w:val="28"/>
                <w14:textFill>
                  <w14:solidFill>
                    <w14:schemeClr w14:val="tx1"/>
                  </w14:solidFill>
                </w14:textFill>
              </w:rPr>
              <w:t xml:space="preserve">优于采购需求的得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15</w:t>
            </w:r>
            <w:r>
              <w:rPr>
                <w:rFonts w:hint="eastAsia" w:ascii="宋体" w:hAnsi="宋体" w:eastAsia="宋体" w:cs="宋体"/>
                <w:bCs/>
                <w:color w:val="000000" w:themeColor="text1"/>
                <w:sz w:val="28"/>
                <w:szCs w:val="28"/>
                <w14:textFill>
                  <w14:solidFill>
                    <w14:schemeClr w14:val="tx1"/>
                  </w14:solidFill>
                </w14:textFill>
              </w:rPr>
              <w:t xml:space="preserve">分，符合采购需求的得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10</w:t>
            </w:r>
            <w:r>
              <w:rPr>
                <w:rFonts w:hint="eastAsia" w:ascii="宋体" w:hAnsi="宋体" w:eastAsia="宋体" w:cs="宋体"/>
                <w:bCs/>
                <w:color w:val="000000" w:themeColor="text1"/>
                <w:sz w:val="28"/>
                <w:szCs w:val="28"/>
                <w14:textFill>
                  <w14:solidFill>
                    <w14:schemeClr w14:val="tx1"/>
                  </w14:solidFill>
                </w14:textFill>
              </w:rPr>
              <w:t xml:space="preserve">分，不符合采购需求或者未提供的不得分</w:t>
            </w:r>
            <w:r>
              <w:rPr>
                <w:rFonts w:hint="eastAsia" w:ascii="宋体" w:hAnsi="宋体" w:eastAsia="宋体" w:cs="宋体"/>
                <w:bCs/>
                <w:sz w:val="28"/>
                <w:szCs w:val="28"/>
              </w:rPr>
              <w:t xml:space="preserve">。</w:t>
            </w:r>
            <w:r/>
          </w:p>
        </w:tc>
      </w:tr>
    </w:tbl>
    <w:p>
      <w:pPr>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br w:type="page" w:clear="all"/>
      </w:r>
      <w:r/>
    </w:p>
    <w:tbl>
      <w:tblPr>
        <w:tblStyle w:val="792"/>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1007"/>
        <w:gridCol w:w="1026"/>
        <w:gridCol w:w="1417"/>
        <w:gridCol w:w="4567"/>
      </w:tblGrid>
      <w:tr>
        <w:trPr>
          <w:trHeight w:val="2653"/>
        </w:trPr>
        <w:tc>
          <w:tcPr>
            <w:tcW w:w="1228"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响应情况</w:t>
            </w:r>
            <w:r/>
          </w:p>
        </w:tc>
        <w:tc>
          <w:tcPr>
            <w:tcW w:w="100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8分</w:t>
            </w:r>
            <w:r/>
          </w:p>
        </w:tc>
        <w:tc>
          <w:tcPr>
            <w:tcW w:w="1026" w:type="dxa"/>
            <w:vAlign w:val="center"/>
            <w:textDirection w:val="lrTb"/>
            <w:noWrap/>
          </w:tcPr>
          <w:p>
            <w:pPr>
              <w:jc w:val="center"/>
              <w:spacing w:line="360" w:lineRule="auto"/>
              <w:rPr>
                <w:rFonts w:hint="eastAsia" w:ascii="宋体" w:hAnsi="宋体" w:eastAsia="宋体" w:cs="宋体"/>
                <w:sz w:val="28"/>
                <w:szCs w:val="28"/>
              </w:rPr>
            </w:pPr>
            <w:r/>
            <w:bookmarkStart w:id="61" w:name="_Hlk487119180"/>
            <w:r>
              <w:rPr>
                <w:rFonts w:hint="eastAsia" w:ascii="宋体" w:hAnsi="宋体" w:eastAsia="宋体" w:cs="宋体"/>
                <w:bCs/>
                <w:sz w:val="28"/>
                <w:szCs w:val="28"/>
              </w:rPr>
              <w:t xml:space="preserve">响应承诺</w:t>
            </w:r>
            <w:bookmarkEnd w:id="61"/>
            <w:r/>
            <w:r/>
          </w:p>
        </w:tc>
        <w:tc>
          <w:tcPr>
            <w:tcW w:w="141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8分</w:t>
            </w:r>
            <w:r/>
          </w:p>
        </w:tc>
        <w:tc>
          <w:tcPr>
            <w:tcW w:w="4567" w:type="dxa"/>
            <w:textDirection w:val="lrTb"/>
            <w:noWrap/>
          </w:tcPr>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供应商针对保险方案、采购协议、赔偿处理办法作出书面响应。承诺得8分，不承诺不得分。</w:t>
            </w:r>
            <w:r/>
          </w:p>
          <w:p>
            <w:pPr>
              <w:spacing w:line="360" w:lineRule="auto"/>
              <w:rPr>
                <w:rFonts w:hint="eastAsia" w:ascii="宋体" w:hAnsi="宋体" w:eastAsia="宋体" w:cs="宋体"/>
                <w:sz w:val="28"/>
                <w:szCs w:val="28"/>
              </w:rPr>
            </w:pPr>
            <w:r/>
            <w:bookmarkStart w:id="62" w:name="_Hlk487119523"/>
            <w:r>
              <w:rPr>
                <w:rFonts w:hint="eastAsia" w:ascii="宋体" w:hAnsi="宋体" w:eastAsia="宋体" w:cs="宋体"/>
                <w:sz w:val="28"/>
                <w:szCs w:val="28"/>
              </w:rPr>
              <w:t xml:space="preserve">（供应商须完全满足采购文件中关于保险方案、采购协议、赔偿处理办法要求，否则作无效响应文件处理。</w:t>
            </w:r>
            <w:bookmarkEnd w:id="62"/>
            <w:r>
              <w:rPr>
                <w:rFonts w:hint="eastAsia" w:ascii="宋体" w:hAnsi="宋体" w:eastAsia="宋体" w:cs="宋体"/>
                <w:sz w:val="28"/>
                <w:szCs w:val="28"/>
              </w:rPr>
              <w:t xml:space="preserve">注：采购文件中所附保险条款为参考条款，若供应商经保险监督管理部门注册的备案产品与所附条款存在差异，不属于实质性差异。）</w:t>
            </w:r>
            <w:r/>
          </w:p>
        </w:tc>
      </w:tr>
      <w:tr>
        <w:trPr/>
        <w:tc>
          <w:tcPr>
            <w:tcW w:w="1228"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总分</w:t>
            </w:r>
            <w:r/>
          </w:p>
        </w:tc>
        <w:tc>
          <w:tcPr>
            <w:tcW w:w="100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100分</w:t>
            </w:r>
            <w:r/>
          </w:p>
        </w:tc>
        <w:tc>
          <w:tcPr>
            <w:tcW w:w="1026"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p>
        </w:tc>
        <w:tc>
          <w:tcPr>
            <w:tcW w:w="1417" w:type="dxa"/>
            <w:vAlign w:val="center"/>
            <w:textDirection w:val="lrTb"/>
            <w:noWrap/>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p>
        </w:tc>
        <w:tc>
          <w:tcPr>
            <w:tcW w:w="4567" w:type="dxa"/>
            <w:textDirection w:val="lrTb"/>
            <w:noWrap/>
          </w:tcPr>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p>
        </w:tc>
      </w:tr>
    </w:tbl>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备注：投标人为总公司的分支机构，其总公司及其其他分支机构的</w:t>
      </w:r>
      <w:bookmarkStart w:id="63" w:name="OLE_LINK1"/>
      <w:r>
        <w:rPr>
          <w:rFonts w:hint="eastAsia" w:ascii="宋体" w:hAnsi="宋体" w:eastAsia="宋体" w:cs="宋体"/>
          <w:bCs/>
          <w:color w:val="000000" w:themeColor="text1"/>
          <w:sz w:val="28"/>
          <w:szCs w:val="28"/>
          <w14:textFill>
            <w14:solidFill>
              <w14:schemeClr w14:val="tx1"/>
            </w14:solidFill>
          </w14:textFill>
        </w:rPr>
        <w:t xml:space="preserve">项目经验、综合实力、保险服务能力可作为有效资料。</w:t>
      </w:r>
      <w:bookmarkEnd w:id="63"/>
      <w:r>
        <w:rPr>
          <w:rFonts w:hint="eastAsia" w:ascii="宋体" w:hAnsi="宋体" w:eastAsia="宋体" w:cs="宋体"/>
          <w:b/>
          <w:bCs/>
          <w:color w:val="000000" w:themeColor="text1"/>
          <w:sz w:val="28"/>
          <w:szCs w:val="28"/>
          <w14:textFill>
            <w14:solidFill>
              <w14:schemeClr w14:val="tx1"/>
            </w14:solidFill>
          </w14:textFill>
        </w:rPr>
        <w:t xml:space="preserve">投标人为联合体的，联合体所有成员的项目经验、综合实力、保险服务能力可作为有效资料。</w:t>
      </w:r>
      <w:r/>
    </w:p>
    <w:p>
      <w:pPr>
        <w:ind w:left="840" w:hanging="84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spacing w:line="91" w:lineRule="auto"/>
        <w:rPr>
          <w:rFonts w:ascii="Arial"/>
          <w:sz w:val="2"/>
        </w:rPr>
      </w:pPr>
      <w:r>
        <w:rPr>
          <w:rFonts w:ascii="Arial"/>
          <w:sz w:val="2"/>
        </w:rPr>
      </w:r>
      <w:r/>
    </w:p>
    <w:p>
      <w:pPr>
        <w:pStyle w:val="844"/>
        <w:ind w:firstLine="600"/>
        <w:spacing w:line="520" w:lineRule="exact"/>
        <w:widowControl/>
        <w:rPr>
          <w:rFonts w:ascii="宋体"/>
          <w:color w:val="000000"/>
          <w:sz w:val="30"/>
          <w:szCs w:val="30"/>
        </w:rPr>
      </w:pPr>
      <w:r>
        <w:rPr>
          <w:rFonts w:ascii="宋体"/>
          <w:color w:val="000000"/>
          <w:sz w:val="30"/>
          <w:szCs w:val="30"/>
        </w:rPr>
      </w:r>
      <w:r/>
    </w:p>
    <w:p>
      <w:pPr>
        <w:pStyle w:val="1048"/>
        <w:jc w:val="center"/>
        <w:keepNext/>
        <w:pageBreakBefore/>
        <w:rPr>
          <w:rFonts w:hint="eastAsia"/>
          <w:b/>
          <w:bCs/>
          <w:sz w:val="44"/>
          <w:szCs w:val="44"/>
        </w:rPr>
        <w:outlineLvl w:val="0"/>
      </w:pPr>
      <w:r/>
      <w:bookmarkStart w:id="64" w:name="_Toc5579"/>
      <w:r>
        <w:rPr>
          <w:rFonts w:hint="eastAsia"/>
          <w:b/>
          <w:bCs/>
          <w:sz w:val="44"/>
          <w:szCs w:val="44"/>
        </w:rPr>
        <w:t xml:space="preserve">第八章采购需求</w:t>
      </w:r>
      <w:bookmarkEnd w:id="58"/>
      <w:r/>
      <w:bookmarkEnd w:id="60"/>
      <w:r/>
      <w:bookmarkEnd w:id="64"/>
      <w:r/>
      <w:r/>
    </w:p>
    <w:p>
      <w:pPr>
        <w:ind w:firstLine="562"/>
        <w:spacing w:line="460" w:lineRule="exact"/>
        <w:rPr>
          <w:rFonts w:hint="eastAsia" w:ascii="宋体" w:hAnsi="宋体" w:cs="宋体"/>
          <w:bCs/>
          <w:sz w:val="28"/>
          <w:szCs w:val="28"/>
        </w:rPr>
      </w:pPr>
      <w:r>
        <w:rPr>
          <w:rFonts w:hint="eastAsia" w:ascii="宋体" w:hAnsi="宋体" w:cs="宋体"/>
          <w:bCs/>
          <w:sz w:val="28"/>
          <w:szCs w:val="28"/>
        </w:rPr>
        <w:t xml:space="preserve">一、采购预算：壹佰玖拾玖万贰仟伍佰元整（¥：1992500元）</w:t>
      </w:r>
      <w:r/>
    </w:p>
    <w:p>
      <w:pPr>
        <w:ind w:firstLine="562"/>
        <w:spacing w:line="460" w:lineRule="exact"/>
        <w:rPr>
          <w:rFonts w:hint="eastAsia" w:ascii="宋体" w:hAnsi="宋体" w:cs="宋体"/>
          <w:bCs/>
          <w:sz w:val="28"/>
          <w:szCs w:val="28"/>
        </w:rPr>
      </w:pPr>
      <w:r>
        <w:rPr>
          <w:rFonts w:hint="eastAsia" w:ascii="宋体" w:hAnsi="宋体" w:cs="宋体"/>
          <w:bCs/>
          <w:sz w:val="28"/>
          <w:szCs w:val="28"/>
        </w:rPr>
        <w:t xml:space="preserve">二、保险期间</w:t>
      </w:r>
      <w:r/>
    </w:p>
    <w:p>
      <w:pPr>
        <w:ind w:right="98" w:firstLine="560"/>
        <w:spacing w:line="460" w:lineRule="exact"/>
        <w:rPr>
          <w:rFonts w:hint="eastAsia" w:ascii="宋体" w:hAnsi="宋体" w:cs="宋体"/>
          <w:sz w:val="28"/>
          <w:szCs w:val="28"/>
        </w:rPr>
      </w:pPr>
      <w:r>
        <w:rPr>
          <w:rFonts w:hint="eastAsia" w:ascii="宋体" w:hAnsi="宋体" w:cs="宋体"/>
          <w:sz w:val="28"/>
          <w:szCs w:val="28"/>
        </w:rPr>
        <w:t xml:space="preserve">本项目保险期间：一年。</w:t>
      </w:r>
      <w:r/>
    </w:p>
    <w:p>
      <w:pPr>
        <w:ind w:firstLine="562"/>
        <w:spacing w:line="460" w:lineRule="exact"/>
        <w:rPr>
          <w:rFonts w:hint="eastAsia" w:ascii="宋体" w:hAnsi="宋体" w:cs="宋体"/>
          <w:bCs/>
          <w:sz w:val="28"/>
          <w:szCs w:val="28"/>
        </w:rPr>
      </w:pPr>
      <w:r>
        <w:rPr>
          <w:rFonts w:hint="eastAsia" w:ascii="宋体" w:hAnsi="宋体" w:cs="宋体"/>
          <w:bCs/>
          <w:sz w:val="28"/>
          <w:szCs w:val="28"/>
        </w:rPr>
        <w:t xml:space="preserve">三、保险方案</w:t>
      </w:r>
      <w:r/>
    </w:p>
    <w:tbl>
      <w:tblPr>
        <w:tblStyle w:val="792"/>
        <w:tblW w:w="8885" w:type="dxa"/>
        <w:jc w:val="center"/>
        <w:tblLayout w:type="fixed"/>
        <w:tblCellMar>
          <w:left w:w="15" w:type="dxa"/>
          <w:top w:w="15" w:type="dxa"/>
          <w:right w:w="15" w:type="dxa"/>
          <w:bottom w:w="15" w:type="dxa"/>
        </w:tblCellMar>
        <w:tblLook w:val="04A0" w:firstRow="1" w:lastRow="0" w:firstColumn="1" w:lastColumn="0" w:noHBand="0" w:noVBand="1"/>
      </w:tblPr>
      <w:tblGrid>
        <w:gridCol w:w="2352"/>
        <w:gridCol w:w="1068"/>
        <w:gridCol w:w="1329"/>
        <w:gridCol w:w="1153"/>
        <w:gridCol w:w="2983"/>
      </w:tblGrid>
      <w:tr>
        <w:trPr>
          <w:jc w:val="center"/>
          <w:trHeight w:val="495"/>
        </w:trPr>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240" w:lineRule="atLeast"/>
              <w:widowControl/>
              <w:rPr>
                <w:rFonts w:hint="eastAsia" w:ascii="宋体" w:hAnsi="宋体" w:cs="宋体"/>
                <w:b/>
                <w:color w:val="000000"/>
                <w:spacing w:val="11"/>
                <w:sz w:val="28"/>
                <w:szCs w:val="28"/>
              </w:rPr>
            </w:pPr>
            <w:r>
              <w:rPr>
                <w:rFonts w:hint="eastAsia" w:ascii="宋体" w:hAnsi="宋体" w:cs="宋体"/>
                <w:b/>
                <w:color w:val="000000"/>
                <w:spacing w:val="11"/>
                <w:sz w:val="28"/>
                <w:szCs w:val="28"/>
              </w:rPr>
              <w:t xml:space="preserve">医疗机构</w:t>
            </w:r>
            <w:r/>
          </w:p>
          <w:p>
            <w:pPr>
              <w:jc w:val="center"/>
              <w:spacing w:line="240" w:lineRule="atLeast"/>
              <w:widowControl/>
              <w:rPr>
                <w:rFonts w:hint="eastAsia" w:ascii="宋体" w:hAnsi="宋体" w:cs="宋体"/>
                <w:b/>
                <w:color w:val="000000"/>
                <w:spacing w:val="11"/>
                <w:sz w:val="28"/>
                <w:szCs w:val="28"/>
              </w:rPr>
            </w:pPr>
            <w:r>
              <w:rPr>
                <w:rFonts w:hint="eastAsia" w:ascii="宋体" w:hAnsi="宋体" w:cs="宋体"/>
                <w:b/>
                <w:color w:val="000000"/>
                <w:spacing w:val="11"/>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line="240" w:lineRule="atLeast"/>
              <w:widowControl/>
              <w:rPr>
                <w:rFonts w:hint="eastAsia" w:ascii="宋体" w:hAnsi="宋体" w:cs="宋体"/>
                <w:b/>
                <w:color w:val="000000"/>
                <w:spacing w:val="11"/>
                <w:sz w:val="28"/>
                <w:szCs w:val="28"/>
              </w:rPr>
            </w:pPr>
            <w:r>
              <w:rPr>
                <w:rFonts w:hint="eastAsia" w:ascii="宋体" w:hAnsi="宋体" w:cs="宋体"/>
                <w:b/>
                <w:color w:val="000000"/>
                <w:spacing w:val="11"/>
                <w:sz w:val="28"/>
                <w:szCs w:val="28"/>
              </w:rPr>
              <w:t xml:space="preserve">累计责任限额</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spacing w:line="240" w:lineRule="atLeast"/>
              <w:widowControl/>
              <w:rPr>
                <w:rFonts w:hint="eastAsia" w:ascii="宋体" w:hAnsi="宋体" w:cs="宋体"/>
                <w:b/>
                <w:color w:val="000000"/>
                <w:spacing w:val="11"/>
                <w:sz w:val="28"/>
                <w:szCs w:val="28"/>
              </w:rPr>
            </w:pPr>
            <w:r>
              <w:rPr>
                <w:rFonts w:hint="eastAsia" w:ascii="宋体" w:hAnsi="宋体" w:cs="宋体"/>
                <w:b/>
                <w:color w:val="000000"/>
                <w:spacing w:val="11"/>
                <w:sz w:val="28"/>
                <w:szCs w:val="28"/>
              </w:rPr>
              <w:t xml:space="preserve">每次事故责任限额</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240" w:lineRule="atLeast"/>
              <w:widowControl/>
              <w:rPr>
                <w:rFonts w:hint="eastAsia" w:ascii="宋体" w:hAnsi="宋体" w:cs="宋体"/>
                <w:b/>
                <w:color w:val="000000"/>
                <w:spacing w:val="11"/>
                <w:sz w:val="28"/>
                <w:szCs w:val="28"/>
              </w:rPr>
            </w:pPr>
            <w:r>
              <w:rPr>
                <w:rFonts w:hint="eastAsia" w:ascii="宋体" w:hAnsi="宋体" w:cs="宋体"/>
                <w:b/>
                <w:color w:val="000000"/>
                <w:spacing w:val="11"/>
                <w:sz w:val="28"/>
                <w:szCs w:val="28"/>
              </w:rPr>
              <w:t xml:space="preserve">每次事故每位患者责任限额</w:t>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jc w:val="center"/>
              <w:spacing w:line="240" w:lineRule="atLeast"/>
              <w:widowControl/>
              <w:rPr>
                <w:rFonts w:hint="eastAsia" w:ascii="宋体" w:hAnsi="宋体" w:cs="宋体"/>
                <w:b/>
                <w:color w:val="000000"/>
                <w:spacing w:val="11"/>
                <w:sz w:val="28"/>
                <w:szCs w:val="28"/>
              </w:rPr>
            </w:pPr>
            <w:r>
              <w:rPr>
                <w:rFonts w:hint="eastAsia" w:ascii="宋体" w:hAnsi="宋体" w:cs="宋体"/>
                <w:b/>
                <w:color w:val="000000"/>
                <w:spacing w:val="11"/>
                <w:sz w:val="28"/>
                <w:szCs w:val="28"/>
              </w:rPr>
              <w:t xml:space="preserve">每次事故及累计法律费用责任限额</w:t>
            </w:r>
            <w:r/>
          </w:p>
        </w:tc>
      </w:tr>
      <w:tr>
        <w:trPr>
          <w:jc w:val="center"/>
          <w:trHeight w:val="1632"/>
        </w:trPr>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240" w:lineRule="atLeast"/>
              <w:widowControl/>
              <w:rPr>
                <w:rFonts w:hint="eastAsia" w:ascii="宋体" w:hAnsi="宋体" w:cs="宋体"/>
                <w:color w:val="000000"/>
                <w:spacing w:val="11"/>
                <w:sz w:val="28"/>
                <w:szCs w:val="28"/>
              </w:rPr>
            </w:pPr>
            <w:r>
              <w:rPr>
                <w:rFonts w:hint="eastAsia" w:ascii="宋体" w:hAnsi="宋体" w:cs="宋体"/>
                <w:color w:val="000000"/>
                <w:spacing w:val="11"/>
                <w:sz w:val="28"/>
                <w:szCs w:val="28"/>
              </w:rPr>
              <w:t xml:space="preserve">乡镇（中心）</w:t>
            </w:r>
            <w:r/>
          </w:p>
          <w:p>
            <w:pPr>
              <w:jc w:val="center"/>
              <w:spacing w:line="240" w:lineRule="atLeast"/>
              <w:widowControl/>
              <w:rPr>
                <w:rFonts w:hint="eastAsia" w:ascii="宋体" w:hAnsi="宋体" w:cs="宋体"/>
                <w:color w:val="000000"/>
                <w:spacing w:val="11"/>
                <w:sz w:val="28"/>
                <w:szCs w:val="28"/>
              </w:rPr>
            </w:pPr>
            <w:r>
              <w:rPr>
                <w:rFonts w:hint="eastAsia" w:ascii="宋体" w:hAnsi="宋体" w:cs="宋体"/>
                <w:color w:val="000000"/>
                <w:spacing w:val="11"/>
                <w:sz w:val="28"/>
                <w:szCs w:val="28"/>
              </w:rPr>
              <w:t xml:space="preserve">卫生院</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line="240" w:lineRule="atLeast"/>
              <w:widowControl/>
              <w:rPr>
                <w:rFonts w:hint="eastAsia" w:ascii="宋体" w:hAnsi="宋体" w:cs="宋体"/>
                <w:b/>
                <w:color w:val="auto"/>
                <w:spacing w:val="11"/>
                <w:sz w:val="28"/>
                <w:szCs w:val="28"/>
              </w:rPr>
            </w:pPr>
            <w:r>
              <w:rPr>
                <w:rFonts w:hint="eastAsia" w:ascii="宋体" w:hAnsi="宋体" w:cs="宋体"/>
                <w:b/>
                <w:color w:val="auto"/>
                <w:spacing w:val="11"/>
                <w:sz w:val="28"/>
                <w:szCs w:val="28"/>
              </w:rPr>
              <w:t xml:space="preserve">1500万</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spacing w:line="240" w:lineRule="atLeast"/>
              <w:widowControl/>
              <w:rPr>
                <w:rFonts w:hint="eastAsia" w:ascii="宋体" w:hAnsi="宋体" w:cs="宋体"/>
                <w:b/>
                <w:color w:val="auto"/>
                <w:spacing w:val="11"/>
                <w:sz w:val="28"/>
                <w:szCs w:val="28"/>
              </w:rPr>
            </w:pPr>
            <w:r>
              <w:rPr>
                <w:rFonts w:hint="eastAsia" w:ascii="宋体" w:hAnsi="宋体" w:cs="宋体"/>
                <w:b/>
                <w:color w:val="auto"/>
                <w:spacing w:val="11"/>
                <w:sz w:val="28"/>
                <w:szCs w:val="28"/>
              </w:rPr>
              <w:t xml:space="preserve">45万</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240" w:lineRule="atLeast"/>
              <w:widowControl/>
              <w:rPr>
                <w:rFonts w:hint="eastAsia" w:ascii="宋体" w:hAnsi="宋体" w:cs="宋体"/>
                <w:b/>
                <w:color w:val="auto"/>
                <w:spacing w:val="11"/>
                <w:sz w:val="28"/>
                <w:szCs w:val="28"/>
              </w:rPr>
            </w:pPr>
            <w:r>
              <w:rPr>
                <w:rFonts w:hint="eastAsia" w:ascii="宋体" w:hAnsi="宋体" w:cs="宋体"/>
                <w:b/>
                <w:color w:val="auto"/>
                <w:spacing w:val="11"/>
                <w:sz w:val="28"/>
                <w:szCs w:val="28"/>
              </w:rPr>
              <w:t xml:space="preserve">30万</w:t>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jc w:val="center"/>
              <w:spacing w:line="240" w:lineRule="atLeast"/>
              <w:widowControl/>
              <w:rPr>
                <w:rFonts w:hint="eastAsia" w:ascii="宋体" w:hAnsi="宋体" w:cs="宋体"/>
                <w:b/>
                <w:color w:val="auto"/>
                <w:spacing w:val="11"/>
                <w:sz w:val="28"/>
                <w:szCs w:val="28"/>
              </w:rPr>
            </w:pPr>
            <w:r>
              <w:rPr>
                <w:rFonts w:hint="eastAsia" w:ascii="宋体" w:hAnsi="宋体" w:cs="宋体"/>
                <w:b/>
                <w:color w:val="auto"/>
                <w:spacing w:val="11"/>
                <w:sz w:val="28"/>
                <w:szCs w:val="28"/>
              </w:rPr>
              <w:t xml:space="preserve">每次1.5万；累计120万</w:t>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240" w:lineRule="atLeast"/>
              <w:widowControl/>
              <w:rPr>
                <w:rFonts w:hint="eastAsia" w:ascii="宋体" w:hAnsi="宋体" w:cs="宋体"/>
                <w:color w:val="000000"/>
                <w:spacing w:val="11"/>
                <w:sz w:val="28"/>
                <w:szCs w:val="28"/>
              </w:rPr>
            </w:pPr>
            <w:r>
              <w:rPr>
                <w:rFonts w:hint="eastAsia" w:ascii="宋体" w:hAnsi="宋体" w:cs="宋体"/>
                <w:color w:val="000000"/>
                <w:spacing w:val="11"/>
                <w:sz w:val="28"/>
                <w:szCs w:val="28"/>
              </w:rPr>
              <w:t xml:space="preserve">村卫生室、社区卫生服务站、</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line="240" w:lineRule="atLeast"/>
              <w:widowControl/>
              <w:rPr>
                <w:rFonts w:hint="eastAsia" w:ascii="宋体" w:hAnsi="宋体" w:cs="宋体"/>
                <w:b/>
                <w:color w:val="auto"/>
                <w:spacing w:val="11"/>
                <w:sz w:val="28"/>
                <w:szCs w:val="28"/>
              </w:rPr>
            </w:pPr>
            <w:r>
              <w:rPr>
                <w:rFonts w:hint="eastAsia" w:ascii="宋体" w:hAnsi="宋体" w:cs="宋体"/>
                <w:b/>
                <w:color w:val="auto"/>
                <w:spacing w:val="11"/>
                <w:sz w:val="28"/>
                <w:szCs w:val="28"/>
              </w:rPr>
              <w:t xml:space="preserve">1000万</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spacing w:line="240" w:lineRule="atLeast"/>
              <w:widowControl/>
              <w:rPr>
                <w:rFonts w:hint="eastAsia" w:ascii="宋体" w:hAnsi="宋体" w:cs="宋体"/>
                <w:b/>
                <w:color w:val="auto"/>
                <w:spacing w:val="11"/>
                <w:sz w:val="28"/>
                <w:szCs w:val="28"/>
              </w:rPr>
            </w:pPr>
            <w:r>
              <w:rPr>
                <w:rFonts w:hint="eastAsia" w:ascii="宋体" w:hAnsi="宋体" w:cs="宋体"/>
                <w:b/>
                <w:color w:val="auto"/>
                <w:spacing w:val="11"/>
                <w:sz w:val="28"/>
                <w:szCs w:val="28"/>
              </w:rPr>
              <w:t xml:space="preserve">30万</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240" w:lineRule="atLeast"/>
              <w:widowControl/>
              <w:rPr>
                <w:rFonts w:hint="eastAsia" w:ascii="宋体" w:hAnsi="宋体" w:cs="宋体"/>
                <w:b/>
                <w:color w:val="auto"/>
                <w:spacing w:val="11"/>
                <w:sz w:val="28"/>
                <w:szCs w:val="28"/>
              </w:rPr>
            </w:pPr>
            <w:r>
              <w:rPr>
                <w:rFonts w:hint="eastAsia" w:ascii="宋体" w:hAnsi="宋体" w:cs="宋体"/>
                <w:b/>
                <w:color w:val="auto"/>
                <w:spacing w:val="11"/>
                <w:sz w:val="28"/>
                <w:szCs w:val="28"/>
              </w:rPr>
              <w:t xml:space="preserve">20万</w:t>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jc w:val="center"/>
              <w:spacing w:line="240" w:lineRule="atLeast"/>
              <w:widowControl/>
              <w:rPr>
                <w:rFonts w:hint="eastAsia" w:ascii="宋体" w:hAnsi="宋体" w:cs="宋体"/>
                <w:b/>
                <w:color w:val="auto"/>
                <w:spacing w:val="11"/>
                <w:sz w:val="28"/>
                <w:szCs w:val="28"/>
              </w:rPr>
            </w:pPr>
            <w:r>
              <w:rPr>
                <w:rFonts w:hint="eastAsia" w:ascii="宋体" w:hAnsi="宋体" w:cs="宋体"/>
                <w:b/>
                <w:color w:val="auto"/>
                <w:spacing w:val="11"/>
                <w:sz w:val="28"/>
                <w:szCs w:val="28"/>
              </w:rPr>
              <w:t xml:space="preserve">每次1.5万；累计40万</w:t>
            </w:r>
            <w:r/>
          </w:p>
        </w:tc>
      </w:tr>
    </w:tbl>
    <w:p>
      <w:pPr>
        <w:pStyle w:val="829"/>
        <w:ind w:firstLine="560"/>
        <w:spacing w:beforeAutospacing="0" w:afterAutospacing="0" w:line="300" w:lineRule="atLeast"/>
        <w:rPr>
          <w:rFonts w:hint="eastAsia" w:cs="宋体"/>
          <w:bCs/>
          <w:sz w:val="28"/>
          <w:szCs w:val="28"/>
        </w:rPr>
      </w:pPr>
      <w:r>
        <w:rPr>
          <w:rFonts w:hint="eastAsia" w:cs="宋体"/>
          <w:bCs/>
          <w:sz w:val="28"/>
          <w:szCs w:val="28"/>
        </w:rPr>
        <w:t xml:space="preserve">除以上险种以外，附加以下险种：</w:t>
      </w:r>
      <w:r/>
    </w:p>
    <w:p>
      <w:pPr>
        <w:pStyle w:val="829"/>
        <w:numPr>
          <w:ilvl w:val="255"/>
          <w:numId w:val="0"/>
        </w:numPr>
        <w:ind w:firstLine="560"/>
        <w:spacing w:beforeAutospacing="0" w:afterAutospacing="0" w:line="300" w:lineRule="atLeast"/>
        <w:rPr>
          <w:rFonts w:hint="eastAsia" w:cs="宋体"/>
          <w:bCs/>
          <w:color w:val="auto"/>
          <w:sz w:val="28"/>
          <w:szCs w:val="28"/>
        </w:rPr>
      </w:pPr>
      <w:r>
        <w:rPr>
          <w:rFonts w:hint="eastAsia" w:cs="宋体"/>
          <w:bCs/>
          <w:color w:val="auto"/>
          <w:sz w:val="28"/>
          <w:szCs w:val="28"/>
        </w:rPr>
        <w:t xml:space="preserve">1、医责险附加医疗机构场所责任保险条款：5万元/</w:t>
      </w:r>
      <w:bookmarkStart w:id="65" w:name="OLE_LINK66"/>
      <w:r/>
      <w:bookmarkStart w:id="66" w:name="OLE_LINK65"/>
      <w:r>
        <w:rPr>
          <w:rFonts w:hint="eastAsia" w:cs="宋体"/>
          <w:bCs/>
          <w:color w:val="auto"/>
          <w:sz w:val="28"/>
          <w:szCs w:val="28"/>
        </w:rPr>
        <w:t xml:space="preserve">每次责任限额。</w:t>
      </w:r>
      <w:bookmarkEnd w:id="65"/>
      <w:r/>
      <w:bookmarkEnd w:id="66"/>
      <w:r/>
      <w:r/>
    </w:p>
    <w:p>
      <w:pPr>
        <w:pStyle w:val="829"/>
        <w:ind w:firstLine="560"/>
        <w:spacing w:beforeAutospacing="0" w:afterAutospacing="0" w:line="300" w:lineRule="atLeast"/>
        <w:rPr>
          <w:rFonts w:hint="eastAsia" w:cs="宋体"/>
          <w:bCs/>
          <w:color w:val="auto"/>
          <w:sz w:val="28"/>
          <w:szCs w:val="28"/>
        </w:rPr>
      </w:pPr>
      <w:r>
        <w:rPr>
          <w:rFonts w:hint="eastAsia" w:cs="宋体"/>
          <w:bCs/>
          <w:color w:val="auto"/>
          <w:sz w:val="28"/>
          <w:szCs w:val="28"/>
          <w:lang w:val="en-US" w:eastAsia="zh-CN"/>
        </w:rPr>
        <w:t xml:space="preserve">2</w:t>
      </w:r>
      <w:r>
        <w:rPr>
          <w:rFonts w:hint="eastAsia" w:cs="宋体"/>
          <w:bCs/>
          <w:color w:val="auto"/>
          <w:sz w:val="28"/>
          <w:szCs w:val="28"/>
        </w:rPr>
        <w:t xml:space="preserve">、医责险附加外聘专家医疗责任保险条款：15万元/每次责任限额。</w:t>
      </w:r>
      <w:r/>
    </w:p>
    <w:p>
      <w:pPr>
        <w:pStyle w:val="829"/>
        <w:ind w:left="420" w:hanging="420"/>
        <w:spacing w:beforeAutospacing="0" w:afterAutospacing="0" w:line="300" w:lineRule="atLeast"/>
        <w:rPr>
          <w:rFonts w:hint="eastAsia" w:cs="宋体"/>
          <w:bCs/>
          <w:sz w:val="28"/>
          <w:szCs w:val="28"/>
        </w:rPr>
      </w:pPr>
      <w:r>
        <w:rPr>
          <w:rFonts w:hint="eastAsia" w:cs="宋体"/>
          <w:bCs/>
          <w:sz w:val="28"/>
          <w:szCs w:val="28"/>
        </w:rPr>
        <w:t xml:space="preserve">注：</w:t>
      </w:r>
      <w:r/>
    </w:p>
    <w:p>
      <w:pPr>
        <w:ind w:firstLine="480"/>
        <w:spacing w:line="360" w:lineRule="auto"/>
        <w:rPr>
          <w:rFonts w:hint="eastAsia" w:ascii="宋体" w:hAnsi="宋体" w:cs="宋体"/>
          <w:b/>
          <w:bCs/>
          <w:sz w:val="28"/>
          <w:szCs w:val="28"/>
        </w:rPr>
      </w:pPr>
      <w:r>
        <w:rPr>
          <w:rFonts w:hint="eastAsia" w:ascii="宋体" w:hAnsi="宋体" w:cs="宋体"/>
          <w:bCs/>
          <w:sz w:val="28"/>
          <w:szCs w:val="28"/>
        </w:rPr>
        <w:t xml:space="preserve">（1）累计赔偿限额是指被保险医疗机构在保险年度内获得的最高赔偿金额。若保险年度内被保险医疗机构累计获得的赔款等于累计赔偿限额，则该医疗机构的保险单项下的相应保险责任终止。医疗机构选择的累计赔偿限额不低于每人赔偿限额。</w:t>
      </w:r>
      <w:r/>
    </w:p>
    <w:p>
      <w:pPr>
        <w:ind w:firstLine="360"/>
        <w:spacing w:line="360" w:lineRule="auto"/>
        <w:rPr>
          <w:rFonts w:hint="eastAsia" w:ascii="宋体" w:hAnsi="宋体" w:cs="宋体"/>
          <w:b/>
          <w:sz w:val="28"/>
          <w:szCs w:val="28"/>
        </w:rPr>
        <w:outlineLvl w:val="0"/>
      </w:pPr>
      <w:r/>
      <w:bookmarkStart w:id="67" w:name="_Toc11807"/>
      <w:r>
        <w:rPr>
          <w:rFonts w:hint="eastAsia" w:ascii="宋体" w:hAnsi="宋体" w:cs="宋体"/>
          <w:bCs/>
          <w:sz w:val="28"/>
          <w:szCs w:val="28"/>
        </w:rPr>
        <w:t xml:space="preserve">（2）每次每人赔偿限额是指在保险年度内，被保险医疗机构造成每一名患者人身损害，在保险责任范围内获得的最高赔偿金额。</w:t>
      </w:r>
      <w:bookmarkEnd w:id="67"/>
      <w:r/>
      <w:r/>
    </w:p>
    <w:p>
      <w:pPr>
        <w:ind w:firstLine="482"/>
        <w:spacing w:line="360" w:lineRule="auto"/>
        <w:rPr>
          <w:rFonts w:hint="eastAsia" w:ascii="宋体" w:hAnsi="宋体" w:cs="宋体"/>
          <w:bCs/>
          <w:sz w:val="28"/>
          <w:szCs w:val="28"/>
        </w:rPr>
        <w:outlineLvl w:val="0"/>
      </w:pPr>
      <w:r/>
      <w:bookmarkStart w:id="68" w:name="_Toc9151"/>
      <w:r>
        <w:rPr>
          <w:rFonts w:hint="eastAsia" w:ascii="宋体" w:hAnsi="宋体" w:cs="宋体"/>
          <w:bCs/>
          <w:sz w:val="28"/>
          <w:szCs w:val="28"/>
        </w:rPr>
        <w:t xml:space="preserve">2.服务要求</w:t>
      </w:r>
      <w:bookmarkEnd w:id="68"/>
      <w:r/>
      <w:r/>
    </w:p>
    <w:p>
      <w:pPr>
        <w:ind w:firstLine="420"/>
        <w:spacing w:line="360" w:lineRule="auto"/>
        <w:rPr>
          <w:rFonts w:hint="eastAsia" w:ascii="宋体" w:hAnsi="宋体" w:cs="宋体"/>
          <w:b/>
          <w:color w:val="auto"/>
          <w:sz w:val="28"/>
          <w:szCs w:val="28"/>
        </w:rPr>
        <w:outlineLvl w:val="0"/>
      </w:pPr>
      <w:r/>
      <w:bookmarkStart w:id="69" w:name="_Toc15098"/>
      <w:r>
        <w:rPr>
          <w:rFonts w:hint="eastAsia" w:ascii="宋体" w:hAnsi="宋体" w:cs="宋体"/>
          <w:color w:val="auto"/>
          <w:sz w:val="28"/>
          <w:szCs w:val="28"/>
        </w:rPr>
        <w:t xml:space="preserve">（1）由承保公司成立针对本项目的专业团队，即理赔服务中心，并配备足够的服务人员，负责本项目的投保、理赔等服务，以确保及时高效地处理索赔申请及其他服务需求，项目服务团队应满足项目服务需要，包括项目负责人、项目服务人员和理赔人员等。</w:t>
      </w:r>
      <w:bookmarkEnd w:id="69"/>
      <w:r/>
      <w:r/>
    </w:p>
    <w:p>
      <w:pPr>
        <w:ind w:firstLine="420"/>
        <w:spacing w:line="360" w:lineRule="auto"/>
        <w:rPr>
          <w:rFonts w:hint="eastAsia" w:ascii="宋体" w:hAnsi="宋体" w:cs="宋体"/>
          <w:b/>
          <w:color w:val="auto"/>
          <w:sz w:val="28"/>
          <w:szCs w:val="28"/>
        </w:rPr>
        <w:outlineLvl w:val="0"/>
      </w:pPr>
      <w:r/>
      <w:bookmarkStart w:id="70" w:name="_Toc12581"/>
      <w:r>
        <w:rPr>
          <w:rFonts w:hint="eastAsia" w:ascii="宋体" w:hAnsi="宋体" w:cs="宋体"/>
          <w:color w:val="auto"/>
          <w:sz w:val="28"/>
          <w:szCs w:val="28"/>
        </w:rPr>
        <w:t xml:space="preserve">（2）由承保公司在卫健委指导下，设立医患纠纷评估专家库，派驻一名有医疗纠纷处置经验的理赔人员专职服务，及时参加医疗纠纷处理，负责受理、调查、评估、协助调解及诉讼、以及理赔等工作。</w:t>
      </w:r>
      <w:bookmarkEnd w:id="70"/>
      <w:r/>
      <w:r/>
    </w:p>
    <w:p>
      <w:pPr>
        <w:ind w:firstLine="480"/>
        <w:spacing w:line="360" w:lineRule="auto"/>
        <w:rPr>
          <w:rFonts w:hint="eastAsia" w:ascii="宋体" w:hAnsi="宋体" w:cs="宋体"/>
          <w:b/>
          <w:sz w:val="28"/>
          <w:szCs w:val="28"/>
        </w:rPr>
        <w:outlineLvl w:val="0"/>
      </w:pPr>
      <w:r/>
      <w:bookmarkStart w:id="71" w:name="_Toc28283"/>
      <w:r>
        <w:rPr>
          <w:rFonts w:hint="eastAsia" w:ascii="宋体" w:hAnsi="宋体" w:cs="宋体"/>
          <w:sz w:val="28"/>
          <w:szCs w:val="28"/>
        </w:rPr>
        <w:t xml:space="preserve">（3）由承保公司派驻具备基本的法学、医学知识，同时还需掌握一定的沟通、临场应变与协调能力，积极协助采购人术前见证、医患纠纷调解、医疗责任保险培训及医患风险讲座或委托有医疗机构风险防范经验的医疗服务团队进行医疗机构风险防范工作，提供风险管理、防范、控制措施以及风险管理建议、专业的风险评估和管理服务，帮助医院识别和评估潜在风险，并提供相应的控制措施。</w:t>
      </w:r>
      <w:bookmarkEnd w:id="71"/>
      <w:r/>
      <w:r/>
    </w:p>
    <w:p>
      <w:pPr>
        <w:ind w:firstLine="480"/>
        <w:spacing w:line="360" w:lineRule="auto"/>
        <w:rPr>
          <w:rFonts w:hint="eastAsia" w:ascii="宋体" w:hAnsi="宋体" w:cs="宋体"/>
          <w:sz w:val="28"/>
          <w:szCs w:val="28"/>
        </w:rPr>
        <w:outlineLvl w:val="0"/>
      </w:pPr>
      <w:r>
        <w:rPr>
          <w:rFonts w:hint="eastAsia" w:ascii="宋体" w:hAnsi="宋体" w:cs="宋体"/>
          <w:sz w:val="28"/>
          <w:szCs w:val="28"/>
        </w:rPr>
        <w:t xml:space="preserve"> </w:t>
      </w:r>
      <w:bookmarkStart w:id="72" w:name="_Toc7337"/>
      <w:r>
        <w:rPr>
          <w:rFonts w:hint="eastAsia" w:ascii="宋体" w:hAnsi="宋体" w:cs="宋体"/>
          <w:sz w:val="28"/>
          <w:szCs w:val="28"/>
        </w:rPr>
        <w:t xml:space="preserve">3．理赔服务</w:t>
      </w:r>
      <w:bookmarkEnd w:id="72"/>
      <w:r/>
      <w:r/>
    </w:p>
    <w:p>
      <w:pPr>
        <w:ind w:firstLine="360"/>
        <w:spacing w:line="360" w:lineRule="auto"/>
        <w:rPr>
          <w:rFonts w:hint="eastAsia" w:ascii="宋体" w:hAnsi="宋体" w:cs="宋体"/>
          <w:b/>
          <w:sz w:val="28"/>
          <w:szCs w:val="28"/>
        </w:rPr>
        <w:outlineLvl w:val="0"/>
      </w:pPr>
      <w:r/>
      <w:bookmarkStart w:id="73" w:name="_Toc20096"/>
      <w:r>
        <w:rPr>
          <w:rFonts w:hint="eastAsia" w:ascii="宋体" w:hAnsi="宋体" w:cs="宋体"/>
          <w:sz w:val="28"/>
          <w:szCs w:val="28"/>
        </w:rPr>
        <w:t xml:space="preserve">（1）需设立24小时保险服务专线电话，电脑录音系统和查勘调度系统保证畅通无误，及时准确。全年365天随时接受被保险人的出险报案，并立即开展服务。</w:t>
      </w:r>
      <w:bookmarkEnd w:id="73"/>
      <w:r/>
      <w:r/>
    </w:p>
    <w:p>
      <w:pPr>
        <w:ind w:firstLine="360"/>
        <w:spacing w:line="360" w:lineRule="auto"/>
        <w:rPr>
          <w:rFonts w:hint="eastAsia" w:ascii="宋体" w:hAnsi="宋体" w:cs="宋体"/>
          <w:b/>
          <w:sz w:val="28"/>
          <w:szCs w:val="28"/>
        </w:rPr>
        <w:outlineLvl w:val="0"/>
      </w:pPr>
      <w:r/>
      <w:bookmarkStart w:id="74" w:name="_Toc30467"/>
      <w:r>
        <w:rPr>
          <w:rFonts w:hint="eastAsia" w:ascii="宋体" w:hAnsi="宋体" w:cs="宋体"/>
          <w:sz w:val="28"/>
          <w:szCs w:val="28"/>
        </w:rPr>
        <w:t xml:space="preserve">（2）应提供详细的索赔处理流程，包括索赔申请的要求和处理时间等。在收取理赔资料时，若认为有关证明或材料不完整，立刻以书面或口头方式通知被保险人需补充提供的有关证明或材料。</w:t>
      </w:r>
      <w:bookmarkEnd w:id="74"/>
      <w:r/>
      <w:r/>
    </w:p>
    <w:p>
      <w:pPr>
        <w:ind w:firstLine="360"/>
        <w:spacing w:line="360" w:lineRule="auto"/>
        <w:rPr>
          <w:rFonts w:hint="eastAsia" w:ascii="宋体" w:hAnsi="宋体" w:cs="宋体"/>
          <w:b/>
          <w:sz w:val="28"/>
          <w:szCs w:val="28"/>
        </w:rPr>
        <w:outlineLvl w:val="0"/>
      </w:pPr>
      <w:r/>
      <w:bookmarkStart w:id="75" w:name="_Toc10710"/>
      <w:r>
        <w:rPr>
          <w:rFonts w:hint="eastAsia" w:ascii="宋体" w:hAnsi="宋体" w:cs="宋体"/>
          <w:sz w:val="28"/>
          <w:szCs w:val="28"/>
        </w:rPr>
        <w:t xml:space="preserve">（3）小额案件、常发案件、重大案件及纠纷案件理赔快速响应机制及内容。</w:t>
      </w:r>
      <w:bookmarkEnd w:id="75"/>
      <w:r/>
      <w:r/>
    </w:p>
    <w:p>
      <w:pPr>
        <w:ind w:firstLine="360"/>
        <w:spacing w:line="360" w:lineRule="auto"/>
        <w:widowControl/>
        <w:rPr>
          <w:rFonts w:hint="eastAsia" w:ascii="宋体" w:hAnsi="宋体" w:cs="宋体"/>
          <w:sz w:val="28"/>
          <w:szCs w:val="28"/>
        </w:rPr>
        <w:outlineLvl w:val="0"/>
      </w:pPr>
      <w:r/>
      <w:bookmarkStart w:id="76" w:name="_Toc6394"/>
      <w:r>
        <w:rPr>
          <w:rFonts w:hint="eastAsia" w:ascii="宋体" w:hAnsi="宋体" w:cs="宋体"/>
          <w:sz w:val="28"/>
          <w:szCs w:val="28"/>
        </w:rPr>
        <w:t xml:space="preserve">（4）应提供理赔情况分析反馈方案。</w:t>
      </w:r>
      <w:bookmarkEnd w:id="76"/>
      <w:r/>
      <w:r/>
    </w:p>
    <w:p>
      <w:pPr>
        <w:ind w:firstLine="562"/>
        <w:spacing w:line="46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四、付款方式：</w:t>
      </w:r>
      <w:r/>
    </w:p>
    <w:p>
      <w:pPr>
        <w:ind w:firstLine="518"/>
        <w:spacing w:line="600" w:lineRule="exact"/>
        <w:rPr>
          <w:rFonts w:hint="eastAsia" w:ascii="宋体" w:hAnsi="宋体" w:cs="宋体"/>
          <w:sz w:val="28"/>
          <w:szCs w:val="28"/>
        </w:rPr>
      </w:pPr>
      <w:r>
        <w:rPr>
          <w:rFonts w:hint="eastAsia" w:ascii="宋体" w:hAnsi="宋体" w:cs="宋体"/>
          <w:sz w:val="28"/>
          <w:szCs w:val="28"/>
        </w:rPr>
        <w:t xml:space="preserve">被保险人的保险费由采购人全额承担，并于采购合同签署后，分别于保险合同生效前、保险合同生效6个月前分别缴纳保险费的50%。</w:t>
      </w:r>
      <w:bookmarkEnd w:id="59"/>
      <w:r/>
      <w:r/>
    </w:p>
    <w:p>
      <w:pPr>
        <w:ind w:firstLine="420"/>
        <w:spacing w:line="560" w:lineRule="exact"/>
        <w:rPr>
          <w:bCs/>
          <w:sz w:val="28"/>
          <w:szCs w:val="28"/>
        </w:rPr>
      </w:pPr>
      <w:r>
        <w:rPr>
          <w:bCs/>
          <w:sz w:val="28"/>
          <w:szCs w:val="28"/>
        </w:rPr>
      </w:r>
      <w:r/>
    </w:p>
    <w:p>
      <w:pPr>
        <w:ind w:firstLine="420"/>
        <w:spacing w:line="560" w:lineRule="exact"/>
        <w:rPr>
          <w:sz w:val="28"/>
          <w:szCs w:val="28"/>
          <w:lang w:val="en-GB"/>
        </w:rPr>
      </w:pPr>
      <w:r>
        <w:rPr>
          <w:sz w:val="28"/>
          <w:szCs w:val="28"/>
          <w:lang w:val="en-GB"/>
        </w:rPr>
      </w:r>
      <w:r/>
    </w:p>
    <w:p>
      <w:pPr>
        <w:pStyle w:val="1048"/>
        <w:jc w:val="center"/>
        <w:keepNext/>
        <w:pageBreakBefore/>
        <w:rPr>
          <w:rFonts w:hint="eastAsia"/>
          <w:b/>
          <w:bCs/>
          <w:sz w:val="44"/>
          <w:szCs w:val="44"/>
        </w:rPr>
        <w:outlineLvl w:val="0"/>
      </w:pPr>
      <w:r/>
      <w:bookmarkStart w:id="77" w:name="_Toc20875"/>
      <w:r/>
      <w:bookmarkStart w:id="78" w:name="_Toc13373"/>
      <w:r/>
      <w:bookmarkStart w:id="79" w:name="_Toc20134"/>
      <w:r>
        <w:rPr>
          <w:rFonts w:hint="eastAsia"/>
          <w:b/>
          <w:bCs/>
          <w:sz w:val="44"/>
          <w:szCs w:val="44"/>
        </w:rPr>
        <w:t xml:space="preserve">第九章 响应文件相关格式</w:t>
      </w:r>
      <w:bookmarkEnd w:id="77"/>
      <w:r/>
      <w:bookmarkEnd w:id="78"/>
      <w:r/>
      <w:bookmarkEnd w:id="79"/>
      <w:r/>
      <w:r/>
    </w:p>
    <w:p>
      <w:pPr>
        <w:pStyle w:val="1203"/>
        <w:jc w:val="center"/>
        <w:keepLines w:val="0"/>
        <w:keepNext w:val="0"/>
        <w:spacing w:before="0" w:after="0" w:line="360" w:lineRule="auto"/>
        <w:rPr>
          <w:rFonts w:hint="eastAsia" w:ascii="宋体" w:hAnsi="宋体"/>
          <w:sz w:val="28"/>
          <w:szCs w:val="28"/>
        </w:rPr>
        <w:outlineLvl w:val="9"/>
      </w:pPr>
      <w:r/>
      <w:bookmarkStart w:id="80" w:name="_Toc15944"/>
      <w:r/>
      <w:bookmarkStart w:id="81" w:name="_Toc30076"/>
      <w:r/>
      <w:bookmarkStart w:id="82" w:name="_Toc31409"/>
      <w:r>
        <w:rPr>
          <w:rStyle w:val="1202"/>
          <w:rFonts w:hint="eastAsia" w:ascii="宋体" w:hAnsi="宋体"/>
          <w:sz w:val="28"/>
          <w:szCs w:val="28"/>
        </w:rPr>
        <w:t xml:space="preserve">（</w:t>
      </w:r>
      <w:r>
        <w:rPr>
          <w:rFonts w:hint="eastAsia" w:ascii="宋体" w:hAnsi="宋体"/>
          <w:sz w:val="28"/>
          <w:szCs w:val="28"/>
        </w:rPr>
        <w:t xml:space="preserve">本</w:t>
      </w:r>
      <w:r>
        <w:rPr>
          <w:rFonts w:ascii="宋体" w:hAnsi="宋体"/>
          <w:sz w:val="28"/>
          <w:szCs w:val="28"/>
        </w:rPr>
        <w:t xml:space="preserve">章仅提供</w:t>
      </w:r>
      <w:r>
        <w:rPr>
          <w:rFonts w:hint="eastAsia" w:ascii="宋体" w:hAnsi="宋体"/>
          <w:sz w:val="28"/>
          <w:szCs w:val="28"/>
        </w:rPr>
        <w:t xml:space="preserve">响应</w:t>
      </w:r>
      <w:r>
        <w:rPr>
          <w:rFonts w:ascii="宋体" w:hAnsi="宋体"/>
          <w:sz w:val="28"/>
          <w:szCs w:val="28"/>
        </w:rPr>
        <w:t xml:space="preserve">文件中的部分文件格式，不应被理解为包含了</w:t>
      </w:r>
      <w:r>
        <w:rPr>
          <w:rFonts w:hint="eastAsia" w:ascii="宋体" w:hAnsi="宋体"/>
          <w:sz w:val="28"/>
          <w:szCs w:val="28"/>
        </w:rPr>
        <w:t xml:space="preserve">响应</w:t>
      </w:r>
      <w:r>
        <w:rPr>
          <w:rFonts w:ascii="宋体" w:hAnsi="宋体"/>
          <w:sz w:val="28"/>
          <w:szCs w:val="28"/>
        </w:rPr>
        <w:t xml:space="preserve">文件所需的全部资料</w:t>
      </w:r>
      <w:r>
        <w:rPr>
          <w:rFonts w:hint="eastAsia" w:ascii="宋体" w:hAnsi="宋体"/>
          <w:sz w:val="28"/>
          <w:szCs w:val="28"/>
        </w:rPr>
        <w:t xml:space="preserve">）</w:t>
      </w:r>
      <w:bookmarkEnd w:id="80"/>
      <w:r/>
      <w:bookmarkEnd w:id="81"/>
      <w:r/>
      <w:bookmarkEnd w:id="82"/>
      <w:r/>
      <w:r/>
    </w:p>
    <w:p>
      <w:pPr>
        <w:pStyle w:val="991"/>
        <w:rPr>
          <w:rFonts w:hint="eastAsia" w:ascii="宋体" w:hAnsi="宋体" w:eastAsia="宋体"/>
          <w:sz w:val="28"/>
          <w:szCs w:val="28"/>
        </w:rPr>
      </w:pPr>
      <w:r>
        <w:rPr>
          <w:rFonts w:hint="eastAsia" w:ascii="宋体" w:hAnsi="宋体" w:eastAsia="宋体"/>
          <w:sz w:val="28"/>
          <w:szCs w:val="28"/>
        </w:rPr>
      </w:r>
      <w:r/>
    </w:p>
    <w:p>
      <w:pPr>
        <w:pStyle w:val="1048"/>
        <w:ind w:firstLine="480"/>
        <w:spacing w:line="360" w:lineRule="auto"/>
        <w:rPr>
          <w:rFonts w:hint="eastAsia"/>
          <w:sz w:val="28"/>
          <w:szCs w:val="28"/>
        </w:rPr>
      </w:pPr>
      <w:r>
        <w:rPr>
          <w:sz w:val="28"/>
          <w:szCs w:val="28"/>
        </w:rPr>
        <w:t xml:space="preserve">1、《承诺书》 </w:t>
      </w:r>
      <w:r/>
    </w:p>
    <w:p>
      <w:pPr>
        <w:pStyle w:val="1048"/>
        <w:ind w:firstLine="480"/>
        <w:spacing w:line="360" w:lineRule="auto"/>
        <w:rPr>
          <w:rFonts w:hint="eastAsia"/>
          <w:sz w:val="28"/>
          <w:szCs w:val="28"/>
        </w:rPr>
      </w:pPr>
      <w:r>
        <w:rPr>
          <w:rFonts w:hint="eastAsia"/>
          <w:sz w:val="28"/>
          <w:szCs w:val="28"/>
        </w:rPr>
        <w:t xml:space="preserve">2</w:t>
      </w:r>
      <w:r>
        <w:rPr>
          <w:sz w:val="28"/>
          <w:szCs w:val="28"/>
        </w:rPr>
        <w:t xml:space="preserve">、《</w:t>
      </w:r>
      <w:r>
        <w:rPr>
          <w:rFonts w:hint="eastAsia"/>
          <w:sz w:val="28"/>
          <w:szCs w:val="28"/>
        </w:rPr>
        <w:t xml:space="preserve">磋商</w:t>
      </w:r>
      <w:r>
        <w:rPr>
          <w:sz w:val="28"/>
          <w:szCs w:val="28"/>
        </w:rPr>
        <w:t xml:space="preserve">报价表》</w:t>
      </w:r>
      <w:r/>
    </w:p>
    <w:p>
      <w:pPr>
        <w:pStyle w:val="1048"/>
        <w:ind w:firstLine="480"/>
        <w:spacing w:line="360" w:lineRule="auto"/>
        <w:rPr>
          <w:rFonts w:hint="eastAsia"/>
          <w:sz w:val="28"/>
          <w:szCs w:val="28"/>
        </w:rPr>
      </w:pPr>
      <w:r>
        <w:rPr>
          <w:rFonts w:hint="eastAsia"/>
          <w:sz w:val="28"/>
          <w:szCs w:val="28"/>
        </w:rPr>
        <w:t xml:space="preserve">3</w:t>
      </w:r>
      <w:r>
        <w:rPr>
          <w:sz w:val="28"/>
          <w:szCs w:val="28"/>
        </w:rPr>
        <w:t xml:space="preserve">、《</w:t>
      </w:r>
      <w:r>
        <w:rPr>
          <w:rStyle w:val="1202"/>
          <w:rFonts w:hint="eastAsia" w:ascii="宋体" w:hAnsi="宋体"/>
          <w:bCs/>
          <w:sz w:val="28"/>
          <w:szCs w:val="28"/>
        </w:rPr>
        <w:t xml:space="preserve">供应商参与综合评分时需提供的证明文件</w:t>
      </w:r>
      <w:r>
        <w:rPr>
          <w:sz w:val="28"/>
          <w:szCs w:val="28"/>
        </w:rPr>
        <w:t xml:space="preserve">》</w:t>
      </w:r>
      <w:r/>
    </w:p>
    <w:p>
      <w:pPr>
        <w:pStyle w:val="1048"/>
        <w:ind w:firstLine="480"/>
        <w:spacing w:line="360" w:lineRule="auto"/>
        <w:rPr>
          <w:rFonts w:hint="eastAsia"/>
          <w:sz w:val="28"/>
          <w:szCs w:val="28"/>
        </w:rPr>
      </w:pPr>
      <w:r>
        <w:rPr>
          <w:rFonts w:hint="eastAsia"/>
          <w:sz w:val="28"/>
          <w:szCs w:val="28"/>
        </w:rPr>
        <w:t xml:space="preserve">4</w:t>
      </w:r>
      <w:r>
        <w:rPr>
          <w:sz w:val="28"/>
          <w:szCs w:val="28"/>
        </w:rPr>
        <w:t xml:space="preserve">、《</w:t>
      </w:r>
      <w:r>
        <w:rPr>
          <w:rFonts w:hint="eastAsia"/>
          <w:sz w:val="28"/>
          <w:szCs w:val="28"/>
        </w:rPr>
        <w:t xml:space="preserve">项目经验</w:t>
      </w:r>
      <w:r>
        <w:rPr>
          <w:sz w:val="28"/>
          <w:szCs w:val="28"/>
        </w:rPr>
        <w:t xml:space="preserve">》</w:t>
      </w:r>
      <w:r/>
    </w:p>
    <w:p>
      <w:pPr>
        <w:pStyle w:val="1048"/>
        <w:ind w:firstLine="480"/>
        <w:spacing w:line="360" w:lineRule="auto"/>
        <w:rPr>
          <w:rFonts w:hint="eastAsia"/>
          <w:sz w:val="28"/>
          <w:szCs w:val="28"/>
        </w:rPr>
      </w:pPr>
      <w:r>
        <w:rPr>
          <w:rFonts w:hint="eastAsia"/>
          <w:sz w:val="28"/>
          <w:szCs w:val="28"/>
        </w:rPr>
        <w:t xml:space="preserve">5</w:t>
      </w:r>
      <w:r>
        <w:rPr>
          <w:sz w:val="28"/>
          <w:szCs w:val="28"/>
        </w:rPr>
        <w:t xml:space="preserve">、《</w:t>
      </w:r>
      <w:r>
        <w:rPr>
          <w:rFonts w:hint="eastAsia"/>
          <w:sz w:val="28"/>
          <w:szCs w:val="28"/>
        </w:rPr>
        <w:t xml:space="preserve">响应情况</w:t>
      </w:r>
      <w:r>
        <w:rPr>
          <w:sz w:val="28"/>
          <w:szCs w:val="28"/>
        </w:rPr>
        <w:t xml:space="preserve">》</w:t>
      </w:r>
      <w:r/>
    </w:p>
    <w:p>
      <w:pPr>
        <w:pStyle w:val="1048"/>
        <w:ind w:firstLine="480"/>
        <w:spacing w:line="360" w:lineRule="auto"/>
        <w:rPr>
          <w:rFonts w:hint="eastAsia"/>
          <w:sz w:val="28"/>
          <w:szCs w:val="28"/>
        </w:rPr>
      </w:pPr>
      <w:r>
        <w:rPr>
          <w:rFonts w:hint="eastAsia"/>
          <w:sz w:val="28"/>
          <w:szCs w:val="28"/>
        </w:rPr>
        <w:t xml:space="preserve">6</w:t>
      </w:r>
      <w:r>
        <w:rPr>
          <w:sz w:val="28"/>
          <w:szCs w:val="28"/>
        </w:rPr>
        <w:t xml:space="preserve">、《</w:t>
      </w:r>
      <w:r>
        <w:rPr>
          <w:rFonts w:hint="eastAsia"/>
          <w:sz w:val="28"/>
          <w:szCs w:val="28"/>
        </w:rPr>
        <w:t xml:space="preserve">法人授权委托书</w:t>
      </w:r>
      <w:r>
        <w:rPr>
          <w:sz w:val="28"/>
          <w:szCs w:val="28"/>
        </w:rPr>
        <w:t xml:space="preserve">》</w:t>
      </w:r>
      <w:r/>
    </w:p>
    <w:p>
      <w:pPr>
        <w:pStyle w:val="1048"/>
        <w:ind w:firstLine="480"/>
        <w:spacing w:line="360" w:lineRule="auto"/>
        <w:rPr>
          <w:rFonts w:hint="eastAsia"/>
          <w:sz w:val="28"/>
          <w:szCs w:val="28"/>
        </w:rPr>
      </w:pPr>
      <w:r>
        <w:rPr>
          <w:rFonts w:hint="eastAsia"/>
          <w:sz w:val="28"/>
          <w:szCs w:val="28"/>
        </w:rPr>
        <w:t xml:space="preserve">7、</w:t>
      </w:r>
      <w:r>
        <w:rPr>
          <w:sz w:val="28"/>
          <w:szCs w:val="28"/>
        </w:rPr>
        <w:t xml:space="preserve">《</w:t>
      </w:r>
      <w:r>
        <w:rPr>
          <w:rFonts w:hint="eastAsia"/>
          <w:sz w:val="28"/>
          <w:szCs w:val="28"/>
        </w:rPr>
        <w:t xml:space="preserve">偏离表</w:t>
      </w:r>
      <w:r>
        <w:rPr>
          <w:sz w:val="28"/>
          <w:szCs w:val="28"/>
        </w:rPr>
        <w:t xml:space="preserve">》</w:t>
      </w:r>
      <w:r/>
    </w:p>
    <w:p>
      <w:pPr>
        <w:pStyle w:val="1048"/>
        <w:ind w:firstLine="480"/>
        <w:spacing w:line="360" w:lineRule="auto"/>
        <w:rPr>
          <w:rFonts w:hint="eastAsia"/>
          <w:sz w:val="28"/>
          <w:szCs w:val="28"/>
        </w:rPr>
      </w:pPr>
      <w:r>
        <w:rPr>
          <w:rFonts w:hint="eastAsia"/>
          <w:sz w:val="28"/>
          <w:szCs w:val="28"/>
        </w:rPr>
        <w:t xml:space="preserve">8</w:t>
      </w:r>
      <w:r>
        <w:rPr>
          <w:sz w:val="28"/>
          <w:szCs w:val="28"/>
        </w:rPr>
        <w:t xml:space="preserve">、《</w:t>
      </w:r>
      <w:r>
        <w:rPr>
          <w:rFonts w:hint="eastAsia"/>
          <w:sz w:val="28"/>
          <w:szCs w:val="28"/>
        </w:rPr>
        <w:t xml:space="preserve">具备履行合同所必需的设备和专业技术能力的声明</w:t>
      </w:r>
      <w:r>
        <w:rPr>
          <w:sz w:val="28"/>
          <w:szCs w:val="28"/>
        </w:rPr>
        <w:t xml:space="preserve">》</w:t>
      </w:r>
      <w:r/>
    </w:p>
    <w:p>
      <w:pPr>
        <w:pStyle w:val="1048"/>
        <w:ind w:firstLine="480"/>
        <w:spacing w:line="360" w:lineRule="auto"/>
        <w:rPr>
          <w:rFonts w:hint="eastAsia"/>
          <w:sz w:val="28"/>
          <w:szCs w:val="28"/>
        </w:rPr>
      </w:pPr>
      <w:r>
        <w:rPr>
          <w:rFonts w:hint="eastAsia"/>
          <w:sz w:val="28"/>
          <w:szCs w:val="28"/>
        </w:rPr>
        <w:t xml:space="preserve">9</w:t>
      </w:r>
      <w:r>
        <w:rPr>
          <w:sz w:val="28"/>
          <w:szCs w:val="28"/>
        </w:rPr>
        <w:t xml:space="preserve">、《</w:t>
      </w:r>
      <w:r>
        <w:rPr>
          <w:rFonts w:hint="eastAsia"/>
          <w:sz w:val="28"/>
          <w:szCs w:val="28"/>
        </w:rPr>
        <w:t xml:space="preserve">供应商参加政府采购活动前3年内在经营活动中没有重大违法记录的书面声明</w:t>
      </w:r>
      <w:r>
        <w:rPr>
          <w:sz w:val="28"/>
          <w:szCs w:val="28"/>
        </w:rPr>
        <w:t xml:space="preserve">》</w:t>
      </w:r>
      <w:r/>
    </w:p>
    <w:p>
      <w:pPr>
        <w:pStyle w:val="1048"/>
        <w:ind w:firstLine="480"/>
        <w:spacing w:line="360" w:lineRule="auto"/>
        <w:rPr>
          <w:rFonts w:hint="eastAsia"/>
          <w:sz w:val="28"/>
          <w:szCs w:val="28"/>
        </w:rPr>
      </w:pPr>
      <w:r>
        <w:rPr>
          <w:rFonts w:hint="eastAsia"/>
          <w:sz w:val="28"/>
          <w:szCs w:val="28"/>
        </w:rPr>
        <w:t xml:space="preserve">10、中小企业声明函（如有）</w:t>
      </w:r>
      <w:r/>
    </w:p>
    <w:p>
      <w:pPr>
        <w:pStyle w:val="1048"/>
        <w:ind w:firstLine="480"/>
        <w:spacing w:line="360" w:lineRule="auto"/>
        <w:rPr>
          <w:rFonts w:hint="eastAsia"/>
          <w:sz w:val="28"/>
          <w:szCs w:val="28"/>
        </w:rPr>
      </w:pPr>
      <w:r>
        <w:rPr>
          <w:rFonts w:hint="eastAsia"/>
          <w:sz w:val="28"/>
          <w:szCs w:val="28"/>
        </w:rPr>
        <w:t xml:space="preserve">11、残疾人福利性单位声明函（如有）</w:t>
      </w:r>
      <w:r/>
    </w:p>
    <w:p>
      <w:pPr>
        <w:pStyle w:val="1048"/>
        <w:ind w:firstLine="480"/>
        <w:spacing w:line="360" w:lineRule="auto"/>
        <w:rPr>
          <w:rFonts w:hint="eastAsia"/>
          <w:sz w:val="28"/>
          <w:szCs w:val="28"/>
        </w:rPr>
      </w:pPr>
      <w:r>
        <w:rPr>
          <w:rFonts w:hint="eastAsia"/>
          <w:sz w:val="28"/>
          <w:szCs w:val="28"/>
        </w:rPr>
        <w:t xml:space="preserve">12、供应商基本情况表</w:t>
      </w:r>
      <w:r/>
    </w:p>
    <w:p>
      <w:pPr>
        <w:pStyle w:val="1048"/>
        <w:ind w:firstLine="480"/>
        <w:spacing w:line="360" w:lineRule="auto"/>
        <w:rPr>
          <w:rFonts w:hint="eastAsia"/>
          <w:sz w:val="28"/>
          <w:szCs w:val="28"/>
        </w:rPr>
      </w:pPr>
      <w:r>
        <w:rPr>
          <w:rFonts w:hint="eastAsia"/>
          <w:sz w:val="28"/>
          <w:szCs w:val="28"/>
        </w:rPr>
        <w:t xml:space="preserve">13、代理付费收费标准</w:t>
      </w:r>
      <w:r/>
    </w:p>
    <w:p>
      <w:pPr>
        <w:pStyle w:val="1048"/>
        <w:ind w:firstLine="480"/>
        <w:spacing w:line="360" w:lineRule="auto"/>
        <w:rPr>
          <w:rFonts w:hint="eastAsia"/>
          <w:sz w:val="28"/>
          <w:szCs w:val="28"/>
        </w:rPr>
      </w:pPr>
      <w:r>
        <w:rPr>
          <w:rFonts w:hint="eastAsia"/>
          <w:sz w:val="28"/>
          <w:szCs w:val="28"/>
        </w:rPr>
        <w:t xml:space="preserve">14、质疑格式</w:t>
      </w:r>
      <w:r/>
    </w:p>
    <w:p>
      <w:pPr>
        <w:pStyle w:val="1048"/>
        <w:ind w:firstLine="480"/>
        <w:spacing w:line="360" w:lineRule="auto"/>
        <w:rPr>
          <w:rFonts w:hint="eastAsia"/>
        </w:rPr>
      </w:pPr>
      <w:r>
        <w:rPr>
          <w:rFonts w:hint="eastAsia"/>
        </w:rPr>
      </w:r>
      <w:r/>
    </w:p>
    <w:p>
      <w:pPr>
        <w:pStyle w:val="1048"/>
        <w:ind w:firstLine="480"/>
        <w:spacing w:line="360" w:lineRule="auto"/>
        <w:rPr>
          <w:rFonts w:hint="eastAsia"/>
        </w:rPr>
      </w:pPr>
      <w:r>
        <w:rPr>
          <w:rFonts w:hint="eastAsia"/>
        </w:rPr>
      </w:r>
      <w:r/>
    </w:p>
    <w:p>
      <w:pPr>
        <w:pStyle w:val="805"/>
        <w:ind w:left="0" w:right="1470"/>
        <w:rPr>
          <w:rFonts w:hint="eastAsia" w:ascii="宋体" w:hAnsi="宋体"/>
          <w:sz w:val="28"/>
          <w:szCs w:val="28"/>
        </w:rPr>
      </w:pPr>
      <w:r>
        <w:rPr>
          <w:rFonts w:hint="eastAsia" w:ascii="宋体" w:hAnsi="宋体"/>
          <w:sz w:val="28"/>
          <w:szCs w:val="28"/>
        </w:rPr>
      </w:r>
      <w:r/>
    </w:p>
    <w:p>
      <w:pPr>
        <w:pStyle w:val="1048"/>
        <w:jc w:val="center"/>
        <w:keepNext/>
        <w:pageBreakBefore/>
        <w:spacing w:line="400" w:lineRule="exact"/>
        <w:rPr>
          <w:rFonts w:hint="eastAsia"/>
          <w:b/>
          <w:bCs/>
          <w:sz w:val="28"/>
          <w:szCs w:val="28"/>
        </w:rPr>
        <w:outlineLvl w:val="0"/>
      </w:pPr>
      <w:r/>
      <w:bookmarkStart w:id="83" w:name="_Toc11380"/>
      <w:r/>
      <w:bookmarkStart w:id="84" w:name="_Toc5772"/>
      <w:r/>
      <w:bookmarkStart w:id="85" w:name="_Toc11186"/>
      <w:r>
        <w:rPr>
          <w:rFonts w:hint="eastAsia"/>
          <w:b/>
          <w:bCs/>
          <w:sz w:val="28"/>
          <w:szCs w:val="28"/>
        </w:rPr>
        <w:t xml:space="preserve">1</w:t>
      </w:r>
      <w:r>
        <w:rPr>
          <w:b/>
          <w:bCs/>
          <w:sz w:val="28"/>
          <w:szCs w:val="28"/>
        </w:rPr>
        <w:t xml:space="preserve">、承诺书</w:t>
      </w:r>
      <w:bookmarkEnd w:id="83"/>
      <w:r/>
      <w:bookmarkEnd w:id="84"/>
      <w:r/>
      <w:bookmarkEnd w:id="85"/>
      <w:r/>
      <w:r/>
    </w:p>
    <w:p>
      <w:pPr>
        <w:pStyle w:val="1048"/>
        <w:spacing w:line="440" w:lineRule="exact"/>
        <w:rPr>
          <w:rFonts w:hint="eastAsia" w:cs="宋体"/>
          <w:sz w:val="24"/>
          <w:szCs w:val="24"/>
        </w:rPr>
      </w:pPr>
      <w:r>
        <w:rPr>
          <w:rFonts w:hint="eastAsia" w:cs="宋体"/>
          <w:sz w:val="24"/>
          <w:szCs w:val="24"/>
        </w:rPr>
        <w:t xml:space="preserve">致：</w:t>
      </w:r>
      <w:r>
        <w:rPr>
          <w:rFonts w:hint="eastAsia" w:cs="宋体"/>
          <w:sz w:val="24"/>
          <w:szCs w:val="24"/>
          <w:u w:val="single"/>
        </w:rPr>
        <w:t xml:space="preserve">泰州市永晖工程招标代理有限公司</w:t>
      </w:r>
      <w:r>
        <w:rPr>
          <w:rFonts w:hint="eastAsia" w:cs="宋体"/>
          <w:sz w:val="24"/>
          <w:szCs w:val="24"/>
        </w:rPr>
        <w:t xml:space="preserve">：</w:t>
      </w:r>
      <w:r/>
    </w:p>
    <w:p>
      <w:pPr>
        <w:pStyle w:val="1041"/>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根据贵方本项目《</w:t>
      </w:r>
      <w:r>
        <w:rPr>
          <w:rFonts w:hint="eastAsia" w:ascii="宋体" w:hAnsi="宋体" w:eastAsia="宋体" w:cs="宋体"/>
          <w:bCs/>
          <w:sz w:val="24"/>
          <w:szCs w:val="24"/>
        </w:rPr>
        <w:t xml:space="preserve">磋商文件</w:t>
      </w:r>
      <w:r>
        <w:rPr>
          <w:rFonts w:hint="eastAsia" w:ascii="宋体" w:hAnsi="宋体" w:eastAsia="宋体" w:cs="宋体"/>
          <w:sz w:val="24"/>
          <w:szCs w:val="24"/>
        </w:rPr>
        <w:t xml:space="preserve">》（项目编号： 号）要求，本供应商正式提交以下首次响应文件。</w:t>
      </w:r>
      <w:r/>
    </w:p>
    <w:p>
      <w:pPr>
        <w:pStyle w:val="1041"/>
        <w:ind w:firstLine="480"/>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sz w:val="24"/>
          <w:szCs w:val="24"/>
        </w:rPr>
        <w:t xml:space="preserve">（1）承诺书； </w:t>
      </w:r>
      <w:r/>
    </w:p>
    <w:p>
      <w:pPr>
        <w:pStyle w:val="1041"/>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（2）磋商报价表； </w:t>
      </w:r>
      <w:r/>
    </w:p>
    <w:p>
      <w:pPr>
        <w:pStyle w:val="1041"/>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（3）偏离表；</w:t>
      </w:r>
      <w:r/>
    </w:p>
    <w:p>
      <w:pPr>
        <w:pStyle w:val="1041"/>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磋商文件</w:t>
      </w:r>
      <w:r>
        <w:rPr>
          <w:rFonts w:hint="eastAsia" w:ascii="宋体" w:hAnsi="宋体" w:eastAsia="宋体" w:cs="宋体"/>
          <w:sz w:val="24"/>
          <w:szCs w:val="24"/>
        </w:rPr>
        <w:t xml:space="preserve">要求提供的其他响应文件。</w:t>
      </w:r>
      <w:r/>
    </w:p>
    <w:p>
      <w:pPr>
        <w:pStyle w:val="1041"/>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pStyle w:val="1041"/>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我单位按照磋商文件的要求编制响应文件，并对其提交的响应文件（包括资格预审申请文件）的真实性、合法性承担法律责任。</w:t>
      </w:r>
      <w:r/>
    </w:p>
    <w:p>
      <w:pPr>
        <w:pStyle w:val="1048"/>
        <w:ind w:firstLine="480"/>
        <w:spacing w:line="440" w:lineRule="exact"/>
        <w:rPr>
          <w:rFonts w:hint="eastAsia" w:cs="宋体"/>
          <w:sz w:val="24"/>
          <w:szCs w:val="24"/>
        </w:rPr>
      </w:pPr>
      <w:r>
        <w:rPr>
          <w:rFonts w:hint="eastAsia" w:cs="宋体"/>
          <w:sz w:val="24"/>
          <w:szCs w:val="24"/>
        </w:rPr>
        <w:t xml:space="preserve">供应商兹宣布同意如下: </w:t>
      </w:r>
      <w:r/>
    </w:p>
    <w:p>
      <w:pPr>
        <w:pStyle w:val="1041"/>
        <w:ind w:firstLine="480"/>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rPr>
        <w:t xml:space="preserve">一、完全承担根据《磋商文件》规定完成合同的责任和义务（如有偏离，将全部填写在偏离表中）。</w:t>
      </w:r>
      <w:r/>
    </w:p>
    <w:p>
      <w:pPr>
        <w:pStyle w:val="1041"/>
        <w:ind w:firstLine="480"/>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w:t xml:space="preserve">二、保证所提供的响应文件（包括资格预审申请文件）及所有材料的真实、合法、有效，并对其负责。</w:t>
      </w:r>
      <w:r/>
    </w:p>
    <w:p>
      <w:pPr>
        <w:pStyle w:val="1048"/>
        <w:ind w:firstLine="480"/>
        <w:spacing w:line="440" w:lineRule="exact"/>
        <w:rPr>
          <w:rFonts w:hint="eastAsia" w:cs="宋体"/>
          <w:sz w:val="24"/>
          <w:szCs w:val="24"/>
        </w:rPr>
      </w:pPr>
      <w:r>
        <w:rPr>
          <w:rFonts w:hint="eastAsia" w:cs="宋体"/>
          <w:sz w:val="24"/>
          <w:szCs w:val="24"/>
        </w:rPr>
        <w:t xml:space="preserve">三、已详细审核《</w:t>
      </w:r>
      <w:r>
        <w:rPr>
          <w:rFonts w:hint="eastAsia" w:cs="宋体"/>
          <w:bCs/>
          <w:sz w:val="24"/>
          <w:szCs w:val="24"/>
        </w:rPr>
        <w:t xml:space="preserve">磋商文件</w:t>
      </w:r>
      <w:r>
        <w:rPr>
          <w:rFonts w:hint="eastAsia" w:cs="宋体"/>
          <w:sz w:val="24"/>
          <w:szCs w:val="24"/>
        </w:rPr>
        <w:t xml:space="preserve">》，包括《磋商文件修改（澄清）》（如果有的话），本供应商完全理解并同意放弃对这方面不明及误解的权利。</w:t>
      </w:r>
      <w:r/>
    </w:p>
    <w:p>
      <w:pPr>
        <w:pStyle w:val="1048"/>
        <w:ind w:firstLine="480"/>
        <w:spacing w:line="440" w:lineRule="exact"/>
        <w:rPr>
          <w:rFonts w:hint="eastAsia" w:cs="宋体"/>
          <w:sz w:val="24"/>
          <w:szCs w:val="24"/>
        </w:rPr>
      </w:pPr>
      <w:r>
        <w:rPr>
          <w:rFonts w:hint="eastAsia" w:cs="宋体"/>
          <w:sz w:val="24"/>
          <w:szCs w:val="24"/>
        </w:rPr>
        <w:t xml:space="preserve">四、所供货物保证符合国家有关产品质量、性能和安全标准，无权利瑕疵。</w:t>
      </w:r>
      <w:r/>
    </w:p>
    <w:p>
      <w:pPr>
        <w:pStyle w:val="1048"/>
        <w:ind w:firstLine="480"/>
        <w:spacing w:line="440" w:lineRule="exact"/>
        <w:rPr>
          <w:rFonts w:hint="eastAsia" w:cs="宋体"/>
          <w:sz w:val="24"/>
          <w:szCs w:val="24"/>
        </w:rPr>
      </w:pPr>
      <w:r>
        <w:rPr>
          <w:rFonts w:hint="eastAsia" w:cs="宋体"/>
          <w:sz w:val="24"/>
          <w:szCs w:val="24"/>
        </w:rPr>
        <w:t xml:space="preserve">五、报价有效期为30个工作日。</w:t>
      </w:r>
      <w:r/>
    </w:p>
    <w:p>
      <w:pPr>
        <w:pStyle w:val="1048"/>
        <w:ind w:firstLine="480"/>
        <w:spacing w:line="440" w:lineRule="exact"/>
        <w:rPr>
          <w:rFonts w:hint="eastAsia" w:cs="宋体"/>
          <w:sz w:val="24"/>
          <w:szCs w:val="24"/>
        </w:rPr>
      </w:pPr>
      <w:r>
        <w:rPr>
          <w:rFonts w:hint="eastAsia" w:cs="宋体"/>
          <w:sz w:val="24"/>
          <w:szCs w:val="24"/>
        </w:rPr>
        <w:t xml:space="preserve">六、同意向贵方提供贵方可能要求的与本次磋商采购有关的任何证据或资料。</w:t>
      </w:r>
      <w:r/>
    </w:p>
    <w:p>
      <w:pPr>
        <w:pStyle w:val="1048"/>
        <w:ind w:firstLine="480"/>
        <w:spacing w:line="440" w:lineRule="exact"/>
        <w:rPr>
          <w:rFonts w:hint="eastAsia" w:cs="宋体"/>
          <w:sz w:val="24"/>
          <w:szCs w:val="24"/>
        </w:rPr>
      </w:pPr>
      <w:r>
        <w:rPr>
          <w:rFonts w:hint="eastAsia" w:cs="宋体"/>
          <w:sz w:val="24"/>
          <w:szCs w:val="24"/>
        </w:rPr>
        <w:t xml:space="preserve">七、完全理解贵方不一定要接受最低的报价或收到的任何报价。</w:t>
      </w:r>
      <w:r/>
    </w:p>
    <w:p>
      <w:pPr>
        <w:pStyle w:val="1048"/>
        <w:ind w:firstLine="480"/>
        <w:spacing w:line="440" w:lineRule="exact"/>
        <w:rPr>
          <w:rFonts w:hint="eastAsia" w:cs="宋体"/>
          <w:sz w:val="24"/>
          <w:szCs w:val="24"/>
        </w:rPr>
      </w:pPr>
      <w:r>
        <w:rPr>
          <w:rFonts w:hint="eastAsia" w:cs="宋体"/>
          <w:sz w:val="24"/>
          <w:szCs w:val="24"/>
        </w:rPr>
        <w:t xml:space="preserve">八、同意在收到成交通知书时，按照磋商文件中的有关规定支付代理服务费。</w:t>
      </w:r>
      <w:r/>
    </w:p>
    <w:p>
      <w:pPr>
        <w:pStyle w:val="1048"/>
        <w:ind w:firstLine="480"/>
        <w:spacing w:line="440" w:lineRule="exact"/>
        <w:rPr>
          <w:rFonts w:hint="eastAsia" w:cs="宋体"/>
          <w:sz w:val="24"/>
          <w:szCs w:val="24"/>
        </w:rPr>
      </w:pPr>
      <w:r>
        <w:rPr>
          <w:rFonts w:hint="eastAsia" w:cs="宋体"/>
          <w:sz w:val="24"/>
          <w:szCs w:val="24"/>
        </w:rPr>
        <w:t xml:space="preserve">九、泰州市永晖工程招标代理有限公司有权将我单位本项目的《磋商报价表》和《工程报价书》以及《政府采购合同（参考）》予以公示，公示的方式由泰州市永晖工程招标代理有限公司。</w:t>
      </w:r>
      <w:r/>
    </w:p>
    <w:p>
      <w:pPr>
        <w:pStyle w:val="1048"/>
        <w:jc w:val="right"/>
        <w:rPr>
          <w:rFonts w:hint="eastAsia" w:cs="宋体"/>
          <w:sz w:val="24"/>
          <w:szCs w:val="24"/>
        </w:rPr>
      </w:pPr>
      <w:r>
        <w:rPr>
          <w:rFonts w:hint="eastAsia" w:cs="宋体"/>
          <w:sz w:val="24"/>
          <w:szCs w:val="24"/>
        </w:rPr>
        <w:t xml:space="preserve">磋商报价供应商：</w:t>
      </w:r>
      <w:r>
        <w:rPr>
          <w:rFonts w:hint="eastAsia" w:cs="宋体"/>
          <w:sz w:val="24"/>
          <w:szCs w:val="24"/>
          <w:u w:val="single"/>
        </w:rPr>
        <w:t xml:space="preserve">        </w:t>
      </w:r>
      <w:r>
        <w:rPr>
          <w:rFonts w:hint="eastAsia" w:cs="宋体"/>
          <w:sz w:val="24"/>
          <w:szCs w:val="24"/>
        </w:rPr>
        <w:t xml:space="preserve">（盖电子签章）</w:t>
      </w:r>
      <w:r/>
    </w:p>
    <w:p>
      <w:pPr>
        <w:pStyle w:val="1048"/>
        <w:ind w:firstLine="3088"/>
        <w:jc w:val="right"/>
        <w:rPr>
          <w:rFonts w:hint="eastAsia" w:cs="宋体"/>
          <w:sz w:val="24"/>
          <w:szCs w:val="24"/>
        </w:rPr>
      </w:pPr>
      <w:r>
        <w:rPr>
          <w:rFonts w:hint="eastAsia" w:cs="宋体"/>
          <w:sz w:val="24"/>
          <w:szCs w:val="24"/>
        </w:rPr>
        <w:t xml:space="preserve">     磋商代表：</w:t>
      </w:r>
      <w:r/>
    </w:p>
    <w:p>
      <w:pPr>
        <w:pStyle w:val="1048"/>
        <w:ind w:firstLine="3794"/>
        <w:jc w:val="right"/>
        <w:rPr>
          <w:rFonts w:hint="eastAsia" w:cs="宋体"/>
          <w:sz w:val="24"/>
          <w:szCs w:val="24"/>
        </w:rPr>
      </w:pPr>
      <w:r>
        <w:rPr>
          <w:rFonts w:hint="eastAsia" w:cs="宋体"/>
          <w:sz w:val="24"/>
          <w:szCs w:val="24"/>
        </w:rPr>
        <w:t xml:space="preserve">联系电话：</w:t>
      </w:r>
      <w:r/>
    </w:p>
    <w:p>
      <w:pPr>
        <w:pStyle w:val="1048"/>
        <w:ind w:firstLine="3794"/>
        <w:jc w:val="right"/>
        <w:rPr>
          <w:rFonts w:hint="eastAsia" w:cs="宋体"/>
          <w:sz w:val="24"/>
          <w:szCs w:val="24"/>
        </w:rPr>
      </w:pPr>
      <w:r>
        <w:rPr>
          <w:rFonts w:hint="eastAsia" w:cs="宋体"/>
          <w:sz w:val="24"/>
          <w:szCs w:val="24"/>
        </w:rPr>
        <w:t xml:space="preserve">移动电话：</w:t>
      </w:r>
      <w:r/>
    </w:p>
    <w:p>
      <w:pPr>
        <w:pStyle w:val="1048"/>
        <w:jc w:val="right"/>
        <w:rPr>
          <w:rFonts w:hint="eastAsia" w:cs="宋体"/>
          <w:sz w:val="28"/>
          <w:szCs w:val="28"/>
        </w:rPr>
      </w:pPr>
      <w:r>
        <w:rPr>
          <w:rFonts w:hint="eastAsia" w:cs="宋体"/>
          <w:sz w:val="24"/>
          <w:szCs w:val="24"/>
        </w:rPr>
        <w:t xml:space="preserve">年  月  日</w:t>
      </w:r>
      <w:r/>
    </w:p>
    <w:p>
      <w:pPr>
        <w:pStyle w:val="1048"/>
        <w:jc w:val="center"/>
        <w:keepNext/>
        <w:pageBreakBefore/>
        <w:spacing w:line="400" w:lineRule="exact"/>
        <w:rPr>
          <w:rFonts w:hint="eastAsia" w:ascii="宋体" w:hAnsi="宋体" w:eastAsia="宋体" w:cs="宋体"/>
          <w:b/>
          <w:bCs/>
          <w:sz w:val="28"/>
          <w:szCs w:val="28"/>
        </w:rPr>
        <w:outlineLvl w:val="0"/>
      </w:pPr>
      <w:r/>
      <w:bookmarkStart w:id="86" w:name="_Toc28040"/>
      <w:r/>
      <w:bookmarkStart w:id="87" w:name="_Toc10997"/>
      <w:r/>
      <w:bookmarkStart w:id="88" w:name="_Toc17847"/>
      <w:r>
        <w:rPr>
          <w:rFonts w:hint="eastAsia" w:ascii="宋体" w:hAnsi="宋体" w:eastAsia="宋体" w:cs="宋体"/>
          <w:b/>
          <w:bCs/>
          <w:sz w:val="28"/>
          <w:szCs w:val="28"/>
        </w:rPr>
        <w:t xml:space="preserve">2、磋商报价表</w:t>
      </w:r>
      <w:bookmarkEnd w:id="86"/>
      <w:r/>
      <w:bookmarkEnd w:id="87"/>
      <w:r/>
      <w:bookmarkEnd w:id="88"/>
      <w:r/>
      <w:r/>
    </w:p>
    <w:p>
      <w:pPr>
        <w:pStyle w:val="1048"/>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bookmarkStart w:id="89" w:name="_Toc21682"/>
      <w:r/>
      <w:bookmarkStart w:id="90" w:name="_Toc25044"/>
      <w:r>
        <w:rPr>
          <w:rFonts w:hint="eastAsia" w:ascii="宋体" w:hAnsi="宋体" w:eastAsia="宋体" w:cs="宋体"/>
          <w:sz w:val="28"/>
          <w:szCs w:val="28"/>
        </w:rPr>
        <w:t xml:space="preserve">项目编号： </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（本次为：□首次  □终次报价）            货币单位：人民币元</w:t>
      </w:r>
      <w:r/>
    </w:p>
    <w:tbl>
      <w:tblPr>
        <w:tblStyle w:val="792"/>
        <w:tblW w:w="8211" w:type="dxa"/>
        <w:jc w:val="center"/>
        <w:tblLayout w:type="fixed"/>
        <w:tblCellMar>
          <w:left w:w="15" w:type="dxa"/>
          <w:top w:w="15" w:type="dxa"/>
          <w:right w:w="15" w:type="dxa"/>
          <w:bottom w:w="15" w:type="dxa"/>
        </w:tblCellMar>
        <w:tblLook w:val="04A0" w:firstRow="1" w:lastRow="0" w:firstColumn="1" w:lastColumn="0" w:noHBand="0" w:noVBand="1"/>
      </w:tblPr>
      <w:tblGrid>
        <w:gridCol w:w="1557"/>
        <w:gridCol w:w="1068"/>
        <w:gridCol w:w="1329"/>
        <w:gridCol w:w="1153"/>
        <w:gridCol w:w="1440"/>
        <w:gridCol w:w="1664"/>
      </w:tblGrid>
      <w:tr>
        <w:trPr>
          <w:jc w:val="center"/>
          <w:trHeight w:val="495"/>
        </w:trPr>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spacing w:line="240" w:lineRule="atLeast"/>
              <w:widowControl/>
              <w:rPr>
                <w:rFonts w:hint="eastAsia" w:ascii="宋体" w:hAnsi="宋体" w:eastAsia="宋体" w:cs="宋体"/>
                <w:b/>
                <w:color w:val="000000"/>
                <w:spacing w:val="11"/>
                <w:sz w:val="24"/>
                <w:szCs w:val="24"/>
              </w:rPr>
            </w:pPr>
            <w:r>
              <w:rPr>
                <w:rFonts w:hint="eastAsia" w:ascii="宋体" w:hAnsi="宋体" w:eastAsia="宋体" w:cs="宋体"/>
                <w:b/>
                <w:color w:val="000000"/>
                <w:spacing w:val="11"/>
                <w:sz w:val="24"/>
                <w:szCs w:val="24"/>
              </w:rPr>
              <w:t xml:space="preserve">医疗机构</w:t>
            </w:r>
            <w:r/>
          </w:p>
          <w:p>
            <w:pPr>
              <w:jc w:val="center"/>
              <w:spacing w:line="240" w:lineRule="atLeast"/>
              <w:widowControl/>
              <w:rPr>
                <w:rFonts w:hint="eastAsia" w:ascii="宋体" w:hAnsi="宋体" w:eastAsia="宋体" w:cs="宋体"/>
                <w:b/>
                <w:color w:val="000000"/>
                <w:spacing w:val="11"/>
                <w:sz w:val="24"/>
                <w:szCs w:val="24"/>
              </w:rPr>
            </w:pPr>
            <w:r>
              <w:rPr>
                <w:rFonts w:hint="eastAsia" w:ascii="宋体" w:hAnsi="宋体" w:eastAsia="宋体" w:cs="宋体"/>
                <w:b/>
                <w:color w:val="000000"/>
                <w:spacing w:val="11"/>
                <w:sz w:val="24"/>
                <w:szCs w:val="24"/>
              </w:rPr>
              <w:t xml:space="preserve">类型</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line="240" w:lineRule="atLeast"/>
              <w:widowControl/>
              <w:rPr>
                <w:rFonts w:hint="eastAsia" w:ascii="宋体" w:hAnsi="宋体" w:eastAsia="宋体" w:cs="宋体"/>
                <w:b/>
                <w:color w:val="000000"/>
                <w:spacing w:val="11"/>
                <w:sz w:val="24"/>
                <w:szCs w:val="24"/>
              </w:rPr>
            </w:pPr>
            <w:r>
              <w:rPr>
                <w:rFonts w:hint="eastAsia" w:ascii="宋体" w:hAnsi="宋体" w:eastAsia="宋体" w:cs="宋体"/>
                <w:b/>
                <w:color w:val="000000"/>
                <w:spacing w:val="11"/>
                <w:sz w:val="24"/>
                <w:szCs w:val="24"/>
              </w:rPr>
              <w:t xml:space="preserve">累计责任限额</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spacing w:line="240" w:lineRule="atLeast"/>
              <w:widowControl/>
              <w:rPr>
                <w:rFonts w:hint="eastAsia" w:ascii="宋体" w:hAnsi="宋体" w:eastAsia="宋体" w:cs="宋体"/>
                <w:b/>
                <w:color w:val="000000"/>
                <w:spacing w:val="11"/>
                <w:sz w:val="24"/>
                <w:szCs w:val="24"/>
              </w:rPr>
            </w:pPr>
            <w:r>
              <w:rPr>
                <w:rFonts w:hint="eastAsia" w:ascii="宋体" w:hAnsi="宋体" w:eastAsia="宋体" w:cs="宋体"/>
                <w:b/>
                <w:color w:val="000000"/>
                <w:spacing w:val="11"/>
                <w:sz w:val="24"/>
                <w:szCs w:val="24"/>
              </w:rPr>
              <w:t xml:space="preserve">每次事故责任限额</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240" w:lineRule="atLeast"/>
              <w:widowControl/>
              <w:rPr>
                <w:rFonts w:hint="eastAsia" w:ascii="宋体" w:hAnsi="宋体" w:eastAsia="宋体" w:cs="宋体"/>
                <w:b/>
                <w:color w:val="000000"/>
                <w:spacing w:val="11"/>
                <w:sz w:val="24"/>
                <w:szCs w:val="24"/>
              </w:rPr>
            </w:pPr>
            <w:r>
              <w:rPr>
                <w:rFonts w:hint="eastAsia" w:ascii="宋体" w:hAnsi="宋体" w:eastAsia="宋体" w:cs="宋体"/>
                <w:b/>
                <w:color w:val="000000"/>
                <w:spacing w:val="11"/>
                <w:sz w:val="24"/>
                <w:szCs w:val="24"/>
              </w:rPr>
              <w:t xml:space="preserve">每次事故每位患者责任限额</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tLeast"/>
              <w:widowControl/>
              <w:rPr>
                <w:rFonts w:hint="eastAsia" w:ascii="宋体" w:hAnsi="宋体" w:eastAsia="宋体" w:cs="宋体"/>
                <w:b/>
                <w:color w:val="000000"/>
                <w:spacing w:val="11"/>
                <w:sz w:val="24"/>
                <w:szCs w:val="24"/>
              </w:rPr>
            </w:pPr>
            <w:r>
              <w:rPr>
                <w:rFonts w:hint="eastAsia" w:ascii="宋体" w:hAnsi="宋体" w:eastAsia="宋体" w:cs="宋体"/>
                <w:b/>
                <w:color w:val="000000"/>
                <w:spacing w:val="11"/>
                <w:sz w:val="24"/>
                <w:szCs w:val="24"/>
              </w:rPr>
              <w:t xml:space="preserve">每次事故及累计法律费用责任限额</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spacing w:line="400" w:lineRule="exact"/>
              <w:widowControl/>
              <w:rPr>
                <w:rFonts w:hint="eastAsia" w:ascii="宋体" w:hAnsi="宋体" w:eastAsia="宋体" w:cs="宋体"/>
                <w:b/>
                <w:color w:val="000000"/>
                <w:spacing w:val="11"/>
                <w:sz w:val="24"/>
                <w:szCs w:val="24"/>
              </w:rPr>
            </w:pPr>
            <w:r>
              <w:rPr>
                <w:rFonts w:hint="eastAsia" w:ascii="宋体" w:hAnsi="宋体" w:eastAsia="宋体" w:cs="宋体"/>
                <w:b/>
                <w:color w:val="000000"/>
                <w:spacing w:val="11"/>
                <w:sz w:val="24"/>
                <w:szCs w:val="24"/>
              </w:rPr>
              <w:t xml:space="preserve">报价</w:t>
            </w:r>
            <w:r/>
          </w:p>
        </w:tc>
      </w:tr>
      <w:tr>
        <w:trPr>
          <w:jc w:val="center"/>
          <w:trHeight w:val="1632"/>
        </w:trPr>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乡镇（中心）</w:t>
            </w:r>
            <w:r/>
          </w:p>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卫生院</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1500万</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45万</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30万</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每次1.5万；累计120万</w:t>
            </w:r>
            <w:r/>
          </w:p>
        </w:tc>
        <w:tc>
          <w:tcPr>
            <w:tcBorders>
              <w:top w:val="single" w:color="000000" w:sz="4" w:space="0"/>
              <w:left w:val="single" w:color="000000" w:sz="4" w:space="0"/>
              <w:right w:val="single" w:color="000000" w:sz="4" w:space="0"/>
            </w:tcBorders>
            <w:tcW w:w="1664" w:type="dxa"/>
            <w:vAlign w:val="center"/>
            <w:vMerge w:val="restart"/>
            <w:textDirection w:val="lrTb"/>
            <w:noWrap w:val="false"/>
          </w:tcPr>
          <w:p>
            <w:pPr>
              <w:jc w:val="center"/>
              <w:spacing w:line="400" w:lineRule="exac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村卫生室、社区卫生服务站</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1000万</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30万</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20万</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tLeast"/>
              <w:widowControl/>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每次1.5万；累计40万</w:t>
            </w:r>
            <w:r/>
          </w:p>
        </w:tc>
        <w:tc>
          <w:tcPr>
            <w:tcBorders>
              <w:left w:val="single" w:color="000000" w:sz="4" w:space="0"/>
              <w:bottom w:val="single" w:color="000000" w:sz="4" w:space="0"/>
              <w:right w:val="single" w:color="000000" w:sz="4" w:space="0"/>
            </w:tcBorders>
            <w:tcW w:w="1664" w:type="dxa"/>
            <w:vAlign w:val="center"/>
            <w:vMerge w:val="continue"/>
            <w:textDirection w:val="lrTb"/>
            <w:noWrap w:val="false"/>
          </w:tcPr>
          <w:p>
            <w:pPr>
              <w:jc w:val="center"/>
              <w:spacing w:line="400" w:lineRule="exact"/>
              <w:widowControl/>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r>
            <w:r/>
          </w:p>
        </w:tc>
      </w:tr>
    </w:tbl>
    <w:p>
      <w:pPr>
        <w:pStyle w:val="829"/>
        <w:numPr>
          <w:ilvl w:val="255"/>
          <w:numId w:val="0"/>
        </w:numPr>
        <w:spacing w:beforeAutospacing="0" w:afterAutospacing="0" w:line="300" w:lineRule="atLeast"/>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t xml:space="preserve">附加险种：</w:t>
      </w:r>
      <w:r/>
    </w:p>
    <w:p>
      <w:pPr>
        <w:rPr>
          <w:rFonts w:hint="eastAsia" w:ascii="宋体" w:hAnsi="宋体" w:eastAsia="宋体" w:cs="宋体"/>
          <w:sz w:val="28"/>
          <w:szCs w:val="28"/>
        </w:rPr>
      </w:pPr>
      <w:r>
        <w:rPr>
          <w:rFonts w:hint="eastAsia" w:ascii="宋体" w:hAnsi="宋体" w:eastAsia="宋体" w:cs="宋体"/>
          <w:sz w:val="28"/>
          <w:szCs w:val="28"/>
        </w:rPr>
        <w:t xml:space="preserve">1、医责险附加医疗机构场所责任保险条款：5万元/每次责任限额。</w:t>
      </w:r>
      <w:r/>
    </w:p>
    <w:p>
      <w:pPr>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、医责险附加外聘专家医疗责任保险条款：15万元/每次责任限额。</w:t>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t xml:space="preserve">供应商报价说明：</w:t>
      </w:r>
      <w:r/>
    </w:p>
    <w:p>
      <w:pPr>
        <w:ind w:firstLine="480"/>
        <w:spacing w:line="288" w:lineRule="auto"/>
        <w:rPr>
          <w:rFonts w:hint="eastAsia" w:ascii="宋体" w:hAnsi="宋体" w:eastAsia="宋体" w:cs="宋体"/>
          <w:sz w:val="28"/>
          <w:szCs w:val="28"/>
        </w:rPr>
      </w:pPr>
      <w:r>
        <w:rPr>
          <w:rFonts w:hint="eastAsia" w:ascii="宋体" w:hAnsi="宋体" w:eastAsia="宋体" w:cs="宋体"/>
          <w:sz w:val="28"/>
          <w:szCs w:val="28"/>
        </w:rPr>
        <w:t xml:space="preserve">报价包括完成项目的所有费用。采购人不再支付报价以外的任何费用。</w:t>
      </w:r>
      <w:r/>
    </w:p>
    <w:p>
      <w:pPr>
        <w:jc w:val="right"/>
        <w:rPr>
          <w:rFonts w:hint="eastAsia" w:ascii="宋体" w:hAnsi="宋体" w:eastAsia="宋体" w:cs="宋体"/>
          <w:sz w:val="28"/>
          <w:szCs w:val="28"/>
        </w:rPr>
      </w:pPr>
      <w:r>
        <w:rPr>
          <w:rFonts w:hint="eastAsia" w:ascii="宋体" w:hAnsi="宋体" w:eastAsia="宋体" w:cs="宋体"/>
          <w:sz w:val="28"/>
          <w:szCs w:val="28"/>
        </w:rPr>
        <w:t xml:space="preserve">供应商名称：        （盖电子签章）　　　　　　　　　　　　　　　</w:t>
      </w:r>
      <w:r/>
    </w:p>
    <w:p>
      <w:pPr>
        <w:jc w:val="right"/>
        <w:rPr>
          <w:rFonts w:hint="eastAsia" w:ascii="宋体" w:hAnsi="宋体" w:eastAsia="宋体" w:cs="宋体"/>
          <w:sz w:val="28"/>
          <w:szCs w:val="28"/>
        </w:rPr>
      </w:pPr>
      <w:r>
        <w:rPr>
          <w:rFonts w:hint="eastAsia" w:ascii="宋体" w:hAnsi="宋体" w:eastAsia="宋体" w:cs="宋体"/>
          <w:sz w:val="28"/>
          <w:szCs w:val="28"/>
        </w:rPr>
        <w:t xml:space="preserve">磋商代表（授权代理人）签字：                      </w:t>
      </w:r>
      <w:r/>
    </w:p>
    <w:p>
      <w:pPr>
        <w:jc w:val="right"/>
        <w:rPr>
          <w:rFonts w:hint="eastAsia" w:ascii="宋体" w:hAnsi="宋体" w:eastAsia="宋体" w:cs="宋体"/>
          <w:sz w:val="28"/>
          <w:szCs w:val="28"/>
        </w:rPr>
      </w:pPr>
      <w:r>
        <w:rPr>
          <w:rFonts w:hint="eastAsia" w:ascii="宋体" w:hAnsi="宋体" w:eastAsia="宋体" w:cs="宋体"/>
          <w:sz w:val="28"/>
          <w:szCs w:val="28"/>
        </w:rPr>
        <w:t xml:space="preserve"> 年  月  日</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ind w:firstLine="1383"/>
        <w:rPr>
          <w:rFonts w:hint="eastAsia" w:ascii="宋体" w:hAnsi="宋体" w:eastAsia="宋体" w:cs="宋体"/>
          <w:sz w:val="28"/>
          <w:szCs w:val="28"/>
        </w:rPr>
      </w:pPr>
      <w:r>
        <w:rPr>
          <w:rFonts w:hint="eastAsia" w:ascii="宋体" w:hAnsi="宋体" w:eastAsia="宋体" w:cs="宋体"/>
          <w:b/>
          <w:bCs/>
          <w:color w:val="000000"/>
          <w:sz w:val="28"/>
          <w:szCs w:val="28"/>
        </w:rPr>
        <w:t xml:space="preserve">3、供应商参与综合评分时需提供的证明文件</w:t>
      </w:r>
      <w:r/>
    </w:p>
    <w:p>
      <w:pPr>
        <w:ind w:firstLine="562"/>
        <w:spacing w:line="360" w:lineRule="auto"/>
        <w:widowControl/>
        <w:rPr>
          <w:rFonts w:hint="eastAsia" w:ascii="宋体" w:hAnsi="宋体" w:eastAsia="宋体" w:cs="宋体"/>
          <w:b/>
          <w:bCs/>
          <w:color w:val="000000"/>
          <w:sz w:val="28"/>
          <w:szCs w:val="28"/>
        </w:rPr>
        <w:outlineLvl w:val="2"/>
      </w:pPr>
      <w:r/>
      <w:bookmarkStart w:id="91" w:name="_Toc24635"/>
      <w:r>
        <w:rPr>
          <w:rFonts w:hint="eastAsia" w:ascii="宋体" w:hAnsi="宋体" w:eastAsia="宋体" w:cs="宋体"/>
          <w:b/>
          <w:color w:val="000000"/>
          <w:sz w:val="28"/>
          <w:szCs w:val="28"/>
        </w:rPr>
        <w:t xml:space="preserve">1、供应商资信</w:t>
      </w:r>
      <w:bookmarkEnd w:id="91"/>
      <w:r/>
      <w:r/>
    </w:p>
    <w:p>
      <w:pPr>
        <w:pStyle w:val="845"/>
        <w:ind w:firstLine="562"/>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（1）保险公司风险综合评级</w:t>
      </w:r>
      <w:r/>
    </w:p>
    <w:p>
      <w:pPr>
        <w:pStyle w:val="845"/>
        <w:ind w:firstLine="562"/>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（2）保险公司综合偿付能力充足率</w:t>
      </w:r>
      <w:r/>
    </w:p>
    <w:p>
      <w:pPr>
        <w:pStyle w:val="1305"/>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注：1、以上数据应为财产保险总公司的资料。</w:t>
      </w:r>
      <w:r/>
    </w:p>
    <w:p>
      <w:pPr>
        <w:pStyle w:val="845"/>
        <w:ind w:firstLine="562"/>
        <w:spacing w:line="360" w:lineRule="auto"/>
        <w:widowControl/>
        <w:rPr>
          <w:rFonts w:hint="eastAsia" w:ascii="宋体" w:hAnsi="宋体" w:eastAsia="宋体" w:cs="宋体"/>
          <w:b/>
          <w:sz w:val="28"/>
          <w:szCs w:val="28"/>
        </w:rPr>
      </w:pPr>
      <w:r>
        <w:rPr>
          <w:rFonts w:hint="eastAsia" w:ascii="宋体" w:hAnsi="宋体" w:eastAsia="宋体" w:cs="宋体"/>
          <w:b/>
          <w:sz w:val="28"/>
          <w:szCs w:val="28"/>
        </w:rPr>
        <w:t xml:space="preserve">（以各家供应商最新偿付能力报告为准，最新偿付能力报告截图并加盖磋商供应商公章，未提供不得分。）</w:t>
      </w:r>
      <w:r/>
    </w:p>
    <w:p>
      <w:pPr>
        <w:ind w:firstLine="562"/>
        <w:spacing w:line="360" w:lineRule="auto"/>
        <w:rPr>
          <w:rFonts w:hint="eastAsia" w:ascii="宋体" w:hAnsi="宋体" w:eastAsia="宋体" w:cs="宋体"/>
          <w:b/>
          <w:color w:val="000000"/>
          <w:sz w:val="28"/>
          <w:szCs w:val="28"/>
        </w:rPr>
        <w:outlineLvl w:val="2"/>
      </w:pPr>
      <w:r>
        <w:rPr>
          <w:rFonts w:hint="eastAsia" w:ascii="宋体" w:hAnsi="宋体" w:eastAsia="宋体" w:cs="宋体"/>
          <w:b/>
          <w:color w:val="000000"/>
          <w:sz w:val="28"/>
          <w:szCs w:val="28"/>
        </w:rPr>
      </w:r>
      <w:r/>
    </w:p>
    <w:p>
      <w:pPr>
        <w:ind w:firstLine="281"/>
        <w:spacing w:line="360" w:lineRule="auto"/>
        <w:rPr>
          <w:rFonts w:hint="eastAsia" w:ascii="宋体" w:hAnsi="宋体" w:eastAsia="宋体" w:cs="宋体"/>
          <w:b/>
          <w:color w:val="000000"/>
          <w:sz w:val="28"/>
          <w:szCs w:val="28"/>
        </w:rPr>
        <w:outlineLvl w:val="2"/>
      </w:pPr>
      <w:r/>
      <w:bookmarkStart w:id="92" w:name="_Toc22041"/>
      <w:r>
        <w:rPr>
          <w:rFonts w:hint="eastAsia" w:ascii="宋体" w:hAnsi="宋体" w:eastAsia="宋体" w:cs="宋体"/>
          <w:b/>
          <w:color w:val="000000"/>
          <w:sz w:val="28"/>
          <w:szCs w:val="28"/>
        </w:rPr>
        <w:t xml:space="preserve">2、供应商服务网络</w:t>
      </w:r>
      <w:bookmarkEnd w:id="92"/>
      <w:r/>
      <w:r/>
    </w:p>
    <w:p>
      <w:pPr>
        <w:pStyle w:val="1305"/>
        <w:ind w:firstLine="562"/>
        <w:spacing w:line="360" w:lineRule="auto"/>
        <w:rPr>
          <w:rFonts w:hint="eastAsia" w:ascii="宋体" w:hAnsi="宋体" w:eastAsia="宋体" w:cs="宋体"/>
          <w:b/>
          <w:color w:val="000000"/>
          <w:sz w:val="28"/>
          <w:szCs w:val="28"/>
          <w:lang w:eastAsia="zh-CN"/>
        </w:rPr>
        <w:outlineLvl w:val="2"/>
      </w:pPr>
      <w:r/>
      <w:bookmarkStart w:id="93" w:name="_Toc11213"/>
      <w:r/>
      <w:r/>
    </w:p>
    <w:p>
      <w:pPr>
        <w:pStyle w:val="1305"/>
        <w:ind w:firstLine="562"/>
        <w:spacing w:line="360" w:lineRule="auto"/>
        <w:rPr>
          <w:rFonts w:hint="eastAsia" w:ascii="宋体" w:hAnsi="宋体" w:eastAsia="宋体" w:cs="宋体"/>
          <w:b/>
          <w:color w:val="000000"/>
          <w:sz w:val="28"/>
          <w:szCs w:val="28"/>
          <w:lang w:eastAsia="zh-CN"/>
        </w:rPr>
        <w:outlineLvl w:val="2"/>
      </w:pPr>
      <w:r>
        <w:rPr>
          <w:rFonts w:hint="eastAsia" w:ascii="宋体" w:hAnsi="宋体" w:eastAsia="宋体" w:cs="宋体"/>
          <w:b/>
          <w:color w:val="000000"/>
          <w:sz w:val="28"/>
          <w:szCs w:val="28"/>
          <w:lang w:eastAsia="zh-CN"/>
        </w:rPr>
        <w:t xml:space="preserve">（1）服务机构</w:t>
      </w:r>
      <w:bookmarkEnd w:id="93"/>
      <w:r/>
      <w:r/>
    </w:p>
    <w:p>
      <w:pPr>
        <w:ind w:firstLine="562"/>
        <w:spacing w:line="360" w:lineRule="auto"/>
        <w:rPr>
          <w:rFonts w:hint="eastAsia" w:ascii="宋体" w:hAnsi="宋体" w:eastAsia="宋体" w:cs="宋体"/>
          <w:b/>
          <w:color w:val="000000"/>
          <w:sz w:val="28"/>
          <w:szCs w:val="28"/>
        </w:rPr>
        <w:outlineLvl w:val="2"/>
      </w:pPr>
      <w:r/>
      <w:bookmarkStart w:id="94" w:name="_Toc24891"/>
      <w:r>
        <w:rPr>
          <w:rFonts w:hint="eastAsia" w:ascii="宋体" w:hAnsi="宋体" w:eastAsia="宋体" w:cs="宋体"/>
          <w:b/>
          <w:sz w:val="28"/>
          <w:szCs w:val="28"/>
        </w:rPr>
        <w:t xml:space="preserve">注：</w:t>
      </w:r>
      <w:r>
        <w:rPr>
          <w:rFonts w:hint="eastAsia" w:ascii="宋体" w:hAnsi="宋体" w:eastAsia="宋体" w:cs="宋体"/>
          <w:b/>
          <w:bCs/>
          <w:sz w:val="28"/>
          <w:szCs w:val="28"/>
        </w:rPr>
        <w:t xml:space="preserve">已有分支机构/服务机构的需提供营业执照以及经营保险业务许可证复印件并加盖公章，</w:t>
      </w:r>
      <w:r>
        <w:rPr>
          <w:rFonts w:hint="eastAsia" w:ascii="宋体" w:hAnsi="宋体" w:eastAsia="宋体" w:cs="宋体"/>
          <w:b/>
          <w:bCs/>
          <w:sz w:val="28"/>
          <w:szCs w:val="28"/>
          <w:lang w:val="zh-CN"/>
        </w:rPr>
        <w:t xml:space="preserve">不提供不得分</w:t>
      </w:r>
      <w:r>
        <w:rPr>
          <w:rFonts w:hint="eastAsia" w:ascii="宋体" w:hAnsi="宋体" w:eastAsia="宋体" w:cs="宋体"/>
          <w:b/>
          <w:sz w:val="28"/>
          <w:szCs w:val="28"/>
        </w:rPr>
        <w:t xml:space="preserve">。</w:t>
      </w:r>
      <w:bookmarkEnd w:id="94"/>
      <w:r/>
      <w:r/>
    </w:p>
    <w:p>
      <w:pPr>
        <w:ind w:firstLine="562"/>
        <w:spacing w:line="360" w:lineRule="auto"/>
        <w:rPr>
          <w:rFonts w:hint="eastAsia" w:ascii="宋体" w:hAnsi="宋体" w:eastAsia="宋体" w:cs="宋体"/>
          <w:b/>
          <w:color w:val="000000"/>
          <w:sz w:val="28"/>
          <w:szCs w:val="28"/>
        </w:rPr>
        <w:outlineLvl w:val="2"/>
      </w:pPr>
      <w:r>
        <w:rPr>
          <w:rFonts w:hint="eastAsia" w:ascii="宋体" w:hAnsi="宋体" w:eastAsia="宋体" w:cs="宋体"/>
          <w:b/>
          <w:color w:val="000000"/>
          <w:sz w:val="28"/>
          <w:szCs w:val="28"/>
        </w:rPr>
      </w:r>
      <w:r/>
    </w:p>
    <w:p>
      <w:pPr>
        <w:rPr>
          <w:rFonts w:hint="eastAsia" w:ascii="宋体" w:hAnsi="宋体" w:eastAsia="宋体" w:cs="宋体"/>
          <w:b/>
          <w:color w:val="000000"/>
          <w:sz w:val="28"/>
          <w:szCs w:val="28"/>
        </w:rPr>
      </w:pPr>
      <w:r/>
      <w:bookmarkStart w:id="95" w:name="_Toc18433"/>
      <w:r>
        <w:rPr>
          <w:rFonts w:hint="eastAsia" w:ascii="宋体" w:hAnsi="宋体" w:eastAsia="宋体" w:cs="宋体"/>
          <w:b/>
          <w:color w:val="000000"/>
          <w:sz w:val="28"/>
          <w:szCs w:val="28"/>
        </w:rPr>
        <w:br w:type="page" w:clear="all"/>
      </w:r>
      <w:r/>
    </w:p>
    <w:p>
      <w:pPr>
        <w:ind w:firstLine="562"/>
        <w:spacing w:line="360" w:lineRule="auto"/>
        <w:rPr>
          <w:rFonts w:hint="eastAsia" w:ascii="宋体" w:hAnsi="宋体" w:eastAsia="宋体" w:cs="宋体"/>
          <w:sz w:val="28"/>
          <w:szCs w:val="28"/>
        </w:rPr>
        <w:outlineLvl w:val="2"/>
      </w:pPr>
      <w:r>
        <w:rPr>
          <w:rFonts w:hint="eastAsia" w:ascii="宋体" w:hAnsi="宋体" w:eastAsia="宋体" w:cs="宋体"/>
          <w:b/>
          <w:color w:val="000000"/>
          <w:sz w:val="28"/>
          <w:szCs w:val="28"/>
        </w:rPr>
        <w:t xml:space="preserve">（2）服务团队</w:t>
      </w:r>
      <w:bookmarkEnd w:id="95"/>
      <w:r/>
      <w:r/>
    </w:p>
    <w:p>
      <w:pPr>
        <w:ind w:firstLine="562"/>
        <w:spacing w:line="360" w:lineRule="auto"/>
        <w:rPr>
          <w:rFonts w:hint="eastAsia" w:ascii="宋体" w:hAnsi="宋体" w:eastAsia="宋体" w:cs="宋体"/>
          <w:b/>
          <w:sz w:val="28"/>
          <w:szCs w:val="28"/>
        </w:rPr>
      </w:pPr>
      <w:r>
        <w:rPr>
          <w:rFonts w:hint="eastAsia" w:ascii="宋体" w:hAnsi="宋体" w:eastAsia="宋体" w:cs="宋体"/>
          <w:b/>
          <w:bCs/>
          <w:sz w:val="28"/>
          <w:szCs w:val="28"/>
        </w:rPr>
        <w:t xml:space="preserve">注：</w:t>
      </w:r>
      <w:r>
        <w:rPr>
          <w:rFonts w:hint="eastAsia" w:ascii="宋体" w:hAnsi="宋体" w:eastAsia="宋体" w:cs="宋体"/>
          <w:b/>
          <w:sz w:val="28"/>
          <w:szCs w:val="28"/>
        </w:rPr>
        <w:t xml:space="preserve">需提供为本项目配备的服务团队人员名单，及截磋商文件递交日期近三个月任意一个月缴费的社保证明，不提供不得分。</w:t>
      </w:r>
      <w:r/>
    </w:p>
    <w:tbl>
      <w:tblPr>
        <w:tblStyle w:val="792"/>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189"/>
        <w:gridCol w:w="1190"/>
        <w:gridCol w:w="1431"/>
        <w:gridCol w:w="1190"/>
        <w:gridCol w:w="1190"/>
        <w:gridCol w:w="1157"/>
        <w:gridCol w:w="2389"/>
      </w:tblGrid>
      <w:tr>
        <w:trPr>
          <w:jc w:val="center"/>
          <w:trHeight w:val="20"/>
        </w:trPr>
        <w:tc>
          <w:tcPr>
            <w:shd w:val="clear" w:color="auto" w:fill="ffffff"/>
            <w:tcW w:w="1189"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姓名</w:t>
            </w:r>
            <w:r/>
          </w:p>
        </w:tc>
        <w:tc>
          <w:tcPr>
            <w:shd w:val="clear" w:color="auto" w:fill="ffffff"/>
            <w:tcW w:w="143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职务</w:t>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职责</w:t>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手机</w:t>
            </w:r>
            <w:r/>
          </w:p>
        </w:tc>
        <w:tc>
          <w:tcPr>
            <w:shd w:val="clear" w:color="auto" w:fill="ffffff"/>
            <w:tcW w:w="1157"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固话</w:t>
            </w:r>
            <w:r/>
          </w:p>
        </w:tc>
        <w:tc>
          <w:tcPr>
            <w:shd w:val="clear" w:color="auto" w:fill="ffffff"/>
            <w:tcW w:w="2389"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p>
        </w:tc>
      </w:tr>
      <w:tr>
        <w:trPr>
          <w:jc w:val="center"/>
          <w:trHeight w:val="20"/>
        </w:trPr>
        <w:tc>
          <w:tcPr>
            <w:shd w:val="clear" w:color="auto" w:fill="ffffff"/>
            <w:tcW w:w="1189"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组组长</w:t>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43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90" w:type="dxa"/>
            <w:vAlign w:val="center"/>
            <w:textDirection w:val="lrTb"/>
            <w:noWrap w:val="false"/>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57"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2389"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第三联系人</w:t>
            </w:r>
            <w:r/>
          </w:p>
        </w:tc>
      </w:tr>
      <w:tr>
        <w:trPr>
          <w:jc w:val="center"/>
          <w:trHeight w:val="20"/>
        </w:trPr>
        <w:tc>
          <w:tcPr>
            <w:shd w:val="clear" w:color="auto" w:fill="ffffff"/>
            <w:tcW w:w="1189"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副组长</w:t>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43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90" w:type="dxa"/>
            <w:vAlign w:val="center"/>
            <w:textDirection w:val="lrTb"/>
            <w:noWrap w:val="false"/>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57"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2389"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第二联系人</w:t>
            </w:r>
            <w:r/>
          </w:p>
        </w:tc>
      </w:tr>
      <w:tr>
        <w:trPr>
          <w:cantSplit/>
          <w:jc w:val="center"/>
          <w:trHeight w:val="20"/>
        </w:trPr>
        <w:tc>
          <w:tcPr>
            <w:shd w:val="clear" w:color="auto" w:fill="ffffff"/>
            <w:tcW w:w="1189" w:type="dxa"/>
            <w:vAlign w:val="center"/>
            <w:vMerge w:val="restart"/>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成员</w:t>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43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57"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2389"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第一联系人</w:t>
            </w:r>
            <w:r/>
          </w:p>
        </w:tc>
      </w:tr>
      <w:tr>
        <w:trPr>
          <w:cantSplit/>
          <w:jc w:val="center"/>
          <w:trHeight w:val="360"/>
        </w:trPr>
        <w:tc>
          <w:tcPr>
            <w:shd w:val="clear" w:color="auto" w:fill="ffffff"/>
            <w:tcW w:w="1189" w:type="dxa"/>
            <w:vAlign w:val="center"/>
            <w:vMerge w:val="continue"/>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tc>
        <w:tc>
          <w:tcPr>
            <w:shd w:val="clear" w:color="auto" w:fill="ffffff"/>
            <w:tcW w:w="143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tc>
        <w:tc>
          <w:tcPr>
            <w:shd w:val="clear" w:color="auto" w:fill="ffffff"/>
            <w:tcW w:w="119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tc>
        <w:tc>
          <w:tcPr>
            <w:shd w:val="clear" w:color="auto" w:fill="ffffff"/>
            <w:tcW w:w="1157"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tc>
        <w:tc>
          <w:tcPr>
            <w:shd w:val="clear" w:color="auto" w:fill="ffffff"/>
            <w:tcW w:w="2389"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tc>
      </w:tr>
      <w:tr>
        <w:trPr>
          <w:jc w:val="center"/>
          <w:trHeight w:val="20"/>
        </w:trPr>
        <w:tc>
          <w:tcPr>
            <w:gridSpan w:val="7"/>
            <w:shd w:val="clear" w:color="auto" w:fill="ffffff"/>
            <w:tcW w:w="9736" w:type="dxa"/>
            <w:vAlign w:val="center"/>
            <w:textDirection w:val="lrTb"/>
            <w:noWrap w:val="false"/>
          </w:tcPr>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第一联系人：</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姓名：                 email：传真：</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联系地址：邮编：</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第二联系人：</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姓名：email：传真：</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联系地址：邮编：</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第三联系人：</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姓名：                 email：传真：</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联系地址：邮编：</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p>
          <w:p>
            <w:pPr>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产品第一、二、三联系人中至少有一人为供应商理赔部门的负责人，并负责总体协调本产品保险事故的理赔处理工作。</w:t>
            </w:r>
            <w:r/>
          </w:p>
        </w:tc>
      </w:tr>
    </w:tbl>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小</w:t>
      </w:r>
      <w:r>
        <w:rPr>
          <w:rFonts w:hint="eastAsia" w:ascii="宋体" w:hAnsi="宋体" w:eastAsia="宋体" w:cs="宋体"/>
          <w:smallCaps/>
          <w:color w:val="000000"/>
          <w:sz w:val="28"/>
          <w:szCs w:val="28"/>
        </w:rPr>
        <w:t xml:space="preserve">组人员</w:t>
      </w:r>
      <w:r>
        <w:rPr>
          <w:rFonts w:hint="eastAsia" w:ascii="宋体" w:hAnsi="宋体" w:eastAsia="宋体" w:cs="宋体"/>
          <w:color w:val="000000"/>
          <w:sz w:val="28"/>
          <w:szCs w:val="28"/>
        </w:rPr>
        <w:t xml:space="preserve">简历：</w:t>
      </w:r>
      <w:r/>
    </w:p>
    <w:tbl>
      <w:tblPr>
        <w:tblStyle w:val="792"/>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64"/>
        <w:gridCol w:w="1112"/>
        <w:gridCol w:w="1316"/>
        <w:gridCol w:w="1881"/>
        <w:gridCol w:w="1822"/>
        <w:gridCol w:w="2641"/>
      </w:tblGrid>
      <w:tr>
        <w:trPr>
          <w:jc w:val="center"/>
          <w:trHeight w:val="630"/>
        </w:trPr>
        <w:tc>
          <w:tcPr>
            <w:shd w:val="clear" w:color="auto" w:fill="d9d9d9"/>
            <w:tcW w:w="964"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序号</w:t>
            </w:r>
            <w:r/>
          </w:p>
        </w:tc>
        <w:tc>
          <w:tcPr>
            <w:shd w:val="clear" w:color="auto" w:fill="d9d9d9"/>
            <w:tcW w:w="111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姓名</w:t>
            </w:r>
            <w:r/>
          </w:p>
        </w:tc>
        <w:tc>
          <w:tcPr>
            <w:shd w:val="clear" w:color="auto" w:fill="d9d9d9"/>
            <w:tcW w:w="1316"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年龄</w:t>
            </w:r>
            <w:r/>
          </w:p>
        </w:tc>
        <w:tc>
          <w:tcPr>
            <w:shd w:val="clear" w:color="auto" w:fill="d9d9d9"/>
            <w:tcW w:w="188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专业资格</w:t>
            </w:r>
            <w:r/>
          </w:p>
        </w:tc>
        <w:tc>
          <w:tcPr>
            <w:shd w:val="clear" w:color="auto" w:fill="d9d9d9"/>
            <w:tcW w:w="182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从业年数及产品经验</w:t>
            </w:r>
            <w:r/>
          </w:p>
        </w:tc>
        <w:tc>
          <w:tcPr>
            <w:shd w:val="clear" w:color="auto" w:fill="d9d9d9"/>
            <w:tcW w:w="264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社保缴纳期限</w:t>
            </w:r>
            <w:r/>
          </w:p>
        </w:tc>
      </w:tr>
      <w:tr>
        <w:trPr>
          <w:jc w:val="center"/>
          <w:trHeight w:val="630"/>
        </w:trPr>
        <w:tc>
          <w:tcPr>
            <w:shd w:val="clear" w:color="auto" w:fill="ffffff"/>
            <w:tcW w:w="964"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11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316"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8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2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264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r>
      <w:tr>
        <w:trPr>
          <w:jc w:val="center"/>
          <w:trHeight w:val="630"/>
        </w:trPr>
        <w:tc>
          <w:tcPr>
            <w:shd w:val="clear" w:color="auto" w:fill="ffffff"/>
            <w:tcW w:w="964"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11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316"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8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2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264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r>
      <w:tr>
        <w:trPr>
          <w:jc w:val="center"/>
          <w:trHeight w:val="630"/>
        </w:trPr>
        <w:tc>
          <w:tcPr>
            <w:shd w:val="clear" w:color="auto" w:fill="ffffff"/>
            <w:tcW w:w="964"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11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316"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8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2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264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r>
      <w:tr>
        <w:trPr>
          <w:jc w:val="center"/>
          <w:trHeight w:val="630"/>
        </w:trPr>
        <w:tc>
          <w:tcPr>
            <w:shd w:val="clear" w:color="auto" w:fill="ffffff"/>
            <w:tcW w:w="964"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11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316"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8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2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264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r>
      <w:tr>
        <w:trPr>
          <w:jc w:val="center"/>
          <w:trHeight w:val="630"/>
        </w:trPr>
        <w:tc>
          <w:tcPr>
            <w:shd w:val="clear" w:color="auto" w:fill="ffffff"/>
            <w:tcW w:w="964"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11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316"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8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1822"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c>
          <w:tcPr>
            <w:shd w:val="clear" w:color="auto" w:fill="ffffff"/>
            <w:tcW w:w="2641" w:type="dxa"/>
            <w:vAlign w:val="center"/>
            <w:textDirection w:val="lrTb"/>
            <w:noWrap w:val="false"/>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tc>
      </w:tr>
    </w:tbl>
    <w:p>
      <w:pPr>
        <w:ind w:firstLine="56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56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56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56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供应商（盖章）：</w:t>
      </w:r>
      <w:r/>
    </w:p>
    <w:p>
      <w:pPr>
        <w:ind w:firstLine="56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法定代表人或授权代理人（签字或盖章）：</w:t>
      </w:r>
      <w:r/>
    </w:p>
    <w:p>
      <w:pPr>
        <w:ind w:firstLine="560"/>
        <w:spacing w:line="360" w:lineRule="auto"/>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日期：</w:t>
      </w:r>
      <w:r/>
    </w:p>
    <w:p>
      <w:pPr>
        <w:rPr>
          <w:rFonts w:hint="eastAsia" w:ascii="宋体" w:hAnsi="宋体" w:eastAsia="宋体" w:cs="宋体"/>
          <w:b/>
          <w:color w:val="000000"/>
          <w:szCs w:val="28"/>
        </w:rPr>
      </w:pPr>
      <w:r>
        <w:rPr>
          <w:rFonts w:hint="eastAsia" w:ascii="宋体" w:hAnsi="宋体" w:eastAsia="宋体" w:cs="宋体"/>
          <w:b/>
          <w:color w:val="000000"/>
          <w:szCs w:val="28"/>
        </w:rPr>
        <w:br w:type="page" w:clear="all"/>
      </w:r>
      <w:r/>
    </w:p>
    <w:p>
      <w:pPr>
        <w:ind w:firstLine="281"/>
        <w:spacing w:line="360" w:lineRule="auto"/>
        <w:rPr>
          <w:rFonts w:hint="eastAsia" w:ascii="宋体" w:hAnsi="宋体" w:eastAsia="宋体" w:cs="宋体"/>
          <w:b/>
          <w:color w:val="000000"/>
          <w:sz w:val="28"/>
          <w:szCs w:val="28"/>
        </w:rPr>
        <w:outlineLvl w:val="2"/>
      </w:pPr>
      <w:r/>
      <w:bookmarkStart w:id="96" w:name="_Toc15984"/>
      <w:r>
        <w:rPr>
          <w:rFonts w:hint="eastAsia" w:ascii="宋体" w:hAnsi="宋体" w:eastAsia="宋体" w:cs="宋体"/>
          <w:b/>
          <w:color w:val="000000"/>
          <w:sz w:val="28"/>
          <w:szCs w:val="28"/>
        </w:rPr>
        <w:t xml:space="preserve">4、项目经验</w:t>
      </w:r>
      <w:bookmarkEnd w:id="96"/>
      <w:r/>
      <w:r/>
    </w:p>
    <w:p>
      <w:pPr>
        <w:ind w:firstLine="281"/>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（1）医责险承保经验</w:t>
      </w:r>
      <w:r/>
    </w:p>
    <w:tbl>
      <w:tblPr>
        <w:tblStyle w:val="792"/>
        <w:tblW w:w="7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1"/>
        <w:gridCol w:w="2358"/>
        <w:gridCol w:w="2358"/>
      </w:tblGrid>
      <w:tr>
        <w:trPr>
          <w:jc w:val="center"/>
        </w:trPr>
        <w:tc>
          <w:tcPr>
            <w:shd w:val="clear" w:color="auto" w:fill="d9d9d9"/>
            <w:tcW w:w="2701" w:type="dxa"/>
            <w:vAlign w:val="center"/>
            <w:textDirection w:val="lrTb"/>
            <w:noWrap/>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项目名称</w:t>
            </w:r>
            <w:r/>
          </w:p>
        </w:tc>
        <w:tc>
          <w:tcPr>
            <w:shd w:val="clear" w:color="auto" w:fill="d9d9d9"/>
            <w:tcW w:w="2358" w:type="dxa"/>
            <w:textDirection w:val="lrTb"/>
            <w:noWrap/>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承保年度</w:t>
            </w:r>
            <w:r/>
          </w:p>
        </w:tc>
        <w:tc>
          <w:tcPr>
            <w:shd w:val="clear" w:color="auto" w:fill="d9d9d9"/>
            <w:tcW w:w="2358" w:type="dxa"/>
            <w:vAlign w:val="center"/>
            <w:textDirection w:val="lrTb"/>
            <w:noWrap/>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承保份额</w:t>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W w:w="2358" w:type="dxa"/>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W w:w="2358" w:type="dxa"/>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W w:w="2358" w:type="dxa"/>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W w:w="2358" w:type="dxa"/>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W w:w="2358" w:type="dxa"/>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56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（2）</w:t>
      </w:r>
      <w:r>
        <w:rPr>
          <w:rFonts w:hint="eastAsia" w:ascii="宋体" w:hAnsi="宋体" w:eastAsia="宋体" w:cs="宋体"/>
          <w:b/>
          <w:color w:val="000000" w:themeColor="text1"/>
          <w:sz w:val="28"/>
          <w:szCs w:val="28"/>
          <w14:textFill>
            <w14:solidFill>
              <w14:schemeClr w14:val="tx1"/>
            </w14:solidFill>
          </w14:textFill>
        </w:rPr>
        <w:t xml:space="preserve">其他责任险承保经验</w:t>
      </w:r>
      <w:r/>
    </w:p>
    <w:tbl>
      <w:tblPr>
        <w:tblStyle w:val="792"/>
        <w:tblW w:w="7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1"/>
        <w:gridCol w:w="2358"/>
        <w:gridCol w:w="2358"/>
      </w:tblGrid>
      <w:tr>
        <w:trPr>
          <w:jc w:val="center"/>
        </w:trPr>
        <w:tc>
          <w:tcPr>
            <w:shd w:val="clear" w:color="auto" w:fill="d9d9d9"/>
            <w:tcW w:w="2701" w:type="dxa"/>
            <w:vAlign w:val="center"/>
            <w:textDirection w:val="lrTb"/>
            <w:noWrap/>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项目名称</w:t>
            </w:r>
            <w:r/>
          </w:p>
        </w:tc>
        <w:tc>
          <w:tcPr>
            <w:shd w:val="clear" w:color="auto" w:fill="d9d9d9"/>
            <w:tcW w:w="2358" w:type="dxa"/>
            <w:textDirection w:val="lrTb"/>
            <w:noWrap/>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承保年度</w:t>
            </w:r>
            <w:r/>
          </w:p>
        </w:tc>
        <w:tc>
          <w:tcPr>
            <w:shd w:val="clear" w:color="auto" w:fill="d9d9d9"/>
            <w:tcW w:w="2358" w:type="dxa"/>
            <w:vAlign w:val="center"/>
            <w:textDirection w:val="lrTb"/>
            <w:noWrap/>
          </w:tcPr>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承保份额</w:t>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W w:w="2358" w:type="dxa"/>
            <w:textDirection w:val="lrTb"/>
            <w:noWrap/>
          </w:tcPr>
          <w:p>
            <w:pPr>
              <w:spacing w:line="360" w:lineRule="auto"/>
              <w:rPr>
                <w:rFonts w:hint="eastAsia" w:ascii="宋体" w:hAnsi="宋体" w:eastAsia="宋体" w:cs="宋体"/>
                <w:color w:val="000000"/>
                <w:sz w:val="28"/>
                <w:szCs w:val="28"/>
              </w:rPr>
            </w:pPr>
            <w:r/>
            <w:bookmarkStart w:id="152" w:name="_GoBack"/>
            <w:r/>
            <w:bookmarkEnd w:id="152"/>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W w:w="2358" w:type="dxa"/>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W w:w="2358" w:type="dxa"/>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W w:w="2358" w:type="dxa"/>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Pr>
        <w:tc>
          <w:tcPr>
            <w:tcW w:w="2701"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W w:w="2358" w:type="dxa"/>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58" w:type="dxa"/>
            <w:vAlign w:val="center"/>
            <w:textDirection w:val="lrTb"/>
            <w:noWrap/>
          </w:tcPr>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562"/>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ind w:firstLine="560"/>
        <w:spacing w:line="400" w:lineRule="exact"/>
        <w:rPr>
          <w:rFonts w:hint="eastAsia" w:ascii="宋体" w:hAnsi="宋体" w:eastAsia="宋体" w:cs="宋体"/>
          <w:bCs/>
          <w:sz w:val="28"/>
          <w:szCs w:val="28"/>
        </w:rPr>
      </w:pPr>
      <w:r>
        <w:rPr>
          <w:rFonts w:hint="eastAsia" w:ascii="宋体" w:hAnsi="宋体" w:eastAsia="宋体" w:cs="宋体"/>
          <w:bCs/>
          <w:sz w:val="28"/>
          <w:szCs w:val="28"/>
        </w:rPr>
      </w:r>
      <w:r/>
    </w:p>
    <w:p>
      <w:pPr>
        <w:ind w:firstLine="56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供应商（盖章）：</w:t>
      </w:r>
      <w:r/>
    </w:p>
    <w:p>
      <w:pPr>
        <w:ind w:firstLine="56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法定代表人或授权代理人（签字或盖章）：</w:t>
      </w:r>
      <w:r/>
    </w:p>
    <w:p>
      <w:pPr>
        <w:ind w:firstLine="562"/>
        <w:spacing w:line="360" w:lineRule="auto"/>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日期：</w:t>
      </w:r>
      <w:r/>
    </w:p>
    <w:p>
      <w:pPr>
        <w:ind w:firstLine="562"/>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5、响应情况</w:t>
      </w:r>
      <w:r/>
    </w:p>
    <w:p>
      <w:pPr>
        <w:ind w:firstLine="562"/>
        <w:spacing w:line="360" w:lineRule="auto"/>
        <w:tabs>
          <w:tab w:val="left" w:pos="-3420" w:leader="none"/>
          <w:tab w:val="left" w:pos="3008" w:leader="none"/>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ind w:firstLine="562"/>
        <w:spacing w:line="360" w:lineRule="auto"/>
        <w:tabs>
          <w:tab w:val="left" w:pos="-3420" w:leader="none"/>
          <w:tab w:val="left" w:pos="3008" w:leader="none"/>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响应：</w:t>
      </w:r>
      <w:r/>
    </w:p>
    <w:p>
      <w:pPr>
        <w:ind w:firstLine="560"/>
        <w:spacing w:line="360" w:lineRule="auto"/>
        <w:tabs>
          <w:tab w:val="left" w:pos="-3420" w:leader="none"/>
          <w:tab w:val="left" w:pos="3008"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我司完全/不完全响应</w:t>
      </w:r>
      <w:r>
        <w:rPr>
          <w:rFonts w:hint="eastAsia" w:ascii="宋体" w:hAnsi="宋体" w:eastAsia="宋体" w:cs="宋体"/>
          <w:sz w:val="28"/>
          <w:szCs w:val="28"/>
        </w:rPr>
        <w:t xml:space="preserve">采购</w:t>
      </w:r>
      <w:r>
        <w:rPr>
          <w:rFonts w:hint="eastAsia" w:ascii="宋体" w:hAnsi="宋体" w:eastAsia="宋体" w:cs="宋体"/>
          <w:color w:val="000000"/>
          <w:sz w:val="28"/>
          <w:szCs w:val="28"/>
        </w:rPr>
        <w:t xml:space="preserve">文件中关于兴化市基层医疗机构相关保险产品保险方案、采购协议、赔偿处理办法的全部内容。</w:t>
      </w:r>
      <w:r/>
    </w:p>
    <w:p>
      <w:pPr>
        <w:ind w:firstLine="562"/>
        <w:spacing w:line="360" w:lineRule="auto"/>
        <w:tabs>
          <w:tab w:val="left" w:pos="-3420" w:leader="none"/>
          <w:tab w:val="left" w:pos="3008" w:leader="none"/>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差异：</w:t>
      </w:r>
      <w:r/>
    </w:p>
    <w:p>
      <w:pPr>
        <w:ind w:firstLine="562"/>
        <w:spacing w:line="360" w:lineRule="auto"/>
        <w:tabs>
          <w:tab w:val="left" w:pos="-3420" w:leader="none"/>
          <w:tab w:val="left" w:pos="3008" w:leader="none"/>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偏离：</w:t>
      </w:r>
      <w:r/>
    </w:p>
    <w:p>
      <w:pPr>
        <w:ind w:firstLine="42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ind w:firstLine="42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ind w:firstLine="56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供应商（盖章）：</w:t>
      </w:r>
      <w:r/>
    </w:p>
    <w:p>
      <w:pPr>
        <w:ind w:firstLine="56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法定代表人或授权代理人（签字或盖章）：</w:t>
      </w:r>
      <w:r/>
    </w:p>
    <w:p>
      <w:pPr>
        <w:ind w:firstLine="562"/>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w:t>
      </w:r>
      <w:r/>
    </w:p>
    <w:p>
      <w:pPr>
        <w:ind w:firstLine="420"/>
        <w:spacing w:line="360" w:lineRule="auto"/>
        <w:rPr>
          <w:rFonts w:hint="eastAsia" w:ascii="宋体" w:hAnsi="宋体" w:eastAsia="宋体" w:cs="宋体"/>
          <w:color w:val="000000"/>
          <w:szCs w:val="28"/>
        </w:rPr>
      </w:pPr>
      <w:r>
        <w:rPr>
          <w:rFonts w:hint="eastAsia" w:ascii="宋体" w:hAnsi="宋体" w:eastAsia="宋体" w:cs="宋体"/>
          <w:color w:val="000000"/>
          <w:szCs w:val="28"/>
        </w:rPr>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bookmarkEnd w:id="89"/>
      <w:r/>
      <w:bookmarkEnd w:id="90"/>
      <w:r/>
      <w:r/>
    </w:p>
    <w:p>
      <w:pPr>
        <w:jc w:val="center"/>
        <w:keepNext/>
        <w:pageBreakBefore/>
        <w:spacing w:line="400" w:lineRule="exact"/>
        <w:rPr>
          <w:rFonts w:hint="eastAsia" w:ascii="宋体" w:hAnsi="宋体" w:eastAsia="宋体" w:cs="宋体"/>
          <w:b/>
          <w:bCs/>
          <w:sz w:val="28"/>
          <w:szCs w:val="28"/>
        </w:rPr>
        <w:outlineLvl w:val="0"/>
      </w:pPr>
      <w:r/>
      <w:bookmarkStart w:id="97" w:name="_Toc15808"/>
      <w:r/>
      <w:bookmarkStart w:id="98" w:name="_Toc23308"/>
      <w:r/>
      <w:bookmarkStart w:id="99" w:name="_Toc13841"/>
      <w:r>
        <w:rPr>
          <w:rFonts w:hint="eastAsia" w:ascii="宋体" w:hAnsi="宋体" w:eastAsia="宋体" w:cs="宋体"/>
          <w:b/>
          <w:sz w:val="28"/>
          <w:szCs w:val="28"/>
        </w:rPr>
        <w:t xml:space="preserve">6、法人授权委托书</w:t>
      </w:r>
      <w:bookmarkEnd w:id="97"/>
      <w:r/>
      <w:bookmarkEnd w:id="98"/>
      <w:r/>
      <w:bookmarkEnd w:id="99"/>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委托人（全称）：</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  址：</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法定代表人：               </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法人营业执照注册号（统一社会信用代码）：</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受托人：                  先生（女士）</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身份证号：</w:t>
      </w:r>
      <w:r/>
    </w:p>
    <w:p>
      <w:pPr>
        <w:pStyle w:val="1048"/>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w:t>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1048"/>
        <w:ind w:firstLine="708"/>
        <w:spacing w:line="500" w:lineRule="exact"/>
        <w:rPr>
          <w:rFonts w:hint="eastAsia" w:ascii="宋体" w:hAnsi="宋体" w:eastAsia="宋体" w:cs="宋体"/>
          <w:sz w:val="28"/>
          <w:szCs w:val="28"/>
        </w:rPr>
      </w:pPr>
      <w:r>
        <w:rPr>
          <w:rFonts w:hint="eastAsia" w:ascii="宋体" w:hAnsi="宋体" w:eastAsia="宋体" w:cs="宋体"/>
          <w:sz w:val="28"/>
          <w:szCs w:val="28"/>
        </w:rPr>
        <w:t xml:space="preserve">兹委托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全权代表我企业（公司）参与</w:t>
      </w:r>
      <w:r>
        <w:rPr>
          <w:rFonts w:hint="eastAsia" w:ascii="宋体" w:hAnsi="宋体" w:eastAsia="宋体" w:cs="宋体"/>
          <w:sz w:val="28"/>
          <w:szCs w:val="28"/>
          <w:u w:val="single"/>
        </w:rPr>
        <w:t xml:space="preserve">                  项目</w:t>
      </w:r>
      <w:r>
        <w:rPr>
          <w:rFonts w:hint="eastAsia" w:ascii="宋体" w:hAnsi="宋体" w:eastAsia="宋体" w:cs="宋体"/>
          <w:sz w:val="28"/>
          <w:szCs w:val="28"/>
        </w:rPr>
        <w:t xml:space="preserve">[项目编号：</w:t>
      </w:r>
      <w:r>
        <w:rPr>
          <w:rFonts w:hint="eastAsia" w:ascii="宋体" w:hAnsi="宋体" w:eastAsia="宋体" w:cs="宋体"/>
          <w:bCs/>
          <w:color w:val="ff0000"/>
          <w:sz w:val="28"/>
          <w:szCs w:val="28"/>
          <w:u w:val="single"/>
        </w:rPr>
        <w:t xml:space="preserve">                  </w:t>
      </w:r>
      <w:r>
        <w:rPr>
          <w:rFonts w:hint="eastAsia" w:ascii="宋体" w:hAnsi="宋体" w:eastAsia="宋体" w:cs="宋体"/>
          <w:sz w:val="28"/>
          <w:szCs w:val="28"/>
        </w:rPr>
        <w:t xml:space="preserve">]的磋商活动及签订合同。</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以我企业（公司）名义所为的行为及签署的文件，我企业（公司）均予以认可。有关法律责任均由我企业（公司）承担。</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无转委托权。委托期限自     年   月  日起至    年   月   日止。</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委托人：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（盖电子签章）</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法定代表人（签字）：</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t xml:space="preserve">受托人（签字）：</w:t>
      </w:r>
      <w:r/>
    </w:p>
    <w:p>
      <w:pPr>
        <w:pStyle w:val="1048"/>
        <w:spacing w:line="500" w:lineRule="exact"/>
        <w:rPr>
          <w:rFonts w:hint="eastAsia" w:ascii="宋体" w:hAnsi="宋体" w:eastAsia="宋体" w:cs="宋体"/>
          <w:sz w:val="28"/>
          <w:szCs w:val="28"/>
        </w:rPr>
      </w:pPr>
      <w:r>
        <w:rPr>
          <w:rFonts w:hint="eastAsia" w:ascii="宋体" w:hAnsi="宋体" w:eastAsia="宋体" w:cs="宋体"/>
          <w:sz w:val="28"/>
          <w:szCs w:val="28"/>
        </w:rPr>
      </w:r>
      <w:r/>
    </w:p>
    <w:p>
      <w:pPr>
        <w:pStyle w:val="1048"/>
        <w:ind w:firstLine="6081"/>
        <w:spacing w:line="500" w:lineRule="exact"/>
        <w:rPr>
          <w:rFonts w:hint="eastAsia" w:ascii="宋体" w:hAnsi="宋体" w:eastAsia="宋体" w:cs="宋体"/>
          <w:sz w:val="28"/>
          <w:szCs w:val="28"/>
        </w:rPr>
      </w:pPr>
      <w:r>
        <w:rPr>
          <w:rFonts w:hint="eastAsia" w:ascii="宋体" w:hAnsi="宋体" w:eastAsia="宋体" w:cs="宋体"/>
          <w:sz w:val="28"/>
          <w:szCs w:val="28"/>
        </w:rPr>
        <w:t xml:space="preserve">年   月   日</w:t>
      </w:r>
      <w:r/>
    </w:p>
    <w:p>
      <w:pPr>
        <w:pStyle w:val="1048"/>
        <w:rPr>
          <w:rFonts w:hint="eastAsia" w:ascii="宋体" w:hAnsi="宋体" w:eastAsia="宋体" w:cs="宋体"/>
          <w:sz w:val="28"/>
          <w:szCs w:val="28"/>
        </w:rPr>
      </w:pPr>
      <w:r>
        <w:rPr>
          <w:rFonts w:hint="eastAsia" w:ascii="宋体" w:hAnsi="宋体" w:eastAsia="宋体" w:cs="宋体"/>
          <w:sz w:val="28"/>
          <w:szCs w:val="28"/>
        </w:rPr>
      </w:r>
      <w:r/>
    </w:p>
    <w:p>
      <w:pPr>
        <w:pStyle w:val="1048"/>
        <w:rPr>
          <w:rFonts w:hint="eastAsia" w:ascii="宋体" w:hAnsi="宋体" w:eastAsia="宋体" w:cs="宋体"/>
          <w:sz w:val="28"/>
          <w:szCs w:val="28"/>
        </w:rPr>
      </w:pPr>
      <w:r>
        <w:rPr>
          <w:rFonts w:hint="eastAsia" w:ascii="宋体" w:hAnsi="宋体" w:eastAsia="宋体" w:cs="宋体"/>
          <w:sz w:val="28"/>
          <w:szCs w:val="28"/>
        </w:rPr>
        <w:t xml:space="preserve">(受托人身份证复印件附后)</w:t>
      </w:r>
      <w:r/>
    </w:p>
    <w:p>
      <w:pPr>
        <w:pStyle w:val="1048"/>
        <w:jc w:val="center"/>
        <w:keepNext/>
        <w:pageBreakBefore/>
        <w:spacing w:line="0" w:lineRule="atLeast"/>
        <w:rPr>
          <w:rFonts w:hint="eastAsia" w:ascii="宋体" w:hAnsi="宋体" w:eastAsia="宋体" w:cs="宋体"/>
          <w:b/>
          <w:bCs/>
          <w:sz w:val="28"/>
          <w:szCs w:val="28"/>
        </w:rPr>
        <w:outlineLvl w:val="0"/>
      </w:pPr>
      <w:r/>
      <w:bookmarkStart w:id="100" w:name="_Toc14004"/>
      <w:r/>
      <w:bookmarkStart w:id="101" w:name="_Toc8528"/>
      <w:r/>
      <w:bookmarkStart w:id="102" w:name="_Toc17647"/>
      <w:r>
        <w:rPr>
          <w:rFonts w:hint="eastAsia" w:ascii="宋体" w:hAnsi="宋体" w:eastAsia="宋体" w:cs="宋体"/>
          <w:b/>
          <w:sz w:val="28"/>
          <w:szCs w:val="28"/>
        </w:rPr>
        <w:t xml:space="preserve">7、偏离表</w:t>
      </w:r>
      <w:bookmarkEnd w:id="100"/>
      <w:r/>
      <w:bookmarkEnd w:id="101"/>
      <w:r/>
      <w:bookmarkEnd w:id="102"/>
      <w:r/>
      <w:r/>
    </w:p>
    <w:p>
      <w:pPr>
        <w:pStyle w:val="1048"/>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1048"/>
        <w:rPr>
          <w:rFonts w:hint="eastAsia" w:ascii="宋体" w:hAnsi="宋体" w:eastAsia="宋体" w:cs="宋体"/>
          <w:sz w:val="28"/>
          <w:szCs w:val="28"/>
        </w:rPr>
      </w:pPr>
      <w:r>
        <w:rPr>
          <w:rFonts w:hint="eastAsia" w:ascii="宋体" w:hAnsi="宋体" w:eastAsia="宋体" w:cs="宋体"/>
          <w:sz w:val="28"/>
          <w:szCs w:val="28"/>
        </w:rPr>
        <w:t xml:space="preserve">项目编号：</w:t>
      </w:r>
      <w:r/>
    </w:p>
    <w:tbl>
      <w:tblPr>
        <w:tblStyle w:val="792"/>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sz w:val="28"/>
                <w:szCs w:val="28"/>
              </w:rPr>
              <w:t xml:space="preserve">磋商文件（含磋商文件修改（澄清））的要求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sz w:val="28"/>
                <w:szCs w:val="28"/>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1048"/>
              <w:jc w:val="center"/>
              <w:rPr>
                <w:rFonts w:hint="eastAsia" w:ascii="宋体" w:hAnsi="宋体" w:eastAsia="宋体" w:cs="宋体"/>
                <w:caps/>
                <w:sz w:val="28"/>
                <w:szCs w:val="28"/>
              </w:rPr>
            </w:pPr>
            <w:r>
              <w:rPr>
                <w:rFonts w:hint="eastAsia" w:ascii="宋体" w:hAnsi="宋体" w:eastAsia="宋体" w:cs="宋体"/>
                <w:caps/>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48"/>
              <w:rPr>
                <w:rFonts w:hint="eastAsia" w:ascii="宋体" w:hAnsi="宋体" w:eastAsia="宋体" w:cs="宋体"/>
                <w:sz w:val="28"/>
                <w:szCs w:val="28"/>
              </w:rPr>
            </w:pPr>
            <w:r>
              <w:rPr>
                <w:rFonts w:hint="eastAsia" w:ascii="宋体" w:hAnsi="宋体" w:eastAsia="宋体" w:cs="宋体"/>
                <w:sz w:val="28"/>
                <w:szCs w:val="28"/>
              </w:rPr>
            </w:r>
            <w:r/>
          </w:p>
        </w:tc>
      </w:tr>
    </w:tbl>
    <w:p>
      <w:pPr>
        <w:pStyle w:val="1048"/>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1048"/>
        <w:ind w:left="216" w:right="199" w:firstLine="201"/>
        <w:spacing w:line="400" w:lineRule="exact"/>
        <w:rPr>
          <w:rFonts w:hint="eastAsia" w:ascii="宋体" w:hAnsi="宋体" w:eastAsia="宋体" w:cs="宋体"/>
          <w:b/>
          <w:bCs/>
          <w:sz w:val="28"/>
          <w:szCs w:val="28"/>
        </w:rPr>
      </w:pPr>
      <w:r>
        <w:rPr>
          <w:rFonts w:hint="eastAsia" w:ascii="宋体" w:hAnsi="宋体" w:eastAsia="宋体" w:cs="宋体"/>
          <w:sz w:val="28"/>
          <w:szCs w:val="28"/>
          <w:u w:val="single"/>
        </w:rPr>
        <w:t xml:space="preserve">注：</w:t>
      </w:r>
      <w:r>
        <w:rPr>
          <w:rStyle w:val="1202"/>
          <w:rFonts w:hint="eastAsia" w:ascii="宋体" w:hAnsi="宋体" w:eastAsia="宋体" w:cs="宋体"/>
          <w:sz w:val="28"/>
          <w:szCs w:val="28"/>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1048"/>
        <w:rPr>
          <w:rFonts w:hint="eastAsia" w:ascii="宋体" w:hAnsi="宋体" w:eastAsia="宋体" w:cs="宋体"/>
          <w:sz w:val="28"/>
          <w:szCs w:val="28"/>
        </w:rPr>
      </w:pPr>
      <w:r>
        <w:rPr>
          <w:rFonts w:hint="eastAsia" w:ascii="宋体" w:hAnsi="宋体" w:eastAsia="宋体" w:cs="宋体"/>
          <w:sz w:val="28"/>
          <w:szCs w:val="28"/>
        </w:rPr>
      </w:r>
      <w:r/>
    </w:p>
    <w:p>
      <w:pPr>
        <w:pStyle w:val="1048"/>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供应商名称：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（盖电子签章） </w:t>
      </w:r>
      <w:r/>
    </w:p>
    <w:p>
      <w:pPr>
        <w:pStyle w:val="1048"/>
        <w:spacing w:line="360" w:lineRule="auto"/>
        <w:rPr>
          <w:rFonts w:hint="eastAsia" w:ascii="宋体" w:hAnsi="宋体" w:eastAsia="宋体" w:cs="宋体"/>
          <w:sz w:val="28"/>
          <w:szCs w:val="28"/>
        </w:rPr>
      </w:pPr>
      <w:r>
        <w:rPr>
          <w:rFonts w:hint="eastAsia" w:ascii="宋体" w:hAnsi="宋体" w:eastAsia="宋体" w:cs="宋体"/>
          <w:sz w:val="28"/>
          <w:szCs w:val="28"/>
        </w:rPr>
        <w:t xml:space="preserve">磋商代表（授权人）签字：___________ </w:t>
      </w:r>
      <w:r/>
    </w:p>
    <w:p>
      <w:pPr>
        <w:pStyle w:val="802"/>
        <w:ind w:firstLine="280"/>
        <w:rPr>
          <w:rFonts w:hint="eastAsia" w:ascii="宋体" w:hAnsi="宋体" w:eastAsia="宋体" w:cs="宋体"/>
          <w:sz w:val="28"/>
          <w:szCs w:val="28"/>
        </w:rPr>
      </w:pPr>
      <w:r>
        <w:rPr>
          <w:rFonts w:hint="eastAsia" w:ascii="宋体" w:hAnsi="宋体" w:eastAsia="宋体" w:cs="宋体"/>
          <w:sz w:val="28"/>
          <w:szCs w:val="28"/>
        </w:rPr>
      </w:r>
      <w:r/>
    </w:p>
    <w:p>
      <w:pPr>
        <w:jc w:val="center"/>
        <w:keepNext/>
        <w:pageBreakBefore/>
        <w:spacing w:line="360" w:lineRule="auto"/>
        <w:rPr>
          <w:rFonts w:hint="eastAsia" w:ascii="宋体" w:hAnsi="宋体" w:eastAsia="宋体" w:cs="宋体"/>
          <w:b/>
          <w:sz w:val="28"/>
          <w:szCs w:val="28"/>
        </w:rPr>
        <w:outlineLvl w:val="0"/>
      </w:pPr>
      <w:r/>
      <w:bookmarkStart w:id="103" w:name="_Toc26069"/>
      <w:r/>
      <w:bookmarkStart w:id="104" w:name="_Toc6012"/>
      <w:r/>
      <w:bookmarkStart w:id="105" w:name="_Toc18903"/>
      <w:r>
        <w:rPr>
          <w:rFonts w:hint="eastAsia" w:ascii="宋体" w:hAnsi="宋体" w:eastAsia="宋体" w:cs="宋体"/>
          <w:b/>
          <w:sz w:val="28"/>
          <w:szCs w:val="28"/>
        </w:rPr>
        <w:t xml:space="preserve">8、具备履行合同所必需的设备和专业技术能力的声明</w:t>
      </w:r>
      <w:bookmarkEnd w:id="103"/>
      <w:r/>
      <w:bookmarkEnd w:id="104"/>
      <w:r/>
      <w:bookmarkEnd w:id="105"/>
      <w:r/>
      <w:r/>
    </w:p>
    <w:p>
      <w:pPr>
        <w:pStyle w:val="829"/>
        <w:ind w:firstLine="480"/>
        <w:jc w:val="center"/>
        <w:spacing w:line="400" w:lineRule="exact"/>
        <w:rPr>
          <w:rFonts w:hint="eastAsia" w:ascii="宋体" w:hAnsi="宋体" w:eastAsia="宋体" w:cs="宋体"/>
          <w:b/>
          <w:sz w:val="28"/>
          <w:szCs w:val="28"/>
        </w:rPr>
      </w:pPr>
      <w:r>
        <w:rPr>
          <w:rFonts w:hint="eastAsia" w:ascii="宋体" w:hAnsi="宋体" w:eastAsia="宋体" w:cs="宋体"/>
          <w:sz w:val="28"/>
          <w:szCs w:val="28"/>
        </w:rPr>
        <w:t xml:space="preserve">（附证明材料原件扫描件）</w:t>
      </w:r>
      <w:r/>
    </w:p>
    <w:p>
      <w:pPr>
        <w:pStyle w:val="829"/>
        <w:ind w:firstLine="480"/>
        <w:jc w:val="both"/>
        <w:spacing w:line="400" w:lineRule="exact"/>
        <w:rPr>
          <w:rFonts w:hint="eastAsia" w:ascii="宋体" w:hAnsi="宋体" w:eastAsia="宋体" w:cs="宋体"/>
          <w:sz w:val="28"/>
          <w:szCs w:val="28"/>
          <w:u w:val="single"/>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rPr>
        <w:t xml:space="preserve">              </w:t>
      </w:r>
      <w:r/>
    </w:p>
    <w:p>
      <w:pPr>
        <w:pStyle w:val="829"/>
        <w:ind w:firstLine="480"/>
        <w:jc w:val="both"/>
        <w:spacing w:line="400" w:lineRule="exact"/>
        <w:rPr>
          <w:rFonts w:hint="eastAsia" w:ascii="宋体" w:hAnsi="宋体" w:eastAsia="宋体" w:cs="宋体"/>
          <w:sz w:val="28"/>
          <w:szCs w:val="28"/>
          <w:u w:val="single"/>
        </w:rPr>
      </w:pPr>
      <w:r>
        <w:rPr>
          <w:rFonts w:hint="eastAsia" w:ascii="宋体" w:hAnsi="宋体" w:eastAsia="宋体" w:cs="宋体"/>
          <w:sz w:val="28"/>
          <w:szCs w:val="28"/>
        </w:rPr>
        <w:t xml:space="preserve">项目编号：</w:t>
      </w:r>
      <w:r>
        <w:rPr>
          <w:rFonts w:hint="eastAsia" w:ascii="宋体" w:hAnsi="宋体" w:eastAsia="宋体" w:cs="宋体"/>
          <w:sz w:val="28"/>
          <w:szCs w:val="28"/>
          <w:u w:val="single"/>
        </w:rPr>
        <w:t xml:space="preserve">              </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供应商郑重声明：供应商具备履行合同（项目名称：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）所必需的设备和专业技术能力。具体为：</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资质：</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（证明材料原件的扫描件附后）</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（证明材料原件的扫描件附后）</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（证明材料原件的扫描件附后）</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专业技术能力（人员）：</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（证明材料原件的扫描件附后）</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（证明材料原件的扫描件附后）</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（证明材料原件的扫描件附后）</w:t>
      </w:r>
      <w:r/>
    </w:p>
    <w:p>
      <w:pPr>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w:t>
      </w:r>
      <w:r/>
    </w:p>
    <w:p>
      <w:pPr>
        <w:contextualSpacing/>
        <w:ind w:firstLine="48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03"/>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28"/>
        <w:jc w:val="left"/>
        <w:spacing w:line="400" w:lineRule="exact"/>
        <w:rPr>
          <w:rFonts w:hint="eastAsia" w:ascii="宋体" w:hAnsi="宋体" w:eastAsia="宋体" w:cs="宋体"/>
          <w:sz w:val="28"/>
          <w:szCs w:val="28"/>
        </w:rPr>
      </w:pPr>
      <w:r>
        <w:rPr>
          <w:rFonts w:hint="eastAsia" w:ascii="宋体" w:hAnsi="宋体" w:eastAsia="宋体" w:cs="宋体"/>
          <w:sz w:val="28"/>
          <w:szCs w:val="28"/>
        </w:rPr>
        <w:t xml:space="preserve">特此声明。 </w:t>
      </w:r>
      <w:r/>
    </w:p>
    <w:p>
      <w:pPr>
        <w:pStyle w:val="828"/>
        <w:jc w:val="left"/>
        <w:spacing w:line="400" w:lineRule="exact"/>
        <w:rPr>
          <w:rFonts w:hint="eastAsia" w:ascii="宋体" w:hAnsi="宋体" w:eastAsia="宋体" w:cs="宋体"/>
          <w:sz w:val="28"/>
          <w:szCs w:val="28"/>
        </w:rPr>
      </w:pPr>
      <w:r>
        <w:rPr>
          <w:rFonts w:hint="eastAsia" w:ascii="宋体" w:hAnsi="宋体" w:eastAsia="宋体" w:cs="宋体"/>
          <w:sz w:val="28"/>
          <w:szCs w:val="28"/>
        </w:rPr>
        <w:t xml:space="preserve">供应商对上述声明的真实性负责。如有虚假，将依法承担相应责任。 </w:t>
      </w:r>
      <w:r/>
    </w:p>
    <w:p>
      <w:pPr>
        <w:pStyle w:val="828"/>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28"/>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3120"/>
        <w:spacing w:line="400" w:lineRule="exact"/>
        <w:rPr>
          <w:rFonts w:hint="eastAsia" w:ascii="宋体" w:hAnsi="宋体" w:eastAsia="宋体" w:cs="宋体"/>
          <w:sz w:val="28"/>
          <w:szCs w:val="28"/>
        </w:rPr>
      </w:pPr>
      <w:r>
        <w:rPr>
          <w:rFonts w:hint="eastAsia" w:ascii="宋体" w:hAnsi="宋体" w:eastAsia="宋体" w:cs="宋体"/>
          <w:sz w:val="28"/>
          <w:szCs w:val="28"/>
        </w:rPr>
        <w:t xml:space="preserve">供应商：</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ind w:firstLine="3120"/>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3120"/>
        <w:spacing w:line="400" w:lineRule="exact"/>
        <w:rPr>
          <w:rFonts w:hint="eastAsia" w:ascii="宋体" w:hAnsi="宋体" w:eastAsia="宋体" w:cs="宋体"/>
          <w:sz w:val="28"/>
          <w:szCs w:val="28"/>
        </w:rPr>
      </w:pPr>
      <w:r>
        <w:rPr>
          <w:rFonts w:hint="eastAsia" w:ascii="宋体" w:hAnsi="宋体" w:eastAsia="宋体" w:cs="宋体"/>
          <w:sz w:val="28"/>
          <w:szCs w:val="28"/>
        </w:rPr>
        <w:t xml:space="preserve">磋商代表（授权人）：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（签字或盖章）</w:t>
      </w:r>
      <w:r/>
    </w:p>
    <w:p>
      <w:pPr>
        <w:ind w:firstLine="3120"/>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3120"/>
        <w:spacing w:line="40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jc w:val="center"/>
        <w:keepNext/>
        <w:pageBreakBefore/>
        <w:rPr>
          <w:rFonts w:hint="eastAsia" w:ascii="宋体" w:hAnsi="宋体" w:eastAsia="宋体" w:cs="宋体"/>
          <w:b/>
          <w:sz w:val="28"/>
          <w:szCs w:val="28"/>
        </w:rPr>
        <w:outlineLvl w:val="0"/>
      </w:pPr>
      <w:r/>
      <w:bookmarkStart w:id="106" w:name="_Toc2839"/>
      <w:r/>
      <w:bookmarkStart w:id="107" w:name="_Toc6718"/>
      <w:r/>
      <w:bookmarkStart w:id="108" w:name="_Toc11864"/>
      <w:r>
        <w:rPr>
          <w:rFonts w:hint="eastAsia" w:ascii="宋体" w:hAnsi="宋体" w:eastAsia="宋体" w:cs="宋体"/>
          <w:b/>
          <w:sz w:val="28"/>
          <w:szCs w:val="28"/>
        </w:rPr>
        <w:t xml:space="preserve">9、供应商参加政府采购活动前3年内在经营活动中没有重大违法记录的书面声明</w:t>
      </w:r>
      <w:bookmarkEnd w:id="106"/>
      <w:r/>
      <w:bookmarkEnd w:id="107"/>
      <w:r/>
      <w:bookmarkEnd w:id="108"/>
      <w:r/>
      <w:r/>
    </w:p>
    <w:p>
      <w:pPr>
        <w:ind w:firstLine="480"/>
        <w:jc w:val="left"/>
        <w:spacing w:line="720" w:lineRule="exact"/>
        <w:widowControl/>
        <w:rPr>
          <w:rFonts w:hint="eastAsia" w:ascii="宋体" w:hAnsi="宋体" w:eastAsia="宋体" w:cs="宋体"/>
          <w:sz w:val="28"/>
          <w:szCs w:val="28"/>
        </w:rPr>
      </w:pPr>
      <w:r>
        <w:rPr>
          <w:rFonts w:hint="eastAsia" w:ascii="宋体" w:hAnsi="宋体" w:eastAsia="宋体" w:cs="宋体"/>
          <w:sz w:val="28"/>
          <w:szCs w:val="28"/>
        </w:rPr>
        <w:t xml:space="preserve">我单位在参加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项目（项目编号：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）采购活动前3年内在经营活动中没有重大违法记录。重大违法记录是指因违法经营受到刑事处罚或者责令停产停业、吊销许可证或者执照、较大数额罚款等行政处罚。</w:t>
      </w:r>
      <w:r/>
    </w:p>
    <w:p>
      <w:pPr>
        <w:ind w:firstLine="480"/>
        <w:jc w:val="left"/>
        <w:spacing w:line="720" w:lineRule="exact"/>
        <w:widowControl/>
        <w:rPr>
          <w:rFonts w:hint="eastAsia" w:ascii="宋体" w:hAnsi="宋体" w:eastAsia="宋体" w:cs="宋体"/>
          <w:sz w:val="28"/>
          <w:szCs w:val="28"/>
        </w:rPr>
      </w:pPr>
      <w:r>
        <w:rPr>
          <w:rFonts w:hint="eastAsia" w:ascii="宋体" w:hAnsi="宋体" w:eastAsia="宋体" w:cs="宋体"/>
          <w:sz w:val="28"/>
          <w:szCs w:val="28"/>
        </w:rPr>
        <w:t xml:space="preserve">我单位对上述声明的真实性负责。如有虚假，将依法承担相应责任。</w:t>
      </w:r>
      <w:r/>
    </w:p>
    <w:p>
      <w:pPr>
        <w:ind w:right="29" w:firstLine="3960"/>
        <w:spacing w:line="380" w:lineRule="exact"/>
        <w:rPr>
          <w:rFonts w:hint="eastAsia" w:ascii="宋体" w:hAnsi="宋体" w:eastAsia="宋体" w:cs="宋体"/>
          <w:sz w:val="28"/>
          <w:szCs w:val="28"/>
        </w:rPr>
      </w:pPr>
      <w:r>
        <w:rPr>
          <w:rFonts w:hint="eastAsia" w:ascii="宋体" w:hAnsi="宋体" w:eastAsia="宋体" w:cs="宋体"/>
          <w:sz w:val="28"/>
          <w:szCs w:val="28"/>
        </w:rPr>
      </w:r>
      <w:r/>
    </w:p>
    <w:p>
      <w:pPr>
        <w:ind w:right="29" w:firstLine="3960"/>
        <w:spacing w:line="380" w:lineRule="exact"/>
        <w:rPr>
          <w:rFonts w:hint="eastAsia" w:ascii="宋体" w:hAnsi="宋体" w:eastAsia="宋体" w:cs="宋体"/>
          <w:sz w:val="28"/>
          <w:szCs w:val="28"/>
        </w:rPr>
      </w:pPr>
      <w:r>
        <w:rPr>
          <w:rFonts w:hint="eastAsia" w:ascii="宋体" w:hAnsi="宋体" w:eastAsia="宋体" w:cs="宋体"/>
          <w:sz w:val="28"/>
          <w:szCs w:val="28"/>
        </w:rPr>
      </w:r>
      <w:r/>
    </w:p>
    <w:p>
      <w:pPr>
        <w:ind w:right="29" w:firstLine="3960"/>
        <w:spacing w:line="380" w:lineRule="exact"/>
        <w:rPr>
          <w:rFonts w:hint="eastAsia" w:ascii="宋体" w:hAnsi="宋体" w:eastAsia="宋体" w:cs="宋体"/>
          <w:sz w:val="28"/>
          <w:szCs w:val="28"/>
        </w:rPr>
      </w:pPr>
      <w:r>
        <w:rPr>
          <w:rFonts w:hint="eastAsia" w:ascii="宋体" w:hAnsi="宋体" w:eastAsia="宋体" w:cs="宋体"/>
          <w:sz w:val="28"/>
          <w:szCs w:val="28"/>
        </w:rPr>
      </w:r>
      <w:r/>
    </w:p>
    <w:p>
      <w:pPr>
        <w:ind w:right="29" w:firstLine="3960"/>
        <w:spacing w:line="380" w:lineRule="exact"/>
        <w:rPr>
          <w:rFonts w:hint="eastAsia" w:ascii="宋体" w:hAnsi="宋体" w:eastAsia="宋体" w:cs="宋体"/>
          <w:sz w:val="28"/>
          <w:szCs w:val="28"/>
        </w:rPr>
      </w:pPr>
      <w:r>
        <w:rPr>
          <w:rFonts w:hint="eastAsia" w:ascii="宋体" w:hAnsi="宋体" w:eastAsia="宋体" w:cs="宋体"/>
          <w:sz w:val="28"/>
          <w:szCs w:val="28"/>
        </w:rPr>
      </w:r>
      <w:r/>
    </w:p>
    <w:p>
      <w:pPr>
        <w:ind w:right="29" w:firstLine="3960"/>
        <w:spacing w:line="380" w:lineRule="exact"/>
        <w:rPr>
          <w:rFonts w:hint="eastAsia" w:ascii="宋体" w:hAnsi="宋体" w:eastAsia="宋体" w:cs="宋体"/>
          <w:sz w:val="28"/>
          <w:szCs w:val="28"/>
        </w:rPr>
      </w:pPr>
      <w:r>
        <w:rPr>
          <w:rFonts w:hint="eastAsia" w:ascii="宋体" w:hAnsi="宋体" w:eastAsia="宋体" w:cs="宋体"/>
          <w:sz w:val="28"/>
          <w:szCs w:val="28"/>
        </w:rPr>
      </w:r>
      <w:r/>
    </w:p>
    <w:p>
      <w:pPr>
        <w:ind w:firstLine="3118"/>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ind w:firstLine="3120"/>
        <w:spacing w:line="360" w:lineRule="auto"/>
        <w:rPr>
          <w:rFonts w:hint="eastAsia" w:ascii="宋体" w:hAnsi="宋体" w:eastAsia="宋体" w:cs="宋体"/>
          <w:sz w:val="28"/>
          <w:szCs w:val="28"/>
        </w:rPr>
      </w:pPr>
      <w:r>
        <w:rPr>
          <w:rFonts w:hint="eastAsia" w:ascii="宋体" w:hAnsi="宋体" w:eastAsia="宋体" w:cs="宋体"/>
          <w:sz w:val="28"/>
          <w:szCs w:val="28"/>
        </w:rPr>
        <w:t xml:space="preserve">磋商代表（授权人）：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（签字或盖章）</w:t>
      </w:r>
      <w:r/>
    </w:p>
    <w:p>
      <w:pPr>
        <w:ind w:firstLine="3118"/>
        <w:spacing w:line="360" w:lineRule="auto"/>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782"/>
        <w:pageBreakBefore/>
        <w:spacing w:before="0" w:after="0" w:line="416" w:lineRule="auto"/>
        <w:rPr>
          <w:rFonts w:hint="eastAsia" w:ascii="宋体" w:hAnsi="宋体" w:eastAsia="宋体" w:cs="宋体"/>
          <w:sz w:val="28"/>
          <w:szCs w:val="28"/>
        </w:rPr>
      </w:pPr>
      <w:r/>
      <w:bookmarkStart w:id="109" w:name="_Toc16786"/>
      <w:r/>
      <w:bookmarkStart w:id="110" w:name="_Toc31510"/>
      <w:r/>
      <w:bookmarkStart w:id="111" w:name="_Toc13912"/>
      <w:r>
        <w:rPr>
          <w:rFonts w:hint="eastAsia" w:ascii="宋体" w:hAnsi="宋体" w:eastAsia="宋体" w:cs="宋体"/>
          <w:b/>
          <w:sz w:val="28"/>
          <w:szCs w:val="28"/>
        </w:rPr>
        <w:t xml:space="preserve">10、中小企业声明函</w:t>
      </w:r>
      <w:bookmarkEnd w:id="109"/>
      <w:r/>
      <w:bookmarkEnd w:id="110"/>
      <w:r>
        <w:rPr>
          <w:rFonts w:hint="eastAsia" w:ascii="宋体" w:hAnsi="宋体" w:eastAsia="宋体" w:cs="宋体"/>
          <w:b/>
          <w:sz w:val="28"/>
          <w:szCs w:val="28"/>
        </w:rPr>
        <w:t xml:space="preserve">（如有）</w:t>
      </w:r>
      <w:bookmarkEnd w:id="111"/>
      <w:r/>
      <w:r/>
    </w:p>
    <w:p>
      <w:pPr>
        <w:pStyle w:val="805"/>
        <w:ind w:left="1470" w:right="1470" w:firstLine="480"/>
        <w:rPr>
          <w:rFonts w:hint="eastAsia" w:ascii="宋体" w:hAnsi="宋体" w:eastAsia="宋体" w:cs="宋体"/>
          <w:sz w:val="28"/>
          <w:szCs w:val="28"/>
        </w:rPr>
      </w:pPr>
      <w:r>
        <w:rPr>
          <w:rFonts w:hint="eastAsia" w:ascii="宋体" w:hAnsi="宋体" w:eastAsia="宋体" w:cs="宋体"/>
          <w:sz w:val="28"/>
          <w:szCs w:val="28"/>
        </w:rPr>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本公司（联合体）郑重声明，根据《政府采购促进中小企业发展管理办法》（财库[2020]46号）的规定，本公司（联合体）参加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单位的</w:t>
      </w:r>
      <w:r>
        <w:rPr>
          <w:rFonts w:hint="eastAsia" w:ascii="宋体" w:hAnsi="宋体" w:eastAsia="宋体" w:cs="宋体"/>
          <w:sz w:val="28"/>
          <w:szCs w:val="28"/>
          <w:u w:val="single"/>
        </w:rPr>
        <w:t xml:space="preserve">             </w:t>
      </w:r>
      <w:r>
        <w:rPr>
          <w:rFonts w:hint="eastAsia" w:ascii="宋体" w:hAnsi="宋体" w:eastAsia="宋体" w:cs="宋体"/>
          <w:spacing w:val="6"/>
          <w:sz w:val="28"/>
          <w:szCs w:val="28"/>
        </w:rPr>
        <w:t xml:space="preserve">项目</w:t>
      </w:r>
      <w:r>
        <w:rPr>
          <w:rFonts w:hint="eastAsia" w:ascii="宋体" w:hAnsi="宋体" w:eastAsia="宋体" w:cs="宋体"/>
          <w:sz w:val="28"/>
          <w:szCs w:val="28"/>
        </w:rPr>
        <w:t xml:space="preserve">采购活动，服务全部由符合政策要求的中小企业承接。相关企业（含联合体中的中小企业、签订分包意向协议的中小企业）的具体情况如下：</w:t>
      </w:r>
      <w:r/>
    </w:p>
    <w:p>
      <w:pPr>
        <w:ind w:firstLine="480"/>
        <w:jc w:val="left"/>
        <w:spacing w:before="100" w:beforeAutospacing="1" w:after="100" w:afterAutospacing="1" w:line="450" w:lineRule="atLeast"/>
        <w:widowControl/>
        <w:rPr>
          <w:rFonts w:hint="eastAsia" w:ascii="宋体" w:hAnsi="宋体" w:eastAsia="宋体" w:cs="宋体"/>
          <w:sz w:val="28"/>
          <w:szCs w:val="28"/>
        </w:rPr>
      </w:pPr>
      <w:r>
        <w:rPr>
          <w:rFonts w:hint="eastAsia" w:ascii="宋体" w:hAnsi="宋体" w:eastAsia="宋体" w:cs="宋体"/>
          <w:sz w:val="28"/>
          <w:szCs w:val="28"/>
          <w:u w:val="single"/>
        </w:rPr>
        <w:t xml:space="preserve">（标的名称）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（采购文件中明确的所属行业）</w:t>
      </w:r>
      <w:r>
        <w:rPr>
          <w:rFonts w:hint="eastAsia" w:ascii="宋体" w:hAnsi="宋体" w:eastAsia="宋体" w:cs="宋体"/>
          <w:sz w:val="28"/>
          <w:szCs w:val="28"/>
        </w:rPr>
        <w:t xml:space="preserve">行业；承接企业为</w:t>
      </w:r>
      <w:r>
        <w:rPr>
          <w:rFonts w:hint="eastAsia" w:ascii="宋体" w:hAnsi="宋体" w:eastAsia="宋体" w:cs="宋体"/>
          <w:sz w:val="28"/>
          <w:szCs w:val="28"/>
          <w:u w:val="singl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b/>
          <w:sz w:val="28"/>
          <w:szCs w:val="28"/>
          <w:u w:val="single"/>
        </w:rPr>
        <w:t xml:space="preserve">中型企业、小型企业、微型企业</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以上企业，不属于大企业的分值机构，不存在控股股东为大企业的情况，也不存在与大企业的负责人为同一人的情况。</w:t>
      </w:r>
      <w:r/>
    </w:p>
    <w:p>
      <w:pPr>
        <w:spacing w:before="100" w:beforeAutospacing="1" w:after="100" w:afterAutospacing="1" w:line="450" w:lineRule="atLeast"/>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         企业名称（电子签章）：</w:t>
      </w:r>
      <w:r/>
    </w:p>
    <w:p>
      <w:pPr>
        <w:ind w:right="480" w:firstLine="48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                              日  期：</w:t>
      </w:r>
      <w:r/>
    </w:p>
    <w:p>
      <w:pPr>
        <w:pStyle w:val="805"/>
        <w:ind w:left="0" w:right="14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注：本项目采购属于</w:t>
      </w:r>
      <w:r>
        <w:rPr>
          <w:rFonts w:hint="eastAsia" w:ascii="宋体" w:hAnsi="宋体" w:eastAsia="宋体" w:cs="宋体"/>
          <w:color w:val="auto"/>
          <w:sz w:val="28"/>
          <w:szCs w:val="28"/>
          <w:u w:val="single"/>
        </w:rPr>
        <w:t xml:space="preserve">其他未列明行</w:t>
      </w:r>
      <w:r>
        <w:rPr>
          <w:rFonts w:hint="eastAsia" w:ascii="宋体" w:hAnsi="宋体" w:eastAsia="宋体" w:cs="宋体"/>
          <w:color w:val="auto"/>
          <w:sz w:val="28"/>
          <w:szCs w:val="28"/>
        </w:rPr>
        <w:t xml:space="preserve">业。</w:t>
      </w:r>
      <w:r/>
    </w:p>
    <w:p>
      <w:pPr>
        <w:ind w:firstLine="525"/>
        <w:jc w:val="left"/>
        <w:spacing w:before="100" w:beforeAutospacing="1" w:after="100" w:afterAutospacing="1" w:line="450" w:lineRule="atLeast"/>
        <w:widowControl/>
        <w:rPr>
          <w:rFonts w:hint="eastAsia" w:ascii="宋体" w:hAnsi="宋体" w:eastAsia="宋体" w:cs="宋体"/>
          <w:b/>
          <w:bCs/>
          <w:sz w:val="28"/>
          <w:szCs w:val="28"/>
        </w:rPr>
      </w:pPr>
      <w:r>
        <w:rPr>
          <w:rFonts w:hint="eastAsia" w:ascii="宋体" w:hAnsi="宋体" w:eastAsia="宋体" w:cs="宋体"/>
          <w:b/>
          <w:bCs/>
          <w:sz w:val="28"/>
          <w:szCs w:val="28"/>
        </w:rPr>
        <w:t xml:space="preserve">备注：从业人员、营业收入、资产总额填报上一年度数据，无上一年度数据的新成立企业可不填报。</w:t>
      </w:r>
      <w:r/>
    </w:p>
    <w:p>
      <w:pPr>
        <w:pStyle w:val="1048"/>
        <w:jc w:val="center"/>
        <w:keepNext/>
        <w:pageBreakBefore/>
        <w:rPr>
          <w:rFonts w:hint="eastAsia" w:ascii="宋体" w:hAnsi="宋体" w:eastAsia="宋体" w:cs="宋体"/>
          <w:b/>
          <w:bCs/>
          <w:sz w:val="28"/>
          <w:szCs w:val="28"/>
        </w:rPr>
        <w:outlineLvl w:val="0"/>
      </w:pPr>
      <w:r/>
      <w:bookmarkStart w:id="112" w:name="_Toc21476"/>
      <w:r/>
      <w:bookmarkStart w:id="113" w:name="_Toc28496"/>
      <w:r/>
      <w:bookmarkStart w:id="114" w:name="_Toc4161"/>
      <w:r>
        <w:rPr>
          <w:rFonts w:hint="eastAsia" w:ascii="宋体" w:hAnsi="宋体" w:eastAsia="宋体" w:cs="宋体"/>
          <w:b/>
          <w:sz w:val="28"/>
          <w:szCs w:val="28"/>
        </w:rPr>
        <w:t xml:space="preserve">11、</w:t>
      </w:r>
      <w:r>
        <w:rPr>
          <w:rFonts w:hint="eastAsia" w:ascii="宋体" w:hAnsi="宋体" w:eastAsia="宋体" w:cs="宋体"/>
          <w:b/>
          <w:bCs/>
          <w:sz w:val="28"/>
          <w:szCs w:val="28"/>
        </w:rPr>
        <w:t xml:space="preserve">残疾人福利性单位声明函</w:t>
      </w:r>
      <w:bookmarkEnd w:id="112"/>
      <w:r/>
      <w:bookmarkEnd w:id="113"/>
      <w:r>
        <w:rPr>
          <w:rFonts w:hint="eastAsia" w:ascii="宋体" w:hAnsi="宋体" w:eastAsia="宋体" w:cs="宋体"/>
          <w:b/>
          <w:bCs/>
          <w:sz w:val="28"/>
          <w:szCs w:val="28"/>
        </w:rPr>
        <w:t xml:space="preserve">（如有）</w:t>
      </w:r>
      <w:bookmarkEnd w:id="114"/>
      <w:r/>
      <w:r/>
    </w:p>
    <w:p>
      <w:pPr>
        <w:pStyle w:val="1048"/>
        <w:ind w:right="199" w:firstLine="418"/>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1048"/>
        <w:ind w:right="199" w:firstLine="418"/>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 xml:space="preserve">单位的</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048"/>
        <w:ind w:right="199" w:firstLine="418"/>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本单位对上述声明的真实性负责。如有虚假，将依法承担相应责任。</w:t>
      </w:r>
      <w:r/>
    </w:p>
    <w:p>
      <w:pPr>
        <w:pStyle w:val="1048"/>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1048"/>
        <w:ind w:firstLine="504"/>
        <w:spacing w:line="500"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1048"/>
        <w:ind w:firstLine="3600"/>
        <w:spacing w:line="500" w:lineRule="exact"/>
        <w:rPr>
          <w:rFonts w:hint="eastAsia" w:ascii="宋体" w:hAnsi="宋体" w:eastAsia="宋体" w:cs="宋体"/>
          <w:sz w:val="28"/>
          <w:szCs w:val="28"/>
        </w:rPr>
      </w:pPr>
      <w:r>
        <w:rPr>
          <w:rFonts w:hint="eastAsia" w:ascii="宋体" w:hAnsi="宋体" w:eastAsia="宋体" w:cs="宋体"/>
          <w:sz w:val="28"/>
          <w:szCs w:val="28"/>
        </w:rPr>
        <w:t xml:space="preserve">响应单位：</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（盖电子签章）</w:t>
      </w:r>
      <w:r/>
    </w:p>
    <w:p>
      <w:pPr>
        <w:pStyle w:val="1048"/>
        <w:ind w:firstLine="480"/>
        <w:spacing w:line="500" w:lineRule="exact"/>
        <w:rPr>
          <w:rFonts w:hint="eastAsia" w:ascii="宋体" w:hAnsi="宋体" w:eastAsia="宋体" w:cs="宋体"/>
          <w:sz w:val="28"/>
          <w:szCs w:val="28"/>
        </w:rPr>
      </w:pPr>
      <w:r>
        <w:rPr>
          <w:rFonts w:hint="eastAsia" w:ascii="宋体" w:hAnsi="宋体" w:eastAsia="宋体" w:cs="宋体"/>
          <w:sz w:val="28"/>
          <w:szCs w:val="28"/>
        </w:rPr>
        <w:t xml:space="preserve">                          响应单位授权代表：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（签字或盖章）  </w:t>
      </w:r>
      <w:r/>
    </w:p>
    <w:p>
      <w:pPr>
        <w:pStyle w:val="1048"/>
        <w:ind w:firstLine="3600"/>
        <w:spacing w:line="50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991"/>
        <w:rPr>
          <w:rFonts w:hint="eastAsia" w:ascii="宋体" w:hAnsi="宋体" w:eastAsia="宋体" w:cs="宋体"/>
          <w:sz w:val="28"/>
          <w:szCs w:val="28"/>
        </w:rPr>
      </w:pPr>
      <w:r>
        <w:rPr>
          <w:rFonts w:hint="eastAsia" w:ascii="宋体" w:hAnsi="宋体" w:eastAsia="宋体" w:cs="宋体"/>
          <w:sz w:val="28"/>
          <w:szCs w:val="28"/>
        </w:rPr>
      </w:r>
      <w:r/>
    </w:p>
    <w:p>
      <w:pPr>
        <w:pStyle w:val="1048"/>
        <w:jc w:val="center"/>
        <w:keepNext/>
        <w:pageBreakBefore/>
        <w:rPr>
          <w:rFonts w:hint="eastAsia" w:ascii="宋体" w:hAnsi="宋体" w:eastAsia="宋体" w:cs="宋体"/>
          <w:b/>
          <w:sz w:val="28"/>
          <w:szCs w:val="28"/>
        </w:rPr>
        <w:outlineLvl w:val="0"/>
      </w:pPr>
      <w:r/>
      <w:bookmarkStart w:id="115" w:name="_Toc29543"/>
      <w:r/>
      <w:bookmarkStart w:id="116" w:name="_Toc13689"/>
      <w:r>
        <w:rPr>
          <w:rFonts w:hint="eastAsia" w:ascii="宋体" w:hAnsi="宋体" w:eastAsia="宋体" w:cs="宋体"/>
          <w:b/>
          <w:sz w:val="28"/>
          <w:szCs w:val="28"/>
        </w:rPr>
        <w:t xml:space="preserve">12、供应商基本情况表</w:t>
      </w:r>
      <w:bookmarkEnd w:id="115"/>
      <w:r/>
      <w:bookmarkEnd w:id="116"/>
      <w:r/>
      <w:r/>
    </w:p>
    <w:tbl>
      <w:tblPr>
        <w:tblStyle w:val="792"/>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2576"/>
        <w:gridCol w:w="1720"/>
        <w:gridCol w:w="2160"/>
      </w:tblGrid>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供应商名称</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法定代表人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注册地区</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注册地址</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邮政编码</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办公地址</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成立时间</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单位性质</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注册号或社会信用代码</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注册资本（万元）</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开户银行</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账号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联系人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t xml:space="preserve">联系电话</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206"/>
              <w:jc w:val="center"/>
              <w:spacing w:line="6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376"/>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经营范围</w:t>
            </w:r>
            <w:r/>
          </w:p>
        </w:tc>
        <w:tc>
          <w:tcPr>
            <w:gridSpan w:val="3"/>
            <w:tcBorders>
              <w:top w:val="single" w:color="auto" w:sz="4" w:space="0"/>
              <w:left w:val="single" w:color="auto" w:sz="4" w:space="0"/>
              <w:bottom w:val="single" w:color="auto" w:sz="4" w:space="0"/>
              <w:right w:val="single" w:color="auto" w:sz="4" w:space="0"/>
            </w:tcBorders>
            <w:tcW w:w="6456" w:type="dxa"/>
            <w:textDirection w:val="lrTb"/>
            <w:noWrap w:val="false"/>
          </w:tcPr>
          <w:p>
            <w:pPr>
              <w:pStyle w:val="1206"/>
              <w:ind w:firstLine="1253"/>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134"/>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备注</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206"/>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小微企业     中型企业     大型企业</w:t>
            </w:r>
            <w:r/>
          </w:p>
          <w:p>
            <w:pPr>
              <w:pStyle w:val="1206"/>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（请勾选供应商所属行业划分）</w:t>
            </w:r>
            <w:r/>
          </w:p>
        </w:tc>
      </w:tr>
    </w:tbl>
    <w:p>
      <w:pPr>
        <w:rPr>
          <w:rFonts w:hint="eastAsia" w:ascii="宋体" w:hAnsi="宋体" w:eastAsia="宋体" w:cs="宋体"/>
          <w:sz w:val="28"/>
          <w:szCs w:val="28"/>
        </w:rPr>
      </w:pPr>
      <w:r>
        <w:rPr>
          <w:rFonts w:hint="eastAsia" w:ascii="宋体" w:hAnsi="宋体" w:eastAsia="宋体" w:cs="宋体"/>
          <w:sz w:val="28"/>
          <w:szCs w:val="28"/>
        </w:rPr>
        <w:br w:type="page" w:clear="all"/>
      </w:r>
      <w:r/>
    </w:p>
    <w:p>
      <w:pPr>
        <w:pStyle w:val="1048"/>
        <w:jc w:val="center"/>
        <w:keepNext/>
        <w:pageBreakBefore/>
        <w:rPr>
          <w:rFonts w:hint="eastAsia" w:ascii="宋体" w:hAnsi="宋体" w:eastAsia="宋体" w:cs="宋体"/>
          <w:b/>
          <w:bCs/>
          <w:sz w:val="28"/>
          <w:szCs w:val="28"/>
        </w:rPr>
        <w:outlineLvl w:val="0"/>
      </w:pPr>
      <w:r/>
      <w:bookmarkStart w:id="117" w:name="_Toc21230"/>
      <w:r>
        <w:rPr>
          <w:rFonts w:hint="eastAsia" w:ascii="宋体" w:hAnsi="宋体" w:eastAsia="宋体" w:cs="宋体"/>
          <w:b/>
          <w:bCs/>
          <w:sz w:val="28"/>
          <w:szCs w:val="28"/>
        </w:rPr>
        <w:t xml:space="preserve">13、 江苏省政府采购代理常规服务收费指导价</w:t>
      </w:r>
      <w:bookmarkEnd w:id="117"/>
      <w:r/>
      <w:r/>
    </w:p>
    <w:p>
      <w:pPr>
        <w:pStyle w:val="991"/>
        <w:rPr>
          <w:rFonts w:hint="eastAsia" w:ascii="宋体" w:hAnsi="宋体" w:eastAsia="宋体" w:cs="宋体"/>
          <w:sz w:val="28"/>
          <w:szCs w:val="28"/>
        </w:rPr>
      </w:pPr>
      <w:r>
        <w:rPr>
          <w:rFonts w:hint="eastAsia" w:ascii="宋体" w:hAnsi="宋体" w:eastAsia="宋体" w:cs="宋体"/>
          <w:sz w:val="28"/>
          <w:szCs w:val="28"/>
        </w:rPr>
      </w:r>
      <w:r/>
    </w:p>
    <w:tbl>
      <w:tblPr>
        <w:tblStyle w:val="792"/>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4958"/>
      </w:tblGrid>
      <w:tr>
        <w:trPr>
          <w:jc w:val="center"/>
          <w:trHeight w:val="454"/>
        </w:trPr>
        <w:tc>
          <w:tcPr>
            <w:tcBorders>
              <w:top w:val="single" w:color="auto" w:sz="4" w:space="0"/>
            </w:tcBorders>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中标金额</w:t>
            </w:r>
            <w:r/>
          </w:p>
        </w:tc>
        <w:tc>
          <w:tcPr>
            <w:tcBorders>
              <w:top w:val="single" w:color="auto" w:sz="4" w:space="0"/>
            </w:tcBorders>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费率</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最低收费金额(每个委托项目)</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5000元</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50万元以下（含50万元）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50万元</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400万元（含400万元）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400</w:t>
            </w:r>
            <w:r>
              <w:rPr>
                <w:rFonts w:hint="eastAsia" w:ascii="宋体" w:hAnsi="宋体" w:eastAsia="宋体" w:cs="宋体"/>
                <w:color w:val="333333"/>
                <w:sz w:val="28"/>
                <w:szCs w:val="28"/>
              </w:rPr>
              <w:t xml:space="preserve">-1</w:t>
            </w:r>
            <w:r>
              <w:rPr>
                <w:rFonts w:hint="eastAsia" w:ascii="宋体" w:hAnsi="宋体" w:eastAsia="宋体" w:cs="宋体"/>
                <w:color w:val="000000"/>
                <w:sz w:val="28"/>
                <w:szCs w:val="28"/>
              </w:rPr>
              <w:t xml:space="preserve">000万元（含1000万元）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1000-5000万元（含5000万元）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0.8%</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5000万元</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l亿元（含1亿元）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1-10亿元（含10亿元）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10-50亿元（含50亿元）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0.01%</w:t>
            </w:r>
            <w:r/>
          </w:p>
        </w:tc>
      </w:tr>
      <w:tr>
        <w:trPr>
          <w:jc w:val="center"/>
          <w:trHeight w:val="370"/>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50亿元以上</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0.005%</w:t>
            </w:r>
            <w:r/>
          </w:p>
        </w:tc>
      </w:tr>
    </w:tbl>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1.代理服务费按差额定率累进法计算。</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2.代理服务费基准金额（按差额定率累进法计算的）=中标金额（按差额定率累进法计算的） * 费率（%）</w:t>
      </w:r>
      <w:r/>
    </w:p>
    <w:p>
      <w:pPr>
        <w:pStyle w:val="1048"/>
        <w:jc w:val="center"/>
        <w:keepNext/>
        <w:pageBreakBefore/>
        <w:rPr>
          <w:rFonts w:hint="eastAsia" w:ascii="宋体" w:hAnsi="宋体" w:eastAsia="宋体" w:cs="宋体"/>
          <w:b/>
          <w:bCs/>
          <w:sz w:val="28"/>
          <w:szCs w:val="28"/>
        </w:rPr>
        <w:outlineLvl w:val="0"/>
      </w:pPr>
      <w:r/>
      <w:bookmarkStart w:id="118" w:name="_Toc8549"/>
      <w:r>
        <w:rPr>
          <w:rFonts w:hint="eastAsia" w:ascii="宋体" w:hAnsi="宋体" w:eastAsia="宋体" w:cs="宋体"/>
          <w:b/>
          <w:bCs/>
          <w:sz w:val="28"/>
          <w:szCs w:val="28"/>
        </w:rPr>
        <w:t xml:space="preserve">14、  质疑函范本</w:t>
      </w:r>
      <w:bookmarkEnd w:id="118"/>
      <w:r/>
      <w:r/>
    </w:p>
    <w:p>
      <w:pPr>
        <w:spacing w:before="287"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一、质疑供应商基本信息</w:t>
      </w:r>
      <w:r/>
    </w:p>
    <w:p>
      <w:pPr>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质疑供应商：</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邮编：</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授权代表：</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地址：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邮编：</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二、质疑项目基本情况</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质疑项目的名称：</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质疑项目的编号：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包号：</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采购人名称：</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采购文件获取日期：</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三、质疑事项具体内容</w:t>
      </w:r>
      <w:r/>
    </w:p>
    <w:p>
      <w:pPr>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质疑事项1：</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事实依据：</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法律依据：</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质疑事项2</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p>
    <w:p>
      <w:pPr>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四、与质疑事项相关的质疑请求</w:t>
      </w:r>
      <w:r/>
    </w:p>
    <w:p>
      <w:pPr>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请求：</w:t>
      </w:r>
      <w:r>
        <w:rPr>
          <w:rFonts w:hint="eastAsia" w:ascii="宋体" w:hAnsi="宋体" w:eastAsia="宋体" w:cs="宋体"/>
          <w:sz w:val="28"/>
          <w:szCs w:val="28"/>
          <w:u w:val="single"/>
        </w:rPr>
        <w:t xml:space="preserve">                                               </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签字(签章)：                   公章：                      </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日期：    </w:t>
      </w:r>
      <w:r/>
    </w:p>
    <w:p>
      <w:pPr>
        <w:jc w:val="cente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pStyle w:val="805"/>
        <w:ind w:left="1470" w:right="1470" w:firstLine="480"/>
        <w:rPr>
          <w:rFonts w:hint="eastAsia" w:ascii="宋体" w:hAnsi="宋体" w:eastAsia="宋体" w:cs="宋体"/>
          <w:sz w:val="28"/>
          <w:szCs w:val="28"/>
        </w:rPr>
      </w:pPr>
      <w:r>
        <w:rPr>
          <w:rFonts w:hint="eastAsia" w:ascii="宋体" w:hAnsi="宋体" w:eastAsia="宋体" w:cs="宋体"/>
          <w:sz w:val="28"/>
          <w:szCs w:val="28"/>
        </w:rPr>
      </w:r>
      <w:r/>
    </w:p>
    <w:p>
      <w:pPr>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质疑函制作说明：</w:t>
      </w:r>
      <w:r/>
    </w:p>
    <w:p>
      <w:pPr>
        <w:ind w:firstLine="480"/>
        <w:jc w:val="left"/>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1.供应商提出质疑时，应提交质疑函和必要的证明材料。</w:t>
      </w:r>
      <w:r/>
    </w:p>
    <w:p>
      <w:pPr>
        <w:ind w:firstLine="480"/>
        <w:jc w:val="left"/>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5.质疑函的质疑请求应与质疑事项相关。</w:t>
      </w:r>
      <w:r/>
    </w:p>
    <w:p>
      <w:pPr>
        <w:ind w:firstLine="480"/>
        <w:jc w:val="left"/>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7.按该表格填写，一式两份，并将该函和相关证据盖公章在规定的时间内分别送达采购人和采购代理机构。</w:t>
      </w:r>
      <w:r/>
    </w:p>
    <w:p>
      <w:pPr>
        <w:pStyle w:val="991"/>
        <w:rPr>
          <w:rFonts w:hint="eastAsia" w:ascii="宋体" w:hAnsi="宋体" w:eastAsia="宋体" w:cs="宋体"/>
          <w:sz w:val="28"/>
          <w:szCs w:val="28"/>
        </w:rPr>
      </w:pPr>
      <w:r>
        <w:rPr>
          <w:rFonts w:hint="eastAsia" w:ascii="宋体" w:hAnsi="宋体" w:eastAsia="宋体" w:cs="宋体"/>
          <w:sz w:val="28"/>
          <w:szCs w:val="28"/>
        </w:rPr>
      </w:r>
      <w:r/>
    </w:p>
    <w:p>
      <w:pPr>
        <w:jc w:val="center"/>
        <w:keepNext/>
        <w:pageBreakBefore/>
        <w:rPr>
          <w:rFonts w:hint="eastAsia" w:ascii="宋体" w:hAnsi="宋体" w:eastAsia="宋体" w:cs="宋体"/>
          <w:b/>
          <w:bCs/>
          <w:sz w:val="44"/>
          <w:szCs w:val="44"/>
        </w:rPr>
        <w:outlineLvl w:val="0"/>
      </w:pPr>
      <w:r/>
      <w:bookmarkStart w:id="119" w:name="_Toc21743"/>
      <w:r/>
      <w:bookmarkStart w:id="120" w:name="_Toc5868"/>
      <w:r>
        <w:rPr>
          <w:rFonts w:hint="eastAsia" w:ascii="宋体" w:hAnsi="宋体" w:eastAsia="宋体" w:cs="宋体"/>
          <w:b/>
          <w:bCs/>
          <w:sz w:val="44"/>
          <w:szCs w:val="44"/>
        </w:rPr>
        <w:t xml:space="preserve">第十章 兴化市基层医疗机构医疗责任保险项目采购协议</w:t>
      </w:r>
      <w:bookmarkEnd w:id="119"/>
      <w:r/>
      <w:bookmarkEnd w:id="120"/>
      <w:r/>
      <w:r/>
    </w:p>
    <w:p>
      <w:pPr>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协议方</w:t>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采购方：兴化市卫生健康委员会</w:t>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注册地址：兴化市昭阳路3号</w:t>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供应方：</w:t>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注册地址：</w:t>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r>
      <w:r/>
    </w:p>
    <w:p>
      <w:pPr>
        <w:ind w:firstLine="420"/>
        <w:spacing w:line="360" w:lineRule="auto"/>
        <w:rPr>
          <w:rFonts w:hint="eastAsia" w:ascii="宋体" w:hAnsi="宋体" w:eastAsia="宋体" w:cs="宋体"/>
          <w:b/>
          <w:sz w:val="28"/>
          <w:szCs w:val="28"/>
        </w:rPr>
      </w:pPr>
      <w:r>
        <w:rPr>
          <w:rFonts w:hint="eastAsia" w:ascii="宋体" w:hAnsi="宋体" w:eastAsia="宋体" w:cs="宋体"/>
          <w:sz w:val="28"/>
          <w:szCs w:val="28"/>
        </w:rPr>
        <w:t xml:space="preserve">根据《国务院关于保险业改革发展的若干意见》（国发[2006]23号）、《国务院关于加快发展现代保险服务业的若干意见》（国发[2014]29号）、原国家卫生计生委等五部</w:t>
      </w:r>
      <w:r>
        <w:rPr>
          <w:rFonts w:hint="eastAsia" w:ascii="宋体" w:hAnsi="宋体" w:eastAsia="宋体" w:cs="宋体"/>
          <w:sz w:val="28"/>
          <w:szCs w:val="28"/>
        </w:rPr>
        <w:t xml:space="preserve">门《关于加强医疗责任保险工作的意见》（国卫医发〔2014〕42号）等相关政策文件，以及《中华人民共和国民法典》《中华人民共和国保险法》《中华人民共和国反不正当竞争法》《中华人民共和国反垄断法》《医疗纠纷预防和处理条例》《责任保险业务监管办法》等相关法律法规，为贯彻落实国家对于医疗机构参加医疗责任保险的参保要求，建立和完善医疗风险分担机制，遵循“政府引导、市场运作、专业协助、自愿投保”的服务原则，通过竞争性磋商的方式确定供应方为本产品保险承保人。现按照相关采购文件要求，就本产品运作达成以下协议，以兹共同遵守。</w:t>
      </w:r>
      <w:r/>
    </w:p>
    <w:p>
      <w:pPr>
        <w:jc w:val="center"/>
        <w:spacing w:line="360" w:lineRule="auto"/>
        <w:rPr>
          <w:rFonts w:hint="eastAsia" w:ascii="宋体" w:hAnsi="宋体" w:eastAsia="宋体" w:cs="宋体"/>
          <w:b/>
          <w:bCs/>
          <w:spacing w:val="11"/>
          <w:sz w:val="28"/>
          <w:szCs w:val="28"/>
        </w:rPr>
        <w:outlineLvl w:val="2"/>
      </w:pPr>
      <w:r/>
      <w:bookmarkStart w:id="121" w:name="_Toc21315"/>
      <w:r>
        <w:rPr>
          <w:rFonts w:hint="eastAsia" w:ascii="宋体" w:hAnsi="宋体" w:eastAsia="宋体" w:cs="宋体"/>
          <w:b/>
          <w:bCs/>
          <w:spacing w:val="11"/>
          <w:sz w:val="28"/>
          <w:szCs w:val="28"/>
        </w:rPr>
        <w:t xml:space="preserve">第一部分 定义或释义</w:t>
      </w:r>
      <w:bookmarkEnd w:id="121"/>
      <w:r/>
      <w:r/>
    </w:p>
    <w:p>
      <w:pPr>
        <w:numPr>
          <w:ilvl w:val="0"/>
          <w:numId w:val="5"/>
        </w:num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投保人</w:t>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本协议所称投保人，指兴化市卫生健康委员会/基层医疗机构。</w:t>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投保人同被保险人。</w:t>
      </w:r>
      <w:r/>
    </w:p>
    <w:p>
      <w:pPr>
        <w:numPr>
          <w:ilvl w:val="0"/>
          <w:numId w:val="5"/>
        </w:num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供应方</w:t>
      </w:r>
      <w:r/>
    </w:p>
    <w:p>
      <w:pPr>
        <w:ind w:firstLine="604"/>
        <w:spacing w:line="360" w:lineRule="auto"/>
        <w:rPr>
          <w:rFonts w:hint="eastAsia" w:ascii="宋体" w:hAnsi="宋体" w:eastAsia="宋体" w:cs="宋体"/>
          <w:spacing w:val="11"/>
          <w:sz w:val="28"/>
          <w:szCs w:val="28"/>
        </w:rPr>
      </w:pPr>
      <w:r>
        <w:rPr>
          <w:rFonts w:hint="eastAsia" w:ascii="宋体" w:hAnsi="宋体" w:eastAsia="宋体" w:cs="宋体"/>
          <w:color w:val="000000"/>
          <w:spacing w:val="11"/>
          <w:sz w:val="28"/>
          <w:szCs w:val="28"/>
        </w:rPr>
        <w:t xml:space="preserve">本协议所称</w:t>
      </w:r>
      <w:r>
        <w:rPr>
          <w:rFonts w:hint="eastAsia" w:ascii="宋体" w:hAnsi="宋体" w:eastAsia="宋体" w:cs="宋体"/>
          <w:spacing w:val="11"/>
          <w:sz w:val="28"/>
          <w:szCs w:val="28"/>
        </w:rPr>
        <w:t xml:space="preserve">供应方，是指参与本产品承保的保险公司。</w:t>
      </w:r>
      <w:r/>
    </w:p>
    <w:p>
      <w:pPr>
        <w:numPr>
          <w:ilvl w:val="0"/>
          <w:numId w:val="5"/>
        </w:num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医疗风险分担机制</w:t>
      </w:r>
      <w:r/>
    </w:p>
    <w:p>
      <w:pPr>
        <w:ind w:firstLine="604"/>
        <w:spacing w:line="360" w:lineRule="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 xml:space="preserve">本协议所称医疗风险分担机制，是指政府及相关行业主管部门以国家政策和法律法规为依据，营造良好的社会氛围，提升社会大众对于医疗风险的客观认知，推动医疗机构、医务人员、患者各自通过相应的方式，对医疗风险进行识别，并鼓励采取科学、有效的方式，对医疗风险进行管理或转移，共同承担医疗风险。</w:t>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rPr>
          <w:rFonts w:hint="eastAsia" w:ascii="宋体" w:hAnsi="宋体" w:eastAsia="宋体" w:cs="宋体"/>
          <w:b/>
          <w:bCs/>
          <w:spacing w:val="11"/>
          <w:sz w:val="28"/>
          <w:szCs w:val="28"/>
        </w:rPr>
      </w:pPr>
      <w:r/>
      <w:bookmarkStart w:id="122" w:name="_Toc18540"/>
      <w:r>
        <w:rPr>
          <w:rFonts w:hint="eastAsia" w:ascii="宋体" w:hAnsi="宋体" w:eastAsia="宋体" w:cs="宋体"/>
          <w:b/>
          <w:bCs/>
          <w:spacing w:val="11"/>
          <w:sz w:val="28"/>
          <w:szCs w:val="28"/>
        </w:rPr>
        <w:br w:type="page" w:clear="all"/>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t xml:space="preserve">第二部分 权利与义务</w:t>
      </w:r>
      <w:bookmarkEnd w:id="122"/>
      <w:r/>
      <w:r/>
    </w:p>
    <w:p>
      <w:pPr>
        <w:numPr>
          <w:ilvl w:val="0"/>
          <w:numId w:val="6"/>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采购方的权利和义务</w:t>
      </w:r>
      <w:r/>
    </w:p>
    <w:p>
      <w:pPr>
        <w:numPr>
          <w:ilvl w:val="0"/>
          <w:numId w:val="7"/>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对医疗风险分担机制建设的宣传推广工作提供支持与帮助；</w:t>
      </w:r>
      <w:r/>
    </w:p>
    <w:p>
      <w:pPr>
        <w:numPr>
          <w:ilvl w:val="0"/>
          <w:numId w:val="7"/>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必要时组织供应方召开联合工作会议，协调解决工作中存在的问题；</w:t>
      </w:r>
      <w:r/>
    </w:p>
    <w:p>
      <w:pPr>
        <w:numPr>
          <w:ilvl w:val="0"/>
          <w:numId w:val="7"/>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对供应方进行工作考评；</w:t>
      </w:r>
      <w:r/>
    </w:p>
    <w:p>
      <w:pPr>
        <w:numPr>
          <w:ilvl w:val="0"/>
          <w:numId w:val="7"/>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对本产品各项工作进行指导和监督；</w:t>
      </w:r>
      <w:r/>
    </w:p>
    <w:p>
      <w:pPr>
        <w:numPr>
          <w:ilvl w:val="0"/>
          <w:numId w:val="7"/>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相关法律、法规赋予采购方的其他权利和义务。</w:t>
      </w:r>
      <w:r/>
    </w:p>
    <w:p>
      <w:pPr>
        <w:numPr>
          <w:ilvl w:val="0"/>
          <w:numId w:val="6"/>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供应方的权利和义务</w:t>
      </w:r>
      <w:r/>
    </w:p>
    <w:p>
      <w:pPr>
        <w:numPr>
          <w:ilvl w:val="0"/>
          <w:numId w:val="8"/>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负责本产品保险条款的报备，对保险产品满足采购需求及合法合规性承担相应责任；</w:t>
      </w:r>
      <w:r/>
    </w:p>
    <w:p>
      <w:pPr>
        <w:numPr>
          <w:ilvl w:val="0"/>
          <w:numId w:val="8"/>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负责组织保险公司订立承保协议，按照保险合同及本协议的约定承保出单、保费划转、保险理赔等事宜；承保协议约定内容不得违背本协议，不得损害本协议其他各方及被保险人的利益，并报工作领导小组备案执行；</w:t>
      </w:r>
      <w:r/>
    </w:p>
    <w:p>
      <w:pPr>
        <w:numPr>
          <w:ilvl w:val="0"/>
          <w:numId w:val="8"/>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建立本产品保险理赔服务中心（以下简称“理赔服务中心”）；</w:t>
      </w:r>
      <w:r/>
    </w:p>
    <w:p>
      <w:pPr>
        <w:numPr>
          <w:ilvl w:val="0"/>
          <w:numId w:val="8"/>
        </w:numPr>
        <w:ind w:firstLine="0"/>
        <w:spacing w:line="360" w:lineRule="auto"/>
        <w:rPr>
          <w:rFonts w:hint="eastAsia" w:ascii="宋体" w:hAnsi="宋体" w:eastAsia="宋体" w:cs="宋体"/>
          <w:b/>
          <w:color w:val="auto"/>
          <w:sz w:val="28"/>
          <w:szCs w:val="28"/>
        </w:rPr>
      </w:pPr>
      <w:r>
        <w:rPr>
          <w:rFonts w:hint="eastAsia" w:ascii="宋体" w:hAnsi="宋体" w:eastAsia="宋体" w:cs="宋体"/>
          <w:color w:val="auto"/>
          <w:sz w:val="28"/>
          <w:szCs w:val="28"/>
        </w:rPr>
        <w:t xml:space="preserve">认可“兴化市医患纠纷人民调解委员会”出具的调解协议书及调解金额；</w:t>
      </w:r>
      <w:r/>
    </w:p>
    <w:p>
      <w:pPr>
        <w:spacing w:line="360" w:lineRule="auto"/>
        <w:tabs>
          <w:tab w:val="left" w:pos="0" w:leader="none"/>
        </w:tabs>
        <w:rPr>
          <w:rFonts w:hint="eastAsia" w:ascii="宋体" w:hAnsi="宋体" w:eastAsia="宋体" w:cs="宋体"/>
          <w:b/>
          <w:sz w:val="28"/>
          <w:szCs w:val="28"/>
        </w:rPr>
      </w:pPr>
      <w:r>
        <w:rPr>
          <w:rFonts w:hint="eastAsia" w:ascii="宋体" w:hAnsi="宋体" w:eastAsia="宋体" w:cs="宋体"/>
          <w:sz w:val="28"/>
          <w:szCs w:val="28"/>
        </w:rPr>
        <w:t xml:space="preserve">（五）供应方出单公司的权利义务：</w:t>
      </w:r>
      <w:r/>
    </w:p>
    <w:p>
      <w:pPr>
        <w:ind w:firstLine="420"/>
        <w:spacing w:line="360" w:lineRule="auto"/>
        <w:tabs>
          <w:tab w:val="left" w:pos="0" w:leader="none"/>
        </w:tabs>
        <w:rPr>
          <w:rFonts w:hint="eastAsia" w:ascii="宋体" w:hAnsi="宋体" w:eastAsia="宋体" w:cs="宋体"/>
          <w:b/>
          <w:sz w:val="28"/>
          <w:szCs w:val="28"/>
        </w:rPr>
      </w:pPr>
      <w:r>
        <w:rPr>
          <w:rFonts w:hint="eastAsia" w:ascii="宋体" w:hAnsi="宋体" w:eastAsia="宋体" w:cs="宋体"/>
          <w:sz w:val="28"/>
          <w:szCs w:val="28"/>
        </w:rPr>
        <w:t xml:space="preserve">1、出具保单及全额保费发票，提供保单信息查询服务。</w:t>
      </w:r>
      <w:r/>
    </w:p>
    <w:p>
      <w:pPr>
        <w:ind w:firstLine="420"/>
        <w:spacing w:line="360" w:lineRule="auto"/>
        <w:tabs>
          <w:tab w:val="left" w:pos="0" w:leader="none"/>
        </w:tabs>
        <w:rPr>
          <w:rFonts w:hint="eastAsia" w:ascii="宋体" w:hAnsi="宋体" w:eastAsia="宋体" w:cs="宋体"/>
          <w:b/>
          <w:sz w:val="28"/>
          <w:szCs w:val="28"/>
        </w:rPr>
      </w:pPr>
      <w:r>
        <w:rPr>
          <w:rFonts w:hint="eastAsia" w:ascii="宋体" w:hAnsi="宋体" w:eastAsia="宋体" w:cs="宋体"/>
          <w:sz w:val="28"/>
          <w:szCs w:val="28"/>
        </w:rPr>
        <w:t xml:space="preserve">2、有收取供应方其他成员份额保费发票的权利和向其他成员及时拨付保费的义务。</w:t>
      </w:r>
      <w:r/>
    </w:p>
    <w:p>
      <w:pPr>
        <w:ind w:firstLine="420"/>
        <w:spacing w:line="360" w:lineRule="auto"/>
        <w:rPr>
          <w:rFonts w:hint="eastAsia" w:ascii="宋体" w:hAnsi="宋体" w:eastAsia="宋体" w:cs="宋体"/>
          <w:color w:val="000000"/>
          <w:sz w:val="28"/>
          <w:szCs w:val="28"/>
        </w:rPr>
      </w:pPr>
      <w:r>
        <w:rPr>
          <w:rFonts w:hint="eastAsia" w:ascii="宋体" w:hAnsi="宋体" w:eastAsia="宋体" w:cs="宋体"/>
          <w:sz w:val="28"/>
          <w:szCs w:val="28"/>
        </w:rPr>
        <w:t xml:space="preserve">3、</w:t>
      </w:r>
      <w:r>
        <w:rPr>
          <w:rFonts w:hint="eastAsia" w:ascii="宋体" w:hAnsi="宋体" w:eastAsia="宋体" w:cs="宋体"/>
          <w:color w:val="000000"/>
          <w:sz w:val="28"/>
          <w:szCs w:val="28"/>
        </w:rPr>
        <w:t xml:space="preserve">发生保险事故支付赔款时，负责在本协议约定的期限内代表供应方全额代付赔款至被保险人指定账户。</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000000"/>
          <w:sz w:val="28"/>
          <w:szCs w:val="28"/>
        </w:rPr>
        <w:t xml:space="preserve">4、</w:t>
      </w:r>
      <w:r>
        <w:rPr>
          <w:rFonts w:hint="eastAsia" w:ascii="宋体" w:hAnsi="宋体" w:eastAsia="宋体" w:cs="宋体"/>
          <w:sz w:val="28"/>
          <w:szCs w:val="28"/>
        </w:rPr>
        <w:t xml:space="preserve">代表供应方成员统一提供</w:t>
      </w:r>
      <w:r>
        <w:rPr>
          <w:rFonts w:hint="eastAsia" w:ascii="宋体" w:hAnsi="宋体" w:eastAsia="宋体" w:cs="宋体"/>
          <w:color w:val="000000"/>
          <w:sz w:val="28"/>
          <w:szCs w:val="28"/>
        </w:rPr>
        <w:t xml:space="preserve">处理日常承保、理赔工作，</w:t>
      </w:r>
      <w:r>
        <w:rPr>
          <w:rFonts w:hint="eastAsia" w:ascii="宋体" w:hAnsi="宋体" w:eastAsia="宋体" w:cs="宋体"/>
          <w:color w:val="auto"/>
          <w:sz w:val="28"/>
          <w:szCs w:val="28"/>
        </w:rPr>
        <w:t xml:space="preserve">第三方医疗服务公司相关合理费用由承保公司承担，不在累计赔偿限额中支出。</w:t>
      </w:r>
      <w:r/>
    </w:p>
    <w:p>
      <w:pPr>
        <w:ind w:firstLine="420"/>
        <w:rPr>
          <w:rFonts w:hint="eastAsia" w:ascii="宋体" w:hAnsi="宋体" w:eastAsia="宋体" w:cs="宋体"/>
          <w:color w:val="auto"/>
          <w:sz w:val="28"/>
          <w:szCs w:val="28"/>
        </w:rPr>
      </w:pPr>
      <w:r>
        <w:rPr>
          <w:rFonts w:hint="eastAsia" w:ascii="宋体" w:hAnsi="宋体" w:eastAsia="宋体" w:cs="宋体"/>
          <w:color w:val="auto"/>
          <w:sz w:val="28"/>
          <w:szCs w:val="28"/>
        </w:rPr>
        <w:t xml:space="preserve">5、由承保公司提供开展医疗机构风险防范等相关服务，用于基层医疗机构专家库建设、医调委对接、医疗风险培训等专项公司，支出不得高于总保费的5%，费用由中标公司自行承担，不在累计赔偿限额中支出。</w:t>
      </w:r>
      <w:r/>
    </w:p>
    <w:p>
      <w:pPr>
        <w:ind w:firstLine="420"/>
        <w:rPr>
          <w:rFonts w:hint="eastAsia" w:ascii="宋体" w:hAnsi="宋体" w:eastAsia="宋体" w:cs="宋体"/>
          <w:color w:val="ff0000"/>
          <w:sz w:val="28"/>
          <w:szCs w:val="28"/>
        </w:rPr>
      </w:pPr>
      <w:r>
        <w:rPr>
          <w:rFonts w:hint="eastAsia" w:ascii="宋体" w:hAnsi="宋体" w:eastAsia="宋体" w:cs="宋体"/>
          <w:color w:val="ff0000"/>
          <w:sz w:val="28"/>
          <w:szCs w:val="28"/>
        </w:rPr>
      </w:r>
      <w:r/>
    </w:p>
    <w:p>
      <w:pPr>
        <w:numPr>
          <w:ilvl w:val="0"/>
          <w:numId w:val="6"/>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理赔服务中心的权利和义务</w:t>
      </w:r>
      <w:r/>
    </w:p>
    <w:p>
      <w:pPr>
        <w:numPr>
          <w:ilvl w:val="0"/>
          <w:numId w:val="9"/>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制定本产品实施的整体规划，并负责工作计划的落实；</w:t>
      </w:r>
      <w:r/>
    </w:p>
    <w:p>
      <w:pPr>
        <w:numPr>
          <w:ilvl w:val="0"/>
          <w:numId w:val="9"/>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负责保障理赔服务中心的日常运营，包括费用保障、后勤保障、队伍建设等；</w:t>
      </w:r>
      <w:r/>
    </w:p>
    <w:p>
      <w:pPr>
        <w:numPr>
          <w:ilvl w:val="0"/>
          <w:numId w:val="9"/>
        </w:numPr>
        <w:ind w:firstLine="0"/>
        <w:spacing w:line="360" w:lineRule="auto"/>
        <w:rPr>
          <w:rFonts w:hint="eastAsia" w:ascii="宋体" w:hAnsi="宋体" w:eastAsia="宋体" w:cs="宋体"/>
          <w:b/>
          <w:color w:val="000000"/>
          <w:sz w:val="28"/>
          <w:szCs w:val="28"/>
        </w:rPr>
      </w:pPr>
      <w:r>
        <w:rPr>
          <w:rFonts w:hint="eastAsia" w:ascii="宋体" w:hAnsi="宋体" w:eastAsia="宋体" w:cs="宋体"/>
          <w:sz w:val="28"/>
          <w:szCs w:val="28"/>
        </w:rPr>
        <w:t xml:space="preserve">通过风险管控服务，协助医院加强安全管理、促进医疗服务质量提升，防范医疗风险，减少医疗纠纷；</w:t>
      </w:r>
      <w:r/>
    </w:p>
    <w:p>
      <w:pPr>
        <w:numPr>
          <w:ilvl w:val="0"/>
          <w:numId w:val="9"/>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保单年度结束后60日内，向采购方提供年度分析报告；</w:t>
      </w:r>
      <w:r/>
    </w:p>
    <w:p>
      <w:pPr>
        <w:numPr>
          <w:ilvl w:val="0"/>
          <w:numId w:val="9"/>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维护投保人、被保险人的保险权益；</w:t>
      </w:r>
      <w:r/>
    </w:p>
    <w:p>
      <w:pPr>
        <w:ind w:left="420"/>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ind w:left="420"/>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rPr>
          <w:rFonts w:hint="eastAsia" w:ascii="宋体" w:hAnsi="宋体" w:eastAsia="宋体" w:cs="宋体"/>
          <w:b/>
          <w:bCs/>
          <w:spacing w:val="11"/>
          <w:sz w:val="28"/>
          <w:szCs w:val="28"/>
        </w:rPr>
      </w:pPr>
      <w:r/>
      <w:bookmarkStart w:id="123" w:name="_Toc10135"/>
      <w:r>
        <w:rPr>
          <w:rFonts w:hint="eastAsia" w:ascii="宋体" w:hAnsi="宋体" w:eastAsia="宋体" w:cs="宋体"/>
          <w:b/>
          <w:bCs/>
          <w:spacing w:val="11"/>
          <w:sz w:val="28"/>
          <w:szCs w:val="28"/>
        </w:rPr>
        <w:br w:type="page" w:clear="all"/>
      </w:r>
      <w:r/>
    </w:p>
    <w:p>
      <w:pPr>
        <w:ind w:left="420"/>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t xml:space="preserve">第三部分 工作机制</w:t>
      </w:r>
      <w:bookmarkEnd w:id="123"/>
      <w:r/>
      <w:r/>
    </w:p>
    <w:p>
      <w:pPr>
        <w:numPr>
          <w:ilvl w:val="0"/>
          <w:numId w:val="10"/>
        </w:numPr>
        <w:ind w:firstLine="0"/>
        <w:spacing w:line="360" w:lineRule="auto"/>
        <w:rPr>
          <w:rFonts w:hint="eastAsia" w:ascii="宋体" w:hAnsi="宋体" w:eastAsia="宋体" w:cs="宋体"/>
          <w:b/>
          <w:sz w:val="28"/>
          <w:szCs w:val="28"/>
        </w:rPr>
      </w:pPr>
      <w:r>
        <w:rPr>
          <w:rFonts w:hint="eastAsia" w:ascii="宋体" w:hAnsi="宋体" w:eastAsia="宋体" w:cs="宋体"/>
          <w:sz w:val="28"/>
          <w:szCs w:val="28"/>
        </w:rPr>
        <w:t xml:space="preserve">本产品领导小组</w:t>
      </w:r>
      <w:r/>
    </w:p>
    <w:p>
      <w:pPr>
        <w:ind w:firstLine="420"/>
        <w:spacing w:line="360" w:lineRule="auto"/>
        <w:rPr>
          <w:rFonts w:hint="eastAsia" w:ascii="宋体" w:hAnsi="宋体" w:eastAsia="宋体" w:cs="宋体"/>
          <w:b/>
          <w:bCs/>
          <w:color w:val="000000"/>
          <w:sz w:val="28"/>
          <w:szCs w:val="28"/>
        </w:rPr>
      </w:pPr>
      <w:r>
        <w:rPr>
          <w:rFonts w:hint="eastAsia" w:ascii="宋体" w:hAnsi="宋体" w:eastAsia="宋体" w:cs="宋体"/>
          <w:sz w:val="28"/>
          <w:szCs w:val="28"/>
        </w:rPr>
        <w:t xml:space="preserve">本产品</w:t>
      </w:r>
      <w:r>
        <w:rPr>
          <w:rFonts w:hint="eastAsia" w:ascii="宋体" w:hAnsi="宋体" w:eastAsia="宋体" w:cs="宋体"/>
          <w:color w:val="000000"/>
          <w:sz w:val="28"/>
          <w:szCs w:val="28"/>
        </w:rPr>
        <w:t xml:space="preserve">由采购方、供应方共同组成工作领导小组，领导小组人员建立联席会议制度，至少每半年召开一次联席会议，协调解决工作中存在的问题，落实各项具体工作</w:t>
      </w:r>
      <w:r>
        <w:rPr>
          <w:rFonts w:hint="eastAsia" w:ascii="宋体" w:hAnsi="宋体" w:eastAsia="宋体" w:cs="宋体"/>
          <w:bCs/>
          <w:color w:val="000000"/>
          <w:sz w:val="28"/>
          <w:szCs w:val="28"/>
        </w:rPr>
        <w:t xml:space="preserve">。</w:t>
      </w:r>
      <w:r/>
    </w:p>
    <w:p>
      <w:pPr>
        <w:numPr>
          <w:ilvl w:val="0"/>
          <w:numId w:val="11"/>
        </w:numPr>
        <w:ind w:left="420" w:firstLine="0"/>
        <w:spacing w:line="360" w:lineRule="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人员构成</w:t>
      </w:r>
      <w:r/>
    </w:p>
    <w:p>
      <w:pPr>
        <w:ind w:firstLine="420"/>
        <w:spacing w:line="360" w:lineRule="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领导小组人员名单如下：</w:t>
      </w:r>
      <w:r/>
    </w:p>
    <w:tbl>
      <w:tblPr>
        <w:tblStyle w:val="792"/>
        <w:tblW w:w="9495" w:type="dxa"/>
        <w:jc w:val="center"/>
        <w:tblLayout w:type="fixed"/>
        <w:tblCellMar>
          <w:left w:w="15" w:type="dxa"/>
          <w:top w:w="15" w:type="dxa"/>
          <w:right w:w="15" w:type="dxa"/>
          <w:bottom w:w="15" w:type="dxa"/>
        </w:tblCellMar>
        <w:tblLook w:val="04A0" w:firstRow="1" w:lastRow="0" w:firstColumn="1" w:lastColumn="0" w:noHBand="0" w:noVBand="1"/>
      </w:tblPr>
      <w:tblGrid>
        <w:gridCol w:w="899"/>
        <w:gridCol w:w="1170"/>
        <w:gridCol w:w="5686"/>
        <w:gridCol w:w="1740"/>
      </w:tblGrid>
      <w:tr>
        <w:trPr>
          <w:jc w:val="center"/>
          <w:trHeight w:val="283"/>
        </w:trPr>
        <w:tc>
          <w:tcPr>
            <w:shd w:val="clear" w:color="auto" w:fill="d9d9d9"/>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成员</w:t>
            </w:r>
            <w:r/>
          </w:p>
        </w:tc>
        <w:tc>
          <w:tcPr>
            <w:shd w:val="clear" w:color="auto" w:fill="d9d9d9"/>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姓名</w:t>
            </w:r>
            <w:r/>
          </w:p>
        </w:tc>
        <w:tc>
          <w:tcPr>
            <w:shd w:val="clear" w:color="auto" w:fill="d9d9d9"/>
            <w:tcBorders>
              <w:top w:val="single" w:color="000000" w:sz="4" w:space="0"/>
              <w:left w:val="single" w:color="000000" w:sz="4" w:space="0"/>
              <w:bottom w:val="single" w:color="000000" w:sz="4" w:space="0"/>
              <w:right w:val="single" w:color="000000" w:sz="4" w:space="0"/>
            </w:tcBorders>
            <w:tcW w:w="5686"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单位及职务</w:t>
            </w:r>
            <w:r/>
          </w:p>
        </w:tc>
        <w:tc>
          <w:tcPr>
            <w:shd w:val="clear" w:color="auto" w:fill="d9d9d9"/>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联系方式</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组  长</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Borders>
              <w:top w:val="single" w:color="000000" w:sz="4" w:space="0"/>
              <w:left w:val="single" w:color="000000" w:sz="4" w:space="0"/>
              <w:bottom w:val="single" w:color="000000" w:sz="4" w:space="0"/>
              <w:right w:val="single" w:color="000000" w:sz="4" w:space="0"/>
            </w:tcBorders>
            <w:tcW w:w="5686" w:type="dxa"/>
            <w:vAlign w:val="center"/>
            <w:textDirection w:val="lrTb"/>
            <w:noWrap w:val="false"/>
          </w:tcPr>
          <w:p>
            <w:pP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副组长</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Borders>
              <w:top w:val="single" w:color="000000" w:sz="4" w:space="0"/>
              <w:left w:val="single" w:color="000000" w:sz="4" w:space="0"/>
              <w:bottom w:val="single" w:color="000000" w:sz="4" w:space="0"/>
              <w:right w:val="single" w:color="000000" w:sz="4" w:space="0"/>
            </w:tcBorders>
            <w:tcW w:w="5686" w:type="dxa"/>
            <w:vAlign w:val="center"/>
            <w:textDirection w:val="lrTb"/>
            <w:noWrap w:val="false"/>
          </w:tcPr>
          <w:p>
            <w:pP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283"/>
        </w:trPr>
        <w:tc>
          <w:tcPr>
            <w:tcBorders>
              <w:top w:val="single" w:color="000000" w:sz="4" w:space="0"/>
              <w:left w:val="single" w:color="000000" w:sz="4" w:space="0"/>
              <w:right w:val="single" w:color="000000" w:sz="4" w:space="0"/>
            </w:tcBorders>
            <w:tcW w:w="899" w:type="dxa"/>
            <w:vAlign w:val="center"/>
            <w:vMerge w:val="restart"/>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成员</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Borders>
              <w:top w:val="single" w:color="000000" w:sz="4" w:space="0"/>
              <w:left w:val="single" w:color="000000" w:sz="4" w:space="0"/>
              <w:bottom w:val="single" w:color="000000" w:sz="4" w:space="0"/>
              <w:right w:val="single" w:color="000000" w:sz="4" w:space="0"/>
            </w:tcBorders>
            <w:tcW w:w="5686" w:type="dxa"/>
            <w:vAlign w:val="center"/>
            <w:textDirection w:val="lrTb"/>
            <w:noWrap w:val="false"/>
          </w:tcPr>
          <w:p>
            <w:pP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283"/>
        </w:trPr>
        <w:tc>
          <w:tcPr>
            <w:tcBorders>
              <w:left w:val="single" w:color="000000" w:sz="4" w:space="0"/>
              <w:right w:val="single" w:color="000000" w:sz="4" w:space="0"/>
            </w:tcBorders>
            <w:tcW w:w="899" w:type="dxa"/>
            <w:vAlign w:val="center"/>
            <w:vMerge w:val="continue"/>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Borders>
              <w:top w:val="single" w:color="000000" w:sz="4" w:space="0"/>
              <w:left w:val="single" w:color="000000" w:sz="4" w:space="0"/>
              <w:bottom w:val="single" w:color="000000" w:sz="4" w:space="0"/>
              <w:right w:val="single" w:color="000000" w:sz="4" w:space="0"/>
            </w:tcBorders>
            <w:tcW w:w="5686" w:type="dxa"/>
            <w:vAlign w:val="center"/>
            <w:textDirection w:val="lrTb"/>
            <w:noWrap w:val="false"/>
          </w:tcPr>
          <w:p>
            <w:pP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bl>
    <w:p>
      <w:pPr>
        <w:numPr>
          <w:ilvl w:val="0"/>
          <w:numId w:val="11"/>
        </w:numPr>
        <w:ind w:left="420" w:firstLine="0"/>
        <w:spacing w:line="360" w:lineRule="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工作职责</w:t>
      </w:r>
      <w:r/>
    </w:p>
    <w:p>
      <w:pPr>
        <w:numPr>
          <w:ilvl w:val="0"/>
          <w:numId w:val="12"/>
        </w:num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至少每半年召开一次联席会议，通报工作情况，及时解决工作中遇到的困难和问题；</w:t>
      </w:r>
      <w:r/>
    </w:p>
    <w:p>
      <w:pPr>
        <w:numPr>
          <w:ilvl w:val="0"/>
          <w:numId w:val="12"/>
        </w:num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负责重大事项的决策及协调处理；</w:t>
      </w:r>
      <w:r/>
    </w:p>
    <w:p>
      <w:pPr>
        <w:numPr>
          <w:ilvl w:val="0"/>
          <w:numId w:val="12"/>
        </w:num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负责运作机制的决策。</w:t>
      </w:r>
      <w:r/>
    </w:p>
    <w:p>
      <w:pPr>
        <w:numPr>
          <w:ilvl w:val="0"/>
          <w:numId w:val="10"/>
        </w:numPr>
        <w:ind w:firstLine="0"/>
        <w:spacing w:line="360" w:lineRule="auto"/>
        <w:rPr>
          <w:rFonts w:hint="eastAsia" w:ascii="宋体" w:hAnsi="宋体" w:eastAsia="宋体" w:cs="宋体"/>
          <w:b/>
          <w:sz w:val="28"/>
          <w:szCs w:val="28"/>
        </w:rPr>
      </w:pPr>
      <w:r>
        <w:rPr>
          <w:rFonts w:hint="eastAsia" w:ascii="宋体" w:hAnsi="宋体" w:eastAsia="宋体" w:cs="宋体"/>
          <w:sz w:val="28"/>
          <w:szCs w:val="28"/>
        </w:rPr>
        <w:t xml:space="preserve">工作小组</w:t>
      </w:r>
      <w:r/>
    </w:p>
    <w:p>
      <w:pPr>
        <w:ind w:firstLine="420"/>
        <w:spacing w:line="360" w:lineRule="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工作小组成员包括</w:t>
      </w:r>
      <w:r>
        <w:rPr>
          <w:rFonts w:hint="eastAsia" w:ascii="宋体" w:hAnsi="宋体" w:eastAsia="宋体" w:cs="宋体"/>
          <w:color w:val="000000"/>
          <w:sz w:val="28"/>
          <w:szCs w:val="28"/>
        </w:rPr>
        <w:t xml:space="preserve">采购方、</w:t>
      </w:r>
      <w:r>
        <w:rPr>
          <w:rFonts w:hint="eastAsia" w:ascii="宋体" w:hAnsi="宋体" w:eastAsia="宋体" w:cs="宋体"/>
          <w:bCs/>
          <w:color w:val="000000"/>
          <w:sz w:val="28"/>
          <w:szCs w:val="28"/>
        </w:rPr>
        <w:t xml:space="preserve">供应方相关人员。工作小组人员名单如下：</w:t>
      </w:r>
      <w:r/>
    </w:p>
    <w:p>
      <w:pPr>
        <w:numPr>
          <w:ilvl w:val="0"/>
          <w:numId w:val="13"/>
        </w:numPr>
        <w:ind w:left="420" w:firstLine="0"/>
        <w:spacing w:line="360" w:lineRule="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人员构成</w:t>
      </w:r>
      <w:r/>
    </w:p>
    <w:tbl>
      <w:tblPr>
        <w:tblStyle w:val="792"/>
        <w:tblW w:w="945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5" w:type="dxa"/>
          <w:top w:w="15" w:type="dxa"/>
          <w:right w:w="15" w:type="dxa"/>
          <w:bottom w:w="15" w:type="dxa"/>
        </w:tblCellMar>
        <w:tblLook w:val="04A0" w:firstRow="1" w:lastRow="0" w:firstColumn="1" w:lastColumn="0" w:noHBand="0" w:noVBand="1"/>
      </w:tblPr>
      <w:tblGrid>
        <w:gridCol w:w="882"/>
        <w:gridCol w:w="1170"/>
        <w:gridCol w:w="5686"/>
        <w:gridCol w:w="1719"/>
      </w:tblGrid>
      <w:tr>
        <w:trPr>
          <w:jc w:val="center"/>
          <w:trHeight w:val="283"/>
        </w:trPr>
        <w:tc>
          <w:tcPr>
            <w:shd w:val="clear" w:color="auto" w:fill="d9d9d9"/>
            <w:tcW w:w="882"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成员</w:t>
            </w:r>
            <w:r/>
          </w:p>
        </w:tc>
        <w:tc>
          <w:tcPr>
            <w:shd w:val="clear" w:color="auto" w:fill="d9d9d9"/>
            <w:tcW w:w="117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姓名</w:t>
            </w:r>
            <w:r/>
          </w:p>
        </w:tc>
        <w:tc>
          <w:tcPr>
            <w:shd w:val="clear" w:color="auto" w:fill="d9d9d9"/>
            <w:tcW w:w="5686"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单位及职务</w:t>
            </w:r>
            <w:r/>
          </w:p>
        </w:tc>
        <w:tc>
          <w:tcPr>
            <w:shd w:val="clear" w:color="auto" w:fill="d9d9d9"/>
            <w:tcW w:w="171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color w:val="000000"/>
                <w:spacing w:val="11"/>
                <w:sz w:val="28"/>
                <w:szCs w:val="28"/>
              </w:rPr>
              <w:t xml:space="preserve">联系方式</w:t>
            </w:r>
            <w:r/>
          </w:p>
        </w:tc>
      </w:tr>
      <w:tr>
        <w:trPr>
          <w:jc w:val="center"/>
          <w:trHeight w:val="385"/>
        </w:trPr>
        <w:tc>
          <w:tcPr>
            <w:tcW w:w="882"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170" w:type="dxa"/>
            <w:vAlign w:val="center"/>
            <w:textDirection w:val="lrTb"/>
            <w:noWrap w:val="false"/>
          </w:tcPr>
          <w:p>
            <w:pPr>
              <w:ind w:firstLine="232"/>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5686" w:type="dxa"/>
            <w:vAlign w:val="center"/>
            <w:textDirection w:val="lrTb"/>
            <w:noWrap w:val="false"/>
          </w:tcPr>
          <w:p>
            <w:pP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71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221"/>
        </w:trPr>
        <w:tc>
          <w:tcPr>
            <w:tcW w:w="882"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170"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5686" w:type="dxa"/>
            <w:vAlign w:val="center"/>
            <w:textDirection w:val="lrTb"/>
            <w:noWrap w:val="false"/>
          </w:tcPr>
          <w:p>
            <w:pP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71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283"/>
        </w:trPr>
        <w:tc>
          <w:tcPr>
            <w:tcW w:w="882" w:type="dxa"/>
            <w:vAlign w:val="center"/>
            <w:vMerge w:val="restart"/>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170" w:type="dxa"/>
            <w:vAlign w:val="center"/>
            <w:textDirection w:val="lrTb"/>
            <w:noWrap w:val="false"/>
          </w:tcPr>
          <w:p>
            <w:pPr>
              <w:ind w:firstLine="232"/>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5686" w:type="dxa"/>
            <w:vAlign w:val="center"/>
            <w:textDirection w:val="lrTb"/>
            <w:noWrap w:val="false"/>
          </w:tcPr>
          <w:p>
            <w:pP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71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334"/>
        </w:trPr>
        <w:tc>
          <w:tcPr>
            <w:tcW w:w="882" w:type="dxa"/>
            <w:vAlign w:val="center"/>
            <w:vMerge w:val="continue"/>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170" w:type="dxa"/>
            <w:vAlign w:val="center"/>
            <w:textDirection w:val="lrTb"/>
            <w:noWrap w:val="false"/>
          </w:tcPr>
          <w:p>
            <w:pPr>
              <w:ind w:firstLine="232"/>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5686" w:type="dxa"/>
            <w:vAlign w:val="center"/>
            <w:textDirection w:val="lrTb"/>
            <w:noWrap w:val="false"/>
          </w:tcPr>
          <w:p>
            <w:pPr>
              <w:spacing w:line="360" w:lineRule="auto"/>
              <w:widowControl/>
              <w:tabs>
                <w:tab w:val="left" w:pos="0" w:leader="none"/>
              </w:tabs>
              <w:rPr>
                <w:rFonts w:hint="eastAsia" w:ascii="宋体" w:hAnsi="宋体" w:eastAsia="宋体" w:cs="宋体"/>
                <w:b/>
                <w:spacing w:val="11"/>
                <w:sz w:val="28"/>
                <w:szCs w:val="28"/>
              </w:rPr>
            </w:pPr>
            <w:r>
              <w:rPr>
                <w:rFonts w:hint="eastAsia" w:ascii="宋体" w:hAnsi="宋体" w:eastAsia="宋体" w:cs="宋体"/>
                <w:b/>
                <w:spacing w:val="11"/>
                <w:sz w:val="28"/>
                <w:szCs w:val="28"/>
              </w:rPr>
            </w:r>
            <w:r/>
          </w:p>
        </w:tc>
        <w:tc>
          <w:tcPr>
            <w:tcW w:w="171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334"/>
        </w:trPr>
        <w:tc>
          <w:tcPr>
            <w:tcW w:w="882" w:type="dxa"/>
            <w:vAlign w:val="center"/>
            <w:vMerge w:val="continue"/>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170" w:type="dxa"/>
            <w:vAlign w:val="center"/>
            <w:textDirection w:val="lrTb"/>
            <w:noWrap w:val="false"/>
          </w:tcPr>
          <w:p>
            <w:pPr>
              <w:ind w:firstLine="232"/>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5686" w:type="dxa"/>
            <w:vAlign w:val="center"/>
            <w:textDirection w:val="lrTb"/>
            <w:noWrap w:val="false"/>
          </w:tcPr>
          <w:p>
            <w:pPr>
              <w:spacing w:line="360" w:lineRule="auto"/>
              <w:widowControl/>
              <w:rPr>
                <w:rFonts w:hint="eastAsia" w:ascii="宋体" w:hAnsi="宋体" w:eastAsia="宋体" w:cs="宋体"/>
                <w:b/>
                <w:spacing w:val="11"/>
                <w:sz w:val="28"/>
                <w:szCs w:val="28"/>
              </w:rPr>
            </w:pPr>
            <w:r>
              <w:rPr>
                <w:rFonts w:hint="eastAsia" w:ascii="宋体" w:hAnsi="宋体" w:eastAsia="宋体" w:cs="宋体"/>
                <w:b/>
                <w:spacing w:val="11"/>
                <w:sz w:val="28"/>
                <w:szCs w:val="28"/>
              </w:rPr>
            </w:r>
            <w:r/>
          </w:p>
        </w:tc>
        <w:tc>
          <w:tcPr>
            <w:tcW w:w="171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283"/>
        </w:trPr>
        <w:tc>
          <w:tcPr>
            <w:tcW w:w="882" w:type="dxa"/>
            <w:vAlign w:val="center"/>
            <w:vMerge w:val="continue"/>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170" w:type="dxa"/>
            <w:vAlign w:val="center"/>
            <w:textDirection w:val="lrTb"/>
            <w:noWrap w:val="false"/>
          </w:tcPr>
          <w:p>
            <w:pPr>
              <w:ind w:firstLine="232"/>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5686" w:type="dxa"/>
            <w:vAlign w:val="center"/>
            <w:textDirection w:val="lrTb"/>
            <w:noWrap w:val="false"/>
          </w:tcPr>
          <w:p>
            <w:pPr>
              <w:spacing w:line="360" w:lineRule="auto"/>
              <w:widowControl/>
              <w:tabs>
                <w:tab w:val="left" w:pos="0" w:leader="none"/>
              </w:tabs>
              <w:rPr>
                <w:rFonts w:hint="eastAsia" w:ascii="宋体" w:hAnsi="宋体" w:eastAsia="宋体" w:cs="宋体"/>
                <w:b/>
                <w:spacing w:val="11"/>
                <w:sz w:val="28"/>
                <w:szCs w:val="28"/>
              </w:rPr>
            </w:pPr>
            <w:r>
              <w:rPr>
                <w:rFonts w:hint="eastAsia" w:ascii="宋体" w:hAnsi="宋体" w:eastAsia="宋体" w:cs="宋体"/>
                <w:b/>
                <w:spacing w:val="11"/>
                <w:sz w:val="28"/>
                <w:szCs w:val="28"/>
              </w:rPr>
            </w:r>
            <w:r/>
          </w:p>
        </w:tc>
        <w:tc>
          <w:tcPr>
            <w:tcW w:w="171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283"/>
        </w:trPr>
        <w:tc>
          <w:tcPr>
            <w:tcW w:w="882" w:type="dxa"/>
            <w:vAlign w:val="center"/>
            <w:vMerge w:val="continue"/>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170" w:type="dxa"/>
            <w:vAlign w:val="center"/>
            <w:textDirection w:val="lrTb"/>
            <w:noWrap w:val="false"/>
          </w:tcPr>
          <w:p>
            <w:pPr>
              <w:ind w:firstLine="232"/>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5686" w:type="dxa"/>
            <w:vAlign w:val="center"/>
            <w:textDirection w:val="lrTb"/>
            <w:noWrap w:val="false"/>
          </w:tcPr>
          <w:p>
            <w:pPr>
              <w:spacing w:line="360" w:lineRule="auto"/>
              <w:widowControl/>
              <w:tabs>
                <w:tab w:val="left" w:pos="0" w:leader="none"/>
              </w:tabs>
              <w:rPr>
                <w:rFonts w:hint="eastAsia" w:ascii="宋体" w:hAnsi="宋体" w:eastAsia="宋体" w:cs="宋体"/>
                <w:b/>
                <w:spacing w:val="11"/>
                <w:sz w:val="28"/>
                <w:szCs w:val="28"/>
              </w:rPr>
            </w:pPr>
            <w:r>
              <w:rPr>
                <w:rFonts w:hint="eastAsia" w:ascii="宋体" w:hAnsi="宋体" w:eastAsia="宋体" w:cs="宋体"/>
                <w:b/>
                <w:spacing w:val="11"/>
                <w:sz w:val="28"/>
                <w:szCs w:val="28"/>
              </w:rPr>
            </w:r>
            <w:r/>
          </w:p>
        </w:tc>
        <w:tc>
          <w:tcPr>
            <w:tcW w:w="171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407"/>
        </w:trPr>
        <w:tc>
          <w:tcPr>
            <w:tcW w:w="882" w:type="dxa"/>
            <w:vAlign w:val="center"/>
            <w:vMerge w:val="continue"/>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170" w:type="dxa"/>
            <w:vAlign w:val="center"/>
            <w:textDirection w:val="lrTb"/>
            <w:noWrap w:val="false"/>
          </w:tcPr>
          <w:p>
            <w:pPr>
              <w:ind w:firstLine="232"/>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5686" w:type="dxa"/>
            <w:vAlign w:val="center"/>
            <w:textDirection w:val="lrTb"/>
            <w:noWrap w:val="false"/>
          </w:tcPr>
          <w:p>
            <w:pPr>
              <w:spacing w:line="360" w:lineRule="auto"/>
              <w:widowControl/>
              <w:tabs>
                <w:tab w:val="left" w:pos="0" w:leader="none"/>
              </w:tabs>
              <w:rPr>
                <w:rFonts w:hint="eastAsia" w:ascii="宋体" w:hAnsi="宋体" w:eastAsia="宋体" w:cs="宋体"/>
                <w:b/>
                <w:spacing w:val="11"/>
                <w:sz w:val="28"/>
                <w:szCs w:val="28"/>
              </w:rPr>
            </w:pPr>
            <w:r>
              <w:rPr>
                <w:rFonts w:hint="eastAsia" w:ascii="宋体" w:hAnsi="宋体" w:eastAsia="宋体" w:cs="宋体"/>
                <w:b/>
                <w:spacing w:val="11"/>
                <w:sz w:val="28"/>
                <w:szCs w:val="28"/>
              </w:rPr>
            </w:r>
            <w:r/>
          </w:p>
        </w:tc>
        <w:tc>
          <w:tcPr>
            <w:tcW w:w="1719" w:type="dxa"/>
            <w:vAlign w:val="center"/>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r>
        <w:trPr>
          <w:jc w:val="center"/>
          <w:trHeight w:val="283"/>
        </w:trPr>
        <w:tc>
          <w:tcPr>
            <w:tcW w:w="882" w:type="dxa"/>
            <w:vMerge w:val="continue"/>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1170" w:type="dxa"/>
            <w:textDirection w:val="lrTb"/>
            <w:noWrap w:val="false"/>
          </w:tcPr>
          <w:p>
            <w:pPr>
              <w:ind w:firstLine="232"/>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c>
          <w:tcPr>
            <w:tcW w:w="5686" w:type="dxa"/>
            <w:vAlign w:val="center"/>
            <w:textDirection w:val="lrTb"/>
            <w:noWrap w:val="false"/>
          </w:tcPr>
          <w:p>
            <w:pPr>
              <w:spacing w:line="360" w:lineRule="auto"/>
              <w:widowControl/>
              <w:tabs>
                <w:tab w:val="left" w:pos="0" w:leader="none"/>
              </w:tabs>
              <w:rPr>
                <w:rFonts w:hint="eastAsia" w:ascii="宋体" w:hAnsi="宋体" w:eastAsia="宋体" w:cs="宋体"/>
                <w:b/>
                <w:spacing w:val="11"/>
                <w:sz w:val="28"/>
                <w:szCs w:val="28"/>
              </w:rPr>
            </w:pPr>
            <w:r>
              <w:rPr>
                <w:rFonts w:hint="eastAsia" w:ascii="宋体" w:hAnsi="宋体" w:eastAsia="宋体" w:cs="宋体"/>
                <w:b/>
                <w:spacing w:val="11"/>
                <w:sz w:val="28"/>
                <w:szCs w:val="28"/>
              </w:rPr>
            </w:r>
            <w:r/>
          </w:p>
        </w:tc>
        <w:tc>
          <w:tcPr>
            <w:tcW w:w="1719" w:type="dxa"/>
            <w:textDirection w:val="lrTb"/>
            <w:noWrap w:val="false"/>
          </w:tcPr>
          <w:p>
            <w:pPr>
              <w:jc w:val="center"/>
              <w:spacing w:line="360" w:lineRule="auto"/>
              <w:widowControl/>
              <w:rPr>
                <w:rFonts w:hint="eastAsia" w:ascii="宋体" w:hAnsi="宋体" w:eastAsia="宋体" w:cs="宋体"/>
                <w:b/>
                <w:color w:val="000000"/>
                <w:spacing w:val="11"/>
                <w:sz w:val="28"/>
                <w:szCs w:val="28"/>
              </w:rPr>
            </w:pPr>
            <w:r>
              <w:rPr>
                <w:rFonts w:hint="eastAsia" w:ascii="宋体" w:hAnsi="宋体" w:eastAsia="宋体" w:cs="宋体"/>
                <w:b/>
                <w:color w:val="000000"/>
                <w:spacing w:val="11"/>
                <w:sz w:val="28"/>
                <w:szCs w:val="28"/>
              </w:rPr>
            </w:r>
            <w:r/>
          </w:p>
        </w:tc>
      </w:tr>
    </w:tbl>
    <w:p>
      <w:pPr>
        <w:ind w:firstLine="42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numPr>
          <w:ilvl w:val="0"/>
          <w:numId w:val="13"/>
        </w:numPr>
        <w:ind w:left="420" w:firstLine="0"/>
        <w:spacing w:line="360" w:lineRule="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工作内容</w:t>
      </w:r>
      <w:r/>
    </w:p>
    <w:p>
      <w:pPr>
        <w:ind w:firstLine="420"/>
        <w:spacing w:line="360" w:lineRule="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工作小组设立工作办公室，工作小组具体工作内容包括：</w:t>
      </w:r>
      <w:r/>
    </w:p>
    <w:p>
      <w:pPr>
        <w:numPr>
          <w:ilvl w:val="0"/>
          <w:numId w:val="14"/>
        </w:num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接受各方对工作中主要问题的反馈，协商处理办法；</w:t>
      </w:r>
      <w:r/>
    </w:p>
    <w:p>
      <w:pPr>
        <w:numPr>
          <w:ilvl w:val="0"/>
          <w:numId w:val="14"/>
        </w:num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组织工作领导小组相关会议和活动；</w:t>
      </w:r>
      <w:r/>
    </w:p>
    <w:p>
      <w:pPr>
        <w:numPr>
          <w:ilvl w:val="0"/>
          <w:numId w:val="14"/>
        </w:num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配合、协助领导小组的工作。</w:t>
      </w:r>
      <w:r/>
    </w:p>
    <w:p>
      <w:pPr>
        <w:ind w:firstLine="420"/>
        <w:spacing w:line="360" w:lineRule="auto"/>
        <w:rPr>
          <w:rFonts w:hint="eastAsia" w:ascii="宋体" w:hAnsi="宋体" w:eastAsia="宋体" w:cs="宋体"/>
          <w:b/>
          <w:sz w:val="28"/>
          <w:szCs w:val="28"/>
        </w:rPr>
      </w:pPr>
      <w:r>
        <w:rPr>
          <w:rFonts w:hint="eastAsia" w:ascii="宋体" w:hAnsi="宋体" w:eastAsia="宋体" w:cs="宋体"/>
          <w:color w:val="000000"/>
          <w:sz w:val="28"/>
          <w:szCs w:val="28"/>
        </w:rPr>
        <w:t xml:space="preserve">如上述人员变更调整，需以联席会议确定报采购方备案进行变更。</w:t>
      </w:r>
      <w:r/>
    </w:p>
    <w:p>
      <w:pPr>
        <w:ind w:left="1260"/>
        <w:rPr>
          <w:rFonts w:hint="eastAsia" w:ascii="宋体" w:hAnsi="宋体" w:eastAsia="宋体" w:cs="宋体"/>
          <w:sz w:val="28"/>
          <w:szCs w:val="28"/>
        </w:rPr>
      </w:pPr>
      <w:r>
        <w:rPr>
          <w:rFonts w:hint="eastAsia" w:ascii="宋体" w:hAnsi="宋体" w:eastAsia="宋体" w:cs="宋体"/>
          <w:sz w:val="28"/>
          <w:szCs w:val="28"/>
        </w:rPr>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rPr>
          <w:rFonts w:hint="eastAsia" w:ascii="宋体" w:hAnsi="宋体" w:eastAsia="宋体" w:cs="宋体"/>
          <w:b/>
          <w:bCs/>
          <w:spacing w:val="11"/>
          <w:sz w:val="28"/>
          <w:szCs w:val="28"/>
        </w:rPr>
      </w:pPr>
      <w:r/>
      <w:bookmarkStart w:id="124" w:name="_Toc22160"/>
      <w:r>
        <w:rPr>
          <w:rFonts w:hint="eastAsia" w:ascii="宋体" w:hAnsi="宋体" w:eastAsia="宋体" w:cs="宋体"/>
          <w:b/>
          <w:bCs/>
          <w:spacing w:val="11"/>
          <w:sz w:val="28"/>
          <w:szCs w:val="28"/>
        </w:rPr>
        <w:br w:type="page" w:clear="all"/>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t xml:space="preserve">第四部分 保险产品及承保</w:t>
      </w:r>
      <w:bookmarkEnd w:id="124"/>
      <w:r/>
      <w:r/>
    </w:p>
    <w:p>
      <w:pPr>
        <w:numPr>
          <w:ilvl w:val="0"/>
          <w:numId w:val="15"/>
        </w:numPr>
        <w:ind w:firstLine="0"/>
        <w:spacing w:line="360" w:lineRule="auto"/>
        <w:rPr>
          <w:rFonts w:hint="eastAsia" w:ascii="宋体" w:hAnsi="宋体" w:eastAsia="宋体" w:cs="宋体"/>
          <w:b/>
          <w:sz w:val="28"/>
          <w:szCs w:val="28"/>
        </w:rPr>
      </w:pPr>
      <w:r>
        <w:rPr>
          <w:rFonts w:hint="eastAsia" w:ascii="宋体" w:hAnsi="宋体" w:eastAsia="宋体" w:cs="宋体"/>
          <w:sz w:val="28"/>
          <w:szCs w:val="28"/>
        </w:rPr>
        <w:t xml:space="preserve">保险产品</w:t>
      </w:r>
      <w:r/>
    </w:p>
    <w:p>
      <w:p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本协议涉及的保险产品包括但不限于保险方案、保险条款等，以竞争性磋商文件、供应方参与该采购产品提交的响应文件以及最终的采购结果为准。</w:t>
      </w:r>
      <w:r/>
    </w:p>
    <w:p>
      <w:pPr>
        <w:ind w:firstLine="420"/>
        <w:spacing w:line="360" w:lineRule="auto"/>
        <w:rPr>
          <w:rFonts w:hint="eastAsia" w:ascii="宋体" w:hAnsi="宋体" w:eastAsia="宋体" w:cs="宋体"/>
          <w:b/>
          <w:sz w:val="28"/>
          <w:szCs w:val="28"/>
        </w:rPr>
      </w:pPr>
      <w:r>
        <w:rPr>
          <w:rFonts w:hint="eastAsia" w:ascii="宋体" w:hAnsi="宋体" w:eastAsia="宋体" w:cs="宋体"/>
          <w:color w:val="000000"/>
          <w:sz w:val="28"/>
          <w:szCs w:val="28"/>
        </w:rPr>
        <w:t xml:space="preserve">供应方提供给投保人/被保险人的投保单以及保险单所列明的有关保险方案内容，与通过兴化市基层医疗机构医疗责任保险产品竞争性磋商文件采购确定的保险产品内容，应当保持一致。</w:t>
      </w:r>
      <w:r/>
    </w:p>
    <w:p>
      <w:pPr>
        <w:ind w:firstLine="420"/>
        <w:spacing w:line="360" w:lineRule="auto"/>
        <w:rPr>
          <w:rFonts w:hint="eastAsia" w:ascii="宋体" w:hAnsi="宋体" w:eastAsia="宋体" w:cs="宋体"/>
          <w:b/>
          <w:sz w:val="28"/>
          <w:szCs w:val="28"/>
        </w:rPr>
      </w:pPr>
      <w:r>
        <w:rPr>
          <w:rFonts w:hint="eastAsia" w:ascii="宋体" w:hAnsi="宋体" w:eastAsia="宋体" w:cs="宋体"/>
          <w:sz w:val="28"/>
          <w:szCs w:val="28"/>
        </w:rPr>
        <w:t xml:space="preserve">保险方案详见附件。</w:t>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rPr>
          <w:rFonts w:hint="eastAsia" w:ascii="宋体" w:hAnsi="宋体" w:eastAsia="宋体" w:cs="宋体"/>
          <w:b/>
          <w:bCs/>
          <w:spacing w:val="11"/>
          <w:sz w:val="28"/>
          <w:szCs w:val="28"/>
        </w:rPr>
      </w:pPr>
      <w:r/>
      <w:bookmarkStart w:id="125" w:name="_Toc2792"/>
      <w:r>
        <w:rPr>
          <w:rFonts w:hint="eastAsia" w:ascii="宋体" w:hAnsi="宋体" w:eastAsia="宋体" w:cs="宋体"/>
          <w:b/>
          <w:bCs/>
          <w:spacing w:val="11"/>
          <w:sz w:val="28"/>
          <w:szCs w:val="28"/>
        </w:rPr>
        <w:br w:type="page" w:clear="all"/>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t xml:space="preserve">第五部分 医疗安全风险预防</w:t>
      </w:r>
      <w:bookmarkEnd w:id="125"/>
      <w:r/>
      <w:r/>
    </w:p>
    <w:p>
      <w:pPr>
        <w:numPr>
          <w:ilvl w:val="0"/>
          <w:numId w:val="16"/>
        </w:numPr>
        <w:ind w:firstLine="604"/>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内容</w:t>
      </w:r>
      <w:r/>
    </w:p>
    <w:p>
      <w:pPr>
        <w:ind w:firstLine="604"/>
        <w:spacing w:line="360" w:lineRule="auto"/>
        <w:widowControl/>
        <w:rPr>
          <w:rFonts w:hint="eastAsia" w:ascii="宋体" w:hAnsi="宋体" w:eastAsia="宋体" w:cs="宋体"/>
          <w:spacing w:val="11"/>
          <w:sz w:val="28"/>
          <w:szCs w:val="28"/>
        </w:rPr>
      </w:pPr>
      <w:r>
        <w:rPr>
          <w:rFonts w:hint="eastAsia" w:ascii="宋体" w:hAnsi="宋体" w:eastAsia="宋体" w:cs="宋体"/>
          <w:color w:val="000000"/>
          <w:spacing w:val="11"/>
          <w:sz w:val="28"/>
          <w:szCs w:val="28"/>
        </w:rPr>
        <w:t xml:space="preserve">根据兴化市卫生健康委员会的要求，由兴化市卫生健康委员会及保险人双方认可的医院管理机构开展风险管理培训以提高参保医疗机构相关人员的风险防范能力</w:t>
      </w:r>
      <w:r>
        <w:rPr>
          <w:rFonts w:hint="eastAsia" w:ascii="宋体" w:hAnsi="宋体" w:eastAsia="宋体" w:cs="宋体"/>
          <w:spacing w:val="11"/>
          <w:sz w:val="28"/>
          <w:szCs w:val="28"/>
        </w:rPr>
        <w:t xml:space="preserve">。</w:t>
      </w:r>
      <w:r/>
    </w:p>
    <w:p>
      <w:pPr>
        <w:ind w:firstLine="604"/>
        <w:spacing w:line="360" w:lineRule="auto"/>
        <w:widowControl/>
        <w:rPr>
          <w:rFonts w:hint="eastAsia" w:ascii="宋体" w:hAnsi="宋体" w:eastAsia="宋体" w:cs="宋体"/>
          <w:color w:val="auto"/>
          <w:spacing w:val="11"/>
          <w:sz w:val="28"/>
          <w:szCs w:val="28"/>
        </w:rPr>
      </w:pPr>
      <w:r>
        <w:rPr>
          <w:rFonts w:hint="eastAsia" w:ascii="宋体" w:hAnsi="宋体" w:eastAsia="宋体" w:cs="宋体"/>
          <w:color w:val="auto"/>
          <w:spacing w:val="11"/>
          <w:sz w:val="28"/>
          <w:szCs w:val="28"/>
        </w:rPr>
        <w:t xml:space="preserve">医疗管理机构作为本项工作实施主体，按照本协议的约定设立运行“医疗安全与风险预防服务中心”，通过风险管控服务，设立医疗专家库，协助各医院加强安全管理、促进医疗服务质量提升，防范医疗风险，减少医疗纠纷。</w:t>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rPr>
          <w:rFonts w:hint="eastAsia" w:ascii="宋体" w:hAnsi="宋体" w:eastAsia="宋体" w:cs="宋体"/>
          <w:b/>
          <w:bCs/>
          <w:spacing w:val="11"/>
          <w:sz w:val="28"/>
          <w:szCs w:val="28"/>
        </w:rPr>
      </w:pPr>
      <w:r/>
      <w:bookmarkStart w:id="126" w:name="_Toc30216"/>
      <w:r>
        <w:rPr>
          <w:rFonts w:hint="eastAsia" w:ascii="宋体" w:hAnsi="宋体" w:eastAsia="宋体" w:cs="宋体"/>
          <w:b/>
          <w:bCs/>
          <w:spacing w:val="11"/>
          <w:sz w:val="28"/>
          <w:szCs w:val="28"/>
        </w:rPr>
        <w:br w:type="page" w:clear="all"/>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t xml:space="preserve">第六部分 人民调解与案件处理</w:t>
      </w:r>
      <w:bookmarkEnd w:id="126"/>
      <w:r/>
      <w:r/>
    </w:p>
    <w:p>
      <w:pPr>
        <w:numPr>
          <w:ilvl w:val="0"/>
          <w:numId w:val="17"/>
        </w:numPr>
        <w:ind w:firstLine="0"/>
        <w:spacing w:line="360" w:lineRule="auto"/>
        <w:rPr>
          <w:rFonts w:hint="eastAsia" w:ascii="宋体" w:hAnsi="宋体" w:eastAsia="宋体" w:cs="宋体"/>
          <w:b/>
          <w:sz w:val="28"/>
          <w:szCs w:val="28"/>
        </w:rPr>
      </w:pPr>
      <w:r>
        <w:rPr>
          <w:rFonts w:hint="eastAsia" w:ascii="宋体" w:hAnsi="宋体" w:eastAsia="宋体" w:cs="宋体"/>
          <w:sz w:val="28"/>
          <w:szCs w:val="28"/>
        </w:rPr>
        <w:t xml:space="preserve">人民调解</w:t>
      </w:r>
      <w:r/>
    </w:p>
    <w:p>
      <w:pPr>
        <w:numPr>
          <w:ilvl w:val="0"/>
          <w:numId w:val="18"/>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人民调解组织</w:t>
      </w:r>
      <w:r/>
    </w:p>
    <w:p>
      <w:pPr>
        <w:numPr>
          <w:ilvl w:val="0"/>
          <w:numId w:val="18"/>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运行机制</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color w:val="000000"/>
          <w:sz w:val="28"/>
          <w:szCs w:val="28"/>
        </w:rPr>
        <w:t xml:space="preserve">依托“兴化市医患纠纷人民调解委员会”调解组织，建立和完善调解程序，接受社会各界监督，定期向产品所在地司法行政部门汇报并接受其业务指导。</w:t>
      </w:r>
      <w:r/>
    </w:p>
    <w:p>
      <w:pPr>
        <w:numPr>
          <w:ilvl w:val="0"/>
          <w:numId w:val="17"/>
        </w:numPr>
        <w:ind w:firstLine="0"/>
        <w:spacing w:line="360" w:lineRule="auto"/>
        <w:rPr>
          <w:rFonts w:hint="eastAsia" w:ascii="宋体" w:hAnsi="宋体" w:eastAsia="宋体" w:cs="宋体"/>
          <w:b/>
          <w:sz w:val="28"/>
          <w:szCs w:val="28"/>
        </w:rPr>
      </w:pPr>
      <w:r>
        <w:rPr>
          <w:rFonts w:hint="eastAsia" w:ascii="宋体" w:hAnsi="宋体" w:eastAsia="宋体" w:cs="宋体"/>
          <w:sz w:val="28"/>
          <w:szCs w:val="28"/>
        </w:rPr>
        <w:t xml:space="preserve">案件处理</w:t>
      </w:r>
      <w:r/>
    </w:p>
    <w:p>
      <w:pPr>
        <w:numPr>
          <w:ilvl w:val="0"/>
          <w:numId w:val="19"/>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接报案</w:t>
      </w:r>
      <w:r/>
    </w:p>
    <w:p>
      <w:pPr>
        <w:numPr>
          <w:ilvl w:val="0"/>
          <w:numId w:val="20"/>
        </w:numPr>
        <w:ind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sz w:val="28"/>
          <w:szCs w:val="28"/>
        </w:rPr>
        <w:t xml:space="preserve">被保险人</w:t>
      </w:r>
      <w:r>
        <w:rPr>
          <w:rFonts w:hint="eastAsia" w:ascii="宋体" w:hAnsi="宋体" w:eastAsia="宋体" w:cs="宋体"/>
          <w:bCs/>
          <w:color w:val="000000"/>
          <w:sz w:val="28"/>
          <w:szCs w:val="28"/>
        </w:rPr>
        <w:t xml:space="preserve">向供应方直接报案。</w:t>
      </w:r>
      <w:r/>
    </w:p>
    <w:p>
      <w:pPr>
        <w:numPr>
          <w:ilvl w:val="0"/>
          <w:numId w:val="20"/>
        </w:numPr>
        <w:ind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以下情况，供应方应视同为及时报案：</w:t>
      </w:r>
      <w:r/>
    </w:p>
    <w:p>
      <w:pPr>
        <w:numPr>
          <w:ilvl w:val="0"/>
          <w:numId w:val="21"/>
        </w:numPr>
        <w:ind w:firstLine="420"/>
        <w:spacing w:line="360" w:lineRule="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对于可从公共媒体包括电视台、权威互联网站等其他途径已经及时知道或者应当及时知道保险事故发生的；</w:t>
      </w:r>
      <w:r/>
    </w:p>
    <w:p>
      <w:pPr>
        <w:numPr>
          <w:ilvl w:val="0"/>
          <w:numId w:val="21"/>
        </w:numPr>
        <w:ind w:firstLine="420"/>
        <w:spacing w:line="360" w:lineRule="auto"/>
        <w:rPr>
          <w:rFonts w:hint="eastAsia" w:ascii="宋体" w:hAnsi="宋体" w:eastAsia="宋体" w:cs="宋体"/>
          <w:b/>
          <w:bCs/>
          <w:color w:val="auto"/>
          <w:sz w:val="28"/>
          <w:szCs w:val="28"/>
        </w:rPr>
      </w:pPr>
      <w:r>
        <w:rPr>
          <w:rFonts w:hint="eastAsia" w:ascii="宋体" w:hAnsi="宋体" w:eastAsia="宋体" w:cs="宋体"/>
          <w:bCs/>
          <w:color w:val="auto"/>
          <w:sz w:val="28"/>
          <w:szCs w:val="28"/>
        </w:rPr>
        <w:t xml:space="preserve">如因不可抗力因素无法及时报案，供应方认可被保险人及</w:t>
      </w:r>
      <w:r>
        <w:rPr>
          <w:rFonts w:hint="eastAsia" w:ascii="宋体" w:hAnsi="宋体" w:eastAsia="宋体" w:cs="宋体"/>
          <w:color w:val="auto"/>
          <w:sz w:val="28"/>
          <w:szCs w:val="28"/>
        </w:rPr>
        <w:t xml:space="preserve">兴化市医患纠纷人民调解委员会</w:t>
      </w:r>
      <w:r>
        <w:rPr>
          <w:rFonts w:hint="eastAsia" w:ascii="宋体" w:hAnsi="宋体" w:eastAsia="宋体" w:cs="宋体"/>
          <w:bCs/>
          <w:color w:val="auto"/>
          <w:sz w:val="28"/>
          <w:szCs w:val="28"/>
        </w:rPr>
        <w:t xml:space="preserve">出具的书面说明，并视同为及时报案予以受理；</w:t>
      </w:r>
      <w:r/>
    </w:p>
    <w:p>
      <w:pPr>
        <w:numPr>
          <w:ilvl w:val="0"/>
          <w:numId w:val="21"/>
        </w:numPr>
        <w:ind w:firstLine="420"/>
        <w:spacing w:line="360" w:lineRule="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供应方认可被保险人说明合理原因的未及时报案。</w:t>
      </w:r>
      <w:r/>
    </w:p>
    <w:p>
      <w:pPr>
        <w:numPr>
          <w:ilvl w:val="0"/>
          <w:numId w:val="19"/>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理赔服务</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供应方应为参与本产品的被保险人提供本协议约定的理赔服务，履行</w:t>
      </w:r>
      <w:r>
        <w:rPr>
          <w:rFonts w:hint="eastAsia" w:ascii="宋体" w:hAnsi="宋体" w:eastAsia="宋体" w:cs="宋体"/>
          <w:color w:val="000000"/>
          <w:sz w:val="28"/>
          <w:szCs w:val="28"/>
        </w:rPr>
        <w:t xml:space="preserve">《兴化市基层医疗机构医疗责任保险产品保险案件赔偿处理办法》</w:t>
      </w:r>
      <w:r>
        <w:rPr>
          <w:rFonts w:hint="eastAsia" w:ascii="宋体" w:hAnsi="宋体" w:eastAsia="宋体" w:cs="宋体"/>
          <w:sz w:val="28"/>
          <w:szCs w:val="28"/>
        </w:rPr>
        <w:t xml:space="preserve">的相关规定，</w:t>
      </w:r>
      <w:r>
        <w:rPr>
          <w:rFonts w:hint="eastAsia" w:ascii="宋体" w:hAnsi="宋体" w:eastAsia="宋体" w:cs="宋体"/>
          <w:color w:val="000000"/>
          <w:sz w:val="28"/>
          <w:szCs w:val="28"/>
        </w:rPr>
        <w:t xml:space="preserve">《兴化市基层医疗机构医疗责任保险产品保险案件赔偿处理办法》</w:t>
      </w:r>
      <w:r>
        <w:rPr>
          <w:rFonts w:hint="eastAsia" w:ascii="宋体" w:hAnsi="宋体" w:eastAsia="宋体" w:cs="宋体"/>
          <w:sz w:val="28"/>
          <w:szCs w:val="28"/>
        </w:rPr>
        <w:t xml:space="preserve">。</w:t>
      </w:r>
      <w:r/>
    </w:p>
    <w:p>
      <w:pPr>
        <w:numPr>
          <w:ilvl w:val="0"/>
          <w:numId w:val="22"/>
        </w:numPr>
        <w:ind w:left="-420"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供应方认可本协议约定或联席会议决议通过的赔偿标准、索赔材料范围，并据此进行理赔和赔款摊回工作。</w:t>
      </w:r>
      <w:r/>
    </w:p>
    <w:p>
      <w:pPr>
        <w:numPr>
          <w:ilvl w:val="0"/>
          <w:numId w:val="22"/>
        </w:numPr>
        <w:ind w:left="-420"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供应方在本协议约定时限内完成赔款划付和赔款摊回工作，保证本产品的顺利进行。</w:t>
      </w:r>
      <w:r/>
    </w:p>
    <w:p>
      <w:pPr>
        <w:numPr>
          <w:ilvl w:val="0"/>
          <w:numId w:val="22"/>
        </w:numPr>
        <w:ind w:left="-420"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供应方不得以以往已决案件由于供应方共同承保人尚未支付应摊回赔款而拒绝支付新结案的赔款支付。</w:t>
      </w:r>
      <w:r/>
    </w:p>
    <w:p>
      <w:pPr>
        <w:numPr>
          <w:ilvl w:val="0"/>
          <w:numId w:val="22"/>
        </w:numPr>
        <w:ind w:left="-420"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若患者的残疾程度可以被直观判断或通过病历或通过相似案例等相关资料能够明确判断伤残等级和误工期、营养期、护理期的，</w:t>
      </w:r>
      <w:r>
        <w:rPr>
          <w:rFonts w:hint="eastAsia" w:ascii="宋体" w:hAnsi="宋体" w:eastAsia="宋体" w:cs="宋体"/>
          <w:color w:val="000000"/>
          <w:sz w:val="28"/>
          <w:szCs w:val="28"/>
        </w:rPr>
        <w:t xml:space="preserve">兴化市医患纠纷人民调解委员会</w:t>
      </w:r>
      <w:r>
        <w:rPr>
          <w:rFonts w:hint="eastAsia" w:ascii="宋体" w:hAnsi="宋体" w:eastAsia="宋体" w:cs="宋体"/>
          <w:bCs/>
          <w:color w:val="000000"/>
          <w:sz w:val="28"/>
          <w:szCs w:val="28"/>
        </w:rPr>
        <w:t xml:space="preserve">可以依照最高人民法院、最高人民检察院、公安部、国家安全部、司法部发布的《人体损伤致残程度分级》确定患者残疾级别，出具伤残等级认定意见，供应方不再索要患者残疾程度证明。</w:t>
      </w:r>
      <w:r/>
    </w:p>
    <w:p>
      <w:pPr>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5、医学会或鉴定所依据相关标准确定的患者伤残等级评定意见，供应方应按照评定意见支付赔款。</w:t>
      </w:r>
      <w:r/>
    </w:p>
    <w:p>
      <w:pPr>
        <w:numPr>
          <w:ilvl w:val="0"/>
          <w:numId w:val="19"/>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赔偿依据</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供应方认可并执行赔处中心出具的《兴化市</w:t>
      </w:r>
      <w:r>
        <w:rPr>
          <w:rFonts w:hint="eastAsia" w:ascii="宋体" w:hAnsi="宋体" w:eastAsia="宋体" w:cs="宋体"/>
          <w:color w:val="000000"/>
          <w:sz w:val="28"/>
          <w:szCs w:val="28"/>
        </w:rPr>
        <w:t xml:space="preserve">基层医疗机构</w:t>
      </w:r>
      <w:r>
        <w:rPr>
          <w:rFonts w:hint="eastAsia" w:ascii="宋体" w:hAnsi="宋体" w:eastAsia="宋体" w:cs="宋体"/>
          <w:sz w:val="28"/>
          <w:szCs w:val="28"/>
        </w:rPr>
        <w:t xml:space="preserve">医疗责任保险产品赔款支付通知书》</w:t>
      </w:r>
      <w:r>
        <w:rPr>
          <w:rFonts w:hint="eastAsia" w:ascii="宋体" w:hAnsi="宋体" w:eastAsia="宋体" w:cs="宋体"/>
          <w:b/>
          <w:sz w:val="28"/>
          <w:szCs w:val="28"/>
        </w:rPr>
        <w:t xml:space="preserve">，</w:t>
      </w:r>
      <w:r>
        <w:rPr>
          <w:rFonts w:hint="eastAsia" w:ascii="宋体" w:hAnsi="宋体" w:eastAsia="宋体" w:cs="宋体"/>
          <w:b w:val="0"/>
          <w:bCs/>
          <w:sz w:val="28"/>
          <w:szCs w:val="28"/>
        </w:rPr>
        <w:t xml:space="preserve">将</w:t>
      </w:r>
      <w:r>
        <w:rPr>
          <w:rFonts w:hint="eastAsia" w:ascii="宋体" w:hAnsi="宋体" w:eastAsia="宋体" w:cs="宋体"/>
          <w:sz w:val="28"/>
          <w:szCs w:val="28"/>
        </w:rPr>
        <w:t xml:space="preserve">符合本协议相关约定的医患双方自行和解协议书、</w:t>
      </w:r>
      <w:r>
        <w:rPr>
          <w:rFonts w:hint="eastAsia" w:ascii="宋体" w:hAnsi="宋体" w:eastAsia="宋体" w:cs="宋体"/>
          <w:bCs/>
          <w:color w:val="000000"/>
          <w:sz w:val="28"/>
          <w:szCs w:val="28"/>
        </w:rPr>
        <w:t xml:space="preserve">医疗纠纷调解组织</w:t>
      </w:r>
      <w:r>
        <w:rPr>
          <w:rFonts w:hint="eastAsia" w:ascii="宋体" w:hAnsi="宋体" w:eastAsia="宋体" w:cs="宋体"/>
          <w:sz w:val="28"/>
          <w:szCs w:val="28"/>
        </w:rPr>
        <w:t xml:space="preserve">主持签订的调解协议书、卫生行政部门出具的行政调解书、人民法院出具的民事调解书或判决书作为供应方赔偿的依据。</w:t>
      </w:r>
      <w:r/>
    </w:p>
    <w:p>
      <w:pPr>
        <w:numPr>
          <w:ilvl w:val="0"/>
          <w:numId w:val="19"/>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赔款支付注意事项</w:t>
      </w:r>
      <w:r/>
    </w:p>
    <w:p>
      <w:pPr>
        <w:numPr>
          <w:ilvl w:val="0"/>
          <w:numId w:val="23"/>
        </w:numPr>
        <w:ind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供应方不得以需要征询供应方共同承保人意见为由影响支付赔款时效。</w:t>
      </w:r>
      <w:r/>
    </w:p>
    <w:p>
      <w:pPr>
        <w:numPr>
          <w:ilvl w:val="0"/>
          <w:numId w:val="23"/>
        </w:numPr>
        <w:ind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供应方同意，除另有约定外，供应方在接到理赔服务中心出具的《兴化市</w:t>
      </w:r>
      <w:r>
        <w:rPr>
          <w:rFonts w:hint="eastAsia" w:ascii="宋体" w:hAnsi="宋体" w:eastAsia="宋体" w:cs="宋体"/>
          <w:color w:val="000000"/>
          <w:sz w:val="28"/>
          <w:szCs w:val="28"/>
        </w:rPr>
        <w:t xml:space="preserve">基层医疗机构</w:t>
      </w:r>
      <w:r>
        <w:rPr>
          <w:rFonts w:hint="eastAsia" w:ascii="宋体" w:hAnsi="宋体" w:eastAsia="宋体" w:cs="宋体"/>
          <w:bCs/>
          <w:color w:val="000000"/>
          <w:sz w:val="28"/>
          <w:szCs w:val="28"/>
        </w:rPr>
        <w:t xml:space="preserve">医疗责任保险产品赔款支付通知书》及按照协议约定收集的索赔材料后，按照以下时限向被保险人或第三者支付赔款：</w:t>
      </w:r>
      <w:r/>
    </w:p>
    <w:tbl>
      <w:tblPr>
        <w:tblStyle w:val="792"/>
        <w:tblW w:w="8421" w:type="dxa"/>
        <w:jc w:val="center"/>
        <w:tblLayout w:type="fixed"/>
        <w:tblCellMar>
          <w:left w:w="108" w:type="dxa"/>
          <w:top w:w="0" w:type="dxa"/>
          <w:right w:w="108" w:type="dxa"/>
          <w:bottom w:w="0" w:type="dxa"/>
        </w:tblCellMar>
        <w:tblLook w:val="04A0" w:firstRow="1" w:lastRow="0" w:firstColumn="1" w:lastColumn="0" w:noHBand="0" w:noVBand="1"/>
      </w:tblPr>
      <w:tblGrid>
        <w:gridCol w:w="844"/>
        <w:gridCol w:w="4830"/>
        <w:gridCol w:w="2747"/>
      </w:tblGrid>
      <w:tr>
        <w:trPr>
          <w:jc w:val="center"/>
          <w:trHeight w:val="377"/>
        </w:trPr>
        <w:tc>
          <w:tcPr>
            <w:shd w:val="clear" w:color="auto" w:fill="d9d9d9"/>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spacing w:line="360" w:lineRule="auto"/>
              <w:widowControl/>
              <w:rPr>
                <w:rFonts w:hint="eastAsia" w:ascii="宋体" w:hAnsi="宋体" w:eastAsia="宋体" w:cs="宋体"/>
                <w:b/>
                <w:bCs/>
                <w:sz w:val="28"/>
                <w:szCs w:val="28"/>
              </w:rPr>
            </w:pPr>
            <w:r>
              <w:rPr>
                <w:rFonts w:hint="eastAsia" w:ascii="宋体" w:hAnsi="宋体" w:eastAsia="宋体" w:cs="宋体"/>
                <w:bCs/>
                <w:sz w:val="28"/>
                <w:szCs w:val="28"/>
              </w:rPr>
              <w:t xml:space="preserve">序号</w:t>
            </w:r>
            <w:r/>
          </w:p>
        </w:tc>
        <w:tc>
          <w:tcPr>
            <w:shd w:val="clear" w:color="auto" w:fill="d9d9d9"/>
            <w:tcBorders>
              <w:top w:val="single" w:color="000000" w:sz="4" w:space="0"/>
              <w:left w:val="none" w:color="000000" w:sz="4" w:space="0"/>
              <w:bottom w:val="single" w:color="000000" w:sz="4" w:space="0"/>
              <w:right w:val="single" w:color="000000" w:sz="4" w:space="0"/>
            </w:tcBorders>
            <w:tcW w:w="4830" w:type="dxa"/>
            <w:vAlign w:val="center"/>
            <w:textDirection w:val="lrTb"/>
            <w:noWrap w:val="false"/>
          </w:tcPr>
          <w:p>
            <w:pPr>
              <w:ind w:firstLine="200"/>
              <w:jc w:val="center"/>
              <w:spacing w:line="360" w:lineRule="auto"/>
              <w:widowControl/>
              <w:rPr>
                <w:rFonts w:hint="eastAsia" w:ascii="宋体" w:hAnsi="宋体" w:eastAsia="宋体" w:cs="宋体"/>
                <w:b/>
                <w:bCs/>
                <w:sz w:val="28"/>
                <w:szCs w:val="28"/>
              </w:rPr>
            </w:pPr>
            <w:r>
              <w:rPr>
                <w:rFonts w:hint="eastAsia" w:ascii="宋体" w:hAnsi="宋体" w:eastAsia="宋体" w:cs="宋体"/>
                <w:bCs/>
                <w:sz w:val="28"/>
                <w:szCs w:val="28"/>
              </w:rPr>
              <w:t xml:space="preserve">赔款金额</w:t>
            </w:r>
            <w:r/>
          </w:p>
        </w:tc>
        <w:tc>
          <w:tcPr>
            <w:shd w:val="clear" w:color="auto" w:fill="d9d9d9"/>
            <w:tcBorders>
              <w:top w:val="single" w:color="000000" w:sz="4" w:space="0"/>
              <w:left w:val="none" w:color="000000" w:sz="4" w:space="0"/>
              <w:bottom w:val="single" w:color="000000" w:sz="4" w:space="0"/>
              <w:right w:val="single" w:color="000000" w:sz="4" w:space="0"/>
            </w:tcBorders>
            <w:tcW w:w="2747" w:type="dxa"/>
            <w:vAlign w:val="center"/>
            <w:textDirection w:val="lrTb"/>
            <w:noWrap w:val="false"/>
          </w:tcPr>
          <w:p>
            <w:pPr>
              <w:ind w:firstLine="200"/>
              <w:jc w:val="center"/>
              <w:spacing w:line="360" w:lineRule="auto"/>
              <w:widowControl/>
              <w:rPr>
                <w:rFonts w:hint="eastAsia" w:ascii="宋体" w:hAnsi="宋体" w:eastAsia="宋体" w:cs="宋体"/>
                <w:b/>
                <w:bCs/>
                <w:sz w:val="28"/>
                <w:szCs w:val="28"/>
              </w:rPr>
            </w:pPr>
            <w:r>
              <w:rPr>
                <w:rFonts w:hint="eastAsia" w:ascii="宋体" w:hAnsi="宋体" w:eastAsia="宋体" w:cs="宋体"/>
                <w:bCs/>
                <w:sz w:val="28"/>
                <w:szCs w:val="28"/>
              </w:rPr>
              <w:t xml:space="preserve">赔付时效</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firstLine="20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1</w:t>
            </w:r>
            <w:r/>
          </w:p>
        </w:tc>
        <w:tc>
          <w:tcPr>
            <w:tcBorders>
              <w:top w:val="single" w:color="000000" w:sz="4" w:space="0"/>
              <w:left w:val="none" w:color="000000" w:sz="4" w:space="0"/>
              <w:bottom w:val="single" w:color="000000" w:sz="4" w:space="0"/>
              <w:right w:val="single" w:color="000000" w:sz="4" w:space="0"/>
            </w:tcBorders>
            <w:tcW w:w="4830" w:type="dxa"/>
            <w:vAlign w:val="center"/>
            <w:textDirection w:val="lrTb"/>
            <w:noWrap w:val="false"/>
          </w:tcPr>
          <w:p>
            <w:pPr>
              <w:ind w:firstLine="200"/>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赔款金额≤RMB5000元</w:t>
            </w:r>
            <w:r/>
          </w:p>
        </w:tc>
        <w:tc>
          <w:tcPr>
            <w:tcBorders>
              <w:top w:val="single" w:color="000000" w:sz="4" w:space="0"/>
              <w:left w:val="none" w:color="000000" w:sz="4" w:space="0"/>
              <w:bottom w:val="single" w:color="000000" w:sz="4" w:space="0"/>
              <w:right w:val="single" w:color="000000" w:sz="4" w:space="0"/>
            </w:tcBorders>
            <w:tcW w:w="2747" w:type="dxa"/>
            <w:vAlign w:val="center"/>
            <w:textDirection w:val="lrTb"/>
            <w:noWrap w:val="false"/>
          </w:tcPr>
          <w:p>
            <w:pPr>
              <w:ind w:firstLine="200"/>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3个工作日内支付</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firstLine="20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2</w:t>
            </w:r>
            <w:r/>
          </w:p>
        </w:tc>
        <w:tc>
          <w:tcPr>
            <w:tcBorders>
              <w:top w:val="single" w:color="000000" w:sz="4" w:space="0"/>
              <w:left w:val="none" w:color="000000" w:sz="4" w:space="0"/>
              <w:bottom w:val="single" w:color="000000" w:sz="4" w:space="0"/>
              <w:right w:val="single" w:color="000000" w:sz="4" w:space="0"/>
            </w:tcBorders>
            <w:tcW w:w="4830" w:type="dxa"/>
            <w:vAlign w:val="center"/>
            <w:textDirection w:val="lrTb"/>
            <w:noWrap w:val="false"/>
          </w:tcPr>
          <w:p>
            <w:pPr>
              <w:ind w:firstLine="200"/>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RMB5000元＜赔款金额≤RMB50000元</w:t>
            </w:r>
            <w:r/>
          </w:p>
        </w:tc>
        <w:tc>
          <w:tcPr>
            <w:tcBorders>
              <w:top w:val="single" w:color="000000" w:sz="4" w:space="0"/>
              <w:left w:val="none" w:color="000000" w:sz="4" w:space="0"/>
              <w:bottom w:val="single" w:color="000000" w:sz="4" w:space="0"/>
              <w:right w:val="single" w:color="000000" w:sz="4" w:space="0"/>
            </w:tcBorders>
            <w:tcW w:w="2747" w:type="dxa"/>
            <w:vAlign w:val="center"/>
            <w:textDirection w:val="lrTb"/>
            <w:noWrap w:val="false"/>
          </w:tcPr>
          <w:p>
            <w:pPr>
              <w:ind w:firstLine="200"/>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5个工作日内支付</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firstLine="20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3</w:t>
            </w:r>
            <w:r/>
          </w:p>
        </w:tc>
        <w:tc>
          <w:tcPr>
            <w:tcBorders>
              <w:top w:val="single" w:color="000000" w:sz="4" w:space="0"/>
              <w:left w:val="none" w:color="000000" w:sz="4" w:space="0"/>
              <w:bottom w:val="single" w:color="000000" w:sz="4" w:space="0"/>
              <w:right w:val="single" w:color="000000" w:sz="4" w:space="0"/>
            </w:tcBorders>
            <w:tcW w:w="4830" w:type="dxa"/>
            <w:vAlign w:val="center"/>
            <w:textDirection w:val="lrTb"/>
            <w:noWrap w:val="false"/>
          </w:tcPr>
          <w:p>
            <w:pPr>
              <w:ind w:firstLine="200"/>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RMB50000元＜赔款金额</w:t>
            </w:r>
            <w:r/>
          </w:p>
        </w:tc>
        <w:tc>
          <w:tcPr>
            <w:tcBorders>
              <w:top w:val="single" w:color="000000" w:sz="4" w:space="0"/>
              <w:left w:val="none" w:color="000000" w:sz="4" w:space="0"/>
              <w:bottom w:val="single" w:color="000000" w:sz="4" w:space="0"/>
              <w:right w:val="single" w:color="000000" w:sz="4" w:space="0"/>
            </w:tcBorders>
            <w:tcW w:w="2747" w:type="dxa"/>
            <w:vAlign w:val="center"/>
            <w:textDirection w:val="lrTb"/>
            <w:noWrap w:val="false"/>
          </w:tcPr>
          <w:p>
            <w:pPr>
              <w:ind w:firstLine="200"/>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10个工作日内支付</w:t>
            </w:r>
            <w:r/>
          </w:p>
        </w:tc>
      </w:tr>
    </w:tbl>
    <w:p>
      <w:pPr>
        <w:numPr>
          <w:ilvl w:val="0"/>
          <w:numId w:val="23"/>
        </w:numPr>
        <w:ind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供应方每月初的前5个工作日与兴化市卫生健康委员会核对本产品案件处理情况，就具体案件数量、已赔款金额、未决金额、索赔材料等内容进行沟通，双方以书面形式确认。</w:t>
      </w:r>
      <w:r/>
    </w:p>
    <w:p>
      <w:pPr>
        <w:numPr>
          <w:ilvl w:val="0"/>
          <w:numId w:val="23"/>
        </w:numPr>
        <w:ind w:firstLine="420"/>
        <w:spacing w:line="360" w:lineRule="auto"/>
        <w:widowControl/>
        <w:rPr>
          <w:rFonts w:hint="eastAsia" w:ascii="宋体" w:hAnsi="宋体" w:eastAsia="宋体" w:cs="宋体"/>
          <w:b/>
          <w:bCs/>
          <w:color w:val="ff0000"/>
          <w:sz w:val="28"/>
          <w:szCs w:val="28"/>
        </w:rPr>
      </w:pPr>
      <w:r>
        <w:rPr>
          <w:rFonts w:hint="eastAsia" w:ascii="宋体" w:hAnsi="宋体" w:eastAsia="宋体" w:cs="宋体"/>
          <w:bCs/>
          <w:color w:val="ff0000"/>
          <w:sz w:val="28"/>
          <w:szCs w:val="28"/>
        </w:rPr>
        <w:t xml:space="preserve">在理赔材料齐全下，如供应方未按约定时间支付赔款，则应按照实际拖延天数向相关的被保险人支付违约金，违约金为未结清款项数额的日利率万分之五。</w:t>
      </w:r>
      <w:r/>
    </w:p>
    <w:p>
      <w:pPr>
        <w:numPr>
          <w:ilvl w:val="0"/>
          <w:numId w:val="19"/>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绿色通道</w:t>
      </w:r>
      <w:r/>
    </w:p>
    <w:p>
      <w:pPr>
        <w:ind w:firstLine="420"/>
        <w:spacing w:line="360" w:lineRule="auto"/>
        <w:widowControl/>
        <w:tabs>
          <w:tab w:val="left" w:pos="0" w:leader="none"/>
          <w:tab w:val="left" w:pos="1440" w:leader="none"/>
        </w:tabs>
        <w:rPr>
          <w:rFonts w:hint="eastAsia" w:ascii="宋体" w:hAnsi="宋体" w:eastAsia="宋体" w:cs="宋体"/>
          <w:b/>
          <w:bCs/>
          <w:color w:val="ff0000"/>
          <w:sz w:val="28"/>
          <w:szCs w:val="28"/>
        </w:rPr>
      </w:pPr>
      <w:r>
        <w:rPr>
          <w:rFonts w:hint="eastAsia" w:ascii="宋体" w:hAnsi="宋体" w:eastAsia="宋体" w:cs="宋体"/>
          <w:bCs/>
          <w:color w:val="ff0000"/>
          <w:sz w:val="28"/>
          <w:szCs w:val="28"/>
        </w:rPr>
        <w:t xml:space="preserve">对属于保险责任事故的医疗纠纷且和解金额在20000元（含）以下的案件，兴化市基层医疗机构可采用简易程序处理，自行与患者达成和解赔偿协议，保险公司认可医患自行和解结果并按照相关约定进行理赔。</w:t>
      </w:r>
      <w:r/>
    </w:p>
    <w:p>
      <w:pPr>
        <w:ind w:firstLine="464"/>
        <w:spacing w:line="360" w:lineRule="auto"/>
        <w:widowControl/>
        <w:tabs>
          <w:tab w:val="left" w:pos="0" w:leader="none"/>
          <w:tab w:val="left" w:pos="1440" w:leader="none"/>
        </w:tabs>
        <w:rPr>
          <w:rFonts w:hint="eastAsia" w:ascii="宋体" w:hAnsi="宋体" w:eastAsia="宋体" w:cs="宋体"/>
          <w:b/>
          <w:spacing w:val="11"/>
          <w:sz w:val="28"/>
          <w:szCs w:val="28"/>
        </w:rPr>
      </w:pPr>
      <w:r>
        <w:rPr>
          <w:rFonts w:hint="eastAsia" w:ascii="宋体" w:hAnsi="宋体" w:eastAsia="宋体" w:cs="宋体"/>
          <w:spacing w:val="11"/>
          <w:sz w:val="28"/>
          <w:szCs w:val="28"/>
        </w:rPr>
        <w:t xml:space="preserve">供应方其他优惠承诺：</w:t>
      </w:r>
      <w:r/>
    </w:p>
    <w:p>
      <w:pPr>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     1、帮助参保各医院开展安全宣传教育，张贴安全宣传标语，制作安全警示牌（如：小心地滑、注意台阶、严禁攀爬等）放置在所有公共场所，增强医院及患者的自我安全防范意识。</w:t>
      </w:r>
      <w:r/>
    </w:p>
    <w:p>
      <w:pPr>
        <w:ind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2、承诺参保医院所有职工私家车在供应方购买车辆保险，将给予价格最大优惠及提供专人最优服务。</w:t>
      </w:r>
      <w:r/>
    </w:p>
    <w:p>
      <w:pPr>
        <w:ind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3、参保医院如组织医务人员国内旅游，承诺为所有参加旅游医务人员提供意外险保障一份。</w:t>
      </w:r>
      <w:r/>
    </w:p>
    <w:p>
      <w:pPr>
        <w:ind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4、参保医院如组织主任级别以上医务人员参加国内培训学习，承诺为其提供交通意外险保障一份。</w:t>
      </w:r>
      <w:r/>
    </w:p>
    <w:p>
      <w:pPr>
        <w:ind w:firstLine="42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5、护士节当天，承诺配合参保医院做好宣传活动。</w:t>
      </w:r>
      <w:r/>
    </w:p>
    <w:p>
      <w:pPr>
        <w:ind w:firstLine="560"/>
        <w:spacing w:line="360" w:lineRule="auto"/>
        <w:rPr>
          <w:rFonts w:hint="eastAsia" w:ascii="宋体" w:hAnsi="宋体" w:eastAsia="宋体" w:cs="宋体"/>
          <w:b/>
          <w:sz w:val="28"/>
          <w:szCs w:val="28"/>
        </w:rPr>
      </w:pPr>
      <w:r>
        <w:rPr>
          <w:rFonts w:hint="eastAsia" w:ascii="宋体" w:hAnsi="宋体" w:eastAsia="宋体" w:cs="宋体"/>
          <w:bCs/>
          <w:color w:val="000000"/>
          <w:sz w:val="28"/>
          <w:szCs w:val="28"/>
        </w:rPr>
        <w:t xml:space="preserve">6、</w:t>
      </w:r>
      <w:r>
        <w:rPr>
          <w:rFonts w:hint="eastAsia" w:ascii="宋体" w:hAnsi="宋体" w:eastAsia="宋体" w:cs="宋体"/>
          <w:sz w:val="28"/>
          <w:szCs w:val="28"/>
        </w:rPr>
        <w:t xml:space="preserve">将在责任期内，向参保医院的高层管理人员提供若干次企业管理方面的培训（由知名专家讲授）。</w:t>
      </w:r>
      <w:r/>
    </w:p>
    <w:p>
      <w:pPr>
        <w:jc w:val="center"/>
        <w:spacing w:line="360" w:lineRule="auto"/>
        <w:rPr>
          <w:rFonts w:hint="eastAsia" w:ascii="宋体" w:hAnsi="宋体" w:eastAsia="宋体" w:cs="宋体"/>
          <w:b/>
          <w:sz w:val="28"/>
          <w:szCs w:val="28"/>
        </w:rPr>
        <w:outlineLvl w:val="2"/>
      </w:pPr>
      <w:r>
        <w:rPr>
          <w:rFonts w:hint="eastAsia" w:ascii="宋体" w:hAnsi="宋体" w:eastAsia="宋体" w:cs="宋体"/>
          <w:b/>
          <w:sz w:val="28"/>
          <w:szCs w:val="28"/>
        </w:rPr>
      </w:r>
      <w:r/>
    </w:p>
    <w:p>
      <w:pPr>
        <w:rPr>
          <w:rFonts w:hint="eastAsia" w:ascii="宋体" w:hAnsi="宋体" w:eastAsia="宋体" w:cs="宋体"/>
          <w:b/>
          <w:sz w:val="28"/>
          <w:szCs w:val="28"/>
        </w:rPr>
      </w:pPr>
      <w:r/>
      <w:bookmarkStart w:id="127" w:name="_Toc30813"/>
      <w:r>
        <w:rPr>
          <w:rFonts w:hint="eastAsia" w:ascii="宋体" w:hAnsi="宋体" w:eastAsia="宋体" w:cs="宋体"/>
          <w:b/>
          <w:sz w:val="28"/>
          <w:szCs w:val="28"/>
        </w:rPr>
        <w:br w:type="page" w:clear="all"/>
      </w:r>
      <w:r/>
    </w:p>
    <w:p>
      <w:pPr>
        <w:jc w:val="center"/>
        <w:spacing w:line="360" w:lineRule="auto"/>
        <w:rPr>
          <w:rFonts w:hint="eastAsia" w:ascii="宋体" w:hAnsi="宋体" w:eastAsia="宋体" w:cs="宋体"/>
          <w:b/>
          <w:sz w:val="28"/>
          <w:szCs w:val="28"/>
        </w:rPr>
        <w:outlineLvl w:val="2"/>
      </w:pPr>
      <w:r>
        <w:rPr>
          <w:rFonts w:hint="eastAsia" w:ascii="宋体" w:hAnsi="宋体" w:eastAsia="宋体" w:cs="宋体"/>
          <w:b/>
          <w:sz w:val="28"/>
          <w:szCs w:val="28"/>
        </w:rPr>
        <w:t xml:space="preserve">第七部分 统计分析、信息披露</w:t>
      </w:r>
      <w:bookmarkEnd w:id="127"/>
      <w:r/>
      <w:r/>
    </w:p>
    <w:p>
      <w:pPr>
        <w:numPr>
          <w:ilvl w:val="0"/>
          <w:numId w:val="24"/>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理赔服务中心负责本产品数据的统一管理，产品数据以理赔服务中心定期发布的数据为准。</w:t>
      </w:r>
      <w:r/>
    </w:p>
    <w:p>
      <w:pPr>
        <w:numPr>
          <w:ilvl w:val="0"/>
          <w:numId w:val="24"/>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本产品建立定期沟通机制，每年定期召开数据沟通会。由理赔服务中心召集，各参与方应出席，未出席者即为认可会议结果。会议对各方掌握的上季度末（半年、全年）投保、理赔等数据进行核对，对数据的差异要进行详细说明，从产品运营风险的管控出发，对影响赔付率的关键数据进行分析，</w:t>
      </w:r>
      <w:r/>
    </w:p>
    <w:p>
      <w:pPr>
        <w:ind w:firstLine="420"/>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将核对好的产品数据、分析建议做好纪要，形成会议备忘录，由组织方报送给相关行管部门，并发布给供应方。</w:t>
      </w:r>
      <w:r/>
    </w:p>
    <w:p>
      <w:pPr>
        <w:numPr>
          <w:ilvl w:val="0"/>
          <w:numId w:val="24"/>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产品参与方应严格保密不得泄露给本产品参与方之外的任何人，除用于向行管部门报告或风险研究。</w:t>
      </w:r>
      <w:r/>
    </w:p>
    <w:p>
      <w:pPr>
        <w:numPr>
          <w:ilvl w:val="0"/>
          <w:numId w:val="24"/>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计算赔付率：</w:t>
      </w:r>
      <w:r/>
    </w:p>
    <w:p>
      <w:pPr>
        <w:numPr>
          <w:ilvl w:val="0"/>
          <w:numId w:val="25"/>
        </w:num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简单赔付率</w:t>
      </w:r>
      <w:r/>
    </w:p>
    <w:p>
      <w:p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1f292e"/>
          <w:sz w:val="28"/>
          <w:szCs w:val="28"/>
        </w:rPr>
        <w:t xml:space="preserve">简单赔付率 = 统计期间内已决赔款金额 / 统计期间生效保单保费 * 100%</w:t>
      </w:r>
      <w:r/>
    </w:p>
    <w:p>
      <w:pPr>
        <w:numPr>
          <w:ilvl w:val="0"/>
          <w:numId w:val="25"/>
        </w:num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满期赔付率</w:t>
      </w:r>
      <w:r/>
    </w:p>
    <w:p>
      <w:pPr>
        <w:ind w:firstLine="420"/>
        <w:spacing w:line="360" w:lineRule="auto"/>
        <w:rPr>
          <w:rFonts w:hint="eastAsia" w:ascii="宋体" w:hAnsi="宋体" w:eastAsia="宋体" w:cs="宋体"/>
          <w:b/>
          <w:color w:val="1f292e"/>
          <w:sz w:val="28"/>
          <w:szCs w:val="28"/>
        </w:rPr>
      </w:pPr>
      <w:r>
        <w:rPr>
          <w:rFonts w:hint="eastAsia" w:ascii="宋体" w:hAnsi="宋体" w:eastAsia="宋体" w:cs="宋体"/>
          <w:color w:val="1f292e"/>
          <w:sz w:val="28"/>
          <w:szCs w:val="28"/>
        </w:rPr>
        <w:t xml:space="preserve">满期赔付率 =（统计期间生效保单截至统计时点已决赔款金额 + 统计期间生效保单截至统计时点未决估损金额 + 统计期间生效保单截至统计时点IBNR） / 统计期间生效保单截至统计时点已赚保险费 * 100% </w:t>
      </w:r>
      <w:r/>
    </w:p>
    <w:p>
      <w:pPr>
        <w:numPr>
          <w:ilvl w:val="0"/>
          <w:numId w:val="25"/>
        </w:numPr>
        <w:ind w:firstLine="42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历年赔付率</w:t>
      </w:r>
      <w:r/>
    </w:p>
    <w:p>
      <w:pPr>
        <w:ind w:firstLine="420"/>
        <w:spacing w:line="360" w:lineRule="auto"/>
        <w:rPr>
          <w:rFonts w:hint="eastAsia" w:ascii="宋体" w:hAnsi="宋体" w:eastAsia="宋体" w:cs="宋体"/>
          <w:b/>
          <w:color w:val="1f292e"/>
          <w:sz w:val="28"/>
          <w:szCs w:val="28"/>
        </w:rPr>
      </w:pPr>
      <w:r>
        <w:rPr>
          <w:rFonts w:hint="eastAsia" w:ascii="宋体" w:hAnsi="宋体" w:eastAsia="宋体" w:cs="宋体"/>
          <w:color w:val="1f292e"/>
          <w:sz w:val="28"/>
          <w:szCs w:val="28"/>
        </w:rPr>
        <w:t xml:space="preserve">历年制赔付率 = （ 统计期间内已决赔款金额 + 期末未决估损金额 - 期初未决估损金额 ） / 统计期间保单已赚保险费 * 100%</w:t>
      </w:r>
      <w:r/>
    </w:p>
    <w:p>
      <w:pPr>
        <w:numPr>
          <w:ilvl w:val="0"/>
          <w:numId w:val="24"/>
        </w:numPr>
        <w:ind w:firstLine="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供应方每月15日前向兴化市卫生健康委员会提供负责的案件截至上月末的保险赔案台账的电子版本，字段及格式如下：</w:t>
      </w:r>
      <w:r/>
    </w:p>
    <w:tbl>
      <w:tblPr>
        <w:tblStyle w:val="792"/>
        <w:tblW w:w="7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4072"/>
        <w:gridCol w:w="2625"/>
      </w:tblGrid>
      <w:tr>
        <w:trPr>
          <w:jc w:val="center"/>
        </w:trPr>
        <w:tc>
          <w:tcPr>
            <w:shd w:val="clear" w:color="auto" w:fill="e0e0e0"/>
            <w:tcW w:w="1119" w:type="dxa"/>
            <w:vAlign w:val="center"/>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序 号</w:t>
            </w:r>
            <w:r/>
          </w:p>
        </w:tc>
        <w:tc>
          <w:tcPr>
            <w:shd w:val="clear" w:color="auto" w:fill="e0e0e0"/>
            <w:tcW w:w="4072" w:type="dxa"/>
            <w:vAlign w:val="center"/>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字段名</w:t>
            </w:r>
            <w:r/>
          </w:p>
        </w:tc>
        <w:tc>
          <w:tcPr>
            <w:shd w:val="clear" w:color="auto" w:fill="e0e0e0"/>
            <w:tcW w:w="2625" w:type="dxa"/>
            <w:vAlign w:val="center"/>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说明</w:t>
            </w:r>
            <w:r/>
          </w:p>
        </w:tc>
      </w:tr>
      <w:tr>
        <w:trPr>
          <w:jc w:val="center"/>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1</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供应方</w:t>
            </w:r>
            <w:r/>
          </w:p>
        </w:tc>
        <w:tc>
          <w:tcPr>
            <w:tcW w:w="2625"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文本</w:t>
            </w:r>
            <w:r/>
          </w:p>
        </w:tc>
      </w:tr>
      <w:tr>
        <w:trPr>
          <w:jc w:val="center"/>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保单号</w:t>
            </w:r>
            <w:r/>
          </w:p>
        </w:tc>
        <w:tc>
          <w:tcPr>
            <w:tcW w:w="2625"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文本</w:t>
            </w:r>
            <w:r/>
          </w:p>
        </w:tc>
      </w:tr>
      <w:tr>
        <w:trPr>
          <w:jc w:val="center"/>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3</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保险公司报案号</w:t>
            </w:r>
            <w:r/>
          </w:p>
        </w:tc>
        <w:tc>
          <w:tcPr>
            <w:tcW w:w="2625"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文本</w:t>
            </w:r>
            <w:r/>
          </w:p>
        </w:tc>
      </w:tr>
      <w:tr>
        <w:trPr>
          <w:jc w:val="center"/>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4</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医疗机构名称</w:t>
            </w:r>
            <w:r/>
          </w:p>
        </w:tc>
        <w:tc>
          <w:tcPr>
            <w:tcW w:w="2625"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文本</w:t>
            </w:r>
            <w:r/>
          </w:p>
        </w:tc>
      </w:tr>
      <w:tr>
        <w:trPr>
          <w:jc w:val="center"/>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5</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患者姓名</w:t>
            </w:r>
            <w:r/>
          </w:p>
        </w:tc>
        <w:tc>
          <w:tcPr>
            <w:tcW w:w="2625"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文本</w:t>
            </w:r>
            <w:r/>
          </w:p>
        </w:tc>
      </w:tr>
      <w:tr>
        <w:trPr>
          <w:jc w:val="center"/>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6</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sz w:val="28"/>
                <w:szCs w:val="28"/>
              </w:rPr>
              <w:t xml:space="preserve">患方首次向医疗机构提出索赔的时间</w:t>
            </w:r>
            <w:r/>
          </w:p>
        </w:tc>
        <w:tc>
          <w:tcPr>
            <w:tcW w:w="2625"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日期，yyyy-MM-dd</w:t>
            </w:r>
            <w:r/>
          </w:p>
        </w:tc>
      </w:tr>
      <w:tr>
        <w:trPr>
          <w:jc w:val="center"/>
          <w:trHeight w:val="448"/>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7</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医疗损害行为发生日期</w:t>
            </w:r>
            <w:r/>
          </w:p>
        </w:tc>
        <w:tc>
          <w:tcPr>
            <w:tcW w:w="2625"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日期，yyyy-MM-dd</w:t>
            </w:r>
            <w:r/>
          </w:p>
        </w:tc>
      </w:tr>
      <w:tr>
        <w:trPr>
          <w:jc w:val="center"/>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8</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结案日期</w:t>
            </w:r>
            <w:r/>
          </w:p>
        </w:tc>
        <w:tc>
          <w:tcPr>
            <w:tcW w:w="2625"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日期，yyyy-MM-dd</w:t>
            </w:r>
            <w:r/>
          </w:p>
        </w:tc>
      </w:tr>
      <w:tr>
        <w:trPr>
          <w:jc w:val="center"/>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9</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已决赔款金额（元）</w:t>
            </w:r>
            <w:r/>
          </w:p>
        </w:tc>
        <w:tc>
          <w:tcPr>
            <w:tcW w:w="2625"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数字</w:t>
            </w:r>
            <w:r/>
          </w:p>
        </w:tc>
      </w:tr>
      <w:tr>
        <w:trPr>
          <w:jc w:val="center"/>
        </w:trPr>
        <w:tc>
          <w:tcPr>
            <w:tcW w:w="1119"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10</w:t>
            </w:r>
            <w:r/>
          </w:p>
        </w:tc>
        <w:tc>
          <w:tcPr>
            <w:tcW w:w="4072" w:type="dxa"/>
            <w:textDirection w:val="lrTb"/>
            <w:noWrap w:val="false"/>
          </w:tcPr>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案件状态</w:t>
            </w:r>
            <w:r/>
          </w:p>
        </w:tc>
        <w:tc>
          <w:tcPr>
            <w:tcW w:w="2625" w:type="dxa"/>
            <w:textDirection w:val="lrTb"/>
            <w:noWrap w:val="false"/>
          </w:tcPr>
          <w:p>
            <w:pPr>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文本，1-已付已结；2-立案注销；3-零赔付结案；4-未付；5-拒赔</w:t>
            </w:r>
            <w:r/>
          </w:p>
        </w:tc>
      </w:tr>
    </w:tbl>
    <w:p>
      <w:pPr>
        <w:ind w:firstLine="42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numPr>
          <w:ilvl w:val="0"/>
          <w:numId w:val="24"/>
        </w:numPr>
        <w:ind w:firstLine="0"/>
        <w:jc w:val="center"/>
        <w:spacing w:line="360" w:lineRule="auto"/>
        <w:rPr>
          <w:rFonts w:hint="eastAsia" w:ascii="宋体" w:hAnsi="宋体" w:eastAsia="宋体" w:cs="宋体"/>
          <w:b/>
          <w:bCs/>
          <w:spacing w:val="11"/>
          <w:sz w:val="28"/>
          <w:szCs w:val="28"/>
        </w:rPr>
        <w:outlineLvl w:val="2"/>
      </w:pPr>
      <w:r/>
      <w:bookmarkStart w:id="128" w:name="_Toc20914"/>
      <w:r>
        <w:rPr>
          <w:rFonts w:hint="eastAsia" w:ascii="宋体" w:hAnsi="宋体" w:eastAsia="宋体" w:cs="宋体"/>
          <w:color w:val="000000"/>
          <w:sz w:val="28"/>
          <w:szCs w:val="28"/>
        </w:rPr>
        <w:t xml:space="preserve">每个自然年度结束后30日内，供应方向兴化市卫生健康委员会提供年度理赔数据和分析材料，</w:t>
      </w:r>
      <w:bookmarkEnd w:id="128"/>
      <w:r/>
      <w:r/>
    </w:p>
    <w:p>
      <w:pPr>
        <w:jc w:val="center"/>
        <w:spacing w:line="360" w:lineRule="auto"/>
        <w:rPr>
          <w:rFonts w:hint="eastAsia" w:ascii="宋体" w:hAnsi="宋体" w:eastAsia="宋体" w:cs="宋体"/>
          <w:b/>
          <w:bCs/>
          <w:spacing w:val="11"/>
          <w:sz w:val="28"/>
          <w:szCs w:val="28"/>
        </w:rPr>
        <w:outlineLvl w:val="2"/>
      </w:pPr>
      <w:r/>
      <w:bookmarkStart w:id="129" w:name="_Toc25191"/>
      <w:r>
        <w:rPr>
          <w:rFonts w:hint="eastAsia" w:ascii="宋体" w:hAnsi="宋体" w:eastAsia="宋体" w:cs="宋体"/>
          <w:b/>
          <w:bCs/>
          <w:spacing w:val="11"/>
          <w:sz w:val="28"/>
          <w:szCs w:val="28"/>
        </w:rPr>
        <w:t xml:space="preserve">第八部分 通用条款</w:t>
      </w:r>
      <w:bookmarkEnd w:id="129"/>
      <w:r/>
      <w:r/>
    </w:p>
    <w:p>
      <w:pPr>
        <w:ind w:firstLine="606"/>
        <w:spacing w:line="360" w:lineRule="auto"/>
        <w:rPr>
          <w:rFonts w:hint="eastAsia" w:ascii="宋体" w:hAnsi="宋体" w:eastAsia="宋体" w:cs="宋体"/>
          <w:b/>
          <w:spacing w:val="11"/>
          <w:sz w:val="28"/>
          <w:szCs w:val="28"/>
        </w:rPr>
      </w:pPr>
      <w:r>
        <w:rPr>
          <w:rFonts w:hint="eastAsia" w:ascii="宋体" w:hAnsi="宋体" w:eastAsia="宋体" w:cs="宋体"/>
          <w:b/>
          <w:spacing w:val="11"/>
          <w:sz w:val="28"/>
          <w:szCs w:val="28"/>
        </w:rPr>
        <w:t xml:space="preserve">（一）信息安全与保密条款</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1、在本协议中，“保密信息”是指任何属于披露方所拥有的、保密的与商业或</w:t>
      </w:r>
      <w:r>
        <w:rPr>
          <w:rFonts w:hint="eastAsia" w:ascii="宋体" w:hAnsi="宋体" w:eastAsia="宋体" w:cs="宋体"/>
          <w:bCs/>
          <w:spacing w:val="11"/>
          <w:sz w:val="28"/>
          <w:szCs w:val="28"/>
        </w:rPr>
        <w:t xml:space="preserve">行为相关的非公开信息，包括但不限于所有被一方标注和约定为“保密”的商业、金融、技术和其他信息。保密信息不但包括书面的和其他可以以有形载体存在的信息，也包括通过口头、视觉、电子或者其他无形的形式传播的信息。保密信息不包括下列信息：(a)已经进入公共领域又不违反本协议的，（b）接受方合法从第三方获得，（c）接受方可以证明在从披露方获得该信息前已经通过合法途径知道的，（d）接受方可以证明该保密信息属于其独立开发出来的。在本协议中的所有条款都会被视为各方的保密信息并且在没有得到其他方书面的同意之前，不可以向外披露。</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2、各方同意（a）除了在本协议明确允许的之外，不会向任何第三方披露或者使用其他方披露的保密信息，（b）会采取所有合理的方法来维护所有自己拥有或控制的其他方的保密信息的安全。在任何情况下，其维护其他方的保密信息的方法，其保密等级不应当低于自己维护类似重要等级信息所采用的方法。</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3、各方承认任何未经授权披露，或者由接受方未经授权使用保密信息将会对披露方造成不可挽回的伤害和损失。接受方在实际违反或者可能会违反本协议规定的情形时，披露方将有权保护和采取临时性强制措施禁止其保密信息披露，而该措施将不限制披露方寻求的任何其他合法补救措施。</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4、除了上述，各方可以将保密信息（a）披露给具有管辖的法院或者其他政府机关或者法律规定的，（b） 基于“必须知晓”的前提，在保密的基础上，披露给律师、会计师。另外，可以将保密信息披露给依据其法定职权应当知晓相关事项的政府或监管当局。</w:t>
      </w:r>
      <w:r/>
    </w:p>
    <w:p>
      <w:pPr>
        <w:ind w:firstLine="606"/>
        <w:spacing w:line="360" w:lineRule="auto"/>
        <w:rPr>
          <w:rFonts w:hint="eastAsia" w:ascii="宋体" w:hAnsi="宋体" w:eastAsia="宋体" w:cs="宋体"/>
          <w:b/>
          <w:spacing w:val="11"/>
          <w:sz w:val="28"/>
          <w:szCs w:val="28"/>
        </w:rPr>
      </w:pPr>
      <w:r>
        <w:rPr>
          <w:rFonts w:hint="eastAsia" w:ascii="宋体" w:hAnsi="宋体" w:eastAsia="宋体" w:cs="宋体"/>
          <w:b/>
          <w:spacing w:val="11"/>
          <w:sz w:val="28"/>
          <w:szCs w:val="28"/>
        </w:rPr>
        <w:t xml:space="preserve">（二）反虚假宣传条款</w:t>
      </w:r>
      <w:r/>
    </w:p>
    <w:p>
      <w:pPr>
        <w:ind w:firstLine="604"/>
        <w:spacing w:line="360" w:lineRule="auto"/>
        <w:rPr>
          <w:rFonts w:hint="eastAsia" w:ascii="宋体" w:hAnsi="宋体" w:eastAsia="宋体" w:cs="宋体"/>
          <w:b/>
          <w:spacing w:val="11"/>
          <w:sz w:val="28"/>
          <w:szCs w:val="28"/>
        </w:rPr>
      </w:pPr>
      <w:r>
        <w:rPr>
          <w:rFonts w:hint="eastAsia" w:ascii="宋体" w:hAnsi="宋体" w:eastAsia="宋体" w:cs="宋体"/>
          <w:bCs/>
          <w:spacing w:val="11"/>
          <w:sz w:val="28"/>
          <w:szCs w:val="28"/>
        </w:rPr>
        <w:t xml:space="preserve">双方均清楚并愿意严格遵守中华人民共和国《著作权法》、《商标法》、《专利法》、《反不正当竞争法》等知识产权类、合同法及广告法等相关法律的规定，双方均有权就本合同所约定事项以约定方式在约定范</w:t>
      </w:r>
      <w:r>
        <w:rPr>
          <w:rFonts w:hint="eastAsia" w:ascii="宋体" w:hAnsi="宋体" w:eastAsia="宋体" w:cs="宋体"/>
          <w:bCs/>
          <w:spacing w:val="11"/>
          <w:sz w:val="28"/>
          <w:szCs w:val="28"/>
        </w:rPr>
        <w:t xml:space="preserve">围内进行真实、合理的使用或宣传，但不得涉及合同所约定的保密内容。为避免商标侵权及不当宣传等风险的发生，双方均同意，在使用对方的商标、品牌、企业名称等进行宣传前，均须获得对方事先的书面认可，否则，不得进行此类使用或宣传。双方在此承诺，会积极响应对方提出的就合作事项的合理使用或宣传申请。双方均承认，未经对方事先书面同意而利用其商标、品牌及企业名称等进行商业宣传；虚构合作事项；夸大合作范围、内容、效果、规模、程度等，均属对本合同的违反，并可能因虚假宣传构成不正当竞争，守约方或被侵权人将保留追究相应法律责任的权利。</w:t>
      </w:r>
      <w:r/>
    </w:p>
    <w:p>
      <w:pPr>
        <w:ind w:firstLine="606"/>
        <w:spacing w:line="360" w:lineRule="auto"/>
        <w:rPr>
          <w:rFonts w:hint="eastAsia" w:ascii="宋体" w:hAnsi="宋体" w:eastAsia="宋体" w:cs="宋体"/>
          <w:b/>
          <w:spacing w:val="11"/>
          <w:sz w:val="28"/>
          <w:szCs w:val="28"/>
        </w:rPr>
      </w:pPr>
      <w:r>
        <w:rPr>
          <w:rFonts w:hint="eastAsia" w:ascii="宋体" w:hAnsi="宋体" w:eastAsia="宋体" w:cs="宋体"/>
          <w:b/>
          <w:spacing w:val="11"/>
          <w:sz w:val="28"/>
          <w:szCs w:val="28"/>
        </w:rPr>
        <w:t xml:space="preserve">（三）反商业贿赂条款</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反商业贿赂条款与本合同其它条款具有同等法律效力，合同当事人均同意签订并遵守如下反商业贿赂条款：</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1、双方都清楚并愿意严格遵守中华人民共和国反商业贿赂的法律规定，双方都清楚任何形式的贿赂和贪渎行为都将触犯法律，并将受到法律的严惩。</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2、双方均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3、严格禁止双方经办人员的任何商业贿赂行为。双方经办人发生本条第二款所列示的任何一种行为，都是违反各方公司制度的，都将受到各方公司制度和国家法律的惩处。</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4、郑重提示：双方均反对对方或对方经办人员为了本合同之目的与本合同以外的任何第三方发生本条款第二条所列示的任何一种行为，该等行为都是违反国家法律的行为，并将受到国家法律的惩处。</w:t>
      </w:r>
      <w:r/>
    </w:p>
    <w:p>
      <w:pPr>
        <w:ind w:firstLine="604"/>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5、如因一方或一方经办人违反上述第二款、第三款、第四款之规定，给对方造成损失的，应承担损害赔偿责任。</w:t>
      </w:r>
      <w:r/>
    </w:p>
    <w:p>
      <w:pPr>
        <w:ind w:firstLine="606"/>
        <w:spacing w:line="360" w:lineRule="auto"/>
        <w:rPr>
          <w:rFonts w:hint="eastAsia" w:ascii="宋体" w:hAnsi="宋体" w:eastAsia="宋体" w:cs="宋体"/>
          <w:spacing w:val="11"/>
          <w:sz w:val="28"/>
          <w:szCs w:val="28"/>
        </w:rPr>
      </w:pPr>
      <w:r>
        <w:rPr>
          <w:rFonts w:hint="eastAsia" w:ascii="宋体" w:hAnsi="宋体" w:eastAsia="宋体" w:cs="宋体"/>
          <w:b/>
          <w:spacing w:val="11"/>
          <w:sz w:val="28"/>
          <w:szCs w:val="28"/>
        </w:rPr>
        <w:t xml:space="preserve">（四）反洗钱条款</w:t>
      </w:r>
      <w:r/>
    </w:p>
    <w:p>
      <w:pPr>
        <w:ind w:firstLine="604"/>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双方根据《中华人民共和国反洗钱法》、《金融机构反洗钱规定》、《金融机构客户身份识别和客户身份资料及交易记录保存管理办法》、《金融机构大额交易和可疑交易报告管理办法》、《中国人民银行关于进一步加强金融机构反洗钱工作的通知》、《保险业反洗钱工作管理办法》等法律及监管规定的要求，相互提供必要的协助，采取有效的客户身份识别措施，共同推进反洗钱方面的合作，并就反洗钱方面达成如下协议：</w:t>
      </w:r>
      <w:r/>
    </w:p>
    <w:p>
      <w:pPr>
        <w:ind w:firstLine="604"/>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1、双方应按照反洗钱法律法规要求，分别建立各自的反洗钱内控制度，落实客户身份识别、客户身份资料和交易记录保存、大额和可疑交易识别和报送等相关监管要求。</w:t>
      </w:r>
      <w:r/>
    </w:p>
    <w:p>
      <w:pPr>
        <w:ind w:firstLine="604"/>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2、双方应依法按照相关法律、法规、监管规定对客户进行有效的身份识别，并留存相关资料。</w:t>
      </w:r>
      <w:r/>
    </w:p>
    <w:p>
      <w:pPr>
        <w:ind w:firstLine="604"/>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3、双方应按照《中国人民银行关于加强反洗钱客户身份识别有关工作的通知》（银发[2017]235号）规定，开展非自然人客户“受益所有人”识别工作。</w:t>
      </w:r>
      <w:r/>
    </w:p>
    <w:p>
      <w:pPr>
        <w:ind w:firstLine="604"/>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4、双方应按照人民银行的有关规定依法履行大额、可疑交易的报告义务，双方积极协助对方对大额、可疑交易的调查，并依法在必要时向对方提供国家权力机关调查所需的客户资料信息。</w:t>
      </w:r>
      <w:r/>
    </w:p>
    <w:p>
      <w:pPr>
        <w:ind w:firstLine="604"/>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5、双方应做好客户信息保密工作，必要时向对方提供用于监管机构反洗钱检查要求的客户资料，共同作好反洗钱工作，尽到应尽职责。</w:t>
      </w:r>
      <w:r/>
    </w:p>
    <w:p>
      <w:pPr>
        <w:ind w:firstLine="606"/>
        <w:spacing w:line="360" w:lineRule="auto"/>
        <w:rPr>
          <w:rFonts w:hint="eastAsia" w:ascii="宋体" w:hAnsi="宋体" w:eastAsia="宋体" w:cs="宋体"/>
          <w:b/>
          <w:spacing w:val="11"/>
          <w:sz w:val="28"/>
          <w:szCs w:val="28"/>
        </w:rPr>
      </w:pPr>
      <w:r>
        <w:rPr>
          <w:rFonts w:hint="eastAsia" w:ascii="宋体" w:hAnsi="宋体" w:eastAsia="宋体" w:cs="宋体"/>
          <w:b/>
          <w:spacing w:val="11"/>
          <w:sz w:val="28"/>
          <w:szCs w:val="28"/>
        </w:rPr>
        <w:t xml:space="preserve">（五）法律责任</w:t>
      </w:r>
      <w:r/>
    </w:p>
    <w:p>
      <w:pPr>
        <w:ind w:firstLine="604"/>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604"/>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若发生违约情形，违约方依法依约承担其相应法律责任后，除非守约方同意终止本协议的，本协议仍须继续履行。</w:t>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rPr>
          <w:rFonts w:hint="eastAsia" w:ascii="宋体" w:hAnsi="宋体" w:eastAsia="宋体" w:cs="宋体"/>
          <w:b/>
          <w:bCs/>
          <w:spacing w:val="11"/>
          <w:sz w:val="28"/>
          <w:szCs w:val="28"/>
        </w:rPr>
      </w:pPr>
      <w:r/>
      <w:bookmarkStart w:id="130" w:name="_Toc24857"/>
      <w:r>
        <w:rPr>
          <w:rFonts w:hint="eastAsia" w:ascii="宋体" w:hAnsi="宋体" w:eastAsia="宋体" w:cs="宋体"/>
          <w:b/>
          <w:bCs/>
          <w:spacing w:val="11"/>
          <w:sz w:val="28"/>
          <w:szCs w:val="28"/>
        </w:rPr>
        <w:br w:type="page" w:clear="all"/>
      </w:r>
      <w:r/>
    </w:p>
    <w:p>
      <w:pPr>
        <w:jc w:val="center"/>
        <w:spacing w:line="360" w:lineRule="auto"/>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t xml:space="preserve">第九部分 服务质量考评</w:t>
      </w:r>
      <w:bookmarkEnd w:id="130"/>
      <w:r/>
      <w:r/>
    </w:p>
    <w:p>
      <w:pPr>
        <w:ind w:firstLine="42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服务质量考评是指兴化市卫生健康委员会依据保险合同、供应方所签订的相关协议及其他相关文件，对供应方在本产品中的服务质量进行评价，建立考评档案，定期发布结果信息，由本产品工作领导小组依据评价结果提出处理意见。具体考核办法详见</w:t>
      </w:r>
      <w:r>
        <w:rPr>
          <w:rFonts w:hint="eastAsia" w:ascii="宋体" w:hAnsi="宋体" w:eastAsia="宋体" w:cs="宋体"/>
          <w:color w:val="000000"/>
          <w:sz w:val="28"/>
          <w:szCs w:val="28"/>
        </w:rPr>
        <w:t xml:space="preserve">附件3</w:t>
      </w:r>
      <w:r>
        <w:rPr>
          <w:rFonts w:hint="eastAsia" w:ascii="宋体" w:hAnsi="宋体" w:eastAsia="宋体" w:cs="宋体"/>
          <w:sz w:val="28"/>
          <w:szCs w:val="28"/>
        </w:rPr>
        <w:t xml:space="preserve">。</w:t>
      </w:r>
      <w:r/>
    </w:p>
    <w:p>
      <w:pPr>
        <w:ind w:firstLine="42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bCs/>
          <w:spacing w:val="11"/>
          <w:sz w:val="28"/>
          <w:szCs w:val="28"/>
        </w:rPr>
      </w:pPr>
      <w:r/>
      <w:bookmarkStart w:id="131" w:name="_Toc32192"/>
      <w:r>
        <w:rPr>
          <w:rFonts w:hint="eastAsia" w:ascii="宋体" w:hAnsi="宋体" w:eastAsia="宋体" w:cs="宋体"/>
          <w:b/>
          <w:bCs/>
          <w:spacing w:val="11"/>
          <w:sz w:val="28"/>
          <w:szCs w:val="28"/>
        </w:rPr>
        <w:br w:type="page" w:clear="all"/>
      </w:r>
      <w:r/>
    </w:p>
    <w:p>
      <w:pPr>
        <w:jc w:val="center"/>
        <w:spacing w:line="360" w:lineRule="auto"/>
        <w:tabs>
          <w:tab w:val="center" w:pos="4153" w:leader="none"/>
        </w:tabs>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t xml:space="preserve">第十部分 协议相关内容</w:t>
      </w:r>
      <w:bookmarkEnd w:id="131"/>
      <w:r/>
      <w:r/>
    </w:p>
    <w:p>
      <w:pPr>
        <w:numPr>
          <w:ilvl w:val="0"/>
          <w:numId w:val="26"/>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协议的构成文件</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下列文件均作为本协议的有效组成部分：</w:t>
      </w:r>
      <w:r/>
    </w:p>
    <w:p>
      <w:pPr>
        <w:numPr>
          <w:ilvl w:val="0"/>
          <w:numId w:val="27"/>
        </w:numPr>
        <w:ind w:left="420"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根据本协议另行制定的其他制度、文件以及联席会议备忘录；</w:t>
      </w:r>
      <w:r/>
    </w:p>
    <w:p>
      <w:pPr>
        <w:numPr>
          <w:ilvl w:val="0"/>
          <w:numId w:val="27"/>
        </w:numPr>
        <w:ind w:left="420"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批单；</w:t>
      </w:r>
      <w:r/>
    </w:p>
    <w:p>
      <w:pPr>
        <w:numPr>
          <w:ilvl w:val="0"/>
          <w:numId w:val="27"/>
        </w:numPr>
        <w:ind w:left="420"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保险单；</w:t>
      </w:r>
      <w:r/>
    </w:p>
    <w:p>
      <w:pPr>
        <w:numPr>
          <w:ilvl w:val="0"/>
          <w:numId w:val="27"/>
        </w:numPr>
        <w:ind w:left="420"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本协议的补充协议；</w:t>
      </w:r>
      <w:r/>
    </w:p>
    <w:p>
      <w:pPr>
        <w:numPr>
          <w:ilvl w:val="0"/>
          <w:numId w:val="27"/>
        </w:numPr>
        <w:ind w:left="420"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本协议文本；</w:t>
      </w:r>
      <w:r/>
    </w:p>
    <w:p>
      <w:pPr>
        <w:numPr>
          <w:ilvl w:val="0"/>
          <w:numId w:val="27"/>
        </w:numPr>
        <w:ind w:left="420"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响应补充文件；</w:t>
      </w:r>
      <w:r/>
    </w:p>
    <w:p>
      <w:pPr>
        <w:numPr>
          <w:ilvl w:val="0"/>
          <w:numId w:val="27"/>
        </w:numPr>
        <w:ind w:left="420"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响应文件；</w:t>
      </w:r>
      <w:r/>
    </w:p>
    <w:p>
      <w:pPr>
        <w:numPr>
          <w:ilvl w:val="0"/>
          <w:numId w:val="27"/>
        </w:numPr>
        <w:ind w:left="420"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采购文件。</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如上述文件之间存在矛盾或不一致之处，除有明确约定之外，以排序在前的文件规定的内容为准。</w:t>
      </w:r>
      <w:r/>
    </w:p>
    <w:p>
      <w:pPr>
        <w:numPr>
          <w:ilvl w:val="0"/>
          <w:numId w:val="26"/>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协议的生效</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本协议自20   年  月  日起正式生效，有效期1年，适用于本产品期内的全部保险单，并在各保险单有效期内持续有效。如果该类保单到期后存在遗留问题，则本协议将持续有效，至保单涉及各项遗留事宜最终处理完毕时为止。</w:t>
      </w:r>
      <w:r/>
    </w:p>
    <w:p>
      <w:pPr>
        <w:numPr>
          <w:ilvl w:val="0"/>
          <w:numId w:val="26"/>
        </w:numPr>
        <w:ind w:firstLine="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协议的终止与续签</w:t>
      </w:r>
      <w:r/>
    </w:p>
    <w:p>
      <w:pPr>
        <w:numPr>
          <w:ilvl w:val="0"/>
          <w:numId w:val="28"/>
        </w:numPr>
        <w:ind w:left="420" w:firstLine="0"/>
        <w:spacing w:line="360" w:lineRule="auto"/>
        <w:widowControl/>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产品续转</w:t>
      </w:r>
      <w:r/>
    </w:p>
    <w:p>
      <w:pPr>
        <w:ind w:firstLine="560"/>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协议到期后，未到期的保险单不因本协议到期而全部失效或部分失效。产品各参与方仍须按照已到期的采购协议、补充协议及保险合同的约定，继续承担相应的权利义务及保险责任，直至保险单涉及各项遗留事宜最终处理完毕时为止。</w:t>
      </w:r>
      <w:r/>
    </w:p>
    <w:p>
      <w:pPr>
        <w:numPr>
          <w:ilvl w:val="0"/>
          <w:numId w:val="28"/>
        </w:numPr>
        <w:ind w:left="420" w:firstLine="0"/>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其他注意事项</w:t>
      </w:r>
      <w:r/>
    </w:p>
    <w:p>
      <w:pPr>
        <w:ind w:firstLine="480"/>
        <w:spacing w:line="360" w:lineRule="auto"/>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涉及下一期新协议的续保问题，可在新协议中具体明确，具体施行以新协议约定为准。</w:t>
      </w:r>
      <w:r/>
    </w:p>
    <w:p>
      <w:pPr>
        <w:numPr>
          <w:ilvl w:val="0"/>
          <w:numId w:val="26"/>
        </w:numPr>
        <w:ind w:firstLine="0"/>
        <w:spacing w:line="360" w:lineRule="auto"/>
        <w:widowControl/>
        <w:rPr>
          <w:rFonts w:hint="eastAsia" w:ascii="宋体" w:hAnsi="宋体" w:eastAsia="宋体" w:cs="宋体"/>
          <w:b/>
          <w:bCs/>
          <w:sz w:val="28"/>
          <w:szCs w:val="28"/>
        </w:rPr>
      </w:pPr>
      <w:r>
        <w:rPr>
          <w:rFonts w:hint="eastAsia" w:ascii="宋体" w:hAnsi="宋体" w:eastAsia="宋体" w:cs="宋体"/>
          <w:bCs/>
          <w:sz w:val="28"/>
          <w:szCs w:val="28"/>
        </w:rPr>
        <w:t xml:space="preserve">协议的争议处理</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本协议在履行过程中发生争议的，由各方友好协商解决，协商仍不能解决的，可向协议签约地具有管辖权的人民法院提起诉讼。</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本协议部分条款在履行过程中发生争议向人民法院提起诉讼解决的，不影响本协议其它条款的执行与效力。</w:t>
      </w:r>
      <w:r/>
    </w:p>
    <w:p>
      <w:pPr>
        <w:numPr>
          <w:ilvl w:val="255"/>
          <w:numId w:val="0"/>
        </w:numPr>
        <w:spacing w:line="360" w:lineRule="auto"/>
        <w:widowControl/>
        <w:rPr>
          <w:rFonts w:hint="eastAsia" w:ascii="宋体" w:hAnsi="宋体" w:eastAsia="宋体" w:cs="宋体"/>
          <w:b/>
          <w:bCs/>
          <w:sz w:val="28"/>
          <w:szCs w:val="28"/>
        </w:rPr>
      </w:pPr>
      <w:r>
        <w:rPr>
          <w:rFonts w:hint="eastAsia" w:ascii="宋体" w:hAnsi="宋体" w:eastAsia="宋体" w:cs="宋体"/>
          <w:b/>
          <w:sz w:val="28"/>
          <w:szCs w:val="28"/>
        </w:rPr>
        <w:t xml:space="preserve">五、</w:t>
      </w:r>
      <w:r>
        <w:rPr>
          <w:rFonts w:hint="eastAsia" w:ascii="宋体" w:hAnsi="宋体" w:eastAsia="宋体" w:cs="宋体"/>
          <w:bCs/>
          <w:sz w:val="28"/>
          <w:szCs w:val="28"/>
        </w:rPr>
        <w:t xml:space="preserve">协议的变更与解除</w:t>
      </w:r>
      <w:r>
        <w:rPr>
          <w:rFonts w:hint="eastAsia" w:ascii="宋体" w:hAnsi="宋体" w:eastAsia="宋体" w:cs="宋体"/>
          <w:bCs/>
          <w:sz w:val="28"/>
          <w:szCs w:val="28"/>
        </w:rPr>
        <w:tab/>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在本协议正常履行期间，协议内容的任何修改、变更、解除，必须经协议各方一致同意。</w:t>
      </w:r>
      <w:r/>
    </w:p>
    <w:p>
      <w:pPr>
        <w:numPr>
          <w:ilvl w:val="255"/>
          <w:numId w:val="0"/>
        </w:numPr>
        <w:spacing w:line="360" w:lineRule="auto"/>
        <w:widowControl/>
        <w:rPr>
          <w:rFonts w:hint="eastAsia" w:ascii="宋体" w:hAnsi="宋体" w:eastAsia="宋体" w:cs="宋体"/>
          <w:b/>
          <w:bCs/>
          <w:sz w:val="28"/>
          <w:szCs w:val="28"/>
        </w:rPr>
      </w:pPr>
      <w:r>
        <w:rPr>
          <w:rFonts w:hint="eastAsia" w:ascii="宋体" w:hAnsi="宋体" w:eastAsia="宋体" w:cs="宋体"/>
          <w:b/>
          <w:sz w:val="28"/>
          <w:szCs w:val="28"/>
        </w:rPr>
        <w:t xml:space="preserve">六、</w:t>
      </w:r>
      <w:r>
        <w:rPr>
          <w:rFonts w:hint="eastAsia" w:ascii="宋体" w:hAnsi="宋体" w:eastAsia="宋体" w:cs="宋体"/>
          <w:bCs/>
          <w:sz w:val="28"/>
          <w:szCs w:val="28"/>
        </w:rPr>
        <w:t xml:space="preserve">违约责任</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2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若发生违约情形，违约方依法依约承担其相应法律责任后，除非守约方同意终止本协议的，本协议仍须继续履行。</w:t>
      </w:r>
      <w:r/>
    </w:p>
    <w:p>
      <w:pPr>
        <w:numPr>
          <w:ilvl w:val="255"/>
          <w:numId w:val="0"/>
        </w:numPr>
        <w:spacing w:line="360" w:lineRule="auto"/>
        <w:widowControl/>
        <w:rPr>
          <w:rFonts w:hint="eastAsia" w:ascii="宋体" w:hAnsi="宋体" w:eastAsia="宋体" w:cs="宋体"/>
          <w:b/>
          <w:bCs/>
          <w:sz w:val="28"/>
          <w:szCs w:val="28"/>
        </w:rPr>
      </w:pPr>
      <w:r>
        <w:rPr>
          <w:rFonts w:hint="eastAsia" w:ascii="宋体" w:hAnsi="宋体" w:eastAsia="宋体" w:cs="宋体"/>
          <w:b/>
          <w:sz w:val="28"/>
          <w:szCs w:val="28"/>
        </w:rPr>
        <w:t xml:space="preserve">七、</w:t>
      </w:r>
      <w:r>
        <w:rPr>
          <w:rFonts w:hint="eastAsia" w:ascii="宋体" w:hAnsi="宋体" w:eastAsia="宋体" w:cs="宋体"/>
          <w:bCs/>
          <w:sz w:val="28"/>
          <w:szCs w:val="28"/>
        </w:rPr>
        <w:t xml:space="preserve">协议份数</w:t>
      </w:r>
      <w:r/>
    </w:p>
    <w:p>
      <w:pPr>
        <w:spacing w:line="360" w:lineRule="auto"/>
        <w:tabs>
          <w:tab w:val="center" w:pos="4153" w:leader="none"/>
        </w:tabs>
        <w:rPr>
          <w:rFonts w:hint="eastAsia" w:ascii="宋体" w:hAnsi="宋体" w:eastAsia="宋体" w:cs="宋体"/>
          <w:b/>
          <w:bCs/>
          <w:spacing w:val="11"/>
          <w:sz w:val="28"/>
          <w:szCs w:val="28"/>
        </w:rPr>
        <w:outlineLvl w:val="2"/>
      </w:pPr>
      <w:r/>
      <w:bookmarkStart w:id="132" w:name="_Toc7172"/>
      <w:r>
        <w:rPr>
          <w:rFonts w:hint="eastAsia" w:ascii="宋体" w:hAnsi="宋体" w:eastAsia="宋体" w:cs="宋体"/>
          <w:sz w:val="28"/>
          <w:szCs w:val="28"/>
        </w:rPr>
        <w:t xml:space="preserve">本合同一式份，采购方持份；供应方各持份；代理公司持份，行政审批局持份（由代理公司代收）。</w:t>
      </w:r>
      <w:bookmarkEnd w:id="132"/>
      <w:r/>
      <w:r/>
    </w:p>
    <w:p>
      <w:pPr>
        <w:jc w:val="center"/>
        <w:spacing w:line="360" w:lineRule="auto"/>
        <w:tabs>
          <w:tab w:val="center" w:pos="4153" w:leader="none"/>
        </w:tabs>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r>
      <w:r/>
    </w:p>
    <w:p>
      <w:pPr>
        <w:rPr>
          <w:rFonts w:hint="eastAsia" w:ascii="宋体" w:hAnsi="宋体" w:eastAsia="宋体" w:cs="宋体"/>
          <w:b/>
          <w:bCs/>
          <w:spacing w:val="11"/>
          <w:sz w:val="28"/>
          <w:szCs w:val="28"/>
        </w:rPr>
      </w:pPr>
      <w:r/>
      <w:bookmarkStart w:id="133" w:name="_Toc26939"/>
      <w:r>
        <w:rPr>
          <w:rFonts w:hint="eastAsia" w:ascii="宋体" w:hAnsi="宋体" w:eastAsia="宋体" w:cs="宋体"/>
          <w:b/>
          <w:bCs/>
          <w:spacing w:val="11"/>
          <w:sz w:val="28"/>
          <w:szCs w:val="28"/>
        </w:rPr>
        <w:br w:type="page" w:clear="all"/>
      </w:r>
      <w:r/>
    </w:p>
    <w:p>
      <w:pPr>
        <w:jc w:val="center"/>
        <w:spacing w:line="360" w:lineRule="auto"/>
        <w:tabs>
          <w:tab w:val="center" w:pos="4153" w:leader="none"/>
        </w:tabs>
        <w:rPr>
          <w:rFonts w:hint="eastAsia" w:ascii="宋体" w:hAnsi="宋体" w:eastAsia="宋体" w:cs="宋体"/>
          <w:b/>
          <w:bCs/>
          <w:spacing w:val="11"/>
          <w:sz w:val="28"/>
          <w:szCs w:val="28"/>
        </w:rPr>
        <w:outlineLvl w:val="2"/>
      </w:pPr>
      <w:r>
        <w:rPr>
          <w:rFonts w:hint="eastAsia" w:ascii="宋体" w:hAnsi="宋体" w:eastAsia="宋体" w:cs="宋体"/>
          <w:b/>
          <w:bCs/>
          <w:spacing w:val="11"/>
          <w:sz w:val="28"/>
          <w:szCs w:val="28"/>
        </w:rPr>
        <w:t xml:space="preserve">第十一部分 附件</w:t>
      </w:r>
      <w:bookmarkEnd w:id="133"/>
      <w:r/>
      <w:r/>
    </w:p>
    <w:p>
      <w:pPr>
        <w:spacing w:line="360" w:lineRule="auto"/>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附件一：兴化市基层医疗机构医疗责任保险产品保险方案及条款</w:t>
      </w:r>
      <w:r/>
    </w:p>
    <w:p>
      <w:pPr>
        <w:jc w:val="center"/>
        <w:widowControl/>
        <w:rPr>
          <w:rFonts w:hint="eastAsia" w:ascii="宋体" w:hAnsi="宋体" w:eastAsia="宋体" w:cs="宋体"/>
          <w:b/>
          <w:spacing w:val="11"/>
          <w:sz w:val="28"/>
          <w:szCs w:val="28"/>
        </w:rPr>
      </w:pPr>
      <w:r>
        <w:rPr>
          <w:rFonts w:hint="eastAsia" w:ascii="宋体" w:hAnsi="宋体" w:eastAsia="宋体" w:cs="宋体"/>
          <w:b/>
          <w:spacing w:val="11"/>
          <w:sz w:val="28"/>
          <w:szCs w:val="28"/>
        </w:rPr>
      </w:r>
      <w:r/>
    </w:p>
    <w:p>
      <w:pPr>
        <w:spacing w:line="360" w:lineRule="auto"/>
        <w:widowControl/>
        <w:rPr>
          <w:rFonts w:hint="eastAsia" w:ascii="宋体" w:hAnsi="宋体" w:eastAsia="宋体" w:cs="宋体"/>
          <w:bCs/>
          <w:spacing w:val="11"/>
          <w:sz w:val="28"/>
          <w:szCs w:val="28"/>
        </w:rPr>
        <w:outlineLvl w:val="1"/>
      </w:pPr>
      <w:r/>
      <w:bookmarkStart w:id="134" w:name="_Toc15228"/>
      <w:r>
        <w:rPr>
          <w:rFonts w:hint="eastAsia" w:ascii="宋体" w:hAnsi="宋体" w:eastAsia="宋体" w:cs="宋体"/>
          <w:bCs/>
          <w:spacing w:val="11"/>
          <w:sz w:val="28"/>
          <w:szCs w:val="28"/>
        </w:rPr>
        <w:t xml:space="preserve">附件二：兴化市基层医疗机构医疗责任保险产品保险案件赔偿处理办法</w:t>
      </w:r>
      <w:bookmarkEnd w:id="134"/>
      <w:r/>
      <w:r/>
    </w:p>
    <w:p>
      <w:pPr>
        <w:spacing w:line="360" w:lineRule="auto"/>
        <w:widowControl/>
        <w:rPr>
          <w:rFonts w:hint="eastAsia" w:ascii="宋体" w:hAnsi="宋体" w:eastAsia="宋体" w:cs="宋体"/>
          <w:spacing w:val="11"/>
          <w:sz w:val="28"/>
          <w:szCs w:val="28"/>
        </w:rPr>
      </w:pPr>
      <w:r>
        <w:rPr>
          <w:rFonts w:hint="eastAsia" w:ascii="宋体" w:hAnsi="宋体" w:eastAsia="宋体" w:cs="宋体"/>
          <w:spacing w:val="11"/>
          <w:sz w:val="28"/>
          <w:szCs w:val="28"/>
        </w:rPr>
      </w:r>
      <w:r/>
    </w:p>
    <w:p>
      <w:pPr>
        <w:spacing w:line="360" w:lineRule="auto"/>
        <w:widowControl/>
        <w:tabs>
          <w:tab w:val="left" w:pos="0" w:leader="none"/>
        </w:tabs>
        <w:rPr>
          <w:rFonts w:hint="eastAsia" w:ascii="宋体" w:hAnsi="宋体" w:eastAsia="宋体" w:cs="宋体"/>
          <w:spacing w:val="11"/>
          <w:sz w:val="28"/>
          <w:szCs w:val="28"/>
        </w:rPr>
      </w:pPr>
      <w:r>
        <w:rPr>
          <w:rFonts w:hint="eastAsia" w:ascii="宋体" w:hAnsi="宋体" w:eastAsia="宋体" w:cs="宋体"/>
          <w:b/>
          <w:spacing w:val="11"/>
          <w:sz w:val="28"/>
          <w:szCs w:val="28"/>
        </w:rPr>
        <w:t xml:space="preserve">采购方：</w:t>
      </w:r>
      <w:r>
        <w:rPr>
          <w:rFonts w:hint="eastAsia" w:ascii="宋体" w:hAnsi="宋体" w:eastAsia="宋体" w:cs="宋体"/>
          <w:color w:val="000000"/>
          <w:spacing w:val="11"/>
          <w:sz w:val="28"/>
          <w:szCs w:val="28"/>
        </w:rPr>
        <w:t xml:space="preserve">兴化市卫生健康委员会</w:t>
      </w:r>
      <w:r>
        <w:rPr>
          <w:rFonts w:hint="eastAsia" w:ascii="宋体" w:hAnsi="宋体" w:eastAsia="宋体" w:cs="宋体"/>
          <w:spacing w:val="11"/>
          <w:sz w:val="28"/>
          <w:szCs w:val="28"/>
        </w:rPr>
        <w:t xml:space="preserve">（</w:t>
      </w:r>
      <w:r>
        <w:rPr>
          <w:rFonts w:hint="eastAsia" w:ascii="宋体" w:hAnsi="宋体" w:eastAsia="宋体" w:cs="宋体"/>
          <w:bCs/>
          <w:spacing w:val="11"/>
          <w:sz w:val="28"/>
          <w:szCs w:val="28"/>
        </w:rPr>
        <w:t xml:space="preserve">签章）</w:t>
      </w:r>
      <w:r/>
    </w:p>
    <w:p>
      <w:pPr>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t xml:space="preserve">法定代表人或授权代理人：</w:t>
      </w:r>
      <w:r/>
    </w:p>
    <w:p>
      <w:pPr>
        <w:spacing w:line="360" w:lineRule="auto"/>
        <w:rPr>
          <w:rFonts w:hint="eastAsia" w:ascii="宋体" w:hAnsi="宋体" w:eastAsia="宋体" w:cs="宋体"/>
          <w:spacing w:val="11"/>
          <w:sz w:val="28"/>
          <w:szCs w:val="28"/>
        </w:rPr>
      </w:pPr>
      <w:r>
        <w:rPr>
          <w:rFonts w:hint="eastAsia" w:ascii="宋体" w:hAnsi="宋体" w:eastAsia="宋体" w:cs="宋体"/>
          <w:spacing w:val="11"/>
          <w:sz w:val="28"/>
          <w:szCs w:val="28"/>
        </w:rPr>
      </w:r>
      <w:r/>
    </w:p>
    <w:p>
      <w:pPr>
        <w:spacing w:line="360" w:lineRule="auto"/>
        <w:widowControl/>
        <w:rPr>
          <w:rFonts w:hint="eastAsia" w:ascii="宋体" w:hAnsi="宋体" w:eastAsia="宋体" w:cs="宋体"/>
          <w:spacing w:val="11"/>
          <w:sz w:val="28"/>
          <w:szCs w:val="28"/>
        </w:rPr>
      </w:pPr>
      <w:r>
        <w:rPr>
          <w:rFonts w:hint="eastAsia" w:ascii="宋体" w:hAnsi="宋体" w:eastAsia="宋体" w:cs="宋体"/>
          <w:b/>
          <w:spacing w:val="11"/>
          <w:sz w:val="28"/>
          <w:szCs w:val="28"/>
        </w:rPr>
        <w:t xml:space="preserve">供应方：</w:t>
      </w:r>
      <w:r>
        <w:rPr>
          <w:rFonts w:hint="eastAsia" w:ascii="宋体" w:hAnsi="宋体" w:eastAsia="宋体" w:cs="宋体"/>
          <w:spacing w:val="11"/>
          <w:sz w:val="28"/>
          <w:szCs w:val="28"/>
        </w:rPr>
        <w:t xml:space="preserve">（</w:t>
      </w:r>
      <w:r>
        <w:rPr>
          <w:rFonts w:hint="eastAsia" w:ascii="宋体" w:hAnsi="宋体" w:eastAsia="宋体" w:cs="宋体"/>
          <w:bCs/>
          <w:spacing w:val="11"/>
          <w:sz w:val="28"/>
          <w:szCs w:val="28"/>
        </w:rPr>
        <w:t xml:space="preserve">签章）</w:t>
      </w:r>
      <w:r/>
    </w:p>
    <w:p>
      <w:pPr>
        <w:spacing w:line="360" w:lineRule="auto"/>
        <w:rPr>
          <w:rFonts w:hint="eastAsia" w:ascii="宋体" w:hAnsi="宋体" w:eastAsia="宋体" w:cs="宋体"/>
          <w:bCs/>
          <w:spacing w:val="11"/>
          <w:sz w:val="28"/>
          <w:szCs w:val="28"/>
        </w:rPr>
      </w:pPr>
      <w:r>
        <w:rPr>
          <w:rFonts w:hint="eastAsia" w:ascii="宋体" w:hAnsi="宋体" w:eastAsia="宋体" w:cs="宋体"/>
          <w:spacing w:val="11"/>
          <w:sz w:val="28"/>
          <w:szCs w:val="28"/>
        </w:rPr>
        <w:t xml:space="preserve">法定代表人（负责人）或授权代理人</w:t>
      </w:r>
      <w:r>
        <w:rPr>
          <w:rFonts w:hint="eastAsia" w:ascii="宋体" w:hAnsi="宋体" w:eastAsia="宋体" w:cs="宋体"/>
          <w:bCs/>
          <w:spacing w:val="11"/>
          <w:sz w:val="28"/>
          <w:szCs w:val="28"/>
        </w:rPr>
        <w:t xml:space="preserve">：</w:t>
      </w:r>
      <w:r/>
    </w:p>
    <w:p>
      <w:pPr>
        <w:spacing w:line="360" w:lineRule="auto"/>
        <w:rPr>
          <w:rFonts w:hint="eastAsia" w:ascii="宋体" w:hAnsi="宋体" w:eastAsia="宋体" w:cs="宋体"/>
          <w:bCs/>
          <w:spacing w:val="11"/>
          <w:sz w:val="28"/>
          <w:szCs w:val="28"/>
        </w:rPr>
      </w:pPr>
      <w:r>
        <w:rPr>
          <w:rFonts w:hint="eastAsia" w:ascii="宋体" w:hAnsi="宋体" w:eastAsia="宋体" w:cs="宋体"/>
          <w:bCs/>
          <w:spacing w:val="11"/>
          <w:sz w:val="28"/>
          <w:szCs w:val="28"/>
        </w:rPr>
        <w:t xml:space="preserve">时间：    年  月  日</w:t>
      </w:r>
      <w:r/>
    </w:p>
    <w:p>
      <w:pPr>
        <w:spacing w:line="360" w:lineRule="auto"/>
        <w:rPr>
          <w:rFonts w:hint="eastAsia" w:ascii="宋体" w:hAnsi="宋体" w:eastAsia="宋体" w:cs="宋体"/>
          <w:color w:val="000000"/>
          <w:spacing w:val="11"/>
          <w:sz w:val="28"/>
          <w:szCs w:val="28"/>
        </w:rPr>
      </w:pPr>
      <w:r>
        <w:rPr>
          <w:rFonts w:hint="eastAsia" w:ascii="宋体" w:hAnsi="宋体" w:eastAsia="宋体" w:cs="宋体"/>
          <w:spacing w:val="11"/>
          <w:sz w:val="28"/>
          <w:szCs w:val="28"/>
        </w:rPr>
        <w:t xml:space="preserve">签约地点：</w:t>
      </w:r>
      <w:r>
        <w:rPr>
          <w:rFonts w:hint="eastAsia" w:ascii="宋体" w:hAnsi="宋体" w:eastAsia="宋体" w:cs="宋体"/>
          <w:spacing w:val="11"/>
          <w:sz w:val="28"/>
          <w:szCs w:val="28"/>
        </w:rPr>
        <w:br w:type="page" w:clear="all"/>
      </w:r>
      <w:r/>
    </w:p>
    <w:p>
      <w:pPr>
        <w:spacing w:line="360" w:lineRule="auto"/>
        <w:widowControl/>
        <w:rPr>
          <w:rFonts w:hint="eastAsia" w:ascii="宋体" w:hAnsi="宋体" w:eastAsia="宋体" w:cs="宋体"/>
          <w:b/>
          <w:spacing w:val="11"/>
          <w:sz w:val="28"/>
          <w:szCs w:val="28"/>
        </w:rPr>
        <w:outlineLvl w:val="1"/>
      </w:pPr>
      <w:r/>
      <w:bookmarkStart w:id="135" w:name="_Toc16700"/>
      <w:r>
        <w:rPr>
          <w:rFonts w:hint="eastAsia" w:ascii="宋体" w:hAnsi="宋体" w:eastAsia="宋体" w:cs="宋体"/>
          <w:b/>
          <w:spacing w:val="11"/>
          <w:sz w:val="28"/>
          <w:szCs w:val="28"/>
        </w:rPr>
        <w:t xml:space="preserve">附件一：兴化市基层医疗机构相关保险产品保险方案</w:t>
      </w:r>
      <w:bookmarkEnd w:id="135"/>
      <w:r/>
      <w:r/>
    </w:p>
    <w:p>
      <w:pPr>
        <w:ind w:firstLine="606"/>
        <w:spacing w:before="100" w:beforeAutospacing="1" w:after="100" w:afterAutospacing="1" w:line="52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兴化市基层医疗机构医疗责任保险产品保险方案</w:t>
      </w:r>
      <w:r/>
    </w:p>
    <w:p>
      <w:pPr>
        <w:ind w:firstLine="606"/>
        <w:jc w:val="center"/>
        <w:spacing w:line="360" w:lineRule="auto"/>
        <w:rPr>
          <w:rFonts w:hint="eastAsia" w:ascii="宋体" w:hAnsi="宋体" w:eastAsia="宋体" w:cs="宋体"/>
          <w:spacing w:val="11"/>
          <w:sz w:val="28"/>
          <w:szCs w:val="28"/>
        </w:rPr>
      </w:pPr>
      <w:r>
        <w:rPr>
          <w:rFonts w:hint="eastAsia" w:ascii="宋体" w:hAnsi="宋体" w:eastAsia="宋体" w:cs="宋体"/>
          <w:b/>
          <w:spacing w:val="11"/>
          <w:sz w:val="28"/>
          <w:szCs w:val="28"/>
        </w:rPr>
        <w:t xml:space="preserve">方案明细表</w:t>
      </w:r>
      <w:r/>
    </w:p>
    <w:tbl>
      <w:tblPr>
        <w:tblStyle w:val="792"/>
        <w:tblW w:w="8971" w:type="dxa"/>
        <w:jc w:val="center"/>
        <w:tblLayout w:type="fixed"/>
        <w:tblCellMar>
          <w:left w:w="108" w:type="dxa"/>
          <w:top w:w="0" w:type="dxa"/>
          <w:right w:w="108" w:type="dxa"/>
          <w:bottom w:w="0" w:type="dxa"/>
        </w:tblCellMar>
        <w:tblLook w:val="04A0" w:firstRow="1" w:lastRow="0" w:firstColumn="1" w:lastColumn="0" w:noHBand="0" w:noVBand="1"/>
      </w:tblPr>
      <w:tblGrid>
        <w:gridCol w:w="2418"/>
        <w:gridCol w:w="6553"/>
      </w:tblGrid>
      <w:tr>
        <w:trPr>
          <w:jc w:val="center"/>
        </w:trPr>
        <w:tc>
          <w:tcPr>
            <w:shd w:val="clear" w:color="auto" w:fill="e6e6e6"/>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jc w:val="center"/>
              <w:spacing w:line="360" w:lineRule="auto"/>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项目</w:t>
            </w:r>
            <w:r/>
          </w:p>
        </w:tc>
        <w:tc>
          <w:tcPr>
            <w:shd w:val="clear" w:color="auto" w:fill="e6e6e6"/>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jc w:val="center"/>
              <w:spacing w:line="360" w:lineRule="auto"/>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内容</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8971" w:type="dxa"/>
            <w:vAlign w:val="center"/>
            <w:textDirection w:val="lrTb"/>
            <w:noWrap w:val="false"/>
          </w:tcPr>
          <w:p>
            <w:pPr>
              <w:spacing w:line="360" w:lineRule="auto"/>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1、投保人</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360" w:lineRule="auto"/>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投保人名称：</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360" w:lineRule="auto"/>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待定</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360" w:lineRule="auto"/>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投保人地址：</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360" w:lineRule="auto"/>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待定</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8971" w:type="dxa"/>
            <w:vAlign w:val="center"/>
            <w:textDirection w:val="lrTb"/>
            <w:noWrap w:val="false"/>
          </w:tcPr>
          <w:p>
            <w:pPr>
              <w:spacing w:line="360" w:lineRule="auto"/>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2、被保险人</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被保险人名称：</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依法设立的医疗机构</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被保险人地址：</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医疗机构的注册地址</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3、责任限额：</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spacing w:val="11"/>
                <w:sz w:val="28"/>
                <w:szCs w:val="28"/>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4、免赔额：</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spacing w:val="11"/>
                <w:sz w:val="28"/>
                <w:szCs w:val="28"/>
              </w:rPr>
              <w:t xml:space="preserve">每次事故绝对免赔额1000元或损失金额的5%，两者以高者为准。</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5、保险条款：</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医疗机构医疗责任保险条款；附加医疗机构场所责任保险；附加医疗产品损害责任保险；附加外聘专家医疗责任保险条款</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6、保险期间：</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共12个月</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7、承保基础：</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期内索赔式</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8、追溯期：</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本保单无追溯期</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9、司法管辖：</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中华人民共和国司法管辖（不包括港、澳、台地区法律）</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10、保险费计算公式：</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spacing w:line="400" w:lineRule="exact"/>
              <w:widowControl/>
              <w:rPr>
                <w:rFonts w:hint="eastAsia" w:ascii="宋体" w:hAnsi="宋体" w:eastAsia="宋体" w:cs="宋体"/>
                <w:b/>
                <w:bCs/>
                <w:spacing w:val="11"/>
                <w:sz w:val="28"/>
                <w:szCs w:val="28"/>
              </w:rPr>
            </w:pPr>
            <w:r>
              <w:rPr>
                <w:rFonts w:hint="eastAsia" w:ascii="宋体" w:hAnsi="宋体" w:eastAsia="宋体" w:cs="宋体"/>
                <w:b/>
                <w:bCs/>
                <w:spacing w:val="11"/>
                <w:sz w:val="28"/>
                <w:szCs w:val="28"/>
              </w:rPr>
              <w:t xml:space="preserve">11、保费支付：</w:t>
            </w:r>
            <w:r/>
          </w:p>
        </w:tc>
        <w:tc>
          <w:tcPr>
            <w:tcBorders>
              <w:top w:val="single" w:color="000000" w:sz="4" w:space="0"/>
              <w:left w:val="none" w:color="000000" w:sz="4" w:space="0"/>
              <w:bottom w:val="single" w:color="000000" w:sz="4" w:space="0"/>
              <w:right w:val="single" w:color="000000" w:sz="4" w:space="0"/>
            </w:tcBorders>
            <w:tcW w:w="6553" w:type="dxa"/>
            <w:vAlign w:val="center"/>
            <w:textDirection w:val="lrTb"/>
            <w:noWrap w:val="false"/>
          </w:tcPr>
          <w:p>
            <w:pPr>
              <w:spacing w:line="400" w:lineRule="exact"/>
              <w:widowControl/>
              <w:rPr>
                <w:rFonts w:hint="eastAsia" w:ascii="宋体" w:hAnsi="宋体" w:eastAsia="宋体" w:cs="宋体"/>
                <w:spacing w:val="11"/>
                <w:sz w:val="28"/>
                <w:szCs w:val="28"/>
              </w:rPr>
            </w:pPr>
            <w:r>
              <w:rPr>
                <w:rFonts w:hint="eastAsia" w:ascii="宋体" w:hAnsi="宋体" w:eastAsia="宋体" w:cs="宋体"/>
                <w:spacing w:val="11"/>
                <w:sz w:val="28"/>
                <w:szCs w:val="28"/>
              </w:rPr>
              <w:t xml:space="preserve">见费出单</w:t>
            </w:r>
            <w:r/>
          </w:p>
        </w:tc>
      </w:tr>
    </w:tbl>
    <w:p>
      <w:pPr>
        <w:jc w:val="center"/>
        <w:rPr>
          <w:rFonts w:hint="eastAsia" w:ascii="宋体" w:hAnsi="宋体" w:eastAsia="宋体" w:cs="宋体"/>
          <w:spacing w:val="11"/>
          <w:sz w:val="28"/>
          <w:szCs w:val="28"/>
        </w:rPr>
      </w:pPr>
      <w:r>
        <w:rPr>
          <w:rFonts w:hint="eastAsia" w:ascii="宋体" w:hAnsi="宋体" w:eastAsia="宋体" w:cs="宋体"/>
          <w:spacing w:val="11"/>
          <w:sz w:val="28"/>
          <w:szCs w:val="28"/>
        </w:rPr>
        <w:br w:type="page" w:clear="all"/>
      </w:r>
      <w:r/>
    </w:p>
    <w:p>
      <w:pPr>
        <w:rPr>
          <w:rFonts w:hint="eastAsia" w:ascii="宋体" w:hAnsi="宋体" w:eastAsia="宋体" w:cs="宋体"/>
          <w:spacing w:val="11"/>
          <w:sz w:val="28"/>
          <w:szCs w:val="28"/>
        </w:rPr>
      </w:pPr>
      <w:r>
        <w:rPr>
          <w:rFonts w:hint="eastAsia" w:ascii="宋体" w:hAnsi="宋体" w:eastAsia="宋体" w:cs="宋体"/>
          <w:b/>
          <w:spacing w:val="11"/>
          <w:sz w:val="28"/>
          <w:szCs w:val="28"/>
        </w:rPr>
        <w:t xml:space="preserve">附件</w:t>
      </w:r>
      <w:r>
        <w:rPr>
          <w:rFonts w:hint="eastAsia" w:ascii="宋体" w:hAnsi="宋体" w:cs="宋体"/>
          <w:b/>
          <w:spacing w:val="11"/>
          <w:sz w:val="28"/>
          <w:szCs w:val="28"/>
          <w:lang w:val="en-US" w:eastAsia="zh-CN"/>
        </w:rPr>
        <w:t xml:space="preserve">二</w:t>
      </w:r>
      <w:r>
        <w:rPr>
          <w:rFonts w:hint="eastAsia" w:ascii="宋体" w:hAnsi="宋体" w:eastAsia="宋体" w:cs="宋体"/>
          <w:b/>
          <w:spacing w:val="11"/>
          <w:sz w:val="28"/>
          <w:szCs w:val="28"/>
        </w:rPr>
        <w:t xml:space="preserve">：考评内容</w:t>
      </w:r>
      <w:r/>
    </w:p>
    <w:p>
      <w:pPr>
        <w:spacing w:line="5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2026年医疗责任保险项目考评，考评工作由兴化市卫生健康委员会组织人员进行，具体内容如下：</w:t>
      </w:r>
      <w:r/>
    </w:p>
    <w:p>
      <w:pPr>
        <w:spacing w:line="5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一、服务考核条款（100分）</w:t>
      </w:r>
      <w:r/>
    </w:p>
    <w:p>
      <w:pPr>
        <w:ind w:firstLine="480"/>
        <w:spacing w:line="5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有专门的工作团队（20分），其中应有健全的组织框架（10分），有明确的岗位职责（5分）和各项管理制度（5分）。本项无专门工作团队不得分，组织机构不清晰扣2分，岗位职责不明确扣2分，管理制度缺1项扣2分。</w:t>
      </w:r>
      <w:r/>
    </w:p>
    <w:p>
      <w:pPr>
        <w:ind w:firstLine="480"/>
        <w:spacing w:line="5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bookmarkStart w:id="136" w:name="OLE_LINK21"/>
      <w:r/>
      <w:bookmarkStart w:id="137" w:name="OLE_LINK20"/>
      <w:r>
        <w:rPr>
          <w:rFonts w:hint="eastAsia" w:ascii="宋体" w:hAnsi="宋体" w:eastAsia="宋体" w:cs="宋体"/>
          <w:color w:val="000000" w:themeColor="text1"/>
          <w:sz w:val="28"/>
          <w:szCs w:val="28"/>
          <w14:textFill>
            <w14:solidFill>
              <w14:schemeClr w14:val="tx1"/>
            </w14:solidFill>
          </w14:textFill>
        </w:rPr>
        <w:t xml:space="preserve">应明确1名经理具体负责医疗责任保险及保险服务的日常管理、统筹协调，确保工作的正常开展（5分）。无具体负责人不得分。</w:t>
      </w:r>
      <w:bookmarkEnd w:id="136"/>
      <w:r/>
      <w:bookmarkEnd w:id="137"/>
      <w:r/>
      <w:r/>
    </w:p>
    <w:p>
      <w:pPr>
        <w:ind w:firstLine="480"/>
        <w:spacing w:line="5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3、应有固定的办公地点及确保工作正常开展的相关设施（15分）。无固定办公地点不得分。</w:t>
      </w:r>
      <w:r/>
    </w:p>
    <w:p>
      <w:pPr>
        <w:ind w:firstLine="480"/>
        <w:spacing w:line="5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4、除负责人外，至少应配备具有专业能力和沟通协调能力的服务人员1人（15分）,其中至少1人有医学专业背景。如无医学专业背景人员扣15分，除外每缺少1名服务人员扣3分。</w:t>
      </w:r>
      <w:r/>
    </w:p>
    <w:p>
      <w:pPr>
        <w:ind w:firstLine="480"/>
        <w:spacing w:line="580" w:lineRule="exact"/>
        <w:rPr>
          <w:rFonts w:hint="eastAsia" w:ascii="宋体" w:hAnsi="宋体" w:eastAsia="宋体" w:cs="宋体"/>
          <w:b/>
          <w:color w:val="000000" w:themeColor="text1"/>
          <w:sz w:val="28"/>
          <w:szCs w:val="28"/>
          <w14:textFill>
            <w14:solidFill>
              <w14:schemeClr w14:val="tx1"/>
            </w14:solidFill>
          </w14:textFill>
        </w:rPr>
      </w:pPr>
      <w:r/>
      <w:bookmarkStart w:id="138" w:name="OLE_LINK27"/>
      <w:r>
        <w:rPr>
          <w:rFonts w:hint="eastAsia" w:ascii="宋体" w:hAnsi="宋体" w:eastAsia="宋体" w:cs="宋体"/>
          <w:color w:val="000000" w:themeColor="text1"/>
          <w:sz w:val="28"/>
          <w:szCs w:val="28"/>
          <w14:textFill>
            <w14:solidFill>
              <w14:schemeClr w14:val="tx1"/>
            </w14:solidFill>
          </w14:textFill>
        </w:rPr>
        <w:t xml:space="preserve">5、有专人指导并主动做好保险承保及理赔服务工作（5分）。发生投诉或提出意见每次扣2分。</w:t>
      </w:r>
      <w:bookmarkEnd w:id="138"/>
      <w:r/>
      <w:r/>
    </w:p>
    <w:p>
      <w:pPr>
        <w:ind w:firstLine="480"/>
        <w:spacing w:line="580" w:lineRule="exact"/>
        <w:rPr>
          <w:rFonts w:hint="eastAsia" w:ascii="宋体" w:hAnsi="宋体" w:eastAsia="宋体" w:cs="宋体"/>
          <w:b/>
          <w:color w:val="000000" w:themeColor="text1"/>
          <w:sz w:val="28"/>
          <w:szCs w:val="28"/>
          <w14:textFill>
            <w14:solidFill>
              <w14:schemeClr w14:val="tx1"/>
            </w14:solidFill>
          </w14:textFill>
        </w:rPr>
      </w:pPr>
      <w:r/>
      <w:bookmarkStart w:id="139" w:name="OLE_LINK28"/>
      <w:r>
        <w:rPr>
          <w:rFonts w:hint="eastAsia" w:ascii="宋体" w:hAnsi="宋体" w:eastAsia="宋体" w:cs="宋体"/>
          <w:color w:val="000000" w:themeColor="text1"/>
          <w:sz w:val="28"/>
          <w:szCs w:val="28"/>
          <w14:textFill>
            <w14:solidFill>
              <w14:schemeClr w14:val="tx1"/>
            </w14:solidFill>
          </w14:textFill>
        </w:rPr>
        <w:t xml:space="preserve">6、接报案处理及时，并及时参与现场调处（20分）。需现场调处而未及时出现场每次扣4分。</w:t>
      </w:r>
      <w:bookmarkEnd w:id="139"/>
      <w:r/>
      <w:r/>
    </w:p>
    <w:p>
      <w:pPr>
        <w:ind w:firstLine="480"/>
        <w:spacing w:line="5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7、协助调解工作态度积极，调处受理率应达100%（10分）。每发生1次投诉扣2分，受理率每降低1%扣1分。</w:t>
      </w:r>
      <w:r/>
    </w:p>
    <w:p>
      <w:pPr>
        <w:ind w:firstLine="480"/>
        <w:spacing w:line="5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8、积极配合参保医疗机构开展保险培训及风险防范工作（10分）。发生投诉或提出意见每次扣2分。</w:t>
      </w:r>
      <w:r/>
    </w:p>
    <w:p>
      <w:pPr>
        <w:spacing w:line="58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二、考核实施</w:t>
      </w:r>
      <w:r/>
    </w:p>
    <w:p>
      <w:pPr>
        <w:ind w:firstLine="480"/>
        <w:spacing w:line="5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1、每期保单终止前30天，由兴化市卫生健康委员会组织考评人员按考核标准对承保机构的医疗责任保险及保险服务进行考核，考核分≥80分，可参加下一年度招投标，低于80分的，视为不合格，本服务项目终止。</w:t>
      </w:r>
      <w:r/>
    </w:p>
    <w:p>
      <w:pPr>
        <w:rPr>
          <w:rFonts w:hint="eastAsia" w:ascii="宋体" w:hAnsi="宋体" w:eastAsia="宋体" w:cs="宋体"/>
          <w:spacing w:val="11"/>
          <w:sz w:val="28"/>
          <w:szCs w:val="28"/>
        </w:rPr>
      </w:pPr>
      <w:r>
        <w:rPr>
          <w:rFonts w:hint="eastAsia" w:ascii="宋体" w:hAnsi="宋体" w:eastAsia="宋体" w:cs="宋体"/>
          <w:spacing w:val="11"/>
          <w:sz w:val="28"/>
          <w:szCs w:val="28"/>
        </w:rPr>
      </w:r>
      <w:r/>
    </w:p>
    <w:p>
      <w:pPr>
        <w:rPr>
          <w:rFonts w:hint="eastAsia" w:ascii="宋体" w:hAnsi="宋体" w:eastAsia="宋体" w:cs="宋体"/>
          <w:spacing w:val="11"/>
          <w:sz w:val="28"/>
          <w:szCs w:val="28"/>
        </w:rPr>
      </w:pPr>
      <w:r>
        <w:rPr>
          <w:rFonts w:hint="eastAsia" w:ascii="宋体" w:hAnsi="宋体" w:eastAsia="宋体" w:cs="宋体"/>
          <w:spacing w:val="11"/>
          <w:sz w:val="28"/>
          <w:szCs w:val="28"/>
        </w:rPr>
      </w:r>
      <w:r/>
    </w:p>
    <w:p>
      <w:pPr>
        <w:rPr>
          <w:rFonts w:hint="eastAsia" w:ascii="宋体" w:hAnsi="宋体" w:eastAsia="宋体" w:cs="宋体"/>
          <w:spacing w:val="11"/>
          <w:sz w:val="28"/>
          <w:szCs w:val="28"/>
        </w:rPr>
      </w:pPr>
      <w:r>
        <w:rPr>
          <w:rFonts w:hint="eastAsia" w:ascii="宋体" w:hAnsi="宋体" w:eastAsia="宋体" w:cs="宋体"/>
          <w:spacing w:val="11"/>
          <w:sz w:val="28"/>
          <w:szCs w:val="28"/>
        </w:rPr>
      </w:r>
      <w:r/>
    </w:p>
    <w:p>
      <w:pPr>
        <w:rPr>
          <w:rFonts w:hint="eastAsia" w:ascii="宋体" w:hAnsi="宋体" w:eastAsia="宋体" w:cs="宋体"/>
          <w:spacing w:val="11"/>
          <w:sz w:val="28"/>
          <w:szCs w:val="28"/>
        </w:rPr>
      </w:pPr>
      <w:r>
        <w:rPr>
          <w:rFonts w:hint="eastAsia" w:ascii="宋体" w:hAnsi="宋体" w:eastAsia="宋体" w:cs="宋体"/>
          <w:spacing w:val="11"/>
          <w:sz w:val="28"/>
          <w:szCs w:val="28"/>
        </w:rPr>
      </w:r>
      <w:r/>
    </w:p>
    <w:p>
      <w:pPr>
        <w:rPr>
          <w:rFonts w:hint="eastAsia" w:ascii="宋体" w:hAnsi="宋体" w:eastAsia="宋体" w:cs="宋体"/>
          <w:spacing w:val="11"/>
          <w:sz w:val="28"/>
          <w:szCs w:val="28"/>
        </w:rPr>
      </w:pPr>
      <w:r>
        <w:rPr>
          <w:rFonts w:hint="eastAsia" w:ascii="宋体" w:hAnsi="宋体" w:eastAsia="宋体" w:cs="宋体"/>
          <w:spacing w:val="11"/>
          <w:sz w:val="28"/>
          <w:szCs w:val="28"/>
        </w:rPr>
      </w:r>
      <w:r/>
    </w:p>
    <w:p>
      <w:pPr>
        <w:jc w:val="center"/>
        <w:rPr>
          <w:rFonts w:hint="eastAsia" w:ascii="宋体" w:hAnsi="宋体" w:eastAsia="宋体" w:cs="宋体"/>
          <w:spacing w:val="11"/>
          <w:sz w:val="28"/>
          <w:szCs w:val="28"/>
        </w:rPr>
      </w:pPr>
      <w:r>
        <w:rPr>
          <w:rFonts w:hint="eastAsia" w:ascii="宋体" w:hAnsi="宋体" w:eastAsia="宋体" w:cs="宋体"/>
          <w:spacing w:val="11"/>
          <w:sz w:val="28"/>
          <w:szCs w:val="28"/>
        </w:rPr>
      </w:r>
      <w:r/>
    </w:p>
    <w:p>
      <w:pPr>
        <w:jc w:val="center"/>
        <w:rPr>
          <w:rFonts w:hint="eastAsia" w:ascii="宋体" w:hAnsi="宋体" w:eastAsia="宋体" w:cs="宋体"/>
          <w:b/>
          <w:bCs/>
          <w:spacing w:val="11"/>
          <w:sz w:val="28"/>
          <w:szCs w:val="28"/>
        </w:rPr>
      </w:pPr>
      <w:r>
        <w:rPr>
          <w:rFonts w:hint="eastAsia" w:ascii="宋体" w:hAnsi="宋体" w:eastAsia="宋体" w:cs="宋体"/>
          <w:b/>
          <w:bCs/>
          <w:spacing w:val="11"/>
          <w:sz w:val="28"/>
          <w:szCs w:val="28"/>
        </w:rPr>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医疗机构医疗责任保险条款</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总则</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第一条 </w:t>
      </w:r>
      <w:r>
        <w:rPr>
          <w:rFonts w:hint="eastAsia" w:ascii="宋体" w:hAnsi="宋体" w:eastAsia="宋体" w:cs="宋体"/>
          <w:sz w:val="28"/>
          <w:szCs w:val="28"/>
        </w:rPr>
        <w:t xml:space="preserve">本保险合同由保险条款、投保单、保险单以及批单组成。凡涉及本保险合同的约定，均应采用书面形式。</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第二条 </w:t>
      </w:r>
      <w:r>
        <w:rPr>
          <w:rFonts w:hint="eastAsia" w:ascii="宋体" w:hAnsi="宋体" w:eastAsia="宋体" w:cs="宋体"/>
          <w:sz w:val="28"/>
          <w:szCs w:val="28"/>
        </w:rPr>
        <w:t xml:space="preserve">凡依法设立的医疗机构均可作为本保险合同的被保险人。</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保险责任</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第三条 </w:t>
      </w:r>
      <w:r>
        <w:rPr>
          <w:rFonts w:hint="eastAsia" w:ascii="宋体" w:hAnsi="宋体" w:eastAsia="宋体" w:cs="宋体"/>
          <w:sz w:val="28"/>
          <w:szCs w:val="28"/>
        </w:rPr>
        <w:t xml:space="preserve">在保险单中列明的保险期间或者追溯期内，被保险人或者其医务人员在从事与其资格相符的诊疗活动中，发生下列情形，患者或者其近亲属或者其代理人（以下简称患方）在保险期间内或者发现期内首次向被保险人提出人身损害赔偿请求，依照中华人民共和国法律（不包括香港、澳门、台湾地区法律，下同）应由被保险人承担的经济赔偿责任，保险人按照本保险合同的约定负责赔偿：</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（一）患者在诊疗活动中受到损害，被保险人或者其医务人员有过错的；</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（二）医务人员有下列情形，造成患者损害的：</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医务人员在诊疗活动中未向患者或者其近亲属说明病情和医疗措施的；需要实施手术、特殊检查、特殊治疗，医务人员未及时向患者或者其近亲属具体说明医疗风险、替代医疗方案等情况并取得其明确同意的；</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（三）医务人员在诊疗活动中未尽到与当时的医疗水平相应的诊疗义务，造成患者损害的。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第四条 </w:t>
      </w:r>
      <w:r>
        <w:rPr>
          <w:rFonts w:hint="eastAsia" w:ascii="宋体" w:hAnsi="宋体" w:eastAsia="宋体" w:cs="宋体"/>
          <w:sz w:val="28"/>
          <w:szCs w:val="28"/>
        </w:rPr>
        <w:t xml:space="preserve">发生可能引起本保险合同项下赔偿的情形时，被保险人被提起诉讼或者仲裁，对应由被保险人支付的诉讼费用或者仲裁费用，以及事先经保险人书面同意支付的合理的、必要的鉴定费、取证费、评估费、公证费、律师费及其他法律费用等（以下简称法律费用），保险人按照本保险合同的约定负责赔偿。</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责任免除</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第五条 下列原因造成的损失、费用和责任，保险人不负责赔偿：</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（一）被保险人的故意行为</w:t>
      </w:r>
      <w:r>
        <w:rPr>
          <w:rFonts w:hint="eastAsia" w:ascii="宋体" w:hAnsi="宋体" w:eastAsia="宋体" w:cs="宋体"/>
          <w:sz w:val="28"/>
          <w:szCs w:val="28"/>
        </w:rPr>
        <w:t xml:space="preserve">，但被保险人或者其医务人员在紧急情况下对患者实施的符合相关诊疗规范的约束、隔离等保护性医疗措施不在此限；</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（二）战争、敌对行为、军事行动、武装冲突、恐怖活动、罢工、骚乱、暴动、盗窃、抢劫；</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（三）核反应、核子辐射和放射性污染</w:t>
      </w:r>
      <w:r>
        <w:rPr>
          <w:rFonts w:hint="eastAsia" w:ascii="宋体" w:hAnsi="宋体" w:eastAsia="宋体" w:cs="宋体"/>
          <w:sz w:val="28"/>
          <w:szCs w:val="28"/>
        </w:rPr>
        <w:t xml:space="preserve">，但被保险人或者其医务人员使用放射器材、放射性药物进行治疗的不在此限</w:t>
      </w:r>
      <w:r>
        <w:rPr>
          <w:rFonts w:hint="eastAsia" w:ascii="宋体" w:hAnsi="宋体" w:eastAsia="宋体" w:cs="宋体"/>
          <w:b/>
          <w:bCs/>
          <w:sz w:val="28"/>
          <w:szCs w:val="28"/>
        </w:rPr>
        <w:t xml:space="preserve">；</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（四）地震、雷击、暴雨、洪水等自然灾害；</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（五）火灾、爆炸等非诊疗活动为直接原因产生的意外事故。</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第六条 下列情形造成的损失、费用和责任，保险人不负责赔偿：</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（一）被保险人或者其医务人员从事与其资格不符的诊疗活动或者未经国家有关部门认定合格的被保险人的医务人员进行诊疗活动的；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（二）被保险人或者其医务人员从事未经国家有关部门许可的诊疗活动的；</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（三）被保险人或者其医务人员被吊销执业许可证或者被取消执业资格后以及受停业、停职处分期间仍继续进行诊疗活动的；</w:t>
      </w:r>
      <w:r/>
    </w:p>
    <w:p>
      <w:pPr>
        <w:ind w:firstLine="56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（四）被保险人或其医务人员使用伪劣药品、医疗器械或输入不合格血液的；</w:t>
      </w:r>
      <w:r/>
    </w:p>
    <w:p>
      <w:pPr>
        <w:ind w:firstLine="562"/>
        <w:spacing w:line="360" w:lineRule="auto"/>
        <w:widowControl/>
        <w:rPr>
          <w:rFonts w:hint="eastAsia" w:ascii="宋体" w:hAnsi="宋体" w:eastAsia="宋体" w:cs="宋体"/>
          <w:b/>
          <w:bCs/>
          <w:sz w:val="28"/>
          <w:szCs w:val="28"/>
        </w:rPr>
      </w:pPr>
      <w:r>
        <w:rPr>
          <w:rFonts w:hint="eastAsia" w:ascii="宋体" w:hAnsi="宋体" w:eastAsia="宋体" w:cs="宋体"/>
          <w:b/>
          <w:color w:val="000000"/>
          <w:sz w:val="28"/>
          <w:szCs w:val="28"/>
        </w:rPr>
        <w:t xml:space="preserve">（五）被保险人或其医务人员使用未经国家有关部门批准使用的药品、消毒产品和医疗器械</w:t>
      </w:r>
      <w:r>
        <w:rPr>
          <w:rFonts w:hint="eastAsia" w:ascii="宋体" w:hAnsi="宋体" w:eastAsia="宋体" w:cs="宋体"/>
          <w:b/>
          <w:bCs/>
          <w:sz w:val="28"/>
          <w:szCs w:val="28"/>
        </w:rPr>
        <w:t xml:space="preserve">或者未使用卫生行政部门指定血站提供的血液的；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（六）被保险人的医务人员受酒精、毒品、管制药物的影响的状态下进行诊疗活动的；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（七）被保险人或者其医务人员在正当的诊断、治疗范围外使用麻醉药品、医疗用毒性药品、精神药品和放射性药品的；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（八）被保险人或者其医务人员进行不以治疗为目的的医疗美容诊疗活动的；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（九）被保险人或者其医务人员从事临床试验活动的；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（十）患者或者其近亲属不配合被保险人进行符合诊疗规范的诊疗，造成患者人身损害，且被保险人或者其医务人员没有过错的；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（十一）被保险人的医务人员在其他医疗机构进行诊疗活动的；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（十二）因被保险人的公共设施存在缺陷，或者被保险人或者其雇员对医疗机构内的公共设施管理不善或者操作、维护不当，或者被保险人提供的食品引发食物中毒或者其他食源性疾病的。</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第七条 下列损失、费用和责任，保险人也不负责赔偿：</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（一）被保险人的医务人员人身损害</w:t>
      </w:r>
      <w:r>
        <w:rPr>
          <w:rFonts w:hint="eastAsia" w:ascii="宋体" w:hAnsi="宋体" w:eastAsia="宋体" w:cs="宋体"/>
          <w:sz w:val="28"/>
          <w:szCs w:val="28"/>
        </w:rPr>
        <w:t xml:space="preserve">，但其以患者身份接受诊疗时受到人身损害的不在此限；</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（二）被保险人应当承担的合同责任，</w:t>
      </w:r>
      <w:r>
        <w:rPr>
          <w:rFonts w:hint="eastAsia" w:ascii="宋体" w:hAnsi="宋体" w:eastAsia="宋体" w:cs="宋体"/>
          <w:sz w:val="28"/>
          <w:szCs w:val="28"/>
        </w:rPr>
        <w:t xml:space="preserve">但无合同存在时被保险人依法仍应承担的经济赔偿责任不在此限；</w:t>
      </w:r>
      <w:r/>
    </w:p>
    <w:p>
      <w:pPr>
        <w:ind w:firstLine="562"/>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（三）任何财产损失；</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（四）罚款、罚金或者惩罚性赔款；</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（五）应由患方承担的相关费用；</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（六）保险单中载明的应由被保险人自行承担的免赔额。</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责任限额与免赔额（率）</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第八条 </w:t>
      </w:r>
      <w:r>
        <w:rPr>
          <w:rFonts w:hint="eastAsia" w:ascii="宋体" w:hAnsi="宋体" w:eastAsia="宋体" w:cs="宋体"/>
          <w:sz w:val="28"/>
          <w:szCs w:val="28"/>
        </w:rPr>
        <w:t xml:space="preserve">除另有约定外，责任限额包括累计责任限额、每次事故责任限额、每次事故每位患者责任限额、每次事故每位患者施救费用责任限额、每次事故法律费用责任限额、累计法律费用责任限额。责任限额由投保人与保险人协商确定，并在保险合同中列明。</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第九条 </w:t>
      </w:r>
      <w:r>
        <w:rPr>
          <w:rFonts w:hint="eastAsia" w:ascii="宋体" w:hAnsi="宋体" w:eastAsia="宋体" w:cs="宋体"/>
          <w:sz w:val="28"/>
          <w:szCs w:val="28"/>
        </w:rPr>
        <w:t xml:space="preserve">免赔额（率）由投保人与保险人在签订保险合同时协商确定，并在保险合同中载明。</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保险期间</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第十条 </w:t>
      </w:r>
      <w:r>
        <w:rPr>
          <w:rFonts w:hint="eastAsia" w:ascii="宋体" w:hAnsi="宋体" w:eastAsia="宋体" w:cs="宋体"/>
          <w:sz w:val="28"/>
          <w:szCs w:val="28"/>
        </w:rPr>
        <w:t xml:space="preserve">除另有约定外，保险期间为一年，以保险单列明的起讫时间为准。</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保险人义务</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第十一条 </w:t>
      </w:r>
      <w:r>
        <w:rPr>
          <w:rFonts w:hint="eastAsia" w:ascii="宋体" w:hAnsi="宋体" w:eastAsia="宋体" w:cs="宋体"/>
          <w:sz w:val="28"/>
          <w:szCs w:val="28"/>
        </w:rPr>
        <w:t xml:space="preserve">本保险合同成立后，保险人应当及时向投保人签发保险单或者其他保险凭证。</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第十二条 </w:t>
      </w:r>
      <w:r>
        <w:rPr>
          <w:rFonts w:hint="eastAsia" w:ascii="宋体" w:hAnsi="宋体" w:eastAsia="宋体" w:cs="宋体"/>
          <w:sz w:val="28"/>
          <w:szCs w:val="28"/>
        </w:rPr>
        <w:t xml:space="preserve">保险事故发生后，被保险人提供的有关索赔的证明和资料不完整的，保险人应当及时一次性通知投保人、被保险人补充提供。</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第十三条 </w:t>
      </w:r>
      <w:r>
        <w:rPr>
          <w:rFonts w:hint="eastAsia" w:ascii="宋体" w:hAnsi="宋体" w:eastAsia="宋体" w:cs="宋体"/>
          <w:sz w:val="28"/>
          <w:szCs w:val="28"/>
        </w:rPr>
        <w:t xml:space="preserve">保险人收到被保险人的赔偿请求后，应当及时做出核定，并将核定结果通知被保险人。情形复杂的，应当在三十日内做出核定并通知被保险人，对于属于保险责任的，在与被保险人达成有关赔偿金额的协议后十日内，履行赔偿义务。</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保险人按照前款的规定做出核定后，对不属于保险责任的，应当自做出核定之日起三日内向被保险人发出拒绝赔偿保险金通知书，并说明理由。</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第十四条 </w:t>
      </w:r>
      <w:r>
        <w:rPr>
          <w:rFonts w:hint="eastAsia" w:ascii="宋体" w:hAnsi="宋体" w:eastAsia="宋体" w:cs="宋体"/>
          <w:sz w:val="28"/>
          <w:szCs w:val="28"/>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第十五条</w:t>
      </w:r>
      <w:r>
        <w:rPr>
          <w:rFonts w:hint="eastAsia" w:ascii="宋体" w:hAnsi="宋体" w:eastAsia="宋体" w:cs="宋体"/>
          <w:sz w:val="28"/>
          <w:szCs w:val="28"/>
        </w:rPr>
        <w:t xml:space="preserve"> 被保险人给患者造成损害，被保险人对患者应负的赔偿责任确定的，根据被保险人的请求，保险人应当直接向患者及其他赔偿权利人支付赔款。</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被保险人怠于提出索赔的，患者及其他赔偿权利人有权根据本保险合同就其应获赔偿部分直接向保险人请求赔偿保险金。</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被保险人给患者造成损害，被保险人未向该患者及其他赔偿权利人赔偿的，保险人不得向被保险人赔偿保险金。</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投保人/被保险人义务</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第十六条 </w:t>
      </w:r>
      <w:r>
        <w:rPr>
          <w:rFonts w:hint="eastAsia" w:ascii="宋体" w:hAnsi="宋体" w:eastAsia="宋体" w:cs="宋体"/>
          <w:sz w:val="28"/>
          <w:szCs w:val="28"/>
        </w:rPr>
        <w:t xml:space="preserve">订立保险合同，保险人就保险标的或者被保险人的有关情况提出询问的，投保人应当如实告知，并如实填写投保单。</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投保人故意或者因重大过失未履行前款规定的如实告知义务，足以影响保险人决定是否同意承保或者提高保险费率的，保险人有权解除保险合同。</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前款规定的合同解除权，自保险人知道有解除事由之日起，超过三十日不行使而消灭。发生保险事故的，保险人应当承担赔偿保险金的责任。</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投保人故意不履行如实告知义务的，保险人对于合同解除前发生的保险事故，不承担赔偿保险金的责任，并不退还保险费。</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投保人因重大过失未履行如实告知义务，对保险事故的发生有严重影响的，保险人对于合同解除前发生的保险事故，不承担赔偿保险金的责任，但应当退还保险费。</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保险人在合同订立时已经知道投保人未如实告知的情况的，保险人不得解除合同；发生保险事故的，保险人应当承担赔偿保险金的责任。</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第十七条 </w:t>
      </w:r>
      <w:r>
        <w:rPr>
          <w:rFonts w:hint="eastAsia" w:ascii="宋体" w:hAnsi="宋体" w:eastAsia="宋体" w:cs="宋体"/>
          <w:sz w:val="28"/>
          <w:szCs w:val="28"/>
        </w:rPr>
        <w:t xml:space="preserve">投保人应按照保险合同的约定缴纳保险费。</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第十八条 </w:t>
      </w:r>
      <w:r>
        <w:rPr>
          <w:rFonts w:hint="eastAsia" w:ascii="宋体" w:hAnsi="宋体" w:eastAsia="宋体" w:cs="宋体"/>
          <w:sz w:val="28"/>
          <w:szCs w:val="28"/>
        </w:rPr>
        <w:t xml:space="preserve">被保险人应遵守《中华人民共和国执业医师法》、《医疗机构管理条例》及其实施细则、《护士条例》以及国家及政府有关部门制定的相关法律、法规及其他规定，加强管理，教育医务人员遵守诊疗规范、常规，恪守医疗服务职业道德，采取合理的预防措施，尽力防止保险事故的发生。</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第十九条 </w:t>
      </w:r>
      <w:r>
        <w:rPr>
          <w:rFonts w:hint="eastAsia" w:ascii="宋体" w:hAnsi="宋体" w:eastAsia="宋体" w:cs="宋体"/>
          <w:sz w:val="28"/>
          <w:szCs w:val="28"/>
        </w:rPr>
        <w:t xml:space="preserve">保险人对被保险人及其医务人员的专业资格、使用药品和医疗器械及其他各项医疗条件进行查验时，被保险人应积极协助并提供保险人需要的用以评估有关风险的详情和资料。但上述查验并不构成保险人对被保险人及其医务人员的专业资格、使用药品和医疗器械及其他各项医疗条件符合相关法律、法规或者规定的确认。保险人将所发现的缺陷或者危险书面告知被保险人后，被保险人应在力所能及，合理限度内及时采取整改措施。</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投保人、被保险人未按照约定履行上述安全义务的，保险人有权要求增加保险费或者解除合同。</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第二十条 </w:t>
      </w:r>
      <w:r>
        <w:rPr>
          <w:rFonts w:hint="eastAsia" w:ascii="宋体" w:hAnsi="宋体" w:eastAsia="宋体" w:cs="宋体"/>
          <w:sz w:val="28"/>
          <w:szCs w:val="28"/>
        </w:rPr>
        <w:t xml:space="preserve">在保险合同有效期内，本合同列明的重要事项如医疗机构类型、医疗机构等级发生变更导致保险标的危险程度显著增加的，被保险人应当及时书面通知保险人，保险人应及时办理批改手续或者调整保险费。</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被保险人未履行前款约定的通知义务的，因保险标的的危险程度显著增加而发生的保险事故，保险人不承担赔偿保险金的责任。</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第二十一条 </w:t>
      </w:r>
      <w:r>
        <w:rPr>
          <w:rFonts w:hint="eastAsia" w:ascii="宋体" w:hAnsi="宋体" w:eastAsia="宋体" w:cs="宋体"/>
          <w:sz w:val="28"/>
          <w:szCs w:val="28"/>
        </w:rPr>
        <w:t xml:space="preserve">保险事故发生时，被保险人应当：</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（一）尽力采取必要的措施，防止或者减少损失；</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二）及时通知医疗纠纷调解组织或者通过医疗责任保险报案专线电话报案，并说明事故发生的原因、经过和损失情况，保险人认可由医疗纠纷调解组织或者医疗责任保险报案专线电话提供的报案信息并视同为及时报案；</w:t>
      </w:r>
      <w:r>
        <w:rPr>
          <w:rFonts w:hint="eastAsia" w:ascii="宋体" w:hAnsi="宋体" w:eastAsia="宋体" w:cs="宋体"/>
          <w:b/>
          <w:bCs/>
          <w:sz w:val="28"/>
          <w:szCs w:val="28"/>
        </w:rPr>
        <w:t xml:space="preserve">故意或者因重大过失未及时通知，致使保险事故的性质、原因、损失程度等难以确定的，保险人对无法确定的部分，不承担赔偿责任，</w:t>
      </w:r>
      <w:r>
        <w:rPr>
          <w:rFonts w:hint="eastAsia" w:ascii="宋体" w:hAnsi="宋体" w:eastAsia="宋体" w:cs="宋体"/>
          <w:sz w:val="28"/>
          <w:szCs w:val="28"/>
        </w:rPr>
        <w:t xml:space="preserve">但保险人通过其他途径已经及时知道或者应当及时知道保险事故发生的除外。</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第二十二条 </w:t>
      </w:r>
      <w:r>
        <w:rPr>
          <w:rFonts w:hint="eastAsia" w:ascii="宋体" w:hAnsi="宋体" w:eastAsia="宋体" w:cs="宋体"/>
          <w:sz w:val="28"/>
          <w:szCs w:val="28"/>
        </w:rPr>
        <w:t xml:space="preserve">发生保险责任范围内的损失，应由有关责任方负责赔偿的，被保险人应行使或者保留向该责任方请求赔偿的权利。</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保险事故发生后，保险人未赔偿保险金之前，被保险人放弃对有关责任方请求赔偿的权利的，保险人不承担赔偿责任。</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保险人向被保险人赔偿保险金后，被保险人未经保险人同意放弃对有关责任方请求赔偿的权利的，该行为无效。</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在保险人向有关责任方行使代位请求赔偿权利时，被保险人应当向保险人提供必要的文件和其所知道的有关情况。</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由于被保险人的故意或者重大过失致使保险人不能行使代位请求赔偿的权利的，保险人可以扣减或者要求返还相应的保险金。</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第二十三条 未经保险人或者医疗纠纷调解组织书面同意，被保险人对患方做出的任何承诺、拒绝、出价、约定、付款或者赔偿，保险人不受其约束。对于被保险人自行承诺或者支付的赔偿金额，保险人有权重新核定，不属于本保险责任范围或者超出责任限额的，保险人不承担赔偿责任。</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第二十四条 </w:t>
      </w:r>
      <w:r>
        <w:rPr>
          <w:rFonts w:hint="eastAsia" w:ascii="宋体" w:hAnsi="宋体" w:eastAsia="宋体" w:cs="宋体"/>
          <w:sz w:val="28"/>
          <w:szCs w:val="28"/>
        </w:rPr>
        <w:t xml:space="preserve">被保险人获悉可能发生诉讼、仲裁时，应及时以书面形式通知保险人；接到人民法院传票或者其他法律文书后，应将其副本及时送交保险人。必要时，经被保险人同意，保险人可以以被保险人的名义处理有关诉讼或者仲裁事宜，被保险人应提供有关文件并给予必要协助。</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对因未及时提供上述通知或者必要协助导致扩大的损失，保险人不承担赔偿责任。</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赔偿处理</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第二十五条 </w:t>
      </w:r>
      <w:r>
        <w:rPr>
          <w:rFonts w:hint="eastAsia" w:ascii="宋体" w:hAnsi="宋体" w:eastAsia="宋体" w:cs="宋体"/>
          <w:sz w:val="28"/>
          <w:szCs w:val="28"/>
        </w:rPr>
        <w:t xml:space="preserve">发生保险事故后，保险人的赔偿金额以按照下列方式之一确定的被保险人的经济赔偿责任为依据：</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（一）在医疗纠纷调解组织主持调解下被保险人与患方达成的调解协议；</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（二）人民法院判决、调解；</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（三）仲裁机构裁决、调解；</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（四）卫生健康行政部门的调解；</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（五）保险人认可的其它方式。</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第二十六条 </w:t>
      </w:r>
      <w:r>
        <w:rPr>
          <w:rFonts w:hint="eastAsia" w:ascii="宋体" w:hAnsi="宋体" w:eastAsia="宋体" w:cs="宋体"/>
          <w:sz w:val="28"/>
          <w:szCs w:val="28"/>
        </w:rPr>
        <w:t xml:space="preserve">被保险人向保险人请求赔偿时，应提交下列单证材料：</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（一）索赔申请书（含事故情况说明）；</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（二）相关医务人员的资格和执业证明、医疗机构与医务人员的关系证明；</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（三）患者病历资料；患者死亡或者残疾的，提供相关机构或者部门出具的死亡证明或者残疾程度证明；</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（四）医疗纠纷调解组织出具的调解协议书、人民法院判决书、人民法院调解书、卫生健康行政部门出具的调解书、仲裁裁决书、仲裁调解书；</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（五）医疗费发票或者可以证明医疗费的其他材料以及依照本保险合同第二十七条应当由被保险人承担的其他费用的证明材料；</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（六）其他被保险人所能提供的与确认保险事故的性质、原因、损失程度等有关的证明和资料。</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第二十七条 </w:t>
      </w:r>
      <w:r>
        <w:rPr>
          <w:rFonts w:hint="eastAsia" w:ascii="宋体" w:hAnsi="宋体" w:eastAsia="宋体" w:cs="宋体"/>
          <w:sz w:val="28"/>
          <w:szCs w:val="28"/>
        </w:rPr>
        <w:t xml:space="preserve">发生本保险合同第三条约定的保险事故，保险人按照法律规定计算下列赔偿项目并结合被保险人的过错程度在本保险合同列明的责任限额内进行赔偿：</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（一）造成人身损害的，包括医疗费、护理费、交通费、营养费、住院伙食补助费等为治疗和康复支出的合理费用，以及因误工减少的收入；</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二）造成残疾的，还包括辅助器具费和残疾赔偿金，残疾等级按照《人体损伤致残程度分级》（最高人民法院、最高人民检察院、公安部、国家安全部、司法部2016年4月18日发布，司法部实施通知文号为司发通〔2016〕48号）确定；</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（三）造成死亡的，还包括赔偿丧葬费和死亡赔偿金。</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第二十八条 </w:t>
      </w:r>
      <w:r>
        <w:rPr>
          <w:rFonts w:hint="eastAsia" w:ascii="宋体" w:hAnsi="宋体" w:eastAsia="宋体" w:cs="宋体"/>
          <w:sz w:val="28"/>
          <w:szCs w:val="28"/>
        </w:rPr>
        <w:t xml:space="preserve">保险人对每次事故的赔偿金额不超过每次事故责任限额；保险人对多次事故的累计赔偿金额不超过累计责任限额。</w:t>
      </w:r>
      <w:r/>
    </w:p>
    <w:p>
      <w:pPr>
        <w:ind w:firstLine="562"/>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第二十九条 </w:t>
      </w:r>
      <w:r>
        <w:rPr>
          <w:rFonts w:hint="eastAsia" w:ascii="宋体" w:hAnsi="宋体" w:eastAsia="宋体" w:cs="宋体"/>
          <w:sz w:val="28"/>
          <w:szCs w:val="28"/>
        </w:rPr>
        <w:t xml:space="preserve">发生保险事故后，保险人对每次事故法律费用赔偿金额在每次事故责任限额之外另行计算，最高不超过每次事故法律费用责任限额，保险人对多次事故的累计法律费用赔偿金额在累计责任限额之外另行计算，最高不超过累计法律费用责任限额。</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第三十条 </w:t>
      </w:r>
      <w:r>
        <w:rPr>
          <w:rFonts w:hint="eastAsia" w:ascii="宋体" w:hAnsi="宋体" w:eastAsia="宋体" w:cs="宋体"/>
          <w:sz w:val="28"/>
          <w:szCs w:val="28"/>
        </w:rPr>
        <w:t xml:space="preserve">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被保险人已经从有关责任方取得赔偿的，保险人赔偿保险金时，可以相应扣减被保险人已从有关责任方取得的赔偿金额。</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第三十一条 </w:t>
      </w:r>
      <w:r>
        <w:rPr>
          <w:rFonts w:hint="eastAsia" w:ascii="宋体" w:hAnsi="宋体" w:eastAsia="宋体" w:cs="宋体"/>
          <w:sz w:val="28"/>
          <w:szCs w:val="28"/>
        </w:rPr>
        <w:t xml:space="preserve">本保险合同保险期间到期时，若投保人未续保，被保险人将自动获得自保险期间到期日第二天起保险合同约定的免费发现期。</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第三十二条 </w:t>
      </w:r>
      <w:r>
        <w:rPr>
          <w:rFonts w:hint="eastAsia" w:ascii="宋体" w:hAnsi="宋体" w:eastAsia="宋体" w:cs="宋体"/>
          <w:sz w:val="28"/>
          <w:szCs w:val="28"/>
        </w:rPr>
        <w:t xml:space="preserve">发生保险事故时，如存在重复保险，则保险人按照本保险合同的责任限额与所有有关保险合同项下的责任限额总和的比例承担赔偿责任。</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第三十三条 </w:t>
      </w:r>
      <w:r>
        <w:rPr>
          <w:rFonts w:hint="eastAsia" w:ascii="宋体" w:hAnsi="宋体" w:eastAsia="宋体" w:cs="宋体"/>
          <w:sz w:val="28"/>
          <w:szCs w:val="28"/>
        </w:rPr>
        <w:t xml:space="preserve">被保险人向保险人请求赔偿保险金的诉讼时效期间为三年，自其知道或者应当知道保险事故发生之日起计算。</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争议处理和法律适用</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第三十四条 </w:t>
      </w:r>
      <w:r>
        <w:rPr>
          <w:rFonts w:hint="eastAsia" w:ascii="宋体" w:hAnsi="宋体" w:eastAsia="宋体" w:cs="宋体"/>
          <w:sz w:val="28"/>
          <w:szCs w:val="28"/>
        </w:rPr>
        <w:t xml:space="preserve">因履行本合同发生的争议，由当事人协商解决。当事人协商不成的，可依法向人民法院起诉。</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第三十五条 </w:t>
      </w:r>
      <w:r>
        <w:rPr>
          <w:rFonts w:hint="eastAsia" w:ascii="宋体" w:hAnsi="宋体" w:eastAsia="宋体" w:cs="宋体"/>
          <w:sz w:val="28"/>
          <w:szCs w:val="28"/>
        </w:rPr>
        <w:t xml:space="preserve">本保险合同的争议处理适用中华人民共和国法律。</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其他事项</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第三十六条 </w:t>
      </w:r>
      <w:r>
        <w:rPr>
          <w:rFonts w:hint="eastAsia" w:ascii="宋体" w:hAnsi="宋体" w:eastAsia="宋体" w:cs="宋体"/>
          <w:sz w:val="28"/>
          <w:szCs w:val="28"/>
        </w:rPr>
        <w:t xml:space="preserve">除本保险合同约定外，本保险合同成立后，保险人不得解除本保险合同。</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第三十七条 </w:t>
      </w:r>
      <w:r>
        <w:rPr>
          <w:rFonts w:hint="eastAsia" w:ascii="宋体" w:hAnsi="宋体" w:eastAsia="宋体" w:cs="宋体"/>
          <w:sz w:val="28"/>
          <w:szCs w:val="28"/>
        </w:rPr>
        <w:t xml:space="preserve">保险责任开始前，投保人或者保险人要求解除保险合同的，保险人应当退还全部保险费。保险责任开始后，投保人要求解除保险合同的，自通知保险人之日起，保险合同解除，保险人应向投保人退还未满期保险费。</w:t>
      </w:r>
      <w:r/>
    </w:p>
    <w:p>
      <w:pPr>
        <w:jc w:val="center"/>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释义</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除非另有约定，本保险合同中有关名词的释义如下：</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1.追溯期：</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是指保险合同中约定的从保险期间起始日向前追溯的一段时间,保险人对该段时间内发生且患方在保险期间或者发现期内首次向被保险人提出人身损害赔偿请求的保险事故按照本保险合同的约定承担赔偿责任。</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2.医务人员：</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是指在被保险医疗机构执业的经过国家有关部门考核、批准或者承认，取得相应资格的各级各类卫生技术人员。在本保险合同中，卫生技术人员也包括医疗管理人员、外聘医务人员、进修生、按照《医学教育临床实践管理暂行规定》(卫办科教发[2008]45号)在临床带教教师或者指导医务人员指导下进行诊疗活动的医学生、试用期医学毕业生。</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3.诊疗活动：</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是指通过各种检查，使用药物、器械及手术等方法，对疾病作出判断和消除疾病、缓解病情、减轻痛苦、改善功能、延长生命、帮助患者恢复健康的活动。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保险合同中诊疗活动同时包括医疗美容诊疗活动、健康体检诊疗活动以及被保险人提供健康教育、预防接种、儿童健康管理、孕产妇健康管理、老年人健康管理、慢性病（高血压、糖尿病）患者健康管理、严重精神障碍患者管理、肺结核患者健康管理、中医药健康管理等基本公共卫生服务活动，其中健康体检是指通过医学手段和方法对受检者进行身体检查，了解受检者健康状况、早期发现疾病线索和健康隐患的诊疗行为。</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4.患者：</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指接受诊疗活动的个人。</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5.特殊检查、特殊治疗：</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是指具有下列情形之一的诊断、治疗活动：</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（一）有一定危险性，可能产生不良后果的检查和治疗；</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（二）由于患者体质特殊或者病情危笃，可能对患者产生不良后果和危险的检查和治疗；</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（三）收费可能对患者造成较大经济负担的检查和治疗。</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6.医疗美容：</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是指运用手术、药物、医疗器械以及其他具有创伤性或者侵入性的医学技术方法对人的容貌和人体各部位形态进行的修复与再塑。</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7.医疗纠纷调解组织：</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是指本保险合同保险人认可的医疗纠纷调解组织。主要负责为被保险人提供医疗纠纷案件调解服务。</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8.发现期：</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是指保险合同中约定的从保险期间到期日之后的一段时间。保险人对在保险期间或者追溯期内发生的且患方在该段时间内（即发现期内）首次向被保险人提出人身损害赔偿请求的保险事故按照本保险合同的约定承担赔偿责任。</w:t>
      </w:r>
      <w:r/>
    </w:p>
    <w:p>
      <w:pPr>
        <w:ind w:firstLine="562"/>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9.未满期保险费：</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是指保险人应退还的剩余保险期间的保险费，未满期保险费按照以下公式计算：</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未满期保险费=保险费×（合同解除之日与保险期间截止日期间天数/保险期间天数）×（累计责任限额－累计赔偿金额）/累计责任限额</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累计赔偿金额=已决赔款金额+未决赔款金额</w:t>
      </w:r>
      <w:r/>
    </w:p>
    <w:p>
      <w:pPr>
        <w:ind w:firstLine="56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未决赔款是指赔偿处理中心确定的案件估损金额。如投保人对未决赔款金额有异议，则保险人在未决案件赔偿结案后再向投保人退还未满期保险费。</w:t>
      </w:r>
      <w:r/>
    </w:p>
    <w:p>
      <w:pPr>
        <w:pStyle w:val="964"/>
        <w:numPr>
          <w:ilvl w:val="0"/>
          <w:numId w:val="29"/>
        </w:numPr>
        <w:ind w:firstLine="466"/>
        <w:jc w:val="both"/>
        <w:spacing w:before="100" w:after="1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spacing w:val="11"/>
          <w:sz w:val="28"/>
          <w:szCs w:val="28"/>
        </w:rPr>
        <w:br w:type="page" w:clear="all"/>
      </w:r>
      <w:bookmarkStart w:id="140" w:name="OLE_LINK33"/>
      <w:r>
        <w:rPr>
          <w:rFonts w:hint="eastAsia" w:ascii="宋体" w:hAnsi="宋体" w:eastAsia="宋体" w:cs="宋体"/>
          <w:b/>
          <w:bCs/>
          <w:color w:val="000000"/>
          <w:sz w:val="28"/>
          <w:szCs w:val="28"/>
        </w:rPr>
        <w:t xml:space="preserve">附加</w:t>
      </w:r>
      <w:r>
        <w:rPr>
          <w:rFonts w:hint="eastAsia" w:ascii="宋体" w:hAnsi="宋体" w:eastAsia="宋体" w:cs="宋体"/>
          <w:b/>
          <w:color w:val="000000" w:themeColor="text1"/>
          <w:sz w:val="28"/>
          <w:szCs w:val="28"/>
          <w14:textFill>
            <w14:solidFill>
              <w14:schemeClr w14:val="tx1"/>
            </w14:solidFill>
          </w14:textFill>
        </w:rPr>
        <w:t xml:space="preserve">医疗机构场所责任保险条款</w:t>
      </w:r>
      <w:bookmarkEnd w:id="140"/>
      <w:r/>
      <w:r/>
    </w:p>
    <w:p>
      <w:pPr>
        <w:pStyle w:val="964"/>
        <w:ind w:left="0" w:firstLine="0"/>
        <w:jc w:val="center"/>
        <w:spacing w:line="240" w:lineRule="atLeas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附加</w:t>
      </w:r>
      <w:bookmarkStart w:id="141" w:name="OLE_LINK31"/>
      <w:r/>
      <w:bookmarkStart w:id="142" w:name="OLE_LINK32"/>
      <w:r>
        <w:rPr>
          <w:rFonts w:hint="eastAsia" w:ascii="宋体" w:hAnsi="宋体" w:eastAsia="宋体" w:cs="宋体"/>
          <w:color w:val="000000" w:themeColor="text1"/>
          <w:sz w:val="28"/>
          <w:szCs w:val="28"/>
          <w14:textFill>
            <w14:solidFill>
              <w14:schemeClr w14:val="tx1"/>
            </w14:solidFill>
          </w14:textFill>
        </w:rPr>
        <w:t xml:space="preserve">医疗机构场所责任保险条款</w:t>
      </w:r>
      <w:bookmarkEnd w:id="141"/>
      <w:r/>
      <w:bookmarkEnd w:id="142"/>
      <w:r/>
      <w:r/>
    </w:p>
    <w:p>
      <w:pPr>
        <w:pStyle w:val="783"/>
        <w:jc w:val="center"/>
        <w:spacing w:line="240" w:lineRule="atLeast"/>
        <w:rPr>
          <w:rFonts w:hint="eastAsia" w:ascii="宋体" w:hAnsi="宋体" w:eastAsia="宋体" w:cs="宋体"/>
          <w:color w:val="000000" w:themeColor="text1"/>
          <w:sz w:val="28"/>
          <w:szCs w:val="28"/>
          <w14:textFill>
            <w14:solidFill>
              <w14:schemeClr w14:val="tx1"/>
            </w14:solidFill>
          </w14:textFill>
        </w:rPr>
      </w:pPr>
      <w:r/>
      <w:bookmarkStart w:id="143" w:name="_Toc31719"/>
      <w:r>
        <w:rPr>
          <w:rFonts w:hint="eastAsia" w:ascii="宋体" w:hAnsi="宋体" w:eastAsia="宋体" w:cs="宋体"/>
          <w:color w:val="000000" w:themeColor="text1"/>
          <w:sz w:val="28"/>
          <w:szCs w:val="28"/>
          <w14:textFill>
            <w14:solidFill>
              <w14:schemeClr w14:val="tx1"/>
            </w14:solidFill>
          </w14:textFill>
        </w:rPr>
        <w:t xml:space="preserve">总则</w:t>
      </w:r>
      <w:bookmarkEnd w:id="143"/>
      <w:r/>
      <w:r/>
    </w:p>
    <w:p>
      <w:pPr>
        <w:spacing w:line="240" w:lineRule="atLeas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r>
      <w:r>
        <w:rPr>
          <w:rFonts w:hint="eastAsia" w:ascii="宋体" w:hAnsi="宋体" w:eastAsia="宋体" w:cs="宋体"/>
          <w:color w:val="000000" w:themeColor="text1"/>
          <w:sz w:val="28"/>
          <w:szCs w:val="28"/>
          <w14:textFill>
            <w14:solidFill>
              <w14:schemeClr w14:val="tx1"/>
            </w14:solidFill>
          </w14:textFill>
        </w:rPr>
        <w:t xml:space="preserve">  </w:t>
      </w:r>
      <w:r>
        <w:rPr>
          <w:rStyle w:val="834"/>
          <w:rFonts w:hint="eastAsia" w:ascii="宋体" w:hAnsi="宋体" w:eastAsia="宋体" w:cs="宋体"/>
          <w:color w:val="000000" w:themeColor="text1"/>
          <w:sz w:val="28"/>
          <w:szCs w:val="28"/>
          <w14:textFill>
            <w14:solidFill>
              <w14:schemeClr w14:val="tx1"/>
            </w14:solidFill>
          </w14:textFill>
        </w:rPr>
        <w:t xml:space="preserve">第一条</w:t>
      </w:r>
      <w:r>
        <w:rPr>
          <w:rFonts w:hint="eastAsia" w:ascii="宋体" w:hAnsi="宋体" w:eastAsia="宋体" w:cs="宋体"/>
          <w:color w:val="000000" w:themeColor="text1"/>
          <w:sz w:val="28"/>
          <w:szCs w:val="28"/>
          <w14:textFill>
            <w14:solidFill>
              <w14:schemeClr w14:val="tx1"/>
            </w14:solidFill>
          </w14:textFill>
        </w:rPr>
        <w:t xml:space="preserve">  </w:t>
      </w:r>
      <w:r>
        <w:rPr>
          <w:rStyle w:val="1306"/>
          <w:rFonts w:hint="eastAsia" w:ascii="宋体" w:hAnsi="宋体" w:eastAsia="宋体" w:cs="宋体"/>
          <w:color w:val="000000" w:themeColor="text1"/>
          <w:sz w:val="28"/>
          <w:szCs w:val="28"/>
          <w14:textFill>
            <w14:solidFill>
              <w14:schemeClr w14:val="tx1"/>
            </w14:solidFill>
          </w14:textFill>
        </w:rPr>
        <w:t xml:space="preserve">本保险是平安医疗责任保险（以下简称主险）的附加险，只有在投保主险后，才可投保本附加险。若主险条款与本附加险条款互有冲突，以本附加险条款为准。本附加险条款未尽事宜，以主险条款为准。</w:t>
      </w:r>
      <w:r>
        <w:rPr>
          <w:rFonts w:hint="eastAsia" w:ascii="宋体" w:hAnsi="宋体" w:eastAsia="宋体" w:cs="宋体"/>
          <w:color w:val="000000" w:themeColor="text1"/>
          <w:sz w:val="28"/>
          <w:szCs w:val="28"/>
          <w14:textFill>
            <w14:solidFill>
              <w14:schemeClr w14:val="tx1"/>
            </w14:solidFill>
          </w14:textFill>
        </w:rPr>
        <w:br/>
      </w:r>
      <w:r>
        <w:rPr>
          <w:rStyle w:val="1306"/>
          <w:rFonts w:hint="eastAsia" w:ascii="宋体" w:hAnsi="宋体" w:eastAsia="宋体" w:cs="宋体"/>
          <w:color w:val="000000" w:themeColor="text1"/>
          <w:sz w:val="28"/>
          <w:szCs w:val="28"/>
          <w14:textFill>
            <w14:solidFill>
              <w14:schemeClr w14:val="tx1"/>
            </w14:solidFill>
          </w14:textFill>
        </w:rPr>
        <w:t xml:space="preserve">  </w:t>
      </w:r>
      <w:r/>
    </w:p>
    <w:p>
      <w:pPr>
        <w:pStyle w:val="783"/>
        <w:jc w:val="center"/>
        <w:spacing w:line="240" w:lineRule="atLeast"/>
        <w:rPr>
          <w:rFonts w:hint="eastAsia" w:ascii="宋体" w:hAnsi="宋体" w:eastAsia="宋体" w:cs="宋体"/>
          <w:color w:val="000000" w:themeColor="text1"/>
          <w:sz w:val="28"/>
          <w:szCs w:val="28"/>
          <w14:textFill>
            <w14:solidFill>
              <w14:schemeClr w14:val="tx1"/>
            </w14:solidFill>
          </w14:textFill>
        </w:rPr>
      </w:pPr>
      <w:r/>
      <w:bookmarkStart w:id="144" w:name="_Toc25554"/>
      <w:r>
        <w:rPr>
          <w:rFonts w:hint="eastAsia" w:ascii="宋体" w:hAnsi="宋体" w:eastAsia="宋体" w:cs="宋体"/>
          <w:color w:val="000000" w:themeColor="text1"/>
          <w:sz w:val="28"/>
          <w:szCs w:val="28"/>
          <w14:textFill>
            <w14:solidFill>
              <w14:schemeClr w14:val="tx1"/>
            </w14:solidFill>
          </w14:textFill>
        </w:rPr>
        <w:t xml:space="preserve">保险责任</w:t>
      </w:r>
      <w:bookmarkEnd w:id="144"/>
      <w:r/>
      <w:r/>
    </w:p>
    <w:p>
      <w:pPr>
        <w:ind w:firstLine="413"/>
        <w:spacing w:line="240" w:lineRule="atLeast"/>
        <w:rPr>
          <w:rFonts w:hint="eastAsia" w:ascii="宋体" w:hAnsi="宋体" w:eastAsia="宋体" w:cs="宋体"/>
          <w:color w:val="000000" w:themeColor="text1"/>
          <w:sz w:val="28"/>
          <w:szCs w:val="28"/>
          <w14:textFill>
            <w14:solidFill>
              <w14:schemeClr w14:val="tx1"/>
            </w14:solidFill>
          </w14:textFill>
        </w:rPr>
      </w:pPr>
      <w:r>
        <w:rPr>
          <w:rStyle w:val="834"/>
          <w:rFonts w:hint="eastAsia" w:ascii="宋体" w:hAnsi="宋体" w:eastAsia="宋体" w:cs="宋体"/>
          <w:color w:val="000000" w:themeColor="text1"/>
          <w:sz w:val="28"/>
          <w:szCs w:val="28"/>
          <w14:textFill>
            <w14:solidFill>
              <w14:schemeClr w14:val="tx1"/>
            </w14:solidFill>
          </w14:textFill>
        </w:rPr>
        <w:t xml:space="preserve">第二条</w:t>
      </w:r>
      <w:r>
        <w:rPr>
          <w:rFonts w:hint="eastAsia" w:ascii="宋体" w:hAnsi="宋体" w:eastAsia="宋体" w:cs="宋体"/>
          <w:color w:val="000000" w:themeColor="text1"/>
          <w:sz w:val="28"/>
          <w:szCs w:val="28"/>
          <w14:textFill>
            <w14:solidFill>
              <w14:schemeClr w14:val="tx1"/>
            </w14:solidFill>
          </w14:textFill>
        </w:rPr>
        <w:t xml:space="preserve">  </w:t>
      </w:r>
      <w:r>
        <w:rPr>
          <w:rStyle w:val="1306"/>
          <w:rFonts w:hint="eastAsia" w:ascii="宋体" w:hAnsi="宋体" w:eastAsia="宋体" w:cs="宋体"/>
          <w:color w:val="000000" w:themeColor="text1"/>
          <w:sz w:val="28"/>
          <w:szCs w:val="28"/>
          <w14:textFill>
            <w14:solidFill>
              <w14:schemeClr w14:val="tx1"/>
            </w14:solidFill>
          </w14:textFill>
        </w:rPr>
        <w:t xml:space="preserve">兹经合同双方同意，保险人扩展承保：</w:t>
      </w:r>
      <w:r>
        <w:rPr>
          <w:rFonts w:hint="eastAsia" w:ascii="宋体" w:hAnsi="宋体" w:eastAsia="宋体" w:cs="宋体"/>
          <w:color w:val="000000" w:themeColor="text1"/>
          <w:sz w:val="28"/>
          <w:szCs w:val="28"/>
          <w14:textFill>
            <w14:solidFill>
              <w14:schemeClr w14:val="tx1"/>
            </w14:solidFill>
          </w14:textFill>
        </w:rPr>
        <w:br/>
      </w:r>
      <w:r>
        <w:rPr>
          <w:rStyle w:val="1306"/>
          <w:rFonts w:hint="eastAsia" w:ascii="宋体" w:hAnsi="宋体" w:eastAsia="宋体" w:cs="宋体"/>
          <w:color w:val="000000" w:themeColor="text1"/>
          <w:sz w:val="28"/>
          <w:szCs w:val="28"/>
          <w14:textFill>
            <w14:solidFill>
              <w14:schemeClr w14:val="tx1"/>
            </w14:solidFill>
          </w14:textFill>
        </w:rPr>
        <w:t xml:space="preserve">  （一）在本保险单明细表中列明的追溯期开始至保险期间终止的期限及承保区域范围内，发生下列依法应由被保险人承担的经济赔偿责任</w:t>
      </w:r>
      <w:r>
        <w:rPr>
          <w:rStyle w:val="1306"/>
          <w:rFonts w:hint="eastAsia" w:ascii="宋体" w:hAnsi="宋体" w:eastAsia="宋体" w:cs="宋体"/>
          <w:b/>
          <w:bCs/>
          <w:color w:val="000000" w:themeColor="text1"/>
          <w:sz w:val="28"/>
          <w:szCs w:val="28"/>
          <w14:textFill>
            <w14:solidFill>
              <w14:schemeClr w14:val="tx1"/>
            </w14:solidFill>
          </w14:textFill>
        </w:rPr>
        <w:t xml:space="preserve">，在本保险期间内由患者或其亲属首次向被保险人提出索赔的，保险人在本保险合同约定的赔偿限额内负责赔偿</w:t>
      </w:r>
      <w:r>
        <w:rPr>
          <w:rStyle w:val="1306"/>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br/>
      </w:r>
      <w:r>
        <w:rPr>
          <w:rStyle w:val="1306"/>
          <w:rFonts w:hint="eastAsia" w:ascii="宋体" w:hAnsi="宋体" w:eastAsia="宋体" w:cs="宋体"/>
          <w:color w:val="000000" w:themeColor="text1"/>
          <w:sz w:val="28"/>
          <w:szCs w:val="28"/>
          <w14:textFill>
            <w14:solidFill>
              <w14:schemeClr w14:val="tx1"/>
            </w14:solidFill>
          </w14:textFill>
        </w:rPr>
        <w:t xml:space="preserve">  1．被保险人营业处所的建筑物、电梯、升降机、自动梯，通道或其他设施，因设置、保管、管理有缺陷或使用不当而造成患者人身伤害；</w:t>
      </w:r>
      <w:r>
        <w:rPr>
          <w:rFonts w:hint="eastAsia" w:ascii="宋体" w:hAnsi="宋体" w:eastAsia="宋体" w:cs="宋体"/>
          <w:color w:val="000000" w:themeColor="text1"/>
          <w:sz w:val="28"/>
          <w:szCs w:val="28"/>
          <w14:textFill>
            <w14:solidFill>
              <w14:schemeClr w14:val="tx1"/>
            </w14:solidFill>
          </w14:textFill>
        </w:rPr>
        <w:br/>
      </w:r>
      <w:r>
        <w:rPr>
          <w:rStyle w:val="1306"/>
          <w:rFonts w:hint="eastAsia" w:ascii="宋体" w:hAnsi="宋体" w:eastAsia="宋体" w:cs="宋体"/>
          <w:color w:val="000000" w:themeColor="text1"/>
          <w:sz w:val="28"/>
          <w:szCs w:val="28"/>
          <w14:textFill>
            <w14:solidFill>
              <w14:schemeClr w14:val="tx1"/>
            </w14:solidFill>
          </w14:textFill>
        </w:rPr>
        <w:t xml:space="preserve">  2．医疗机构的雇员在执行非诊疗护理活动的职务行为时因疏忽或过失造成的患者人身伤害；</w:t>
      </w:r>
      <w:r>
        <w:rPr>
          <w:rFonts w:hint="eastAsia" w:ascii="宋体" w:hAnsi="宋体" w:eastAsia="宋体" w:cs="宋体"/>
          <w:color w:val="000000" w:themeColor="text1"/>
          <w:sz w:val="28"/>
          <w:szCs w:val="28"/>
          <w14:textFill>
            <w14:solidFill>
              <w14:schemeClr w14:val="tx1"/>
            </w14:solidFill>
          </w14:textFill>
        </w:rPr>
        <w:br/>
      </w:r>
      <w:r>
        <w:rPr>
          <w:rStyle w:val="1306"/>
          <w:rFonts w:hint="eastAsia" w:ascii="宋体" w:hAnsi="宋体" w:eastAsia="宋体" w:cs="宋体"/>
          <w:color w:val="000000" w:themeColor="text1"/>
          <w:sz w:val="28"/>
          <w:szCs w:val="28"/>
          <w14:textFill>
            <w14:solidFill>
              <w14:schemeClr w14:val="tx1"/>
            </w14:solidFill>
          </w14:textFill>
        </w:rPr>
        <w:t xml:space="preserve">  3．医疗机构提供的食品存在缺陷造成患者人身伤害。</w:t>
      </w:r>
      <w:r>
        <w:rPr>
          <w:rFonts w:hint="eastAsia" w:ascii="宋体" w:hAnsi="宋体" w:eastAsia="宋体" w:cs="宋体"/>
          <w:color w:val="000000" w:themeColor="text1"/>
          <w:sz w:val="28"/>
          <w:szCs w:val="28"/>
          <w14:textFill>
            <w14:solidFill>
              <w14:schemeClr w14:val="tx1"/>
            </w14:solidFill>
          </w14:textFill>
        </w:rPr>
        <w:br/>
      </w:r>
      <w:r>
        <w:rPr>
          <w:rStyle w:val="1306"/>
          <w:rFonts w:hint="eastAsia" w:ascii="宋体" w:hAnsi="宋体" w:eastAsia="宋体" w:cs="宋体"/>
          <w:color w:val="000000" w:themeColor="text1"/>
          <w:sz w:val="28"/>
          <w:szCs w:val="28"/>
          <w14:textFill>
            <w14:solidFill>
              <w14:schemeClr w14:val="tx1"/>
            </w14:solidFill>
          </w14:textFill>
        </w:rPr>
        <w:t xml:space="preserve">  （二）保险事故发生后被保险人根据情况及时采取有效的措施，防止或减轻对患者身体健康的损害所支付的费用以及其他必要的、合理的费用（包括勘验费、鉴定费等），</w:t>
      </w:r>
      <w:r>
        <w:rPr>
          <w:rStyle w:val="1306"/>
          <w:rFonts w:hint="eastAsia" w:ascii="宋体" w:hAnsi="宋体" w:eastAsia="宋体" w:cs="宋体"/>
          <w:b/>
          <w:bCs/>
          <w:color w:val="000000" w:themeColor="text1"/>
          <w:sz w:val="28"/>
          <w:szCs w:val="28"/>
          <w14:textFill>
            <w14:solidFill>
              <w14:schemeClr w14:val="tx1"/>
            </w14:solidFill>
          </w14:textFill>
        </w:rPr>
        <w:t xml:space="preserve">保险人根据本条款的规定在约定的限额内负赔偿责任。</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  </w:t>
      </w:r>
      <w:r>
        <w:rPr>
          <w:rStyle w:val="1306"/>
          <w:rFonts w:hint="eastAsia" w:ascii="宋体" w:hAnsi="宋体" w:eastAsia="宋体" w:cs="宋体"/>
          <w:color w:val="000000" w:themeColor="text1"/>
          <w:sz w:val="28"/>
          <w:szCs w:val="28"/>
          <w14:textFill>
            <w14:solidFill>
              <w14:schemeClr w14:val="tx1"/>
            </w14:solidFill>
          </w14:textFill>
        </w:rPr>
        <w:t xml:space="preserve">（三）保险事故发生后并在仲裁或诉讼前经保险人书面同意的必要的合理的仲裁或诉讼等法律费用（包括案件受理费、律师费等），</w:t>
      </w:r>
      <w:r>
        <w:rPr>
          <w:rStyle w:val="1306"/>
          <w:rFonts w:hint="eastAsia" w:ascii="宋体" w:hAnsi="宋体" w:eastAsia="宋体" w:cs="宋体"/>
          <w:b/>
          <w:bCs/>
          <w:color w:val="000000" w:themeColor="text1"/>
          <w:sz w:val="28"/>
          <w:szCs w:val="28"/>
          <w14:textFill>
            <w14:solidFill>
              <w14:schemeClr w14:val="tx1"/>
            </w14:solidFill>
          </w14:textFill>
        </w:rPr>
        <w:t xml:space="preserve">保险人根据本条款的规定在约定的限额内负赔偿责任。</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  </w:t>
      </w:r>
      <w:r/>
    </w:p>
    <w:p>
      <w:pPr>
        <w:pStyle w:val="783"/>
        <w:jc w:val="center"/>
        <w:spacing w:line="240" w:lineRule="atLeast"/>
        <w:rPr>
          <w:rFonts w:hint="eastAsia" w:ascii="宋体" w:hAnsi="宋体" w:eastAsia="宋体" w:cs="宋体"/>
          <w:color w:val="000000" w:themeColor="text1"/>
          <w:sz w:val="28"/>
          <w:szCs w:val="28"/>
          <w14:textFill>
            <w14:solidFill>
              <w14:schemeClr w14:val="tx1"/>
            </w14:solidFill>
          </w14:textFill>
        </w:rPr>
      </w:pPr>
      <w:r/>
      <w:bookmarkStart w:id="145" w:name="_Toc12598"/>
      <w:r>
        <w:rPr>
          <w:rFonts w:hint="eastAsia" w:ascii="宋体" w:hAnsi="宋体" w:eastAsia="宋体" w:cs="宋体"/>
          <w:color w:val="000000" w:themeColor="text1"/>
          <w:sz w:val="28"/>
          <w:szCs w:val="28"/>
          <w14:textFill>
            <w14:solidFill>
              <w14:schemeClr w14:val="tx1"/>
            </w14:solidFill>
          </w14:textFill>
        </w:rPr>
        <w:t xml:space="preserve">责任免除</w:t>
      </w:r>
      <w:bookmarkEnd w:id="145"/>
      <w:r/>
      <w:r/>
    </w:p>
    <w:p>
      <w:pPr>
        <w:jc w:val="center"/>
        <w:spacing w:line="240" w:lineRule="atLeast"/>
        <w:rPr>
          <w:rStyle w:val="1306"/>
          <w:rFonts w:hint="eastAsia" w:ascii="宋体" w:hAnsi="宋体" w:eastAsia="宋体" w:cs="宋体"/>
          <w:b/>
          <w:bCs/>
          <w:color w:val="000000" w:themeColor="text1"/>
          <w:sz w:val="28"/>
          <w:szCs w:val="28"/>
          <w14:textFill>
            <w14:solidFill>
              <w14:schemeClr w14:val="tx1"/>
            </w14:solidFill>
          </w14:textFill>
        </w:rPr>
      </w:pPr>
      <w:r>
        <w:rPr>
          <w:rStyle w:val="834"/>
          <w:rFonts w:hint="eastAsia" w:ascii="宋体" w:hAnsi="宋体" w:eastAsia="宋体" w:cs="宋体"/>
          <w:color w:val="000000" w:themeColor="text1"/>
          <w:sz w:val="28"/>
          <w:szCs w:val="28"/>
          <w14:textFill>
            <w14:solidFill>
              <w14:schemeClr w14:val="tx1"/>
            </w14:solidFill>
          </w14:textFill>
        </w:rPr>
        <w:t xml:space="preserve">第三条</w:t>
      </w:r>
      <w:r>
        <w:rPr>
          <w:rFonts w:hint="eastAsia" w:ascii="宋体" w:hAnsi="宋体" w:eastAsia="宋体" w:cs="宋体"/>
          <w:color w:val="000000" w:themeColor="text1"/>
          <w:sz w:val="28"/>
          <w:szCs w:val="28"/>
          <w14:textFill>
            <w14:solidFill>
              <w14:schemeClr w14:val="tx1"/>
            </w14:solidFill>
          </w14:textFill>
        </w:rPr>
        <w:t xml:space="preserve">  </w:t>
      </w:r>
      <w:r>
        <w:rPr>
          <w:rStyle w:val="1306"/>
          <w:rFonts w:hint="eastAsia" w:ascii="宋体" w:hAnsi="宋体" w:eastAsia="宋体" w:cs="宋体"/>
          <w:b/>
          <w:bCs/>
          <w:color w:val="000000" w:themeColor="text1"/>
          <w:sz w:val="28"/>
          <w:szCs w:val="28"/>
          <w14:textFill>
            <w14:solidFill>
              <w14:schemeClr w14:val="tx1"/>
            </w14:solidFill>
          </w14:textFill>
        </w:rPr>
        <w:t xml:space="preserve">由于下列各项引起的损失或责任，保险人不负赔偿责</w:t>
      </w:r>
      <w:r/>
    </w:p>
    <w:p>
      <w:pPr>
        <w:ind w:left="1117" w:firstLine="0"/>
        <w:jc w:val="left"/>
        <w:keepLines w:val="0"/>
        <w:keepNext w:val="0"/>
        <w:pageBreakBefore w:val="0"/>
        <w:spacing w:line="240" w:lineRule="atLeast"/>
        <w:widowControl w:val="off"/>
        <w:rPr>
          <w:rStyle w:val="1306"/>
          <w:rFonts w:hint="eastAsia" w:ascii="宋体" w:hAnsi="宋体" w:eastAsia="宋体" w:cs="宋体"/>
          <w:b/>
          <w:bCs/>
          <w:color w:val="000000" w:themeColor="text1"/>
          <w:sz w:val="28"/>
          <w:szCs w:val="28"/>
          <w14:textFill>
            <w14:solidFill>
              <w14:schemeClr w14:val="tx1"/>
            </w14:solidFill>
          </w14:textFill>
        </w:rPr>
      </w:pPr>
      <w:r>
        <w:rPr>
          <w:rStyle w:val="1306"/>
          <w:rFonts w:hint="eastAsia" w:ascii="宋体" w:hAnsi="宋体" w:eastAsia="宋体" w:cs="宋体"/>
          <w:b/>
          <w:bCs/>
          <w:color w:val="000000" w:themeColor="text1"/>
          <w:sz w:val="28"/>
          <w:szCs w:val="28"/>
          <w14:textFill>
            <w14:solidFill>
              <w14:schemeClr w14:val="tx1"/>
            </w14:solidFill>
          </w14:textFill>
        </w:rPr>
        <w:t xml:space="preserve">（一）被保险人的雇员驾驶任何机动车辆时造成的赔偿责任；</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（二）被保险人被政府部门吊销执业许可证或责令停业整改而仍继续营业；</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（三）患者方自身原因造成的人身损害。</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（四）被保险人或其雇员的故意行为；</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（五）地震、台风、暴雨、洪水等自然灾害；</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（六）被保险人与他人签订的协议所约定的责任，但即使没有这种协议依法仍应由被保险人承担的责任不受此限；</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（七）本保险单明细表中或有关条款中规定的应由被保险人自行负担的免赔额。</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 </w:t>
      </w:r>
      <w:r/>
    </w:p>
    <w:p>
      <w:pPr>
        <w:ind w:firstLine="562"/>
        <w:jc w:val="center"/>
        <w:keepLines w:val="0"/>
        <w:keepNext w:val="0"/>
        <w:pageBreakBefore w:val="0"/>
        <w:spacing w:line="240" w:lineRule="atLeas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赔偿处理</w:t>
      </w:r>
      <w:r/>
    </w:p>
    <w:p>
      <w:pPr>
        <w:spacing w:after="120" w:line="240" w:lineRule="atLeast"/>
        <w:rPr>
          <w:rFonts w:hint="eastAsia" w:ascii="宋体" w:hAnsi="宋体" w:eastAsia="宋体" w:cs="宋体"/>
          <w:b/>
          <w:sz w:val="28"/>
          <w:szCs w:val="28"/>
        </w:rPr>
      </w:pPr>
      <w:r>
        <w:rPr>
          <w:rFonts w:hint="eastAsia" w:ascii="宋体" w:hAnsi="宋体" w:eastAsia="宋体" w:cs="宋体"/>
          <w:color w:val="000000" w:themeColor="text1"/>
          <w:sz w:val="28"/>
          <w:szCs w:val="28"/>
          <w14:textFill>
            <w14:solidFill>
              <w14:schemeClr w14:val="tx1"/>
            </w14:solidFill>
          </w14:textFill>
        </w:rPr>
        <w:br/>
      </w:r>
      <w:r>
        <w:rPr>
          <w:rFonts w:hint="eastAsia" w:ascii="宋体" w:hAnsi="宋体" w:eastAsia="宋体" w:cs="宋体"/>
          <w:color w:val="000000" w:themeColor="text1"/>
          <w:sz w:val="28"/>
          <w:szCs w:val="28"/>
          <w14:textFill>
            <w14:solidFill>
              <w14:schemeClr w14:val="tx1"/>
            </w14:solidFill>
          </w14:textFill>
        </w:rPr>
        <w:t xml:space="preserve">  </w:t>
      </w:r>
      <w:r>
        <w:rPr>
          <w:rStyle w:val="834"/>
          <w:rFonts w:hint="eastAsia" w:ascii="宋体" w:hAnsi="宋体" w:eastAsia="宋体" w:cs="宋体"/>
          <w:color w:val="000000" w:themeColor="text1"/>
          <w:sz w:val="28"/>
          <w:szCs w:val="28"/>
          <w14:textFill>
            <w14:solidFill>
              <w14:schemeClr w14:val="tx1"/>
            </w14:solidFill>
          </w14:textFill>
        </w:rPr>
        <w:t xml:space="preserve">第四条</w:t>
      </w:r>
      <w:r>
        <w:rPr>
          <w:rFonts w:hint="eastAsia" w:ascii="宋体" w:hAnsi="宋体" w:eastAsia="宋体" w:cs="宋体"/>
          <w:color w:val="000000" w:themeColor="text1"/>
          <w:sz w:val="28"/>
          <w:szCs w:val="28"/>
          <w14:textFill>
            <w14:solidFill>
              <w14:schemeClr w14:val="tx1"/>
            </w14:solidFill>
          </w14:textFill>
        </w:rPr>
        <w:t xml:space="preserve">  </w:t>
      </w:r>
      <w:r>
        <w:rPr>
          <w:rStyle w:val="1306"/>
          <w:rFonts w:hint="eastAsia" w:ascii="宋体" w:hAnsi="宋体" w:eastAsia="宋体" w:cs="宋体"/>
          <w:b/>
          <w:bCs/>
          <w:color w:val="000000" w:themeColor="text1"/>
          <w:sz w:val="28"/>
          <w:szCs w:val="28"/>
          <w14:textFill>
            <w14:solidFill>
              <w14:schemeClr w14:val="tx1"/>
            </w14:solidFill>
          </w14:textFill>
        </w:rPr>
        <w:t xml:space="preserve">保险人对每人承担的本附加险项下赔偿金额之和不超过保险单约定的每人赔偿限额，每次事故承担的本附加险项下的赔偿金额之和不超过保险单约定的每次事故赔偿限额。在保险期间内，保险人的累计赔偿金额不超过保险单约定的累计赔偿限额。</w:t>
      </w:r>
      <w:r>
        <w:rPr>
          <w:rFonts w:hint="eastAsia" w:ascii="宋体" w:hAnsi="宋体" w:eastAsia="宋体" w:cs="宋体"/>
          <w:b/>
          <w:bCs/>
          <w:color w:val="000000" w:themeColor="text1"/>
          <w:sz w:val="28"/>
          <w:szCs w:val="28"/>
          <w14:textFill>
            <w14:solidFill>
              <w14:schemeClr w14:val="tx1"/>
            </w14:solidFill>
          </w14:textFill>
        </w:rPr>
        <w:br/>
      </w:r>
      <w:r>
        <w:rPr>
          <w:rStyle w:val="1306"/>
          <w:rFonts w:hint="eastAsia" w:ascii="宋体" w:hAnsi="宋体" w:eastAsia="宋体" w:cs="宋体"/>
          <w:b/>
          <w:bCs/>
          <w:color w:val="000000" w:themeColor="text1"/>
          <w:sz w:val="28"/>
          <w:szCs w:val="28"/>
          <w14:textFill>
            <w14:solidFill>
              <w14:schemeClr w14:val="tx1"/>
            </w14:solidFill>
          </w14:textFill>
        </w:rPr>
        <w:t xml:space="preserve">  保险人对本附加险法律费用的赔偿金额以实际发生的费用金额为准，但每次赔偿限额不得超过每次事故赔偿限额的</w:t>
      </w:r>
      <w:r>
        <w:rPr>
          <w:rStyle w:val="1306"/>
          <w:rFonts w:hint="eastAsia" w:ascii="宋体" w:hAnsi="宋体" w:eastAsia="宋体" w:cs="宋体"/>
          <w:color w:val="000000" w:themeColor="text1"/>
          <w:sz w:val="28"/>
          <w:szCs w:val="28"/>
          <w14:textFill>
            <w14:solidFill>
              <w14:schemeClr w14:val="tx1"/>
            </w14:solidFill>
          </w14:textFill>
        </w:rPr>
        <w:t xml:space="preserve">10%</w:t>
      </w:r>
      <w:r>
        <w:rPr>
          <w:rStyle w:val="1306"/>
          <w:rFonts w:hint="eastAsia" w:ascii="宋体" w:hAnsi="宋体" w:eastAsia="宋体" w:cs="宋体"/>
          <w:b/>
          <w:bCs/>
          <w:color w:val="000000" w:themeColor="text1"/>
          <w:sz w:val="28"/>
          <w:szCs w:val="28"/>
          <w14:textFill>
            <w14:solidFill>
              <w14:schemeClr w14:val="tx1"/>
            </w14:solidFill>
          </w14:textFill>
        </w:rPr>
        <w:t xml:space="preserve">。</w:t>
      </w:r>
      <w:r/>
    </w:p>
    <w:p>
      <w:pPr>
        <w:spacing w:line="40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spacing w:val="11"/>
          <w:sz w:val="28"/>
          <w:szCs w:val="28"/>
        </w:rPr>
        <w:br w:type="page" w:clear="all"/>
      </w:r>
      <w:r/>
    </w:p>
    <w:p>
      <w:pPr>
        <w:rPr>
          <w:rFonts w:hint="eastAsia" w:ascii="宋体" w:hAnsi="宋体" w:eastAsia="宋体" w:cs="宋体"/>
          <w:b/>
          <w:spacing w:val="11"/>
          <w:sz w:val="28"/>
          <w:szCs w:val="28"/>
        </w:rPr>
      </w:pPr>
      <w:r>
        <w:rPr>
          <w:rFonts w:hint="eastAsia" w:ascii="宋体" w:hAnsi="宋体" w:eastAsia="宋体" w:cs="宋体"/>
          <w:b/>
          <w:spacing w:val="11"/>
          <w:sz w:val="28"/>
          <w:szCs w:val="28"/>
        </w:rPr>
        <w:t xml:space="preserve">附件</w:t>
      </w:r>
      <w:r>
        <w:rPr>
          <w:rFonts w:hint="eastAsia" w:ascii="宋体" w:hAnsi="宋体" w:cs="宋体"/>
          <w:b/>
          <w:spacing w:val="11"/>
          <w:sz w:val="28"/>
          <w:szCs w:val="28"/>
          <w:lang w:val="en-US" w:eastAsia="zh-CN"/>
        </w:rPr>
        <w:t xml:space="preserve">三</w:t>
      </w:r>
      <w:r>
        <w:rPr>
          <w:rFonts w:hint="eastAsia" w:ascii="宋体" w:hAnsi="宋体" w:eastAsia="宋体" w:cs="宋体"/>
          <w:b/>
          <w:spacing w:val="11"/>
          <w:sz w:val="28"/>
          <w:szCs w:val="28"/>
        </w:rPr>
        <w:t xml:space="preserve">：兴化市基层医疗机构医疗责任保险产品保险案件赔偿处理办法</w:t>
      </w:r>
      <w:r/>
    </w:p>
    <w:p>
      <w:pPr>
        <w:jc w:val="center"/>
        <w:spacing w:line="360" w:lineRule="auto"/>
        <w:widowControl/>
        <w:rPr>
          <w:rFonts w:hint="eastAsia" w:ascii="宋体" w:hAnsi="宋体" w:eastAsia="宋体" w:cs="宋体"/>
          <w:bCs/>
          <w:sz w:val="28"/>
          <w:szCs w:val="28"/>
        </w:rPr>
      </w:pPr>
      <w:r>
        <w:rPr>
          <w:rFonts w:hint="eastAsia" w:ascii="宋体" w:hAnsi="宋体" w:eastAsia="宋体" w:cs="宋体"/>
          <w:bCs/>
          <w:sz w:val="28"/>
          <w:szCs w:val="28"/>
        </w:rPr>
        <w:t xml:space="preserve">兴化市基层医疗机构医疗责任保险</w:t>
      </w:r>
      <w:r/>
    </w:p>
    <w:p>
      <w:pPr>
        <w:jc w:val="center"/>
        <w:spacing w:line="360" w:lineRule="auto"/>
        <w:widowControl/>
        <w:rPr>
          <w:rFonts w:hint="eastAsia" w:ascii="宋体" w:hAnsi="宋体" w:eastAsia="宋体" w:cs="宋体"/>
          <w:bCs/>
          <w:sz w:val="28"/>
          <w:szCs w:val="28"/>
        </w:rPr>
      </w:pPr>
      <w:r>
        <w:rPr>
          <w:rFonts w:hint="eastAsia" w:ascii="宋体" w:hAnsi="宋体" w:eastAsia="宋体" w:cs="宋体"/>
          <w:bCs/>
          <w:sz w:val="28"/>
          <w:szCs w:val="28"/>
        </w:rPr>
        <w:t xml:space="preserve">保险案件赔偿处理办法</w:t>
      </w:r>
      <w:r/>
    </w:p>
    <w:p>
      <w:pPr>
        <w:numPr>
          <w:ilvl w:val="0"/>
          <w:numId w:val="30"/>
        </w:numPr>
        <w:jc w:val="cente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总则</w:t>
      </w:r>
      <w:r/>
    </w:p>
    <w:p>
      <w:pPr>
        <w:numPr>
          <w:ilvl w:val="0"/>
          <w:numId w:val="31"/>
        </w:numPr>
        <w:ind w:firstLine="518"/>
        <w:spacing w:line="360" w:lineRule="auto"/>
        <w:rPr>
          <w:rFonts w:hint="eastAsia" w:ascii="宋体" w:hAnsi="宋体" w:eastAsia="宋体" w:cs="宋体"/>
          <w:b/>
          <w:sz w:val="28"/>
          <w:szCs w:val="28"/>
        </w:rPr>
      </w:pPr>
      <w:r>
        <w:rPr>
          <w:rFonts w:hint="eastAsia" w:ascii="宋体" w:hAnsi="宋体" w:eastAsia="宋体" w:cs="宋体"/>
          <w:sz w:val="28"/>
          <w:szCs w:val="28"/>
        </w:rPr>
        <w:t xml:space="preserve">为保护医疗机构、患者和保险公司的合法权益，根据《兴化市基层医疗机构医疗责任保险产品采购合同书》（以下简称《采购合同》）的有关规定，特制订本办法。</w:t>
      </w:r>
      <w:r/>
    </w:p>
    <w:p>
      <w:pPr>
        <w:numPr>
          <w:ilvl w:val="0"/>
          <w:numId w:val="31"/>
        </w:numPr>
        <w:ind w:firstLine="518"/>
        <w:spacing w:line="360" w:lineRule="auto"/>
        <w:rPr>
          <w:rFonts w:hint="eastAsia" w:ascii="宋体" w:hAnsi="宋体" w:eastAsia="宋体" w:cs="宋体"/>
          <w:b/>
          <w:sz w:val="28"/>
          <w:szCs w:val="28"/>
        </w:rPr>
      </w:pPr>
      <w:r>
        <w:rPr>
          <w:rFonts w:hint="eastAsia" w:ascii="宋体" w:hAnsi="宋体" w:eastAsia="宋体" w:cs="宋体"/>
          <w:sz w:val="28"/>
          <w:szCs w:val="28"/>
        </w:rPr>
        <w:t xml:space="preserve">本办法与《采购合同》正文的约定具有同等法律效力，协议各方共同遵守，《采购合同》未尽事宜以本办法为准。</w:t>
      </w:r>
      <w:r/>
    </w:p>
    <w:p>
      <w:pPr>
        <w:numPr>
          <w:ilvl w:val="0"/>
          <w:numId w:val="30"/>
        </w:numPr>
        <w:jc w:val="cente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理赔处理中心</w:t>
      </w:r>
      <w:r/>
    </w:p>
    <w:p>
      <w:pPr>
        <w:numPr>
          <w:ilvl w:val="0"/>
          <w:numId w:val="31"/>
        </w:numPr>
        <w:ind w:firstLine="518"/>
        <w:spacing w:line="360" w:lineRule="auto"/>
        <w:rPr>
          <w:rFonts w:hint="eastAsia" w:ascii="宋体" w:hAnsi="宋体" w:eastAsia="宋体" w:cs="宋体"/>
          <w:b/>
          <w:sz w:val="28"/>
          <w:szCs w:val="28"/>
        </w:rPr>
      </w:pPr>
      <w:r>
        <w:rPr>
          <w:rFonts w:hint="eastAsia" w:ascii="宋体" w:hAnsi="宋体" w:eastAsia="宋体" w:cs="宋体"/>
          <w:sz w:val="28"/>
          <w:szCs w:val="28"/>
        </w:rPr>
        <w:t xml:space="preserve">由承保公司设立理赔服务中心（以下简称理赔中心）负责本产品保险案件的赔偿处理相关事宜。</w:t>
      </w:r>
      <w:r/>
    </w:p>
    <w:p>
      <w:pPr>
        <w:numPr>
          <w:ilvl w:val="0"/>
          <w:numId w:val="31"/>
        </w:numPr>
        <w:ind w:firstLine="518"/>
        <w:spacing w:line="360" w:lineRule="auto"/>
        <w:rPr>
          <w:rFonts w:hint="eastAsia" w:ascii="宋体" w:hAnsi="宋体" w:eastAsia="宋体" w:cs="宋体"/>
          <w:b/>
          <w:sz w:val="28"/>
          <w:szCs w:val="28"/>
        </w:rPr>
      </w:pPr>
      <w:r>
        <w:rPr>
          <w:rFonts w:hint="eastAsia" w:ascii="宋体" w:hAnsi="宋体" w:eastAsia="宋体" w:cs="宋体"/>
          <w:sz w:val="28"/>
          <w:szCs w:val="28"/>
        </w:rPr>
        <w:t xml:space="preserve">理赔服务中心应当遵循公正、公平的原则，依据事实和相关法律、法规、诊疗护理规范、保险合同等，对案件的定性、定责、定损、定赔进行审查，及时完成案件处理。</w:t>
      </w:r>
      <w:r/>
    </w:p>
    <w:p>
      <w:pPr>
        <w:numPr>
          <w:ilvl w:val="0"/>
          <w:numId w:val="31"/>
        </w:numPr>
        <w:ind w:firstLine="518"/>
        <w:spacing w:line="360" w:lineRule="auto"/>
        <w:rPr>
          <w:rFonts w:hint="eastAsia" w:ascii="宋体" w:hAnsi="宋体" w:eastAsia="宋体" w:cs="宋体"/>
          <w:b/>
          <w:sz w:val="28"/>
          <w:szCs w:val="28"/>
        </w:rPr>
      </w:pPr>
      <w:r>
        <w:rPr>
          <w:rFonts w:hint="eastAsia" w:ascii="宋体" w:hAnsi="宋体" w:eastAsia="宋体" w:cs="宋体"/>
          <w:sz w:val="28"/>
          <w:szCs w:val="28"/>
        </w:rPr>
        <w:t xml:space="preserve">承保公司理赔部门指定专职人员全力配合理赔中心的工作。</w:t>
      </w:r>
      <w:r/>
    </w:p>
    <w:p>
      <w:pPr>
        <w:numPr>
          <w:ilvl w:val="0"/>
          <w:numId w:val="30"/>
        </w:numPr>
        <w:jc w:val="center"/>
        <w:spacing w:line="360" w:lineRule="auto"/>
        <w:rPr>
          <w:rFonts w:hint="eastAsia" w:ascii="宋体" w:hAnsi="宋体" w:eastAsia="宋体" w:cs="宋体"/>
          <w:b/>
          <w:sz w:val="28"/>
          <w:szCs w:val="28"/>
        </w:rPr>
      </w:pPr>
      <w:r>
        <w:rPr>
          <w:rFonts w:hint="eastAsia" w:ascii="宋体" w:hAnsi="宋体" w:eastAsia="宋体" w:cs="宋体"/>
          <w:sz w:val="28"/>
          <w:szCs w:val="28"/>
        </w:rPr>
        <w:t xml:space="preserve">赔偿处理流程</w:t>
      </w:r>
      <w:r/>
    </w:p>
    <w:p>
      <w:pPr>
        <w:numPr>
          <w:ilvl w:val="0"/>
          <w:numId w:val="32"/>
        </w:numPr>
        <w:jc w:val="center"/>
        <w:spacing w:line="360" w:lineRule="auto"/>
        <w:rPr>
          <w:rFonts w:hint="eastAsia" w:ascii="宋体" w:hAnsi="宋体" w:eastAsia="宋体" w:cs="宋体"/>
          <w:b/>
          <w:sz w:val="28"/>
          <w:szCs w:val="28"/>
        </w:rPr>
      </w:pPr>
      <w:r>
        <w:rPr>
          <w:rFonts w:hint="eastAsia" w:ascii="宋体" w:hAnsi="宋体" w:eastAsia="宋体" w:cs="宋体"/>
          <w:sz w:val="28"/>
          <w:szCs w:val="28"/>
        </w:rPr>
        <w:t xml:space="preserve">医疗纠纷纠纷处理途径</w:t>
      </w:r>
      <w:r/>
    </w:p>
    <w:p>
      <w:pPr>
        <w:numPr>
          <w:ilvl w:val="0"/>
          <w:numId w:val="31"/>
        </w:num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根据国家相关法律法规，医疗纠纷可以通过以下途径进行处理：自行和解、第三方调解、司法诉讼、行政调解和仲裁案件。</w:t>
      </w:r>
      <w:r/>
    </w:p>
    <w:p>
      <w:pPr>
        <w:numPr>
          <w:ilvl w:val="0"/>
          <w:numId w:val="32"/>
        </w:numPr>
        <w:jc w:val="center"/>
        <w:spacing w:line="360" w:lineRule="auto"/>
        <w:rPr>
          <w:rFonts w:hint="eastAsia" w:ascii="宋体" w:hAnsi="宋体" w:eastAsia="宋体" w:cs="宋体"/>
          <w:b/>
          <w:sz w:val="28"/>
          <w:szCs w:val="28"/>
        </w:rPr>
      </w:pPr>
      <w:r>
        <w:rPr>
          <w:rFonts w:hint="eastAsia" w:ascii="宋体" w:hAnsi="宋体" w:eastAsia="宋体" w:cs="宋体"/>
          <w:sz w:val="28"/>
          <w:szCs w:val="28"/>
        </w:rPr>
        <w:t xml:space="preserve">报案</w:t>
      </w:r>
      <w:r/>
    </w:p>
    <w:p>
      <w:pPr>
        <w:numPr>
          <w:ilvl w:val="0"/>
          <w:numId w:val="31"/>
        </w:num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根据《采购</w:t>
      </w:r>
      <w:r>
        <w:rPr>
          <w:rFonts w:hint="eastAsia" w:ascii="宋体" w:hAnsi="宋体" w:eastAsia="宋体" w:cs="宋体"/>
          <w:sz w:val="28"/>
          <w:szCs w:val="28"/>
        </w:rPr>
        <w:t xml:space="preserve">合同</w:t>
      </w:r>
      <w:r>
        <w:rPr>
          <w:rFonts w:hint="eastAsia" w:ascii="宋体" w:hAnsi="宋体" w:eastAsia="宋体" w:cs="宋体"/>
          <w:bCs/>
          <w:sz w:val="28"/>
          <w:szCs w:val="28"/>
        </w:rPr>
        <w:t xml:space="preserve">》，患者或其近亲属或其代理人首次向医疗机构提出赔偿请求的时间（即索赔时间）为保险出险时间，发生医疗损害时间应在保单期内，此时间以下列三个时间中发生在前的为准，保险人有权对出险时间进行核实。</w:t>
      </w:r>
      <w:r/>
    </w:p>
    <w:p>
      <w:pPr>
        <w:numPr>
          <w:ilvl w:val="0"/>
          <w:numId w:val="33"/>
        </w:numPr>
        <w:ind w:firstLine="520"/>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医疗机构出具的投诉登记材料中所载的患方在首次向医疗机构沟通或投诉过程中明确提出索赔要求的时间；</w:t>
      </w:r>
      <w:r/>
    </w:p>
    <w:p>
      <w:pPr>
        <w:numPr>
          <w:ilvl w:val="0"/>
          <w:numId w:val="33"/>
        </w:numPr>
        <w:ind w:firstLine="520"/>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或患方提出或同意通过医疗纠纷调解解决纠纷的时间；</w:t>
      </w:r>
      <w:r/>
    </w:p>
    <w:p>
      <w:pPr>
        <w:numPr>
          <w:ilvl w:val="0"/>
          <w:numId w:val="33"/>
        </w:numPr>
        <w:ind w:firstLine="520"/>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或患方向医疗机构提起诉讼的时间；</w:t>
      </w:r>
      <w:r/>
    </w:p>
    <w:p>
      <w:pPr>
        <w:numPr>
          <w:ilvl w:val="0"/>
          <w:numId w:val="31"/>
        </w:numPr>
        <w:ind w:firstLine="518"/>
        <w:spacing w:line="360" w:lineRule="auto"/>
        <w:rPr>
          <w:rFonts w:hint="eastAsia" w:ascii="宋体" w:hAnsi="宋体" w:eastAsia="宋体" w:cs="宋体"/>
          <w:b/>
          <w:bCs/>
          <w:sz w:val="28"/>
          <w:szCs w:val="28"/>
        </w:rPr>
      </w:pP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设立7*24小时全年不间断受理报案。</w:t>
      </w:r>
      <w:r/>
    </w:p>
    <w:p>
      <w:pPr>
        <w:numPr>
          <w:ilvl w:val="0"/>
          <w:numId w:val="32"/>
        </w:numPr>
        <w:jc w:val="center"/>
        <w:spacing w:line="360" w:lineRule="auto"/>
        <w:rPr>
          <w:rFonts w:hint="eastAsia" w:ascii="宋体" w:hAnsi="宋体" w:eastAsia="宋体" w:cs="宋体"/>
          <w:b/>
          <w:sz w:val="28"/>
          <w:szCs w:val="28"/>
        </w:rPr>
      </w:pPr>
      <w:r>
        <w:rPr>
          <w:rFonts w:hint="eastAsia" w:ascii="宋体" w:hAnsi="宋体" w:eastAsia="宋体" w:cs="宋体"/>
          <w:sz w:val="28"/>
          <w:szCs w:val="28"/>
        </w:rPr>
        <w:t xml:space="preserve">案件处理</w:t>
      </w:r>
      <w:r/>
    </w:p>
    <w:p>
      <w:pPr>
        <w:numPr>
          <w:ilvl w:val="0"/>
          <w:numId w:val="31"/>
        </w:num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案件处理均应完成定性、定责、定损、定赔。</w:t>
      </w:r>
      <w:r/>
    </w:p>
    <w:p>
      <w:p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（一）定性，指对医疗机构的诊疗护理活动是否存在过错，以及该过错与患者的损害后果之间是否存在关联性进行判定；</w:t>
      </w:r>
      <w:r/>
    </w:p>
    <w:p>
      <w:p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（二）定责，指经定性判定为医疗机构的过错与患者损害后果之间存在因果关系的案件，对医疗机构为患者所受损害所应承担的责任程度进行判定；</w:t>
      </w:r>
      <w:r/>
    </w:p>
    <w:p>
      <w:p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（三）定损，指对因诊疗活动中的过错给患者所造成的经济损失产品进行确定；</w:t>
      </w:r>
      <w:r/>
    </w:p>
    <w:p>
      <w:p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（四）定赔，指依据相关法律规定，对患者经济损失产品赔偿金额进行计算。</w:t>
      </w:r>
      <w:r/>
    </w:p>
    <w:p>
      <w:pPr>
        <w:jc w:val="center"/>
        <w:spacing w:line="360" w:lineRule="auto"/>
        <w:rPr>
          <w:rFonts w:hint="eastAsia" w:ascii="宋体" w:hAnsi="宋体" w:eastAsia="宋体" w:cs="宋体"/>
          <w:b/>
          <w:sz w:val="28"/>
          <w:szCs w:val="28"/>
        </w:rPr>
      </w:pPr>
      <w:r>
        <w:rPr>
          <w:rFonts w:hint="eastAsia" w:ascii="宋体" w:hAnsi="宋体" w:eastAsia="宋体" w:cs="宋体"/>
          <w:b/>
          <w:bCs/>
          <w:sz w:val="28"/>
          <w:szCs w:val="28"/>
        </w:rPr>
        <w:t xml:space="preserve">第四节</w:t>
      </w:r>
      <w:r>
        <w:rPr>
          <w:rFonts w:hint="eastAsia" w:ascii="宋体" w:hAnsi="宋体" w:eastAsia="宋体" w:cs="宋体"/>
          <w:sz w:val="28"/>
          <w:szCs w:val="28"/>
        </w:rPr>
        <w:t xml:space="preserve"> 自行和解简易程序</w:t>
      </w:r>
      <w:r/>
    </w:p>
    <w:p>
      <w:pPr>
        <w:numPr>
          <w:ilvl w:val="255"/>
          <w:numId w:val="0"/>
        </w:numPr>
        <w:ind w:firstLine="518"/>
        <w:spacing w:line="360" w:lineRule="auto"/>
        <w:rPr>
          <w:rFonts w:hint="eastAsia" w:ascii="宋体" w:hAnsi="宋体" w:eastAsia="宋体" w:cs="宋体"/>
          <w:b/>
          <w:bCs/>
          <w:color w:val="ff0000"/>
          <w:sz w:val="28"/>
          <w:szCs w:val="28"/>
        </w:rPr>
      </w:pPr>
      <w:r>
        <w:rPr>
          <w:rFonts w:hint="eastAsia" w:ascii="宋体" w:hAnsi="宋体" w:eastAsia="宋体" w:cs="宋体"/>
          <w:bCs/>
          <w:color w:val="ff0000"/>
          <w:sz w:val="28"/>
          <w:szCs w:val="28"/>
        </w:rPr>
        <w:t xml:space="preserve">第十条 根据《采购</w:t>
      </w:r>
      <w:r>
        <w:rPr>
          <w:rFonts w:hint="eastAsia" w:ascii="宋体" w:hAnsi="宋体" w:eastAsia="宋体" w:cs="宋体"/>
          <w:color w:val="ff0000"/>
          <w:sz w:val="28"/>
          <w:szCs w:val="28"/>
        </w:rPr>
        <w:t xml:space="preserve">合同</w:t>
      </w:r>
      <w:r>
        <w:rPr>
          <w:rFonts w:hint="eastAsia" w:ascii="宋体" w:hAnsi="宋体" w:eastAsia="宋体" w:cs="宋体"/>
          <w:bCs/>
          <w:color w:val="ff0000"/>
          <w:sz w:val="28"/>
          <w:szCs w:val="28"/>
        </w:rPr>
        <w:t xml:space="preserve">》，未超过规定权限的，医疗机构在20000元限额内采用自行和解简易程序处理的，应当及时通知理赔服务中心，理赔服务中心根据医疗机构要求提供赔偿处理意见，并负责协助参保医疗机构向患方收集案件相关材料。</w:t>
      </w:r>
      <w:r/>
    </w:p>
    <w:p>
      <w:pPr>
        <w:numPr>
          <w:ilvl w:val="255"/>
          <w:numId w:val="0"/>
        </w:num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第十一条 医患双方达成和解，签订医患自行和解协议书或通过医疗机构所在地医疗纠纷调解组织签订调解协议书。</w:t>
      </w:r>
      <w:r/>
    </w:p>
    <w:p>
      <w:pPr>
        <w:numPr>
          <w:ilvl w:val="255"/>
          <w:numId w:val="0"/>
        </w:num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第十二条 理赔中心应当在和解协议生效之日起1个工作日内完成案件的登记、核实、归档，并将索赔材料提交</w:t>
      </w:r>
      <w:r>
        <w:rPr>
          <w:rFonts w:hint="eastAsia" w:ascii="宋体" w:hAnsi="宋体" w:eastAsia="宋体" w:cs="宋体"/>
          <w:sz w:val="28"/>
          <w:szCs w:val="28"/>
        </w:rPr>
        <w:t xml:space="preserve">首席承保公司</w:t>
      </w:r>
      <w:r>
        <w:rPr>
          <w:rFonts w:hint="eastAsia" w:ascii="宋体" w:hAnsi="宋体" w:eastAsia="宋体" w:cs="宋体"/>
          <w:bCs/>
          <w:sz w:val="28"/>
          <w:szCs w:val="28"/>
        </w:rPr>
        <w:t xml:space="preserve">，</w:t>
      </w:r>
      <w:r>
        <w:rPr>
          <w:rFonts w:hint="eastAsia" w:ascii="宋体" w:hAnsi="宋体" w:eastAsia="宋体" w:cs="宋体"/>
          <w:sz w:val="28"/>
          <w:szCs w:val="28"/>
        </w:rPr>
        <w:t xml:space="preserve">首席承保公司</w:t>
      </w:r>
      <w:r>
        <w:rPr>
          <w:rFonts w:hint="eastAsia" w:ascii="宋体" w:hAnsi="宋体" w:eastAsia="宋体" w:cs="宋体"/>
          <w:bCs/>
          <w:sz w:val="28"/>
          <w:szCs w:val="28"/>
        </w:rPr>
        <w:t xml:space="preserve">在《采购</w:t>
      </w:r>
      <w:r>
        <w:rPr>
          <w:rFonts w:hint="eastAsia" w:ascii="宋体" w:hAnsi="宋体" w:eastAsia="宋体" w:cs="宋体"/>
          <w:sz w:val="28"/>
          <w:szCs w:val="28"/>
        </w:rPr>
        <w:t xml:space="preserve">合同</w:t>
      </w:r>
      <w:r>
        <w:rPr>
          <w:rFonts w:hint="eastAsia" w:ascii="宋体" w:hAnsi="宋体" w:eastAsia="宋体" w:cs="宋体"/>
          <w:bCs/>
          <w:sz w:val="28"/>
          <w:szCs w:val="28"/>
        </w:rPr>
        <w:t xml:space="preserve">》约定的时效内向医疗机构或者患者支付赔款。</w:t>
      </w:r>
      <w:r/>
    </w:p>
    <w:p>
      <w:pPr>
        <w:jc w:val="center"/>
        <w:spacing w:line="360" w:lineRule="auto"/>
        <w:rPr>
          <w:rFonts w:hint="eastAsia" w:ascii="宋体" w:hAnsi="宋体" w:eastAsia="宋体" w:cs="宋体"/>
          <w:sz w:val="28"/>
          <w:szCs w:val="28"/>
        </w:rPr>
      </w:pPr>
      <w:r>
        <w:rPr>
          <w:rFonts w:hint="eastAsia" w:ascii="宋体" w:hAnsi="宋体" w:eastAsia="宋体" w:cs="宋体"/>
          <w:b/>
          <w:bCs/>
          <w:sz w:val="28"/>
          <w:szCs w:val="28"/>
        </w:rPr>
        <w:t xml:space="preserve">第五节</w:t>
      </w:r>
      <w:r>
        <w:rPr>
          <w:rFonts w:hint="eastAsia" w:ascii="宋体" w:hAnsi="宋体" w:eastAsia="宋体" w:cs="宋体"/>
          <w:sz w:val="28"/>
          <w:szCs w:val="28"/>
        </w:rPr>
        <w:t xml:space="preserve"> 第三方调解</w:t>
      </w:r>
      <w:r/>
    </w:p>
    <w:p>
      <w:pPr>
        <w:numPr>
          <w:ilvl w:val="255"/>
          <w:numId w:val="0"/>
        </w:numPr>
        <w:ind w:firstLine="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第十三条 理赔服务中心应跟踪、记录参保医疗机构医疗纠纷第三方调解案件受理情况，与兴化市医疗纠纷调解委员会就医疗纠纷处理情况保持有效沟通。</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第十四条 理赔服务中心对于医疗纠纷调解组织不受理或终结调解的案件，应当在1个工作日内与医疗机构取得联系，告知医疗机构后续处理相关注意事项，并全程跟进。</w:t>
      </w:r>
      <w:r/>
    </w:p>
    <w:p>
      <w:pPr>
        <w:ind w:firstLine="560"/>
        <w:spacing w:line="360" w:lineRule="auto"/>
        <w:rPr>
          <w:rFonts w:hint="eastAsia" w:ascii="宋体" w:hAnsi="宋体" w:eastAsia="宋体" w:cs="宋体"/>
          <w:bCs/>
          <w:sz w:val="28"/>
          <w:szCs w:val="28"/>
        </w:rPr>
      </w:pPr>
      <w:r/>
      <w:bookmarkStart w:id="146" w:name="OLE_LINK22"/>
      <w:r/>
      <w:bookmarkStart w:id="147" w:name="OLE_LINK23"/>
      <w:r>
        <w:rPr>
          <w:rFonts w:hint="eastAsia" w:ascii="宋体" w:hAnsi="宋体" w:eastAsia="宋体" w:cs="宋体"/>
          <w:bCs/>
          <w:sz w:val="28"/>
          <w:szCs w:val="28"/>
        </w:rPr>
        <w:t xml:space="preserve">第十五条</w:t>
      </w:r>
      <w:bookmarkEnd w:id="146"/>
      <w:r/>
      <w:bookmarkEnd w:id="147"/>
      <w:r>
        <w:rPr>
          <w:rFonts w:hint="eastAsia" w:ascii="宋体" w:hAnsi="宋体" w:eastAsia="宋体" w:cs="宋体"/>
          <w:bCs/>
          <w:sz w:val="28"/>
          <w:szCs w:val="28"/>
        </w:rPr>
        <w:t xml:space="preserve"> 属于保险责任的医疗纠纷案件，医疗纠纷调解组织应视案件的实际情况和复杂程度，由理赔服务中心对医疗纠纷案件进行专业咨询。无论采取何种方式进行咨询，均需出具《医疗责任保险案件专家咨询意见》。</w:t>
      </w:r>
      <w:r/>
    </w:p>
    <w:p>
      <w:pPr>
        <w:ind w:firstLine="560"/>
        <w:spacing w:line="360" w:lineRule="auto"/>
        <w:rPr>
          <w:rFonts w:hint="eastAsia" w:ascii="宋体" w:hAnsi="宋体" w:eastAsia="宋体" w:cs="宋体"/>
          <w:bCs/>
          <w:color w:val="ff0000"/>
          <w:sz w:val="28"/>
          <w:szCs w:val="28"/>
        </w:rPr>
      </w:pPr>
      <w:r/>
      <w:bookmarkStart w:id="148" w:name="OLE_LINK26"/>
      <w:r/>
      <w:bookmarkStart w:id="149" w:name="OLE_LINK24"/>
      <w:r>
        <w:rPr>
          <w:rFonts w:hint="eastAsia" w:ascii="宋体" w:hAnsi="宋体" w:eastAsia="宋体" w:cs="宋体"/>
          <w:bCs/>
          <w:color w:val="ff0000"/>
          <w:sz w:val="28"/>
          <w:szCs w:val="28"/>
        </w:rPr>
        <w:t xml:space="preserve">第十六条</w:t>
      </w:r>
      <w:bookmarkEnd w:id="148"/>
      <w:r/>
      <w:bookmarkEnd w:id="149"/>
      <w:r>
        <w:rPr>
          <w:rFonts w:hint="eastAsia" w:ascii="宋体" w:hAnsi="宋体" w:eastAsia="宋体" w:cs="宋体"/>
          <w:bCs/>
          <w:color w:val="ff0000"/>
          <w:sz w:val="28"/>
          <w:szCs w:val="28"/>
        </w:rPr>
        <w:t xml:space="preserve"> 兴化市医患纠纷人民调解委员会参考《医疗责任保险案件专家咨询意见》对患者与医疗机构进行调解，并促成医患双方达成《调解协议书》。保险公司需认可兴化市医患纠纷人民调解委员会出具的《调解协议书》结果并按照相关约定金额进行理赔。</w:t>
      </w:r>
      <w:r/>
    </w:p>
    <w:p>
      <w:pPr>
        <w:ind w:firstLine="560"/>
        <w:spacing w:line="360" w:lineRule="auto"/>
        <w:rPr>
          <w:rFonts w:hint="eastAsia" w:ascii="宋体" w:hAnsi="宋体" w:eastAsia="宋体" w:cs="宋体"/>
          <w:bCs/>
          <w:color w:val="ff0000"/>
          <w:sz w:val="28"/>
          <w:szCs w:val="28"/>
        </w:rPr>
      </w:pPr>
      <w:r>
        <w:rPr>
          <w:rFonts w:hint="eastAsia" w:ascii="宋体" w:hAnsi="宋体" w:eastAsia="宋体" w:cs="宋体"/>
          <w:bCs/>
          <w:color w:val="ff0000"/>
          <w:sz w:val="28"/>
          <w:szCs w:val="28"/>
        </w:rPr>
        <w:t xml:space="preserve">第十七条 理赔服务中心应当在医患双方签订调解协议后3个工作日内将索赔材料提交供应方，承保公司在《采购合同》约定的时效内向医疗机构或者患者支付赔款。</w:t>
      </w:r>
      <w:r/>
    </w:p>
    <w:p>
      <w:pPr>
        <w:jc w:val="center"/>
        <w:spacing w:line="360" w:lineRule="auto"/>
        <w:rPr>
          <w:rFonts w:hint="eastAsia" w:ascii="宋体" w:hAnsi="宋体" w:eastAsia="宋体" w:cs="宋体"/>
          <w:b/>
          <w:sz w:val="28"/>
          <w:szCs w:val="28"/>
        </w:rPr>
      </w:pPr>
      <w:r>
        <w:rPr>
          <w:rFonts w:hint="eastAsia" w:ascii="宋体" w:hAnsi="宋体" w:eastAsia="宋体" w:cs="宋体"/>
          <w:sz w:val="28"/>
          <w:szCs w:val="28"/>
        </w:rPr>
        <w:t xml:space="preserve">第六节 司法诉讼及行政调解</w:t>
      </w:r>
      <w:r/>
    </w:p>
    <w:p>
      <w:pPr>
        <w:ind w:firstLine="560"/>
        <w:spacing w:line="360" w:lineRule="auto"/>
        <w:rPr>
          <w:rFonts w:hint="eastAsia" w:ascii="宋体" w:hAnsi="宋体" w:eastAsia="宋体" w:cs="宋体"/>
          <w:b/>
          <w:bCs/>
          <w:sz w:val="28"/>
          <w:szCs w:val="28"/>
        </w:rPr>
      </w:pPr>
      <w:r/>
      <w:bookmarkStart w:id="150" w:name="OLE_LINK29"/>
      <w:r/>
      <w:bookmarkStart w:id="151" w:name="OLE_LINK30"/>
      <w:r>
        <w:rPr>
          <w:rFonts w:hint="eastAsia" w:ascii="宋体" w:hAnsi="宋体" w:eastAsia="宋体" w:cs="宋体"/>
          <w:bCs/>
          <w:sz w:val="28"/>
          <w:szCs w:val="28"/>
        </w:rPr>
        <w:t xml:space="preserve">第十八条</w:t>
      </w:r>
      <w:bookmarkEnd w:id="150"/>
      <w:r/>
      <w:bookmarkEnd w:id="151"/>
      <w:r>
        <w:rPr>
          <w:rFonts w:hint="eastAsia" w:ascii="宋体" w:hAnsi="宋体" w:eastAsia="宋体" w:cs="宋体"/>
          <w:bCs/>
          <w:sz w:val="28"/>
          <w:szCs w:val="28"/>
        </w:rPr>
        <w:t xml:space="preserve">  医疗机构在收到法院诉讼传票后1个工作日内，应将法院传票及原告诉状扫描件发至理赔服务中心。</w:t>
      </w:r>
      <w:r/>
    </w:p>
    <w:p>
      <w:pPr>
        <w:ind w:firstLine="560"/>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第十九条 当法院决定案件需要进行司法鉴定时，理赔服务中心在接到医疗机构或代理律师通知后需协助医疗机构和代理律师及时通知</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，各方应重视并共同做好司法鉴定前的准备工作。</w:t>
      </w:r>
      <w:r/>
    </w:p>
    <w:p>
      <w:pPr>
        <w:ind w:firstLine="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鉴定机构出具鉴定意见后，理赔中心应当及时组织或分别与医疗机构、</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进行讨论，医疗机构、</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对鉴定意见有异议的，有必要的应当在法庭审理时申请鉴定人出庭质证。</w:t>
      </w:r>
      <w:r/>
    </w:p>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第二十条  医疗机构及其代理律师收到人民法院一审判决书，应在1个工作日内转交理赔中心</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及</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。医疗机构及</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在收到判决书之日起3个工作日内沟通协商确认是否上诉。</w:t>
      </w:r>
      <w:r/>
    </w:p>
    <w:p>
      <w:pPr>
        <w:ind w:firstLine="560"/>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第二十一条  不需上诉的案件及终审结案案件，理赔中心提供赔偿处理意见，并在判决书生效之日起10个工作日内将索赔材料提交</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在《采购</w:t>
      </w:r>
      <w:r>
        <w:rPr>
          <w:rFonts w:hint="eastAsia" w:ascii="宋体" w:hAnsi="宋体" w:eastAsia="宋体" w:cs="宋体"/>
          <w:sz w:val="28"/>
          <w:szCs w:val="28"/>
        </w:rPr>
        <w:t xml:space="preserve">合同</w:t>
      </w:r>
      <w:r>
        <w:rPr>
          <w:rFonts w:hint="eastAsia" w:ascii="宋体" w:hAnsi="宋体" w:eastAsia="宋体" w:cs="宋体"/>
          <w:bCs/>
          <w:sz w:val="28"/>
          <w:szCs w:val="28"/>
        </w:rPr>
        <w:t xml:space="preserve">》约定的时效内向医疗机构或者患者支付赔款。</w:t>
      </w:r>
      <w:r/>
    </w:p>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第二十二条  医疗机构在选择司法调解途径前及达成司法调解协议前，应当就拟达成调解协议</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的内容征得</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意见。</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应当在司法调解达成一致意见前，与理赔服务中心协商并出具赔偿处理意见，医疗机构根据赔偿处理意见，参与司法调解。</w:t>
      </w:r>
      <w:r/>
    </w:p>
    <w:p>
      <w:pPr>
        <w:ind w:left="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第二十三条  医疗纠纷案件通过行政调解途径进行处理的，其处理流程参照司法调解流程。</w:t>
      </w:r>
      <w:r/>
    </w:p>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第二十四条  案件通过司法诉讼或行政调解途径解决过程中，当事人申请撤回诉讼或行政调解</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的，后向医疗纠纷调解组织申请第三方调解，医疗纠纷调解组织可以受理，其处理流程参照第三方调解。</w:t>
      </w:r>
      <w:r/>
    </w:p>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第二十五条  医疗机构、理赔服务中心、</w:t>
      </w:r>
      <w:r>
        <w:rPr>
          <w:rFonts w:hint="eastAsia" w:ascii="宋体" w:hAnsi="宋体" w:eastAsia="宋体" w:cs="宋体"/>
          <w:sz w:val="28"/>
          <w:szCs w:val="28"/>
        </w:rPr>
        <w:t xml:space="preserve">承保公司</w:t>
      </w:r>
      <w:r>
        <w:rPr>
          <w:rFonts w:hint="eastAsia" w:ascii="宋体" w:hAnsi="宋体" w:eastAsia="宋体" w:cs="宋体"/>
          <w:bCs/>
          <w:sz w:val="28"/>
          <w:szCs w:val="28"/>
        </w:rPr>
        <w:t xml:space="preserve">按照本办法《诉讼案件操作细则》，完成诉</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讼案件处置工作。</w:t>
      </w:r>
      <w:r/>
    </w:p>
    <w:p>
      <w:pPr>
        <w:numPr>
          <w:ilvl w:val="0"/>
          <w:numId w:val="30"/>
        </w:numPr>
        <w:jc w:val="cente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案件索赔材料清单</w:t>
      </w:r>
      <w:r/>
    </w:p>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第二十六条  理赔中心应本着实事求是的原则，尊重客观事实，协助医疗机构收集并整理索赔</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资料。承保人及其他共保公司不得以以往的工作习惯及理赔标准，对于索赔材料提出额外的要求。</w:t>
      </w:r>
      <w:r/>
    </w:p>
    <w:p>
      <w:pPr>
        <w:ind w:left="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第二十七条  承保人应当依据下列单证进行保险赔偿，不再要求当事人提交其他单证。</w:t>
      </w:r>
      <w:r>
        <w:rPr>
          <w:rFonts w:hint="eastAsia" w:ascii="宋体" w:hAnsi="宋体" w:eastAsia="宋体" w:cs="宋体"/>
          <w:bCs/>
          <w:sz w:val="28"/>
          <w:szCs w:val="28"/>
        </w:rPr>
        <w:tab/>
      </w:r>
      <w:r/>
    </w:p>
    <w:tbl>
      <w:tblPr>
        <w:tblStyle w:val="792"/>
        <w:tblW w:w="9199" w:type="dxa"/>
        <w:jc w:val="center"/>
        <w:tblLayout w:type="fixed"/>
        <w:tblCellMar>
          <w:left w:w="0" w:type="dxa"/>
          <w:top w:w="0" w:type="dxa"/>
          <w:right w:w="0" w:type="dxa"/>
          <w:bottom w:w="0" w:type="dxa"/>
        </w:tblCellMar>
        <w:tblLook w:val="04A0" w:firstRow="1" w:lastRow="0" w:firstColumn="1" w:lastColumn="0" w:noHBand="0" w:noVBand="1"/>
      </w:tblPr>
      <w:tblGrid>
        <w:gridCol w:w="428"/>
        <w:gridCol w:w="4436"/>
        <w:gridCol w:w="1099"/>
        <w:gridCol w:w="1099"/>
        <w:gridCol w:w="1099"/>
        <w:gridCol w:w="1038"/>
      </w:tblGrid>
      <w:tr>
        <w:trPr>
          <w:jc w:val="center"/>
          <w:trHeight w:val="45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36"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索赔单证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第三方调解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司法诉讼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司法调解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3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行政调解</w:t>
            </w:r>
            <w:r/>
          </w:p>
        </w:tc>
      </w:tr>
      <w:tr>
        <w:trPr>
          <w:jc w:val="center"/>
          <w:trHeight w:val="45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36"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索赔申请书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3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r>
      <w:tr>
        <w:trPr>
          <w:jc w:val="center"/>
          <w:trHeight w:val="45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36"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医疗纠纷调解组织主持签订的医疗纠纷调解协议书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3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r>
      <w:tr>
        <w:trPr>
          <w:jc w:val="center"/>
          <w:trHeight w:val="45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36"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医疗技术鉴定意见书、司法过错鉴定意见书</w:t>
            </w:r>
            <w:r/>
          </w:p>
        </w:tc>
        <w:tc>
          <w:tcPr>
            <w:gridSpan w:val="4"/>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35"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如有需提供</w:t>
            </w:r>
            <w:r/>
          </w:p>
        </w:tc>
      </w:tr>
      <w:tr>
        <w:trPr>
          <w:jc w:val="center"/>
          <w:trHeight w:val="45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36"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开庭传票、司法判决书等诉讼相关文件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3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r>
      <w:tr>
        <w:trPr>
          <w:jc w:val="center"/>
          <w:trHeight w:val="45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36"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损失及赔偿金额计算所需单证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3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r>
      <w:tr>
        <w:trPr>
          <w:jc w:val="center"/>
          <w:trHeight w:val="45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36"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赔款支付通知书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3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36"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理赔中心认为其它有必要的单证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99"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38" w:type="dxa"/>
            <w:vAlign w:val="center"/>
            <w:textDirection w:val="lrTb"/>
            <w:noWrap/>
          </w:tcPr>
          <w:p>
            <w:pPr>
              <w:jc w:val="center"/>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w:t>
            </w:r>
            <w:r/>
          </w:p>
        </w:tc>
      </w:tr>
    </w:tbl>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第二十八条   损失及赔偿金额计算所需单证包括：患方身份证明材料、患者的死亡证明、患者</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伤残等级证明、误工费及收入证明材料、医疗费用证明材料、护理费用证明材料、患者病历资料复印件、其他费用材料。</w:t>
      </w:r>
      <w:r/>
    </w:p>
    <w:p>
      <w:pPr>
        <w:numPr>
          <w:ilvl w:val="0"/>
          <w:numId w:val="30"/>
        </w:numPr>
        <w:jc w:val="cente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损害赔偿产品及标准</w:t>
      </w:r>
      <w:r/>
    </w:p>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第二十九条  依照《采购</w:t>
      </w:r>
      <w:r>
        <w:rPr>
          <w:rFonts w:hint="eastAsia" w:ascii="宋体" w:hAnsi="宋体" w:eastAsia="宋体" w:cs="宋体"/>
          <w:sz w:val="28"/>
          <w:szCs w:val="28"/>
        </w:rPr>
        <w:t xml:space="preserve">合同</w:t>
      </w:r>
      <w:r>
        <w:rPr>
          <w:rFonts w:hint="eastAsia" w:ascii="宋体" w:hAnsi="宋体" w:eastAsia="宋体" w:cs="宋体"/>
          <w:bCs/>
          <w:sz w:val="28"/>
          <w:szCs w:val="28"/>
        </w:rPr>
        <w:t xml:space="preserve">》约定，在《中华人民共和国民法典》及《最高人民法院关于审</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理人身损害赔偿案件适用法律若干问题的解释》的基础上，兴化市基层医疗机构医疗责任保险产品案件涉及的医疗损害赔偿产品及标准，包括但不限于患者误工期的确定及误工费的计算、患者护理期的确定及护理费的计算、患者营养费的认定及计算、患者住院伙食补助费、患方精神损害抚慰金、患者医疗费、患者被扶养人生活费的认定及计算、患者死亡赔偿金、患者残疾赔偿金</w:t>
      </w:r>
      <w:r>
        <w:rPr>
          <w:rFonts w:hint="eastAsia" w:ascii="宋体" w:hAnsi="宋体" w:eastAsia="宋体" w:cs="宋体"/>
          <w:sz w:val="28"/>
          <w:szCs w:val="28"/>
        </w:rPr>
        <w:t xml:space="preserve">、交通费、住宿费、住院伙食补助费、必要的营养费、残疾辅助器具费、康复费、护理费、后续治疗费、丧葬费、办理丧葬事宜支出的合理的交通费、住宿费和误工损失、精神损害抚慰金等</w:t>
      </w:r>
      <w:r>
        <w:rPr>
          <w:rFonts w:hint="eastAsia" w:ascii="宋体" w:hAnsi="宋体" w:eastAsia="宋体" w:cs="宋体"/>
          <w:bCs/>
          <w:sz w:val="28"/>
          <w:szCs w:val="28"/>
        </w:rPr>
        <w:t xml:space="preserve">。依照本办法《损害赔偿产品及标准细则》确定。</w:t>
      </w:r>
      <w:r/>
    </w:p>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第三十条  按照本办法《损害赔偿产品及标准细则》约定计算的损失金额，保险公司应当予以</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认可。</w:t>
      </w:r>
      <w:r/>
    </w:p>
    <w:p>
      <w:pPr>
        <w:numPr>
          <w:ilvl w:val="0"/>
          <w:numId w:val="30"/>
        </w:numPr>
        <w:jc w:val="cente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其他事项</w:t>
      </w:r>
      <w:r/>
    </w:p>
    <w:p>
      <w:pPr>
        <w:ind w:left="518"/>
        <w:spacing w:line="360" w:lineRule="auto"/>
        <w:rPr>
          <w:rFonts w:hint="eastAsia" w:ascii="宋体" w:hAnsi="宋体" w:eastAsia="宋体" w:cs="宋体"/>
          <w:bCs/>
          <w:color w:val="000000"/>
          <w:sz w:val="28"/>
          <w:szCs w:val="28"/>
        </w:rPr>
      </w:pPr>
      <w:r>
        <w:rPr>
          <w:rFonts w:hint="eastAsia" w:ascii="宋体" w:hAnsi="宋体" w:eastAsia="宋体" w:cs="宋体"/>
          <w:bCs/>
          <w:sz w:val="28"/>
          <w:szCs w:val="28"/>
        </w:rPr>
        <w:t xml:space="preserve">第三十一条  </w:t>
      </w:r>
      <w:r>
        <w:rPr>
          <w:rFonts w:hint="eastAsia" w:ascii="宋体" w:hAnsi="宋体" w:eastAsia="宋体" w:cs="宋体"/>
          <w:sz w:val="28"/>
          <w:szCs w:val="28"/>
        </w:rPr>
        <w:t xml:space="preserve">发生保险责任范围内的保险事故，</w:t>
      </w:r>
      <w:r>
        <w:rPr>
          <w:rFonts w:hint="eastAsia" w:ascii="宋体" w:hAnsi="宋体" w:eastAsia="宋体" w:cs="宋体"/>
          <w:bCs/>
          <w:color w:val="000000"/>
          <w:sz w:val="28"/>
          <w:szCs w:val="28"/>
        </w:rPr>
        <w:t xml:space="preserve">医疗机构在保险事故中承担的责任度，根据</w:t>
      </w:r>
      <w:r/>
    </w:p>
    <w:p>
      <w:pPr>
        <w:spacing w:line="360" w:lineRule="auto"/>
        <w:rPr>
          <w:rFonts w:hint="eastAsia" w:ascii="宋体" w:hAnsi="宋体" w:eastAsia="宋体" w:cs="宋体"/>
          <w:b/>
          <w:bCs/>
          <w:sz w:val="28"/>
          <w:szCs w:val="28"/>
        </w:rPr>
      </w:pPr>
      <w:r>
        <w:rPr>
          <w:rFonts w:hint="eastAsia" w:ascii="宋体" w:hAnsi="宋体" w:eastAsia="宋体" w:cs="宋体"/>
          <w:bCs/>
          <w:color w:val="000000"/>
          <w:sz w:val="28"/>
          <w:szCs w:val="28"/>
        </w:rPr>
        <w:t xml:space="preserve">2021年11月17日司法部下发的《人身损害与疾病因果关系判定指南》（附录A），按照人身损害在疾病后果中的原因力大小（因果关系类型），依次将人身损害参与程度分为以下六个等级： 完全因果关系：96%～100%； 主要因果关系：56%～95%； 同等因果关系：45%～55%； 次要因果关系：16%～44%； 轻微因果关系：5%～15%； 没有因果关系：0%～4%。</w:t>
      </w:r>
      <w:r/>
    </w:p>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第三十二条  发生保险责任范围内的保险事故，根据医疗机构提供的索赔材料，参考案件的损</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害范围、受害人的经济承担能力等因素，在每次事故每位患者公平原则限额内酌情赔偿。</w:t>
      </w:r>
      <w:r/>
    </w:p>
    <w:p>
      <w:pPr>
        <w:ind w:left="518"/>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第三十三条  对于第三方侵权（如交通事故等）合并发生医疗责任保险案件，赔偿主体除医疗</w:t>
      </w:r>
      <w:r/>
    </w:p>
    <w:p>
      <w:pP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机构外尚有其他主体的，医疗纠纷调解组织需对患者外伤入院时的不良预后风险及医疗机构的医疗过错责任进行咨询，保险公司应承担相应的赔偿责任，认可或出具相应的分割单，同时不得以要求患者先行处理第三方侵权事件为由拒绝赔偿或拖延赔偿。</w:t>
      </w:r>
      <w:r/>
    </w:p>
    <w:p>
      <w:pPr>
        <w:numPr>
          <w:ilvl w:val="0"/>
          <w:numId w:val="30"/>
        </w:numPr>
        <w:jc w:val="center"/>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附则</w:t>
      </w:r>
      <w:r/>
    </w:p>
    <w:p>
      <w:pPr>
        <w:ind w:left="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第三十四条   本办法由《采购</w:t>
      </w:r>
      <w:r>
        <w:rPr>
          <w:rFonts w:hint="eastAsia" w:ascii="宋体" w:hAnsi="宋体" w:eastAsia="宋体" w:cs="宋体"/>
          <w:sz w:val="28"/>
          <w:szCs w:val="28"/>
        </w:rPr>
        <w:t xml:space="preserve">合同</w:t>
      </w:r>
      <w:r>
        <w:rPr>
          <w:rFonts w:hint="eastAsia" w:ascii="宋体" w:hAnsi="宋体" w:eastAsia="宋体" w:cs="宋体"/>
          <w:bCs/>
          <w:sz w:val="28"/>
          <w:szCs w:val="28"/>
        </w:rPr>
        <w:t xml:space="preserve">》各方共同负责制订、修改、解释。</w:t>
      </w:r>
      <w:r/>
    </w:p>
    <w:p>
      <w:pPr>
        <w:ind w:left="518"/>
        <w:spacing w:line="360" w:lineRule="auto"/>
        <w:rPr>
          <w:rFonts w:hint="eastAsia" w:ascii="宋体" w:hAnsi="宋体" w:eastAsia="宋体" w:cs="宋体"/>
          <w:b/>
          <w:bCs/>
          <w:sz w:val="28"/>
          <w:szCs w:val="28"/>
        </w:rPr>
      </w:pPr>
      <w:r>
        <w:rPr>
          <w:rFonts w:hint="eastAsia" w:ascii="宋体" w:hAnsi="宋体" w:eastAsia="宋体" w:cs="宋体"/>
          <w:bCs/>
          <w:sz w:val="28"/>
          <w:szCs w:val="28"/>
        </w:rPr>
        <w:t xml:space="preserve">第三十五条   本办法自采购协议签订之日起施行。</w:t>
      </w:r>
      <w:r/>
    </w:p>
    <w:p>
      <w:pPr>
        <w:ind w:right="386"/>
        <w:jc w:val="right"/>
        <w:spacing w:line="560" w:lineRule="exact"/>
        <w:rPr>
          <w:rFonts w:hint="eastAsia" w:ascii="宋体" w:hAnsi="宋体"/>
          <w:spacing w:val="-4"/>
          <w:sz w:val="28"/>
          <w:szCs w:val="28"/>
        </w:rPr>
      </w:pPr>
      <w:r>
        <w:rPr>
          <w:rFonts w:hint="eastAsia" w:ascii="宋体" w:hAnsi="宋体" w:cs="宋体"/>
          <w:sz w:val="28"/>
          <w:szCs w:val="28"/>
        </w:rPr>
        <w:t xml:space="preserve"> </w:t>
      </w:r>
      <w:r>
        <w:rPr>
          <w:rFonts w:hint="eastAsia" w:ascii="宋体" w:hAnsi="宋体"/>
          <w:sz w:val="28"/>
          <w:szCs w:val="28"/>
        </w:rPr>
        <w:t xml:space="preserve"> </w:t>
      </w:r>
      <w:r/>
    </w:p>
    <w:p>
      <w:pPr>
        <w:jc w:val="center"/>
        <w:spacing w:line="460" w:lineRule="exact"/>
        <w:rPr>
          <w:rFonts w:hint="eastAsia" w:ascii="宋体" w:hAnsi="宋体"/>
          <w:sz w:val="28"/>
          <w:szCs w:val="28"/>
        </w:rPr>
      </w:pPr>
      <w:r>
        <w:rPr>
          <w:rFonts w:hint="eastAsia" w:ascii="宋体" w:hAnsi="宋体"/>
          <w:sz w:val="28"/>
          <w:szCs w:val="28"/>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ahoma">
    <w:panose1 w:val="020B0604030504040204"/>
  </w:font>
  <w:font w:name="楷体">
    <w:panose1 w:val="020106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4059182"/>
      <w:rPr/>
    </w:sdtPr>
    <w:sdtContent>
      <w:p>
        <w:pPr>
          <w:pStyle w:val="81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pPr>
    <w:r>
      <w:rPr>
        <w14:ligatures w14:val="standardContextual"/>
      </w:rPr>
      <mc:AlternateContent>
        <mc:Choice Requires="wpg">
          <w:drawing>
            <wp:inline xmlns:wp="http://schemas.openxmlformats.org/drawingml/2006/wordprocessingDrawing" distT="0" distB="0" distL="0" distR="0">
              <wp:extent cx="781050" cy="330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53416" name="图片 1"/>
                      <pic:cNvPicPr>
                        <a:picLocks noChangeAspect="1"/>
                      </pic:cNvPicPr>
                      <pic:nvPr/>
                    </pic:nvPicPr>
                    <pic:blipFill>
                      <a:blip r:embed="rId1"/>
                      <a:stretch/>
                    </pic:blipFill>
                    <pic:spPr bwMode="auto">
                      <a:xfrm>
                        <a:off x="0" y="0"/>
                        <a:ext cx="811840" cy="3438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26.0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3850" w:hanging="360"/>
      </w:pPr>
      <w:rPr>
        <w:rFonts w:hint="default" w:ascii="Courier New" w:hAnsi="Courier New" w:eastAsia="Courier New" w:cs="Courier New"/>
      </w:rPr>
    </w:lvl>
    <w:lvl w:ilvl="2">
      <w:start w:val="1"/>
      <w:numFmt w:val="bullet"/>
      <w:isLgl w:val="false"/>
      <w:suff w:val="tab"/>
      <w:lvlText w:val="§"/>
      <w:lvlJc w:val="left"/>
      <w:pPr>
        <w:ind w:left="4570" w:hanging="360"/>
      </w:pPr>
      <w:rPr>
        <w:rFonts w:hint="default" w:ascii="Wingdings" w:hAnsi="Wingdings" w:eastAsia="Wingdings" w:cs="Wingdings"/>
      </w:rPr>
    </w:lvl>
    <w:lvl w:ilvl="3">
      <w:start w:val="1"/>
      <w:numFmt w:val="bullet"/>
      <w:isLgl w:val="false"/>
      <w:suff w:val="tab"/>
      <w:lvlText w:val="·"/>
      <w:lvlJc w:val="left"/>
      <w:pPr>
        <w:ind w:left="5290" w:hanging="360"/>
      </w:pPr>
      <w:rPr>
        <w:rFonts w:hint="default" w:ascii="Symbol" w:hAnsi="Symbol" w:eastAsia="Symbol" w:cs="Symbol"/>
      </w:rPr>
    </w:lvl>
    <w:lvl w:ilvl="4">
      <w:start w:val="1"/>
      <w:numFmt w:val="bullet"/>
      <w:isLgl w:val="false"/>
      <w:suff w:val="tab"/>
      <w:lvlText w:val="o"/>
      <w:lvlJc w:val="left"/>
      <w:pPr>
        <w:ind w:left="6010" w:hanging="360"/>
      </w:pPr>
      <w:rPr>
        <w:rFonts w:hint="default" w:ascii="Courier New" w:hAnsi="Courier New" w:eastAsia="Courier New" w:cs="Courier New"/>
      </w:rPr>
    </w:lvl>
    <w:lvl w:ilvl="5">
      <w:start w:val="1"/>
      <w:numFmt w:val="bullet"/>
      <w:isLgl w:val="false"/>
      <w:suff w:val="tab"/>
      <w:lvlText w:val="§"/>
      <w:lvlJc w:val="left"/>
      <w:pPr>
        <w:ind w:left="6730" w:hanging="360"/>
      </w:pPr>
      <w:rPr>
        <w:rFonts w:hint="default" w:ascii="Wingdings" w:hAnsi="Wingdings" w:eastAsia="Wingdings" w:cs="Wingdings"/>
      </w:rPr>
    </w:lvl>
    <w:lvl w:ilvl="6">
      <w:start w:val="1"/>
      <w:numFmt w:val="bullet"/>
      <w:isLgl w:val="false"/>
      <w:suff w:val="tab"/>
      <w:lvlText w:val="·"/>
      <w:lvlJc w:val="left"/>
      <w:pPr>
        <w:ind w:left="7450" w:hanging="360"/>
      </w:pPr>
      <w:rPr>
        <w:rFonts w:hint="default" w:ascii="Symbol" w:hAnsi="Symbol" w:eastAsia="Symbol" w:cs="Symbol"/>
      </w:rPr>
    </w:lvl>
    <w:lvl w:ilvl="7">
      <w:start w:val="1"/>
      <w:numFmt w:val="bullet"/>
      <w:isLgl w:val="false"/>
      <w:suff w:val="tab"/>
      <w:lvlText w:val="o"/>
      <w:lvlJc w:val="left"/>
      <w:pPr>
        <w:ind w:left="8170" w:hanging="360"/>
      </w:pPr>
      <w:rPr>
        <w:rFonts w:hint="default" w:ascii="Courier New" w:hAnsi="Courier New" w:eastAsia="Courier New" w:cs="Courier New"/>
      </w:rPr>
    </w:lvl>
    <w:lvl w:ilvl="8">
      <w:start w:val="1"/>
      <w:numFmt w:val="bullet"/>
      <w:isLgl w:val="false"/>
      <w:suff w:val="tab"/>
      <w:lvlText w:val="§"/>
      <w:lvlJc w:val="left"/>
      <w:pPr>
        <w:ind w:left="889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4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space"/>
      <w:lvlText w:val="第%1条"/>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214"/>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nothing"/>
      <w:lvlText w:val="（%1）"/>
      <w:lvlJc w:val="left"/>
      <w:pPr>
        <w:ind w:left="0" w:firstLine="42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japaneseCounting"/>
      <w:isLgl w:val="false"/>
      <w:suff w:val="tab"/>
      <w:lvlText w:val="%1、"/>
      <w:lvlJc w:val="left"/>
      <w:pPr>
        <w:ind w:left="730" w:hanging="450"/>
      </w:pPr>
      <w:rPr>
        <w:rFonts w:hint="default" w:ascii="Times New Roman" w:hAnsi="Times New Roman" w:eastAsia="宋体"/>
        <w:b/>
        <w:color w:val="000000"/>
      </w:rPr>
    </w:lvl>
    <w:lvl w:ilvl="1">
      <w:start w:val="1"/>
      <w:numFmt w:val="lowerLetter"/>
      <w:isLgl w:val="false"/>
      <w:suff w:val="tab"/>
      <w:lvlText w:val="%2)"/>
      <w:lvlJc w:val="left"/>
      <w:pPr>
        <w:ind w:left="1120" w:hanging="420"/>
      </w:pPr>
    </w:lvl>
    <w:lvl w:ilvl="2">
      <w:start w:val="1"/>
      <w:numFmt w:val="lowerRoman"/>
      <w:isLgl w:val="false"/>
      <w:suff w:val="tab"/>
      <w:lvlText w:val="%3."/>
      <w:lvlJc w:val="right"/>
      <w:pPr>
        <w:ind w:left="1540" w:hanging="420"/>
      </w:pPr>
    </w:lvl>
    <w:lvl w:ilvl="3">
      <w:start w:val="1"/>
      <w:numFmt w:val="decimal"/>
      <w:isLgl w:val="false"/>
      <w:suff w:val="tab"/>
      <w:lvlText w:val="%4."/>
      <w:lvlJc w:val="left"/>
      <w:pPr>
        <w:ind w:left="1960" w:hanging="420"/>
      </w:pPr>
    </w:lvl>
    <w:lvl w:ilvl="4">
      <w:start w:val="1"/>
      <w:numFmt w:val="lowerLetter"/>
      <w:isLgl w:val="false"/>
      <w:suff w:val="tab"/>
      <w:lvlText w:val="%5)"/>
      <w:lvlJc w:val="left"/>
      <w:pPr>
        <w:ind w:left="2380" w:hanging="420"/>
      </w:pPr>
    </w:lvl>
    <w:lvl w:ilvl="5">
      <w:start w:val="1"/>
      <w:numFmt w:val="lowerRoman"/>
      <w:isLgl w:val="false"/>
      <w:suff w:val="tab"/>
      <w:lvlText w:val="%6."/>
      <w:lvlJc w:val="right"/>
      <w:pPr>
        <w:ind w:left="2800" w:hanging="420"/>
      </w:pPr>
    </w:lvl>
    <w:lvl w:ilvl="6">
      <w:start w:val="1"/>
      <w:numFmt w:val="decimal"/>
      <w:isLgl w:val="false"/>
      <w:suff w:val="tab"/>
      <w:lvlText w:val="%7."/>
      <w:lvlJc w:val="left"/>
      <w:pPr>
        <w:ind w:left="3220" w:hanging="420"/>
      </w:pPr>
    </w:lvl>
    <w:lvl w:ilvl="7">
      <w:start w:val="1"/>
      <w:numFmt w:val="lowerLetter"/>
      <w:isLgl w:val="false"/>
      <w:suff w:val="tab"/>
      <w:lvlText w:val="%8)"/>
      <w:lvlJc w:val="left"/>
      <w:pPr>
        <w:ind w:left="3640" w:hanging="420"/>
      </w:pPr>
    </w:lvl>
    <w:lvl w:ilvl="8">
      <w:start w:val="1"/>
      <w:numFmt w:val="lowerRoman"/>
      <w:isLgl w:val="false"/>
      <w:suff w:val="tab"/>
      <w:lvlText w:val="%9."/>
      <w:lvlJc w:val="right"/>
      <w:pPr>
        <w:ind w:left="4060" w:hanging="420"/>
      </w:pPr>
    </w:lvl>
  </w:abstractNum>
  <w:num w:numId="1">
    <w:abstractNumId w:val="28"/>
  </w:num>
  <w:num w:numId="2">
    <w:abstractNumId w:val="22"/>
  </w:num>
  <w:num w:numId="3">
    <w:abstractNumId w:val="15"/>
  </w:num>
  <w:num w:numId="4">
    <w:abstractNumId w:val="3"/>
  </w:num>
  <w:num w:numId="5">
    <w:abstractNumId w:val="16"/>
  </w:num>
  <w:num w:numId="6">
    <w:abstractNumId w:val="29"/>
  </w:num>
  <w:num w:numId="7">
    <w:abstractNumId w:val="13"/>
  </w:num>
  <w:num w:numId="8">
    <w:abstractNumId w:val="1"/>
  </w:num>
  <w:num w:numId="9">
    <w:abstractNumId w:val="18"/>
  </w:num>
  <w:num w:numId="10">
    <w:abstractNumId w:val="11"/>
  </w:num>
  <w:num w:numId="11">
    <w:abstractNumId w:val="17"/>
  </w:num>
  <w:num w:numId="12">
    <w:abstractNumId w:val="9"/>
  </w:num>
  <w:num w:numId="13">
    <w:abstractNumId w:val="30"/>
  </w:num>
  <w:num w:numId="14">
    <w:abstractNumId w:val="23"/>
  </w:num>
  <w:num w:numId="15">
    <w:abstractNumId w:val="6"/>
  </w:num>
  <w:num w:numId="16">
    <w:abstractNumId w:val="0"/>
  </w:num>
  <w:num w:numId="17">
    <w:abstractNumId w:val="27"/>
  </w:num>
  <w:num w:numId="18">
    <w:abstractNumId w:val="8"/>
  </w:num>
  <w:num w:numId="19">
    <w:abstractNumId w:val="12"/>
  </w:num>
  <w:num w:numId="20">
    <w:abstractNumId w:val="25"/>
  </w:num>
  <w:num w:numId="21">
    <w:abstractNumId w:val="4"/>
  </w:num>
  <w:num w:numId="22">
    <w:abstractNumId w:val="7"/>
  </w:num>
  <w:num w:numId="23">
    <w:abstractNumId w:val="5"/>
  </w:num>
  <w:num w:numId="24">
    <w:abstractNumId w:val="24"/>
  </w:num>
  <w:num w:numId="25">
    <w:abstractNumId w:val="20"/>
  </w:num>
  <w:num w:numId="26">
    <w:abstractNumId w:val="19"/>
  </w:num>
  <w:num w:numId="27">
    <w:abstractNumId w:val="2"/>
  </w:num>
  <w:num w:numId="28">
    <w:abstractNumId w:val="10"/>
  </w:num>
  <w:num w:numId="29">
    <w:abstractNumId w:val="32"/>
  </w:num>
  <w:num w:numId="30">
    <w:abstractNumId w:val="21"/>
  </w:num>
  <w:num w:numId="31">
    <w:abstractNumId w:val="26"/>
  </w:num>
  <w:num w:numId="32">
    <w:abstractNumId w:val="14"/>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2 Char"/>
    <w:basedOn w:val="791"/>
    <w:link w:val="783"/>
    <w:uiPriority w:val="9"/>
    <w:rPr>
      <w:rFonts w:ascii="Arial" w:hAnsi="Arial" w:eastAsia="Arial" w:cs="Arial"/>
      <w:sz w:val="34"/>
    </w:rPr>
  </w:style>
  <w:style w:type="character" w:styleId="746">
    <w:name w:val="Heading 3 Char"/>
    <w:basedOn w:val="791"/>
    <w:link w:val="784"/>
    <w:uiPriority w:val="9"/>
    <w:rPr>
      <w:rFonts w:ascii="Arial" w:hAnsi="Arial" w:eastAsia="Arial" w:cs="Arial"/>
      <w:sz w:val="30"/>
      <w:szCs w:val="30"/>
    </w:rPr>
  </w:style>
  <w:style w:type="character" w:styleId="747">
    <w:name w:val="Heading 4 Char"/>
    <w:basedOn w:val="791"/>
    <w:link w:val="785"/>
    <w:uiPriority w:val="9"/>
    <w:rPr>
      <w:rFonts w:ascii="Arial" w:hAnsi="Arial" w:eastAsia="Arial" w:cs="Arial"/>
      <w:b/>
      <w:bCs/>
      <w:sz w:val="26"/>
      <w:szCs w:val="26"/>
    </w:rPr>
  </w:style>
  <w:style w:type="character" w:styleId="748">
    <w:name w:val="Heading 5 Char"/>
    <w:basedOn w:val="791"/>
    <w:link w:val="786"/>
    <w:uiPriority w:val="9"/>
    <w:rPr>
      <w:rFonts w:ascii="Arial" w:hAnsi="Arial" w:eastAsia="Arial" w:cs="Arial"/>
      <w:b/>
      <w:bCs/>
      <w:sz w:val="24"/>
      <w:szCs w:val="24"/>
    </w:rPr>
  </w:style>
  <w:style w:type="character" w:styleId="749">
    <w:name w:val="Heading 6 Char"/>
    <w:basedOn w:val="791"/>
    <w:link w:val="787"/>
    <w:uiPriority w:val="9"/>
    <w:rPr>
      <w:rFonts w:ascii="Arial" w:hAnsi="Arial" w:eastAsia="Arial" w:cs="Arial"/>
      <w:b/>
      <w:bCs/>
      <w:sz w:val="22"/>
      <w:szCs w:val="22"/>
    </w:rPr>
  </w:style>
  <w:style w:type="character" w:styleId="750">
    <w:name w:val="Heading 7 Char"/>
    <w:basedOn w:val="791"/>
    <w:link w:val="788"/>
    <w:uiPriority w:val="9"/>
    <w:rPr>
      <w:rFonts w:ascii="Arial" w:hAnsi="Arial" w:eastAsia="Arial" w:cs="Arial"/>
      <w:b/>
      <w:bCs/>
      <w:i/>
      <w:iCs/>
      <w:sz w:val="22"/>
      <w:szCs w:val="22"/>
    </w:rPr>
  </w:style>
  <w:style w:type="character" w:styleId="751">
    <w:name w:val="Heading 8 Char"/>
    <w:basedOn w:val="791"/>
    <w:link w:val="789"/>
    <w:uiPriority w:val="9"/>
    <w:rPr>
      <w:rFonts w:ascii="Arial" w:hAnsi="Arial" w:eastAsia="Arial" w:cs="Arial"/>
      <w:i/>
      <w:iCs/>
      <w:sz w:val="22"/>
      <w:szCs w:val="22"/>
    </w:rPr>
  </w:style>
  <w:style w:type="character" w:styleId="752">
    <w:name w:val="Heading 9 Char"/>
    <w:basedOn w:val="791"/>
    <w:link w:val="790"/>
    <w:uiPriority w:val="9"/>
    <w:rPr>
      <w:rFonts w:ascii="Arial" w:hAnsi="Arial" w:eastAsia="Arial" w:cs="Arial"/>
      <w:i/>
      <w:iCs/>
      <w:sz w:val="21"/>
      <w:szCs w:val="21"/>
    </w:rPr>
  </w:style>
  <w:style w:type="character" w:styleId="753">
    <w:name w:val="Title Char"/>
    <w:basedOn w:val="791"/>
    <w:link w:val="830"/>
    <w:uiPriority w:val="10"/>
    <w:rPr>
      <w:sz w:val="48"/>
      <w:szCs w:val="48"/>
    </w:rPr>
  </w:style>
  <w:style w:type="character" w:styleId="754">
    <w:name w:val="Subtitle Char"/>
    <w:basedOn w:val="791"/>
    <w:link w:val="820"/>
    <w:uiPriority w:val="11"/>
    <w:rPr>
      <w:sz w:val="24"/>
      <w:szCs w:val="24"/>
    </w:rPr>
  </w:style>
  <w:style w:type="character" w:styleId="755">
    <w:name w:val="Quote Char"/>
    <w:link w:val="1050"/>
    <w:uiPriority w:val="29"/>
    <w:rPr>
      <w:i/>
    </w:rPr>
  </w:style>
  <w:style w:type="character" w:styleId="756">
    <w:name w:val="Intense Quote Char"/>
    <w:link w:val="1052"/>
    <w:uiPriority w:val="30"/>
    <w:rPr>
      <w:i/>
    </w:rPr>
  </w:style>
  <w:style w:type="character" w:styleId="757">
    <w:name w:val="Header Char"/>
    <w:basedOn w:val="791"/>
    <w:link w:val="817"/>
    <w:uiPriority w:val="99"/>
  </w:style>
  <w:style w:type="character" w:styleId="758">
    <w:name w:val="Caption Char"/>
    <w:basedOn w:val="796"/>
    <w:link w:val="815"/>
    <w:uiPriority w:val="99"/>
  </w:style>
  <w:style w:type="table" w:styleId="75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Footnote Text Char"/>
    <w:link w:val="821"/>
    <w:uiPriority w:val="99"/>
    <w:rPr>
      <w:sz w:val="18"/>
    </w:rPr>
  </w:style>
  <w:style w:type="character" w:styleId="779">
    <w:name w:val="Endnote Text Char"/>
    <w:link w:val="813"/>
    <w:uiPriority w:val="99"/>
    <w:rPr>
      <w:sz w:val="20"/>
    </w:rPr>
  </w:style>
  <w:style w:type="paragraph" w:styleId="780">
    <w:name w:val="TOC Heading"/>
    <w:uiPriority w:val="39"/>
    <w:unhideWhenUsed/>
  </w:style>
  <w:style w:type="paragraph" w:styleId="78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2">
    <w:name w:val="Heading 1"/>
    <w:basedOn w:val="781"/>
    <w:next w:val="781"/>
    <w:link w:val="847"/>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83">
    <w:name w:val="Heading 2"/>
    <w:basedOn w:val="781"/>
    <w:next w:val="781"/>
    <w:link w:val="848"/>
    <w:uiPriority w:val="9"/>
    <w:qFormat/>
    <w:pPr>
      <w:keepLines/>
      <w:keepNext/>
      <w:spacing w:before="260" w:after="260" w:line="416" w:lineRule="auto"/>
      <w:outlineLvl w:val="1"/>
    </w:pPr>
    <w:rPr>
      <w:rFonts w:ascii="Cambria" w:hAnsi="Cambria"/>
      <w:b/>
      <w:bCs/>
      <w:sz w:val="32"/>
      <w:szCs w:val="32"/>
    </w:rPr>
  </w:style>
  <w:style w:type="paragraph" w:styleId="784">
    <w:name w:val="Heading 3"/>
    <w:basedOn w:val="781"/>
    <w:next w:val="781"/>
    <w:link w:val="849"/>
    <w:uiPriority w:val="9"/>
    <w:qFormat/>
    <w:pPr>
      <w:keepLines/>
      <w:keepNext/>
      <w:spacing w:before="260" w:after="260" w:line="416" w:lineRule="auto"/>
      <w:outlineLvl w:val="2"/>
    </w:pPr>
    <w:rPr>
      <w:b/>
      <w:bCs/>
      <w:sz w:val="32"/>
      <w:szCs w:val="32"/>
    </w:rPr>
  </w:style>
  <w:style w:type="paragraph" w:styleId="785">
    <w:name w:val="Heading 4"/>
    <w:basedOn w:val="781"/>
    <w:next w:val="781"/>
    <w:link w:val="850"/>
    <w:uiPriority w:val="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86">
    <w:name w:val="Heading 5"/>
    <w:basedOn w:val="781"/>
    <w:next w:val="781"/>
    <w:link w:val="851"/>
    <w:uiPriority w:val="9"/>
    <w:qFormat/>
    <w:pPr>
      <w:jc w:val="left"/>
      <w:keepLines/>
      <w:keepNext/>
      <w:spacing w:line="360" w:lineRule="auto"/>
      <w:outlineLvl w:val="4"/>
    </w:pPr>
    <w:rPr>
      <w:rFonts w:eastAsia="黑体"/>
      <w:bCs/>
      <w:sz w:val="24"/>
      <w:szCs w:val="28"/>
    </w:rPr>
  </w:style>
  <w:style w:type="paragraph" w:styleId="787">
    <w:name w:val="Heading 6"/>
    <w:basedOn w:val="781"/>
    <w:next w:val="781"/>
    <w:link w:val="852"/>
    <w:uiPriority w:val="9"/>
    <w:qFormat/>
    <w:pPr>
      <w:ind w:left="1152" w:hanging="1152"/>
      <w:jc w:val="left"/>
      <w:keepLines/>
      <w:keepNext/>
      <w:spacing w:before="240" w:after="64" w:line="320" w:lineRule="auto"/>
      <w:outlineLvl w:val="5"/>
    </w:pPr>
    <w:rPr>
      <w:rFonts w:ascii="Cambria" w:hAnsi="Cambria"/>
      <w:b/>
      <w:bCs/>
      <w:sz w:val="24"/>
    </w:rPr>
  </w:style>
  <w:style w:type="paragraph" w:styleId="788">
    <w:name w:val="Heading 7"/>
    <w:basedOn w:val="781"/>
    <w:next w:val="781"/>
    <w:link w:val="853"/>
    <w:uiPriority w:val="9"/>
    <w:qFormat/>
    <w:pPr>
      <w:ind w:left="1296" w:hanging="1296"/>
      <w:jc w:val="left"/>
      <w:keepLines/>
      <w:keepNext/>
      <w:spacing w:before="240" w:after="64" w:line="320" w:lineRule="auto"/>
      <w:outlineLvl w:val="6"/>
    </w:pPr>
    <w:rPr>
      <w:b/>
      <w:bCs/>
      <w:sz w:val="24"/>
    </w:rPr>
  </w:style>
  <w:style w:type="paragraph" w:styleId="789">
    <w:name w:val="Heading 8"/>
    <w:basedOn w:val="781"/>
    <w:next w:val="781"/>
    <w:link w:val="854"/>
    <w:uiPriority w:val="9"/>
    <w:qFormat/>
    <w:pPr>
      <w:ind w:left="1440" w:hanging="1440"/>
      <w:jc w:val="left"/>
      <w:keepLines/>
      <w:keepNext/>
      <w:spacing w:before="240" w:after="64" w:line="320" w:lineRule="auto"/>
      <w:outlineLvl w:val="7"/>
    </w:pPr>
    <w:rPr>
      <w:rFonts w:ascii="Cambria" w:hAnsi="Cambria"/>
      <w:sz w:val="24"/>
    </w:rPr>
  </w:style>
  <w:style w:type="paragraph" w:styleId="790">
    <w:name w:val="Heading 9"/>
    <w:basedOn w:val="782"/>
    <w:next w:val="781"/>
    <w:link w:val="855"/>
    <w:uiPriority w:val="9"/>
    <w:qFormat/>
    <w:pPr>
      <w:spacing w:before="0" w:line="360" w:lineRule="auto"/>
      <w:outlineLvl w:val="8"/>
    </w:pPr>
    <w:rPr>
      <w:rFonts w:ascii="Times New Roman" w:hAnsi="Times New Roman" w:eastAsia="黑体"/>
      <w:b/>
      <w:bCs/>
      <w:sz w:val="32"/>
      <w:szCs w:val="32"/>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680"/>
      <w:jc w:val="left"/>
      <w:spacing w:line="360" w:lineRule="auto"/>
    </w:pPr>
    <w:rPr>
      <w:rFonts w:ascii="Calibri" w:hAnsi="Calibri" w:cs="Calibri"/>
      <w:sz w:val="18"/>
      <w:szCs w:val="18"/>
    </w:rPr>
  </w:style>
  <w:style w:type="paragraph" w:styleId="794">
    <w:name w:val="table of authorities"/>
    <w:basedOn w:val="781"/>
    <w:next w:val="781"/>
    <w:uiPriority w:val="99"/>
    <w:unhideWhenUsed/>
    <w:qFormat/>
    <w:pPr>
      <w:ind w:left="420"/>
    </w:pPr>
    <w:rPr>
      <w:szCs w:val="20"/>
    </w:rPr>
  </w:style>
  <w:style w:type="paragraph" w:styleId="795">
    <w:name w:val="Normal Indent"/>
    <w:basedOn w:val="781"/>
    <w:link w:val="919"/>
    <w:uiPriority w:val="0"/>
    <w:qFormat/>
    <w:pPr>
      <w:ind w:firstLine="200"/>
      <w:jc w:val="left"/>
      <w:spacing w:line="500" w:lineRule="atLeast"/>
    </w:pPr>
    <w:rPr>
      <w:sz w:val="28"/>
    </w:rPr>
  </w:style>
  <w:style w:type="paragraph" w:styleId="796">
    <w:name w:val="Caption"/>
    <w:basedOn w:val="781"/>
    <w:next w:val="781"/>
    <w:link w:val="920"/>
    <w:uiPriority w:val="35"/>
    <w:qFormat/>
    <w:pPr>
      <w:jc w:val="center"/>
      <w:spacing w:line="360" w:lineRule="auto"/>
    </w:pPr>
    <w:rPr>
      <w:rFonts w:eastAsia="黑体"/>
      <w:sz w:val="24"/>
      <w:szCs w:val="20"/>
    </w:rPr>
  </w:style>
  <w:style w:type="paragraph" w:styleId="797">
    <w:name w:val="index 5"/>
    <w:basedOn w:val="781"/>
    <w:next w:val="781"/>
    <w:uiPriority w:val="0"/>
    <w:qFormat/>
    <w:pPr>
      <w:ind w:left="798"/>
    </w:pPr>
    <w:rPr>
      <w:rFonts w:ascii="Calibri" w:hAnsi="Calibri"/>
    </w:rPr>
  </w:style>
  <w:style w:type="paragraph" w:styleId="798">
    <w:name w:val="Document Map"/>
    <w:basedOn w:val="781"/>
    <w:link w:val="857"/>
    <w:uiPriority w:val="0"/>
    <w:unhideWhenUsed/>
    <w:qFormat/>
    <w:pPr>
      <w:jc w:val="left"/>
      <w:spacing w:line="360" w:lineRule="auto"/>
      <w:widowControl/>
    </w:pPr>
    <w:rPr>
      <w:rFonts w:ascii="宋体" w:hAnsi="Calibri"/>
      <w:sz w:val="18"/>
      <w:szCs w:val="18"/>
    </w:rPr>
  </w:style>
  <w:style w:type="paragraph" w:styleId="799">
    <w:name w:val="annotation text"/>
    <w:basedOn w:val="781"/>
    <w:link w:val="858"/>
    <w:uiPriority w:val="0"/>
    <w:qFormat/>
    <w:pPr>
      <w:ind w:firstLine="200"/>
      <w:jc w:val="left"/>
      <w:spacing w:line="360" w:lineRule="auto"/>
    </w:pPr>
    <w:rPr>
      <w:sz w:val="28"/>
    </w:rPr>
  </w:style>
  <w:style w:type="paragraph" w:styleId="800">
    <w:name w:val="Body Text 3"/>
    <w:basedOn w:val="781"/>
    <w:link w:val="1208"/>
    <w:uiPriority w:val="0"/>
    <w:qFormat/>
    <w:rPr>
      <w:rFonts w:ascii="宋体"/>
      <w:sz w:val="28"/>
      <w:szCs w:val="20"/>
    </w:rPr>
  </w:style>
  <w:style w:type="paragraph" w:styleId="801">
    <w:name w:val="Body Text"/>
    <w:basedOn w:val="781"/>
    <w:next w:val="802"/>
    <w:link w:val="859"/>
    <w:uiPriority w:val="0"/>
    <w:qFormat/>
    <w:pPr>
      <w:spacing w:after="120"/>
    </w:pPr>
    <w:rPr>
      <w:sz w:val="15"/>
    </w:rPr>
  </w:style>
  <w:style w:type="paragraph" w:styleId="802">
    <w:name w:val="Body Text First Indent"/>
    <w:basedOn w:val="801"/>
    <w:link w:val="860"/>
    <w:uiPriority w:val="0"/>
    <w:qFormat/>
    <w:pPr>
      <w:ind w:firstLine="420"/>
    </w:pPr>
    <w:rPr>
      <w:sz w:val="21"/>
    </w:rPr>
  </w:style>
  <w:style w:type="paragraph" w:styleId="803">
    <w:name w:val="Body Text Indent"/>
    <w:basedOn w:val="781"/>
    <w:link w:val="861"/>
    <w:uiPriority w:val="0"/>
    <w:qFormat/>
    <w:pPr>
      <w:ind w:firstLine="600"/>
    </w:pPr>
    <w:rPr>
      <w:rFonts w:eastAsia="仿宋_GB2312"/>
      <w:sz w:val="28"/>
    </w:rPr>
  </w:style>
  <w:style w:type="paragraph" w:styleId="804">
    <w:name w:val="List 2"/>
    <w:basedOn w:val="781"/>
    <w:uiPriority w:val="0"/>
    <w:qFormat/>
    <w:pPr>
      <w:ind w:left="100" w:hanging="200"/>
    </w:pPr>
    <w:rPr>
      <w:sz w:val="10"/>
    </w:rPr>
  </w:style>
  <w:style w:type="paragraph" w:styleId="805">
    <w:name w:val="Block Text"/>
    <w:basedOn w:val="781"/>
    <w:uiPriority w:val="99"/>
    <w:qFormat/>
    <w:pPr>
      <w:ind w:left="1440" w:right="1440"/>
      <w:spacing w:after="120"/>
    </w:pPr>
    <w:rPr>
      <w:szCs w:val="20"/>
    </w:rPr>
  </w:style>
  <w:style w:type="paragraph" w:styleId="806">
    <w:name w:val="index 4"/>
    <w:basedOn w:val="781"/>
    <w:next w:val="781"/>
    <w:uiPriority w:val="0"/>
    <w:qFormat/>
    <w:pPr>
      <w:ind w:left="600"/>
    </w:pPr>
    <w:rPr>
      <w:rFonts w:ascii="Verdana" w:hAnsi="Verdana"/>
      <w:szCs w:val="20"/>
    </w:rPr>
  </w:style>
  <w:style w:type="paragraph" w:styleId="807">
    <w:name w:val="toc 5"/>
    <w:basedOn w:val="781"/>
    <w:next w:val="781"/>
    <w:uiPriority w:val="39"/>
    <w:qFormat/>
    <w:pPr>
      <w:ind w:left="1680" w:firstLine="200"/>
      <w:jc w:val="left"/>
      <w:spacing w:line="360" w:lineRule="auto"/>
    </w:pPr>
    <w:rPr>
      <w:sz w:val="24"/>
      <w:szCs w:val="28"/>
    </w:rPr>
  </w:style>
  <w:style w:type="paragraph" w:styleId="808">
    <w:name w:val="toc 3"/>
    <w:basedOn w:val="781"/>
    <w:next w:val="781"/>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09">
    <w:name w:val="Plain Text"/>
    <w:basedOn w:val="781"/>
    <w:link w:val="922"/>
    <w:uiPriority w:val="0"/>
    <w:qFormat/>
    <w:pPr>
      <w:ind w:firstLine="200"/>
      <w:jc w:val="left"/>
      <w:spacing w:line="360" w:lineRule="auto"/>
    </w:pPr>
    <w:rPr>
      <w:rFonts w:ascii="宋体" w:hAnsi="Courier New"/>
      <w:szCs w:val="21"/>
    </w:rPr>
  </w:style>
  <w:style w:type="paragraph" w:styleId="810">
    <w:name w:val="toc 8"/>
    <w:basedOn w:val="781"/>
    <w:next w:val="781"/>
    <w:uiPriority w:val="39"/>
    <w:unhideWhenUsed/>
    <w:qFormat/>
    <w:pPr>
      <w:ind w:left="1960"/>
      <w:jc w:val="left"/>
      <w:spacing w:line="360" w:lineRule="auto"/>
    </w:pPr>
    <w:rPr>
      <w:rFonts w:ascii="Calibri" w:hAnsi="Calibri" w:cs="Calibri"/>
      <w:sz w:val="18"/>
      <w:szCs w:val="18"/>
    </w:rPr>
  </w:style>
  <w:style w:type="paragraph" w:styleId="811">
    <w:name w:val="Date"/>
    <w:basedOn w:val="781"/>
    <w:next w:val="781"/>
    <w:link w:val="843"/>
    <w:uiPriority w:val="0"/>
    <w:qFormat/>
    <w:pPr>
      <w:ind w:firstLine="652"/>
      <w:spacing w:line="319" w:lineRule="auto"/>
    </w:pPr>
    <w:rPr>
      <w:rFonts w:ascii="Century Schoolbook" w:hAnsi="Century Schoolbook" w:eastAsia="文鼎小标宋"/>
      <w:spacing w:val="-4"/>
      <w:sz w:val="23"/>
      <w:szCs w:val="20"/>
    </w:rPr>
  </w:style>
  <w:style w:type="paragraph" w:styleId="812">
    <w:name w:val="Body Text Indent 2"/>
    <w:basedOn w:val="781"/>
    <w:link w:val="924"/>
    <w:uiPriority w:val="0"/>
    <w:qFormat/>
    <w:pPr>
      <w:ind w:firstLine="412"/>
      <w:spacing w:line="400" w:lineRule="exact"/>
    </w:pPr>
    <w:rPr>
      <w:rFonts w:ascii="仿宋_GB2312" w:eastAsia="仿宋_GB2312"/>
      <w:sz w:val="24"/>
    </w:rPr>
  </w:style>
  <w:style w:type="paragraph" w:styleId="813">
    <w:name w:val="endnote text"/>
    <w:basedOn w:val="781"/>
    <w:link w:val="1180"/>
    <w:uiPriority w:val="99"/>
    <w:semiHidden/>
    <w:unhideWhenUsed/>
    <w:qFormat/>
    <w:rPr>
      <w:sz w:val="20"/>
    </w:rPr>
  </w:style>
  <w:style w:type="paragraph" w:styleId="814">
    <w:name w:val="Balloon Text"/>
    <w:basedOn w:val="781"/>
    <w:link w:val="864"/>
    <w:uiPriority w:val="0"/>
    <w:semiHidden/>
    <w:qFormat/>
    <w:rPr>
      <w:sz w:val="18"/>
      <w:szCs w:val="18"/>
    </w:rPr>
  </w:style>
  <w:style w:type="paragraph" w:styleId="815">
    <w:name w:val="Footer"/>
    <w:basedOn w:val="781"/>
    <w:link w:val="842"/>
    <w:uiPriority w:val="99"/>
    <w:unhideWhenUsed/>
    <w:qFormat/>
    <w:pPr>
      <w:jc w:val="left"/>
      <w:tabs>
        <w:tab w:val="center" w:pos="4153" w:leader="none"/>
        <w:tab w:val="right" w:pos="8306" w:leader="none"/>
      </w:tabs>
    </w:pPr>
    <w:rPr>
      <w:sz w:val="18"/>
      <w:szCs w:val="18"/>
    </w:rPr>
  </w:style>
  <w:style w:type="paragraph" w:styleId="816">
    <w:name w:val="envelope return"/>
    <w:basedOn w:val="781"/>
    <w:uiPriority w:val="0"/>
    <w:qFormat/>
    <w:rPr>
      <w:rFonts w:ascii="Arial" w:hAnsi="Arial"/>
    </w:rPr>
  </w:style>
  <w:style w:type="paragraph" w:styleId="817">
    <w:name w:val="Header"/>
    <w:basedOn w:val="781"/>
    <w:link w:val="841"/>
    <w:uiPriority w:val="99"/>
    <w:unhideWhenUsed/>
    <w:qFormat/>
    <w:pPr>
      <w:jc w:val="center"/>
      <w:tabs>
        <w:tab w:val="center" w:pos="4153" w:leader="none"/>
        <w:tab w:val="right" w:pos="8306" w:leader="none"/>
      </w:tabs>
    </w:pPr>
    <w:rPr>
      <w:sz w:val="18"/>
      <w:szCs w:val="18"/>
    </w:rPr>
  </w:style>
  <w:style w:type="paragraph" w:styleId="818">
    <w:name w:val="toc 1"/>
    <w:basedOn w:val="781"/>
    <w:next w:val="781"/>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19">
    <w:name w:val="toc 4"/>
    <w:basedOn w:val="781"/>
    <w:next w:val="781"/>
    <w:uiPriority w:val="39"/>
    <w:unhideWhenUsed/>
    <w:qFormat/>
    <w:pPr>
      <w:ind w:left="840"/>
      <w:jc w:val="left"/>
      <w:spacing w:line="360" w:lineRule="auto"/>
    </w:pPr>
    <w:rPr>
      <w:rFonts w:ascii="Calibri" w:hAnsi="Calibri" w:cs="Calibri"/>
      <w:sz w:val="18"/>
      <w:szCs w:val="18"/>
    </w:rPr>
  </w:style>
  <w:style w:type="paragraph" w:styleId="820">
    <w:name w:val="Subtitle"/>
    <w:basedOn w:val="781"/>
    <w:next w:val="781"/>
    <w:link w:val="865"/>
    <w:uiPriority w:val="11"/>
    <w:qFormat/>
    <w:pPr>
      <w:ind w:firstLine="200"/>
      <w:jc w:val="left"/>
      <w:spacing w:line="400" w:lineRule="exact"/>
      <w:outlineLvl w:val="1"/>
    </w:pPr>
    <w:rPr>
      <w:rFonts w:ascii="Cambria" w:hAnsi="Cambria" w:eastAsia="黑体"/>
      <w:b/>
      <w:bCs/>
      <w:szCs w:val="32"/>
    </w:rPr>
  </w:style>
  <w:style w:type="paragraph" w:styleId="821">
    <w:name w:val="footnote text"/>
    <w:basedOn w:val="781"/>
    <w:link w:val="866"/>
    <w:uiPriority w:val="99"/>
    <w:qFormat/>
    <w:pPr>
      <w:ind w:firstLine="200"/>
      <w:jc w:val="left"/>
      <w:spacing w:line="360" w:lineRule="auto"/>
    </w:pPr>
    <w:rPr>
      <w:sz w:val="18"/>
      <w:szCs w:val="18"/>
    </w:rPr>
  </w:style>
  <w:style w:type="paragraph" w:styleId="822">
    <w:name w:val="toc 6"/>
    <w:basedOn w:val="781"/>
    <w:next w:val="781"/>
    <w:uiPriority w:val="39"/>
    <w:unhideWhenUsed/>
    <w:qFormat/>
    <w:pPr>
      <w:ind w:left="1400"/>
      <w:jc w:val="left"/>
      <w:spacing w:line="360" w:lineRule="auto"/>
    </w:pPr>
    <w:rPr>
      <w:rFonts w:ascii="Calibri" w:hAnsi="Calibri" w:cs="Calibri"/>
      <w:sz w:val="18"/>
      <w:szCs w:val="18"/>
    </w:rPr>
  </w:style>
  <w:style w:type="paragraph" w:styleId="823">
    <w:name w:val="Body Text Indent 3"/>
    <w:basedOn w:val="781"/>
    <w:link w:val="867"/>
    <w:uiPriority w:val="0"/>
    <w:qFormat/>
    <w:pPr>
      <w:ind w:firstLine="600"/>
      <w:spacing w:before="50" w:after="50" w:line="400" w:lineRule="exact"/>
    </w:pPr>
    <w:rPr>
      <w:rFonts w:ascii="仿宋_GB2312" w:hAnsi="宋体" w:eastAsia="仿宋_GB2312"/>
      <w:sz w:val="32"/>
    </w:rPr>
  </w:style>
  <w:style w:type="paragraph" w:styleId="824">
    <w:name w:val="index 9"/>
    <w:basedOn w:val="781"/>
    <w:next w:val="781"/>
    <w:uiPriority w:val="99"/>
    <w:semiHidden/>
    <w:unhideWhenUsed/>
    <w:qFormat/>
    <w:pPr>
      <w:ind w:left="1600"/>
    </w:pPr>
  </w:style>
  <w:style w:type="paragraph" w:styleId="825">
    <w:name w:val="table of figures"/>
    <w:basedOn w:val="781"/>
    <w:next w:val="781"/>
    <w:uiPriority w:val="99"/>
    <w:unhideWhenUsed/>
    <w:qFormat/>
  </w:style>
  <w:style w:type="paragraph" w:styleId="826">
    <w:name w:val="toc 2"/>
    <w:basedOn w:val="781"/>
    <w:next w:val="781"/>
    <w:uiPriority w:val="39"/>
    <w:qFormat/>
    <w:pPr>
      <w:ind w:left="480"/>
      <w:jc w:val="left"/>
      <w:spacing w:line="360" w:lineRule="auto"/>
      <w:widowControl/>
      <w:tabs>
        <w:tab w:val="left" w:pos="1134" w:leader="none"/>
        <w:tab w:val="right" w:pos="9639" w:leader="dot"/>
      </w:tabs>
    </w:pPr>
    <w:rPr>
      <w:sz w:val="24"/>
      <w:szCs w:val="22"/>
    </w:rPr>
  </w:style>
  <w:style w:type="paragraph" w:styleId="827">
    <w:name w:val="toc 9"/>
    <w:basedOn w:val="781"/>
    <w:next w:val="781"/>
    <w:uiPriority w:val="39"/>
    <w:unhideWhenUsed/>
    <w:qFormat/>
    <w:pPr>
      <w:ind w:left="2240"/>
      <w:jc w:val="left"/>
      <w:spacing w:line="360" w:lineRule="auto"/>
    </w:pPr>
    <w:rPr>
      <w:rFonts w:ascii="Calibri" w:hAnsi="Calibri" w:cs="Calibri"/>
      <w:sz w:val="18"/>
      <w:szCs w:val="18"/>
    </w:rPr>
  </w:style>
  <w:style w:type="paragraph" w:styleId="828">
    <w:name w:val="Body Text 2"/>
    <w:basedOn w:val="781"/>
    <w:link w:val="1189"/>
    <w:uiPriority w:val="0"/>
    <w:qFormat/>
    <w:pPr>
      <w:jc w:val="center"/>
      <w:widowControl/>
    </w:pPr>
    <w:rPr>
      <w:rFonts w:ascii="楷体_GB2312" w:eastAsia="楷体_GB2312"/>
      <w:sz w:val="28"/>
      <w:szCs w:val="28"/>
    </w:rPr>
  </w:style>
  <w:style w:type="paragraph" w:styleId="829">
    <w:name w:val="Normal (Web)"/>
    <w:basedOn w:val="781"/>
    <w:uiPriority w:val="0"/>
    <w:qFormat/>
    <w:pPr>
      <w:jc w:val="left"/>
      <w:spacing w:before="100" w:beforeAutospacing="1" w:after="100" w:afterAutospacing="1"/>
      <w:widowControl/>
    </w:pPr>
    <w:rPr>
      <w:rFonts w:ascii="宋体" w:hAnsi="宋体"/>
      <w:sz w:val="24"/>
    </w:rPr>
  </w:style>
  <w:style w:type="paragraph" w:styleId="830">
    <w:name w:val="Title"/>
    <w:basedOn w:val="781"/>
    <w:next w:val="781"/>
    <w:link w:val="868"/>
    <w:uiPriority w:val="10"/>
    <w:qFormat/>
    <w:pPr>
      <w:jc w:val="center"/>
      <w:spacing w:before="240" w:after="60" w:line="360" w:lineRule="auto"/>
      <w:outlineLvl w:val="0"/>
    </w:pPr>
    <w:rPr>
      <w:rFonts w:ascii="Cambria" w:hAnsi="Cambria"/>
      <w:b/>
      <w:bCs/>
      <w:sz w:val="32"/>
      <w:szCs w:val="32"/>
    </w:rPr>
  </w:style>
  <w:style w:type="paragraph" w:styleId="831">
    <w:name w:val="annotation subject"/>
    <w:basedOn w:val="799"/>
    <w:next w:val="799"/>
    <w:link w:val="869"/>
    <w:uiPriority w:val="0"/>
    <w:qFormat/>
    <w:rPr>
      <w:b/>
      <w:bCs/>
    </w:rPr>
  </w:style>
  <w:style w:type="paragraph" w:styleId="832">
    <w:name w:val="Body Text First Indent 2"/>
    <w:basedOn w:val="803"/>
    <w:link w:val="870"/>
    <w:uiPriority w:val="0"/>
    <w:qFormat/>
    <w:pPr>
      <w:ind w:left="420" w:firstLine="420"/>
      <w:jc w:val="left"/>
      <w:spacing w:after="120"/>
    </w:pPr>
    <w:rPr>
      <w:rFonts w:eastAsia="宋体"/>
      <w:sz w:val="21"/>
    </w:rPr>
  </w:style>
  <w:style w:type="table" w:styleId="833">
    <w:name w:val="Table Grid"/>
    <w:basedOn w:val="792"/>
    <w:uiPriority w:val="59"/>
    <w:qFormat/>
    <w:rPr>
      <w:rFonts w:ascii="Calibri" w:hAnsi="Calibri" w:eastAsia="宋体" w:cs="Times New Roman"/>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basedOn w:val="791"/>
    <w:uiPriority w:val="0"/>
    <w:qFormat/>
    <w:rPr>
      <w:b/>
      <w:bCs/>
    </w:rPr>
  </w:style>
  <w:style w:type="character" w:styleId="835">
    <w:name w:val="endnote reference"/>
    <w:basedOn w:val="791"/>
    <w:uiPriority w:val="99"/>
    <w:semiHidden/>
    <w:unhideWhenUsed/>
    <w:qFormat/>
    <w:rPr>
      <w:vertAlign w:val="superscript"/>
    </w:rPr>
  </w:style>
  <w:style w:type="character" w:styleId="836">
    <w:name w:val="page number"/>
    <w:basedOn w:val="791"/>
    <w:uiPriority w:val="0"/>
    <w:qFormat/>
  </w:style>
  <w:style w:type="character" w:styleId="837">
    <w:name w:val="FollowedHyperlink"/>
    <w:basedOn w:val="791"/>
    <w:uiPriority w:val="0"/>
    <w:unhideWhenUsed/>
    <w:qFormat/>
    <w:rPr>
      <w:color w:val="800080"/>
      <w:u w:val="single"/>
    </w:rPr>
  </w:style>
  <w:style w:type="character" w:styleId="838">
    <w:name w:val="Hyperlink"/>
    <w:basedOn w:val="791"/>
    <w:uiPriority w:val="99"/>
    <w:unhideWhenUsed/>
    <w:qFormat/>
    <w:rPr>
      <w:color w:val="0000ff"/>
      <w:u w:val="single"/>
    </w:rPr>
  </w:style>
  <w:style w:type="character" w:styleId="839">
    <w:name w:val="annotation reference"/>
    <w:uiPriority w:val="0"/>
    <w:qFormat/>
    <w:rPr>
      <w:sz w:val="21"/>
      <w:szCs w:val="21"/>
    </w:rPr>
  </w:style>
  <w:style w:type="character" w:styleId="840">
    <w:name w:val="footnote reference"/>
    <w:uiPriority w:val="99"/>
    <w:qFormat/>
    <w:rPr>
      <w:vertAlign w:val="superscript"/>
    </w:rPr>
  </w:style>
  <w:style w:type="character" w:styleId="841" w:customStyle="1">
    <w:name w:val="页眉 字符"/>
    <w:basedOn w:val="791"/>
    <w:link w:val="817"/>
    <w:uiPriority w:val="0"/>
    <w:qFormat/>
    <w:rPr>
      <w:sz w:val="18"/>
      <w:szCs w:val="18"/>
    </w:rPr>
  </w:style>
  <w:style w:type="character" w:styleId="842" w:customStyle="1">
    <w:name w:val="页脚 字符"/>
    <w:basedOn w:val="791"/>
    <w:link w:val="815"/>
    <w:uiPriority w:val="99"/>
    <w:qFormat/>
    <w:rPr>
      <w:sz w:val="18"/>
      <w:szCs w:val="18"/>
    </w:rPr>
  </w:style>
  <w:style w:type="character" w:styleId="843" w:customStyle="1">
    <w:name w:val="日期 字符"/>
    <w:basedOn w:val="791"/>
    <w:link w:val="811"/>
    <w:uiPriority w:val="0"/>
    <w:qFormat/>
    <w:rPr>
      <w:rFonts w:ascii="Century Schoolbook" w:hAnsi="Century Schoolbook" w:eastAsia="文鼎小标宋" w:cs="Times New Roman"/>
      <w:spacing w:val="-4"/>
      <w:sz w:val="23"/>
      <w:szCs w:val="20"/>
      <w14:ligatures w14:val="none"/>
    </w:rPr>
  </w:style>
  <w:style w:type="paragraph" w:styleId="844" w:customStyle="1">
    <w:name w:val="正文1"/>
    <w:next w:val="781"/>
    <w:link w:val="846"/>
    <w:uiPriority w:val="0"/>
    <w:qFormat/>
    <w:pPr>
      <w:jc w:val="both"/>
      <w:widowControl w:val="off"/>
    </w:pPr>
    <w:rPr>
      <w:rFonts w:ascii="Times New Roman" w:hAnsi="Times New Roman" w:eastAsia="宋体" w:cs="Times New Roman"/>
      <w:sz w:val="21"/>
      <w:szCs w:val="24"/>
      <w:lang w:val="en-US" w:eastAsia="zh-CN" w:bidi="ar-SA"/>
    </w:rPr>
  </w:style>
  <w:style w:type="paragraph" w:styleId="845" w:customStyle="1">
    <w:name w:val="正文缩进1"/>
    <w:basedOn w:val="844"/>
    <w:uiPriority w:val="0"/>
    <w:qFormat/>
    <w:pPr>
      <w:ind w:firstLine="420"/>
    </w:pPr>
  </w:style>
  <w:style w:type="character" w:styleId="846" w:customStyle="1">
    <w:name w:val="正文1 Char Char"/>
    <w:link w:val="844"/>
    <w:uiPriority w:val="0"/>
    <w:qFormat/>
    <w:rPr>
      <w:rFonts w:ascii="Times New Roman" w:hAnsi="Times New Roman" w:eastAsia="宋体" w:cs="Times New Roman"/>
      <w:szCs w:val="24"/>
      <w14:ligatures w14:val="none"/>
    </w:rPr>
  </w:style>
  <w:style w:type="character" w:styleId="847" w:customStyle="1">
    <w:name w:val="标题 1 字符"/>
    <w:basedOn w:val="791"/>
    <w:link w:val="782"/>
    <w:uiPriority w:val="9"/>
    <w:qFormat/>
    <w:rPr>
      <w:rFonts w:ascii="Century Schoolbook" w:hAnsi="Century Schoolbook" w:eastAsia="微软简标宋" w:cs="Times New Roman"/>
      <w:sz w:val="40"/>
      <w:szCs w:val="20"/>
      <w14:ligatures w14:val="none"/>
    </w:rPr>
  </w:style>
  <w:style w:type="character" w:styleId="848" w:customStyle="1">
    <w:name w:val="标题 2 字符"/>
    <w:basedOn w:val="791"/>
    <w:link w:val="783"/>
    <w:uiPriority w:val="9"/>
    <w:qFormat/>
    <w:rPr>
      <w:rFonts w:ascii="Cambria" w:hAnsi="Cambria" w:eastAsia="宋体" w:cs="Times New Roman"/>
      <w:b/>
      <w:bCs/>
      <w:sz w:val="32"/>
      <w:szCs w:val="32"/>
      <w14:ligatures w14:val="none"/>
    </w:rPr>
  </w:style>
  <w:style w:type="character" w:styleId="849" w:customStyle="1">
    <w:name w:val="标题 3 字符"/>
    <w:basedOn w:val="791"/>
    <w:link w:val="784"/>
    <w:uiPriority w:val="9"/>
    <w:qFormat/>
    <w:rPr>
      <w:rFonts w:ascii="Times New Roman" w:hAnsi="Times New Roman" w:eastAsia="宋体" w:cs="Times New Roman"/>
      <w:b/>
      <w:bCs/>
      <w:sz w:val="32"/>
      <w:szCs w:val="32"/>
      <w14:ligatures w14:val="none"/>
    </w:rPr>
  </w:style>
  <w:style w:type="character" w:styleId="850" w:customStyle="1">
    <w:name w:val="标题 4 字符"/>
    <w:basedOn w:val="791"/>
    <w:link w:val="785"/>
    <w:uiPriority w:val="9"/>
    <w:qFormat/>
    <w:rPr>
      <w:rFonts w:ascii="Century Schoolbook" w:hAnsi="Century Schoolbook" w:eastAsia="楷体_GB2312" w:cs="Times New Roman"/>
      <w:sz w:val="32"/>
      <w:szCs w:val="20"/>
      <w14:ligatures w14:val="none"/>
    </w:rPr>
  </w:style>
  <w:style w:type="character" w:styleId="851" w:customStyle="1">
    <w:name w:val="标题 5 字符"/>
    <w:basedOn w:val="791"/>
    <w:link w:val="786"/>
    <w:uiPriority w:val="9"/>
    <w:qFormat/>
    <w:rPr>
      <w:rFonts w:ascii="Times New Roman" w:hAnsi="Times New Roman" w:eastAsia="黑体" w:cs="Times New Roman"/>
      <w:bCs/>
      <w:sz w:val="24"/>
      <w:szCs w:val="28"/>
      <w14:ligatures w14:val="none"/>
    </w:rPr>
  </w:style>
  <w:style w:type="character" w:styleId="852" w:customStyle="1">
    <w:name w:val="标题 6 字符"/>
    <w:basedOn w:val="791"/>
    <w:link w:val="787"/>
    <w:uiPriority w:val="9"/>
    <w:qFormat/>
    <w:rPr>
      <w:rFonts w:ascii="Cambria" w:hAnsi="Cambria" w:eastAsia="宋体" w:cs="Times New Roman"/>
      <w:b/>
      <w:bCs/>
      <w:sz w:val="24"/>
      <w:szCs w:val="24"/>
      <w14:ligatures w14:val="none"/>
    </w:rPr>
  </w:style>
  <w:style w:type="character" w:styleId="853" w:customStyle="1">
    <w:name w:val="标题 7 字符"/>
    <w:basedOn w:val="791"/>
    <w:link w:val="788"/>
    <w:uiPriority w:val="9"/>
    <w:qFormat/>
    <w:rPr>
      <w:rFonts w:ascii="Times New Roman" w:hAnsi="Times New Roman" w:eastAsia="宋体" w:cs="Times New Roman"/>
      <w:b/>
      <w:bCs/>
      <w:sz w:val="24"/>
      <w:szCs w:val="24"/>
      <w14:ligatures w14:val="none"/>
    </w:rPr>
  </w:style>
  <w:style w:type="character" w:styleId="854" w:customStyle="1">
    <w:name w:val="标题 8 字符"/>
    <w:basedOn w:val="791"/>
    <w:link w:val="789"/>
    <w:uiPriority w:val="9"/>
    <w:qFormat/>
    <w:rPr>
      <w:rFonts w:ascii="Cambria" w:hAnsi="Cambria" w:eastAsia="宋体" w:cs="Times New Roman"/>
      <w:sz w:val="24"/>
      <w:szCs w:val="24"/>
      <w14:ligatures w14:val="none"/>
    </w:rPr>
  </w:style>
  <w:style w:type="character" w:styleId="855" w:customStyle="1">
    <w:name w:val="标题 9 字符"/>
    <w:basedOn w:val="791"/>
    <w:link w:val="790"/>
    <w:uiPriority w:val="9"/>
    <w:qFormat/>
    <w:rPr>
      <w:rFonts w:ascii="Times New Roman" w:hAnsi="Times New Roman" w:eastAsia="黑体" w:cs="Times New Roman"/>
      <w:b/>
      <w:bCs/>
      <w:sz w:val="32"/>
      <w:szCs w:val="32"/>
      <w14:ligatures w14:val="none"/>
    </w:rPr>
  </w:style>
  <w:style w:type="paragraph" w:styleId="856" w:customStyle="1">
    <w:name w:val="正文文本1"/>
    <w:basedOn w:val="781"/>
    <w:next w:val="781"/>
    <w:uiPriority w:val="0"/>
    <w:qFormat/>
    <w:pPr>
      <w:spacing w:after="120"/>
    </w:pPr>
    <w:rPr>
      <w:sz w:val="15"/>
      <w:lang w:eastAsia="en-US"/>
    </w:rPr>
  </w:style>
  <w:style w:type="character" w:styleId="857" w:customStyle="1">
    <w:name w:val="文档结构图 字符"/>
    <w:basedOn w:val="791"/>
    <w:link w:val="798"/>
    <w:uiPriority w:val="0"/>
    <w:qFormat/>
    <w:rPr>
      <w:rFonts w:ascii="宋体" w:hAnsi="Calibri" w:eastAsia="宋体" w:cs="Times New Roman"/>
      <w:sz w:val="18"/>
      <w:szCs w:val="18"/>
      <w14:ligatures w14:val="none"/>
    </w:rPr>
  </w:style>
  <w:style w:type="character" w:styleId="858" w:customStyle="1">
    <w:name w:val="批注文字 字符"/>
    <w:basedOn w:val="791"/>
    <w:link w:val="799"/>
    <w:uiPriority w:val="0"/>
    <w:qFormat/>
    <w:rPr>
      <w:rFonts w:ascii="Times New Roman" w:hAnsi="Times New Roman" w:eastAsia="宋体" w:cs="Times New Roman"/>
      <w:sz w:val="28"/>
      <w:szCs w:val="24"/>
      <w14:ligatures w14:val="none"/>
    </w:rPr>
  </w:style>
  <w:style w:type="character" w:styleId="859" w:customStyle="1">
    <w:name w:val="正文文本 字符"/>
    <w:basedOn w:val="791"/>
    <w:link w:val="801"/>
    <w:uiPriority w:val="0"/>
    <w:qFormat/>
    <w:rPr>
      <w:rFonts w:ascii="Times New Roman" w:hAnsi="Times New Roman" w:eastAsia="宋体" w:cs="Times New Roman"/>
      <w:sz w:val="15"/>
      <w:szCs w:val="24"/>
      <w14:ligatures w14:val="none"/>
    </w:rPr>
  </w:style>
  <w:style w:type="character" w:styleId="860" w:customStyle="1">
    <w:name w:val="正文文本首行缩进 字符"/>
    <w:basedOn w:val="859"/>
    <w:link w:val="802"/>
    <w:uiPriority w:val="0"/>
    <w:qFormat/>
    <w:rPr>
      <w:rFonts w:ascii="Times New Roman" w:hAnsi="Times New Roman" w:eastAsia="宋体" w:cs="Times New Roman"/>
      <w:sz w:val="15"/>
      <w:szCs w:val="24"/>
      <w14:ligatures w14:val="none"/>
    </w:rPr>
  </w:style>
  <w:style w:type="character" w:styleId="861" w:customStyle="1">
    <w:name w:val="正文文本缩进 字符"/>
    <w:basedOn w:val="791"/>
    <w:link w:val="803"/>
    <w:uiPriority w:val="0"/>
    <w:qFormat/>
    <w:rPr>
      <w:rFonts w:ascii="Times New Roman" w:hAnsi="Times New Roman" w:eastAsia="仿宋_GB2312" w:cs="Times New Roman"/>
      <w:sz w:val="28"/>
      <w:szCs w:val="24"/>
      <w14:ligatures w14:val="none"/>
    </w:rPr>
  </w:style>
  <w:style w:type="character" w:styleId="862" w:customStyle="1">
    <w:name w:val="纯文本 字符"/>
    <w:basedOn w:val="791"/>
    <w:uiPriority w:val="0"/>
    <w:qFormat/>
    <w:rPr>
      <w:rFonts w:hAnsi="Courier New" w:cs="Courier New" w:asciiTheme="minorEastAsia"/>
      <w:szCs w:val="24"/>
      <w14:ligatures w14:val="none"/>
    </w:rPr>
  </w:style>
  <w:style w:type="character" w:styleId="863" w:customStyle="1">
    <w:name w:val="正文文本缩进 2 字符"/>
    <w:basedOn w:val="791"/>
    <w:uiPriority w:val="0"/>
    <w:qFormat/>
    <w:rPr>
      <w:rFonts w:ascii="Times New Roman" w:hAnsi="Times New Roman" w:eastAsia="宋体" w:cs="Times New Roman"/>
      <w:szCs w:val="24"/>
      <w14:ligatures w14:val="none"/>
    </w:rPr>
  </w:style>
  <w:style w:type="character" w:styleId="864" w:customStyle="1">
    <w:name w:val="批注框文本 字符"/>
    <w:basedOn w:val="791"/>
    <w:link w:val="814"/>
    <w:uiPriority w:val="0"/>
    <w:semiHidden/>
    <w:qFormat/>
    <w:rPr>
      <w:rFonts w:ascii="Times New Roman" w:hAnsi="Times New Roman" w:eastAsia="宋体" w:cs="Times New Roman"/>
      <w:sz w:val="18"/>
      <w:szCs w:val="18"/>
      <w14:ligatures w14:val="none"/>
    </w:rPr>
  </w:style>
  <w:style w:type="character" w:styleId="865" w:customStyle="1">
    <w:name w:val="副标题 字符"/>
    <w:basedOn w:val="791"/>
    <w:link w:val="820"/>
    <w:uiPriority w:val="0"/>
    <w:qFormat/>
    <w:rPr>
      <w:rFonts w:ascii="Cambria" w:hAnsi="Cambria" w:eastAsia="黑体" w:cs="Times New Roman"/>
      <w:b/>
      <w:bCs/>
      <w:szCs w:val="32"/>
      <w14:ligatures w14:val="none"/>
    </w:rPr>
  </w:style>
  <w:style w:type="character" w:styleId="866" w:customStyle="1">
    <w:name w:val="脚注文本 字符"/>
    <w:basedOn w:val="791"/>
    <w:link w:val="821"/>
    <w:uiPriority w:val="99"/>
    <w:qFormat/>
    <w:rPr>
      <w:rFonts w:ascii="Times New Roman" w:hAnsi="Times New Roman" w:eastAsia="宋体" w:cs="Times New Roman"/>
      <w:sz w:val="18"/>
      <w:szCs w:val="18"/>
      <w14:ligatures w14:val="none"/>
    </w:rPr>
  </w:style>
  <w:style w:type="character" w:styleId="867" w:customStyle="1">
    <w:name w:val="正文文本缩进 3 字符"/>
    <w:basedOn w:val="791"/>
    <w:link w:val="823"/>
    <w:uiPriority w:val="0"/>
    <w:qFormat/>
    <w:rPr>
      <w:rFonts w:ascii="仿宋_GB2312" w:hAnsi="宋体" w:eastAsia="仿宋_GB2312" w:cs="Times New Roman"/>
      <w:sz w:val="32"/>
      <w:szCs w:val="24"/>
      <w14:ligatures w14:val="none"/>
    </w:rPr>
  </w:style>
  <w:style w:type="character" w:styleId="868" w:customStyle="1">
    <w:name w:val="标题 字符"/>
    <w:basedOn w:val="791"/>
    <w:link w:val="830"/>
    <w:uiPriority w:val="10"/>
    <w:qFormat/>
    <w:rPr>
      <w:rFonts w:ascii="Cambria" w:hAnsi="Cambria" w:eastAsia="宋体" w:cs="Times New Roman"/>
      <w:b/>
      <w:bCs/>
      <w:sz w:val="32"/>
      <w:szCs w:val="32"/>
      <w14:ligatures w14:val="none"/>
    </w:rPr>
  </w:style>
  <w:style w:type="character" w:styleId="869" w:customStyle="1">
    <w:name w:val="批注主题 字符"/>
    <w:basedOn w:val="858"/>
    <w:link w:val="831"/>
    <w:uiPriority w:val="0"/>
    <w:qFormat/>
    <w:rPr>
      <w:rFonts w:ascii="Times New Roman" w:hAnsi="Times New Roman" w:eastAsia="宋体" w:cs="Times New Roman"/>
      <w:b/>
      <w:bCs/>
      <w:sz w:val="28"/>
      <w:szCs w:val="24"/>
      <w14:ligatures w14:val="none"/>
    </w:rPr>
  </w:style>
  <w:style w:type="character" w:styleId="870" w:customStyle="1">
    <w:name w:val="正文文本首行缩进 2 字符"/>
    <w:basedOn w:val="861"/>
    <w:link w:val="832"/>
    <w:uiPriority w:val="0"/>
    <w:qFormat/>
    <w:rPr>
      <w:rFonts w:ascii="Times New Roman" w:hAnsi="Times New Roman" w:eastAsia="宋体" w:cs="Times New Roman"/>
      <w:sz w:val="28"/>
      <w:szCs w:val="24"/>
      <w14:ligatures w14:val="none"/>
    </w:rPr>
  </w:style>
  <w:style w:type="character" w:styleId="871" w:customStyle="1">
    <w:name w:val="页脚 字符1"/>
    <w:basedOn w:val="791"/>
    <w:uiPriority w:val="99"/>
    <w:qFormat/>
    <w:rPr>
      <w:sz w:val="18"/>
      <w:szCs w:val="18"/>
    </w:rPr>
  </w:style>
  <w:style w:type="paragraph" w:styleId="872" w:customStyle="1">
    <w:name w:val="xl108"/>
    <w:basedOn w:val="781"/>
    <w:uiPriority w:val="0"/>
    <w:qFormat/>
    <w:pPr>
      <w:jc w:val="center"/>
      <w:spacing w:before="100" w:beforeAutospacing="1" w:after="100" w:afterAutospacing="1"/>
      <w:widowControl/>
    </w:pPr>
    <w:rPr>
      <w:rFonts w:ascii="宋体" w:hAnsi="宋体" w:cs="宋体"/>
      <w:sz w:val="24"/>
    </w:rPr>
  </w:style>
  <w:style w:type="paragraph" w:styleId="873" w:customStyle="1">
    <w:name w:val="xl109"/>
    <w:basedOn w:val="781"/>
    <w:uiPriority w:val="0"/>
    <w:qFormat/>
    <w:pPr>
      <w:jc w:val="center"/>
      <w:spacing w:before="100" w:beforeAutospacing="1" w:after="100" w:afterAutospacing="1"/>
      <w:shd w:val="clear" w:color="000000" w:fill="ffffff"/>
      <w:widowControl/>
    </w:pPr>
    <w:rPr>
      <w:rFonts w:ascii="宋体" w:hAnsi="宋体" w:cs="宋体"/>
      <w:sz w:val="24"/>
    </w:rPr>
  </w:style>
  <w:style w:type="paragraph" w:styleId="874" w:customStyle="1">
    <w:name w:val="xl110"/>
    <w:basedOn w:val="781"/>
    <w:uiPriority w:val="0"/>
    <w:qFormat/>
    <w:pPr>
      <w:jc w:val="center"/>
      <w:spacing w:before="100" w:beforeAutospacing="1" w:after="100" w:afterAutospacing="1"/>
      <w:shd w:val="clear" w:color="000000" w:fill="92d050"/>
      <w:widowControl/>
    </w:pPr>
    <w:rPr>
      <w:rFonts w:ascii="宋体" w:hAnsi="宋体" w:cs="宋体"/>
      <w:sz w:val="24"/>
    </w:rPr>
  </w:style>
  <w:style w:type="paragraph" w:styleId="875" w:customStyle="1">
    <w:name w:val="xl111"/>
    <w:basedOn w:val="781"/>
    <w:uiPriority w:val="0"/>
    <w:qFormat/>
    <w:pPr>
      <w:jc w:val="left"/>
      <w:spacing w:before="100" w:beforeAutospacing="1" w:after="100" w:afterAutospacing="1"/>
      <w:widowControl/>
    </w:pPr>
    <w:rPr>
      <w:rFonts w:ascii="宋体" w:hAnsi="宋体" w:cs="宋体"/>
      <w:sz w:val="20"/>
      <w:szCs w:val="20"/>
    </w:rPr>
  </w:style>
  <w:style w:type="paragraph" w:styleId="876" w:customStyle="1">
    <w:name w:val="xl112"/>
    <w:basedOn w:val="781"/>
    <w:uiPriority w:val="0"/>
    <w:qFormat/>
    <w:pPr>
      <w:jc w:val="center"/>
      <w:spacing w:before="100" w:beforeAutospacing="1" w:after="100" w:afterAutospacing="1"/>
      <w:widowControl/>
    </w:pPr>
    <w:rPr>
      <w:rFonts w:ascii="宋体" w:hAnsi="宋体" w:cs="宋体"/>
      <w:sz w:val="20"/>
      <w:szCs w:val="20"/>
    </w:rPr>
  </w:style>
  <w:style w:type="paragraph" w:styleId="877" w:customStyle="1">
    <w:name w:val="xl113"/>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8" w:customStyle="1">
    <w:name w:val="xl114"/>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9" w:customStyle="1">
    <w:name w:val="xl115"/>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0" w:customStyle="1">
    <w:name w:val="xl116"/>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1" w:customStyle="1">
    <w:name w:val="xl117"/>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2" w:customStyle="1">
    <w:name w:val="xl118"/>
    <w:basedOn w:val="781"/>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3" w:customStyle="1">
    <w:name w:val="xl119"/>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4" w:customStyle="1">
    <w:name w:val="xl12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5" w:customStyle="1">
    <w:name w:val="xl121"/>
    <w:basedOn w:val="781"/>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6" w:customStyle="1">
    <w:name w:val="xl122"/>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7" w:customStyle="1">
    <w:name w:val="xl123"/>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8" w:customStyle="1">
    <w:name w:val="xl124"/>
    <w:basedOn w:val="781"/>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9" w:customStyle="1">
    <w:name w:val="xl125"/>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0" w:customStyle="1">
    <w:name w:val="xl126"/>
    <w:basedOn w:val="781"/>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1" w:customStyle="1">
    <w:name w:val="xl127"/>
    <w:basedOn w:val="781"/>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2" w:customStyle="1">
    <w:name w:val="xl128"/>
    <w:basedOn w:val="781"/>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3" w:customStyle="1">
    <w:name w:val="xl129"/>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4" w:customStyle="1">
    <w:name w:val="xl130"/>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5" w:customStyle="1">
    <w:name w:val="xl131"/>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6" w:customStyle="1">
    <w:name w:val="xl132"/>
    <w:basedOn w:val="781"/>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7" w:customStyle="1">
    <w:name w:val="xl133"/>
    <w:basedOn w:val="781"/>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8" w:customStyle="1">
    <w:name w:val="xl134"/>
    <w:basedOn w:val="781"/>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9" w:customStyle="1">
    <w:name w:val="xl135"/>
    <w:basedOn w:val="781"/>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0" w:customStyle="1">
    <w:name w:val="xl136"/>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01" w:customStyle="1">
    <w:name w:val="xl137"/>
    <w:basedOn w:val="781"/>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2" w:customStyle="1">
    <w:name w:val="xl138"/>
    <w:basedOn w:val="7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03" w:customStyle="1">
    <w:name w:val="xl139"/>
    <w:basedOn w:val="7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04" w:customStyle="1">
    <w:name w:val="xl140"/>
    <w:basedOn w:val="7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05" w:customStyle="1">
    <w:name w:val="xl141"/>
    <w:basedOn w:val="781"/>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06" w:customStyle="1">
    <w:name w:val="xl142"/>
    <w:basedOn w:val="781"/>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07" w:customStyle="1">
    <w:name w:val="xl143"/>
    <w:basedOn w:val="781"/>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08" w:customStyle="1">
    <w:name w:val="xl144"/>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09" w:customStyle="1">
    <w:name w:val="xl145"/>
    <w:basedOn w:val="7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10" w:customStyle="1">
    <w:name w:val="xl146"/>
    <w:basedOn w:val="7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11" w:customStyle="1">
    <w:name w:val="xl147"/>
    <w:basedOn w:val="7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12" w:customStyle="1">
    <w:name w:val="xl148"/>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13" w:customStyle="1">
    <w:name w:val="xl149"/>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14" w:customStyle="1">
    <w:name w:val="xl150"/>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15" w:customStyle="1">
    <w:name w:val="xl151"/>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16" w:customStyle="1">
    <w:name w:val="xl152"/>
    <w:basedOn w:val="781"/>
    <w:uiPriority w:val="0"/>
    <w:qFormat/>
    <w:pPr>
      <w:jc w:val="left"/>
      <w:spacing w:before="100" w:beforeAutospacing="1" w:after="100" w:afterAutospacing="1"/>
      <w:widowControl/>
    </w:pPr>
    <w:rPr>
      <w:rFonts w:ascii="宋体" w:hAnsi="宋体" w:cs="宋体"/>
      <w:sz w:val="24"/>
    </w:rPr>
  </w:style>
  <w:style w:type="paragraph" w:styleId="917" w:customStyle="1">
    <w:name w:val="xl153"/>
    <w:basedOn w:val="781"/>
    <w:uiPriority w:val="0"/>
    <w:qFormat/>
    <w:pPr>
      <w:jc w:val="left"/>
      <w:spacing w:before="100" w:beforeAutospacing="1" w:after="100" w:afterAutospacing="1"/>
      <w:widowControl/>
    </w:pPr>
    <w:rPr>
      <w:rFonts w:ascii="宋体" w:hAnsi="宋体" w:cs="宋体"/>
      <w:sz w:val="24"/>
    </w:rPr>
  </w:style>
  <w:style w:type="paragraph" w:styleId="918" w:customStyle="1">
    <w:name w:val="xl154"/>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919" w:customStyle="1">
    <w:name w:val="正文缩进 字符"/>
    <w:link w:val="795"/>
    <w:uiPriority w:val="0"/>
    <w:qFormat/>
    <w:rPr>
      <w:rFonts w:ascii="Times New Roman" w:hAnsi="Times New Roman" w:eastAsia="宋体" w:cs="Times New Roman"/>
      <w:sz w:val="28"/>
      <w:szCs w:val="24"/>
      <w14:ligatures w14:val="none"/>
    </w:rPr>
  </w:style>
  <w:style w:type="character" w:styleId="920" w:customStyle="1">
    <w:name w:val="题注 字符"/>
    <w:link w:val="796"/>
    <w:uiPriority w:val="0"/>
    <w:qFormat/>
    <w:rPr>
      <w:rFonts w:ascii="Times New Roman" w:hAnsi="Times New Roman" w:eastAsia="黑体" w:cs="Times New Roman"/>
      <w:sz w:val="24"/>
      <w:szCs w:val="20"/>
      <w14:ligatures w14:val="none"/>
    </w:rPr>
  </w:style>
  <w:style w:type="character" w:styleId="921" w:customStyle="1">
    <w:name w:val="正文文本缩进 Char"/>
    <w:basedOn w:val="791"/>
    <w:uiPriority w:val="0"/>
    <w:qFormat/>
    <w:rPr>
      <w:rFonts w:ascii="Times New Roman" w:hAnsi="Times New Roman" w:eastAsia="宋体" w:cs="Times New Roman"/>
      <w:szCs w:val="24"/>
    </w:rPr>
  </w:style>
  <w:style w:type="character" w:styleId="922" w:customStyle="1">
    <w:name w:val="纯文本 字符1"/>
    <w:basedOn w:val="791"/>
    <w:link w:val="809"/>
    <w:uiPriority w:val="0"/>
    <w:qFormat/>
    <w:rPr>
      <w:rFonts w:ascii="宋体" w:hAnsi="Courier New" w:eastAsia="宋体" w:cs="Times New Roman"/>
      <w:szCs w:val="21"/>
      <w14:ligatures w14:val="none"/>
    </w:rPr>
  </w:style>
  <w:style w:type="character" w:styleId="923" w:customStyle="1">
    <w:name w:val="日期 字符1"/>
    <w:basedOn w:val="791"/>
    <w:uiPriority w:val="0"/>
    <w:qFormat/>
    <w:rPr>
      <w:rFonts w:ascii="Century Schoolbook" w:hAnsi="Century Schoolbook" w:eastAsia="文鼎小标宋" w:cs="Times New Roman"/>
      <w:spacing w:val="-4"/>
      <w:sz w:val="23"/>
      <w:szCs w:val="20"/>
    </w:rPr>
  </w:style>
  <w:style w:type="character" w:styleId="924" w:customStyle="1">
    <w:name w:val="正文文本缩进 2 字符1"/>
    <w:basedOn w:val="791"/>
    <w:link w:val="812"/>
    <w:uiPriority w:val="99"/>
    <w:qFormat/>
    <w:rPr>
      <w:rFonts w:ascii="仿宋_GB2312" w:hAnsi="Times New Roman" w:eastAsia="仿宋_GB2312" w:cs="Times New Roman"/>
      <w:sz w:val="24"/>
      <w:szCs w:val="24"/>
      <w14:ligatures w14:val="none"/>
    </w:rPr>
  </w:style>
  <w:style w:type="character" w:styleId="925" w:customStyle="1">
    <w:name w:val="fontstyle21"/>
    <w:uiPriority w:val="0"/>
    <w:qFormat/>
    <w:rPr>
      <w:rFonts w:hint="eastAsia" w:ascii="宋体" w:hAnsi="宋体" w:eastAsia="宋体"/>
      <w:color w:val="000000"/>
      <w:sz w:val="28"/>
      <w:szCs w:val="28"/>
    </w:rPr>
  </w:style>
  <w:style w:type="character" w:styleId="926" w:customStyle="1">
    <w:name w:val="Z小节标题 Char"/>
    <w:link w:val="927"/>
    <w:uiPriority w:val="0"/>
    <w:qFormat/>
    <w:rPr>
      <w:rFonts w:eastAsia="黑体"/>
      <w:b/>
      <w:bCs/>
      <w:sz w:val="24"/>
      <w:szCs w:val="28"/>
    </w:rPr>
  </w:style>
  <w:style w:type="paragraph" w:styleId="927" w:customStyle="1">
    <w:name w:val="Z小节标题"/>
    <w:basedOn w:val="781"/>
    <w:next w:val="781"/>
    <w:link w:val="926"/>
    <w:uiPriority w:val="0"/>
    <w:qFormat/>
    <w:pPr>
      <w:ind w:left="1389" w:hanging="720"/>
      <w:jc w:val="left"/>
      <w:keepLines/>
      <w:keepNext/>
      <w:spacing w:line="360" w:lineRule="auto"/>
      <w:outlineLvl w:val="2"/>
    </w:pPr>
    <w:rPr>
      <w:rFonts w:eastAsia="黑体" w:asciiTheme="minorHAnsi" w:hAnsiTheme="minorHAnsi" w:cstheme="minorBidi"/>
      <w:b/>
      <w:bCs/>
      <w:sz w:val="24"/>
      <w:szCs w:val="28"/>
      <w14:ligatures w14:val="standardContextual"/>
    </w:rPr>
  </w:style>
  <w:style w:type="character" w:styleId="928" w:customStyle="1">
    <w:name w:val="Z节标题 Char"/>
    <w:link w:val="929"/>
    <w:uiPriority w:val="0"/>
    <w:qFormat/>
    <w:rPr>
      <w:rFonts w:ascii="黑体" w:hAnsi="黑体" w:eastAsia="黑体"/>
      <w:bCs/>
      <w:sz w:val="28"/>
      <w:szCs w:val="28"/>
    </w:rPr>
  </w:style>
  <w:style w:type="paragraph" w:styleId="929" w:customStyle="1">
    <w:name w:val="Z节标题"/>
    <w:basedOn w:val="930"/>
    <w:link w:val="928"/>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14:ligatures w14:val="standardContextual"/>
    </w:rPr>
  </w:style>
  <w:style w:type="paragraph" w:styleId="930" w:customStyle="1">
    <w:name w:val="Z章标题"/>
    <w:basedOn w:val="782"/>
    <w:next w:val="782"/>
    <w:link w:val="931"/>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31" w:customStyle="1">
    <w:name w:val="Z章标题 Char"/>
    <w:link w:val="930"/>
    <w:uiPriority w:val="0"/>
    <w:qFormat/>
    <w:rPr>
      <w:rFonts w:ascii="Times New Roman" w:hAnsi="Times New Roman" w:eastAsia="仿宋_GB2312" w:cs="Times New Roman"/>
      <w:b/>
      <w:bCs/>
      <w:sz w:val="44"/>
      <w:szCs w:val="32"/>
      <w14:ligatures w14:val="none"/>
    </w:rPr>
  </w:style>
  <w:style w:type="character" w:styleId="932" w:customStyle="1">
    <w:name w:val="black11"/>
    <w:basedOn w:val="791"/>
    <w:uiPriority w:val="0"/>
    <w:qFormat/>
  </w:style>
  <w:style w:type="character" w:styleId="933" w:customStyle="1">
    <w:name w:val="样式 样式 正文文本 + 行距: 固定值 26 磅 + 首行缩进:  2 字符 Char"/>
    <w:link w:val="934"/>
    <w:uiPriority w:val="0"/>
    <w:qFormat/>
    <w:rPr>
      <w:rFonts w:ascii="宋体" w:hAnsi="宋体"/>
      <w:bCs/>
      <w:color w:val="000000"/>
      <w:sz w:val="24"/>
      <w:szCs w:val="24"/>
    </w:rPr>
  </w:style>
  <w:style w:type="paragraph" w:styleId="934" w:customStyle="1">
    <w:name w:val="样式 样式 正文文本 + 行距: 固定值 26 磅 + 首行缩进:  2 字符"/>
    <w:basedOn w:val="781"/>
    <w:link w:val="933"/>
    <w:uiPriority w:val="0"/>
    <w:qFormat/>
    <w:pPr>
      <w:ind w:firstLine="480"/>
    </w:pPr>
    <w:rPr>
      <w:rFonts w:ascii="宋体" w:hAnsi="宋体" w:eastAsiaTheme="minorEastAsia" w:cstheme="minorBidi"/>
      <w:bCs/>
      <w:color w:val="000000"/>
      <w:sz w:val="24"/>
      <w14:ligatures w14:val="standardContextual"/>
    </w:rPr>
  </w:style>
  <w:style w:type="character" w:styleId="935" w:customStyle="1">
    <w:name w:val="Z表格标题 Char"/>
    <w:link w:val="936"/>
    <w:uiPriority w:val="0"/>
    <w:qFormat/>
    <w:rPr>
      <w:rFonts w:ascii="黑体" w:eastAsia="黑体"/>
      <w:sz w:val="28"/>
      <w:szCs w:val="28"/>
    </w:rPr>
  </w:style>
  <w:style w:type="paragraph" w:styleId="936" w:customStyle="1">
    <w:name w:val="Z表格标题"/>
    <w:basedOn w:val="781"/>
    <w:link w:val="935"/>
    <w:uiPriority w:val="0"/>
    <w:qFormat/>
    <w:pPr>
      <w:ind w:left="5102" w:hanging="1700"/>
      <w:jc w:val="center"/>
      <w:spacing w:line="360" w:lineRule="auto"/>
      <w:outlineLvl w:val="8"/>
    </w:pPr>
    <w:rPr>
      <w:rFonts w:ascii="黑体" w:eastAsia="黑体" w:hAnsiTheme="minorHAnsi" w:cstheme="minorBidi"/>
      <w:sz w:val="28"/>
      <w:szCs w:val="28"/>
      <w14:ligatures w14:val="standardContextual"/>
    </w:rPr>
  </w:style>
  <w:style w:type="character" w:styleId="937" w:customStyle="1">
    <w:name w:val="fontstyle01"/>
    <w:uiPriority w:val="0"/>
    <w:qFormat/>
    <w:rPr>
      <w:rFonts w:hint="default" w:ascii="Times New Roman" w:hAnsi="Times New Roman" w:cs="Times New Roman"/>
      <w:color w:val="000000"/>
      <w:sz w:val="28"/>
      <w:szCs w:val="28"/>
    </w:rPr>
  </w:style>
  <w:style w:type="character" w:styleId="938" w:customStyle="1">
    <w:name w:val="表头 Char"/>
    <w:link w:val="939"/>
    <w:uiPriority w:val="0"/>
    <w:qFormat/>
    <w:rPr>
      <w:rFonts w:eastAsia="黑体"/>
      <w:sz w:val="24"/>
      <w:szCs w:val="28"/>
    </w:rPr>
  </w:style>
  <w:style w:type="paragraph" w:styleId="939" w:customStyle="1">
    <w:name w:val="表头"/>
    <w:basedOn w:val="781"/>
    <w:link w:val="938"/>
    <w:uiPriority w:val="0"/>
    <w:qFormat/>
    <w:pPr>
      <w:jc w:val="center"/>
      <w:spacing w:line="440" w:lineRule="exact"/>
    </w:pPr>
    <w:rPr>
      <w:rFonts w:eastAsia="黑体" w:asciiTheme="minorHAnsi" w:hAnsiTheme="minorHAnsi" w:cstheme="minorBidi"/>
      <w:sz w:val="24"/>
      <w:szCs w:val="28"/>
      <w14:ligatures w14:val="standardContextual"/>
    </w:rPr>
  </w:style>
  <w:style w:type="character" w:styleId="940" w:customStyle="1">
    <w:name w:val="fontstyle31"/>
    <w:uiPriority w:val="0"/>
    <w:qFormat/>
    <w:rPr>
      <w:rFonts w:hint="default" w:ascii="TimesNewRoman" w:hAnsi="TimesNewRoman"/>
      <w:color w:val="000000"/>
      <w:sz w:val="28"/>
      <w:szCs w:val="28"/>
    </w:rPr>
  </w:style>
  <w:style w:type="character" w:styleId="941" w:customStyle="1">
    <w:name w:val="样式 Z表格标题 + (西文) 宋体 Char"/>
    <w:uiPriority w:val="0"/>
    <w:qFormat/>
    <w:rPr>
      <w:rFonts w:hint="eastAsia" w:ascii="宋体" w:hAnsi="宋体" w:eastAsia="仿宋_GB2312"/>
      <w:b/>
      <w:sz w:val="28"/>
      <w:lang w:val="en-US" w:eastAsia="zh-CN" w:bidi="ar-SA"/>
    </w:rPr>
  </w:style>
  <w:style w:type="character" w:styleId="942" w:customStyle="1">
    <w:name w:val="标题2 Char"/>
    <w:link w:val="943"/>
    <w:uiPriority w:val="0"/>
    <w:qFormat/>
    <w:rPr>
      <w:rFonts w:eastAsia="方正楷体_GBK"/>
      <w:sz w:val="32"/>
    </w:rPr>
  </w:style>
  <w:style w:type="paragraph" w:styleId="943" w:customStyle="1">
    <w:name w:val="标题2"/>
    <w:basedOn w:val="781"/>
    <w:next w:val="781"/>
    <w:link w:val="942"/>
    <w:uiPriority w:val="0"/>
    <w:qFormat/>
    <w:pPr>
      <w:ind w:firstLine="200"/>
      <w:jc w:val="center"/>
      <w:spacing w:line="590" w:lineRule="atLeast"/>
    </w:pPr>
    <w:rPr>
      <w:rFonts w:eastAsia="方正楷体_GBK" w:asciiTheme="minorHAnsi" w:hAnsiTheme="minorHAnsi" w:cstheme="minorBidi"/>
      <w:sz w:val="32"/>
      <w:szCs w:val="22"/>
      <w14:ligatures w14:val="standardContextual"/>
    </w:rPr>
  </w:style>
  <w:style w:type="character" w:styleId="944" w:customStyle="1">
    <w:name w:val="标题 1 Char1"/>
    <w:uiPriority w:val="0"/>
    <w:qFormat/>
    <w:rPr>
      <w:rFonts w:eastAsia="黑体"/>
      <w:sz w:val="32"/>
    </w:rPr>
  </w:style>
  <w:style w:type="character" w:styleId="945" w:customStyle="1">
    <w:name w:val="font521"/>
    <w:uiPriority w:val="0"/>
    <w:qFormat/>
    <w:rPr>
      <w:rFonts w:hint="eastAsia" w:ascii="宋体" w:hAnsi="宋体" w:eastAsia="宋体"/>
      <w:b/>
      <w:bCs/>
      <w:color w:val="000000"/>
      <w:sz w:val="22"/>
      <w:szCs w:val="22"/>
      <w:u w:val="none"/>
    </w:rPr>
  </w:style>
  <w:style w:type="character" w:styleId="946" w:customStyle="1">
    <w:name w:val="明显参考1"/>
    <w:uiPriority w:val="32"/>
    <w:qFormat/>
    <w:rPr>
      <w:b/>
      <w:bCs/>
      <w:smallCaps/>
      <w:color w:val="c0504d"/>
      <w:spacing w:val="5"/>
      <w:u w:val="single"/>
    </w:rPr>
  </w:style>
  <w:style w:type="character" w:styleId="947" w:customStyle="1">
    <w:name w:val="本项目正文 Char"/>
    <w:link w:val="948"/>
    <w:uiPriority w:val="0"/>
    <w:qFormat/>
    <w:rPr>
      <w:bCs/>
      <w:sz w:val="28"/>
      <w:szCs w:val="44"/>
    </w:rPr>
  </w:style>
  <w:style w:type="paragraph" w:styleId="948" w:customStyle="1">
    <w:name w:val="本项目正文"/>
    <w:link w:val="947"/>
    <w:uiPriority w:val="0"/>
    <w:qFormat/>
    <w:pPr>
      <w:ind w:firstLine="200"/>
      <w:jc w:val="both"/>
      <w:spacing w:line="360" w:lineRule="auto"/>
    </w:pPr>
    <w:rPr>
      <w:rFonts w:asciiTheme="minorHAnsi" w:hAnsiTheme="minorHAnsi" w:eastAsiaTheme="minorEastAsia" w:cstheme="minorBidi"/>
      <w:bCs/>
      <w:sz w:val="28"/>
      <w:szCs w:val="44"/>
      <w:lang w:val="en-US" w:eastAsia="zh-CN" w:bidi="ar-SA"/>
      <w14:ligatures w14:val="standardContextual"/>
    </w:rPr>
  </w:style>
  <w:style w:type="character" w:styleId="949" w:customStyle="1">
    <w:name w:val="fontstyle11"/>
    <w:uiPriority w:val="0"/>
    <w:qFormat/>
    <w:rPr>
      <w:rFonts w:hint="eastAsia" w:ascii="宋体" w:hAnsi="宋体" w:eastAsia="宋体"/>
      <w:color w:val="000000"/>
      <w:sz w:val="28"/>
      <w:szCs w:val="28"/>
    </w:rPr>
  </w:style>
  <w:style w:type="character" w:styleId="950" w:customStyle="1">
    <w:name w:val="正文（有空格） Char"/>
    <w:link w:val="951"/>
    <w:uiPriority w:val="0"/>
    <w:qFormat/>
    <w:rPr>
      <w:sz w:val="28"/>
      <w:szCs w:val="28"/>
    </w:rPr>
  </w:style>
  <w:style w:type="paragraph" w:styleId="951" w:customStyle="1">
    <w:name w:val="正文（有空格）"/>
    <w:link w:val="950"/>
    <w:uiPriority w:val="0"/>
    <w:qFormat/>
    <w:pPr>
      <w:ind w:firstLine="200"/>
      <w:spacing w:line="360" w:lineRule="auto"/>
      <w:widowControl w:val="off"/>
    </w:pPr>
    <w:rPr>
      <w:rFonts w:asciiTheme="minorHAnsi" w:hAnsiTheme="minorHAnsi" w:eastAsiaTheme="minorEastAsia" w:cstheme="minorBidi"/>
      <w:sz w:val="28"/>
      <w:szCs w:val="28"/>
      <w:lang w:val="en-US" w:eastAsia="zh-CN" w:bidi="ar-SA"/>
      <w14:ligatures w14:val="standardContextual"/>
    </w:rPr>
  </w:style>
  <w:style w:type="character" w:styleId="952" w:customStyle="1">
    <w:name w:val="表格内文字 Char1"/>
    <w:link w:val="953"/>
    <w:uiPriority w:val="0"/>
    <w:qFormat/>
    <w:rPr>
      <w:sz w:val="24"/>
    </w:rPr>
  </w:style>
  <w:style w:type="paragraph" w:styleId="953" w:customStyle="1">
    <w:name w:val="表格内文字"/>
    <w:basedOn w:val="781"/>
    <w:link w:val="952"/>
    <w:uiPriority w:val="0"/>
    <w:qFormat/>
    <w:pPr>
      <w:jc w:val="center"/>
      <w:spacing w:before="40" w:line="320" w:lineRule="exact"/>
    </w:pPr>
    <w:rPr>
      <w:rFonts w:asciiTheme="minorHAnsi" w:hAnsiTheme="minorHAnsi" w:eastAsiaTheme="minorEastAsia" w:cstheme="minorBidi"/>
      <w:sz w:val="24"/>
      <w:szCs w:val="22"/>
      <w14:ligatures w14:val="standardContextual"/>
    </w:rPr>
  </w:style>
  <w:style w:type="character" w:styleId="954" w:customStyle="1">
    <w:name w:val="font531"/>
    <w:uiPriority w:val="0"/>
    <w:qFormat/>
    <w:rPr>
      <w:rFonts w:hint="eastAsia" w:ascii="宋体" w:hAnsi="宋体" w:eastAsia="宋体"/>
      <w:color w:val="000000"/>
      <w:sz w:val="22"/>
      <w:szCs w:val="22"/>
      <w:u w:val="none"/>
    </w:rPr>
  </w:style>
  <w:style w:type="character" w:styleId="955" w:customStyle="1">
    <w:name w:val="页眉 Char1"/>
    <w:uiPriority w:val="0"/>
    <w:qFormat/>
    <w:rPr>
      <w:rFonts w:ascii="宋体" w:hAnsi="宋体"/>
      <w:sz w:val="18"/>
    </w:rPr>
  </w:style>
  <w:style w:type="paragraph" w:styleId="956" w:customStyle="1">
    <w:name w:val="xl93"/>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7" w:customStyle="1">
    <w:name w:val="标题 21"/>
    <w:basedOn w:val="781"/>
    <w:uiPriority w:val="0"/>
    <w:qFormat/>
    <w:pPr>
      <w:ind w:left="140" w:firstLine="200"/>
      <w:jc w:val="left"/>
      <w:outlineLvl w:val="1"/>
    </w:pPr>
    <w:rPr>
      <w:rFonts w:ascii="微软雅黑" w:eastAsia="微软雅黑" w:cs="微软雅黑"/>
      <w:b/>
      <w:bCs/>
      <w:sz w:val="24"/>
    </w:rPr>
  </w:style>
  <w:style w:type="paragraph" w:styleId="958" w:customStyle="1">
    <w:name w:val="样式 正文（有空格） + 两端对齐 首行缩进:  2 字符"/>
    <w:basedOn w:val="951"/>
    <w:uiPriority w:val="0"/>
    <w:qFormat/>
    <w:pPr>
      <w:ind w:firstLine="504"/>
      <w:jc w:val="both"/>
    </w:pPr>
    <w:rPr>
      <w:rFonts w:cs="宋体"/>
      <w:sz w:val="24"/>
      <w:szCs w:val="20"/>
    </w:rPr>
  </w:style>
  <w:style w:type="paragraph" w:styleId="959" w:customStyle="1">
    <w:name w:val="样式 正文（有空格） + 黑色 两端对齐 首行缩进:  2 字符"/>
    <w:basedOn w:val="781"/>
    <w:uiPriority w:val="0"/>
    <w:qFormat/>
    <w:pPr>
      <w:ind w:firstLine="504"/>
      <w:jc w:val="left"/>
      <w:spacing w:line="360" w:lineRule="auto"/>
    </w:pPr>
    <w:rPr>
      <w:rFonts w:cs="宋体"/>
      <w:color w:val="000000"/>
      <w:sz w:val="24"/>
      <w:szCs w:val="20"/>
    </w:rPr>
  </w:style>
  <w:style w:type="paragraph" w:styleId="960" w:customStyle="1">
    <w:name w:val="black1"/>
    <w:basedOn w:val="781"/>
    <w:uiPriority w:val="99"/>
    <w:qFormat/>
    <w:pPr>
      <w:jc w:val="left"/>
      <w:spacing w:before="100" w:beforeAutospacing="1" w:after="100" w:afterAutospacing="1"/>
      <w:widowControl/>
    </w:pPr>
    <w:rPr>
      <w:rFonts w:ascii="宋体" w:hAnsi="宋体"/>
      <w:sz w:val="24"/>
    </w:rPr>
  </w:style>
  <w:style w:type="paragraph" w:styleId="961"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962" w:customStyle="1">
    <w:name w:val="xl107"/>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3" w:customStyle="1">
    <w:name w:val="xl79"/>
    <w:basedOn w:val="78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4">
    <w:name w:val="List Paragraph"/>
    <w:basedOn w:val="781"/>
    <w:link w:val="965"/>
    <w:uiPriority w:val="34"/>
    <w:qFormat/>
    <w:pPr>
      <w:ind w:firstLine="420"/>
      <w:jc w:val="left"/>
      <w:spacing w:line="360" w:lineRule="auto"/>
      <w:widowControl/>
    </w:pPr>
    <w:rPr>
      <w:rFonts w:ascii="宋体" w:hAnsi="宋体" w:cs="宋体"/>
      <w:sz w:val="24"/>
    </w:rPr>
  </w:style>
  <w:style w:type="character" w:styleId="965" w:customStyle="1">
    <w:name w:val="列表段落 字符"/>
    <w:link w:val="964"/>
    <w:uiPriority w:val="34"/>
    <w:qFormat/>
    <w:rPr>
      <w:rFonts w:ascii="宋体" w:hAnsi="宋体" w:eastAsia="宋体" w:cs="宋体"/>
      <w:sz w:val="24"/>
      <w:szCs w:val="24"/>
      <w14:ligatures w14:val="none"/>
    </w:rPr>
  </w:style>
  <w:style w:type="paragraph" w:styleId="966" w:customStyle="1">
    <w:name w:val="xl95"/>
    <w:basedOn w:val="78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7" w:customStyle="1">
    <w:name w:val="修订1"/>
    <w:uiPriority w:val="99"/>
    <w:qFormat/>
    <w:rPr>
      <w:rFonts w:ascii="Times New Roman" w:hAnsi="Times New Roman" w:eastAsia="宋体" w:cs="Times New Roman"/>
      <w:sz w:val="24"/>
      <w:szCs w:val="28"/>
      <w:lang w:val="en-US" w:eastAsia="zh-CN" w:bidi="ar-SA"/>
    </w:rPr>
  </w:style>
  <w:style w:type="paragraph" w:styleId="968" w:customStyle="1">
    <w:name w:val="TOC 标题1"/>
    <w:basedOn w:val="782"/>
    <w:next w:val="781"/>
    <w:uiPriority w:val="39"/>
    <w:qFormat/>
    <w:pPr>
      <w:jc w:val="left"/>
      <w:spacing w:before="480" w:line="276" w:lineRule="auto"/>
      <w:widowControl/>
      <w:outlineLvl w:val="9"/>
    </w:pPr>
    <w:rPr>
      <w:rFonts w:ascii="Cambria" w:hAnsi="Cambria" w:eastAsia="宋体"/>
      <w:bCs/>
      <w:color w:val="365f91"/>
      <w:sz w:val="28"/>
      <w:szCs w:val="28"/>
    </w:rPr>
  </w:style>
  <w:style w:type="paragraph" w:styleId="969" w:customStyle="1">
    <w:name w:val="图编号"/>
    <w:basedOn w:val="801"/>
    <w:uiPriority w:val="0"/>
    <w:qFormat/>
    <w:pPr>
      <w:ind w:firstLine="200"/>
      <w:jc w:val="center"/>
      <w:spacing w:after="0" w:line="360" w:lineRule="auto"/>
      <w:tabs>
        <w:tab w:val="left" w:pos="560" w:leader="none"/>
        <w:tab w:val="left" w:pos="4123" w:leader="none"/>
      </w:tabs>
    </w:pPr>
    <w:rPr>
      <w:b/>
      <w:sz w:val="28"/>
      <w:szCs w:val="28"/>
    </w:rPr>
  </w:style>
  <w:style w:type="paragraph" w:styleId="970" w:customStyle="1">
    <w:name w:val="xl80"/>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1" w:customStyle="1">
    <w:name w:val="xl71"/>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xl103"/>
    <w:basedOn w:val="78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3" w:customStyle="1">
    <w:name w:val="表格内文字1"/>
    <w:basedOn w:val="781"/>
    <w:uiPriority w:val="0"/>
    <w:qFormat/>
    <w:pPr>
      <w:jc w:val="center"/>
      <w:spacing w:line="240" w:lineRule="exact"/>
    </w:pPr>
    <w:rPr>
      <w:spacing w:val="6"/>
      <w:sz w:val="28"/>
      <w:szCs w:val="21"/>
    </w:rPr>
  </w:style>
  <w:style w:type="paragraph" w:styleId="974" w:customStyle="1">
    <w:name w:val="样式 正文文本缩进 2 + Times New Roman 首行缩进:  1.06 厘米 行距: 固定值 30 磅"/>
    <w:basedOn w:val="812"/>
    <w:uiPriority w:val="0"/>
    <w:qFormat/>
    <w:pPr>
      <w:ind w:firstLine="601"/>
      <w:spacing w:line="540" w:lineRule="exact"/>
    </w:pPr>
    <w:rPr>
      <w:rFonts w:ascii="Times New Roman" w:eastAsia="宋体"/>
      <w:sz w:val="28"/>
      <w:szCs w:val="28"/>
    </w:rPr>
  </w:style>
  <w:style w:type="paragraph" w:styleId="975" w:customStyle="1">
    <w:name w:val="xl94"/>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6" w:customStyle="1">
    <w:name w:val="样式 首行缩进:  2 字符1"/>
    <w:basedOn w:val="781"/>
    <w:uiPriority w:val="0"/>
    <w:qFormat/>
    <w:pPr>
      <w:ind w:firstLine="200"/>
      <w:spacing w:line="312" w:lineRule="auto"/>
    </w:pPr>
    <w:rPr>
      <w:rFonts w:cs="宋体"/>
      <w:sz w:val="24"/>
    </w:rPr>
  </w:style>
  <w:style w:type="paragraph" w:styleId="977" w:customStyle="1">
    <w:name w:val="xl8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8" w:customStyle="1">
    <w:name w:val="TOC 标题11"/>
    <w:basedOn w:val="782"/>
    <w:next w:val="781"/>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979" w:customStyle="1">
    <w:name w:val="！表格"/>
    <w:basedOn w:val="781"/>
    <w:uiPriority w:val="0"/>
    <w:qFormat/>
    <w:pPr>
      <w:jc w:val="center"/>
    </w:pPr>
    <w:rPr>
      <w:rFonts w:eastAsia="Times New Roman"/>
      <w:sz w:val="24"/>
    </w:rPr>
  </w:style>
  <w:style w:type="paragraph" w:styleId="980" w:customStyle="1">
    <w:name w:val="xl74"/>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1" w:customStyle="1">
    <w:name w:val="xl98"/>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2" w:customStyle="1">
    <w:name w:val="Char Char Char Char"/>
    <w:basedOn w:val="781"/>
    <w:next w:val="781"/>
    <w:uiPriority w:val="0"/>
    <w:qFormat/>
    <w:pPr>
      <w:ind w:firstLine="200"/>
      <w:jc w:val="left"/>
      <w:spacing w:line="360" w:lineRule="auto"/>
    </w:pPr>
    <w:rPr>
      <w:rFonts w:ascii="宋体" w:hAnsi="宋体" w:cs="宋体"/>
      <w:sz w:val="24"/>
    </w:rPr>
  </w:style>
  <w:style w:type="paragraph" w:styleId="983" w:customStyle="1">
    <w:name w:val="xl88"/>
    <w:basedOn w:val="78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4" w:customStyle="1">
    <w:name w:val="标题 31"/>
    <w:basedOn w:val="781"/>
    <w:uiPriority w:val="0"/>
    <w:qFormat/>
    <w:pPr>
      <w:ind w:left="120" w:firstLine="200"/>
      <w:jc w:val="left"/>
      <w:outlineLvl w:val="2"/>
    </w:pPr>
    <w:rPr>
      <w:rFonts w:ascii="宋体" w:cs="宋体"/>
      <w:b/>
      <w:bCs/>
      <w:sz w:val="24"/>
    </w:rPr>
  </w:style>
  <w:style w:type="paragraph" w:styleId="985" w:customStyle="1">
    <w:name w:val="xl100"/>
    <w:basedOn w:val="781"/>
    <w:uiPriority w:val="0"/>
    <w:qFormat/>
    <w:pPr>
      <w:jc w:val="left"/>
      <w:spacing w:before="100" w:beforeAutospacing="1" w:after="100" w:afterAutospacing="1"/>
      <w:widowControl/>
    </w:pPr>
    <w:rPr>
      <w:rFonts w:ascii="Courier" w:hAnsi="Courier" w:cs="宋体"/>
      <w:b/>
      <w:bCs/>
      <w:sz w:val="24"/>
    </w:rPr>
  </w:style>
  <w:style w:type="paragraph" w:styleId="986" w:customStyle="1">
    <w:name w:val="xl84"/>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7" w:customStyle="1">
    <w:name w:val="xl81"/>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8" w:customStyle="1">
    <w:name w:val="标题4"/>
    <w:basedOn w:val="781"/>
    <w:uiPriority w:val="0"/>
    <w:qFormat/>
    <w:pPr>
      <w:ind w:firstLine="532"/>
      <w:spacing w:line="360" w:lineRule="auto"/>
    </w:pPr>
    <w:rPr>
      <w:sz w:val="28"/>
      <w:szCs w:val="20"/>
    </w:rPr>
  </w:style>
  <w:style w:type="paragraph" w:styleId="989" w:customStyle="1">
    <w:name w:val="表格文字"/>
    <w:basedOn w:val="781"/>
    <w:next w:val="809"/>
    <w:uiPriority w:val="0"/>
    <w:qFormat/>
    <w:pPr>
      <w:ind w:firstLine="200"/>
      <w:jc w:val="left"/>
    </w:pPr>
    <w:rPr>
      <w:rFonts w:ascii="宋体" w:hAnsi="Courier New"/>
      <w:szCs w:val="20"/>
    </w:rPr>
  </w:style>
  <w:style w:type="paragraph" w:styleId="990" w:customStyle="1">
    <w:name w:val="xl91"/>
    <w:basedOn w:val="781"/>
    <w:uiPriority w:val="0"/>
    <w:qFormat/>
    <w:pPr>
      <w:jc w:val="left"/>
      <w:spacing w:before="100" w:beforeAutospacing="1" w:after="100" w:afterAutospacing="1"/>
      <w:widowControl/>
    </w:pPr>
    <w:rPr>
      <w:rFonts w:ascii="宋体" w:hAnsi="宋体" w:cs="宋体"/>
      <w:b/>
      <w:bCs/>
      <w:color w:val="ff0000"/>
      <w:sz w:val="20"/>
      <w:szCs w:val="20"/>
    </w:rPr>
  </w:style>
  <w:style w:type="paragraph" w:styleId="991"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992" w:customStyle="1">
    <w:name w:val="Z小小节标题"/>
    <w:basedOn w:val="927"/>
    <w:uiPriority w:val="0"/>
    <w:qFormat/>
    <w:pPr>
      <w:ind w:left="1744" w:hanging="1080"/>
      <w:tabs>
        <w:tab w:val="left" w:pos="360" w:leader="none"/>
      </w:tabs>
      <w:outlineLvl w:val="3"/>
    </w:pPr>
    <w:rPr>
      <w:rFonts w:eastAsia="仿宋_GB2312"/>
    </w:rPr>
  </w:style>
  <w:style w:type="paragraph" w:styleId="993" w:customStyle="1">
    <w:name w:val="xl155"/>
    <w:basedOn w:val="781"/>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994" w:customStyle="1">
    <w:name w:val="xl96"/>
    <w:basedOn w:val="781"/>
    <w:uiPriority w:val="0"/>
    <w:qFormat/>
    <w:pPr>
      <w:jc w:val="left"/>
      <w:spacing w:before="100" w:beforeAutospacing="1" w:after="100" w:afterAutospacing="1"/>
      <w:widowControl/>
    </w:pPr>
    <w:rPr>
      <w:rFonts w:ascii="宋体" w:hAnsi="宋体" w:cs="宋体"/>
      <w:color w:val="ff0000"/>
      <w:sz w:val="20"/>
      <w:szCs w:val="20"/>
    </w:rPr>
  </w:style>
  <w:style w:type="paragraph" w:styleId="995" w:customStyle="1">
    <w:name w:val="xl97"/>
    <w:basedOn w:val="78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6" w:customStyle="1">
    <w:name w:val="Table Paragraph"/>
    <w:basedOn w:val="781"/>
    <w:uiPriority w:val="1"/>
    <w:qFormat/>
    <w:pPr>
      <w:ind w:firstLine="200"/>
      <w:jc w:val="left"/>
    </w:pPr>
    <w:rPr>
      <w:sz w:val="24"/>
    </w:rPr>
  </w:style>
  <w:style w:type="paragraph" w:styleId="997" w:customStyle="1">
    <w:name w:val="样式7"/>
    <w:basedOn w:val="781"/>
    <w:uiPriority w:val="0"/>
    <w:qFormat/>
    <w:pPr>
      <w:jc w:val="center"/>
    </w:pPr>
    <w:rPr>
      <w:sz w:val="18"/>
    </w:rPr>
  </w:style>
  <w:style w:type="paragraph" w:styleId="998" w:customStyle="1">
    <w:name w:val="样式 四号 黑色 行距: 1.5 倍行距1"/>
    <w:basedOn w:val="781"/>
    <w:uiPriority w:val="0"/>
    <w:qFormat/>
    <w:pPr>
      <w:ind w:firstLine="200"/>
      <w:jc w:val="left"/>
      <w:spacing w:line="360" w:lineRule="auto"/>
    </w:pPr>
    <w:rPr>
      <w:rFonts w:cs="宋体"/>
      <w:color w:val="000000"/>
      <w:sz w:val="24"/>
      <w:szCs w:val="20"/>
    </w:rPr>
  </w:style>
  <w:style w:type="paragraph" w:styleId="999" w:customStyle="1">
    <w:name w:val="xl72"/>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0" w:customStyle="1">
    <w:name w:val="font5"/>
    <w:basedOn w:val="781"/>
    <w:uiPriority w:val="0"/>
    <w:qFormat/>
    <w:pPr>
      <w:jc w:val="left"/>
      <w:spacing w:before="100" w:beforeAutospacing="1" w:after="100" w:afterAutospacing="1"/>
      <w:widowControl/>
    </w:pPr>
    <w:rPr>
      <w:rFonts w:ascii="宋体" w:hAnsi="宋体" w:cs="宋体"/>
      <w:sz w:val="18"/>
      <w:szCs w:val="18"/>
    </w:rPr>
  </w:style>
  <w:style w:type="paragraph" w:styleId="1001" w:customStyle="1">
    <w:name w:val="样式 样式 四号 黑色 行距: 1.5 倍行距2 + 首行缩进:  2 字符"/>
    <w:basedOn w:val="781"/>
    <w:uiPriority w:val="0"/>
    <w:qFormat/>
    <w:pPr>
      <w:ind w:firstLine="446"/>
      <w:jc w:val="left"/>
      <w:spacing w:line="360" w:lineRule="auto"/>
    </w:pPr>
    <w:rPr>
      <w:rFonts w:cs="宋体"/>
      <w:color w:val="000000"/>
      <w:sz w:val="24"/>
      <w:szCs w:val="20"/>
    </w:rPr>
  </w:style>
  <w:style w:type="paragraph" w:styleId="1002" w:customStyle="1">
    <w:name w:val="xl101"/>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3" w:customStyle="1">
    <w:name w:val="列出段落1"/>
    <w:basedOn w:val="781"/>
    <w:uiPriority w:val="99"/>
    <w:qFormat/>
    <w:pPr>
      <w:ind w:firstLine="420"/>
      <w:jc w:val="left"/>
      <w:spacing w:line="360" w:lineRule="auto"/>
    </w:pPr>
    <w:rPr>
      <w:sz w:val="28"/>
    </w:rPr>
  </w:style>
  <w:style w:type="paragraph" w:styleId="1004" w:customStyle="1">
    <w:name w:val="xl82"/>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5" w:customStyle="1">
    <w:name w:val="表标题"/>
    <w:basedOn w:val="781"/>
    <w:uiPriority w:val="0"/>
    <w:qFormat/>
    <w:pPr>
      <w:ind w:firstLine="200"/>
      <w:jc w:val="left"/>
      <w:spacing w:line="360" w:lineRule="auto"/>
    </w:pPr>
    <w:rPr>
      <w:rFonts w:ascii="黑体" w:hAnsi="宋体" w:eastAsia="黑体"/>
      <w:sz w:val="28"/>
    </w:rPr>
  </w:style>
  <w:style w:type="paragraph" w:styleId="1006" w:customStyle="1">
    <w:name w:val="Default"/>
    <w:uiPriority w:val="99"/>
    <w:qFormat/>
    <w:pPr>
      <w:spacing w:line="360" w:lineRule="auto"/>
      <w:widowControl w:val="off"/>
    </w:pPr>
    <w:rPr>
      <w:rFonts w:ascii="宋体" w:hAnsi="Calibri" w:eastAsia="宋体" w:cs="宋体"/>
      <w:color w:val="000000"/>
      <w:sz w:val="24"/>
      <w:szCs w:val="24"/>
      <w:lang w:val="en-US" w:eastAsia="zh-CN" w:bidi="ar-SA"/>
    </w:rPr>
  </w:style>
  <w:style w:type="paragraph" w:styleId="1007" w:customStyle="1">
    <w:name w:val="reader-word-layer"/>
    <w:basedOn w:val="781"/>
    <w:uiPriority w:val="0"/>
    <w:qFormat/>
    <w:pPr>
      <w:jc w:val="left"/>
      <w:spacing w:before="100" w:beforeAutospacing="1" w:after="100" w:afterAutospacing="1" w:line="360" w:lineRule="auto"/>
      <w:widowControl/>
    </w:pPr>
    <w:rPr>
      <w:rFonts w:ascii="宋体" w:hAnsi="宋体" w:cs="宋体"/>
      <w:sz w:val="24"/>
    </w:rPr>
  </w:style>
  <w:style w:type="paragraph" w:styleId="1008" w:customStyle="1">
    <w:name w:val="xl77"/>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9" w:customStyle="1">
    <w:name w:val="编号1"/>
    <w:basedOn w:val="781"/>
    <w:uiPriority w:val="0"/>
    <w:qFormat/>
    <w:pPr>
      <w:ind w:left="340" w:hanging="340"/>
      <w:spacing w:line="360" w:lineRule="auto"/>
      <w:tabs>
        <w:tab w:val="left" w:pos="360" w:leader="none"/>
      </w:tabs>
    </w:pPr>
    <w:rPr>
      <w:sz w:val="24"/>
      <w:szCs w:val="20"/>
    </w:rPr>
  </w:style>
  <w:style w:type="paragraph" w:styleId="1010" w:customStyle="1">
    <w:name w:val="xl85"/>
    <w:basedOn w:val="781"/>
    <w:uiPriority w:val="0"/>
    <w:qFormat/>
    <w:pPr>
      <w:jc w:val="left"/>
      <w:spacing w:before="100" w:beforeAutospacing="1" w:after="100" w:afterAutospacing="1"/>
      <w:widowControl/>
    </w:pPr>
    <w:rPr>
      <w:rFonts w:ascii="宋体" w:hAnsi="宋体" w:cs="宋体"/>
      <w:b/>
      <w:bCs/>
      <w:sz w:val="20"/>
      <w:szCs w:val="20"/>
    </w:rPr>
  </w:style>
  <w:style w:type="paragraph" w:styleId="1011" w:customStyle="1">
    <w:name w:val="xl24"/>
    <w:basedOn w:val="781"/>
    <w:uiPriority w:val="0"/>
    <w:qFormat/>
    <w:pPr>
      <w:jc w:val="center"/>
      <w:spacing w:before="100" w:beforeAutospacing="1" w:after="100" w:afterAutospacing="1"/>
      <w:widowControl/>
    </w:pPr>
    <w:rPr>
      <w:rFonts w:ascii="宋体" w:hAnsi="宋体"/>
      <w:sz w:val="24"/>
    </w:rPr>
  </w:style>
  <w:style w:type="paragraph" w:styleId="1012" w:customStyle="1">
    <w:name w:val="xl54"/>
    <w:basedOn w:val="781"/>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13" w:customStyle="1">
    <w:name w:val="xl8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4" w:customStyle="1">
    <w:name w:val="W122"/>
    <w:basedOn w:val="782"/>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15" w:customStyle="1">
    <w:name w:val="xl83"/>
    <w:basedOn w:val="78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6" w:customStyle="1">
    <w:name w:val="xl70"/>
    <w:basedOn w:val="781"/>
    <w:uiPriority w:val="0"/>
    <w:qFormat/>
    <w:pPr>
      <w:jc w:val="left"/>
      <w:spacing w:before="100" w:beforeAutospacing="1" w:after="100" w:afterAutospacing="1"/>
      <w:widowControl/>
    </w:pPr>
    <w:rPr>
      <w:rFonts w:ascii="Courier" w:hAnsi="Courier" w:cs="宋体"/>
      <w:sz w:val="24"/>
    </w:rPr>
  </w:style>
  <w:style w:type="paragraph" w:styleId="1017" w:customStyle="1">
    <w:name w:val="xl102"/>
    <w:basedOn w:val="78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8" w:customStyle="1">
    <w:name w:val="xl73"/>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9" w:customStyle="1">
    <w:name w:val="xl104"/>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0" w:customStyle="1">
    <w:name w:val="xl75"/>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xl76"/>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2" w:customStyle="1">
    <w:name w:val="xl78"/>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3" w:customStyle="1">
    <w:name w:val="xl89"/>
    <w:basedOn w:val="78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4" w:customStyle="1">
    <w:name w:val="xl90"/>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5" w:customStyle="1">
    <w:name w:val="xl92"/>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6" w:customStyle="1">
    <w:name w:val="xl106"/>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7" w:customStyle="1">
    <w:name w:val="xl99"/>
    <w:basedOn w:val="78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8" w:customStyle="1">
    <w:name w:val="xl105"/>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9" w:customStyle="1">
    <w:name w:val="三级标题"/>
    <w:basedOn w:val="784"/>
    <w:next w:val="781"/>
    <w:uiPriority w:val="0"/>
    <w:qFormat/>
    <w:pPr>
      <w:spacing w:before="0" w:after="0" w:line="240" w:lineRule="auto"/>
      <w:tabs>
        <w:tab w:val="left" w:pos="900" w:leader="none"/>
      </w:tabs>
    </w:pPr>
    <w:rPr>
      <w:rFonts w:eastAsia="黑体"/>
      <w:b w:val="0"/>
      <w:sz w:val="28"/>
      <w:szCs w:val="28"/>
    </w:rPr>
  </w:style>
  <w:style w:type="table" w:styleId="1030" w:customStyle="1">
    <w:name w:val="Table Normal"/>
    <w:uiPriority w:val="0"/>
    <w:unhideWhenUsed/>
    <w:qFormat/>
    <w:pPr>
      <w:spacing w:line="360" w:lineRule="auto"/>
      <w:widowControl w:val="off"/>
    </w:pPr>
    <w:rPr>
      <w:rFonts w:ascii="Calibri" w:hAnsi="Calibri" w:eastAsia="宋体" w:cs="Times New Roman"/>
      <w:sz w:val="22"/>
      <w:lang w:eastAsia="en-US"/>
    </w:rPr>
    <w:tblPr>
      <w:tblCellMar>
        <w:left w:w="0" w:type="dxa"/>
        <w:top w:w="0" w:type="dxa"/>
        <w:right w:w="0" w:type="dxa"/>
        <w:bottom w:w="0" w:type="dxa"/>
      </w:tblCellMar>
    </w:tblPr>
  </w:style>
  <w:style w:type="paragraph" w:styleId="1031" w:customStyle="1">
    <w:name w:val="普通(网站)1"/>
    <w:basedOn w:val="781"/>
    <w:uiPriority w:val="0"/>
    <w:qFormat/>
    <w:pPr>
      <w:jc w:val="left"/>
      <w:spacing w:before="100" w:beforeAutospacing="1" w:after="100" w:afterAutospacing="1"/>
      <w:widowControl/>
    </w:pPr>
    <w:rPr>
      <w:rFonts w:ascii="宋体" w:hAnsi="宋体" w:cs="宋体"/>
      <w:sz w:val="24"/>
      <w:szCs w:val="20"/>
      <w:lang w:val="zh-CN" w:bidi="zh-CN"/>
    </w:rPr>
  </w:style>
  <w:style w:type="paragraph" w:styleId="1032" w:customStyle="1">
    <w:name w:val="正文空2格  1."/>
    <w:basedOn w:val="781"/>
    <w:uiPriority w:val="0"/>
    <w:qFormat/>
    <w:pPr>
      <w:ind w:firstLine="200"/>
      <w:spacing w:line="360" w:lineRule="auto"/>
    </w:pPr>
    <w:rPr>
      <w:rFonts w:ascii="宋体" w:hAnsi="宋体" w:eastAsia="仿宋" w:cs="宋体"/>
      <w:sz w:val="28"/>
      <w:szCs w:val="20"/>
    </w:rPr>
  </w:style>
  <w:style w:type="paragraph" w:styleId="1033" w:customStyle="1">
    <w:name w:val="段落"/>
    <w:basedOn w:val="781"/>
    <w:link w:val="1034"/>
    <w:uiPriority w:val="0"/>
    <w:qFormat/>
    <w:pPr>
      <w:ind w:firstLine="200"/>
      <w:spacing w:line="360" w:lineRule="auto"/>
    </w:pPr>
    <w:rPr>
      <w:rFonts w:ascii="仿宋_GB2312" w:eastAsia="仿宋_GB2312"/>
      <w:sz w:val="24"/>
    </w:rPr>
  </w:style>
  <w:style w:type="character" w:styleId="1034" w:customStyle="1">
    <w:name w:val="段落 Char"/>
    <w:link w:val="1033"/>
    <w:uiPriority w:val="0"/>
    <w:qFormat/>
    <w:rPr>
      <w:rFonts w:ascii="仿宋_GB2312" w:hAnsi="Times New Roman" w:eastAsia="仿宋_GB2312" w:cs="Times New Roman"/>
      <w:sz w:val="24"/>
      <w:szCs w:val="24"/>
      <w14:ligatures w14:val="none"/>
    </w:rPr>
  </w:style>
  <w:style w:type="paragraph" w:styleId="1035" w:customStyle="1">
    <w:name w:val="标题3"/>
    <w:basedOn w:val="784"/>
    <w:next w:val="1033"/>
    <w:link w:val="1036"/>
    <w:uiPriority w:val="0"/>
    <w:qFormat/>
    <w:pPr>
      <w:spacing w:before="100" w:after="100" w:line="415" w:lineRule="auto"/>
    </w:pPr>
    <w:rPr>
      <w:rFonts w:eastAsia="仿宋_GB2312"/>
      <w:sz w:val="24"/>
    </w:rPr>
  </w:style>
  <w:style w:type="character" w:styleId="1036" w:customStyle="1">
    <w:name w:val="标题3 字符"/>
    <w:link w:val="1035"/>
    <w:uiPriority w:val="0"/>
    <w:qFormat/>
    <w:rPr>
      <w:rFonts w:ascii="Times New Roman" w:hAnsi="Times New Roman" w:eastAsia="仿宋_GB2312" w:cs="Times New Roman"/>
      <w:b/>
      <w:bCs/>
      <w:sz w:val="24"/>
      <w:szCs w:val="32"/>
      <w14:ligatures w14:val="none"/>
    </w:rPr>
  </w:style>
  <w:style w:type="paragraph" w:styleId="1037" w:customStyle="1">
    <w:name w:val="普通正文"/>
    <w:basedOn w:val="781"/>
    <w:uiPriority w:val="0"/>
    <w:qFormat/>
    <w:pPr>
      <w:ind w:firstLine="480"/>
      <w:jc w:val="left"/>
      <w:spacing w:before="120" w:after="120" w:line="360" w:lineRule="auto"/>
    </w:pPr>
    <w:rPr>
      <w:rFonts w:ascii="Arial" w:hAnsi="Arial"/>
      <w:sz w:val="24"/>
    </w:rPr>
  </w:style>
  <w:style w:type="paragraph" w:styleId="1038" w:customStyle="1">
    <w:name w:val="内容正文"/>
    <w:basedOn w:val="781"/>
    <w:uiPriority w:val="0"/>
    <w:qFormat/>
    <w:pPr>
      <w:ind w:firstLine="480"/>
      <w:spacing w:line="360" w:lineRule="auto"/>
    </w:pPr>
    <w:rPr>
      <w:rFonts w:ascii="Calibri" w:hAnsi="Calibri"/>
      <w:sz w:val="28"/>
    </w:rPr>
  </w:style>
  <w:style w:type="paragraph" w:styleId="1039" w:customStyle="1">
    <w:name w:val="列出段落2"/>
    <w:basedOn w:val="781"/>
    <w:uiPriority w:val="0"/>
    <w:qFormat/>
    <w:pPr>
      <w:ind w:firstLine="420"/>
    </w:pPr>
    <w:rPr>
      <w:rFonts w:ascii="Calibri" w:hAnsi="Calibri"/>
      <w:szCs w:val="22"/>
    </w:rPr>
  </w:style>
  <w:style w:type="character" w:styleId="1040" w:customStyle="1">
    <w:name w:val="font01"/>
    <w:basedOn w:val="791"/>
    <w:uiPriority w:val="0"/>
    <w:qFormat/>
    <w:rPr>
      <w:rFonts w:hint="eastAsia" w:ascii="宋体" w:hAnsi="宋体" w:eastAsia="宋体" w:cs="宋体"/>
      <w:color w:val="000000"/>
      <w:sz w:val="20"/>
      <w:szCs w:val="20"/>
      <w:u w:val="none"/>
    </w:rPr>
  </w:style>
  <w:style w:type="paragraph" w:styleId="1041" w:customStyle="1">
    <w:name w:val="页脚1"/>
    <w:basedOn w:val="844"/>
    <w:uiPriority w:val="99"/>
    <w:qFormat/>
    <w:pPr>
      <w:jc w:val="left"/>
      <w:tabs>
        <w:tab w:val="center" w:pos="4153" w:leader="none"/>
        <w:tab w:val="right" w:pos="8306" w:leader="none"/>
      </w:tabs>
    </w:pPr>
    <w:rPr>
      <w:rFonts w:asciiTheme="minorHAnsi" w:hAnsiTheme="minorHAnsi" w:eastAsiaTheme="minorEastAsia" w:cstheme="minorBidi"/>
      <w:sz w:val="18"/>
      <w:szCs w:val="18"/>
    </w:rPr>
  </w:style>
  <w:style w:type="table" w:styleId="1042" w:customStyle="1">
    <w:name w:val="网格型1"/>
    <w:basedOn w:val="792"/>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3" w:customStyle="1">
    <w:name w:val="未处理的提及1"/>
    <w:basedOn w:val="791"/>
    <w:uiPriority w:val="99"/>
    <w:semiHidden/>
    <w:unhideWhenUsed/>
    <w:qFormat/>
    <w:rPr>
      <w:color w:val="605e5c"/>
      <w:shd w:val="clear" w:color="auto" w:fill="e1dfdd"/>
    </w:rPr>
  </w:style>
  <w:style w:type="paragraph" w:styleId="1044" w:customStyle="1">
    <w:name w:val="正文仿宋"/>
    <w:basedOn w:val="781"/>
    <w:uiPriority w:val="0"/>
    <w:qFormat/>
    <w:pPr>
      <w:ind w:firstLine="520"/>
      <w:spacing w:line="350" w:lineRule="exact"/>
    </w:pPr>
    <w:rPr>
      <w:rFonts w:eastAsia="方正仿宋_GB2312"/>
      <w:sz w:val="24"/>
      <w:lang w:val="zh-CN"/>
    </w:rPr>
  </w:style>
  <w:style w:type="paragraph" w:styleId="1045" w:customStyle="1">
    <w:name w:val="小标题 第几章"/>
    <w:basedOn w:val="781"/>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046" w:customStyle="1">
    <w:name w:val="_Style 19"/>
    <w:next w:val="824"/>
    <w:uiPriority w:val="99"/>
    <w:qFormat/>
    <w:pPr>
      <w:ind w:firstLine="200"/>
      <w:jc w:val="both"/>
      <w:widowControl w:val="off"/>
    </w:pPr>
    <w:rPr>
      <w:rFonts w:ascii="Times New Roman" w:hAnsi="Times New Roman" w:eastAsia="宋体" w:cs="Times New Roman"/>
      <w:sz w:val="21"/>
      <w:szCs w:val="22"/>
      <w:lang w:val="en-US" w:eastAsia="zh-CN" w:bidi="ar-SA"/>
    </w:rPr>
  </w:style>
  <w:style w:type="paragraph" w:styleId="1047" w:customStyle="1">
    <w:name w:val="正文11"/>
    <w:next w:val="781"/>
    <w:uiPriority w:val="0"/>
    <w:qFormat/>
    <w:pPr>
      <w:jc w:val="both"/>
      <w:widowControl w:val="off"/>
    </w:pPr>
    <w:rPr>
      <w:rFonts w:ascii="Calibri" w:hAnsi="Calibri" w:eastAsia="宋体" w:cs="Times New Roman"/>
      <w:sz w:val="21"/>
      <w:szCs w:val="24"/>
      <w:lang w:val="en-US" w:eastAsia="zh-CN" w:bidi="ar-SA"/>
    </w:rPr>
  </w:style>
  <w:style w:type="paragraph" w:styleId="1048" w:customStyle="1">
    <w:name w:val="正文112"/>
    <w:next w:val="991"/>
    <w:uiPriority w:val="0"/>
    <w:qFormat/>
    <w:rPr>
      <w:rFonts w:ascii="宋体" w:hAnsi="宋体" w:eastAsia="宋体" w:cs="Times New Roman"/>
      <w:sz w:val="24"/>
      <w:szCs w:val="24"/>
      <w:lang w:val="en-US" w:eastAsia="zh-CN" w:bidi="ar-SA"/>
    </w:rPr>
  </w:style>
  <w:style w:type="paragraph" w:styleId="1049">
    <w:name w:val="No Spacing"/>
    <w:uiPriority w:val="1"/>
    <w:qFormat/>
    <w:rPr>
      <w:rFonts w:ascii="Times New Roman" w:hAnsi="Times New Roman" w:eastAsia="宋体" w:cs="Times New Roman"/>
      <w:lang w:val="en-US" w:eastAsia="zh-CN" w:bidi="ar-SA"/>
    </w:rPr>
  </w:style>
  <w:style w:type="paragraph" w:styleId="1050">
    <w:name w:val="Quote"/>
    <w:basedOn w:val="781"/>
    <w:next w:val="781"/>
    <w:link w:val="1051"/>
    <w:uiPriority w:val="29"/>
    <w:qFormat/>
    <w:pPr>
      <w:ind w:left="720" w:right="720"/>
    </w:pPr>
    <w:rPr>
      <w:i/>
    </w:rPr>
  </w:style>
  <w:style w:type="character" w:styleId="1051" w:customStyle="1">
    <w:name w:val="引用 字符"/>
    <w:basedOn w:val="791"/>
    <w:link w:val="1050"/>
    <w:uiPriority w:val="29"/>
    <w:qFormat/>
    <w:rPr>
      <w:rFonts w:ascii="Times New Roman" w:hAnsi="Times New Roman" w:eastAsia="宋体" w:cs="Times New Roman"/>
      <w:i/>
      <w:szCs w:val="24"/>
      <w14:ligatures w14:val="none"/>
    </w:rPr>
  </w:style>
  <w:style w:type="paragraph" w:styleId="1052">
    <w:name w:val="Intense Quote"/>
    <w:basedOn w:val="781"/>
    <w:next w:val="781"/>
    <w:link w:val="10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3" w:customStyle="1">
    <w:name w:val="明显引用 字符"/>
    <w:basedOn w:val="791"/>
    <w:link w:val="1052"/>
    <w:uiPriority w:val="30"/>
    <w:qFormat/>
    <w:rPr>
      <w:rFonts w:ascii="Times New Roman" w:hAnsi="Times New Roman" w:eastAsia="宋体" w:cs="Times New Roman"/>
      <w:i/>
      <w:szCs w:val="24"/>
      <w:shd w:val="clear" w:color="auto" w:fill="f2f2f2"/>
      <w14:ligatures w14:val="none"/>
    </w:rPr>
  </w:style>
  <w:style w:type="character" w:styleId="1054" w:customStyle="1">
    <w:name w:val="Footer Char"/>
    <w:basedOn w:val="791"/>
    <w:uiPriority w:val="99"/>
    <w:qFormat/>
  </w:style>
  <w:style w:type="table" w:styleId="1055" w:customStyle="1">
    <w:name w:val="Table Grid Light"/>
    <w:basedOn w:val="792"/>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56" w:customStyle="1">
    <w:name w:val="无格式表格 11"/>
    <w:basedOn w:val="792"/>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无格式表格 21"/>
    <w:basedOn w:val="792"/>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无格式表格 31"/>
    <w:basedOn w:val="792"/>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无格式表格 41"/>
    <w:basedOn w:val="792"/>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无格式表格 51"/>
    <w:basedOn w:val="792"/>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网格表 1 浅色1"/>
    <w:basedOn w:val="792"/>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basedOn w:val="792"/>
    <w:uiPriority w:val="99"/>
    <w:qFormat/>
    <w:rPr>
      <w:rFonts w:ascii="Times New Roman" w:hAnsi="Times New Roman" w:eastAsia="宋体" w:cs="Times New Roman"/>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basedOn w:val="79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basedOn w:val="792"/>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basedOn w:val="792"/>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basedOn w:val="792"/>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basedOn w:val="792"/>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68" w:customStyle="1">
    <w:name w:val="网格表 21"/>
    <w:basedOn w:val="792"/>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basedOn w:val="792"/>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basedOn w:val="79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basedOn w:val="792"/>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basedOn w:val="792"/>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basedOn w:val="792"/>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74" w:customStyle="1">
    <w:name w:val="Grid Table 2 - Accent 6"/>
    <w:basedOn w:val="792"/>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75" w:customStyle="1">
    <w:name w:val="网格表 31"/>
    <w:basedOn w:val="792"/>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basedOn w:val="792"/>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basedOn w:val="79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basedOn w:val="792"/>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basedOn w:val="792"/>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basedOn w:val="792"/>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basedOn w:val="792"/>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网格表 41"/>
    <w:basedOn w:val="792"/>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basedOn w:val="792"/>
    <w:uiPriority w:val="5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84" w:customStyle="1">
    <w:name w:val="Grid Table 4 - Accent 2"/>
    <w:basedOn w:val="792"/>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85" w:customStyle="1">
    <w:name w:val="Grid Table 4 - Accent 3"/>
    <w:basedOn w:val="792"/>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86" w:customStyle="1">
    <w:name w:val="Grid Table 4 - Accent 4"/>
    <w:basedOn w:val="792"/>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87" w:customStyle="1">
    <w:name w:val="Grid Table 4 - Accent 5"/>
    <w:basedOn w:val="792"/>
    <w:uiPriority w:val="5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88" w:customStyle="1">
    <w:name w:val="Grid Table 4 - Accent 6"/>
    <w:basedOn w:val="792"/>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89" w:customStyle="1">
    <w:name w:val="网格表 5 深色1"/>
    <w:basedOn w:val="79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5 Dark- Accent 1"/>
    <w:basedOn w:val="79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91" w:customStyle="1">
    <w:name w:val="Grid Table 5 Dark - Accent 2"/>
    <w:basedOn w:val="79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92" w:customStyle="1">
    <w:name w:val="Grid Table 5 Dark - Accent 3"/>
    <w:basedOn w:val="79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93" w:customStyle="1">
    <w:name w:val="Grid Table 5 Dark- Accent 4"/>
    <w:basedOn w:val="79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94" w:customStyle="1">
    <w:name w:val="Grid Table 5 Dark - Accent 5"/>
    <w:basedOn w:val="79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95" w:customStyle="1">
    <w:name w:val="Grid Table 5 Dark - Accent 6"/>
    <w:basedOn w:val="79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96" w:customStyle="1">
    <w:name w:val="网格表 6 彩色1"/>
    <w:basedOn w:val="792"/>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basedOn w:val="792"/>
    <w:uiPriority w:val="99"/>
    <w:qFormat/>
    <w:rPr>
      <w:rFonts w:ascii="Times New Roman" w:hAnsi="Times New Roman" w:eastAsia="宋体" w:cs="Times New Roman"/>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98" w:customStyle="1">
    <w:name w:val="Grid Table 6 Colorful - Accent 2"/>
    <w:basedOn w:val="79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99" w:customStyle="1">
    <w:name w:val="Grid Table 6 Colorful - Accent 3"/>
    <w:basedOn w:val="792"/>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00" w:customStyle="1">
    <w:name w:val="Grid Table 6 Colorful - Accent 4"/>
    <w:basedOn w:val="792"/>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01" w:customStyle="1">
    <w:name w:val="Grid Table 6 Colorful - Accent 5"/>
    <w:basedOn w:val="792"/>
    <w:uiPriority w:val="99"/>
    <w:qFormat/>
    <w:rPr>
      <w:rFonts w:ascii="Times New Roman" w:hAnsi="Times New Roman" w:eastAsia="宋体" w:cs="Times New Roman"/>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02" w:customStyle="1">
    <w:name w:val="Grid Table 6 Colorful - Accent 6"/>
    <w:basedOn w:val="792"/>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03" w:customStyle="1">
    <w:name w:val="网格表 7 彩色1"/>
    <w:basedOn w:val="792"/>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basedOn w:val="792"/>
    <w:uiPriority w:val="99"/>
    <w:qFormat/>
    <w:rPr>
      <w:rFonts w:ascii="Times New Roman" w:hAnsi="Times New Roman" w:eastAsia="宋体" w:cs="Times New Roman"/>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basedOn w:val="792"/>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basedOn w:val="792"/>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basedOn w:val="792"/>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basedOn w:val="792"/>
    <w:uiPriority w:val="99"/>
    <w:qFormat/>
    <w:rPr>
      <w:rFonts w:ascii="Times New Roman" w:hAnsi="Times New Roman" w:eastAsia="宋体" w:cs="Times New Roman"/>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basedOn w:val="792"/>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10" w:customStyle="1">
    <w:name w:val="清单表 1 浅色1"/>
    <w:basedOn w:val="792"/>
    <w:uiPriority w:val="99"/>
    <w:qFormat/>
    <w:rPr>
      <w:rFonts w:ascii="Times New Roman" w:hAnsi="Times New Roman" w:eastAsia="宋体" w:cs="Times New Roman"/>
    </w:rPr>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basedOn w:val="792"/>
    <w:uiPriority w:val="99"/>
    <w:qFormat/>
    <w:rPr>
      <w:rFonts w:ascii="Times New Roman" w:hAnsi="Times New Roman" w:eastAsia="宋体" w:cs="Times New Roman"/>
    </w:r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basedOn w:val="792"/>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basedOn w:val="792"/>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basedOn w:val="792"/>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basedOn w:val="792"/>
    <w:uiPriority w:val="99"/>
    <w:qFormat/>
    <w:rPr>
      <w:rFonts w:ascii="Times New Roman" w:hAnsi="Times New Roman" w:eastAsia="宋体" w:cs="Times New Roman"/>
    </w:r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basedOn w:val="792"/>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17" w:customStyle="1">
    <w:name w:val="清单表 21"/>
    <w:basedOn w:val="792"/>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basedOn w:val="792"/>
    <w:uiPriority w:val="99"/>
    <w:qFormat/>
    <w:rPr>
      <w:rFonts w:ascii="Times New Roman" w:hAnsi="Times New Roman" w:eastAsia="宋体" w:cs="Times New Roman"/>
    </w:r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119" w:customStyle="1">
    <w:name w:val="List Table 2 - Accent 2"/>
    <w:basedOn w:val="792"/>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20" w:customStyle="1">
    <w:name w:val="List Table 2 - Accent 3"/>
    <w:basedOn w:val="792"/>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21" w:customStyle="1">
    <w:name w:val="List Table 2 - Accent 4"/>
    <w:basedOn w:val="792"/>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22" w:customStyle="1">
    <w:name w:val="List Table 2 - Accent 5"/>
    <w:basedOn w:val="792"/>
    <w:uiPriority w:val="99"/>
    <w:qFormat/>
    <w:rPr>
      <w:rFonts w:ascii="Times New Roman" w:hAnsi="Times New Roman" w:eastAsia="宋体" w:cs="Times New Roman"/>
    </w:r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123" w:customStyle="1">
    <w:name w:val="List Table 2 - Accent 6"/>
    <w:basedOn w:val="792"/>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24" w:customStyle="1">
    <w:name w:val="清单表 31"/>
    <w:basedOn w:val="792"/>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3 - Accent 1"/>
    <w:basedOn w:val="792"/>
    <w:uiPriority w:val="99"/>
    <w:qFormat/>
    <w:rPr>
      <w:rFonts w:ascii="Times New Roman" w:hAnsi="Times New Roman" w:eastAsia="宋体" w:cs="Times New Roman"/>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26" w:customStyle="1">
    <w:name w:val="List Table 3 - Accent 2"/>
    <w:basedOn w:val="79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27" w:customStyle="1">
    <w:name w:val="List Table 3 - Accent 3"/>
    <w:basedOn w:val="792"/>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28" w:customStyle="1">
    <w:name w:val="List Table 3 - Accent 4"/>
    <w:basedOn w:val="792"/>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29" w:customStyle="1">
    <w:name w:val="List Table 3 - Accent 5"/>
    <w:basedOn w:val="792"/>
    <w:uiPriority w:val="99"/>
    <w:qFormat/>
    <w:rPr>
      <w:rFonts w:ascii="Times New Roman" w:hAnsi="Times New Roman" w:eastAsia="宋体" w:cs="Times New Roman"/>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30" w:customStyle="1">
    <w:name w:val="List Table 3 - Accent 6"/>
    <w:basedOn w:val="792"/>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31" w:customStyle="1">
    <w:name w:val="清单表 41"/>
    <w:basedOn w:val="792"/>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4 - Accent 1"/>
    <w:basedOn w:val="792"/>
    <w:uiPriority w:val="9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33" w:customStyle="1">
    <w:name w:val="List Table 4 - Accent 2"/>
    <w:basedOn w:val="792"/>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34" w:customStyle="1">
    <w:name w:val="List Table 4 - Accent 3"/>
    <w:basedOn w:val="792"/>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35" w:customStyle="1">
    <w:name w:val="List Table 4 - Accent 4"/>
    <w:basedOn w:val="792"/>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36" w:customStyle="1">
    <w:name w:val="List Table 4 - Accent 5"/>
    <w:basedOn w:val="792"/>
    <w:uiPriority w:val="9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37" w:customStyle="1">
    <w:name w:val="List Table 4 - Accent 6"/>
    <w:basedOn w:val="792"/>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38" w:customStyle="1">
    <w:name w:val="清单表 5 深色1"/>
    <w:basedOn w:val="792"/>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basedOn w:val="792"/>
    <w:uiPriority w:val="99"/>
    <w:qFormat/>
    <w:rPr>
      <w:rFonts w:ascii="Times New Roman" w:hAnsi="Times New Roman" w:eastAsia="宋体" w:cs="Times New Roman"/>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basedOn w:val="792"/>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basedOn w:val="792"/>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basedOn w:val="792"/>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basedOn w:val="792"/>
    <w:uiPriority w:val="99"/>
    <w:qFormat/>
    <w:rPr>
      <w:rFonts w:ascii="Times New Roman" w:hAnsi="Times New Roman" w:eastAsia="宋体" w:cs="Times New Roman"/>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basedOn w:val="792"/>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清单表 6 彩色1"/>
    <w:basedOn w:val="792"/>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basedOn w:val="792"/>
    <w:uiPriority w:val="99"/>
    <w:qFormat/>
    <w:rPr>
      <w:rFonts w:ascii="Times New Roman" w:hAnsi="Times New Roman" w:eastAsia="宋体" w:cs="Times New Roman"/>
    </w:r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47" w:customStyle="1">
    <w:name w:val="List Table 6 Colorful - Accent 2"/>
    <w:basedOn w:val="792"/>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48" w:customStyle="1">
    <w:name w:val="List Table 6 Colorful - Accent 3"/>
    <w:basedOn w:val="792"/>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49" w:customStyle="1">
    <w:name w:val="List Table 6 Colorful - Accent 4"/>
    <w:basedOn w:val="792"/>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50" w:customStyle="1">
    <w:name w:val="List Table 6 Colorful - Accent 5"/>
    <w:basedOn w:val="792"/>
    <w:uiPriority w:val="99"/>
    <w:qFormat/>
    <w:rPr>
      <w:rFonts w:ascii="Times New Roman" w:hAnsi="Times New Roman" w:eastAsia="宋体" w:cs="Times New Roman"/>
    </w:r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51" w:customStyle="1">
    <w:name w:val="List Table 6 Colorful - Accent 6"/>
    <w:basedOn w:val="792"/>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52" w:customStyle="1">
    <w:name w:val="清单表 7 彩色1"/>
    <w:basedOn w:val="792"/>
    <w:uiPriority w:val="99"/>
    <w:qFormat/>
    <w:rPr>
      <w:rFonts w:ascii="Times New Roman" w:hAnsi="Times New Roman" w:eastAsia="宋体" w:cs="Times New Roman"/>
    </w:rPr>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basedOn w:val="792"/>
    <w:uiPriority w:val="99"/>
    <w:qFormat/>
    <w:rPr>
      <w:rFonts w:ascii="Times New Roman" w:hAnsi="Times New Roman" w:eastAsia="宋体" w:cs="Times New Roman"/>
    </w:r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basedOn w:val="792"/>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basedOn w:val="792"/>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basedOn w:val="792"/>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basedOn w:val="792"/>
    <w:uiPriority w:val="99"/>
    <w:qFormat/>
    <w:rPr>
      <w:rFonts w:ascii="Times New Roman" w:hAnsi="Times New Roman" w:eastAsia="宋体" w:cs="Times New Roman"/>
    </w:r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basedOn w:val="792"/>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59" w:customStyle="1">
    <w:name w:val="Lined - Accent"/>
    <w:basedOn w:val="792"/>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Lined - Accent 1"/>
    <w:basedOn w:val="792"/>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61" w:customStyle="1">
    <w:name w:val="Lined - Accent 2"/>
    <w:basedOn w:val="792"/>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2" w:customStyle="1">
    <w:name w:val="Lined - Accent 3"/>
    <w:basedOn w:val="792"/>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3" w:customStyle="1">
    <w:name w:val="Lined - Accent 4"/>
    <w:basedOn w:val="792"/>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64" w:customStyle="1">
    <w:name w:val="Lined - Accent 5"/>
    <w:basedOn w:val="792"/>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65" w:customStyle="1">
    <w:name w:val="Lined - Accent 6"/>
    <w:basedOn w:val="792"/>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6" w:customStyle="1">
    <w:name w:val="Bordered &amp; Lined - Accent"/>
    <w:basedOn w:val="792"/>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Bordered &amp; Lined - Accent 1"/>
    <w:basedOn w:val="792"/>
    <w:uiPriority w:val="99"/>
    <w:qFormat/>
    <w:rPr>
      <w:rFonts w:ascii="Times New Roman" w:hAnsi="Times New Roman" w:eastAsia="宋体" w:cs="Times New Roman"/>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68" w:customStyle="1">
    <w:name w:val="Bordered &amp; Lined - Accent 2"/>
    <w:basedOn w:val="792"/>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9" w:customStyle="1">
    <w:name w:val="Bordered &amp; Lined - Accent 3"/>
    <w:basedOn w:val="792"/>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70" w:customStyle="1">
    <w:name w:val="Bordered &amp; Lined - Accent 4"/>
    <w:basedOn w:val="792"/>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71" w:customStyle="1">
    <w:name w:val="Bordered &amp; Lined - Accent 5"/>
    <w:basedOn w:val="792"/>
    <w:uiPriority w:val="99"/>
    <w:qFormat/>
    <w:rPr>
      <w:rFonts w:ascii="Times New Roman" w:hAnsi="Times New Roman" w:eastAsia="宋体" w:cs="Times New Roman"/>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72" w:customStyle="1">
    <w:name w:val="Bordered &amp; Lined - Accent 6"/>
    <w:basedOn w:val="792"/>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3" w:customStyle="1">
    <w:name w:val="Bordered"/>
    <w:basedOn w:val="792"/>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basedOn w:val="792"/>
    <w:uiPriority w:val="99"/>
    <w:qFormat/>
    <w:rPr>
      <w:rFonts w:ascii="Times New Roman" w:hAnsi="Times New Roman" w:eastAsia="宋体" w:cs="Times New Roman"/>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75" w:customStyle="1">
    <w:name w:val="Bordered - Accent 2"/>
    <w:basedOn w:val="79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76" w:customStyle="1">
    <w:name w:val="Bordered - Accent 3"/>
    <w:basedOn w:val="792"/>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77" w:customStyle="1">
    <w:name w:val="Bordered - Accent 4"/>
    <w:basedOn w:val="792"/>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78" w:customStyle="1">
    <w:name w:val="Bordered - Accent 5"/>
    <w:basedOn w:val="792"/>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79" w:customStyle="1">
    <w:name w:val="Bordered - Accent 6"/>
    <w:basedOn w:val="792"/>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80" w:customStyle="1">
    <w:name w:val="尾注文本 字符"/>
    <w:basedOn w:val="791"/>
    <w:link w:val="813"/>
    <w:uiPriority w:val="99"/>
    <w:semiHidden/>
    <w:qFormat/>
    <w:rPr>
      <w:rFonts w:ascii="Times New Roman" w:hAnsi="Times New Roman" w:eastAsia="宋体" w:cs="Times New Roman"/>
      <w:sz w:val="20"/>
      <w:szCs w:val="24"/>
      <w14:ligatures w14:val="none"/>
    </w:rPr>
  </w:style>
  <w:style w:type="paragraph" w:styleId="1181" w:customStyle="1">
    <w:name w:val="TOC 标题2"/>
    <w:uiPriority w:val="39"/>
    <w:unhideWhenUsed/>
    <w:qFormat/>
    <w:rPr>
      <w:rFonts w:ascii="Times New Roman" w:hAnsi="Times New Roman" w:eastAsia="宋体" w:cs="Times New Roman"/>
      <w:lang w:val="en-US" w:eastAsia="zh-CN" w:bidi="ar-SA"/>
    </w:rPr>
  </w:style>
  <w:style w:type="paragraph" w:styleId="1182" w:customStyle="1">
    <w:name w:val="一级条标题"/>
    <w:basedOn w:val="1183"/>
    <w:next w:val="11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3" w:customStyle="1">
    <w:name w:val="章标题"/>
    <w:next w:val="118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84" w:customStyle="1">
    <w:name w:val="段"/>
    <w:basedOn w:val="1047"/>
    <w:next w:val="781"/>
    <w:uiPriority w:val="0"/>
    <w:qFormat/>
    <w:pPr>
      <w:ind w:firstLine="200"/>
      <w:widowControl/>
    </w:pPr>
    <w:rPr>
      <w:rFonts w:ascii="宋体"/>
      <w:sz w:val="20"/>
      <w:szCs w:val="20"/>
    </w:rPr>
  </w:style>
  <w:style w:type="paragraph" w:styleId="1185" w:customStyle="1">
    <w:name w:val="正文首行缩进 21"/>
    <w:basedOn w:val="1186"/>
    <w:next w:val="1047"/>
    <w:uiPriority w:val="6"/>
    <w:qFormat/>
    <w:pPr>
      <w:ind w:left="420" w:firstLine="420"/>
      <w:spacing w:after="120"/>
    </w:pPr>
    <w:rPr>
      <w:sz w:val="24"/>
    </w:rPr>
  </w:style>
  <w:style w:type="paragraph" w:styleId="1186" w:customStyle="1">
    <w:name w:val="正文文本缩进1"/>
    <w:basedOn w:val="1187"/>
    <w:next w:val="1188"/>
    <w:uiPriority w:val="0"/>
    <w:qFormat/>
    <w:pPr>
      <w:ind w:firstLine="225"/>
    </w:pPr>
    <w:rPr>
      <w:rFonts w:ascii="仿宋_GB2312" w:eastAsia="仿宋_GB2312"/>
      <w:sz w:val="32"/>
    </w:rPr>
  </w:style>
  <w:style w:type="paragraph" w:styleId="1187" w:customStyle="1">
    <w:name w:val="Normal_19"/>
    <w:next w:val="1186"/>
    <w:uiPriority w:val="0"/>
    <w:qFormat/>
    <w:pPr>
      <w:jc w:val="both"/>
      <w:widowControl w:val="off"/>
    </w:pPr>
    <w:rPr>
      <w:rFonts w:ascii="Calibri" w:hAnsi="Calibri" w:eastAsia="宋体" w:cs="Times New Roman"/>
      <w:sz w:val="21"/>
      <w:szCs w:val="24"/>
      <w:lang w:val="en-US" w:eastAsia="zh-CN" w:bidi="ar-SA"/>
    </w:rPr>
  </w:style>
  <w:style w:type="paragraph" w:styleId="1188" w:customStyle="1">
    <w:name w:val="寄信人地址1"/>
    <w:basedOn w:val="1047"/>
    <w:uiPriority w:val="99"/>
    <w:qFormat/>
    <w:rPr>
      <w:rFonts w:ascii="Arial" w:hAnsi="Arial"/>
      <w:sz w:val="24"/>
    </w:rPr>
  </w:style>
  <w:style w:type="character" w:styleId="1189" w:customStyle="1">
    <w:name w:val="正文文本 2 字符"/>
    <w:basedOn w:val="791"/>
    <w:link w:val="828"/>
    <w:uiPriority w:val="0"/>
    <w:qFormat/>
    <w:rPr>
      <w:rFonts w:ascii="楷体_GB2312" w:hAnsi="Times New Roman" w:eastAsia="楷体_GB2312" w:cs="Times New Roman"/>
      <w:sz w:val="28"/>
      <w:szCs w:val="28"/>
      <w14:ligatures w14:val="none"/>
    </w:rPr>
  </w:style>
  <w:style w:type="paragraph" w:styleId="1190" w:customStyle="1">
    <w:name w:val="首行缩进"/>
    <w:basedOn w:val="781"/>
    <w:uiPriority w:val="0"/>
    <w:qFormat/>
    <w:pPr>
      <w:ind w:firstLine="720"/>
      <w:jc w:val="left"/>
    </w:pPr>
    <w:rPr>
      <w:rFonts w:ascii="宋体" w:hAnsi="宋体"/>
      <w:sz w:val="24"/>
    </w:rPr>
  </w:style>
  <w:style w:type="paragraph" w:styleId="1191" w:customStyle="1">
    <w:name w:val="文本块1"/>
    <w:basedOn w:val="1047"/>
    <w:uiPriority w:val="0"/>
    <w:qFormat/>
    <w:pPr>
      <w:ind w:left="256" w:right="6" w:firstLine="624"/>
    </w:pPr>
    <w:rPr>
      <w:rFonts w:eastAsia="仿宋_GB2312"/>
      <w:sz w:val="28"/>
    </w:rPr>
  </w:style>
  <w:style w:type="paragraph" w:styleId="1192" w:customStyle="1">
    <w:name w:val="目录 11"/>
    <w:basedOn w:val="1047"/>
    <w:next w:val="1047"/>
    <w:uiPriority w:val="0"/>
    <w:qFormat/>
  </w:style>
  <w:style w:type="paragraph" w:styleId="1193" w:customStyle="1">
    <w:name w:val="正文111"/>
    <w:next w:val="1194"/>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目录 111"/>
    <w:basedOn w:val="1193"/>
    <w:next w:val="1193"/>
    <w:uiPriority w:val="39"/>
    <w:qFormat/>
    <w:pPr>
      <w:spacing w:after="57"/>
    </w:pPr>
  </w:style>
  <w:style w:type="paragraph" w:styleId="1195" w:customStyle="1">
    <w:name w:val="文本块11"/>
    <w:basedOn w:val="1048"/>
    <w:uiPriority w:val="0"/>
    <w:qFormat/>
    <w:pPr>
      <w:ind w:left="420" w:right="33"/>
    </w:pPr>
    <w:rPr>
      <w:rFonts w:ascii="Times New Roman" w:hAnsi="Times New Roman"/>
      <w:szCs w:val="20"/>
    </w:rPr>
  </w:style>
  <w:style w:type="paragraph" w:styleId="1196" w:customStyle="1">
    <w:name w:val="脚注文本1"/>
    <w:basedOn w:val="1048"/>
    <w:next w:val="1197"/>
    <w:uiPriority w:val="0"/>
    <w:qFormat/>
    <w:pPr>
      <w:spacing w:after="40"/>
    </w:pPr>
    <w:rPr>
      <w:sz w:val="18"/>
    </w:rPr>
  </w:style>
  <w:style w:type="paragraph" w:styleId="1197" w:customStyle="1">
    <w:name w:val="索引 51"/>
    <w:basedOn w:val="1048"/>
    <w:next w:val="844"/>
    <w:uiPriority w:val="0"/>
    <w:qFormat/>
    <w:pPr>
      <w:ind w:left="798"/>
    </w:pPr>
    <w:rPr>
      <w:rFonts w:ascii="Calibri" w:hAnsi="Calibri"/>
    </w:rPr>
  </w:style>
  <w:style w:type="paragraph" w:styleId="1198" w:customStyle="1">
    <w:name w:val="正文文本缩进11"/>
    <w:basedOn w:val="1048"/>
    <w:next w:val="1199"/>
    <w:uiPriority w:val="0"/>
    <w:qFormat/>
    <w:pPr>
      <w:ind w:left="420"/>
      <w:spacing w:after="120"/>
    </w:pPr>
  </w:style>
  <w:style w:type="paragraph" w:styleId="1199" w:customStyle="1">
    <w:name w:val="寄信人地址11"/>
    <w:basedOn w:val="1048"/>
    <w:uiPriority w:val="0"/>
    <w:qFormat/>
    <w:rPr>
      <w:rFonts w:ascii="Arial" w:hAnsi="Arial"/>
    </w:rPr>
  </w:style>
  <w:style w:type="character" w:styleId="1200" w:customStyle="1">
    <w:name w:val="超链接1"/>
    <w:uiPriority w:val="99"/>
    <w:qFormat/>
    <w:rPr>
      <w:color w:val="0000ff"/>
      <w:sz w:val="20"/>
      <w:u w:val="single"/>
    </w:rPr>
  </w:style>
  <w:style w:type="paragraph" w:styleId="1201" w:customStyle="1">
    <w:name w:val="目录 21"/>
    <w:basedOn w:val="1047"/>
    <w:next w:val="1047"/>
    <w:uiPriority w:val="39"/>
    <w:qFormat/>
    <w:pPr>
      <w:ind w:left="420"/>
    </w:pPr>
  </w:style>
  <w:style w:type="character" w:styleId="1202" w:customStyle="1">
    <w:name w:val="NormalCharacter"/>
    <w:uiPriority w:val="0"/>
    <w:semiHidden/>
    <w:qFormat/>
    <w:rPr>
      <w:rFonts w:ascii="Times New Roman" w:hAnsi="Times New Roman" w:eastAsia="宋体" w:cs="Times New Roman"/>
      <w:sz w:val="28"/>
      <w:lang w:val="en-US" w:eastAsia="zh-CN" w:bidi="ar-SA"/>
    </w:rPr>
  </w:style>
  <w:style w:type="paragraph" w:styleId="1203" w:customStyle="1">
    <w:name w:val="标题 11"/>
    <w:basedOn w:val="1047"/>
    <w:next w:val="781"/>
    <w:uiPriority w:val="0"/>
    <w:qFormat/>
    <w:pPr>
      <w:keepLines/>
      <w:keepNext/>
      <w:spacing w:before="340" w:after="330" w:line="578" w:lineRule="auto"/>
      <w:outlineLvl w:val="0"/>
    </w:pPr>
    <w:rPr>
      <w:b/>
      <w:bCs/>
      <w:sz w:val="44"/>
      <w:szCs w:val="44"/>
    </w:rPr>
  </w:style>
  <w:style w:type="paragraph" w:styleId="1204" w:customStyle="1">
    <w:name w:val="WPSOffice手动目录 1"/>
    <w:uiPriority w:val="0"/>
    <w:qFormat/>
    <w:rPr>
      <w:rFonts w:ascii="Times New Roman" w:hAnsi="Times New Roman" w:eastAsia="宋体" w:cs="Times New Roman"/>
      <w:lang w:val="en-US" w:eastAsia="zh-CN" w:bidi="ar-SA"/>
    </w:rPr>
  </w:style>
  <w:style w:type="paragraph" w:styleId="1205" w:customStyle="1">
    <w:name w:val="正文文本11"/>
    <w:basedOn w:val="1047"/>
    <w:next w:val="1047"/>
    <w:uiPriority w:val="0"/>
    <w:qFormat/>
    <w:pPr>
      <w:spacing w:after="120"/>
    </w:pPr>
  </w:style>
  <w:style w:type="paragraph" w:styleId="1206"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character" w:styleId="1207" w:customStyle="1">
    <w:name w:val="NormalCharacter1"/>
    <w:uiPriority w:val="0"/>
    <w:semiHidden/>
    <w:qFormat/>
  </w:style>
  <w:style w:type="character" w:styleId="1208" w:customStyle="1">
    <w:name w:val="正文文本 3 字符"/>
    <w:basedOn w:val="791"/>
    <w:link w:val="800"/>
    <w:uiPriority w:val="0"/>
    <w:qFormat/>
    <w:rPr>
      <w:rFonts w:ascii="宋体" w:hAnsi="Times New Roman" w:eastAsia="宋体" w:cs="Times New Roman"/>
      <w:sz w:val="28"/>
      <w:szCs w:val="20"/>
      <w14:ligatures w14:val="none"/>
    </w:rPr>
  </w:style>
  <w:style w:type="paragraph" w:styleId="1209" w:customStyle="1">
    <w:name w:val="标题二、"/>
    <w:basedOn w:val="781"/>
    <w:uiPriority w:val="99"/>
    <w:qFormat/>
    <w:pPr>
      <w:ind w:firstLine="200"/>
      <w:spacing w:line="360" w:lineRule="auto"/>
      <w:outlineLvl w:val="2"/>
    </w:pPr>
    <w:rPr>
      <w:rFonts w:ascii="宋体" w:hAnsi="宋体"/>
      <w:b/>
      <w:szCs w:val="21"/>
    </w:rPr>
  </w:style>
  <w:style w:type="character" w:styleId="1210" w:customStyle="1">
    <w:name w:val="Heading 1 Char"/>
    <w:uiPriority w:val="9"/>
    <w:qFormat/>
    <w:rPr>
      <w:rFonts w:ascii="Arial" w:hAnsi="Arial" w:eastAsia="Arial" w:cs="Arial"/>
      <w:sz w:val="40"/>
      <w:szCs w:val="40"/>
    </w:rPr>
  </w:style>
  <w:style w:type="character" w:styleId="1211" w:customStyle="1">
    <w:name w:val="副标题 字符1"/>
    <w:uiPriority w:val="11"/>
    <w:qFormat/>
    <w:rPr>
      <w:sz w:val="24"/>
      <w:szCs w:val="24"/>
    </w:rPr>
  </w:style>
  <w:style w:type="character" w:styleId="1212" w:customStyle="1">
    <w:name w:val="页眉 字符1"/>
    <w:uiPriority w:val="99"/>
    <w:qFormat/>
    <w:rPr>
      <w:sz w:val="21"/>
      <w:szCs w:val="21"/>
    </w:rPr>
  </w:style>
  <w:style w:type="paragraph" w:styleId="1213" w:customStyle="1">
    <w:name w:val="标题 211"/>
    <w:basedOn w:val="781"/>
    <w:next w:val="781"/>
    <w:uiPriority w:val="0"/>
    <w:qFormat/>
    <w:pPr>
      <w:jc w:val="center"/>
      <w:keepLines/>
      <w:keepNext/>
      <w:spacing w:before="120" w:line="300" w:lineRule="auto"/>
      <w:outlineLvl w:val="1"/>
    </w:pPr>
    <w:rPr>
      <w:rFonts w:ascii="Arial" w:hAnsi="Arial" w:eastAsia="黑体" w:cs="Arial"/>
      <w:b/>
      <w:bCs/>
      <w:sz w:val="30"/>
      <w:szCs w:val="30"/>
    </w:rPr>
  </w:style>
  <w:style w:type="paragraph" w:styleId="1214" w:customStyle="1">
    <w:name w:val="标题 41"/>
    <w:basedOn w:val="781"/>
    <w:next w:val="781"/>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215" w:customStyle="1">
    <w:name w:val="标题 61"/>
    <w:basedOn w:val="781"/>
    <w:next w:val="781"/>
    <w:uiPriority w:val="0"/>
    <w:qFormat/>
    <w:pPr>
      <w:keepLines/>
      <w:keepNext/>
      <w:spacing w:before="240" w:after="64" w:line="320" w:lineRule="auto"/>
      <w:outlineLvl w:val="5"/>
    </w:pPr>
    <w:rPr>
      <w:rFonts w:ascii="Arial" w:hAnsi="Arial" w:eastAsia="黑体" w:cs="Arial"/>
      <w:b/>
      <w:bCs/>
      <w:sz w:val="24"/>
    </w:rPr>
  </w:style>
  <w:style w:type="paragraph" w:styleId="1216" w:customStyle="1">
    <w:name w:val="标题 71"/>
    <w:basedOn w:val="781"/>
    <w:next w:val="781"/>
    <w:uiPriority w:val="0"/>
    <w:qFormat/>
    <w:pPr>
      <w:keepLines/>
      <w:keepNext/>
      <w:spacing w:before="240" w:after="64" w:line="320" w:lineRule="auto"/>
      <w:outlineLvl w:val="6"/>
    </w:pPr>
    <w:rPr>
      <w:b/>
      <w:bCs/>
      <w:sz w:val="24"/>
    </w:rPr>
  </w:style>
  <w:style w:type="paragraph" w:styleId="1217" w:customStyle="1">
    <w:name w:val="标题 81"/>
    <w:basedOn w:val="781"/>
    <w:next w:val="781"/>
    <w:uiPriority w:val="0"/>
    <w:qFormat/>
    <w:pPr>
      <w:keepLines/>
      <w:keepNext/>
      <w:spacing w:before="240" w:after="64" w:line="320" w:lineRule="auto"/>
      <w:outlineLvl w:val="7"/>
    </w:pPr>
    <w:rPr>
      <w:rFonts w:ascii="Arial" w:hAnsi="Arial" w:eastAsia="黑体" w:cs="Arial"/>
      <w:sz w:val="24"/>
    </w:rPr>
  </w:style>
  <w:style w:type="paragraph" w:styleId="1218" w:customStyle="1">
    <w:name w:val="标题 91"/>
    <w:basedOn w:val="781"/>
    <w:next w:val="781"/>
    <w:uiPriority w:val="0"/>
    <w:qFormat/>
    <w:pPr>
      <w:keepLines/>
      <w:keepNext/>
      <w:spacing w:before="240" w:after="64" w:line="320" w:lineRule="auto"/>
      <w:outlineLvl w:val="8"/>
    </w:pPr>
    <w:rPr>
      <w:rFonts w:ascii="Arial" w:hAnsi="Arial" w:eastAsia="黑体" w:cs="Arial"/>
      <w:szCs w:val="21"/>
    </w:rPr>
  </w:style>
  <w:style w:type="character" w:styleId="1219" w:customStyle="1">
    <w:name w:val="默认段落字体1"/>
    <w:uiPriority w:val="0"/>
    <w:semiHidden/>
    <w:qFormat/>
  </w:style>
  <w:style w:type="table" w:styleId="1220" w:customStyle="1">
    <w:name w:val="普通表格1"/>
    <w:uiPriority w:val="0"/>
    <w:semiHidden/>
    <w:qFormat/>
    <w:rPr>
      <w:rFonts w:ascii="Calibri" w:hAnsi="Calibri" w:eastAsia="宋体" w:cs="Calibri"/>
    </w:rPr>
    <w:tblPr>
      <w:tblCellMar>
        <w:left w:w="0" w:type="dxa"/>
        <w:top w:w="0" w:type="dxa"/>
        <w:right w:w="0" w:type="dxa"/>
        <w:bottom w:w="0" w:type="dxa"/>
      </w:tblCellMar>
    </w:tblPr>
  </w:style>
  <w:style w:type="paragraph" w:styleId="1221" w:customStyle="1">
    <w:name w:val="目录 71"/>
    <w:basedOn w:val="781"/>
    <w:next w:val="781"/>
    <w:uiPriority w:val="39"/>
    <w:qFormat/>
    <w:pPr>
      <w:ind w:left="2520"/>
    </w:pPr>
    <w:rPr>
      <w:szCs w:val="21"/>
    </w:rPr>
  </w:style>
  <w:style w:type="paragraph" w:styleId="1222" w:customStyle="1">
    <w:name w:val="注释标题1"/>
    <w:basedOn w:val="781"/>
    <w:next w:val="781"/>
    <w:uiPriority w:val="0"/>
    <w:qFormat/>
    <w:rPr>
      <w:rFonts w:ascii="Verdana" w:hAnsi="Verdana"/>
      <w:szCs w:val="20"/>
    </w:rPr>
  </w:style>
  <w:style w:type="paragraph" w:styleId="1223" w:customStyle="1">
    <w:name w:val="引文目录标题1"/>
    <w:basedOn w:val="781"/>
    <w:next w:val="781"/>
    <w:uiPriority w:val="0"/>
    <w:qFormat/>
    <w:pPr>
      <w:spacing w:before="120"/>
    </w:pPr>
    <w:rPr>
      <w:rFonts w:ascii="Arial" w:hAnsi="Arial"/>
      <w:sz w:val="24"/>
      <w:szCs w:val="21"/>
    </w:rPr>
  </w:style>
  <w:style w:type="paragraph" w:styleId="1224" w:customStyle="1">
    <w:name w:val="批注文字1"/>
    <w:basedOn w:val="781"/>
    <w:uiPriority w:val="0"/>
    <w:semiHidden/>
    <w:qFormat/>
    <w:pPr>
      <w:jc w:val="left"/>
    </w:pPr>
    <w:rPr>
      <w:szCs w:val="21"/>
    </w:rPr>
  </w:style>
  <w:style w:type="paragraph" w:styleId="1225" w:customStyle="1">
    <w:name w:val="索引 41"/>
    <w:basedOn w:val="781"/>
    <w:next w:val="781"/>
    <w:uiPriority w:val="99"/>
    <w:unhideWhenUsed/>
    <w:qFormat/>
    <w:pPr>
      <w:ind w:left="600"/>
    </w:pPr>
    <w:rPr>
      <w:szCs w:val="21"/>
    </w:rPr>
  </w:style>
  <w:style w:type="paragraph" w:styleId="1226" w:customStyle="1">
    <w:name w:val="目录 51"/>
    <w:basedOn w:val="781"/>
    <w:next w:val="781"/>
    <w:uiPriority w:val="39"/>
    <w:qFormat/>
    <w:pPr>
      <w:ind w:left="1680"/>
    </w:pPr>
    <w:rPr>
      <w:szCs w:val="21"/>
    </w:rPr>
  </w:style>
  <w:style w:type="paragraph" w:styleId="1227" w:customStyle="1">
    <w:name w:val="目录 31"/>
    <w:basedOn w:val="781"/>
    <w:next w:val="781"/>
    <w:uiPriority w:val="39"/>
    <w:qFormat/>
    <w:pPr>
      <w:ind w:left="840"/>
    </w:pPr>
    <w:rPr>
      <w:szCs w:val="21"/>
    </w:rPr>
  </w:style>
  <w:style w:type="paragraph" w:styleId="1228" w:customStyle="1">
    <w:name w:val="纯文本1"/>
    <w:basedOn w:val="781"/>
    <w:next w:val="781"/>
    <w:uiPriority w:val="0"/>
    <w:qFormat/>
    <w:rPr>
      <w:rFonts w:ascii="宋体" w:hAnsi="Courier New"/>
      <w:szCs w:val="21"/>
    </w:rPr>
  </w:style>
  <w:style w:type="paragraph" w:styleId="1229" w:customStyle="1">
    <w:name w:val="目录 81"/>
    <w:basedOn w:val="781"/>
    <w:next w:val="781"/>
    <w:uiPriority w:val="39"/>
    <w:qFormat/>
    <w:pPr>
      <w:ind w:left="2940"/>
    </w:pPr>
    <w:rPr>
      <w:szCs w:val="21"/>
    </w:rPr>
  </w:style>
  <w:style w:type="paragraph" w:styleId="1230" w:customStyle="1">
    <w:name w:val="日期1"/>
    <w:basedOn w:val="781"/>
    <w:next w:val="781"/>
    <w:uiPriority w:val="0"/>
    <w:qFormat/>
    <w:rPr>
      <w:szCs w:val="21"/>
    </w:rPr>
  </w:style>
  <w:style w:type="paragraph" w:styleId="1231" w:customStyle="1">
    <w:name w:val="正文文本缩进 21"/>
    <w:basedOn w:val="781"/>
    <w:uiPriority w:val="0"/>
    <w:qFormat/>
    <w:pPr>
      <w:ind w:firstLine="480"/>
    </w:pPr>
    <w:rPr>
      <w:rFonts w:ascii="仿宋_GB2312" w:eastAsia="仿宋_GB2312" w:cs="仿宋_GB2312"/>
      <w:sz w:val="24"/>
    </w:rPr>
  </w:style>
  <w:style w:type="paragraph" w:styleId="1232" w:customStyle="1">
    <w:name w:val="批注框文本1"/>
    <w:basedOn w:val="781"/>
    <w:uiPriority w:val="0"/>
    <w:semiHidden/>
    <w:qFormat/>
    <w:rPr>
      <w:sz w:val="18"/>
      <w:szCs w:val="18"/>
    </w:rPr>
  </w:style>
  <w:style w:type="paragraph" w:styleId="1233" w:customStyle="1">
    <w:name w:val="页眉1"/>
    <w:basedOn w:val="781"/>
    <w:uiPriority w:val="0"/>
    <w:qFormat/>
    <w:pPr>
      <w:jc w:val="center"/>
      <w:tabs>
        <w:tab w:val="center" w:pos="4153" w:leader="none"/>
        <w:tab w:val="right" w:pos="8306" w:leader="none"/>
      </w:tabs>
      <w:pBdr>
        <w:bottom w:val="single" w:color="000000" w:sz="6" w:space="1"/>
      </w:pBdr>
    </w:pPr>
    <w:rPr>
      <w:sz w:val="18"/>
      <w:szCs w:val="18"/>
    </w:rPr>
  </w:style>
  <w:style w:type="paragraph" w:styleId="1234" w:customStyle="1">
    <w:name w:val="目录 41"/>
    <w:basedOn w:val="781"/>
    <w:next w:val="781"/>
    <w:uiPriority w:val="39"/>
    <w:qFormat/>
    <w:pPr>
      <w:ind w:left="1260"/>
    </w:pPr>
    <w:rPr>
      <w:szCs w:val="21"/>
    </w:rPr>
  </w:style>
  <w:style w:type="paragraph" w:styleId="1235" w:customStyle="1">
    <w:name w:val="副标题1"/>
    <w:basedOn w:val="781"/>
    <w:next w:val="781"/>
    <w:uiPriority w:val="0"/>
    <w:qFormat/>
    <w:pPr>
      <w:jc w:val="center"/>
      <w:spacing w:before="240" w:after="60" w:line="312" w:lineRule="auto"/>
      <w:outlineLvl w:val="1"/>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36" w:customStyle="1">
    <w:name w:val="目录 61"/>
    <w:basedOn w:val="781"/>
    <w:next w:val="781"/>
    <w:uiPriority w:val="39"/>
    <w:qFormat/>
    <w:pPr>
      <w:ind w:left="2100"/>
    </w:pPr>
    <w:rPr>
      <w:szCs w:val="21"/>
    </w:rPr>
  </w:style>
  <w:style w:type="paragraph" w:styleId="1237" w:customStyle="1">
    <w:name w:val="正文文本缩进 31"/>
    <w:basedOn w:val="781"/>
    <w:uiPriority w:val="0"/>
    <w:qFormat/>
    <w:pPr>
      <w:ind w:left="720" w:firstLine="480"/>
      <w:jc w:val="left"/>
      <w:spacing w:before="120" w:line="22" w:lineRule="atLeast"/>
    </w:pPr>
    <w:rPr>
      <w:rFonts w:ascii="宋体" w:cs="宋体"/>
      <w:sz w:val="24"/>
    </w:rPr>
  </w:style>
  <w:style w:type="paragraph" w:styleId="1238" w:customStyle="1">
    <w:name w:val="目录 91"/>
    <w:basedOn w:val="781"/>
    <w:next w:val="781"/>
    <w:uiPriority w:val="39"/>
    <w:qFormat/>
    <w:pPr>
      <w:ind w:left="3360"/>
    </w:pPr>
    <w:rPr>
      <w:szCs w:val="21"/>
    </w:rPr>
  </w:style>
  <w:style w:type="paragraph" w:styleId="1239" w:customStyle="1">
    <w:name w:val="正文文本 211"/>
    <w:basedOn w:val="781"/>
    <w:uiPriority w:val="0"/>
    <w:qFormat/>
    <w:pPr>
      <w:ind w:firstLine="454"/>
      <w:spacing w:before="120" w:line="360" w:lineRule="auto"/>
      <w:tabs>
        <w:tab w:val="left" w:pos="5580" w:leader="none"/>
      </w:tabs>
    </w:pPr>
    <w:rPr>
      <w:rFonts w:ascii="仿宋_GB2312" w:hAnsi="宋体" w:eastAsia="仿宋_GB2312" w:cs="仿宋_GB2312"/>
      <w:sz w:val="24"/>
    </w:rPr>
  </w:style>
  <w:style w:type="paragraph" w:styleId="1240" w:customStyle="1">
    <w:name w:val="HTML 预设格式1"/>
    <w:basedOn w:val="7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1"/>
    </w:rPr>
  </w:style>
  <w:style w:type="paragraph" w:styleId="1241" w:customStyle="1">
    <w:name w:val="普通(网站)11"/>
    <w:basedOn w:val="781"/>
    <w:uiPriority w:val="0"/>
    <w:qFormat/>
    <w:pPr>
      <w:jc w:val="left"/>
      <w:spacing w:before="100" w:beforeAutospacing="1" w:after="100" w:afterAutospacing="1"/>
      <w:widowControl/>
    </w:pPr>
    <w:rPr>
      <w:rFonts w:ascii="Arial Unicode MS" w:hAnsi="Arial Unicode MS" w:eastAsia="Arial Unicode MS" w:cs="Arial Unicode MS"/>
      <w:sz w:val="24"/>
      <w:szCs w:val="21"/>
    </w:rPr>
  </w:style>
  <w:style w:type="paragraph" w:styleId="1242" w:customStyle="1">
    <w:name w:val="索引 11"/>
    <w:basedOn w:val="781"/>
    <w:next w:val="781"/>
    <w:uiPriority w:val="0"/>
    <w:semiHidden/>
    <w:qFormat/>
    <w:rPr>
      <w:szCs w:val="21"/>
    </w:rPr>
  </w:style>
  <w:style w:type="paragraph" w:styleId="1243" w:customStyle="1">
    <w:name w:val="标题11"/>
    <w:basedOn w:val="781"/>
    <w:next w:val="781"/>
    <w:uiPriority w:val="0"/>
    <w:qFormat/>
    <w:pPr>
      <w:jc w:val="center"/>
      <w:spacing w:before="240" w:after="60"/>
      <w:outlineLvl w:val="0"/>
    </w:pPr>
    <w:rPr>
      <w:rFonts w:ascii="Arial" w:hAnsi="Arial" w:cs="Arial"/>
      <w:b/>
      <w:bCs/>
      <w:sz w:val="32"/>
      <w:szCs w:val="32"/>
    </w:rPr>
  </w:style>
  <w:style w:type="paragraph" w:styleId="1244" w:customStyle="1">
    <w:name w:val="正文首行缩进1"/>
    <w:basedOn w:val="856"/>
    <w:next w:val="781"/>
    <w:uiPriority w:val="99"/>
    <w:qFormat/>
    <w:pPr>
      <w:ind w:firstLine="420"/>
      <w:spacing w:before="120" w:after="0" w:line="22" w:lineRule="atLeast"/>
      <w:tabs>
        <w:tab w:val="left" w:pos="567" w:leader="none"/>
      </w:tabs>
    </w:pPr>
    <w:rPr>
      <w:rFonts w:ascii="宋体" w:hAnsi="宋体" w:cs="宋体"/>
      <w:sz w:val="24"/>
      <w:szCs w:val="20"/>
      <w:lang w:eastAsia="zh-CN"/>
    </w:rPr>
  </w:style>
  <w:style w:type="character" w:styleId="1245" w:customStyle="1">
    <w:name w:val="要点1"/>
    <w:uiPriority w:val="0"/>
    <w:qFormat/>
    <w:rPr>
      <w:b/>
      <w:bCs/>
    </w:rPr>
  </w:style>
  <w:style w:type="character" w:styleId="1246" w:customStyle="1">
    <w:name w:val="页码1"/>
    <w:uiPriority w:val="0"/>
    <w:qFormat/>
  </w:style>
  <w:style w:type="character" w:styleId="1247" w:customStyle="1">
    <w:name w:val="已访问的超链接1"/>
    <w:uiPriority w:val="0"/>
    <w:qFormat/>
    <w:rPr>
      <w:color w:val="333333"/>
      <w:u w:val="none"/>
    </w:rPr>
  </w:style>
  <w:style w:type="character" w:styleId="1248" w:customStyle="1">
    <w:name w:val="强调1"/>
    <w:uiPriority w:val="0"/>
    <w:qFormat/>
  </w:style>
  <w:style w:type="character" w:styleId="1249" w:customStyle="1">
    <w:name w:val="批注引用1"/>
    <w:uiPriority w:val="0"/>
    <w:semiHidden/>
    <w:qFormat/>
    <w:rPr>
      <w:sz w:val="21"/>
      <w:szCs w:val="21"/>
    </w:rPr>
  </w:style>
  <w:style w:type="paragraph" w:styleId="1250" w:customStyle="1">
    <w:name w:val="Style1"/>
    <w:basedOn w:val="781"/>
    <w:uiPriority w:val="0"/>
    <w:qFormat/>
    <w:pPr>
      <w:spacing w:after="120"/>
      <w:widowControl/>
      <w:tabs>
        <w:tab w:val="left" w:pos="-720" w:leader="none"/>
      </w:tabs>
    </w:pPr>
    <w:rPr>
      <w:spacing w:val="-3"/>
      <w:sz w:val="24"/>
      <w:szCs w:val="20"/>
      <w:lang w:val="en-AU" w:eastAsia="en-US"/>
    </w:rPr>
  </w:style>
  <w:style w:type="paragraph" w:styleId="1251" w:customStyle="1">
    <w:name w:val="正文（缩进）"/>
    <w:basedOn w:val="781"/>
    <w:next w:val="1252"/>
    <w:uiPriority w:val="0"/>
    <w:qFormat/>
    <w:pPr>
      <w:ind w:firstLine="200"/>
      <w:spacing w:line="360" w:lineRule="auto"/>
    </w:pPr>
    <w:rPr>
      <w:rFonts w:ascii="宋体" w:hAnsi="宋体"/>
      <w:szCs w:val="28"/>
    </w:rPr>
  </w:style>
  <w:style w:type="paragraph" w:styleId="1252" w:customStyle="1">
    <w:name w:val="Char Char Char Char Char Char Char Char Char"/>
    <w:basedOn w:val="781"/>
    <w:next w:val="1253"/>
    <w:uiPriority w:val="0"/>
    <w:qFormat/>
    <w:pPr>
      <w:ind w:left="360" w:firstLine="5784"/>
    </w:pPr>
    <w:rPr>
      <w:szCs w:val="21"/>
    </w:rPr>
  </w:style>
  <w:style w:type="paragraph" w:styleId="1253" w:customStyle="1">
    <w:name w:val="正文文本 21"/>
    <w:basedOn w:val="781"/>
    <w:next w:val="1254"/>
    <w:uiPriority w:val="0"/>
    <w:qFormat/>
    <w:pPr>
      <w:ind w:left="720" w:firstLine="5680"/>
      <w:widowControl/>
    </w:pPr>
    <w:rPr>
      <w:szCs w:val="21"/>
    </w:rPr>
  </w:style>
  <w:style w:type="paragraph" w:styleId="1254" w:customStyle="1">
    <w:name w:val="默认段落字体 Para Char Char Char Char Char Char Char"/>
    <w:basedOn w:val="781"/>
    <w:next w:val="1255"/>
    <w:uiPriority w:val="0"/>
    <w:qFormat/>
    <w:pPr>
      <w:ind w:firstLine="200"/>
    </w:pPr>
    <w:rPr>
      <w:rFonts w:cs="Arial"/>
      <w:szCs w:val="21"/>
    </w:rPr>
  </w:style>
  <w:style w:type="paragraph" w:styleId="1255" w:customStyle="1">
    <w:name w:val="样式 首行缩进:  2 字符"/>
    <w:basedOn w:val="781"/>
    <w:next w:val="1256"/>
    <w:uiPriority w:val="0"/>
    <w:qFormat/>
    <w:pPr>
      <w:ind w:left="480" w:firstLine="5856"/>
      <w:spacing w:line="360" w:lineRule="auto"/>
    </w:pPr>
    <w:rPr>
      <w:szCs w:val="21"/>
    </w:rPr>
  </w:style>
  <w:style w:type="paragraph" w:styleId="1256" w:customStyle="1">
    <w:name w:val="样式 段后: 0.25 行"/>
    <w:basedOn w:val="781"/>
    <w:next w:val="1257"/>
    <w:uiPriority w:val="0"/>
    <w:qFormat/>
    <w:pPr>
      <w:ind w:left="420" w:firstLine="5796"/>
      <w:spacing w:line="300" w:lineRule="auto"/>
      <w:widowControl/>
    </w:pPr>
    <w:rPr>
      <w:szCs w:val="21"/>
    </w:rPr>
  </w:style>
  <w:style w:type="paragraph" w:styleId="1257" w:customStyle="1">
    <w:name w:val="正文 New New New New New New New New New New New New New New"/>
    <w:next w:val="1238"/>
    <w:uiPriority w:val="0"/>
    <w:qFormat/>
    <w:pPr>
      <w:ind w:firstLine="2048"/>
      <w:jc w:val="both"/>
      <w:widowControl w:val="off"/>
    </w:pPr>
    <w:rPr>
      <w:rFonts w:ascii="Calibri" w:hAnsi="Calibri" w:eastAsia="宋体" w:cs="Times New Roman"/>
      <w:lang w:val="en-US" w:eastAsia="zh-CN" w:bidi="ar-SA"/>
    </w:rPr>
  </w:style>
  <w:style w:type="character" w:styleId="1258" w:customStyle="1">
    <w:name w:val="font51"/>
    <w:basedOn w:val="791"/>
    <w:uiPriority w:val="0"/>
    <w:qFormat/>
    <w:rPr>
      <w:rFonts w:hint="eastAsia" w:ascii="宋体" w:hAnsi="宋体" w:eastAsia="宋体" w:cs="宋体"/>
      <w:color w:val="000000"/>
      <w:sz w:val="20"/>
      <w:szCs w:val="20"/>
      <w:u w:val="none"/>
    </w:rPr>
  </w:style>
  <w:style w:type="character" w:styleId="1259" w:customStyle="1">
    <w:name w:val="current"/>
    <w:uiPriority w:val="0"/>
    <w:qFormat/>
    <w:rPr>
      <w:b/>
      <w:color w:val="99210b"/>
    </w:rPr>
  </w:style>
  <w:style w:type="character" w:styleId="1260" w:customStyle="1">
    <w:name w:val="hr6"/>
    <w:uiPriority w:val="0"/>
    <w:qFormat/>
  </w:style>
  <w:style w:type="character" w:styleId="1261" w:customStyle="1">
    <w:name w:val="Char"/>
    <w:uiPriority w:val="0"/>
    <w:qFormat/>
    <w:rPr>
      <w:rFonts w:ascii="宋体" w:hAnsi="Courier New" w:eastAsia="宋体" w:cs="宋体"/>
      <w:sz w:val="21"/>
      <w:szCs w:val="21"/>
      <w:lang w:val="en-US" w:eastAsia="zh-CN"/>
    </w:rPr>
  </w:style>
  <w:style w:type="character" w:styleId="1262" w:customStyle="1">
    <w:name w:val="font21"/>
    <w:uiPriority w:val="0"/>
    <w:qFormat/>
    <w:rPr>
      <w:rFonts w:hint="eastAsia" w:ascii="宋体" w:hAnsi="宋体" w:eastAsia="宋体" w:cs="宋体"/>
      <w:color w:val="000000"/>
      <w:sz w:val="21"/>
      <w:szCs w:val="21"/>
      <w:u w:val="none"/>
    </w:rPr>
  </w:style>
  <w:style w:type="character" w:styleId="1263" w:customStyle="1">
    <w:name w:val="font11"/>
    <w:uiPriority w:val="0"/>
    <w:qFormat/>
    <w:rPr>
      <w:rFonts w:hint="eastAsia" w:ascii="楷体" w:hAnsi="楷体" w:eastAsia="楷体" w:cs="楷体"/>
      <w:color w:val="000000"/>
      <w:sz w:val="24"/>
      <w:szCs w:val="24"/>
      <w:u w:val="none"/>
    </w:rPr>
  </w:style>
  <w:style w:type="character" w:styleId="1264" w:customStyle="1">
    <w:name w:val="bz"/>
    <w:uiPriority w:val="0"/>
    <w:qFormat/>
  </w:style>
  <w:style w:type="character" w:styleId="1265" w:customStyle="1">
    <w:name w:val="font41"/>
    <w:uiPriority w:val="0"/>
    <w:qFormat/>
    <w:rPr>
      <w:rFonts w:ascii="楷体_GB2312" w:eastAsia="楷体_GB2312" w:cs="楷体_GB2312"/>
      <w:color w:val="000000"/>
      <w:sz w:val="24"/>
      <w:szCs w:val="24"/>
      <w:u w:val="none"/>
    </w:rPr>
  </w:style>
  <w:style w:type="paragraph" w:styleId="1266" w:customStyle="1">
    <w:name w:val="附录标题3"/>
    <w:basedOn w:val="781"/>
    <w:next w:val="845"/>
    <w:uiPriority w:val="0"/>
    <w:qFormat/>
    <w:pPr>
      <w:tabs>
        <w:tab w:val="left" w:pos="1080" w:leader="none"/>
      </w:tabs>
      <w:outlineLvl w:val="0"/>
    </w:pPr>
    <w:rPr>
      <w:rFonts w:ascii="Arial" w:hAnsi="Arial" w:cs="Arial"/>
      <w:sz w:val="24"/>
    </w:rPr>
  </w:style>
  <w:style w:type="paragraph" w:styleId="1267" w:customStyle="1">
    <w:name w:val="样式"/>
    <w:basedOn w:val="781"/>
    <w:next w:val="1228"/>
    <w:uiPriority w:val="0"/>
    <w:qFormat/>
    <w:rPr>
      <w:rFonts w:ascii="宋体" w:hAnsi="Courier New" w:cs="宋体"/>
      <w:szCs w:val="21"/>
    </w:rPr>
  </w:style>
  <w:style w:type="paragraph" w:styleId="1268" w:customStyle="1">
    <w:name w:val="纯文本3"/>
    <w:basedOn w:val="781"/>
    <w:uiPriority w:val="0"/>
    <w:qFormat/>
    <w:rPr>
      <w:rFonts w:hint="eastAsia" w:ascii="宋体" w:hAnsi="Courier New" w:eastAsia="楷体_GB2312"/>
      <w:sz w:val="28"/>
      <w:szCs w:val="20"/>
    </w:rPr>
  </w:style>
  <w:style w:type="paragraph" w:styleId="1269" w:customStyle="1">
    <w:name w:val="标题1"/>
    <w:basedOn w:val="1243"/>
    <w:uiPriority w:val="0"/>
    <w:qFormat/>
    <w:pPr>
      <w:spacing w:after="240"/>
    </w:pPr>
    <w:rPr>
      <w:spacing w:val="2"/>
      <w:sz w:val="44"/>
      <w:szCs w:val="44"/>
    </w:rPr>
  </w:style>
  <w:style w:type="paragraph" w:styleId="1270" w:customStyle="1">
    <w:name w:val="Char1"/>
    <w:basedOn w:val="781"/>
    <w:uiPriority w:val="0"/>
    <w:qFormat/>
    <w:rPr>
      <w:rFonts w:ascii="Tahoma" w:hAnsi="Tahoma"/>
      <w:sz w:val="24"/>
      <w:szCs w:val="20"/>
    </w:rPr>
  </w:style>
  <w:style w:type="paragraph" w:styleId="1271" w:customStyle="1">
    <w:name w:val="TOC 标题21"/>
    <w:basedOn w:val="1203"/>
    <w:next w:val="781"/>
    <w:uiPriority w:val="39"/>
    <w:qFormat/>
    <w:pPr>
      <w:jc w:val="left"/>
      <w:spacing w:before="480" w:after="0" w:line="276" w:lineRule="auto"/>
      <w:widowControl/>
      <w:outlineLvl w:val="9"/>
    </w:pPr>
    <w:rPr>
      <w:rFonts w:ascii="Cambria" w:hAnsi="Cambria"/>
      <w:color w:val="365f91"/>
      <w:sz w:val="28"/>
      <w:szCs w:val="28"/>
    </w:rPr>
  </w:style>
  <w:style w:type="paragraph" w:styleId="1272" w:customStyle="1">
    <w:name w:val="列表段落1"/>
    <w:basedOn w:val="781"/>
    <w:uiPriority w:val="0"/>
    <w:qFormat/>
    <w:pPr>
      <w:ind w:firstLine="420"/>
    </w:pPr>
    <w:rPr>
      <w:sz w:val="18"/>
      <w:szCs w:val="18"/>
    </w:rPr>
  </w:style>
  <w:style w:type="paragraph" w:styleId="127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74"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275" w:customStyle="1">
    <w:name w:val="ca-01"/>
    <w:uiPriority w:val="0"/>
    <w:qFormat/>
    <w:rPr>
      <w:rFonts w:ascii="宋体" w:hAnsi="宋体"/>
      <w:bCs/>
      <w:sz w:val="24"/>
      <w:szCs w:val="21"/>
    </w:rPr>
  </w:style>
  <w:style w:type="character" w:styleId="1276" w:customStyle="1">
    <w:name w:val="font191"/>
    <w:uiPriority w:val="0"/>
    <w:qFormat/>
    <w:rPr>
      <w:rFonts w:hint="eastAsia" w:ascii="宋体" w:hAnsi="宋体" w:eastAsia="宋体" w:cs="宋体"/>
      <w:b/>
      <w:bCs/>
      <w:color w:val="000000"/>
      <w:sz w:val="22"/>
      <w:szCs w:val="22"/>
      <w:u w:val="none"/>
    </w:rPr>
  </w:style>
  <w:style w:type="character" w:styleId="1277" w:customStyle="1">
    <w:name w:val="font181"/>
    <w:uiPriority w:val="0"/>
    <w:qFormat/>
    <w:rPr>
      <w:rFonts w:hint="eastAsia" w:ascii="宋体" w:hAnsi="宋体" w:eastAsia="宋体" w:cs="宋体"/>
      <w:color w:val="000000"/>
      <w:sz w:val="18"/>
      <w:szCs w:val="18"/>
      <w:u w:val="none"/>
    </w:rPr>
  </w:style>
  <w:style w:type="character" w:styleId="1278" w:customStyle="1">
    <w:name w:val="font12"/>
    <w:uiPriority w:val="0"/>
    <w:qFormat/>
    <w:rPr>
      <w:rFonts w:ascii="Arial" w:hAnsi="Arial" w:cs="Arial"/>
      <w:color w:val="000000"/>
      <w:sz w:val="18"/>
      <w:szCs w:val="18"/>
      <w:u w:val="none"/>
    </w:rPr>
  </w:style>
  <w:style w:type="character" w:styleId="1279" w:customStyle="1">
    <w:name w:val="font201"/>
    <w:uiPriority w:val="0"/>
    <w:qFormat/>
    <w:rPr>
      <w:rFonts w:hint="eastAsia" w:ascii="宋体" w:hAnsi="宋体" w:eastAsia="宋体" w:cs="宋体"/>
      <w:color w:val="000000"/>
      <w:sz w:val="18"/>
      <w:szCs w:val="18"/>
      <w:u w:val="none"/>
    </w:rPr>
  </w:style>
  <w:style w:type="character" w:styleId="1280" w:customStyle="1">
    <w:name w:val="font91"/>
    <w:uiPriority w:val="0"/>
    <w:qFormat/>
    <w:rPr>
      <w:rFonts w:ascii="Arial" w:hAnsi="Arial" w:cs="Arial"/>
      <w:color w:val="000000"/>
      <w:sz w:val="18"/>
      <w:szCs w:val="18"/>
      <w:u w:val="none"/>
    </w:rPr>
  </w:style>
  <w:style w:type="character" w:styleId="1281" w:customStyle="1">
    <w:name w:val="font101"/>
    <w:uiPriority w:val="0"/>
    <w:qFormat/>
    <w:rPr>
      <w:rFonts w:ascii="Arial" w:hAnsi="Arial" w:cs="Arial"/>
      <w:color w:val="000000"/>
      <w:sz w:val="18"/>
      <w:szCs w:val="18"/>
      <w:u w:val="none"/>
    </w:rPr>
  </w:style>
  <w:style w:type="character" w:styleId="1282" w:customStyle="1">
    <w:name w:val="font212"/>
    <w:uiPriority w:val="0"/>
    <w:qFormat/>
    <w:rPr>
      <w:rFonts w:hint="eastAsia" w:ascii="宋体" w:hAnsi="宋体" w:eastAsia="宋体" w:cs="宋体"/>
      <w:color w:val="000000"/>
      <w:sz w:val="20"/>
      <w:szCs w:val="20"/>
      <w:u w:val="none"/>
    </w:rPr>
  </w:style>
  <w:style w:type="character" w:styleId="1283" w:customStyle="1">
    <w:name w:val="font131"/>
    <w:uiPriority w:val="0"/>
    <w:qFormat/>
    <w:rPr>
      <w:rFonts w:ascii="Arial" w:hAnsi="Arial" w:cs="Arial"/>
      <w:color w:val="000000"/>
      <w:sz w:val="20"/>
      <w:szCs w:val="20"/>
      <w:u w:val="none"/>
    </w:rPr>
  </w:style>
  <w:style w:type="character" w:styleId="1284" w:customStyle="1">
    <w:name w:val="font141"/>
    <w:uiPriority w:val="0"/>
    <w:qFormat/>
    <w:rPr>
      <w:rFonts w:hint="eastAsia" w:ascii="宋体" w:hAnsi="宋体" w:eastAsia="宋体" w:cs="宋体"/>
      <w:color w:val="000000"/>
      <w:sz w:val="18"/>
      <w:szCs w:val="18"/>
      <w:u w:val="none"/>
    </w:rPr>
  </w:style>
  <w:style w:type="character" w:styleId="1285" w:customStyle="1">
    <w:name w:val="font111"/>
    <w:uiPriority w:val="0"/>
    <w:qFormat/>
    <w:rPr>
      <w:rFonts w:ascii="Arial" w:hAnsi="Arial" w:cs="Arial"/>
      <w:color w:val="000000"/>
      <w:sz w:val="20"/>
      <w:szCs w:val="20"/>
      <w:u w:val="none"/>
    </w:rPr>
  </w:style>
  <w:style w:type="character" w:styleId="1286" w:customStyle="1">
    <w:name w:val="font151"/>
    <w:uiPriority w:val="0"/>
    <w:qFormat/>
    <w:rPr>
      <w:rFonts w:hint="eastAsia" w:ascii="宋体" w:hAnsi="宋体" w:eastAsia="宋体" w:cs="宋体"/>
      <w:color w:val="000000"/>
      <w:sz w:val="20"/>
      <w:szCs w:val="20"/>
      <w:u w:val="none"/>
    </w:rPr>
  </w:style>
  <w:style w:type="paragraph" w:styleId="1287" w:customStyle="1">
    <w:name w:val="纯文本2"/>
    <w:basedOn w:val="781"/>
    <w:uiPriority w:val="0"/>
    <w:qFormat/>
    <w:rPr>
      <w:rFonts w:hint="eastAsia" w:ascii="宋体" w:hAnsi="Courier New" w:eastAsia="楷体_GB2312"/>
      <w:sz w:val="28"/>
      <w:szCs w:val="20"/>
    </w:rPr>
  </w:style>
  <w:style w:type="character" w:styleId="1288" w:customStyle="1">
    <w:name w:val="font61"/>
    <w:uiPriority w:val="0"/>
    <w:qFormat/>
    <w:rPr>
      <w:rFonts w:ascii="Arial" w:hAnsi="Arial" w:cs="Arial"/>
      <w:color w:val="000000"/>
      <w:sz w:val="20"/>
      <w:szCs w:val="20"/>
      <w:u w:val="none"/>
    </w:rPr>
  </w:style>
  <w:style w:type="character" w:styleId="1289" w:customStyle="1">
    <w:name w:val="font161"/>
    <w:uiPriority w:val="0"/>
    <w:qFormat/>
    <w:rPr>
      <w:rFonts w:hint="eastAsia" w:ascii="宋体" w:hAnsi="宋体" w:eastAsia="宋体" w:cs="宋体"/>
      <w:color w:val="000000"/>
      <w:sz w:val="22"/>
      <w:szCs w:val="22"/>
      <w:u w:val="none"/>
    </w:rPr>
  </w:style>
  <w:style w:type="character" w:styleId="1290" w:customStyle="1">
    <w:name w:val="font121"/>
    <w:uiPriority w:val="0"/>
    <w:qFormat/>
    <w:rPr>
      <w:rFonts w:hint="eastAsia" w:ascii="宋体" w:hAnsi="宋体" w:eastAsia="宋体" w:cs="宋体"/>
      <w:color w:val="000000"/>
      <w:sz w:val="20"/>
      <w:szCs w:val="20"/>
      <w:u w:val="none"/>
    </w:rPr>
  </w:style>
  <w:style w:type="character" w:styleId="1291" w:customStyle="1">
    <w:name w:val="font112"/>
    <w:uiPriority w:val="0"/>
    <w:qFormat/>
    <w:rPr>
      <w:rFonts w:ascii="Arial" w:hAnsi="Arial" w:cs="Arial"/>
      <w:color w:val="000000"/>
      <w:sz w:val="20"/>
      <w:szCs w:val="20"/>
      <w:u w:val="none"/>
    </w:rPr>
  </w:style>
  <w:style w:type="character" w:styleId="1292" w:customStyle="1">
    <w:name w:val="font31"/>
    <w:uiPriority w:val="0"/>
    <w:qFormat/>
    <w:rPr>
      <w:rFonts w:ascii="Arial" w:hAnsi="Arial" w:cs="Arial"/>
      <w:color w:val="000000"/>
      <w:sz w:val="22"/>
      <w:szCs w:val="22"/>
      <w:u w:val="none"/>
    </w:rPr>
  </w:style>
  <w:style w:type="character" w:styleId="1293" w:customStyle="1">
    <w:name w:val="font221"/>
    <w:uiPriority w:val="0"/>
    <w:qFormat/>
    <w:rPr>
      <w:rFonts w:hint="eastAsia" w:ascii="宋体" w:hAnsi="宋体" w:eastAsia="宋体" w:cs="宋体"/>
      <w:color w:val="000000"/>
      <w:sz w:val="20"/>
      <w:szCs w:val="20"/>
      <w:u w:val="none"/>
    </w:rPr>
  </w:style>
  <w:style w:type="character" w:styleId="1294" w:customStyle="1">
    <w:name w:val="font231"/>
    <w:uiPriority w:val="0"/>
    <w:qFormat/>
    <w:rPr>
      <w:rFonts w:hint="eastAsia" w:ascii="宋体" w:hAnsi="宋体" w:eastAsia="宋体" w:cs="宋体"/>
      <w:color w:val="000000"/>
      <w:sz w:val="22"/>
      <w:szCs w:val="22"/>
      <w:u w:val="none"/>
    </w:rPr>
  </w:style>
  <w:style w:type="character" w:styleId="1295" w:customStyle="1">
    <w:name w:val="font71"/>
    <w:uiPriority w:val="0"/>
    <w:qFormat/>
    <w:rPr>
      <w:rFonts w:ascii="Arial" w:hAnsi="Arial" w:cs="Arial"/>
      <w:color w:val="000000"/>
      <w:sz w:val="22"/>
      <w:szCs w:val="22"/>
      <w:u w:val="none"/>
    </w:rPr>
  </w:style>
  <w:style w:type="character" w:styleId="1296" w:customStyle="1">
    <w:name w:val="font241"/>
    <w:uiPriority w:val="0"/>
    <w:qFormat/>
    <w:rPr>
      <w:rFonts w:hint="eastAsia" w:ascii="宋体" w:hAnsi="宋体" w:eastAsia="宋体" w:cs="宋体"/>
      <w:b/>
      <w:bCs/>
      <w:color w:val="000000"/>
      <w:sz w:val="32"/>
      <w:szCs w:val="32"/>
      <w:u w:val="none"/>
    </w:rPr>
  </w:style>
  <w:style w:type="character" w:styleId="1297" w:customStyle="1">
    <w:name w:val="font251"/>
    <w:uiPriority w:val="0"/>
    <w:qFormat/>
    <w:rPr>
      <w:rFonts w:hint="eastAsia" w:ascii="宋体" w:hAnsi="宋体" w:eastAsia="宋体" w:cs="宋体"/>
      <w:color w:val="000000"/>
      <w:sz w:val="20"/>
      <w:szCs w:val="20"/>
      <w:u w:val="none"/>
    </w:rPr>
  </w:style>
  <w:style w:type="character" w:styleId="1298" w:customStyle="1">
    <w:name w:val="font261"/>
    <w:uiPriority w:val="0"/>
    <w:qFormat/>
    <w:rPr>
      <w:rFonts w:hint="eastAsia" w:ascii="宋体" w:hAnsi="宋体" w:eastAsia="宋体" w:cs="宋体"/>
      <w:color w:val="000000"/>
      <w:sz w:val="22"/>
      <w:szCs w:val="22"/>
      <w:u w:val="none"/>
    </w:rPr>
  </w:style>
  <w:style w:type="character" w:styleId="1299" w:customStyle="1">
    <w:name w:val="font232"/>
    <w:uiPriority w:val="0"/>
    <w:qFormat/>
    <w:rPr>
      <w:rFonts w:hint="eastAsia" w:ascii="宋体" w:hAnsi="宋体" w:eastAsia="宋体" w:cs="宋体"/>
      <w:b/>
      <w:bCs/>
      <w:color w:val="000000"/>
      <w:sz w:val="32"/>
      <w:szCs w:val="32"/>
      <w:u w:val="none"/>
    </w:rPr>
  </w:style>
  <w:style w:type="paragraph" w:styleId="1300" w:customStyle="1">
    <w:name w:val="p19"/>
    <w:basedOn w:val="781"/>
    <w:uiPriority w:val="0"/>
    <w:qFormat/>
    <w:pPr>
      <w:widowControl/>
    </w:pPr>
    <w:rPr>
      <w:szCs w:val="21"/>
    </w:rPr>
  </w:style>
  <w:style w:type="paragraph" w:styleId="1301" w:customStyle="1">
    <w:name w:val="标题 51"/>
    <w:basedOn w:val="1047"/>
    <w:next w:val="1047"/>
    <w:uiPriority w:val="0"/>
    <w:qFormat/>
    <w:pPr>
      <w:ind w:left="40"/>
      <w:spacing w:before="10"/>
      <w:outlineLvl w:val="4"/>
    </w:pPr>
    <w:rPr>
      <w:rFonts w:ascii="楷体" w:hAnsi="楷体" w:eastAsia="楷体"/>
      <w:sz w:val="24"/>
    </w:rPr>
  </w:style>
  <w:style w:type="paragraph" w:styleId="1302" w:customStyle="1">
    <w:name w:val="纯文本4"/>
    <w:basedOn w:val="781"/>
    <w:uiPriority w:val="0"/>
    <w:qFormat/>
    <w:rPr>
      <w:rFonts w:ascii="宋体" w:hAnsi="Courier New" w:eastAsia="楷体_GB2312"/>
      <w:sz w:val="26"/>
      <w:szCs w:val="20"/>
    </w:rPr>
  </w:style>
  <w:style w:type="paragraph" w:styleId="1303" w:customStyle="1">
    <w:name w:val="Other|1"/>
    <w:basedOn w:val="781"/>
    <w:uiPriority w:val="0"/>
    <w:qFormat/>
    <w:pPr>
      <w:spacing w:line="310" w:lineRule="exact"/>
    </w:pPr>
    <w:rPr>
      <w:rFonts w:ascii="宋体" w:hAnsi="宋体" w:cs="宋体"/>
      <w:sz w:val="20"/>
      <w:szCs w:val="20"/>
      <w:lang w:val="zh-TW" w:eastAsia="zh-TW" w:bidi="zh-TW"/>
    </w:rPr>
  </w:style>
  <w:style w:type="character" w:styleId="1304" w:customStyle="1">
    <w:name w:val="未处理的提及2"/>
    <w:basedOn w:val="791"/>
    <w:uiPriority w:val="99"/>
    <w:semiHidden/>
    <w:unhideWhenUsed/>
    <w:qFormat/>
    <w:rPr>
      <w:color w:val="605e5c"/>
      <w:shd w:val="clear" w:color="auto" w:fill="e1dfdd"/>
    </w:rPr>
  </w:style>
  <w:style w:type="paragraph" w:styleId="1305" w:customStyle="1">
    <w:name w:val="正文缩进11"/>
    <w:basedOn w:val="781"/>
    <w:uiPriority w:val="0"/>
    <w:qFormat/>
    <w:pPr>
      <w:ind w:firstLine="420"/>
    </w:pPr>
    <w:rPr>
      <w:szCs w:val="21"/>
      <w:lang w:eastAsia="en-US"/>
    </w:rPr>
  </w:style>
  <w:style w:type="character" w:styleId="1306" w:customStyle="1">
    <w:name w:val="p"/>
    <w:basedOn w:val="791"/>
    <w:uiPriority w:val="0"/>
    <w:qFormat/>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7</cp:revision>
  <dcterms:created xsi:type="dcterms:W3CDTF">2026-02-10T02:40:00Z</dcterms:created>
  <dcterms:modified xsi:type="dcterms:W3CDTF">2026-03-05T08:59:46Z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eyJoZGlkIjoiODBlODg5ZmYxMzM3YmZkNzY0NjQ1ZjQ2ZTNiMjQzNjQiLCJ1c2VySWQiOiIyNzIxMTA3MzMifQ==</vt:lpwstr>
  </property>
  <property fmtid="{D5CDD505-2E9C-101B-9397-08002B2CF9AE}" pid="3" name="KSOProductBuildVer">
    <vt:lpwstr>2052-12.1.0.25222</vt:lpwstr>
  </property>
  <property fmtid="{D5CDD505-2E9C-101B-9397-08002B2CF9AE}" pid="4" name="ICV">
    <vt:lpwstr>DABA96E975BA4104B0A4221D087BB5D9_13</vt:lpwstr>
  </property>
</Properties>
</file>