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1012"/>
        <w:ind w:firstLine="300"/>
        <w:spacing w:line="360" w:lineRule="auto"/>
        <w:rPr>
          <w:sz w:val="60"/>
          <w:szCs w:val="60"/>
          <w:highlight w:val="none"/>
        </w:rPr>
      </w:pPr>
      <w:r>
        <w:rPr>
          <w:sz w:val="60"/>
          <w:szCs w:val="60"/>
          <w:highlight w:val="none"/>
        </w:rPr>
      </w:r>
      <w:r/>
    </w:p>
    <w:p>
      <w:pPr>
        <w:pStyle w:val="1012"/>
        <w:ind w:firstLine="300"/>
        <w:spacing w:line="360" w:lineRule="auto"/>
        <w:rPr>
          <w:sz w:val="60"/>
          <w:szCs w:val="60"/>
          <w:highlight w:val="none"/>
        </w:rPr>
      </w:pPr>
      <w:r>
        <w:rPr>
          <w:sz w:val="60"/>
          <w:szCs w:val="60"/>
          <w:highlight w:val="none"/>
        </w:rPr>
      </w:r>
      <w:r/>
    </w:p>
    <w:p>
      <w:pPr>
        <w:pStyle w:val="1012"/>
        <w:jc w:val="center"/>
        <w:spacing w:line="360" w:lineRule="auto"/>
        <w:rPr>
          <w:b/>
          <w:bCs/>
          <w:sz w:val="60"/>
          <w:szCs w:val="60"/>
          <w:highlight w:val="none"/>
        </w:rPr>
      </w:pPr>
      <w:r>
        <w:rPr>
          <w:b/>
          <w:bCs/>
          <w:sz w:val="60"/>
          <w:szCs w:val="60"/>
          <w:highlight w:val="none"/>
        </w:rPr>
        <w:t xml:space="preserve">常州市政府采购项目</w:t>
      </w:r>
      <w:r>
        <w:rPr>
          <w:b/>
          <w:bCs/>
          <w:sz w:val="60"/>
          <w:szCs w:val="60"/>
          <w:highlight w:val="none"/>
        </w:rPr>
      </w:r>
      <w:r/>
    </w:p>
    <w:p>
      <w:pPr>
        <w:pStyle w:val="1012"/>
        <w:jc w:val="center"/>
        <w:rPr>
          <w:b/>
          <w:bCs/>
          <w:sz w:val="60"/>
          <w:szCs w:val="60"/>
          <w:highlight w:val="none"/>
        </w:rPr>
      </w:pPr>
      <w:r>
        <w:rPr>
          <w:b/>
          <w:bCs/>
          <w:sz w:val="60"/>
          <w:szCs w:val="60"/>
          <w:highlight w:val="none"/>
        </w:rPr>
        <w:t xml:space="preserve">竞争性谈判文件</w:t>
      </w:r>
      <w:r>
        <w:rPr>
          <w:b/>
          <w:bCs/>
          <w:sz w:val="60"/>
          <w:szCs w:val="60"/>
          <w:highlight w:val="none"/>
        </w:rPr>
      </w:r>
      <w:r/>
    </w:p>
    <w:p>
      <w:pPr>
        <w:pStyle w:val="1012"/>
        <w:jc w:val="center"/>
        <w:rPr>
          <w:rFonts w:ascii="宋体" w:hAnsi="宋体"/>
          <w:b/>
          <w:bCs/>
          <w:sz w:val="60"/>
          <w:szCs w:val="60"/>
          <w:highlight w:val="none"/>
        </w:rPr>
      </w:pPr>
      <w:r>
        <w:rPr>
          <w:rFonts w:ascii="宋体" w:hAnsi="宋体"/>
          <w:b/>
          <w:bCs/>
          <w:sz w:val="60"/>
          <w:szCs w:val="60"/>
          <w:highlight w:val="none"/>
        </w:rPr>
      </w:r>
      <w:r/>
    </w:p>
    <w:p>
      <w:pPr>
        <w:pStyle w:val="1012"/>
        <w:jc w:val="center"/>
        <w:rPr>
          <w:rFonts w:ascii="宋体" w:hAnsi="宋体"/>
          <w:b/>
          <w:bCs/>
          <w:i/>
          <w:sz w:val="60"/>
          <w:szCs w:val="60"/>
          <w:highlight w:val="none"/>
        </w:rPr>
      </w:pPr>
      <w:r>
        <w:rPr>
          <w:rFonts w:ascii="宋体" w:hAnsi="宋体"/>
          <w:b/>
          <w:bCs/>
          <w:i/>
          <w:sz w:val="60"/>
          <w:szCs w:val="60"/>
          <w:highlight w:val="none"/>
        </w:rPr>
      </w:r>
      <w:r/>
    </w:p>
    <w:p>
      <w:pPr>
        <w:pStyle w:val="1012"/>
        <w:ind w:left="2652" w:hanging="172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eastAsia="zh-CN"/>
        </w:rPr>
        <w:t xml:space="preserve">常州科教城现代工业中心1-5号楼及惠弘楼北楼屋面防水</w:t>
      </w:r>
      <w:r>
        <w:rPr>
          <w:rFonts w:hint="eastAsia" w:ascii="宋体" w:hAnsi="宋体" w:eastAsia="宋体" w:cs="宋体"/>
          <w:bCs/>
          <w:sz w:val="36"/>
          <w:szCs w:val="36"/>
          <w:highlight w:val="none"/>
          <w:lang w:eastAsia="zh-CN"/>
        </w:rPr>
      </w:r>
      <w:r/>
    </w:p>
    <w:p>
      <w:pPr>
        <w:pStyle w:val="1012"/>
        <w:ind w:left="2832" w:hanging="1900"/>
        <w:jc w:val="left"/>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项目编号/包号：</w:t>
      </w:r>
      <w:r>
        <w:rPr>
          <w:rFonts w:hint="eastAsia" w:ascii="宋体" w:hAnsi="宋体" w:eastAsia="宋体" w:cs="宋体"/>
          <w:bCs/>
          <w:sz w:val="36"/>
          <w:szCs w:val="36"/>
          <w:highlight w:val="none"/>
          <w:lang w:eastAsia="zh-CN"/>
        </w:rPr>
        <w:t xml:space="preserve">JSZC-320400-CZRB-T2026-0008</w:t>
      </w:r>
      <w:r>
        <w:rPr>
          <w:rFonts w:hint="eastAsia" w:ascii="宋体" w:hAnsi="宋体" w:eastAsia="宋体" w:cs="宋体"/>
          <w:bCs/>
          <w:sz w:val="36"/>
          <w:szCs w:val="36"/>
          <w:highlight w:val="none"/>
          <w:lang w:eastAsia="zh-CN"/>
        </w:rPr>
      </w:r>
      <w:r/>
    </w:p>
    <w:p>
      <w:pPr>
        <w:pStyle w:val="1012"/>
        <w:ind w:left="2832" w:hanging="190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 购 人：常州科教城现代工业中心</w:t>
      </w:r>
      <w:r>
        <w:rPr>
          <w:rFonts w:hint="eastAsia" w:ascii="宋体" w:hAnsi="宋体" w:eastAsia="宋体" w:cs="宋体"/>
          <w:bCs/>
          <w:sz w:val="36"/>
          <w:szCs w:val="36"/>
          <w:highlight w:val="none"/>
        </w:rPr>
      </w:r>
      <w:r/>
    </w:p>
    <w:p>
      <w:pPr>
        <w:pStyle w:val="1012"/>
        <w:ind w:left="2832" w:hanging="190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采购代理机构：常州润邦招标代理有限公司 </w:t>
      </w:r>
      <w:r>
        <w:rPr>
          <w:rFonts w:hint="eastAsia" w:ascii="宋体" w:hAnsi="宋体" w:eastAsia="宋体" w:cs="宋体"/>
          <w:bCs/>
          <w:sz w:val="36"/>
          <w:szCs w:val="36"/>
          <w:highlight w:val="none"/>
        </w:rPr>
      </w:r>
      <w:r/>
    </w:p>
    <w:p>
      <w:pPr>
        <w:pStyle w:val="1012"/>
        <w:ind w:firstLine="723"/>
        <w:jc w:val="center"/>
        <w:spacing w:line="360" w:lineRule="auto"/>
        <w:rPr>
          <w:rFonts w:hint="eastAsia"/>
          <w:b/>
          <w:sz w:val="36"/>
          <w:szCs w:val="36"/>
          <w:highlight w:val="none"/>
        </w:rPr>
        <w:sectPr>
          <w:headerReference w:type="default" r:id="rId9"/>
          <w:headerReference w:type="first" r:id="rId10"/>
          <w:footerReference w:type="first" r:id="rId14"/>
          <w:footnotePr/>
          <w:endnotePr/>
          <w:type w:val="nextColumn"/>
          <w:pgSz w:w="11907" w:h="16840" w:orient="portrait"/>
          <w:pgMar w:top="1417" w:right="1417" w:bottom="1417" w:left="1417" w:header="851" w:footer="850" w:gutter="0"/>
          <w:cols w:num="1" w:sep="0" w:space="1701" w:equalWidth="1"/>
          <w:docGrid w:linePitch="360"/>
        </w:sectPr>
      </w:pPr>
      <w:r/>
      <w:bookmarkStart w:id="0" w:name="_Toc99301372"/>
      <w:r>
        <w:rPr>
          <w:rFonts w:hint="eastAsia"/>
          <w:b/>
          <w:sz w:val="36"/>
          <w:szCs w:val="36"/>
          <w:highlight w:val="none"/>
        </w:rPr>
      </w:r>
      <w:r/>
    </w:p>
    <w:p>
      <w:pPr>
        <w:pStyle w:val="1012"/>
        <w:ind w:firstLine="723"/>
        <w:jc w:val="center"/>
        <w:spacing w:line="360" w:lineRule="auto"/>
        <w:rPr>
          <w:b/>
          <w:sz w:val="36"/>
          <w:szCs w:val="36"/>
          <w:highlight w:val="none"/>
        </w:rPr>
      </w:pPr>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65"/>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"_Toc99301373"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第一章   采购邀请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"_Toc99301374"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第二章   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"_Toc99301375"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第三章   评审程序和评定成交的标准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18</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"_Toc99301376"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第四章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"_Toc99301377"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第五章   合同草案条款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65"/>
        <w:spacing w:line="360" w:lineRule="auto"/>
        <w:tabs>
          <w:tab w:val="left" w:pos="1050" w:leader="none"/>
          <w:tab w:val="right" w:pos="8937" w:leader="dot"/>
        </w:tabs>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"_Toc99301378" </w:instrText>
      </w:r>
      <w:r>
        <w:rPr>
          <w:rFonts w:hint="eastAsia" w:ascii="宋体" w:hAnsi="宋体" w:eastAsia="宋体" w:cs="宋体"/>
          <w:sz w:val="32"/>
          <w:szCs w:val="32"/>
          <w:highlight w:val="none"/>
        </w:rPr>
        <w:fldChar w:fldCharType="separate"/>
      </w:r>
      <w:r>
        <w:rPr>
          <w:rStyle w:val="1089"/>
          <w:rFonts w:hint="eastAsia" w:ascii="宋体" w:hAnsi="宋体" w:eastAsia="宋体" w:cs="宋体"/>
          <w:sz w:val="32"/>
          <w:szCs w:val="32"/>
          <w:highlight w:val="none"/>
        </w:rPr>
        <w:t xml:space="preserve">第六章   响应文件格式</w:t>
      </w:r>
      <w:r>
        <w:rPr>
          <w:rFonts w:hint="eastAsia" w:ascii="宋体" w:hAnsi="宋体" w:eastAsia="宋体" w:cs="宋体"/>
          <w:sz w:val="32"/>
          <w:szCs w:val="32"/>
          <w:highlight w:val="none"/>
        </w:rPr>
        <w:tab/>
      </w:r>
      <w:bookmarkStart w:id="1" w:name="_Hlt101186893"/>
      <w:r/>
      <w:bookmarkStart w:id="2" w:name="_Hlt101186894"/>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_Toc99301378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39</w:t>
      </w:r>
      <w:r>
        <w:rPr>
          <w:rFonts w:hint="eastAsia" w:ascii="宋体" w:hAnsi="宋体" w:eastAsia="宋体" w:cs="宋体"/>
          <w:sz w:val="32"/>
          <w:szCs w:val="32"/>
          <w:highlight w:val="none"/>
        </w:rPr>
        <w:fldChar w:fldCharType="end"/>
      </w:r>
      <w:bookmarkEnd w:id="1"/>
      <w:r/>
      <w:bookmarkEnd w:id="2"/>
      <w:r>
        <w:rPr>
          <w:rFonts w:hint="eastAsia" w:ascii="宋体" w:hAnsi="宋体" w:eastAsia="宋体" w:cs="宋体"/>
          <w:sz w:val="32"/>
          <w:szCs w:val="32"/>
          <w:highlight w:val="none"/>
        </w:rPr>
        <w:fldChar w:fldCharType="end"/>
      </w:r>
      <w:r>
        <w:rPr>
          <w:rFonts w:hint="eastAsia" w:ascii="宋体" w:hAnsi="宋体" w:eastAsia="宋体" w:cs="宋体"/>
          <w:b w:val="0"/>
          <w:sz w:val="32"/>
          <w:szCs w:val="32"/>
          <w:highlight w:val="none"/>
        </w:rPr>
      </w:r>
      <w:r/>
    </w:p>
    <w:p>
      <w:pPr>
        <w:pStyle w:val="1012"/>
        <w:spacing w:line="480" w:lineRule="auto"/>
        <w:rPr>
          <w:b/>
          <w:sz w:val="36"/>
          <w:szCs w:val="36"/>
          <w:highlight w:val="none"/>
        </w:rPr>
      </w:pPr>
      <w:r>
        <w:rPr>
          <w:b/>
          <w:highlight w:val="none"/>
        </w:rPr>
        <w:fldChar w:fldCharType="end"/>
      </w:r>
      <w:r>
        <w:rPr>
          <w:b/>
          <w:sz w:val="36"/>
          <w:szCs w:val="36"/>
          <w:highlight w:val="none"/>
        </w:rPr>
      </w:r>
      <w:r/>
    </w:p>
    <w:p>
      <w:pPr>
        <w:pStyle w:val="1012"/>
        <w:jc w:val="center"/>
        <w:widowControl/>
        <w:rPr>
          <w:b/>
          <w:sz w:val="36"/>
          <w:szCs w:val="36"/>
          <w:highlight w:val="none"/>
        </w:rPr>
      </w:pPr>
      <w:r/>
      <w:bookmarkStart w:id="3" w:name="_Toc99301373"/>
      <w:r>
        <w:rPr>
          <w:b/>
          <w:sz w:val="36"/>
          <w:szCs w:val="36"/>
          <w:highlight w:val="none"/>
        </w:rPr>
        <w:br w:type="page" w:clear="all"/>
      </w:r>
      <w:r>
        <w:rPr>
          <w:b/>
          <w:sz w:val="36"/>
          <w:szCs w:val="36"/>
          <w:highlight w:val="none"/>
        </w:rPr>
        <w:t xml:space="preserve">第一章   采购邀请</w:t>
      </w:r>
      <w:bookmarkEnd w:id="3"/>
      <w:r>
        <w:rPr>
          <w:b/>
          <w:sz w:val="36"/>
          <w:szCs w:val="36"/>
          <w:highlight w:val="none"/>
        </w:rPr>
      </w:r>
      <w:r/>
    </w:p>
    <w:p>
      <w:pPr>
        <w:pStyle w:val="1014"/>
        <w:jc w:val="left"/>
        <w:pageBreakBefore w:val="0"/>
        <w:spacing w:before="0" w:line="400" w:lineRule="exact"/>
        <w:rPr>
          <w:rFonts w:hint="eastAsia" w:ascii="宋体" w:hAnsi="宋体" w:eastAsia="宋体" w:cs="宋体"/>
          <w:sz w:val="24"/>
          <w:szCs w:val="24"/>
          <w:highlight w:val="none"/>
        </w:rPr>
      </w:pPr>
      <w:r/>
      <w:bookmarkStart w:id="4" w:name="_Toc28359002"/>
      <w:r/>
      <w:bookmarkStart w:id="5" w:name="_Toc28359079"/>
      <w:r/>
      <w:bookmarkStart w:id="6" w:name="_Toc35393621"/>
      <w:r/>
      <w:bookmarkStart w:id="7" w:name="_Toc35393790"/>
      <w:r/>
      <w:bookmarkStart w:id="8" w:name="_Hlk24379207"/>
      <w:r>
        <w:rPr>
          <w:rFonts w:hint="eastAsia" w:ascii="宋体" w:hAnsi="宋体" w:eastAsia="宋体" w:cs="宋体"/>
          <w:sz w:val="24"/>
          <w:szCs w:val="24"/>
          <w:highlight w:val="none"/>
        </w:rPr>
        <w:t xml:space="preserve">一、项目基本情况</w:t>
      </w:r>
      <w:bookmarkEnd w:id="4"/>
      <w:r/>
      <w:bookmarkEnd w:id="5"/>
      <w:r/>
      <w:bookmarkEnd w:id="6"/>
      <w:r/>
      <w:bookmarkEnd w:id="7"/>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JSZC-320400-CZRB-T2026-0008</w:t>
      </w:r>
      <w:r>
        <w:rPr>
          <w:rFonts w:hint="eastAsia" w:ascii="宋体" w:hAnsi="宋体" w:eastAsia="宋体" w:cs="宋体"/>
          <w:sz w:val="24"/>
          <w:szCs w:val="24"/>
          <w:highlight w:val="none"/>
          <w:lang w:eastAsia="zh-CN"/>
        </w:rPr>
      </w:r>
      <w:r/>
    </w:p>
    <w:p>
      <w:pPr>
        <w:pStyle w:val="1012"/>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常州科教城现代工业中心1-5号楼及惠弘楼北楼屋面防水</w:t>
      </w:r>
      <w:r>
        <w:rPr>
          <w:rFonts w:hint="eastAsia" w:ascii="宋体" w:hAnsi="宋体" w:eastAsia="宋体" w:cs="宋体"/>
          <w:sz w:val="24"/>
          <w:szCs w:val="24"/>
          <w:highlight w:val="none"/>
          <w:lang w:eastAsia="zh-CN"/>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3.采购方式：竞争性谈判</w:t>
      </w:r>
      <w:r>
        <w:rPr>
          <w:rFonts w:hint="eastAsia" w:ascii="宋体" w:hAnsi="宋体" w:eastAsia="宋体" w:cs="宋体"/>
          <w:sz w:val="24"/>
          <w:szCs w:val="24"/>
          <w:highlight w:val="none"/>
        </w:rPr>
        <w:t xml:space="preserve"> </w:t>
      </w:r>
      <w:r/>
    </w:p>
    <w:p>
      <w:pPr>
        <w:pStyle w:val="1012"/>
        <w:ind w:firstLine="480"/>
        <w:pageBreakBefore w:val="0"/>
        <w:spacing w:line="400" w:lineRule="exact"/>
        <w:rPr>
          <w:rFonts w:hint="eastAsia" w:ascii="宋体" w:hAnsi="宋体" w:eastAsia="宋体" w:cs="宋体"/>
          <w:sz w:val="24"/>
          <w:szCs w:val="24"/>
          <w:highlight w:val="none"/>
          <w:lang w:eastAsia="zh-CN"/>
        </w:rPr>
      </w:pPr>
      <w:r/>
      <w:bookmarkEnd w:id="8"/>
      <w:r>
        <w:rPr>
          <w:rFonts w:hint="eastAsia" w:ascii="宋体" w:hAnsi="宋体" w:eastAsia="宋体" w:cs="宋体"/>
          <w:sz w:val="24"/>
          <w:szCs w:val="24"/>
          <w:highlight w:val="none"/>
        </w:rPr>
        <w:t xml:space="preserve">4.项目预算金额：</w:t>
      </w:r>
      <w:r>
        <w:rPr>
          <w:rFonts w:hint="eastAsia" w:ascii="宋体" w:hAnsi="宋体" w:eastAsia="宋体" w:cs="宋体"/>
          <w:sz w:val="24"/>
          <w:szCs w:val="24"/>
          <w:highlight w:val="none"/>
          <w:lang w:eastAsia="zh-CN"/>
        </w:rPr>
        <w:t xml:space="preserve">人民币202万元</w:t>
      </w:r>
      <w:r>
        <w:rPr>
          <w:rFonts w:hint="eastAsia" w:ascii="宋体" w:hAnsi="宋体" w:eastAsia="宋体" w:cs="宋体"/>
          <w:sz w:val="24"/>
          <w:szCs w:val="24"/>
          <w:highlight w:val="none"/>
        </w:rPr>
        <w:t xml:space="preserve">；项目最高限价：</w:t>
      </w:r>
      <w:r>
        <w:rPr>
          <w:rFonts w:hint="eastAsia" w:ascii="宋体" w:hAnsi="宋体" w:eastAsia="宋体" w:cs="宋体"/>
          <w:sz w:val="24"/>
          <w:szCs w:val="24"/>
          <w:highlight w:val="none"/>
          <w:lang w:eastAsia="zh-CN"/>
        </w:rPr>
        <w:t xml:space="preserve">人民币202万元</w:t>
      </w:r>
      <w:r>
        <w:rPr>
          <w:rFonts w:hint="eastAsia" w:ascii="宋体" w:hAnsi="宋体" w:eastAsia="宋体" w:cs="宋体"/>
          <w:sz w:val="24"/>
          <w:szCs w:val="24"/>
          <w:highlight w:val="none"/>
          <w:lang w:eastAsia="zh-CN"/>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w:t>
      </w:r>
      <w:r>
        <w:rPr>
          <w:rFonts w:hint="eastAsia" w:ascii="宋体" w:hAnsi="宋体" w:eastAsia="宋体" w:cs="宋体"/>
          <w:color w:val="000000"/>
          <w:sz w:val="24"/>
          <w:szCs w:val="24"/>
          <w:highlight w:val="none"/>
        </w:rPr>
        <w:t xml:space="preserve">本项目采购内容为</w:t>
      </w:r>
      <w:r>
        <w:rPr>
          <w:rFonts w:hint="eastAsia" w:ascii="宋体" w:hAnsi="宋体" w:eastAsia="宋体" w:cs="宋体"/>
          <w:color w:val="000000"/>
          <w:sz w:val="24"/>
          <w:szCs w:val="24"/>
          <w:highlight w:val="none"/>
          <w:lang w:eastAsia="zh-CN"/>
        </w:rPr>
        <w:t xml:space="preserve">常州科教城现代工业中心1-5号楼及惠弘楼北楼屋面防水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具体要求详见采购需求和工程量清单</w:t>
      </w:r>
      <w:r>
        <w:rPr>
          <w:rFonts w:hint="eastAsia" w:ascii="宋体" w:hAnsi="宋体" w:eastAsia="宋体" w:cs="宋体"/>
          <w:color w:val="000000"/>
          <w:spacing w:val="2"/>
          <w:sz w:val="24"/>
          <w:szCs w:val="24"/>
          <w:highlight w:val="none"/>
        </w:rPr>
        <w:t xml:space="preserve">。</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6.合同履行期限：</w:t>
      </w:r>
      <w:r>
        <w:rPr>
          <w:rFonts w:hint="eastAsia" w:ascii="宋体" w:hAnsi="宋体" w:eastAsia="宋体" w:cs="宋体"/>
          <w:color w:val="000000"/>
          <w:spacing w:val="2"/>
          <w:sz w:val="24"/>
          <w:szCs w:val="24"/>
          <w:highlight w:val="none"/>
          <w:lang w:val="en-US" w:eastAsia="zh-CN"/>
        </w:rPr>
        <w:t xml:space="preserve">60天，</w:t>
      </w:r>
      <w:r>
        <w:rPr>
          <w:rFonts w:hint="eastAsia" w:ascii="宋体" w:hAnsi="宋体" w:eastAsia="宋体" w:cs="宋体"/>
          <w:color w:val="000000"/>
          <w:spacing w:val="2"/>
          <w:sz w:val="24"/>
          <w:szCs w:val="24"/>
          <w:highlight w:val="none"/>
          <w:lang w:eastAsia="zh-CN"/>
        </w:rPr>
        <w:t xml:space="preserve">具体开工时间以采购人通知为准</w:t>
      </w:r>
      <w:r>
        <w:rPr>
          <w:rFonts w:hint="eastAsia" w:ascii="宋体" w:hAnsi="宋体" w:eastAsia="宋体" w:cs="宋体"/>
          <w:color w:val="000000"/>
          <w:spacing w:val="2"/>
          <w:sz w:val="24"/>
          <w:szCs w:val="24"/>
          <w:highlight w:val="none"/>
        </w:rPr>
        <w:t xml:space="preserve">。</w:t>
      </w:r>
      <w:r>
        <w:rPr>
          <w:rFonts w:hint="eastAsia" w:ascii="宋体" w:hAnsi="宋体" w:eastAsia="宋体" w:cs="宋体"/>
          <w:sz w:val="24"/>
          <w:szCs w:val="24"/>
          <w:highlight w:val="none"/>
          <w:u w:val="singl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7.本项目是否接受联合体响应：否。</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bookmarkStart w:id="9" w:name="_Toc28359003"/>
      <w:r/>
      <w:bookmarkStart w:id="10" w:name="_Toc35393622"/>
      <w:r/>
      <w:bookmarkStart w:id="11" w:name="_Toc35393791"/>
      <w:r/>
      <w:bookmarkStart w:id="12" w:name="_Toc28359080"/>
      <w:r>
        <w:rPr>
          <w:rFonts w:hint="eastAsia" w:ascii="宋体" w:hAnsi="宋体" w:eastAsia="宋体" w:cs="宋体"/>
          <w:sz w:val="24"/>
          <w:szCs w:val="24"/>
          <w:highlight w:val="none"/>
        </w:rPr>
        <w:t xml:space="preserve">8.本项目是否接受进口产品响应：否。</w:t>
      </w:r>
      <w:r>
        <w:rPr>
          <w:rFonts w:hint="eastAsia" w:ascii="宋体" w:hAnsi="宋体" w:eastAsia="宋体" w:cs="宋体"/>
          <w:sz w:val="24"/>
          <w:szCs w:val="24"/>
          <w:highlight w:val="none"/>
        </w:rPr>
      </w:r>
      <w:r/>
    </w:p>
    <w:p>
      <w:pPr>
        <w:pStyle w:val="1014"/>
        <w:jc w:val="left"/>
        <w:pageBreakBefore w:val="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9"/>
      <w:r/>
      <w:bookmarkEnd w:id="10"/>
      <w:r/>
      <w:bookmarkEnd w:id="11"/>
      <w:r/>
      <w:bookmarkEnd w:id="12"/>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bookmarkStart w:id="13" w:name="_Toc28359081"/>
      <w:r/>
      <w:bookmarkStart w:id="14" w:name="_Toc28359004"/>
      <w:r>
        <w:rPr>
          <w:rFonts w:hint="eastAsia" w:ascii="宋体" w:hAnsi="宋体" w:eastAsia="宋体" w:cs="宋体"/>
          <w:sz w:val="24"/>
          <w:szCs w:val="24"/>
          <w:highlight w:val="none"/>
        </w:rPr>
        <w:t xml:space="preserve">1.满足《中华人民共和国政府采购法》第二十二条规定以及下列情形：</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本项目专门面向中小企业采购。即：提供的</w:t>
      </w:r>
      <w:r>
        <w:rPr>
          <w:rFonts w:hint="eastAsia" w:ascii="宋体" w:hAnsi="宋体" w:eastAsia="宋体" w:cs="宋体"/>
          <w:b/>
          <w:bCs/>
          <w:color w:val="000000"/>
          <w:sz w:val="24"/>
          <w:szCs w:val="24"/>
          <w:highlight w:val="none"/>
          <w:lang w:val="en-US" w:eastAsia="zh-CN"/>
        </w:rPr>
        <w:t xml:space="preserve">工程</w:t>
      </w:r>
      <w:r>
        <w:rPr>
          <w:rFonts w:hint="eastAsia" w:ascii="宋体" w:hAnsi="宋体" w:eastAsia="宋体" w:cs="宋体"/>
          <w:b/>
          <w:bCs/>
          <w:color w:val="000000"/>
          <w:sz w:val="24"/>
          <w:szCs w:val="24"/>
          <w:highlight w:val="none"/>
        </w:rPr>
        <w:t xml:space="preserve">全部由符合政策要求的中小/小微企业</w:t>
      </w:r>
      <w:r>
        <w:rPr>
          <w:rFonts w:hint="eastAsia" w:ascii="宋体" w:hAnsi="宋体" w:eastAsia="宋体" w:cs="宋体"/>
          <w:b/>
          <w:bCs/>
          <w:color w:val="000000"/>
          <w:sz w:val="24"/>
          <w:szCs w:val="24"/>
          <w:highlight w:val="none"/>
          <w:lang w:val="en-US" w:eastAsia="zh-CN"/>
        </w:rPr>
        <w:t xml:space="preserve">承建</w:t>
      </w:r>
      <w:r>
        <w:rPr>
          <w:rFonts w:hint="eastAsia" w:ascii="宋体" w:hAnsi="宋体" w:eastAsia="宋体" w:cs="宋体"/>
          <w:b/>
          <w:bCs/>
          <w:color w:val="000000"/>
          <w:sz w:val="24"/>
          <w:szCs w:val="24"/>
          <w:highlight w:val="none"/>
        </w:rPr>
        <w:t xml:space="preserve">、服务全部由符合政策要求的中小/小微企业承接。报价不作相应扣除。</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eastAsia="zh-CN"/>
        </w:rPr>
      </w:r>
      <w:r/>
    </w:p>
    <w:p>
      <w:pPr>
        <w:pStyle w:val="1012"/>
        <w:ind w:firstLine="480"/>
        <w:pageBreakBefore w:val="0"/>
        <w:spacing w:line="400" w:lineRule="exact"/>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i/>
          <w:iCs/>
          <w:sz w:val="24"/>
          <w:szCs w:val="24"/>
          <w:highlight w:val="none"/>
          <w:u w:val="single"/>
        </w:rPr>
      </w:r>
      <w:r/>
    </w:p>
    <w:p>
      <w:pPr>
        <w:pStyle w:val="1012"/>
        <w:ind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3.1本项目是否接受分支机构参与响应：否；</w:t>
      </w:r>
      <w:r>
        <w:rPr>
          <w:rFonts w:hint="eastAsia" w:ascii="宋体" w:hAnsi="宋体" w:eastAsia="宋体" w:cs="宋体"/>
          <w:sz w:val="24"/>
          <w:szCs w:val="24"/>
          <w:highlight w:val="none"/>
        </w:rPr>
      </w:r>
      <w:r/>
    </w:p>
    <w:p>
      <w:pPr>
        <w:pStyle w:val="1012"/>
        <w:ind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3.2本项目是否属于政府购买服务：否</w:t>
      </w:r>
      <w:r>
        <w:rPr>
          <w:rFonts w:hint="eastAsia" w:ascii="宋体" w:hAnsi="宋体" w:eastAsia="宋体" w:cs="宋体"/>
          <w:sz w:val="24"/>
          <w:szCs w:val="24"/>
          <w:highlight w:val="none"/>
        </w:rPr>
      </w:r>
      <w:r/>
    </w:p>
    <w:p>
      <w:pPr>
        <w:pStyle w:val="1012"/>
        <w:ind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其他特定资格要求：</w:t>
      </w:r>
      <w:r>
        <w:rPr>
          <w:rFonts w:hint="eastAsia" w:ascii="宋体" w:hAnsi="宋体" w:eastAsia="宋体" w:cs="宋体"/>
          <w:sz w:val="24"/>
          <w:szCs w:val="24"/>
          <w:highlight w:val="none"/>
        </w:rPr>
      </w:r>
      <w:r/>
    </w:p>
    <w:p>
      <w:pPr>
        <w:pStyle w:val="1012"/>
        <w:numPr>
          <w:ilvl w:val="0"/>
          <w:numId w:val="0"/>
        </w:numPr>
        <w:ind w:left="0" w:firstLine="425"/>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供应商须具备</w:t>
      </w:r>
      <w:r>
        <w:rPr>
          <w:rFonts w:hint="eastAsia" w:ascii="宋体" w:hAnsi="宋体" w:eastAsia="宋体" w:cs="宋体"/>
          <w:b/>
          <w:bCs/>
          <w:color w:val="000000"/>
          <w:sz w:val="24"/>
          <w:szCs w:val="24"/>
          <w:highlight w:val="none"/>
          <w:lang w:eastAsia="zh-CN"/>
        </w:rPr>
        <w:t xml:space="preserve">建筑工程施工总承包三级及以上资质</w:t>
      </w:r>
      <w:r>
        <w:rPr>
          <w:rFonts w:hint="eastAsia" w:ascii="宋体" w:hAnsi="宋体" w:eastAsia="宋体" w:cs="宋体"/>
          <w:b/>
          <w:bCs/>
          <w:color w:val="000000"/>
          <w:sz w:val="24"/>
          <w:szCs w:val="24"/>
          <w:highlight w:val="none"/>
          <w:lang w:val="en-US" w:eastAsia="zh-CN"/>
        </w:rPr>
        <w:t xml:space="preserve">或防水防腐保温工程专业承包二级及以上资质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r>
      <w:r/>
    </w:p>
    <w:p>
      <w:pPr>
        <w:pStyle w:val="1012"/>
        <w:numPr>
          <w:ilvl w:val="0"/>
          <w:numId w:val="0"/>
        </w:numPr>
        <w:ind w:left="0" w:firstLine="425"/>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供应商须具备</w:t>
      </w:r>
      <w:r>
        <w:rPr>
          <w:rFonts w:hint="eastAsia" w:ascii="宋体" w:hAnsi="宋体" w:eastAsia="宋体" w:cs="宋体"/>
          <w:b/>
          <w:bCs/>
          <w:color w:val="000000"/>
          <w:sz w:val="24"/>
          <w:szCs w:val="24"/>
          <w:highlight w:val="none"/>
          <w:lang w:val="en-US" w:eastAsia="zh-CN"/>
        </w:rPr>
        <w:t xml:space="preserve">安全生产条件，并取得《安全生产许可证》；</w:t>
      </w:r>
      <w:r>
        <w:rPr>
          <w:rFonts w:hint="eastAsia" w:ascii="宋体" w:hAnsi="宋体" w:eastAsia="宋体" w:cs="宋体"/>
          <w:b/>
          <w:bCs/>
          <w:color w:val="000000"/>
          <w:sz w:val="24"/>
          <w:szCs w:val="24"/>
          <w:highlight w:val="none"/>
        </w:rPr>
      </w:r>
      <w:r/>
    </w:p>
    <w:p>
      <w:pPr>
        <w:pStyle w:val="1012"/>
        <w:numPr>
          <w:ilvl w:val="0"/>
          <w:numId w:val="0"/>
        </w:numPr>
        <w:ind w:left="0" w:firstLine="425"/>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项目经理须具有</w:t>
      </w:r>
      <w:r>
        <w:rPr>
          <w:rFonts w:hint="eastAsia" w:ascii="宋体" w:hAnsi="宋体" w:eastAsia="宋体" w:cs="宋体"/>
          <w:b/>
          <w:bCs/>
          <w:color w:val="000000"/>
          <w:sz w:val="24"/>
          <w:szCs w:val="24"/>
          <w:highlight w:val="none"/>
          <w:lang w:val="en-US" w:eastAsia="zh-CN"/>
        </w:rPr>
        <w:t xml:space="preserve">建筑工程</w:t>
      </w:r>
      <w:r>
        <w:rPr>
          <w:rFonts w:hint="eastAsia" w:ascii="宋体" w:hAnsi="宋体" w:eastAsia="宋体" w:cs="宋体"/>
          <w:b/>
          <w:bCs/>
          <w:color w:val="000000"/>
          <w:sz w:val="24"/>
          <w:szCs w:val="24"/>
          <w:highlight w:val="none"/>
        </w:rPr>
        <w:t xml:space="preserve">二级及以上注册建造师执业资格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同时具有建设行政主管部门核发的安全生产考核合格证（B 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以及社保部门出具的供应商为其缴纳的202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12月-2026年2</w:t>
      </w:r>
      <w:r>
        <w:rPr>
          <w:rFonts w:hint="eastAsia" w:ascii="宋体" w:hAnsi="宋体" w:eastAsia="宋体" w:cs="宋体"/>
          <w:b/>
          <w:bCs/>
          <w:color w:val="000000"/>
          <w:sz w:val="24"/>
          <w:szCs w:val="24"/>
          <w:highlight w:val="none"/>
        </w:rPr>
        <w:t xml:space="preserve">月的社保证明材料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并提供无在建承诺（格式自拟）</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r>
      <w:r/>
    </w:p>
    <w:p>
      <w:pPr>
        <w:pStyle w:val="1012"/>
        <w:ind w:firstLine="48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color w:val="000000"/>
          <w:sz w:val="24"/>
          <w:szCs w:val="24"/>
          <w:highlight w:val="none"/>
        </w:rPr>
        <w:t xml:space="preserve">(4)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w:t>
      </w:r>
      <w:r>
        <w:rPr>
          <w:rFonts w:hint="eastAsia" w:ascii="宋体" w:hAnsi="宋体" w:eastAsia="宋体" w:cs="宋体"/>
          <w:b w:val="0"/>
          <w:bCs w:val="0"/>
          <w:color w:val="000000"/>
          <w:sz w:val="24"/>
          <w:szCs w:val="24"/>
          <w:highlight w:val="none"/>
          <w:lang w:val="en-US" w:eastAsia="zh-CN"/>
        </w:rPr>
        <w:t xml:space="preserve">谈判</w:t>
      </w:r>
      <w:r>
        <w:rPr>
          <w:rFonts w:hint="eastAsia" w:ascii="宋体" w:hAnsi="宋体" w:eastAsia="宋体" w:cs="宋体"/>
          <w:b w:val="0"/>
          <w:bCs w:val="0"/>
          <w:color w:val="000000"/>
          <w:sz w:val="24"/>
          <w:szCs w:val="24"/>
          <w:highlight w:val="none"/>
        </w:rPr>
        <w:t xml:space="preserve">资格被取消或者被暂停且在暂停期内；e.因拖欠工人工资或者因发生质量安全事故被有关部门限制在采购项目所在地承接工程的；f.供应商近 3 年内有行贿犯罪行为且被记录或者法定代表人有行贿犯罪记录且自记录之日起未超过 5 年的；g.不符合法律、法规规定的其他条件。</w:t>
      </w:r>
      <w:r>
        <w:rPr>
          <w:rFonts w:hint="eastAsia" w:ascii="宋体" w:hAnsi="宋体" w:eastAsia="宋体" w:cs="宋体"/>
          <w:b w:val="0"/>
          <w:bCs w:val="0"/>
          <w:i/>
          <w:iCs/>
          <w:sz w:val="24"/>
          <w:szCs w:val="24"/>
          <w:highlight w:val="none"/>
          <w:u w:val="single"/>
        </w:rPr>
      </w:r>
      <w:r/>
    </w:p>
    <w:p>
      <w:pPr>
        <w:pStyle w:val="1014"/>
        <w:jc w:val="left"/>
        <w:pageBreakBefore w:val="0"/>
        <w:spacing w:before="0" w:line="400" w:lineRule="exact"/>
        <w:widowControl/>
        <w:rPr>
          <w:rFonts w:hint="eastAsia" w:ascii="宋体" w:hAnsi="宋体" w:eastAsia="宋体" w:cs="宋体"/>
          <w:sz w:val="24"/>
          <w:szCs w:val="24"/>
          <w:highlight w:val="none"/>
        </w:rPr>
      </w:pPr>
      <w:r/>
      <w:bookmarkEnd w:id="13"/>
      <w:r/>
      <w:bookmarkEnd w:id="14"/>
      <w:r/>
      <w:bookmarkStart w:id="15" w:name="_Toc35393792"/>
      <w:r/>
      <w:bookmarkStart w:id="16" w:name="_Toc35393623"/>
      <w:r>
        <w:rPr>
          <w:rFonts w:hint="eastAsia" w:ascii="宋体" w:hAnsi="宋体" w:eastAsia="宋体" w:cs="宋体"/>
          <w:sz w:val="24"/>
          <w:szCs w:val="24"/>
          <w:highlight w:val="none"/>
        </w:rPr>
        <w:t xml:space="preserve">三、获取</w:t>
      </w:r>
      <w:bookmarkEnd w:id="15"/>
      <w:r/>
      <w:bookmarkEnd w:id="16"/>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rPr>
      </w:r>
      <w:r/>
    </w:p>
    <w:p>
      <w:pPr>
        <w:pStyle w:val="1012"/>
        <w:ind w:firstLine="480"/>
        <w:spacing w:line="400" w:lineRule="exact"/>
        <w:rPr>
          <w:rFonts w:ascii="宋体" w:hAnsi="宋体" w:cs="宋体"/>
          <w:sz w:val="24"/>
          <w:highlight w:val="none"/>
        </w:rPr>
      </w:pPr>
      <w:r>
        <w:rPr>
          <w:rFonts w:hint="eastAsia" w:ascii="宋体" w:hAnsi="宋体" w:cs="宋体"/>
          <w:sz w:val="24"/>
          <w:highlight w:val="none"/>
          <w:lang w:bidi="ar"/>
        </w:rPr>
        <w:t xml:space="preserve">1.时间：</w:t>
      </w:r>
      <w:r>
        <w:rPr>
          <w:rFonts w:hint="eastAsia" w:ascii="宋体" w:hAnsi="宋体" w:cs="宋体"/>
          <w:sz w:val="24"/>
          <w:highlight w:val="none"/>
        </w:rPr>
        <w:t xml:space="preserve">自</w:t>
      </w:r>
      <w:r>
        <w:rPr>
          <w:rFonts w:hint="eastAsia" w:ascii="宋体" w:hAnsi="宋体" w:cs="宋体"/>
          <w:sz w:val="24"/>
          <w:highlight w:val="none"/>
          <w:lang w:val="en-US" w:eastAsia="zh-CN"/>
        </w:rPr>
        <w:t xml:space="preserve">谈判</w:t>
      </w:r>
      <w:r>
        <w:rPr>
          <w:rFonts w:hint="eastAsia" w:ascii="宋体" w:hAnsi="宋体" w:cs="宋体"/>
          <w:sz w:val="24"/>
          <w:highlight w:val="none"/>
        </w:rPr>
        <w:t xml:space="preserve">文件公告发布之日起</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个工作日</w:t>
      </w:r>
      <w:r>
        <w:rPr>
          <w:rFonts w:ascii="宋体" w:hAnsi="宋体" w:cs="宋体"/>
          <w:sz w:val="24"/>
          <w:highlight w:val="none"/>
        </w:rPr>
      </w:r>
      <w:r/>
    </w:p>
    <w:p>
      <w:pPr>
        <w:pStyle w:val="1012"/>
        <w:ind w:firstLine="480"/>
        <w:spacing w:line="400" w:lineRule="exact"/>
        <w:rPr>
          <w:rFonts w:ascii="宋体" w:hAnsi="宋体" w:cs="宋体"/>
          <w:sz w:val="24"/>
          <w:highlight w:val="none"/>
        </w:rPr>
      </w:pPr>
      <w:r>
        <w:rPr>
          <w:rFonts w:hint="eastAsia" w:ascii="宋体" w:hAnsi="宋体" w:cs="宋体"/>
          <w:sz w:val="24"/>
          <w:highlight w:val="none"/>
          <w:lang w:bidi="ar"/>
        </w:rPr>
        <w:t xml:space="preserve">2.地点：“苏采云”政府采购一体化平台</w:t>
      </w:r>
      <w:r>
        <w:rPr>
          <w:rFonts w:ascii="宋体" w:hAnsi="宋体" w:cs="宋体"/>
          <w:sz w:val="24"/>
          <w:highlight w:val="none"/>
        </w:rPr>
      </w:r>
      <w:r/>
    </w:p>
    <w:p>
      <w:pPr>
        <w:pStyle w:val="1012"/>
        <w:ind w:firstLine="480"/>
        <w:jc w:val="left"/>
        <w:spacing w:line="400" w:lineRule="exact"/>
        <w:widowControl/>
        <w:rPr>
          <w:rFonts w:ascii="宋体" w:hAnsi="宋体" w:cs="宋体"/>
          <w:sz w:val="24"/>
          <w:highlight w:val="none"/>
          <w:lang w:bidi="ar"/>
        </w:rPr>
      </w:pPr>
      <w:r>
        <w:rPr>
          <w:rFonts w:hint="eastAsia" w:ascii="宋体" w:hAnsi="宋体" w:cs="宋体"/>
          <w:sz w:val="24"/>
          <w:highlight w:val="none"/>
          <w:lang w:bidi="ar"/>
        </w:rPr>
        <w:t xml:space="preserve">3.方式：在“苏采云”政府采购一体化平台自行下载采购文件</w:t>
      </w:r>
      <w:r>
        <w:rPr>
          <w:rFonts w:ascii="宋体" w:hAnsi="宋体" w:cs="宋体"/>
          <w:sz w:val="24"/>
          <w:highlight w:val="none"/>
          <w:lang w:bidi="ar"/>
        </w:rPr>
      </w:r>
      <w:r/>
    </w:p>
    <w:p>
      <w:pPr>
        <w:pStyle w:val="1012"/>
        <w:ind w:firstLine="480"/>
        <w:jc w:val="left"/>
        <w:spacing w:line="400" w:lineRule="exact"/>
        <w:widowControl/>
        <w:rPr>
          <w:rFonts w:ascii="宋体" w:hAnsi="宋体" w:cs="宋体"/>
          <w:sz w:val="24"/>
          <w:highlight w:val="none"/>
        </w:rPr>
      </w:pPr>
      <w:r>
        <w:rPr>
          <w:rFonts w:hint="eastAsia" w:ascii="宋体" w:hAnsi="宋体" w:cs="宋体"/>
          <w:sz w:val="24"/>
          <w:highlight w:val="none"/>
          <w:lang w:bidi="ar"/>
        </w:rPr>
        <w:t xml:space="preserve">4.售价：0元。</w:t>
      </w:r>
      <w:r>
        <w:rPr>
          <w:rFonts w:ascii="宋体" w:hAnsi="宋体" w:cs="宋体"/>
          <w:sz w:val="24"/>
          <w:highlight w:val="none"/>
        </w:rPr>
      </w:r>
      <w:r/>
    </w:p>
    <w:p>
      <w:pPr>
        <w:pStyle w:val="1014"/>
        <w:jc w:val="left"/>
        <w:pageBreakBefore w:val="0"/>
        <w:spacing w:before="0" w:line="400" w:lineRule="exact"/>
        <w:widowControl/>
        <w:rPr>
          <w:rFonts w:hint="eastAsia" w:ascii="宋体" w:hAnsi="宋体" w:eastAsia="宋体" w:cs="宋体"/>
          <w:sz w:val="24"/>
          <w:szCs w:val="24"/>
          <w:highlight w:val="none"/>
        </w:rPr>
      </w:pPr>
      <w:r/>
      <w:bookmarkStart w:id="17" w:name="_Toc35393793"/>
      <w:r/>
      <w:bookmarkStart w:id="18" w:name="_Toc28359082"/>
      <w:r/>
      <w:bookmarkStart w:id="19" w:name="_Toc28359005"/>
      <w:r/>
      <w:bookmarkStart w:id="20" w:name="_Toc35393624"/>
      <w:r>
        <w:rPr>
          <w:rFonts w:hint="eastAsia" w:ascii="宋体" w:hAnsi="宋体" w:eastAsia="宋体" w:cs="宋体"/>
          <w:sz w:val="24"/>
          <w:szCs w:val="24"/>
          <w:highlight w:val="none"/>
        </w:rPr>
        <w:t xml:space="preserve">四、</w:t>
      </w:r>
      <w:bookmarkEnd w:id="17"/>
      <w:r/>
      <w:bookmarkEnd w:id="18"/>
      <w:r/>
      <w:bookmarkEnd w:id="19"/>
      <w:r/>
      <w:bookmarkEnd w:id="20"/>
      <w:r>
        <w:rPr>
          <w:rFonts w:hint="eastAsia" w:ascii="宋体" w:hAnsi="宋体" w:eastAsia="宋体" w:cs="宋体"/>
          <w:sz w:val="24"/>
          <w:szCs w:val="24"/>
          <w:highlight w:val="none"/>
        </w:rPr>
        <w:t xml:space="preserve">响应文件提交</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截止时间</w:t>
      </w:r>
      <w:r>
        <w:rPr>
          <w:rFonts w:hint="eastAsia" w:ascii="宋体" w:hAnsi="宋体" w:eastAsia="宋体" w:cs="宋体"/>
          <w:sz w:val="24"/>
          <w:szCs w:val="24"/>
          <w:highlight w:val="none"/>
          <w:lang w:bidi="ar"/>
        </w:rPr>
        <w:t xml:space="preserve">：</w:t>
      </w:r>
      <w:r>
        <w:rPr>
          <w:rFonts w:hint="eastAsia" w:ascii="宋体" w:hAnsi="宋体" w:eastAsia="宋体" w:cs="宋体"/>
          <w:color w:val="000000"/>
          <w:sz w:val="24"/>
          <w:szCs w:val="24"/>
          <w:highlight w:val="none"/>
          <w:u w:val="single"/>
          <w:lang w:eastAsia="zh-CN"/>
        </w:rPr>
        <w:t xml:space="preserve">2026年3月</w:t>
      </w:r>
      <w:r>
        <w:rPr>
          <w:rFonts w:hint="eastAsia" w:ascii="宋体" w:hAnsi="宋体"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lang w:eastAsia="zh-CN"/>
        </w:rPr>
        <w:t xml:space="preserve">日</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lang w:bidi="ar"/>
        </w:rPr>
        <w:t xml:space="preserve">点</w:t>
      </w:r>
      <w:r>
        <w:rPr>
          <w:rFonts w:hint="eastAsia" w:ascii="宋体" w:hAnsi="宋体" w:eastAsia="宋体" w:cs="宋体"/>
          <w:color w:val="000000"/>
          <w:sz w:val="24"/>
          <w:szCs w:val="24"/>
          <w:highlight w:val="none"/>
          <w:u w:val="single"/>
        </w:rPr>
        <w:t xml:space="preserve">00</w:t>
      </w:r>
      <w:r>
        <w:rPr>
          <w:rFonts w:hint="eastAsia" w:ascii="宋体" w:hAnsi="宋体" w:eastAsia="宋体" w:cs="宋体"/>
          <w:color w:val="000000"/>
          <w:sz w:val="24"/>
          <w:szCs w:val="24"/>
          <w:highlight w:val="none"/>
          <w:u w:val="single"/>
          <w:lang w:bidi="ar"/>
        </w:rPr>
        <w:t xml:space="preserve">分</w:t>
      </w:r>
      <w:r>
        <w:rPr>
          <w:rFonts w:hint="eastAsia" w:ascii="宋体" w:hAnsi="宋体" w:eastAsia="宋体" w:cs="宋体"/>
          <w:bCs/>
          <w:color w:val="000000"/>
          <w:sz w:val="24"/>
          <w:szCs w:val="24"/>
          <w:highlight w:val="none"/>
          <w:u w:val="single"/>
          <w:lang w:bidi="ar"/>
        </w:rPr>
        <w:t xml:space="preserve">（北京时间</w:t>
      </w:r>
      <w:r>
        <w:rPr>
          <w:rFonts w:hint="eastAsia" w:ascii="宋体" w:hAnsi="宋体" w:eastAsia="宋体" w:cs="宋体"/>
          <w:iCs/>
          <w:sz w:val="24"/>
          <w:szCs w:val="24"/>
          <w:highlight w:val="none"/>
          <w:lang w:bidi="ar"/>
        </w:rPr>
        <w:t xml:space="preserve">。</w:t>
      </w:r>
      <w:r>
        <w:rPr>
          <w:rFonts w:hint="eastAsia" w:ascii="宋体" w:hAnsi="宋体" w:eastAsia="宋体" w:cs="宋体"/>
          <w:bCs/>
          <w:sz w:val="24"/>
          <w:szCs w:val="24"/>
          <w:highlight w:val="none"/>
          <w:u w:val="single"/>
        </w:rPr>
      </w:r>
      <w:r/>
    </w:p>
    <w:p>
      <w:pPr>
        <w:pStyle w:val="1012"/>
        <w:ind w:firstLine="480"/>
        <w:pageBreakBefore w:val="0"/>
        <w:spacing w:line="400" w:lineRule="exact"/>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bidi="ar"/>
        </w:rPr>
        <w:t xml:space="preserve">：</w:t>
      </w:r>
      <w:r>
        <w:rPr>
          <w:rFonts w:hint="eastAsia" w:ascii="宋体" w:hAnsi="宋体" w:cs="宋体"/>
          <w:sz w:val="24"/>
          <w:highlight w:val="none"/>
          <w:u w:val="single"/>
        </w:rPr>
        <w:t xml:space="preserve">“苏采云”政府采购一体化平台</w:t>
      </w:r>
      <w:r>
        <w:rPr>
          <w:rFonts w:hint="eastAsia" w:ascii="宋体" w:hAnsi="宋体" w:eastAsia="宋体" w:cs="宋体"/>
          <w:sz w:val="24"/>
          <w:szCs w:val="24"/>
          <w:highlight w:val="none"/>
          <w:lang w:val="zh-TW" w:bidi="ar"/>
        </w:rPr>
        <w:t xml:space="preserve">。</w:t>
      </w:r>
      <w:r>
        <w:rPr>
          <w:rFonts w:hint="eastAsia" w:ascii="宋体" w:hAnsi="宋体" w:eastAsia="宋体" w:cs="宋体"/>
          <w:sz w:val="24"/>
          <w:szCs w:val="24"/>
          <w:highlight w:val="none"/>
          <w:lang w:val="zh-TW" w:bidi="ar"/>
        </w:rPr>
      </w:r>
      <w:r/>
    </w:p>
    <w:p>
      <w:pPr>
        <w:pStyle w:val="1014"/>
        <w:jc w:val="left"/>
        <w:pageBreakBefore w:val="0"/>
        <w:spacing w:before="0" w:line="400" w:lineRule="exact"/>
        <w:rPr>
          <w:rFonts w:hint="eastAsia" w:ascii="宋体" w:hAnsi="宋体" w:eastAsia="宋体" w:cs="宋体"/>
          <w:sz w:val="24"/>
          <w:szCs w:val="24"/>
          <w:highlight w:val="none"/>
        </w:rPr>
      </w:pPr>
      <w:r/>
      <w:bookmarkStart w:id="21" w:name="_Toc35393625"/>
      <w:r/>
      <w:bookmarkStart w:id="22" w:name="_Toc35393794"/>
      <w:r/>
      <w:bookmarkStart w:id="23" w:name="_Toc28359007"/>
      <w:r/>
      <w:bookmarkStart w:id="24" w:name="_Toc28359084"/>
      <w:r>
        <w:rPr>
          <w:rFonts w:hint="eastAsia" w:ascii="宋体" w:hAnsi="宋体" w:eastAsia="宋体" w:cs="宋体"/>
          <w:sz w:val="24"/>
          <w:szCs w:val="24"/>
          <w:highlight w:val="none"/>
        </w:rPr>
        <w:t xml:space="preserve">五、</w:t>
      </w:r>
      <w:bookmarkEnd w:id="21"/>
      <w:r/>
      <w:bookmarkEnd w:id="22"/>
      <w:r/>
      <w:bookmarkEnd w:id="23"/>
      <w:r/>
      <w:bookmarkEnd w:id="24"/>
      <w:r>
        <w:rPr>
          <w:rFonts w:hint="eastAsia" w:ascii="宋体" w:hAnsi="宋体" w:eastAsia="宋体" w:cs="宋体"/>
          <w:sz w:val="24"/>
          <w:szCs w:val="24"/>
          <w:highlight w:val="none"/>
        </w:rPr>
        <w:t xml:space="preserve">公告期限</w:t>
      </w:r>
      <w:r>
        <w:rPr>
          <w:rFonts w:hint="eastAsia" w:ascii="宋体" w:hAnsi="宋体" w:eastAsia="宋体" w:cs="宋体"/>
          <w:sz w:val="24"/>
          <w:szCs w:val="24"/>
          <w:highlight w:val="none"/>
        </w:rPr>
      </w:r>
      <w:r/>
    </w:p>
    <w:p>
      <w:pPr>
        <w:pStyle w:val="101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rPr>
          <w:rFonts w:hint="eastAsia" w:ascii="宋体" w:hAnsi="宋体" w:eastAsia="宋体" w:cs="宋体"/>
          <w:sz w:val="24"/>
          <w:szCs w:val="24"/>
          <w:highlight w:val="none"/>
        </w:rPr>
      </w:r>
      <w:r/>
    </w:p>
    <w:p>
      <w:pPr>
        <w:pStyle w:val="1014"/>
        <w:jc w:val="left"/>
        <w:pageBreakBefore w:val="0"/>
        <w:spacing w:before="0" w:line="400" w:lineRule="exact"/>
        <w:rPr>
          <w:rFonts w:hint="eastAsia" w:ascii="宋体" w:hAnsi="宋体" w:eastAsia="宋体" w:cs="宋体"/>
          <w:sz w:val="24"/>
          <w:szCs w:val="24"/>
          <w:highlight w:val="none"/>
        </w:rPr>
      </w:pPr>
      <w:r/>
      <w:bookmarkStart w:id="25" w:name="_Toc35393795"/>
      <w:r/>
      <w:bookmarkStart w:id="26" w:name="_Toc35393626"/>
      <w:r>
        <w:rPr>
          <w:rFonts w:hint="eastAsia" w:ascii="宋体" w:hAnsi="宋体" w:eastAsia="宋体" w:cs="宋体"/>
          <w:sz w:val="24"/>
          <w:szCs w:val="24"/>
          <w:highlight w:val="none"/>
        </w:rPr>
        <w:t xml:space="preserve">六、其他补充事宜</w:t>
      </w:r>
      <w:bookmarkEnd w:id="25"/>
      <w:r/>
      <w:bookmarkEnd w:id="26"/>
      <w:r>
        <w:rPr>
          <w:rFonts w:hint="eastAsia" w:ascii="宋体" w:hAnsi="宋体" w:eastAsia="宋体" w:cs="宋体"/>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bookmarkStart w:id="27" w:name="_Toc28359008"/>
      <w:r/>
      <w:bookmarkStart w:id="28" w:name="_Toc28359085"/>
      <w:r/>
      <w:bookmarkStart w:id="29" w:name="_Toc35393627"/>
      <w:r/>
      <w:bookmarkStart w:id="30" w:name="_Toc35393796"/>
      <w:r>
        <w:rPr>
          <w:rFonts w:hint="eastAsia" w:ascii="宋体" w:hAnsi="宋体" w:eastAsia="宋体" w:cs="宋体"/>
          <w:color w:val="000000"/>
          <w:sz w:val="24"/>
          <w:szCs w:val="24"/>
          <w:highlight w:val="none"/>
        </w:rPr>
        <w:t xml:space="preserve">1.本项目需要落实的政府采购政策：___/___。</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技术支持服务热线    0519-85588210</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CA认证证书办理  联系电话   0519-85588120</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2.1办理CA认证证书</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供应商登录“苏采云”政府采购一体化平台“新CA办理指南”，按照程序要求办理</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2.2注册</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供应商登录“苏采云”政府采购一体化平台下载“用户注册”查阅后进行自助注册。</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2.3控件、客户端下载</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供应商登录“苏采云”政府采购一体化平台下载、安装驱动。</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获取电子</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供应商持CA数字认证证书登录“苏采云”政府采购一体化平台获取电子</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文件。未在规定期限内通过“苏采云”政府采购一体化平台获取</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文件的响应无效。</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2.5编制电子响应文件</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2.6提交电子响应文件</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供应商应于投标截止时间前在“苏采云”政府采购一体化平台提交电子响应文件，上传电子响应文件过程中请保持与互联网的连接畅通。</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2.7电子开标</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供应商使用CA认证证书登录“苏采云”政府采购交易系统网上开标大厅进行电子化不见面开标。</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2.8注意事项</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3.关于常州市中小企业政府采购信用融资：</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rPr>
      </w:r>
      <w:r/>
    </w:p>
    <w:p>
      <w:pPr>
        <w:pStyle w:val="1014"/>
        <w:ind w:firstLine="482"/>
        <w:jc w:val="left"/>
        <w:pageBreakBefore w:val="0"/>
        <w:spacing w:before="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八、对本项目提出询问，请按以下方式联系。</w:t>
      </w:r>
      <w:bookmarkEnd w:id="27"/>
      <w:r/>
      <w:bookmarkEnd w:id="28"/>
      <w:r/>
      <w:bookmarkEnd w:id="29"/>
      <w:r/>
      <w:bookmarkEnd w:id="30"/>
      <w:r>
        <w:rPr>
          <w:rFonts w:hint="eastAsia" w:ascii="宋体" w:hAnsi="宋体" w:eastAsia="宋体" w:cs="宋体"/>
          <w:color w:val="000000"/>
          <w:sz w:val="24"/>
          <w:szCs w:val="24"/>
          <w:highlight w:val="none"/>
        </w:rPr>
      </w:r>
      <w:r/>
    </w:p>
    <w:p>
      <w:pPr>
        <w:pStyle w:val="1012"/>
        <w:ind w:firstLine="482"/>
        <w:jc w:val="left"/>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1.采购人信息</w:t>
      </w:r>
      <w:r>
        <w:rPr>
          <w:rFonts w:hint="eastAsia" w:ascii="宋体" w:hAnsi="宋体" w:eastAsia="宋体" w:cs="宋体"/>
          <w:b/>
          <w:color w:val="000000"/>
          <w:sz w:val="24"/>
          <w:szCs w:val="24"/>
          <w:highlight w:val="none"/>
        </w:rPr>
      </w:r>
      <w:r/>
    </w:p>
    <w:p>
      <w:pPr>
        <w:pStyle w:val="1012"/>
        <w:ind w:firstLine="480"/>
        <w:jc w:val="left"/>
        <w:pageBreakBefore w:val="0"/>
        <w:spacing w:line="400" w:lineRule="exact"/>
        <w:rPr>
          <w:rFonts w:hint="eastAsia" w:ascii="宋体" w:hAnsi="宋体" w:eastAsia="宋体" w:cs="宋体"/>
          <w:color w:val="000000"/>
          <w:sz w:val="24"/>
          <w:szCs w:val="24"/>
          <w:highlight w:val="none"/>
          <w:lang w:eastAsia="zh-CN"/>
        </w:rPr>
      </w:pPr>
      <w:r/>
      <w:bookmarkStart w:id="31" w:name="_Toc28359086"/>
      <w:r/>
      <w:bookmarkStart w:id="32"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常州科教城现代工业中心</w:t>
      </w:r>
      <w:r>
        <w:rPr>
          <w:rFonts w:hint="eastAsia" w:ascii="宋体" w:hAnsi="宋体" w:eastAsia="宋体" w:cs="宋体"/>
          <w:color w:val="000000"/>
          <w:sz w:val="24"/>
          <w:szCs w:val="24"/>
          <w:highlight w:val="none"/>
          <w:lang w:eastAsia="zh-CN"/>
        </w:rPr>
      </w:r>
      <w:r/>
    </w:p>
    <w:p>
      <w:pPr>
        <w:pStyle w:val="1012"/>
        <w:ind w:firstLine="480"/>
        <w:jc w:val="left"/>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常州市常武中路801号 </w:t>
      </w:r>
      <w:r>
        <w:rPr>
          <w:rFonts w:hint="eastAsia" w:ascii="宋体" w:hAnsi="宋体" w:eastAsia="宋体" w:cs="宋体"/>
          <w:color w:val="000000"/>
          <w:sz w:val="24"/>
          <w:szCs w:val="24"/>
          <w:highlight w:val="none"/>
          <w:lang w:eastAsia="zh-CN"/>
        </w:rPr>
      </w:r>
      <w:r/>
    </w:p>
    <w:p>
      <w:pPr>
        <w:pStyle w:val="1012"/>
        <w:ind w:firstLine="480"/>
        <w:jc w:val="left"/>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许女士  0519-86339438 </w:t>
      </w:r>
      <w:r>
        <w:rPr>
          <w:rFonts w:hint="eastAsia" w:ascii="宋体" w:hAnsi="宋体" w:eastAsia="宋体" w:cs="宋体"/>
          <w:color w:val="000000"/>
          <w:sz w:val="24"/>
          <w:szCs w:val="24"/>
          <w:highlight w:val="none"/>
          <w:lang w:eastAsia="zh-CN"/>
        </w:rPr>
      </w:r>
      <w:r/>
    </w:p>
    <w:p>
      <w:pPr>
        <w:pStyle w:val="1012"/>
        <w:ind w:firstLine="482"/>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1"/>
      <w:r/>
      <w:bookmarkEnd w:id="32"/>
      <w:r>
        <w:rPr>
          <w:rFonts w:hint="eastAsia" w:ascii="宋体" w:hAnsi="宋体" w:eastAsia="宋体" w:cs="宋体"/>
          <w:b/>
          <w:color w:val="000000"/>
          <w:sz w:val="24"/>
          <w:szCs w:val="24"/>
          <w:highlight w:val="none"/>
        </w:rPr>
      </w:r>
      <w:r/>
    </w:p>
    <w:p>
      <w:pPr>
        <w:pStyle w:val="1012"/>
        <w:ind w:firstLine="480"/>
        <w:pageBreakBefore w:val="0"/>
        <w:spacing w:line="400" w:lineRule="exact"/>
        <w:rPr>
          <w:rFonts w:hint="eastAsia" w:ascii="宋体" w:hAnsi="宋体" w:eastAsia="宋体" w:cs="宋体"/>
          <w:bCs/>
          <w:color w:val="000000"/>
          <w:sz w:val="24"/>
          <w:szCs w:val="24"/>
          <w:highlight w:val="none"/>
        </w:rPr>
      </w:pPr>
      <w:r/>
      <w:bookmarkStart w:id="33" w:name="_Toc28359010"/>
      <w:r/>
      <w:bookmarkStart w:id="34" w:name="_Toc28359087"/>
      <w:r>
        <w:rPr>
          <w:rFonts w:hint="eastAsia" w:ascii="宋体" w:hAnsi="宋体" w:eastAsia="宋体" w:cs="宋体"/>
          <w:bCs/>
          <w:color w:val="000000"/>
          <w:sz w:val="24"/>
          <w:szCs w:val="24"/>
          <w:highlight w:val="none"/>
        </w:rPr>
        <w:t xml:space="preserve">名称：常州润邦招标代理有限公司　　　　　　　　　　　　</w:t>
      </w:r>
      <w:r>
        <w:rPr>
          <w:rFonts w:hint="eastAsia" w:ascii="宋体" w:hAnsi="宋体" w:eastAsia="宋体" w:cs="宋体"/>
          <w:bCs/>
          <w:color w:val="000000"/>
          <w:sz w:val="24"/>
          <w:szCs w:val="24"/>
          <w:highlight w:val="none"/>
        </w:rPr>
      </w:r>
      <w:r/>
    </w:p>
    <w:p>
      <w:pPr>
        <w:pStyle w:val="1012"/>
        <w:ind w:firstLine="48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地址：常州市飞龙东路108号-304室（翠园世家商业街三楼）</w:t>
      </w:r>
      <w:r>
        <w:rPr>
          <w:rFonts w:hint="eastAsia" w:ascii="宋体" w:hAnsi="宋体" w:eastAsia="宋体" w:cs="宋体"/>
          <w:bCs/>
          <w:color w:val="000000"/>
          <w:sz w:val="24"/>
          <w:szCs w:val="24"/>
          <w:highlight w:val="none"/>
        </w:rPr>
      </w:r>
      <w:r/>
    </w:p>
    <w:p>
      <w:pPr>
        <w:pStyle w:val="1012"/>
        <w:ind w:firstLine="48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联系方式：0519-81881991</w:t>
      </w:r>
      <w:r>
        <w:rPr>
          <w:rFonts w:hint="eastAsia" w:ascii="宋体" w:hAnsi="宋体" w:eastAsia="宋体" w:cs="宋体"/>
          <w:bCs/>
          <w:color w:val="000000"/>
          <w:sz w:val="24"/>
          <w:szCs w:val="24"/>
          <w:highlight w:val="none"/>
        </w:rPr>
      </w:r>
      <w:r/>
    </w:p>
    <w:p>
      <w:pPr>
        <w:pStyle w:val="1012"/>
        <w:ind w:firstLine="482"/>
        <w:pageBreakBefore w:val="0"/>
        <w:spacing w:line="400" w:lineRule="exact"/>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3.项目联系方式</w:t>
      </w:r>
      <w:bookmarkEnd w:id="33"/>
      <w:r/>
      <w:bookmarkEnd w:id="34"/>
      <w:r>
        <w:rPr>
          <w:rFonts w:hint="eastAsia" w:ascii="宋体" w:hAnsi="宋体" w:eastAsia="宋体" w:cs="宋体"/>
          <w:b/>
          <w:color w:val="000000"/>
          <w:sz w:val="24"/>
          <w:szCs w:val="24"/>
          <w:highlight w:val="none"/>
          <w:u w:val="single"/>
        </w:rPr>
      </w:r>
      <w:r/>
    </w:p>
    <w:p>
      <w:pPr>
        <w:pStyle w:val="1052"/>
        <w:ind w:firstLine="480"/>
        <w:pageBreakBefore w:val="0"/>
        <w:spacing w:line="40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项目联系人：赵婷</w:t>
      </w:r>
      <w:r>
        <w:rPr>
          <w:rFonts w:hint="eastAsia" w:ascii="宋体" w:hAnsi="宋体" w:eastAsia="宋体" w:cs="宋体"/>
          <w:color w:val="000000"/>
          <w:sz w:val="24"/>
          <w:szCs w:val="24"/>
          <w:highlight w:val="none"/>
          <w:lang w:bidi="ar"/>
        </w:rPr>
      </w:r>
      <w:r/>
    </w:p>
    <w:p>
      <w:pPr>
        <w:pStyle w:val="1052"/>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电话：0519-81881991</w:t>
      </w:r>
      <w:r>
        <w:rPr>
          <w:rFonts w:hint="eastAsia" w:ascii="宋体" w:hAnsi="宋体" w:eastAsia="宋体" w:cs="宋体"/>
          <w:sz w:val="24"/>
          <w:szCs w:val="24"/>
          <w:highlight w:val="none"/>
        </w:rPr>
      </w:r>
      <w:r/>
    </w:p>
    <w:p>
      <w:pPr>
        <w:pStyle w:val="1012"/>
        <w:jc w:val="center"/>
        <w:spacing w:line="360" w:lineRule="auto"/>
        <w:rPr>
          <w:b/>
          <w:sz w:val="32"/>
          <w:szCs w:val="32"/>
          <w:highlight w:val="none"/>
        </w:rPr>
        <w:outlineLvl w:val="0"/>
      </w:pPr>
      <w:r>
        <w:rPr>
          <w:sz w:val="24"/>
          <w:highlight w:val="none"/>
        </w:rPr>
        <w:br w:type="page" w:clear="all"/>
      </w:r>
      <w:bookmarkStart w:id="35" w:name="_Toc265228423"/>
      <w:r/>
      <w:bookmarkStart w:id="36" w:name="_Toc264969275"/>
      <w:r/>
      <w:bookmarkStart w:id="37" w:name="_Toc512937850"/>
      <w:r/>
      <w:bookmarkStart w:id="38" w:name="_Toc305158928"/>
      <w:r/>
      <w:bookmarkStart w:id="39" w:name="_Toc226965856"/>
      <w:r/>
      <w:bookmarkStart w:id="40" w:name="_Toc99301374"/>
      <w:r/>
      <w:bookmarkStart w:id="41" w:name="_Toc353825548"/>
      <w:r/>
      <w:bookmarkStart w:id="42" w:name="_Toc353873938"/>
      <w:r/>
      <w:bookmarkStart w:id="43" w:name="_Toc127161488"/>
      <w:r/>
      <w:bookmarkStart w:id="44" w:name="_Toc150774783"/>
      <w:r/>
      <w:bookmarkStart w:id="45" w:name="_Toc305158854"/>
      <w:r/>
      <w:bookmarkStart w:id="46" w:name="_Toc195842950"/>
      <w:r/>
      <w:bookmarkStart w:id="47" w:name="_Toc127151777"/>
      <w:r>
        <w:rPr>
          <w:b/>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highlight w:val="none"/>
        </w:rPr>
      </w:r>
      <w:r/>
    </w:p>
    <w:p>
      <w:pPr>
        <w:pStyle w:val="1012"/>
        <w:jc w:val="center"/>
        <w:rPr>
          <w:b/>
          <w:sz w:val="28"/>
          <w:szCs w:val="28"/>
          <w:highlight w:val="none"/>
        </w:rPr>
      </w:pPr>
      <w:r/>
      <w:bookmarkStart w:id="48" w:name="_Hlk97750450"/>
      <w:r/>
      <w:bookmarkStart w:id="49" w:name="_Toc520356144"/>
      <w:r/>
      <w:bookmarkStart w:id="50" w:name="_Toc164608788"/>
      <w:r/>
      <w:bookmarkStart w:id="51" w:name="_Toc164229214"/>
      <w:r/>
      <w:bookmarkStart w:id="52" w:name="_Toc151193833"/>
      <w:r/>
      <w:bookmarkStart w:id="53" w:name="_Toc195842884"/>
      <w:r/>
      <w:bookmarkStart w:id="54" w:name="_Toc151193761"/>
      <w:r/>
      <w:bookmarkStart w:id="55" w:name="_Toc151193617"/>
      <w:r/>
      <w:bookmarkStart w:id="56" w:name="_Toc150774724"/>
      <w:r/>
      <w:bookmarkStart w:id="57" w:name="_Toc151190146"/>
      <w:r/>
      <w:bookmarkStart w:id="58" w:name="_Toc164351613"/>
      <w:r/>
      <w:bookmarkStart w:id="59" w:name="_Toc127151519"/>
      <w:r/>
      <w:bookmarkStart w:id="60" w:name="_Toc127161433"/>
      <w:r/>
      <w:bookmarkStart w:id="61" w:name="_Toc226309763"/>
      <w:r/>
      <w:bookmarkStart w:id="62" w:name="_Toc164229360"/>
      <w:r/>
      <w:bookmarkStart w:id="63" w:name="_Toc150509270"/>
      <w:r/>
      <w:bookmarkStart w:id="64" w:name="_Toc150480757"/>
      <w:r/>
      <w:bookmarkStart w:id="65" w:name="_Toc226337215"/>
      <w:r/>
      <w:bookmarkStart w:id="66" w:name="_Toc149720812"/>
      <w:r/>
      <w:bookmarkStart w:id="67" w:name="_Toc127151720"/>
      <w:r/>
      <w:bookmarkStart w:id="68" w:name="_Toc142311021"/>
      <w:r/>
      <w:bookmarkStart w:id="69" w:name="_Toc151193689"/>
      <w:r/>
      <w:bookmarkStart w:id="70" w:name="_Toc150774619"/>
      <w:r/>
      <w:bookmarkStart w:id="71" w:name="_Toc164608633"/>
      <w:r/>
      <w:bookmarkStart w:id="72" w:name="_Toc151193907"/>
      <w:r/>
      <w:bookmarkStart w:id="73" w:name="_Toc226965792"/>
      <w:r/>
      <w:bookmarkStart w:id="74" w:name="_Toc226965709"/>
      <w:r>
        <w:rPr>
          <w:b/>
          <w:sz w:val="28"/>
          <w:szCs w:val="28"/>
          <w:highlight w:val="none"/>
        </w:rPr>
        <w:t xml:space="preserve">供应商须知资料表</w:t>
      </w:r>
      <w:bookmarkEnd w:id="48"/>
      <w:r>
        <w:rPr>
          <w:b/>
          <w:sz w:val="28"/>
          <w:szCs w:val="28"/>
          <w:highlight w:val="none"/>
        </w:rPr>
      </w:r>
      <w:r/>
    </w:p>
    <w:p>
      <w:pPr>
        <w:pStyle w:val="1012"/>
        <w:jc w:val="center"/>
        <w:rPr>
          <w:b/>
          <w:sz w:val="28"/>
          <w:szCs w:val="28"/>
          <w:highlight w:val="none"/>
        </w:rPr>
      </w:pPr>
      <w:r>
        <w:rPr>
          <w:b/>
          <w:sz w:val="28"/>
          <w:szCs w:val="28"/>
          <w:highlight w:val="none"/>
        </w:rPr>
      </w:r>
      <w:r/>
    </w:p>
    <w:p>
      <w:pPr>
        <w:pStyle w:val="1012"/>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4997"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78"/>
        <w:gridCol w:w="6769"/>
      </w:tblGrid>
      <w:tr>
        <w:trPr>
          <w:trHeight w:val="535"/>
          <w:tblHeader/>
        </w:trPr>
        <w:tc>
          <w:tcPr>
            <w:tcW w:w="504" w:type="dxa"/>
            <w:vAlign w:val="center"/>
            <w:textDirection w:val="lrTb"/>
            <w:noWrap w:val="false"/>
          </w:tcPr>
          <w:p>
            <w:pPr>
              <w:pStyle w:val="1012"/>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rPr>
                <w:rFonts w:hint="eastAsia" w:ascii="宋体" w:hAnsi="宋体" w:eastAsia="宋体" w:cs="宋体"/>
                <w:b/>
                <w:bCs/>
                <w:sz w:val="24"/>
                <w:highlight w:val="none"/>
              </w:rPr>
            </w:r>
            <w:r/>
          </w:p>
        </w:tc>
        <w:tc>
          <w:tcPr>
            <w:tcW w:w="850" w:type="dxa"/>
            <w:vAlign w:val="center"/>
            <w:textDirection w:val="lrTb"/>
            <w:noWrap w:val="false"/>
          </w:tcPr>
          <w:p>
            <w:pPr>
              <w:pStyle w:val="1012"/>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rPr>
                <w:rFonts w:hint="eastAsia" w:ascii="宋体" w:hAnsi="宋体" w:eastAsia="宋体" w:cs="宋体"/>
                <w:b/>
                <w:bCs/>
                <w:sz w:val="24"/>
                <w:highlight w:val="none"/>
              </w:rPr>
            </w:r>
            <w:r/>
          </w:p>
        </w:tc>
        <w:tc>
          <w:tcPr>
            <w:tcW w:w="3645" w:type="dxa"/>
            <w:vAlign w:val="center"/>
            <w:textDirection w:val="lrTb"/>
            <w:noWrap w:val="false"/>
          </w:tcPr>
          <w:p>
            <w:pPr>
              <w:pStyle w:val="1012"/>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rPr>
                <w:rFonts w:hint="eastAsia" w:ascii="宋体" w:hAnsi="宋体" w:eastAsia="宋体" w:cs="宋体"/>
                <w:b/>
                <w:bCs/>
                <w:sz w:val="24"/>
                <w:highlight w:val="none"/>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科研仪器设备</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szCs w:val="24"/>
                <w:highlight w:val="none"/>
                <w:lang w:val="en-US" w:eastAsia="zh-CN" w:bidi="ar-SA"/>
              </w:rPr>
            </w:r>
            <w:r/>
          </w:p>
        </w:tc>
      </w:tr>
      <w:tr>
        <w:trPr>
          <w:trHeight w:val="305"/>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color w:val="000000"/>
                <w:sz w:val="24"/>
                <w:highlight w:val="none"/>
                <w:u w:val="single"/>
                <w:lang w:val="en-US" w:eastAsia="zh-CN"/>
              </w:rPr>
              <w:t xml:space="preserve">建筑业</w:t>
            </w:r>
            <w:r>
              <w:rPr>
                <w:rFonts w:hint="eastAsia" w:ascii="宋体" w:hAnsi="宋体" w:eastAsia="宋体" w:cs="宋体"/>
                <w:color w:val="000000"/>
                <w:sz w:val="24"/>
                <w:szCs w:val="24"/>
                <w:highlight w:val="none"/>
                <w:lang w:val="en-US" w:eastAsia="zh-CN" w:bidi="ar-SA"/>
              </w:rPr>
            </w:r>
            <w:r/>
          </w:p>
        </w:tc>
      </w:tr>
      <w:tr>
        <w:trPr>
          <w:trHeight w:val="816"/>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报价的特殊规定：</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有，具体情形：</w:t>
            </w:r>
            <w:r>
              <w:rPr>
                <w:rFonts w:hint="eastAsia" w:ascii="宋体" w:hAnsi="宋体" w:eastAsia="宋体" w:cs="宋体"/>
                <w:color w:val="000000"/>
                <w:sz w:val="24"/>
                <w:highlight w:val="none"/>
                <w:u w:val="single"/>
              </w:rPr>
              <w:t xml:space="preserve">本项目采用2次报价，响应文件的报价作为首次报价，评审时，</w:t>
            </w:r>
            <w:r>
              <w:rPr>
                <w:rFonts w:hint="eastAsia" w:ascii="宋体" w:hAnsi="宋体" w:eastAsia="宋体" w:cs="宋体"/>
                <w:color w:val="000000"/>
                <w:sz w:val="24"/>
                <w:highlight w:val="none"/>
                <w:u w:val="single"/>
                <w:lang w:eastAsia="zh-CN"/>
              </w:rPr>
              <w:t xml:space="preserve">谈判小组</w:t>
            </w:r>
            <w:r>
              <w:rPr>
                <w:rFonts w:hint="eastAsia" w:ascii="宋体" w:hAnsi="宋体" w:eastAsia="宋体" w:cs="宋体"/>
                <w:color w:val="000000"/>
                <w:sz w:val="24"/>
                <w:highlight w:val="none"/>
                <w:u w:val="single"/>
              </w:rPr>
              <w:t xml:space="preserve">应当要求所有实质性响应的供应商在规定时间内提交最终报价。</w:t>
            </w:r>
            <w:r>
              <w:rPr>
                <w:rFonts w:hint="eastAsia" w:ascii="宋体" w:hAnsi="宋体" w:cs="宋体"/>
                <w:b/>
                <w:bCs/>
                <w:sz w:val="24"/>
                <w:highlight w:val="none"/>
                <w:u w:val="single"/>
              </w:rPr>
              <w:t xml:space="preserve">（未提交最终报价的供应商，系统自动按无效响应处理）</w:t>
            </w:r>
            <w:r>
              <w:rPr>
                <w:rFonts w:hint="eastAsia" w:ascii="宋体" w:hAnsi="宋体" w:eastAsia="宋体" w:cs="宋体"/>
                <w:color w:val="000000"/>
                <w:sz w:val="24"/>
                <w:szCs w:val="24"/>
                <w:highlight w:val="none"/>
                <w:lang w:val="en-US" w:eastAsia="zh-CN" w:bidi="ar-SA"/>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sz w:val="24"/>
                <w:highlight w:val="none"/>
              </w:rPr>
            </w:pPr>
            <w:r>
              <w:rPr>
                <w:rFonts w:hint="eastAsia" w:ascii="宋体" w:hAnsi="宋体" w:eastAsia="宋体" w:cs="宋体"/>
                <w:sz w:val="24"/>
                <w:highlight w:val="none"/>
              </w:rPr>
              <w:t xml:space="preserve">保证金</w:t>
            </w:r>
            <w:r>
              <w:rPr>
                <w:rFonts w:hint="eastAsia" w:ascii="宋体" w:hAnsi="宋体" w:eastAsia="宋体" w:cs="宋体"/>
                <w:sz w:val="24"/>
                <w:highlight w:val="none"/>
              </w:rPr>
            </w:r>
            <w:r/>
          </w:p>
        </w:tc>
        <w:tc>
          <w:tcPr>
            <w:tcW w:w="3645" w:type="dxa"/>
            <w:vAlign w:val="center"/>
            <w:textDirection w:val="lrTb"/>
            <w:noWrap w:val="false"/>
          </w:tcPr>
          <w:p>
            <w:pPr>
              <w:pStyle w:val="1012"/>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rPr>
                <w:rFonts w:hint="eastAsia" w:ascii="宋体" w:hAnsi="宋体" w:eastAsia="宋体" w:cs="宋体"/>
                <w:sz w:val="24"/>
                <w:highlight w:val="none"/>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自提交响应文件的截止之日起算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本项目是否允许分包： </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不允许</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□允许，具体要求：____/___。</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（1）可以分包履行的具体内容：___/____；</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（2）允许分包的金额或者比例：___/____；</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highlight w:val="none"/>
              </w:rPr>
              <w:t xml:space="preserve">（3）其他要求：____/___。</w:t>
            </w:r>
            <w:r>
              <w:rPr>
                <w:rFonts w:hint="eastAsia" w:ascii="宋体" w:hAnsi="宋体" w:eastAsia="宋体" w:cs="宋体"/>
                <w:color w:val="000000"/>
                <w:sz w:val="24"/>
                <w:szCs w:val="24"/>
                <w:highlight w:val="none"/>
                <w:u w:val="single"/>
                <w:lang w:val="en-US" w:eastAsia="zh-CN" w:bidi="ar-SA"/>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23.1.1</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询问</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询问送达形式：书面形式。</w:t>
            </w:r>
            <w:r>
              <w:rPr>
                <w:rFonts w:hint="eastAsia" w:ascii="宋体" w:hAnsi="宋体" w:eastAsia="宋体" w:cs="宋体"/>
                <w:color w:val="000000"/>
                <w:sz w:val="24"/>
                <w:szCs w:val="24"/>
                <w:highlight w:val="none"/>
                <w:lang w:val="en-US" w:eastAsia="zh-CN" w:bidi="ar-SA"/>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r>
              <w:rPr>
                <w:rFonts w:hint="eastAsia" w:ascii="宋体" w:hAnsi="宋体" w:eastAsia="宋体" w:cs="宋体"/>
                <w:bCs/>
                <w:color w:val="000000"/>
                <w:sz w:val="24"/>
                <w:highlight w:val="none"/>
              </w:rPr>
              <w:t xml:space="preserve">常州润邦招标代理有限公司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bCs/>
                <w:color w:val="000000"/>
                <w:sz w:val="24"/>
                <w:highlight w:val="none"/>
              </w:rPr>
              <w:t xml:space="preserve">0519-81881991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通讯地址：</w:t>
            </w:r>
            <w:r>
              <w:rPr>
                <w:rFonts w:hint="eastAsia" w:ascii="宋体" w:hAnsi="宋体" w:eastAsia="宋体" w:cs="宋体"/>
                <w:bCs/>
                <w:color w:val="000000"/>
                <w:sz w:val="24"/>
                <w:highlight w:val="none"/>
              </w:rPr>
              <w:t xml:space="preserve">常州市飞龙东路108号-304室（翠园世家商业街三楼）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504" w:type="dxa"/>
            <w:vAlign w:val="center"/>
            <w:textDirection w:val="lrTb"/>
            <w:noWrap w:val="false"/>
          </w:tcPr>
          <w:p>
            <w:pPr>
              <w:pStyle w:val="10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rPr>
            </w:r>
            <w:r/>
          </w:p>
        </w:tc>
        <w:tc>
          <w:tcPr>
            <w:tcW w:w="850"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代理费</w:t>
            </w:r>
            <w:r>
              <w:rPr>
                <w:rFonts w:hint="eastAsia" w:ascii="宋体" w:hAnsi="宋体" w:eastAsia="宋体" w:cs="宋体"/>
                <w:color w:val="000000"/>
                <w:sz w:val="24"/>
                <w:szCs w:val="24"/>
                <w:highlight w:val="none"/>
                <w:lang w:val="en-US" w:eastAsia="zh-CN" w:bidi="ar-SA"/>
              </w:rPr>
            </w:r>
            <w:r/>
          </w:p>
        </w:tc>
        <w:tc>
          <w:tcPr>
            <w:tcW w:w="3645" w:type="dxa"/>
            <w:vAlign w:val="center"/>
            <w:textDirection w:val="lrTb"/>
            <w:noWrap w:val="false"/>
          </w:tcPr>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r>
            <w:r/>
          </w:p>
          <w:p>
            <w:pPr>
              <w:pStyle w:val="1012"/>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成交供应商</w:t>
            </w:r>
            <w:r>
              <w:rPr>
                <w:rFonts w:hint="eastAsia" w:ascii="宋体" w:hAnsi="宋体" w:eastAsia="宋体" w:cs="宋体"/>
                <w:color w:val="000000"/>
                <w:sz w:val="24"/>
                <w:highlight w:val="none"/>
              </w:rPr>
            </w:r>
            <w:r/>
          </w:p>
          <w:p>
            <w:pPr>
              <w:pStyle w:val="101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收费标准：以成交金额为基数，收费比例按差额定率累进法计算。服务费取费基数和费率按下表收费标准</w:t>
            </w:r>
            <w:r>
              <w:rPr>
                <w:rFonts w:hint="eastAsia" w:ascii="宋体" w:hAnsi="宋体" w:eastAsia="宋体" w:cs="宋体"/>
                <w:color w:val="000000"/>
                <w:sz w:val="24"/>
                <w:highlight w:val="none"/>
                <w:lang w:val="en-US" w:eastAsia="zh-CN"/>
              </w:rPr>
              <w:t xml:space="preserve">*58%</w:t>
            </w:r>
            <w:r>
              <w:rPr>
                <w:rFonts w:hint="eastAsia" w:ascii="宋体" w:hAnsi="宋体" w:eastAsia="宋体" w:cs="宋体"/>
                <w:color w:val="000000"/>
                <w:sz w:val="24"/>
                <w:highlight w:val="none"/>
              </w:rPr>
              <w:t xml:space="preserve">计算。服务收费按下述计算方法不足人民币</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00元的，按人民币</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00元收取。</w:t>
            </w:r>
            <w:r>
              <w:rPr>
                <w:rFonts w:hint="eastAsia" w:ascii="宋体" w:hAnsi="宋体" w:eastAsia="宋体" w:cs="宋体"/>
                <w:color w:val="000000"/>
                <w:sz w:val="24"/>
                <w:highlight w:val="non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2732"/>
              <w:gridCol w:w="2754"/>
            </w:tblGrid>
            <w:tr>
              <w:trPr>
                <w:trHeight w:val="137"/>
              </w:trPr>
              <w:tc>
                <w:tcPr>
                  <w:tcW w:w="806"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2088"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rPr>
                      <w:rFonts w:hint="eastAsia" w:ascii="宋体" w:hAnsi="宋体" w:eastAsia="宋体" w:cs="宋体"/>
                      <w:bCs/>
                      <w:color w:val="000000"/>
                      <w:sz w:val="24"/>
                      <w:highlight w:val="none"/>
                    </w:rPr>
                  </w:r>
                  <w:r/>
                </w:p>
              </w:tc>
              <w:tc>
                <w:tcPr>
                  <w:tcW w:w="2105"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工程</w:t>
                  </w:r>
                  <w:r>
                    <w:rPr>
                      <w:rFonts w:hint="eastAsia" w:ascii="宋体" w:hAnsi="宋体" w:eastAsia="宋体" w:cs="宋体"/>
                      <w:bCs/>
                      <w:color w:val="000000"/>
                      <w:sz w:val="24"/>
                      <w:highlight w:val="none"/>
                    </w:rPr>
                    <w:t xml:space="preserve">类（费率）</w:t>
                  </w:r>
                  <w:r>
                    <w:rPr>
                      <w:rFonts w:hint="eastAsia" w:ascii="宋体" w:hAnsi="宋体" w:eastAsia="宋体" w:cs="宋体"/>
                      <w:bCs/>
                      <w:color w:val="000000"/>
                      <w:sz w:val="24"/>
                      <w:highlight w:val="none"/>
                    </w:rPr>
                  </w:r>
                  <w:r/>
                </w:p>
              </w:tc>
            </w:tr>
            <w:tr>
              <w:trPr>
                <w:trHeight w:val="255"/>
              </w:trPr>
              <w:tc>
                <w:tcPr>
                  <w:tcW w:w="806" w:type="dxa"/>
                  <w:vAlign w:val="top"/>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088"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100以下</w:t>
                  </w:r>
                  <w:r>
                    <w:rPr>
                      <w:rFonts w:hint="eastAsia" w:ascii="宋体" w:hAnsi="宋体" w:eastAsia="宋体" w:cs="宋体"/>
                      <w:bCs/>
                      <w:color w:val="000000"/>
                      <w:sz w:val="24"/>
                      <w:highlight w:val="none"/>
                    </w:rPr>
                  </w:r>
                  <w:r/>
                </w:p>
              </w:tc>
              <w:tc>
                <w:tcPr>
                  <w:tcW w:w="2105"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r>
            <w:tr>
              <w:trPr>
                <w:trHeight w:val="135"/>
              </w:trPr>
              <w:tc>
                <w:tcPr>
                  <w:tcW w:w="806" w:type="dxa"/>
                  <w:vAlign w:val="top"/>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2088"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100--500</w:t>
                  </w:r>
                  <w:r>
                    <w:rPr>
                      <w:rFonts w:hint="eastAsia" w:ascii="宋体" w:hAnsi="宋体" w:eastAsia="宋体" w:cs="宋体"/>
                      <w:bCs/>
                      <w:color w:val="000000"/>
                      <w:sz w:val="24"/>
                      <w:highlight w:val="none"/>
                    </w:rPr>
                  </w:r>
                  <w:r/>
                </w:p>
              </w:tc>
              <w:tc>
                <w:tcPr>
                  <w:tcW w:w="2105"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0.7</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r>
            <w:tr>
              <w:trPr>
                <w:trHeight w:val="240"/>
              </w:trPr>
              <w:tc>
                <w:tcPr>
                  <w:tcW w:w="806" w:type="dxa"/>
                  <w:vAlign w:val="top"/>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2088"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500--1000</w:t>
                  </w:r>
                  <w:r>
                    <w:rPr>
                      <w:rFonts w:hint="eastAsia" w:ascii="宋体" w:hAnsi="宋体" w:eastAsia="宋体" w:cs="宋体"/>
                      <w:bCs/>
                      <w:color w:val="000000"/>
                      <w:sz w:val="24"/>
                      <w:highlight w:val="none"/>
                    </w:rPr>
                  </w:r>
                  <w:r/>
                </w:p>
              </w:tc>
              <w:tc>
                <w:tcPr>
                  <w:tcW w:w="2105" w:type="dxa"/>
                  <w:vAlign w:val="center"/>
                  <w:textDirection w:val="lrTb"/>
                  <w:noWrap w:val="false"/>
                </w:tcPr>
                <w:p>
                  <w:pPr>
                    <w:pStyle w:val="101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w:t>
                  </w:r>
                  <w:r>
                    <w:rPr>
                      <w:rFonts w:hint="eastAsia" w:ascii="宋体" w:hAnsi="宋体" w:eastAsia="宋体" w:cs="宋体"/>
                      <w:bCs/>
                      <w:color w:val="000000"/>
                      <w:sz w:val="24"/>
                      <w:highlight w:val="none"/>
                      <w:lang w:val="en-US" w:eastAsia="zh-CN"/>
                    </w:rPr>
                    <w:t xml:space="preserve">55</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r>
          </w:tbl>
          <w:p>
            <w:pPr>
              <w:pStyle w:val="101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缴纳时间：成交供应商领取中标（成交）通知书前须向采购代理机构缴纳采购服务费。</w:t>
            </w:r>
            <w:r>
              <w:rPr>
                <w:rFonts w:hint="eastAsia" w:ascii="宋体" w:hAnsi="宋体" w:eastAsia="宋体" w:cs="宋体"/>
                <w:color w:val="000000"/>
                <w:sz w:val="24"/>
                <w:szCs w:val="24"/>
                <w:highlight w:val="none"/>
                <w:lang w:val="en-US" w:eastAsia="zh-CN" w:bidi="ar-SA"/>
              </w:rPr>
            </w:r>
            <w:r/>
          </w:p>
        </w:tc>
      </w:tr>
      <w:tr>
        <w:trPr>
          <w:trHeight w:val="20"/>
        </w:trPr>
        <w:tc>
          <w:tcPr>
            <w:tcW w:w="504" w:type="dxa"/>
            <w:vAlign w:val="center"/>
            <w:textDirection w:val="lrTb"/>
            <w:noWrap w:val="false"/>
          </w:tcPr>
          <w:p>
            <w:pPr>
              <w:pStyle w:val="1052"/>
              <w:jc w:val="center"/>
              <w:rPr>
                <w:rFonts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25</w:t>
            </w:r>
            <w:r>
              <w:rPr>
                <w:rFonts w:ascii="宋体" w:hAnsi="宋体" w:eastAsia="宋体" w:cs="宋体"/>
                <w:sz w:val="24"/>
                <w:szCs w:val="24"/>
                <w:highlight w:val="none"/>
                <w:lang w:val="en-US" w:eastAsia="zh-CN"/>
              </w:rPr>
            </w:r>
            <w:r/>
          </w:p>
        </w:tc>
        <w:tc>
          <w:tcPr>
            <w:tcW w:w="850" w:type="dxa"/>
            <w:vAlign w:val="center"/>
            <w:textDirection w:val="lrTb"/>
            <w:noWrap w:val="false"/>
          </w:tcPr>
          <w:p>
            <w:pPr>
              <w:pStyle w:val="1012"/>
              <w:jc w:val="center"/>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rPr>
              <w:t xml:space="preserve">纸质中标（成交）文件</w:t>
            </w:r>
            <w:r>
              <w:rPr>
                <w:rFonts w:hint="eastAsia" w:ascii="宋体" w:hAnsi="宋体" w:cs="宋体"/>
                <w:b w:val="0"/>
                <w:bCs w:val="0"/>
                <w:sz w:val="24"/>
                <w:szCs w:val="24"/>
                <w:highlight w:val="none"/>
                <w:lang w:val="en-US" w:eastAsia="zh-CN" w:bidi="ar-SA"/>
              </w:rPr>
            </w:r>
            <w:r/>
          </w:p>
        </w:tc>
        <w:tc>
          <w:tcPr>
            <w:tcW w:w="3645" w:type="dxa"/>
            <w:vAlign w:val="center"/>
            <w:textDirection w:val="lrTb"/>
            <w:noWrap w:val="false"/>
          </w:tcPr>
          <w:p>
            <w:pPr>
              <w:pStyle w:val="1012"/>
              <w:rPr>
                <w:rFonts w:hint="eastAsia" w:ascii="宋体" w:hAnsi="宋体" w:eastAsia="宋体" w:cs="宋体"/>
                <w:b w:val="0"/>
                <w:bCs w:val="0"/>
                <w:sz w:val="24"/>
                <w:szCs w:val="24"/>
                <w:highlight w:val="none"/>
                <w:lang w:val="en-US" w:eastAsia="zh-CN" w:bidi="ar-SA"/>
              </w:rPr>
            </w:pPr>
            <w:r>
              <w:rPr>
                <w:rFonts w:hint="eastAsia"/>
                <w:b w:val="0"/>
                <w:bCs w:val="0"/>
                <w:sz w:val="24"/>
                <w:highlight w:val="none"/>
              </w:rPr>
              <w:t xml:space="preserve">中标（成交）单位在签订合同前需递交与电子</w:t>
            </w:r>
            <w:r>
              <w:rPr>
                <w:rFonts w:hint="eastAsia"/>
                <w:b w:val="0"/>
                <w:bCs w:val="0"/>
                <w:sz w:val="24"/>
                <w:highlight w:val="none"/>
                <w:lang w:val="en-US" w:eastAsia="zh-CN"/>
              </w:rPr>
              <w:t xml:space="preserve">响应</w:t>
            </w:r>
            <w:r>
              <w:rPr>
                <w:rFonts w:hint="eastAsia"/>
                <w:b w:val="0"/>
                <w:bCs w:val="0"/>
                <w:sz w:val="24"/>
                <w:highlight w:val="none"/>
              </w:rPr>
              <w:t xml:space="preserve">文件内容一致的纸质投标文件三份（需打印清晰，标注目录及页码），作为项目归档使用。（递交方式可采用邮寄或现场送达</w:t>
            </w:r>
            <w:r>
              <w:rPr>
                <w:rFonts w:hint="eastAsia"/>
                <w:b w:val="0"/>
                <w:bCs w:val="0"/>
                <w:sz w:val="24"/>
                <w:highlight w:val="none"/>
                <w:lang w:val="en-US" w:eastAsia="zh-CN"/>
              </w:rPr>
              <w:t xml:space="preserve">至代理机构）</w:t>
            </w:r>
            <w:r>
              <w:rPr>
                <w:rFonts w:hint="eastAsia" w:ascii="宋体" w:hAnsi="宋体" w:eastAsia="宋体" w:cs="宋体"/>
                <w:b w:val="0"/>
                <w:bCs w:val="0"/>
                <w:sz w:val="24"/>
                <w:szCs w:val="24"/>
                <w:highlight w:val="none"/>
                <w:lang w:val="en-US" w:eastAsia="zh-CN" w:bidi="ar-SA"/>
              </w:rPr>
            </w:r>
            <w:r/>
          </w:p>
        </w:tc>
      </w:tr>
    </w:tbl>
    <w:p>
      <w:pPr>
        <w:pStyle w:val="1012"/>
        <w:jc w:val="both"/>
        <w:spacing w:line="360" w:lineRule="auto"/>
        <w:tabs>
          <w:tab w:val="left" w:pos="5580" w:leader="none"/>
        </w:tabs>
        <w:rPr>
          <w:sz w:val="24"/>
          <w:highlight w:val="none"/>
        </w:rPr>
        <w:sectPr>
          <w:headerReference w:type="default" r:id="rId11"/>
          <w:footerReference w:type="default" r:id="rId15"/>
          <w:footnotePr/>
          <w:endnotePr/>
          <w:type w:val="nextPage"/>
          <w:pgSz w:w="11907" w:h="16840" w:orient="portrait"/>
          <w:pgMar w:top="1417" w:right="1417" w:bottom="1417" w:left="1417" w:header="851" w:footer="850" w:gutter="0"/>
          <w:pgNumType w:start="1"/>
          <w:cols w:num="1" w:sep="0" w:space="1701" w:equalWidth="1"/>
          <w:docGrid w:linePitch="360"/>
        </w:sectPr>
      </w:pPr>
      <w:r>
        <w:rPr>
          <w:sz w:val="24"/>
          <w:highlight w:val="none"/>
        </w:rPr>
      </w:r>
      <w:r/>
    </w:p>
    <w:p>
      <w:pPr>
        <w:pStyle w:val="1012"/>
        <w:jc w:val="center"/>
        <w:spacing w:before="240" w:after="240"/>
        <w:rPr>
          <w:b/>
          <w:sz w:val="28"/>
          <w:szCs w:val="28"/>
          <w:highlight w:val="none"/>
        </w:rPr>
      </w:pPr>
      <w:r/>
      <w:bookmarkStart w:id="75" w:name="_Toc264969207"/>
      <w:r/>
      <w:bookmarkStart w:id="76" w:name="_Toc353873932"/>
      <w:r/>
      <w:bookmarkStart w:id="77" w:name="_Toc353825542"/>
      <w:r/>
      <w:bookmarkStart w:id="78" w:name="_Toc226337213"/>
      <w:r/>
      <w:bookmarkStart w:id="79" w:name="_Toc150480755"/>
      <w:r/>
      <w:bookmarkStart w:id="80" w:name="_Toc226965790"/>
      <w:r/>
      <w:bookmarkStart w:id="81" w:name="_Toc150774722"/>
      <w:r/>
      <w:bookmarkStart w:id="82" w:name="_Toc305158785"/>
      <w:r/>
      <w:bookmarkStart w:id="83" w:name="_Toc265228355"/>
      <w:r/>
      <w:bookmarkStart w:id="84" w:name="_Toc305158859"/>
      <w:r/>
      <w:bookmarkStart w:id="85" w:name="_Toc127151517"/>
      <w:r/>
      <w:bookmarkStart w:id="86" w:name="_Toc142311019"/>
      <w:r/>
      <w:bookmarkStart w:id="87" w:name="_Toc195842882"/>
      <w:r/>
      <w:bookmarkStart w:id="88" w:name="_Toc353873662"/>
      <w:r>
        <w:rPr>
          <w:b/>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1014"/>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0509269"/>
      <w:r/>
      <w:bookmarkStart w:id="92" w:name="_Toc150774723"/>
      <w:r/>
      <w:bookmarkStart w:id="93" w:name="_Toc151193760"/>
      <w:r/>
      <w:bookmarkStart w:id="94" w:name="_Toc226965791"/>
      <w:r/>
      <w:bookmarkStart w:id="95" w:name="_Toc150480756"/>
      <w:r/>
      <w:bookmarkStart w:id="96" w:name="_Toc226309762"/>
      <w:r/>
      <w:bookmarkStart w:id="97" w:name="_Toc264969208"/>
      <w:r/>
      <w:bookmarkStart w:id="98" w:name="_Toc151193906"/>
      <w:r/>
      <w:bookmarkStart w:id="99" w:name="_Toc151193832"/>
      <w:r/>
      <w:bookmarkStart w:id="100" w:name="_Toc265228356"/>
      <w:r/>
      <w:bookmarkStart w:id="101" w:name="_Toc226965708"/>
      <w:r/>
      <w:bookmarkStart w:id="102" w:name="_Toc151190145"/>
      <w:r/>
      <w:bookmarkStart w:id="103" w:name="_Toc226337214"/>
      <w:r/>
      <w:bookmarkStart w:id="104" w:name="_Toc151193688"/>
      <w:r/>
      <w:bookmarkStart w:id="105" w:name="_Toc142311020"/>
      <w:r/>
      <w:bookmarkStart w:id="106" w:name="_Toc305158860"/>
      <w:r/>
      <w:bookmarkStart w:id="107" w:name="_Toc151193616"/>
      <w:r/>
      <w:bookmarkStart w:id="108" w:name="_Toc195842883"/>
      <w:r/>
      <w:bookmarkStart w:id="109" w:name="_Toc150774618"/>
      <w:r/>
      <w:bookmarkStart w:id="110" w:name="_Toc30515878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1012"/>
        <w:numPr>
          <w:ilvl w:val="0"/>
          <w:numId w:val="8"/>
        </w:numPr>
        <w:ind w:left="357" w:hanging="357"/>
        <w:pageBreakBefore w:val="0"/>
        <w:spacing w:line="400" w:lineRule="exact"/>
        <w:widowControl w:val="off"/>
        <w:tabs>
          <w:tab w:val="left" w:pos="360" w:leader="none"/>
        </w:tabs>
        <w:rPr>
          <w:rFonts w:hint="eastAsia" w:ascii="宋体" w:hAnsi="宋体" w:eastAsia="宋体" w:cs="宋体"/>
          <w:sz w:val="24"/>
          <w:szCs w:val="24"/>
          <w:highlight w:val="none"/>
        </w:rPr>
        <w:outlineLvl w:val="1"/>
      </w:pPr>
      <w:r/>
      <w:bookmarkStart w:id="111" w:name="_Toc265228357"/>
      <w:r/>
      <w:bookmarkStart w:id="112" w:name="_Toc305158787"/>
      <w:r/>
      <w:bookmarkStart w:id="113" w:name="_Toc264969209"/>
      <w:r/>
      <w:bookmarkStart w:id="114" w:name="_Toc305158861"/>
      <w:r>
        <w:rPr>
          <w:rFonts w:hint="eastAsia" w:ascii="宋体" w:hAnsi="宋体" w:eastAsia="宋体" w:cs="宋体"/>
          <w:sz w:val="24"/>
          <w:szCs w:val="24"/>
          <w:highlight w:val="none"/>
        </w:rPr>
        <w:t xml:space="preserve">采购人、采购代理机构、供应商</w:t>
      </w:r>
      <w:bookmarkEnd w:id="111"/>
      <w:r/>
      <w:bookmarkEnd w:id="112"/>
      <w:r/>
      <w:bookmarkEnd w:id="113"/>
      <w:r/>
      <w:bookmarkEnd w:id="114"/>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供应商（也称“申请人”）：指向采购人提供货物、工程或者服务的法人、其他组织或者自然人。</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s>
        <w:rPr>
          <w:rFonts w:hint="eastAsia" w:ascii="宋体" w:hAnsi="宋体" w:eastAsia="宋体" w:cs="宋体"/>
          <w:sz w:val="24"/>
          <w:szCs w:val="24"/>
          <w:highlight w:val="none"/>
        </w:rPr>
        <w:outlineLvl w:val="1"/>
      </w:pPr>
      <w:r/>
      <w:bookmarkStart w:id="115" w:name="_Toc164608789"/>
      <w:r/>
      <w:bookmarkStart w:id="116" w:name="_Toc127151520"/>
      <w:r/>
      <w:bookmarkStart w:id="117" w:name="_Toc195842885"/>
      <w:r/>
      <w:bookmarkStart w:id="118" w:name="_Toc226965710"/>
      <w:r/>
      <w:bookmarkStart w:id="119" w:name="_Toc150480758"/>
      <w:r/>
      <w:bookmarkStart w:id="120" w:name="_Toc265228358"/>
      <w:r/>
      <w:bookmarkStart w:id="121" w:name="_Toc150509271"/>
      <w:r/>
      <w:bookmarkStart w:id="122" w:name="_Toc305158788"/>
      <w:r/>
      <w:bookmarkStart w:id="123" w:name="_Toc164229361"/>
      <w:r/>
      <w:bookmarkStart w:id="124" w:name="_Toc127161434"/>
      <w:r/>
      <w:bookmarkStart w:id="125" w:name="_Toc151193834"/>
      <w:r/>
      <w:bookmarkStart w:id="126" w:name="_Toc151190147"/>
      <w:r/>
      <w:bookmarkStart w:id="127" w:name="_Toc226337216"/>
      <w:r/>
      <w:bookmarkStart w:id="128" w:name="_Toc164229215"/>
      <w:r/>
      <w:bookmarkStart w:id="129" w:name="_Toc164608634"/>
      <w:r/>
      <w:bookmarkStart w:id="130" w:name="_Toc164351614"/>
      <w:r/>
      <w:bookmarkStart w:id="131" w:name="_Toc151193618"/>
      <w:r/>
      <w:bookmarkStart w:id="132" w:name="_Toc151193908"/>
      <w:r/>
      <w:bookmarkStart w:id="133" w:name="_Toc142311022"/>
      <w:r/>
      <w:bookmarkStart w:id="134" w:name="_Toc150774620"/>
      <w:r/>
      <w:bookmarkStart w:id="135" w:name="_Toc226965793"/>
      <w:r/>
      <w:bookmarkStart w:id="136" w:name="_Toc305158862"/>
      <w:r/>
      <w:bookmarkStart w:id="137" w:name="_Toc264969210"/>
      <w:r/>
      <w:bookmarkStart w:id="138" w:name="_Toc226309764"/>
      <w:r/>
      <w:bookmarkStart w:id="139" w:name="_Toc127151721"/>
      <w:r/>
      <w:bookmarkStart w:id="140" w:name="_Toc149720813"/>
      <w:r/>
      <w:bookmarkStart w:id="141" w:name="_Toc151193762"/>
      <w:r/>
      <w:bookmarkStart w:id="142" w:name="_Toc151193690"/>
      <w:r/>
      <w:bookmarkStart w:id="143" w:name="_Toc150774725"/>
      <w:r>
        <w:rPr>
          <w:rFonts w:hint="eastAsia" w:ascii="宋体" w:hAnsi="宋体" w:eastAsia="宋体" w:cs="宋体"/>
          <w:sz w:val="24"/>
          <w:szCs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sz w:val="24"/>
          <w:szCs w:val="24"/>
          <w:highlight w:val="none"/>
        </w:rPr>
        <w:t xml:space="preserve">、科研仪器设备采购</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资金来源为财政性资金和/或本项目采购中无法与财政性资金分割的非财政性资金。</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是否属于科研仪器设备采购见《供应商须知资料表》。</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s>
        <w:rPr>
          <w:rFonts w:hint="eastAsia" w:ascii="宋体" w:hAnsi="宋体" w:eastAsia="宋体" w:cs="宋体"/>
          <w:sz w:val="24"/>
          <w:szCs w:val="24"/>
          <w:highlight w:val="none"/>
        </w:rPr>
        <w:outlineLvl w:val="1"/>
      </w:pPr>
      <w:r/>
      <w:bookmarkStart w:id="144" w:name="_Toc226965712"/>
      <w:r/>
      <w:bookmarkStart w:id="145" w:name="_Toc150774727"/>
      <w:r/>
      <w:bookmarkStart w:id="146" w:name="_Toc151193620"/>
      <w:r/>
      <w:bookmarkStart w:id="147" w:name="_Toc265228360"/>
      <w:r/>
      <w:bookmarkStart w:id="148" w:name="_Toc226337218"/>
      <w:r/>
      <w:bookmarkStart w:id="149" w:name="_Toc127151522"/>
      <w:r/>
      <w:bookmarkStart w:id="150" w:name="_Toc226309766"/>
      <w:r/>
      <w:bookmarkStart w:id="151" w:name="_Toc226965795"/>
      <w:r/>
      <w:bookmarkStart w:id="152" w:name="_Toc151190149"/>
      <w:r/>
      <w:bookmarkStart w:id="153" w:name="_Toc195842887"/>
      <w:r/>
      <w:bookmarkStart w:id="154" w:name="_Toc150509273"/>
      <w:r/>
      <w:bookmarkStart w:id="155" w:name="_Toc142311024"/>
      <w:r/>
      <w:bookmarkStart w:id="156" w:name="_Toc264969212"/>
      <w:r/>
      <w:bookmarkStart w:id="157" w:name="_Toc305158864"/>
      <w:r/>
      <w:bookmarkStart w:id="158" w:name="_Toc151193910"/>
      <w:r/>
      <w:bookmarkStart w:id="159" w:name="_Toc151193692"/>
      <w:r/>
      <w:bookmarkStart w:id="160" w:name="_Toc520356146"/>
      <w:r/>
      <w:bookmarkStart w:id="161" w:name="_Toc305158790"/>
      <w:r/>
      <w:bookmarkStart w:id="162" w:name="_Toc150774622"/>
      <w:r/>
      <w:bookmarkStart w:id="163" w:name="_Toc150480760"/>
      <w:r/>
      <w:bookmarkStart w:id="164" w:name="_Toc151193836"/>
      <w:r/>
      <w:bookmarkStart w:id="165" w:name="_Toc151193764"/>
      <w:r>
        <w:rPr>
          <w:rFonts w:hint="eastAsia" w:ascii="宋体" w:hAnsi="宋体" w:eastAsia="宋体" w:cs="宋体"/>
          <w:sz w:val="24"/>
          <w:szCs w:val="24"/>
          <w:highlight w:val="none"/>
        </w:rPr>
        <w:t xml:space="preserve">政府采购政策（包括但不限于下列具体政策要求）</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中小企业、监狱企业及残疾人福利性单位</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中小企业定义：</w:t>
      </w:r>
      <w:r>
        <w:rPr>
          <w:rFonts w:hint="eastAsia" w:ascii="宋体" w:hAnsi="宋体" w:eastAsia="宋体" w:cs="宋体"/>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012"/>
        <w:ind w:left="2835"/>
        <w:pageBreakBefore w:val="0"/>
        <w:spacing w:line="400" w:lineRule="exact"/>
        <w:widowControl w:val="off"/>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12"/>
        <w:ind w:left="2835"/>
        <w:pageBreakBefore w:val="0"/>
        <w:spacing w:line="400" w:lineRule="exact"/>
        <w:widowControl w:val="off"/>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12"/>
        <w:ind w:left="2835"/>
        <w:pageBreakBefore w:val="0"/>
        <w:spacing w:line="400" w:lineRule="exact"/>
        <w:widowControl w:val="off"/>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残疾人福利单位定义：享受政府采购支持政策的残疾人福利性单位应当同时满足以下条件：</w:t>
      </w:r>
      <w:r>
        <w:rPr>
          <w:rFonts w:hint="eastAsia" w:ascii="宋体" w:hAnsi="宋体" w:eastAsia="宋体" w:cs="宋体"/>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1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本项目是否专门面向中小企业预留采购份额见第一章《采购邀请》。</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采购标的对应的中小企业划分标准所属行业见《供应商须知资料表》。</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小微企业价格评审优惠的政策调整：见第三章《评审程序和评定成交的标准》。</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政府采购节能产品、环境标志产品</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rFonts w:hint="eastAsia" w:ascii="宋体" w:hAnsi="宋体" w:eastAsia="宋体" w:cs="宋体"/>
          <w:sz w:val="24"/>
          <w:szCs w:val="24"/>
          <w:highlight w:val="none"/>
        </w:rPr>
        <w:t xml:space="preserve">，否则</w:t>
      </w:r>
      <w:r>
        <w:rPr>
          <w:rFonts w:hint="eastAsia" w:ascii="宋体" w:hAnsi="宋体" w:eastAsia="宋体" w:cs="宋体"/>
          <w:b/>
          <w:bCs/>
          <w:sz w:val="24"/>
          <w:szCs w:val="24"/>
          <w:highlight w:val="none"/>
        </w:rPr>
        <w:t xml:space="preserve">响应无效</w:t>
      </w:r>
      <w:bookmarkEnd w:id="166"/>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支持乡村产业振兴管理</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正版软件</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4"/>
          <w:szCs w:val="24"/>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政府采购创新产品政策</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绿色采购政策</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绿色数据中心政策 </w:t>
      </w:r>
      <w:r>
        <w:rPr>
          <w:rFonts w:hint="eastAsia" w:ascii="宋体" w:hAnsi="宋体" w:eastAsia="宋体" w:cs="宋体"/>
          <w:sz w:val="24"/>
          <w:szCs w:val="24"/>
          <w:highlight w:val="none"/>
        </w:rPr>
      </w:r>
      <w:r/>
    </w:p>
    <w:p>
      <w:pPr>
        <w:pStyle w:val="1012"/>
        <w:numPr>
          <w:ilvl w:val="0"/>
          <w:numId w:val="0"/>
        </w:numPr>
        <w:ind w:left="1080" w:firstLine="480"/>
        <w:pageBreakBefore w:val="0"/>
        <w:spacing w:line="400" w:lineRule="exact"/>
        <w:widowControl w:val="off"/>
        <w:tabs>
          <w:tab w:val="left" w:pos="2014"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依据《绿色数据中心</w:t>
      </w:r>
      <w:r>
        <w:rPr>
          <w:rFonts w:hint="eastAsia" w:ascii="宋体" w:hAnsi="宋体" w:eastAsia="宋体" w:cs="宋体"/>
          <w:sz w:val="24"/>
          <w:szCs w:val="24"/>
          <w:highlight w:val="none"/>
        </w:rPr>
        <w:t xml:space="preserve">政府</w:t>
      </w:r>
      <w:r>
        <w:rPr>
          <w:rFonts w:hint="eastAsia" w:ascii="宋体" w:hAnsi="宋体" w:eastAsia="宋体" w:cs="宋体"/>
          <w:sz w:val="24"/>
          <w:szCs w:val="24"/>
          <w:highlight w:val="none"/>
        </w:rPr>
        <w:t xml:space="preserve">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w:t>
      </w:r>
      <w:r>
        <w:rPr>
          <w:rFonts w:hint="eastAsia" w:ascii="宋体" w:hAnsi="宋体" w:eastAsia="宋体" w:cs="宋体"/>
          <w:color w:val="000000"/>
          <w:sz w:val="24"/>
          <w:szCs w:val="24"/>
          <w:highlight w:val="none"/>
        </w:rPr>
        <w:t xml:space="preserve">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推广应用绿色建材</w:t>
      </w:r>
      <w:r>
        <w:rPr>
          <w:rFonts w:hint="eastAsia" w:ascii="宋体" w:hAnsi="宋体" w:eastAsia="宋体" w:cs="宋体"/>
          <w:sz w:val="24"/>
          <w:szCs w:val="24"/>
          <w:highlight w:val="none"/>
        </w:rPr>
      </w:r>
      <w:r/>
    </w:p>
    <w:p>
      <w:pPr>
        <w:pStyle w:val="1012"/>
        <w:numPr>
          <w:ilvl w:val="0"/>
          <w:numId w:val="0"/>
        </w:numPr>
        <w:ind w:left="1080" w:firstLine="480"/>
        <w:pageBreakBefore w:val="0"/>
        <w:spacing w:line="400" w:lineRule="exact"/>
        <w:widowControl w:val="off"/>
        <w:tabs>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1012"/>
        <w:numPr>
          <w:ilvl w:val="2"/>
          <w:numId w:val="8"/>
        </w:numPr>
        <w:pageBreakBefore w:val="0"/>
        <w:spacing w:line="400" w:lineRule="exact"/>
        <w:widowControl w:val="off"/>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优先使用低挥发性有机化合物产品</w:t>
      </w:r>
      <w:r>
        <w:rPr>
          <w:rFonts w:hint="eastAsia" w:ascii="宋体" w:hAnsi="宋体" w:eastAsia="宋体" w:cs="宋体"/>
          <w:sz w:val="24"/>
          <w:szCs w:val="24"/>
          <w:highlight w:val="none"/>
        </w:rPr>
      </w:r>
      <w:r/>
    </w:p>
    <w:p>
      <w:pPr>
        <w:pStyle w:val="1012"/>
        <w:numPr>
          <w:ilvl w:val="0"/>
          <w:numId w:val="0"/>
        </w:numPr>
        <w:ind w:left="1080" w:firstLine="480"/>
        <w:pageBreakBefore w:val="0"/>
        <w:spacing w:line="400" w:lineRule="exact"/>
        <w:widowControl w:val="off"/>
        <w:tabs>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响应费用</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供应商应自行承担所有与准备和参加竞争性谈判响应有关的费用，无论响应的结果如何，采购人或采购代理机构在任何情况下均无承担这些费用的义务和责任。</w:t>
      </w:r>
      <w:r>
        <w:rPr>
          <w:rFonts w:hint="eastAsia" w:ascii="宋体" w:hAnsi="宋体" w:eastAsia="宋体" w:cs="宋体"/>
          <w:sz w:val="24"/>
          <w:szCs w:val="24"/>
          <w:highlight w:val="none"/>
        </w:rPr>
      </w:r>
      <w:r/>
    </w:p>
    <w:p>
      <w:pPr>
        <w:pStyle w:val="1012"/>
        <w:ind w:left="1080"/>
        <w:pageBreakBefore w:val="0"/>
        <w:spacing w:line="400" w:lineRule="exact"/>
        <w:widowControl w:val="off"/>
        <w:tabs>
          <w:tab w:val="left" w:pos="1080" w:leader="none"/>
        </w:tabs>
        <w:rPr>
          <w:rFonts w:hint="eastAsia" w:ascii="宋体" w:hAnsi="宋体" w:eastAsia="宋体" w:cs="宋体"/>
          <w:sz w:val="24"/>
          <w:szCs w:val="24"/>
          <w:highlight w:val="none"/>
        </w:rPr>
      </w:pPr>
      <w:r/>
      <w:bookmarkStart w:id="167" w:name="_1.8_计量单位"/>
      <w:r/>
      <w:bookmarkEnd w:id="167"/>
      <w:r>
        <w:rPr>
          <w:rFonts w:hint="eastAsia" w:ascii="宋体" w:hAnsi="宋体" w:eastAsia="宋体" w:cs="宋体"/>
          <w:sz w:val="24"/>
          <w:szCs w:val="24"/>
          <w:highlight w:val="none"/>
        </w:rPr>
      </w:r>
      <w:r/>
    </w:p>
    <w:p>
      <w:pPr>
        <w:pStyle w:val="1014"/>
        <w:pageBreakBefore w:val="0"/>
        <w:spacing w:before="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4"/>
          <w:szCs w:val="24"/>
          <w:highlight w:val="none"/>
        </w:rPr>
        <w:t xml:space="preserve">谈判文件</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168" w:name="_Toc127151724"/>
      <w:r/>
      <w:bookmarkStart w:id="169" w:name="_Toc151193765"/>
      <w:r/>
      <w:bookmarkStart w:id="170" w:name="_Toc305158865"/>
      <w:r/>
      <w:bookmarkStart w:id="171" w:name="_Toc226965796"/>
      <w:r/>
      <w:bookmarkStart w:id="172" w:name="_Toc520356147"/>
      <w:r/>
      <w:bookmarkStart w:id="173" w:name="_Toc226309767"/>
      <w:r/>
      <w:bookmarkStart w:id="174" w:name="_Toc142311025"/>
      <w:r/>
      <w:bookmarkStart w:id="175" w:name="_Toc164229364"/>
      <w:r/>
      <w:bookmarkStart w:id="176" w:name="_Toc150509274"/>
      <w:r/>
      <w:bookmarkStart w:id="177" w:name="_Toc151190150"/>
      <w:r/>
      <w:bookmarkStart w:id="178" w:name="_Toc164608792"/>
      <w:r/>
      <w:bookmarkStart w:id="179" w:name="_Toc151193621"/>
      <w:r/>
      <w:bookmarkStart w:id="180" w:name="_Toc164229218"/>
      <w:r/>
      <w:bookmarkStart w:id="181" w:name="_Toc150774623"/>
      <w:r/>
      <w:bookmarkStart w:id="182" w:name="_Toc127161437"/>
      <w:r/>
      <w:bookmarkStart w:id="183" w:name="_Toc151193693"/>
      <w:r/>
      <w:bookmarkStart w:id="184" w:name="_Toc127151523"/>
      <w:r/>
      <w:bookmarkStart w:id="185" w:name="_Toc264969213"/>
      <w:r/>
      <w:bookmarkStart w:id="186" w:name="_Toc195842888"/>
      <w:r/>
      <w:bookmarkStart w:id="187" w:name="_Toc151193911"/>
      <w:r/>
      <w:bookmarkStart w:id="188" w:name="_Toc164351617"/>
      <w:r/>
      <w:bookmarkStart w:id="189" w:name="_Toc265228361"/>
      <w:r/>
      <w:bookmarkStart w:id="190" w:name="_Toc305158791"/>
      <w:r/>
      <w:bookmarkStart w:id="191" w:name="_Toc150774728"/>
      <w:r/>
      <w:bookmarkStart w:id="192" w:name="_Toc150480761"/>
      <w:r/>
      <w:bookmarkStart w:id="193" w:name="_Toc226337219"/>
      <w:r/>
      <w:bookmarkStart w:id="194" w:name="_Toc151193837"/>
      <w:r/>
      <w:bookmarkStart w:id="195" w:name="_Toc226965713"/>
      <w:r/>
      <w:bookmarkStart w:id="196" w:name="_Toc164608637"/>
      <w:r/>
      <w:bookmarkStart w:id="197" w:name="_Toc149720816"/>
      <w:r>
        <w:rPr>
          <w:rFonts w:hint="eastAsia" w:ascii="宋体" w:hAnsi="宋体" w:eastAsia="宋体" w:cs="宋体"/>
          <w:sz w:val="24"/>
          <w:szCs w:val="24"/>
          <w:highlight w:val="none"/>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cs="宋体"/>
          <w:sz w:val="24"/>
          <w:szCs w:val="24"/>
          <w:highlight w:val="none"/>
        </w:rPr>
        <w:t xml:space="preserve">成</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谈判文件包括以下部分：</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谈判邀请</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供应商须知</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评审程序和评定成交的标准</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合同草案条款</w:t>
      </w:r>
      <w:r>
        <w:rPr>
          <w:rFonts w:hint="eastAsia" w:ascii="宋体" w:hAnsi="宋体" w:eastAsia="宋体" w:cs="宋体"/>
          <w:sz w:val="24"/>
          <w:szCs w:val="24"/>
          <w:highlight w:val="none"/>
        </w:rPr>
      </w:r>
      <w:r/>
    </w:p>
    <w:p>
      <w:pPr>
        <w:pStyle w:val="101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响应文件格式</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供应商应认真阅读谈判文件的全部内容。供应商应按照谈判文件要求提交响应文件并保证所提供的全部资料的真实性，并对谈判文件做出实质性响应，否则</w:t>
      </w:r>
      <w:r>
        <w:rPr>
          <w:rFonts w:hint="eastAsia" w:ascii="宋体" w:hAnsi="宋体" w:eastAsia="宋体" w:cs="宋体"/>
          <w:b/>
          <w:bCs/>
          <w:sz w:val="24"/>
          <w:szCs w:val="24"/>
          <w:highlight w:val="none"/>
        </w:rPr>
        <w:t xml:space="preserve">响应无效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900" w:leader="none"/>
          <w:tab w:val="left" w:pos="1080" w:leader="none"/>
          <w:tab w:val="left" w:pos="2014"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对谈判文件的澄清或修改</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采购人或采购代理机构对已发出的谈判文件进行必要澄清或者修改的，将在原公告发布媒体上以发布更正公告的形式通知所有获取谈判文件的供应商。</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澄清或者修改的内容为谈判文件的组成部分，并对所有获取谈判文件的潜在供应商具有约束力。澄清或者修改的内容可能影响响应文件编制的，将在</w:t>
      </w:r>
      <w:r>
        <w:rPr>
          <w:rFonts w:hint="eastAsia" w:ascii="宋体" w:hAnsi="宋体" w:eastAsia="宋体" w:cs="宋体"/>
          <w:color w:val="000000"/>
          <w:sz w:val="24"/>
          <w:szCs w:val="24"/>
          <w:highlight w:val="none"/>
        </w:rPr>
        <w:t xml:space="preserve">提交首次响应文件截止之日3个工作日</w:t>
      </w:r>
      <w:r>
        <w:rPr>
          <w:rFonts w:hint="eastAsia" w:ascii="宋体" w:hAnsi="宋体" w:eastAsia="宋体" w:cs="宋体"/>
          <w:sz w:val="24"/>
          <w:szCs w:val="24"/>
          <w:highlight w:val="none"/>
        </w:rPr>
        <w:t xml:space="preserve">前，以更正公告形式通知所有获取谈判文件的潜在供应商；不足</w:t>
      </w:r>
      <w:r>
        <w:rPr>
          <w:rFonts w:hint="eastAsia" w:ascii="宋体" w:hAnsi="宋体" w:eastAsia="宋体" w:cs="宋体"/>
          <w:color w:val="000000"/>
          <w:sz w:val="24"/>
          <w:szCs w:val="24"/>
          <w:highlight w:val="none"/>
        </w:rPr>
        <w:t xml:space="preserve">3个工作日</w:t>
      </w:r>
      <w:r>
        <w:rPr>
          <w:rFonts w:hint="eastAsia" w:ascii="宋体" w:hAnsi="宋体" w:eastAsia="宋体" w:cs="宋体"/>
          <w:sz w:val="24"/>
          <w:szCs w:val="24"/>
          <w:highlight w:val="none"/>
        </w:rPr>
        <w:t xml:space="preserve">的，将顺延</w:t>
      </w:r>
      <w:r>
        <w:rPr>
          <w:rFonts w:hint="eastAsia" w:ascii="宋体" w:hAnsi="宋体" w:eastAsia="宋体" w:cs="宋体"/>
          <w:color w:val="000000"/>
          <w:sz w:val="24"/>
          <w:szCs w:val="24"/>
          <w:highlight w:val="none"/>
        </w:rPr>
        <w:t xml:space="preserve">提交首次响应文件截止之日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ind w:left="1080"/>
        <w:pageBreakBefore w:val="0"/>
        <w:spacing w:line="400" w:lineRule="exact"/>
        <w:widowControl w:val="off"/>
        <w:tabs>
          <w:tab w:val="left" w:pos="900" w:leader="none"/>
          <w:tab w:val="left" w:pos="1080" w:leader="none"/>
          <w:tab w:val="left" w:pos="1561" w:leader="none"/>
          <w:tab w:val="left" w:pos="158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4"/>
        <w:pageBreakBefore w:val="0"/>
        <w:spacing w:before="0" w:line="400" w:lineRule="exact"/>
        <w:widowControl w:val="off"/>
        <w:rPr>
          <w:rFonts w:hint="eastAsia" w:ascii="宋体" w:hAnsi="宋体" w:eastAsia="宋体" w:cs="宋体"/>
          <w:sz w:val="24"/>
          <w:szCs w:val="24"/>
          <w:highlight w:val="none"/>
        </w:rPr>
      </w:pPr>
      <w:r/>
      <w:bookmarkStart w:id="198" w:name="_Toc226337222"/>
      <w:r/>
      <w:bookmarkStart w:id="199" w:name="_Toc151193624"/>
      <w:r/>
      <w:bookmarkStart w:id="200" w:name="_Toc226965716"/>
      <w:r/>
      <w:bookmarkStart w:id="201" w:name="_Toc226965799"/>
      <w:r/>
      <w:bookmarkStart w:id="202" w:name="_Toc150774626"/>
      <w:r/>
      <w:bookmarkStart w:id="203" w:name="_Toc265228364"/>
      <w:r/>
      <w:bookmarkStart w:id="204" w:name="_Toc516367020"/>
      <w:r/>
      <w:bookmarkStart w:id="205" w:name="_Toc142311028"/>
      <w:r/>
      <w:bookmarkStart w:id="206" w:name="_Toc305158868"/>
      <w:r/>
      <w:bookmarkStart w:id="207" w:name="_Toc226309770"/>
      <w:r/>
      <w:bookmarkStart w:id="208" w:name="_Toc151193914"/>
      <w:r/>
      <w:bookmarkStart w:id="209" w:name="_Toc150509277"/>
      <w:r/>
      <w:bookmarkStart w:id="210" w:name="_Toc195842891"/>
      <w:r/>
      <w:bookmarkStart w:id="211" w:name="_Toc520356150"/>
      <w:r/>
      <w:bookmarkStart w:id="212" w:name="_Toc264969216"/>
      <w:r/>
      <w:bookmarkStart w:id="213" w:name="_Toc150774731"/>
      <w:r/>
      <w:bookmarkStart w:id="214" w:name="_Toc150480764"/>
      <w:r/>
      <w:bookmarkStart w:id="215" w:name="_Toc151193840"/>
      <w:r/>
      <w:bookmarkStart w:id="216" w:name="_Toc127151526"/>
      <w:r/>
      <w:bookmarkStart w:id="217" w:name="_Toc151193696"/>
      <w:r/>
      <w:bookmarkStart w:id="218" w:name="_Toc151190153"/>
      <w:r/>
      <w:bookmarkStart w:id="219" w:name="_Toc305158794"/>
      <w:r/>
      <w:bookmarkStart w:id="220" w:name="_Toc151193768"/>
      <w:r>
        <w:rPr>
          <w:rFonts w:hint="eastAsia" w:ascii="宋体" w:hAnsi="宋体" w:eastAsia="宋体" w:cs="宋体"/>
          <w:sz w:val="24"/>
          <w:szCs w:val="24"/>
          <w:highlight w:val="none"/>
        </w:rPr>
        <w:t xml:space="preserve">三   响应文件</w:t>
      </w:r>
      <w:bookmarkEnd w:id="204"/>
      <w:r>
        <w:rPr>
          <w:rFonts w:hint="eastAsia" w:ascii="宋体" w:hAnsi="宋体" w:eastAsia="宋体" w:cs="宋体"/>
          <w:sz w:val="24"/>
          <w:szCs w:val="24"/>
          <w:highlight w:val="none"/>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221" w:name="_Toc226309771"/>
      <w:r/>
      <w:bookmarkStart w:id="222" w:name="_Toc150509278"/>
      <w:r/>
      <w:bookmarkStart w:id="223" w:name="_Toc164229222"/>
      <w:r/>
      <w:bookmarkStart w:id="224" w:name="_Toc151193625"/>
      <w:r/>
      <w:bookmarkStart w:id="225" w:name="_Toc226965717"/>
      <w:r/>
      <w:bookmarkStart w:id="226" w:name="_Toc127151527"/>
      <w:r/>
      <w:bookmarkStart w:id="227" w:name="_Toc264969217"/>
      <w:r/>
      <w:bookmarkStart w:id="228" w:name="_Toc151193697"/>
      <w:r/>
      <w:bookmarkStart w:id="229" w:name="_Toc305158795"/>
      <w:r/>
      <w:bookmarkStart w:id="230" w:name="_Toc164229368"/>
      <w:r/>
      <w:bookmarkStart w:id="231" w:name="_Toc142311029"/>
      <w:r/>
      <w:bookmarkStart w:id="232" w:name="_Toc150480765"/>
      <w:r/>
      <w:bookmarkStart w:id="233" w:name="_Toc127161441"/>
      <w:r/>
      <w:bookmarkStart w:id="234" w:name="_Toc127151728"/>
      <w:r/>
      <w:bookmarkStart w:id="235" w:name="_Toc164608641"/>
      <w:r/>
      <w:bookmarkStart w:id="236" w:name="_Toc151193915"/>
      <w:r/>
      <w:bookmarkStart w:id="237" w:name="_Toc226337223"/>
      <w:r/>
      <w:bookmarkStart w:id="238" w:name="_Toc164351621"/>
      <w:r/>
      <w:bookmarkStart w:id="239" w:name="_Toc305158869"/>
      <w:r/>
      <w:bookmarkStart w:id="240" w:name="_Toc151193841"/>
      <w:r/>
      <w:bookmarkStart w:id="241" w:name="_Toc226965800"/>
      <w:r/>
      <w:bookmarkStart w:id="242" w:name="_Toc520356151"/>
      <w:r/>
      <w:bookmarkStart w:id="243" w:name="_Toc151190154"/>
      <w:r/>
      <w:bookmarkStart w:id="244" w:name="_Toc195842892"/>
      <w:r/>
      <w:bookmarkStart w:id="245" w:name="_Toc151193769"/>
      <w:r/>
      <w:bookmarkStart w:id="246" w:name="_Toc516367021"/>
      <w:r/>
      <w:bookmarkStart w:id="247" w:name="_Toc265228365"/>
      <w:r/>
      <w:bookmarkStart w:id="248" w:name="_Toc149720820"/>
      <w:r/>
      <w:bookmarkStart w:id="249" w:name="_Toc164608796"/>
      <w:r/>
      <w:bookmarkStart w:id="250" w:name="_Toc150774732"/>
      <w:r/>
      <w:bookmarkStart w:id="251" w:name="_Toc150774627"/>
      <w:r>
        <w:rPr>
          <w:rFonts w:hint="eastAsia" w:ascii="宋体" w:hAnsi="宋体" w:eastAsia="宋体" w:cs="宋体"/>
          <w:sz w:val="24"/>
          <w:szCs w:val="24"/>
          <w:highlight w:val="none"/>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eastAsia="宋体" w:cs="宋体"/>
          <w:sz w:val="24"/>
          <w:szCs w:val="24"/>
          <w:highlight w:val="none"/>
        </w:rPr>
        <w:t xml:space="preserve">及响应语言</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hint="eastAsia" w:ascii="宋体" w:hAnsi="宋体" w:eastAsia="宋体" w:cs="宋体"/>
          <w:b/>
          <w:bCs/>
          <w:sz w:val="24"/>
          <w:szCs w:val="24"/>
          <w:highlight w:val="none"/>
        </w:rPr>
        <w:t xml:space="preserve">无效响应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除谈判文件有特殊要求外，本项目响应所使用的计量单位，应采用中华人民共和国法定计量单位。</w:t>
      </w:r>
      <w:r>
        <w:rPr>
          <w:rFonts w:hint="eastAsia" w:ascii="宋体" w:hAnsi="宋体" w:eastAsia="宋体" w:cs="宋体"/>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252" w:name="_Toc226965718"/>
      <w:r/>
      <w:bookmarkStart w:id="253" w:name="_Toc150480766"/>
      <w:r/>
      <w:bookmarkStart w:id="254" w:name="_Toc149720821"/>
      <w:r/>
      <w:bookmarkStart w:id="255" w:name="_Toc127151729"/>
      <w:r/>
      <w:bookmarkStart w:id="256" w:name="_Toc164351622"/>
      <w:r/>
      <w:bookmarkStart w:id="257" w:name="_Toc305158870"/>
      <w:r/>
      <w:bookmarkStart w:id="258" w:name="_Toc127151528"/>
      <w:r/>
      <w:bookmarkStart w:id="259" w:name="_Toc164608642"/>
      <w:r/>
      <w:bookmarkStart w:id="260" w:name="_Toc520356152"/>
      <w:r/>
      <w:bookmarkStart w:id="261" w:name="_Toc151193916"/>
      <w:r/>
      <w:bookmarkStart w:id="262" w:name="_Toc151193842"/>
      <w:r/>
      <w:bookmarkStart w:id="263" w:name="_Toc164229223"/>
      <w:r/>
      <w:bookmarkStart w:id="264" w:name="_Toc151193770"/>
      <w:r/>
      <w:bookmarkStart w:id="265" w:name="_Toc264969218"/>
      <w:r/>
      <w:bookmarkStart w:id="266" w:name="_Toc142311030"/>
      <w:r/>
      <w:bookmarkStart w:id="267" w:name="_Toc226965801"/>
      <w:r/>
      <w:bookmarkStart w:id="268" w:name="_Toc151190155"/>
      <w:r/>
      <w:bookmarkStart w:id="269" w:name="_Toc151193698"/>
      <w:r/>
      <w:bookmarkStart w:id="270" w:name="_Toc265228366"/>
      <w:r/>
      <w:bookmarkStart w:id="271" w:name="_Toc127161442"/>
      <w:r/>
      <w:bookmarkStart w:id="272" w:name="_Toc164229369"/>
      <w:r/>
      <w:bookmarkStart w:id="273" w:name="_Toc226337224"/>
      <w:r/>
      <w:bookmarkStart w:id="274" w:name="_Toc226309772"/>
      <w:r/>
      <w:bookmarkStart w:id="275" w:name="_Toc151193626"/>
      <w:r/>
      <w:bookmarkStart w:id="276" w:name="_Toc305158796"/>
      <w:r/>
      <w:bookmarkStart w:id="277" w:name="_Toc150774733"/>
      <w:r/>
      <w:bookmarkStart w:id="278" w:name="_Toc195842893"/>
      <w:r/>
      <w:bookmarkStart w:id="279" w:name="_Toc150774628"/>
      <w:r/>
      <w:bookmarkStart w:id="280" w:name="_Toc150509279"/>
      <w:r/>
      <w:bookmarkStart w:id="281" w:name="_Toc164608797"/>
      <w:r>
        <w:rPr>
          <w:rFonts w:hint="eastAsia" w:ascii="宋体" w:hAnsi="宋体" w:eastAsia="宋体" w:cs="宋体"/>
          <w:sz w:val="24"/>
          <w:szCs w:val="24"/>
          <w:highlight w:val="none"/>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bookmarkStart w:id="282" w:name="_Ref467052588"/>
      <w:r>
        <w:rPr>
          <w:rFonts w:hint="eastAsia" w:ascii="宋体" w:hAnsi="宋体" w:eastAsia="宋体" w:cs="宋体"/>
          <w:sz w:val="24"/>
          <w:szCs w:val="24"/>
          <w:highlight w:val="none"/>
        </w:rPr>
        <w:t xml:space="preserve">供应商应当按照谈判文件的要求编制响应文件。响应文件的部分格式要求，见第六章《响应文件格式》。</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对于谈判文件中标记了“实质性格式”文件的，</w:t>
      </w:r>
      <w:r>
        <w:rPr>
          <w:rFonts w:hint="eastAsia" w:ascii="宋体" w:hAnsi="宋体" w:eastAsia="宋体" w:cs="宋体"/>
          <w:sz w:val="24"/>
          <w:szCs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Cs/>
          <w:sz w:val="24"/>
          <w:szCs w:val="24"/>
          <w:highlight w:val="none"/>
        </w:rPr>
        <w:t xml:space="preserve">否则</w:t>
      </w:r>
      <w:r>
        <w:rPr>
          <w:rFonts w:hint="eastAsia" w:ascii="宋体" w:hAnsi="宋体" w:eastAsia="宋体" w:cs="宋体"/>
          <w:b/>
          <w:sz w:val="24"/>
          <w:szCs w:val="24"/>
          <w:highlight w:val="none"/>
        </w:rPr>
        <w:t xml:space="preserve">响应无效</w:t>
      </w:r>
      <w:r>
        <w:rPr>
          <w:rFonts w:hint="eastAsia" w:ascii="宋体" w:hAnsi="宋体" w:eastAsia="宋体" w:cs="宋体"/>
          <w:sz w:val="24"/>
          <w:szCs w:val="24"/>
          <w:highlight w:val="none"/>
        </w:rPr>
        <w:t xml:space="preserve">。未标记“实质性格式”的文件和谈判文件未提供格式的内容，可由供应商自行编写。</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第三章《评审程序和评定成交的标准》中涉及的证明文件。</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供应商认为应附的其他材料。</w:t>
      </w:r>
      <w:bookmarkEnd w:id="282"/>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所有响应均以人民币报价。</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按照谈判文件要求完成本项目的全部相关工程或服务费用。 </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采购人不得向供应商索要或者接受其给予的赠品、回扣或者与采购无关的其他商品、服务。</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供应商不能提供任何有选择性或可调整的最终报价（谈判文件另有规定的除外），否则其</w:t>
      </w:r>
      <w:r>
        <w:rPr>
          <w:rFonts w:hint="eastAsia" w:ascii="宋体" w:hAnsi="宋体" w:eastAsia="宋体" w:cs="宋体"/>
          <w:b/>
          <w:bCs/>
          <w:sz w:val="24"/>
          <w:szCs w:val="24"/>
          <w:highlight w:val="none"/>
        </w:rPr>
        <w:t xml:space="preserve">响应无效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1012"/>
        <w:ind w:firstLine="360"/>
        <w:pageBreakBefore w:val="0"/>
        <w:spacing w:line="400" w:lineRule="exact"/>
        <w:widowControl w:val="off"/>
        <w:tabs>
          <w:tab w:val="left" w:pos="36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根据江苏省和常州市的相关文件规定，免收保证金。</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响应有效期</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响应文件应在本谈判文件《供应商须知资料表》中规定的响应有效期内保持有效，响应有效期少于谈判文件规定期限的，其</w:t>
      </w:r>
      <w:r>
        <w:rPr>
          <w:rFonts w:hint="eastAsia" w:ascii="宋体" w:hAnsi="宋体" w:eastAsia="宋体" w:cs="宋体"/>
          <w:b/>
          <w:sz w:val="24"/>
          <w:szCs w:val="24"/>
          <w:highlight w:val="none"/>
        </w:rPr>
        <w:t xml:space="preserve">响应无效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283" w:name="_Toc305158875"/>
      <w:r/>
      <w:bookmarkStart w:id="284" w:name="_Toc164608647"/>
      <w:r/>
      <w:bookmarkStart w:id="285" w:name="_Toc127161447"/>
      <w:r/>
      <w:bookmarkStart w:id="286" w:name="_Toc127151533"/>
      <w:r/>
      <w:bookmarkStart w:id="287" w:name="_Toc520356158"/>
      <w:r/>
      <w:bookmarkStart w:id="288" w:name="_Toc151190160"/>
      <w:r/>
      <w:bookmarkStart w:id="289" w:name="_Toc150480771"/>
      <w:r/>
      <w:bookmarkStart w:id="290" w:name="_Toc149720826"/>
      <w:r/>
      <w:bookmarkStart w:id="291" w:name="_Toc226309777"/>
      <w:r/>
      <w:bookmarkStart w:id="292" w:name="_Toc226965723"/>
      <w:r/>
      <w:bookmarkStart w:id="293" w:name="_Toc150509284"/>
      <w:r/>
      <w:bookmarkStart w:id="294" w:name="_Toc150774633"/>
      <w:r/>
      <w:bookmarkStart w:id="295" w:name="_Toc226337229"/>
      <w:r/>
      <w:bookmarkStart w:id="296" w:name="_Toc265228371"/>
      <w:r/>
      <w:bookmarkStart w:id="297" w:name="_Toc151193921"/>
      <w:r/>
      <w:bookmarkStart w:id="298" w:name="_Toc264969223"/>
      <w:r/>
      <w:bookmarkStart w:id="299" w:name="_Toc151193703"/>
      <w:r/>
      <w:bookmarkStart w:id="300" w:name="_Toc226965806"/>
      <w:r/>
      <w:bookmarkStart w:id="301" w:name="_Toc164229374"/>
      <w:r/>
      <w:bookmarkStart w:id="302" w:name="_Toc151193631"/>
      <w:r/>
      <w:bookmarkStart w:id="303" w:name="_Toc127151734"/>
      <w:r/>
      <w:bookmarkStart w:id="304" w:name="_Toc164229228"/>
      <w:r/>
      <w:bookmarkStart w:id="305" w:name="_Toc164351627"/>
      <w:r/>
      <w:bookmarkStart w:id="306" w:name="_Toc151193847"/>
      <w:r/>
      <w:bookmarkStart w:id="307" w:name="_Toc305158801"/>
      <w:r/>
      <w:bookmarkStart w:id="308" w:name="_Toc142311035"/>
      <w:r/>
      <w:bookmarkStart w:id="309" w:name="_Toc150774738"/>
      <w:r/>
      <w:bookmarkStart w:id="310" w:name="_Toc151193775"/>
      <w:r/>
      <w:bookmarkStart w:id="311" w:name="_Toc195842898"/>
      <w:r/>
      <w:bookmarkStart w:id="312" w:name="_Toc164608802"/>
      <w:r>
        <w:rPr>
          <w:rFonts w:hint="eastAsia" w:ascii="宋体" w:hAnsi="宋体" w:eastAsia="宋体" w:cs="宋体"/>
          <w:sz w:val="24"/>
          <w:szCs w:val="24"/>
          <w:highlight w:val="none"/>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bookmarkStart w:id="313" w:name="_Toc142311036"/>
      <w:r/>
      <w:bookmarkStart w:id="314" w:name="_Toc151193704"/>
      <w:r/>
      <w:bookmarkStart w:id="315" w:name="_Toc195842899"/>
      <w:r/>
      <w:bookmarkStart w:id="316" w:name="_Toc151193922"/>
      <w:r/>
      <w:bookmarkStart w:id="317" w:name="_Toc127151534"/>
      <w:r/>
      <w:bookmarkStart w:id="318" w:name="_Toc520356159"/>
      <w:r/>
      <w:bookmarkStart w:id="319" w:name="_Toc264969224"/>
      <w:r/>
      <w:bookmarkStart w:id="320" w:name="_Toc226309778"/>
      <w:r/>
      <w:bookmarkStart w:id="321" w:name="_Toc151193848"/>
      <w:r/>
      <w:bookmarkStart w:id="322" w:name="_Toc305158802"/>
      <w:r/>
      <w:bookmarkStart w:id="323" w:name="_Toc265228372"/>
      <w:r/>
      <w:bookmarkStart w:id="324" w:name="_Toc305158876"/>
      <w:r/>
      <w:bookmarkStart w:id="325" w:name="_Toc226337230"/>
      <w:r/>
      <w:bookmarkStart w:id="326" w:name="_Toc150480772"/>
      <w:r/>
      <w:bookmarkStart w:id="327" w:name="_Toc150774634"/>
      <w:r/>
      <w:bookmarkStart w:id="328" w:name="_Toc150774739"/>
      <w:r/>
      <w:bookmarkStart w:id="329" w:name="_Toc151190161"/>
      <w:r/>
      <w:bookmarkStart w:id="330" w:name="_Toc151193776"/>
      <w:r/>
      <w:bookmarkStart w:id="331" w:name="_Toc151193632"/>
      <w:r/>
      <w:bookmarkStart w:id="332" w:name="_Toc226965807"/>
      <w:r/>
      <w:bookmarkStart w:id="333" w:name="_Toc226965724"/>
      <w:r/>
      <w:bookmarkStart w:id="334" w:name="_Toc150509285"/>
      <w:r>
        <w:rPr>
          <w:rFonts w:hint="eastAsia" w:ascii="宋体" w:hAnsi="宋体" w:eastAsia="宋体" w:cs="宋体"/>
          <w:sz w:val="24"/>
          <w:szCs w:val="24"/>
          <w:highlight w:val="none"/>
        </w:rPr>
        <w:t xml:space="preserve">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谈判文件要求盖章的内容，一般通过响应文件编制工具加盖电子签章。</w:t>
      </w:r>
      <w:r>
        <w:rPr>
          <w:rFonts w:hint="eastAsia" w:ascii="宋体" w:hAnsi="宋体" w:eastAsia="宋体" w:cs="宋体"/>
          <w:sz w:val="24"/>
          <w:szCs w:val="24"/>
          <w:highlight w:val="none"/>
        </w:rPr>
      </w:r>
      <w:r/>
    </w:p>
    <w:p>
      <w:pPr>
        <w:pStyle w:val="1012"/>
        <w:ind w:left="357"/>
        <w:pageBreakBefore w:val="0"/>
        <w:spacing w:line="400" w:lineRule="exact"/>
        <w:widowControl w:val="off"/>
        <w:tabs>
          <w:tab w:val="left" w:pos="90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4"/>
        <w:pageBreakBefore w:val="0"/>
        <w:spacing w:before="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335" w:name="_Toc150509286"/>
      <w:r/>
      <w:bookmarkStart w:id="336" w:name="_Toc127151535"/>
      <w:r/>
      <w:bookmarkStart w:id="337" w:name="_Toc142311037"/>
      <w:r/>
      <w:bookmarkStart w:id="338" w:name="_Toc127151736"/>
      <w:r/>
      <w:bookmarkStart w:id="339" w:name="_Toc164608649"/>
      <w:r/>
      <w:bookmarkStart w:id="340" w:name="_Toc164608804"/>
      <w:r/>
      <w:bookmarkStart w:id="341" w:name="_Toc164351629"/>
      <w:r/>
      <w:bookmarkStart w:id="342" w:name="_Toc305158803"/>
      <w:r/>
      <w:bookmarkStart w:id="343" w:name="_Toc226309779"/>
      <w:r/>
      <w:bookmarkStart w:id="344" w:name="_Toc264969225"/>
      <w:r/>
      <w:bookmarkStart w:id="345" w:name="_Toc127161449"/>
      <w:r/>
      <w:bookmarkStart w:id="346" w:name="_Toc305158877"/>
      <w:r/>
      <w:bookmarkStart w:id="347" w:name="_Toc226965725"/>
      <w:r/>
      <w:bookmarkStart w:id="348" w:name="_Toc265228373"/>
      <w:r/>
      <w:bookmarkStart w:id="349" w:name="_Toc520356160"/>
      <w:r/>
      <w:bookmarkStart w:id="350" w:name="_Toc149720828"/>
      <w:r/>
      <w:bookmarkStart w:id="351" w:name="_Toc151193923"/>
      <w:r/>
      <w:bookmarkStart w:id="352" w:name="_Toc195842900"/>
      <w:r/>
      <w:bookmarkStart w:id="353" w:name="_Toc151190162"/>
      <w:r/>
      <w:bookmarkStart w:id="354" w:name="_Toc151193777"/>
      <w:r/>
      <w:bookmarkStart w:id="355" w:name="_Toc151193849"/>
      <w:r/>
      <w:bookmarkStart w:id="356" w:name="_Toc150774740"/>
      <w:r/>
      <w:bookmarkStart w:id="357" w:name="_Toc150480773"/>
      <w:r/>
      <w:bookmarkStart w:id="358" w:name="_Toc150774635"/>
      <w:r/>
      <w:bookmarkStart w:id="359" w:name="_Toc151193705"/>
      <w:r/>
      <w:bookmarkStart w:id="360" w:name="_Toc164229230"/>
      <w:r/>
      <w:bookmarkStart w:id="361" w:name="_Toc164229376"/>
      <w:r/>
      <w:bookmarkStart w:id="362" w:name="_Toc226965808"/>
      <w:r/>
      <w:bookmarkStart w:id="363" w:name="_Toc226337231"/>
      <w:r/>
      <w:bookmarkStart w:id="364" w:name="_Toc151193633"/>
      <w:r>
        <w:rPr>
          <w:rFonts w:hint="eastAsia" w:ascii="宋体" w:hAnsi="宋体" w:eastAsia="宋体" w:cs="宋体"/>
          <w:sz w:val="24"/>
          <w:szCs w:val="24"/>
          <w:highlight w:val="none"/>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hint="eastAsia" w:ascii="宋体" w:hAnsi="宋体" w:eastAsia="宋体" w:cs="宋体"/>
          <w:sz w:val="24"/>
          <w:szCs w:val="24"/>
          <w:highlight w:val="none"/>
        </w:rPr>
        <w:t xml:space="preserve">提交</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本项目使用</w:t>
      </w:r>
      <w:r>
        <w:rPr>
          <w:rFonts w:hint="eastAsia" w:ascii="宋体" w:hAnsi="宋体" w:eastAsia="宋体" w:cs="宋体"/>
          <w:sz w:val="24"/>
          <w:szCs w:val="24"/>
          <w:highlight w:val="none"/>
          <w:lang w:eastAsia="zh-CN"/>
        </w:rPr>
        <w:t xml:space="preserve">“苏采云”政府采购一体化平台</w:t>
      </w:r>
      <w:r>
        <w:rPr>
          <w:rFonts w:hint="eastAsia" w:ascii="宋体" w:hAnsi="宋体" w:eastAsia="宋体" w:cs="宋体"/>
          <w:sz w:val="24"/>
          <w:szCs w:val="24"/>
          <w:highlight w:val="none"/>
        </w:rPr>
        <w:t xml:space="preserve">。供应商根据谈判文件及</w:t>
      </w:r>
      <w:r>
        <w:rPr>
          <w:rFonts w:hint="eastAsia" w:ascii="宋体" w:hAnsi="宋体" w:eastAsia="宋体" w:cs="宋体"/>
          <w:sz w:val="24"/>
          <w:szCs w:val="24"/>
          <w:highlight w:val="none"/>
          <w:lang w:eastAsia="zh-CN"/>
        </w:rPr>
        <w:t xml:space="preserve">“苏采云”政府采购一体化平台</w:t>
      </w:r>
      <w:r>
        <w:rPr>
          <w:rFonts w:hint="eastAsia" w:ascii="宋体" w:hAnsi="宋体" w:eastAsia="宋体" w:cs="宋体"/>
          <w:sz w:val="24"/>
          <w:szCs w:val="24"/>
          <w:highlight w:val="none"/>
        </w:rPr>
        <w:t xml:space="preserve">供应商操作手册要求编制、生成并提交电子响应文件。</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采购人及采购代理机构拒绝接受通过电子交易平台以外任何形式提交的响应文件，保证金除外。</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365" w:name="_Toc164608650"/>
      <w:r/>
      <w:bookmarkStart w:id="366" w:name="_Toc264969226"/>
      <w:r/>
      <w:bookmarkStart w:id="367" w:name="_Toc164608805"/>
      <w:r/>
      <w:bookmarkStart w:id="368" w:name="_Toc142311038"/>
      <w:r/>
      <w:bookmarkStart w:id="369" w:name="_Toc305158878"/>
      <w:r/>
      <w:bookmarkStart w:id="370" w:name="_Toc127151536"/>
      <w:r/>
      <w:bookmarkStart w:id="371" w:name="_Toc151190163"/>
      <w:r/>
      <w:bookmarkStart w:id="372" w:name="_Toc149720829"/>
      <w:r/>
      <w:bookmarkStart w:id="373" w:name="_Toc305158804"/>
      <w:r/>
      <w:bookmarkStart w:id="374" w:name="_Toc127161450"/>
      <w:r/>
      <w:bookmarkStart w:id="375" w:name="_Toc127151737"/>
      <w:r/>
      <w:bookmarkStart w:id="376" w:name="_Toc164229231"/>
      <w:r/>
      <w:bookmarkStart w:id="377" w:name="_Toc151193924"/>
      <w:r/>
      <w:bookmarkStart w:id="378" w:name="_Toc150774741"/>
      <w:r/>
      <w:bookmarkStart w:id="379" w:name="_Toc151193850"/>
      <w:r/>
      <w:bookmarkStart w:id="380" w:name="_Toc226965726"/>
      <w:r/>
      <w:bookmarkStart w:id="381" w:name="_Toc150480774"/>
      <w:r/>
      <w:bookmarkStart w:id="382" w:name="_Toc226965809"/>
      <w:r/>
      <w:bookmarkStart w:id="383" w:name="_Toc226337232"/>
      <w:r/>
      <w:bookmarkStart w:id="384" w:name="_Toc151193634"/>
      <w:r/>
      <w:bookmarkStart w:id="385" w:name="_Toc150509287"/>
      <w:r/>
      <w:bookmarkStart w:id="386" w:name="_Toc164229377"/>
      <w:r/>
      <w:bookmarkStart w:id="387" w:name="_Toc520356161"/>
      <w:r/>
      <w:bookmarkStart w:id="388" w:name="_Toc151193778"/>
      <w:r/>
      <w:bookmarkStart w:id="389" w:name="_Toc195842901"/>
      <w:r/>
      <w:bookmarkStart w:id="390" w:name="_Toc150774636"/>
      <w:r/>
      <w:bookmarkStart w:id="391" w:name="_Toc164351630"/>
      <w:r/>
      <w:bookmarkStart w:id="392" w:name="_Toc226309780"/>
      <w:r/>
      <w:bookmarkStart w:id="393" w:name="_Toc151193706"/>
      <w:r/>
      <w:bookmarkStart w:id="394" w:name="_Toc265228374"/>
      <w:r>
        <w:rPr>
          <w:rFonts w:hint="eastAsia" w:ascii="宋体" w:hAnsi="宋体" w:eastAsia="宋体" w:cs="宋体"/>
          <w:sz w:val="24"/>
          <w:szCs w:val="24"/>
          <w:highlight w:val="none"/>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供应商应在谈判文件要求提交响应文件截止时间前，将电子响应文件提交至</w:t>
      </w:r>
      <w:r>
        <w:rPr>
          <w:rFonts w:hint="eastAsia" w:ascii="宋体" w:hAnsi="宋体" w:eastAsia="宋体" w:cs="宋体"/>
          <w:sz w:val="24"/>
          <w:szCs w:val="24"/>
          <w:highlight w:val="none"/>
          <w:lang w:eastAsia="zh-CN"/>
        </w:rPr>
        <w:t xml:space="preserve">“苏采云”政府采购一体化平台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395" w:name="_Toc520356162"/>
      <w:r/>
      <w:bookmarkStart w:id="396" w:name="_Toc127151537"/>
      <w:r/>
      <w:bookmarkStart w:id="397" w:name="_Toc305158879"/>
      <w:r/>
      <w:bookmarkStart w:id="398" w:name="_Toc226965727"/>
      <w:r/>
      <w:bookmarkStart w:id="399" w:name="_Toc226309781"/>
      <w:r/>
      <w:bookmarkStart w:id="400" w:name="_Toc151193779"/>
      <w:r/>
      <w:bookmarkStart w:id="401" w:name="_Toc151190164"/>
      <w:r/>
      <w:bookmarkStart w:id="402" w:name="_Toc265228375"/>
      <w:r/>
      <w:bookmarkStart w:id="403" w:name="_Toc150774742"/>
      <w:r/>
      <w:bookmarkStart w:id="404" w:name="_Toc150774637"/>
      <w:r/>
      <w:bookmarkStart w:id="405" w:name="_Toc151193635"/>
      <w:r/>
      <w:bookmarkStart w:id="406" w:name="_Toc264969227"/>
      <w:r/>
      <w:bookmarkStart w:id="407" w:name="_Toc164229232"/>
      <w:r/>
      <w:bookmarkStart w:id="408" w:name="_Toc164608806"/>
      <w:r/>
      <w:bookmarkStart w:id="409" w:name="_Toc195842902"/>
      <w:r/>
      <w:bookmarkStart w:id="410" w:name="_Toc226965810"/>
      <w:r/>
      <w:bookmarkStart w:id="411" w:name="_Toc142311039"/>
      <w:r/>
      <w:bookmarkStart w:id="412" w:name="_Toc164351631"/>
      <w:r/>
      <w:bookmarkStart w:id="413" w:name="_Toc164608651"/>
      <w:r/>
      <w:bookmarkStart w:id="414" w:name="_Toc226337233"/>
      <w:r/>
      <w:bookmarkStart w:id="415" w:name="_Toc305158805"/>
      <w:r/>
      <w:bookmarkStart w:id="416" w:name="_Toc127151738"/>
      <w:r/>
      <w:bookmarkStart w:id="417" w:name="_Toc151193851"/>
      <w:r/>
      <w:bookmarkStart w:id="418" w:name="_Toc151193925"/>
      <w:r/>
      <w:bookmarkStart w:id="419" w:name="_Toc151193707"/>
      <w:r/>
      <w:bookmarkStart w:id="420" w:name="_Toc164229378"/>
      <w:r/>
      <w:bookmarkStart w:id="421" w:name="_Toc127161451"/>
      <w:r/>
      <w:bookmarkStart w:id="422" w:name="_Toc150509288"/>
      <w:r/>
      <w:bookmarkStart w:id="423" w:name="_Toc150480775"/>
      <w:r/>
      <w:bookmarkStart w:id="424" w:name="_Toc149720830"/>
      <w:r>
        <w:rPr>
          <w:rFonts w:hint="eastAsia" w:ascii="宋体" w:hAnsi="宋体" w:eastAsia="宋体" w:cs="宋体"/>
          <w:sz w:val="24"/>
          <w:szCs w:val="24"/>
          <w:highlight w:val="none"/>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提交响应文件截止时间前，供应商可以通过电子交易平台对所提交的响应文件进行补充、修改或者撤回。</w:t>
      </w:r>
      <w:r>
        <w:rPr>
          <w:rFonts w:hint="eastAsia" w:ascii="宋体" w:hAnsi="宋体" w:eastAsia="宋体" w:cs="宋体"/>
          <w:color w:val="000000"/>
          <w:sz w:val="24"/>
          <w:szCs w:val="24"/>
          <w:highlight w:val="none"/>
        </w:rPr>
        <w:t xml:space="preserve">保证金的补充、修改或者撤回</w:t>
      </w:r>
      <w:r>
        <w:rPr>
          <w:rFonts w:hint="eastAsia" w:ascii="宋体" w:hAnsi="宋体" w:eastAsia="宋体" w:cs="宋体"/>
          <w:sz w:val="24"/>
          <w:szCs w:val="24"/>
          <w:highlight w:val="none"/>
        </w:rPr>
        <w:t xml:space="preserve">无需通过电子交易平台，但应就其补充、修改或者撤回通知采购人或采购代理机构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供应商对响应文件的补充、修改的内容应当按照谈判文件要求签署、盖章，作为响应文件的组成部分。补充、修改的内容与响应文件不一致的，以补充、修改的内容为准。</w:t>
      </w:r>
      <w:r>
        <w:rPr>
          <w:rFonts w:hint="eastAsia" w:ascii="宋体" w:hAnsi="宋体" w:eastAsia="宋体" w:cs="宋体"/>
          <w:sz w:val="24"/>
          <w:szCs w:val="24"/>
          <w:highlight w:val="none"/>
        </w:rPr>
      </w:r>
      <w:r/>
    </w:p>
    <w:p>
      <w:pPr>
        <w:pStyle w:val="1012"/>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4"/>
        <w:pageBreakBefore w:val="0"/>
        <w:spacing w:before="0" w:line="400" w:lineRule="exact"/>
        <w:widowControl w:val="off"/>
        <w:rPr>
          <w:rFonts w:hint="eastAsia" w:ascii="宋体" w:hAnsi="宋体" w:eastAsia="宋体" w:cs="宋体"/>
          <w:sz w:val="24"/>
          <w:szCs w:val="24"/>
          <w:highlight w:val="none"/>
        </w:rPr>
      </w:pPr>
      <w:r/>
      <w:bookmarkStart w:id="425" w:name="_Toc150774638"/>
      <w:r/>
      <w:bookmarkStart w:id="426" w:name="_Toc226965728"/>
      <w:r/>
      <w:bookmarkStart w:id="427" w:name="_Toc226337234"/>
      <w:r/>
      <w:bookmarkStart w:id="428" w:name="_Toc151190165"/>
      <w:r/>
      <w:bookmarkStart w:id="429" w:name="_Toc151193780"/>
      <w:r/>
      <w:bookmarkStart w:id="430" w:name="_Toc305158806"/>
      <w:r/>
      <w:bookmarkStart w:id="431" w:name="_Toc142311040"/>
      <w:r/>
      <w:bookmarkStart w:id="432" w:name="_Toc226309782"/>
      <w:r/>
      <w:bookmarkStart w:id="433" w:name="_Toc150774743"/>
      <w:r/>
      <w:bookmarkStart w:id="434" w:name="_Toc151193852"/>
      <w:r/>
      <w:bookmarkStart w:id="435" w:name="_Toc520356163"/>
      <w:r/>
      <w:bookmarkStart w:id="436" w:name="_Toc226965811"/>
      <w:r/>
      <w:bookmarkStart w:id="437" w:name="_Toc195842903"/>
      <w:r/>
      <w:bookmarkStart w:id="438" w:name="_Toc305158880"/>
      <w:r/>
      <w:bookmarkStart w:id="439" w:name="_Toc151193926"/>
      <w:r/>
      <w:bookmarkStart w:id="440" w:name="_Toc151193708"/>
      <w:r/>
      <w:bookmarkStart w:id="441" w:name="_Toc264969228"/>
      <w:r/>
      <w:bookmarkStart w:id="442" w:name="_Toc150480776"/>
      <w:r/>
      <w:bookmarkStart w:id="443" w:name="_Toc265228376"/>
      <w:r/>
      <w:bookmarkStart w:id="444" w:name="_Toc151193636"/>
      <w:r/>
      <w:bookmarkStart w:id="445" w:name="_Toc150509289"/>
      <w:r/>
      <w:bookmarkStart w:id="446" w:name="_Toc127151538"/>
      <w:r>
        <w:rPr>
          <w:rFonts w:hint="eastAsia" w:ascii="宋体" w:hAnsi="宋体" w:eastAsia="宋体" w:cs="宋体"/>
          <w:sz w:val="24"/>
          <w:szCs w:val="24"/>
          <w:highlight w:val="none"/>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hint="eastAsia" w:ascii="宋体" w:hAnsi="宋体" w:eastAsia="宋体" w:cs="宋体"/>
          <w:sz w:val="24"/>
          <w:szCs w:val="24"/>
          <w:highlight w:val="none"/>
        </w:rPr>
        <w:t xml:space="preserve">评审</w:t>
      </w:r>
      <w:bookmarkEnd w:id="447"/>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448" w:name="_Toc249515304"/>
      <w:r/>
      <w:bookmarkStart w:id="449" w:name="_Toc501504681"/>
      <w:r/>
      <w:bookmarkStart w:id="450" w:name="_Toc388010432"/>
      <w:r/>
      <w:bookmarkStart w:id="451" w:name="_Toc493590991"/>
      <w:r/>
      <w:bookmarkStart w:id="452" w:name="_Toc249525185"/>
      <w:r/>
      <w:bookmarkStart w:id="453" w:name="_Toc501505903"/>
      <w:r/>
      <w:bookmarkStart w:id="454" w:name="_Toc493711048"/>
      <w:r/>
      <w:bookmarkStart w:id="455" w:name="_Toc501547521"/>
      <w:r/>
      <w:bookmarkStart w:id="456" w:name="_Toc493661679"/>
      <w:r/>
      <w:bookmarkStart w:id="457" w:name="_Toc461642305"/>
      <w:r/>
      <w:bookmarkStart w:id="458" w:name="_Toc249515416"/>
      <w:r>
        <w:rPr>
          <w:rFonts w:hint="eastAsia" w:ascii="宋体" w:hAnsi="宋体" w:eastAsia="宋体" w:cs="宋体"/>
          <w:color w:val="000000"/>
          <w:sz w:val="24"/>
          <w:szCs w:val="24"/>
          <w:highlight w:val="none"/>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采购人或采购代理机构将按谈判文件的规定，在提交响应文件截止时间的同一时间和《供应商须知资料表》约定的地点组织解密。 </w:t>
      </w:r>
      <w:r>
        <w:rPr>
          <w:rFonts w:hint="eastAsia" w:ascii="宋体" w:hAnsi="宋体" w:eastAsia="宋体" w:cs="宋体"/>
          <w:color w:val="000000"/>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本项目采用不见面招交易模式，使用</w:t>
      </w:r>
      <w:r>
        <w:rPr>
          <w:rFonts w:hint="eastAsia" w:ascii="宋体" w:hAnsi="宋体" w:eastAsia="宋体" w:cs="宋体"/>
          <w:sz w:val="24"/>
          <w:szCs w:val="24"/>
          <w:highlight w:val="none"/>
          <w:lang w:eastAsia="zh-CN"/>
        </w:rPr>
        <w:t xml:space="preserve">“苏采云”政府采购一体化平台</w:t>
      </w:r>
      <w:r>
        <w:rPr>
          <w:rFonts w:hint="eastAsia" w:ascii="宋体" w:hAnsi="宋体" w:eastAsia="宋体" w:cs="宋体"/>
          <w:sz w:val="24"/>
          <w:szCs w:val="24"/>
          <w:highlight w:val="none"/>
        </w:rPr>
        <w:t xml:space="preserve">在线进行解密。供应商应在规定的时间内对响应文件进行解密，因非系统原因导致的解密失败，视为</w:t>
      </w:r>
      <w:r>
        <w:rPr>
          <w:rFonts w:hint="eastAsia" w:ascii="宋体" w:hAnsi="宋体" w:eastAsia="宋体" w:cs="宋体"/>
          <w:b/>
          <w:sz w:val="24"/>
          <w:szCs w:val="24"/>
          <w:highlight w:val="none"/>
        </w:rPr>
        <w:t xml:space="preserve">响应无效</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供应商不足3家的，不予解密（法律法规或谈判文件另有规定的除外）。</w:t>
      </w:r>
      <w:r>
        <w:rPr>
          <w:rFonts w:hint="eastAsia" w:ascii="宋体" w:hAnsi="宋体" w:eastAsia="宋体" w:cs="宋体"/>
          <w:color w:val="000000"/>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本项目不公开报价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如果在采购活动过程中出现以下情形，导致“</w:t>
      </w:r>
      <w:r>
        <w:rPr>
          <w:rFonts w:hint="eastAsia" w:ascii="宋体" w:hAnsi="宋体" w:eastAsia="宋体" w:cs="宋体"/>
          <w:sz w:val="24"/>
          <w:szCs w:val="24"/>
          <w:highlight w:val="none"/>
          <w:lang w:eastAsia="zh-CN" w:bidi="ar"/>
        </w:rPr>
        <w:t xml:space="preserve">“苏采云”政府采购一体化平台</w:t>
      </w:r>
      <w:r>
        <w:rPr>
          <w:rFonts w:hint="eastAsia" w:ascii="宋体" w:hAnsi="宋体" w:eastAsia="宋体" w:cs="宋体"/>
          <w:sz w:val="24"/>
          <w:szCs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1)平台系统发生故障而无法登录访问的；</w:t>
      </w:r>
      <w:r>
        <w:rPr>
          <w:rFonts w:hint="eastAsia" w:ascii="宋体" w:hAnsi="宋体" w:eastAsia="宋体" w:cs="宋体"/>
          <w:sz w:val="24"/>
          <w:szCs w:val="24"/>
          <w:highlight w:val="none"/>
        </w:rPr>
      </w:r>
      <w:r/>
    </w:p>
    <w:p>
      <w:pPr>
        <w:pStyle w:val="1012"/>
        <w:ind w:left="357" w:firstLine="84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2)平台系统应用或数据库出现错误，不能进行正常操作的；</w:t>
      </w:r>
      <w:r>
        <w:rPr>
          <w:rFonts w:hint="eastAsia" w:ascii="宋体" w:hAnsi="宋体" w:eastAsia="宋体" w:cs="宋体"/>
          <w:sz w:val="24"/>
          <w:szCs w:val="24"/>
          <w:highlight w:val="none"/>
        </w:rPr>
      </w:r>
      <w:r/>
    </w:p>
    <w:p>
      <w:pPr>
        <w:pStyle w:val="1012"/>
        <w:ind w:left="357" w:firstLine="84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3)平台系统发现严重安全漏洞，有潜在泄密危险的；</w:t>
      </w:r>
      <w:r>
        <w:rPr>
          <w:rFonts w:hint="eastAsia" w:ascii="宋体" w:hAnsi="宋体" w:eastAsia="宋体" w:cs="宋体"/>
          <w:sz w:val="24"/>
          <w:szCs w:val="24"/>
          <w:highlight w:val="none"/>
        </w:rPr>
      </w:r>
      <w:r/>
    </w:p>
    <w:p>
      <w:pPr>
        <w:pStyle w:val="1012"/>
        <w:ind w:left="357" w:firstLine="84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4)病毒发作导致平台系统不能进行正常操作的；</w:t>
      </w:r>
      <w:r>
        <w:rPr>
          <w:rFonts w:hint="eastAsia" w:ascii="宋体" w:hAnsi="宋体" w:eastAsia="宋体" w:cs="宋体"/>
          <w:sz w:val="24"/>
          <w:szCs w:val="24"/>
          <w:highlight w:val="none"/>
        </w:rPr>
      </w:r>
      <w:r/>
    </w:p>
    <w:p>
      <w:pPr>
        <w:pStyle w:val="1012"/>
        <w:ind w:left="357" w:firstLine="84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5)其他无法保证本次采购活动的公平、公正和安全的情况。</w:t>
      </w:r>
      <w:r>
        <w:rPr>
          <w:rFonts w:hint="eastAsia" w:ascii="宋体" w:hAnsi="宋体" w:eastAsia="宋体" w:cs="宋体"/>
          <w:sz w:val="24"/>
          <w:szCs w:val="24"/>
          <w:highlight w:val="none"/>
        </w:rPr>
      </w:r>
      <w:r/>
    </w:p>
    <w:p>
      <w:pPr>
        <w:pStyle w:val="1012"/>
        <w:ind w:left="1134"/>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459" w:name="_Toc264969230"/>
      <w:r/>
      <w:bookmarkStart w:id="460" w:name="_Toc226337236"/>
      <w:r/>
      <w:bookmarkStart w:id="461" w:name="_Toc164229381"/>
      <w:r/>
      <w:bookmarkStart w:id="462" w:name="_Toc150480778"/>
      <w:r/>
      <w:bookmarkStart w:id="463" w:name="_Toc226965813"/>
      <w:r/>
      <w:bookmarkStart w:id="464" w:name="_Toc305158808"/>
      <w:r/>
      <w:bookmarkStart w:id="465" w:name="_Toc226965730"/>
      <w:r/>
      <w:bookmarkStart w:id="466" w:name="_Toc164229235"/>
      <w:r/>
      <w:bookmarkStart w:id="467" w:name="_Toc151193928"/>
      <w:r/>
      <w:bookmarkStart w:id="468" w:name="_Toc151190167"/>
      <w:r/>
      <w:bookmarkStart w:id="469" w:name="_Toc265228378"/>
      <w:r/>
      <w:bookmarkStart w:id="470" w:name="_Toc226309784"/>
      <w:r/>
      <w:bookmarkStart w:id="471" w:name="_Toc164351634"/>
      <w:r/>
      <w:bookmarkStart w:id="472" w:name="_Toc195842905"/>
      <w:r/>
      <w:bookmarkStart w:id="473" w:name="_Toc164608809"/>
      <w:r/>
      <w:bookmarkStart w:id="474" w:name="_Toc149720833"/>
      <w:r/>
      <w:bookmarkStart w:id="475" w:name="_Toc142311042"/>
      <w:r/>
      <w:bookmarkStart w:id="476" w:name="_Toc164608654"/>
      <w:r/>
      <w:bookmarkStart w:id="477" w:name="_Toc151193638"/>
      <w:r/>
      <w:bookmarkStart w:id="478" w:name="_Toc151193854"/>
      <w:r/>
      <w:bookmarkStart w:id="479" w:name="_Toc127151540"/>
      <w:r/>
      <w:bookmarkStart w:id="480" w:name="_Toc150774640"/>
      <w:r/>
      <w:bookmarkStart w:id="481" w:name="_Toc305158882"/>
      <w:r/>
      <w:bookmarkStart w:id="482" w:name="_Toc150774745"/>
      <w:r/>
      <w:bookmarkStart w:id="483" w:name="_Toc151193782"/>
      <w:r/>
      <w:bookmarkStart w:id="484" w:name="_Toc151193710"/>
      <w:r/>
      <w:bookmarkStart w:id="485" w:name="_Toc127151741"/>
      <w:r/>
      <w:bookmarkStart w:id="486" w:name="_Toc127161454"/>
      <w:r/>
      <w:bookmarkStart w:id="487" w:name="_Toc150509291"/>
      <w:r>
        <w:rPr>
          <w:rFonts w:hint="eastAsia" w:ascii="宋体" w:hAnsi="宋体" w:eastAsia="宋体" w:cs="宋体"/>
          <w:sz w:val="24"/>
          <w:szCs w:val="24"/>
          <w:highlight w:val="none"/>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谈判小组根据政府采购有关规定和本次竞争性谈判采购项目的特点进行组建，并负责具体评审与谈判事务，独立履行职责。</w:t>
      </w:r>
      <w:bookmarkStart w:id="488" w:name="_Toc520356166"/>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88"/>
      <w:r/>
      <w:bookmarkStart w:id="489" w:name="_Toc520356169"/>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490" w:name="_Hlk97413435"/>
      <w:r>
        <w:rPr>
          <w:rFonts w:hint="eastAsia" w:ascii="宋体" w:hAnsi="宋体" w:eastAsia="宋体" w:cs="宋体"/>
          <w:sz w:val="24"/>
          <w:szCs w:val="24"/>
          <w:highlight w:val="none"/>
        </w:rPr>
        <w:t xml:space="preserve">评审程序和评定成交的标准</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bookmarkStart w:id="491" w:name="_Toc83547671"/>
      <w:r>
        <w:rPr>
          <w:rFonts w:hint="eastAsia" w:ascii="宋体" w:hAnsi="宋体" w:eastAsia="宋体" w:cs="宋体"/>
          <w:sz w:val="24"/>
          <w:szCs w:val="24"/>
          <w:highlight w:val="none"/>
        </w:rPr>
        <w:t xml:space="preserve">见第三章《评审程序和评定成交的标准》。</w:t>
      </w:r>
      <w:r>
        <w:rPr>
          <w:rFonts w:hint="eastAsia" w:ascii="宋体" w:hAnsi="宋体" w:eastAsia="宋体" w:cs="宋体"/>
          <w:sz w:val="24"/>
          <w:szCs w:val="24"/>
          <w:highlight w:val="none"/>
        </w:rPr>
      </w:r>
      <w:r/>
    </w:p>
    <w:p>
      <w:pPr>
        <w:pStyle w:val="1012"/>
        <w:ind w:left="1080"/>
        <w:pageBreakBefore w:val="0"/>
        <w:spacing w:line="400" w:lineRule="exact"/>
        <w:widowControl w:val="off"/>
        <w:tabs>
          <w:tab w:val="left" w:pos="360" w:leader="none"/>
          <w:tab w:val="left" w:pos="1080" w:leader="none"/>
        </w:tabs>
        <w:rPr>
          <w:rFonts w:hint="eastAsia" w:ascii="宋体" w:hAnsi="宋体" w:eastAsia="宋体" w:cs="宋体"/>
          <w:sz w:val="24"/>
          <w:szCs w:val="24"/>
          <w:highlight w:val="none"/>
        </w:rPr>
      </w:pPr>
      <w:r/>
      <w:bookmarkEnd w:id="490"/>
      <w:r/>
      <w:bookmarkEnd w:id="491"/>
      <w:r>
        <w:rPr>
          <w:rFonts w:hint="eastAsia" w:ascii="宋体" w:hAnsi="宋体" w:eastAsia="宋体" w:cs="宋体"/>
          <w:sz w:val="24"/>
          <w:szCs w:val="24"/>
          <w:highlight w:val="none"/>
        </w:rPr>
      </w:r>
      <w:r/>
    </w:p>
    <w:p>
      <w:pPr>
        <w:pStyle w:val="1014"/>
        <w:pageBreakBefore w:val="0"/>
        <w:spacing w:before="0" w:line="400" w:lineRule="exact"/>
        <w:widowControl w:val="off"/>
        <w:rPr>
          <w:rFonts w:hint="eastAsia" w:ascii="宋体" w:hAnsi="宋体" w:eastAsia="宋体" w:cs="宋体"/>
          <w:sz w:val="24"/>
          <w:szCs w:val="24"/>
          <w:highlight w:val="none"/>
        </w:rPr>
      </w:pPr>
      <w:r/>
      <w:bookmarkStart w:id="492" w:name="_Toc264969235"/>
      <w:r/>
      <w:bookmarkStart w:id="493" w:name="_Toc150774645"/>
      <w:r/>
      <w:bookmarkStart w:id="494" w:name="_Toc127151545"/>
      <w:r/>
      <w:bookmarkStart w:id="495" w:name="_Toc305158813"/>
      <w:r/>
      <w:bookmarkStart w:id="496" w:name="_Toc305158887"/>
      <w:r/>
      <w:bookmarkStart w:id="497" w:name="_Toc226965735"/>
      <w:r/>
      <w:bookmarkStart w:id="498" w:name="_Toc226337241"/>
      <w:r/>
      <w:bookmarkStart w:id="499" w:name="_Toc226309789"/>
      <w:r/>
      <w:bookmarkStart w:id="500" w:name="_Toc151190172"/>
      <w:r/>
      <w:bookmarkStart w:id="501" w:name="_Toc151193715"/>
      <w:r/>
      <w:bookmarkStart w:id="502" w:name="_Toc150480783"/>
      <w:r/>
      <w:bookmarkStart w:id="503" w:name="_Toc151193933"/>
      <w:r/>
      <w:bookmarkStart w:id="504" w:name="_Toc150509296"/>
      <w:r/>
      <w:bookmarkStart w:id="505" w:name="_Toc265228383"/>
      <w:r/>
      <w:bookmarkStart w:id="506" w:name="_Toc151193643"/>
      <w:r/>
      <w:bookmarkStart w:id="507" w:name="_Toc226965818"/>
      <w:r/>
      <w:bookmarkStart w:id="508" w:name="_Toc142311047"/>
      <w:r/>
      <w:bookmarkStart w:id="509" w:name="_Toc151193859"/>
      <w:r/>
      <w:bookmarkStart w:id="510" w:name="_Toc195842910"/>
      <w:r/>
      <w:bookmarkStart w:id="511" w:name="_Toc150774750"/>
      <w:r/>
      <w:bookmarkStart w:id="512" w:name="_Toc151193787"/>
      <w:r>
        <w:rPr>
          <w:rFonts w:hint="eastAsia" w:ascii="宋体" w:hAnsi="宋体" w:eastAsia="宋体" w:cs="宋体"/>
          <w:sz w:val="24"/>
          <w:szCs w:val="24"/>
          <w:highlight w:val="none"/>
        </w:rPr>
        <w:t xml:space="preserve">六   </w:t>
      </w:r>
      <w:bookmarkEnd w:id="489"/>
      <w:r>
        <w:rPr>
          <w:rFonts w:hint="eastAsia" w:ascii="宋体" w:hAnsi="宋体" w:eastAsia="宋体" w:cs="宋体"/>
          <w:sz w:val="24"/>
          <w:szCs w:val="24"/>
          <w:highlight w:val="none"/>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eastAsia="宋体" w:cs="宋体"/>
          <w:sz w:val="24"/>
          <w:szCs w:val="24"/>
          <w:highlight w:val="none"/>
        </w:rPr>
        <w:t xml:space="preserve">成交</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513" w:name="_Toc305158889"/>
      <w:r/>
      <w:bookmarkStart w:id="514" w:name="_Toc164229242"/>
      <w:r/>
      <w:bookmarkStart w:id="515" w:name="_Toc264969237"/>
      <w:r/>
      <w:bookmarkStart w:id="516" w:name="_Toc151193717"/>
      <w:r/>
      <w:bookmarkStart w:id="517" w:name="_Toc164229388"/>
      <w:r/>
      <w:bookmarkStart w:id="518" w:name="_Toc265228385"/>
      <w:r/>
      <w:bookmarkStart w:id="519" w:name="_Toc127161461"/>
      <w:r/>
      <w:bookmarkStart w:id="520" w:name="_Toc226337243"/>
      <w:r/>
      <w:bookmarkStart w:id="521" w:name="_Toc150774647"/>
      <w:r/>
      <w:bookmarkStart w:id="522" w:name="_Toc226965737"/>
      <w:r/>
      <w:bookmarkStart w:id="523" w:name="_Toc164351641"/>
      <w:r/>
      <w:bookmarkStart w:id="524" w:name="_Toc164608661"/>
      <w:r/>
      <w:bookmarkStart w:id="525" w:name="_Toc151193789"/>
      <w:r/>
      <w:bookmarkStart w:id="526" w:name="_Toc149720840"/>
      <w:r/>
      <w:bookmarkStart w:id="527" w:name="_Toc226309791"/>
      <w:r/>
      <w:bookmarkStart w:id="528" w:name="_Toc150774752"/>
      <w:r/>
      <w:bookmarkStart w:id="529" w:name="_Toc151193645"/>
      <w:r/>
      <w:bookmarkStart w:id="530" w:name="_Toc127151547"/>
      <w:r/>
      <w:bookmarkStart w:id="531" w:name="_Toc305158815"/>
      <w:r/>
      <w:bookmarkStart w:id="532" w:name="_Toc151193861"/>
      <w:r/>
      <w:bookmarkStart w:id="533" w:name="_Toc151193935"/>
      <w:r/>
      <w:bookmarkStart w:id="534" w:name="_Toc142311049"/>
      <w:r/>
      <w:bookmarkStart w:id="535" w:name="_Toc226965820"/>
      <w:r/>
      <w:bookmarkStart w:id="536" w:name="_Toc150509298"/>
      <w:r/>
      <w:bookmarkStart w:id="537" w:name="_Toc150480785"/>
      <w:r/>
      <w:bookmarkStart w:id="538" w:name="_Toc164608816"/>
      <w:r/>
      <w:bookmarkStart w:id="539" w:name="_Toc127151748"/>
      <w:r/>
      <w:bookmarkStart w:id="540" w:name="_Toc151190174"/>
      <w:r/>
      <w:bookmarkStart w:id="541" w:name="_Toc195842912"/>
      <w:r>
        <w:rPr>
          <w:rFonts w:hint="eastAsia" w:ascii="宋体" w:hAnsi="宋体" w:eastAsia="宋体" w:cs="宋体"/>
          <w:sz w:val="24"/>
          <w:szCs w:val="24"/>
          <w:highlight w:val="none"/>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采购人将从评审报告提出的成交候选人中，根据质量和服务均能满足采购文件实质性响应要求且最终报价最低的原则确定成交供应商。</w:t>
      </w:r>
      <w:r>
        <w:rPr>
          <w:rFonts w:hint="eastAsia" w:ascii="宋体" w:hAnsi="宋体" w:eastAsia="宋体" w:cs="宋体"/>
          <w:sz w:val="24"/>
          <w:szCs w:val="24"/>
          <w:highlight w:val="none"/>
        </w:rPr>
        <w:t xml:space="preserve">成交候选人并列的，由采购人依法确定。</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Start w:id="542" w:name="_Toc264969239"/>
      <w:r/>
      <w:bookmarkStart w:id="543" w:name="_Toc150509300"/>
      <w:r/>
      <w:bookmarkStart w:id="544" w:name="_Toc265228387"/>
      <w:r/>
      <w:bookmarkStart w:id="545" w:name="_Toc226309793"/>
      <w:r/>
      <w:bookmarkStart w:id="546" w:name="_Toc127151750"/>
      <w:r/>
      <w:bookmarkStart w:id="547" w:name="_Toc195842914"/>
      <w:r/>
      <w:bookmarkStart w:id="548" w:name="_Toc226337245"/>
      <w:r/>
      <w:bookmarkStart w:id="549" w:name="_Toc127151549"/>
      <w:r/>
      <w:bookmarkStart w:id="550" w:name="_Toc305158817"/>
      <w:r/>
      <w:bookmarkStart w:id="551" w:name="_Toc305158891"/>
      <w:r/>
      <w:bookmarkStart w:id="552" w:name="_Ref467306425"/>
      <w:r/>
      <w:bookmarkStart w:id="553" w:name="_Toc520356176"/>
      <w:r/>
      <w:bookmarkStart w:id="554" w:name="_Toc226965822"/>
      <w:r/>
      <w:bookmarkStart w:id="555" w:name="_Toc164229244"/>
      <w:r/>
      <w:bookmarkStart w:id="556" w:name="_Toc150774649"/>
      <w:r/>
      <w:bookmarkStart w:id="557" w:name="_Toc164351643"/>
      <w:r/>
      <w:bookmarkStart w:id="558" w:name="_Toc151190176"/>
      <w:r/>
      <w:bookmarkStart w:id="559" w:name="_Toc151193863"/>
      <w:r/>
      <w:bookmarkStart w:id="560" w:name="_Ref467307090"/>
      <w:r/>
      <w:bookmarkStart w:id="561" w:name="_Toc164608663"/>
      <w:r/>
      <w:bookmarkStart w:id="562" w:name="_Toc142311051"/>
      <w:r/>
      <w:bookmarkStart w:id="563" w:name="_Toc150774754"/>
      <w:r/>
      <w:bookmarkStart w:id="564" w:name="_Toc151193937"/>
      <w:r/>
      <w:bookmarkStart w:id="565" w:name="_Toc164608818"/>
      <w:r/>
      <w:bookmarkStart w:id="566" w:name="_Toc127161463"/>
      <w:r/>
      <w:bookmarkStart w:id="567" w:name="_Toc151193719"/>
      <w:r/>
      <w:bookmarkStart w:id="568" w:name="_Toc226965739"/>
      <w:r/>
      <w:bookmarkStart w:id="569" w:name="_Toc150480787"/>
      <w:r/>
      <w:bookmarkStart w:id="570" w:name="_Toc149720842"/>
      <w:r/>
      <w:bookmarkStart w:id="571" w:name="_Toc151193647"/>
      <w:r/>
      <w:bookmarkStart w:id="572" w:name="_Toc164229390"/>
      <w:r/>
      <w:bookmarkStart w:id="573" w:name="_Toc151193791"/>
      <w:r>
        <w:rPr>
          <w:rFonts w:hint="eastAsia" w:ascii="宋体" w:hAnsi="宋体" w:eastAsia="宋体" w:cs="宋体"/>
          <w:sz w:val="24"/>
          <w:szCs w:val="24"/>
          <w:highlight w:val="none"/>
        </w:rPr>
        <w:t xml:space="preserve">成交公告与成交通知书</w:t>
      </w:r>
      <w:bookmarkEnd w:id="550"/>
      <w:r/>
      <w:bookmarkEnd w:id="551"/>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采购人或采购代理机构自成交供应商确定后2个工作日内，在</w:t>
      </w:r>
      <w:r>
        <w:rPr>
          <w:rFonts w:hint="eastAsia" w:ascii="宋体" w:hAnsi="宋体" w:eastAsia="宋体" w:cs="宋体"/>
          <w:sz w:val="24"/>
          <w:szCs w:val="24"/>
          <w:highlight w:val="none"/>
        </w:rPr>
        <w:t xml:space="preserve">常州市政府采购网</w:t>
      </w:r>
      <w:r>
        <w:rPr>
          <w:rFonts w:hint="eastAsia" w:ascii="宋体" w:hAnsi="宋体" w:eastAsia="宋体" w:cs="宋体"/>
          <w:color w:val="000000"/>
          <w:sz w:val="24"/>
          <w:szCs w:val="24"/>
          <w:highlight w:val="none"/>
        </w:rPr>
        <w:t xml:space="preserve">公告成交结果，同时向成交供应商发出成交通知书，成交公告期限为1个工作日。</w:t>
      </w:r>
      <w:r>
        <w:rPr>
          <w:rFonts w:hint="eastAsia" w:ascii="宋体" w:hAnsi="宋体" w:eastAsia="宋体" w:cs="宋体"/>
          <w:color w:val="000000"/>
          <w:sz w:val="24"/>
          <w:szCs w:val="24"/>
          <w:highlight w:val="none"/>
        </w:rPr>
      </w:r>
      <w:r/>
    </w:p>
    <w:p>
      <w:pPr>
        <w:pStyle w:val="101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59"/>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Toc164351644"/>
      <w:r/>
      <w:bookmarkStart w:id="575" w:name="_Toc164608664"/>
      <w:r/>
      <w:bookmarkStart w:id="576" w:name="_Toc151193792"/>
      <w:r/>
      <w:bookmarkStart w:id="577" w:name="_Toc151190177"/>
      <w:r/>
      <w:bookmarkStart w:id="578" w:name="_Toc226965823"/>
      <w:r/>
      <w:bookmarkStart w:id="579" w:name="_Toc149720843"/>
      <w:r/>
      <w:bookmarkStart w:id="580" w:name="_Toc265228388"/>
      <w:r/>
      <w:bookmarkStart w:id="581" w:name="_Toc150774650"/>
      <w:r/>
      <w:bookmarkStart w:id="582" w:name="_Toc150774755"/>
      <w:r/>
      <w:bookmarkStart w:id="583" w:name="_Toc142311052"/>
      <w:r/>
      <w:bookmarkStart w:id="584" w:name="_Toc264969240"/>
      <w:r/>
      <w:bookmarkStart w:id="585" w:name="_Toc151193864"/>
      <w:r/>
      <w:bookmarkStart w:id="586" w:name="_Toc226337246"/>
      <w:r/>
      <w:bookmarkStart w:id="587" w:name="_Toc164608819"/>
      <w:r/>
      <w:bookmarkStart w:id="588" w:name="_Toc150480788"/>
      <w:r/>
      <w:bookmarkStart w:id="589" w:name="_Toc520356175"/>
      <w:r/>
      <w:bookmarkStart w:id="590" w:name="_Toc305158818"/>
      <w:r/>
      <w:bookmarkStart w:id="591" w:name="_Toc164229391"/>
      <w:r/>
      <w:bookmarkStart w:id="592" w:name="_Toc226965740"/>
      <w:r/>
      <w:bookmarkStart w:id="593" w:name="_Toc127151550"/>
      <w:r/>
      <w:bookmarkStart w:id="594" w:name="_Toc151193938"/>
      <w:r/>
      <w:bookmarkStart w:id="595" w:name="_Ref467307204"/>
      <w:r/>
      <w:bookmarkStart w:id="596" w:name="_Toc195842915"/>
      <w:r/>
      <w:bookmarkStart w:id="597" w:name="_Toc151193648"/>
      <w:r/>
      <w:bookmarkStart w:id="598" w:name="_Toc305158892"/>
      <w:r/>
      <w:bookmarkStart w:id="599" w:name="_Toc127151751"/>
      <w:r/>
      <w:bookmarkStart w:id="600" w:name="_Toc164229245"/>
      <w:r/>
      <w:bookmarkStart w:id="601" w:name="_Toc226309794"/>
      <w:r/>
      <w:bookmarkStart w:id="602" w:name="_Ref467307062"/>
      <w:r/>
      <w:bookmarkStart w:id="603" w:name="_Toc150509301"/>
      <w:r/>
      <w:bookmarkStart w:id="604" w:name="_Toc127161464"/>
      <w:r/>
      <w:bookmarkStart w:id="605" w:name="_Ref467306978"/>
      <w:r/>
      <w:bookmarkStart w:id="606" w:name="_Ref467306377"/>
      <w:r/>
      <w:bookmarkStart w:id="607" w:name="_Toc151193720"/>
      <w:r>
        <w:rPr>
          <w:rFonts w:hint="eastAsia" w:ascii="宋体" w:hAnsi="宋体" w:eastAsia="宋体" w:cs="宋体"/>
          <w:sz w:val="24"/>
          <w:szCs w:val="24"/>
          <w:highlight w:val="none"/>
        </w:rPr>
        <w:t xml:space="preserve">终止</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出现下列情形之一的，采购人或采购代理机构应当终止竞争性谈判采购活动，发布项目终止公告并说明原因，重新开展采购活动：</w:t>
      </w:r>
      <w:r>
        <w:rPr>
          <w:rFonts w:hint="eastAsia" w:ascii="宋体" w:hAnsi="宋体" w:eastAsia="宋体" w:cs="宋体"/>
          <w:color w:val="000000"/>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因情况变化，不再符合规定的竞争性谈判采购方式适用情形的；</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出现影响采购公正的违法、违规行为的；</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平台系统</w:t>
      </w:r>
      <w:r>
        <w:rPr>
          <w:rFonts w:hint="eastAsia" w:ascii="宋体" w:hAnsi="宋体" w:eastAsia="宋体" w:cs="宋体"/>
          <w:sz w:val="24"/>
          <w:szCs w:val="24"/>
          <w:highlight w:val="none"/>
        </w:rPr>
        <w:t xml:space="preserve">出现序号16.7的所述情形，情况严重且影响采购活动公平、公正性的。</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采购人与成交供应商将在成交通知书发出之日起30日内，按照谈判文件确定的合同文本以及采购标的、规格型号、采购金额、采购数量、技术和服务要求等事项签订政府采购合同。</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联合体成交的，联合体各方应当共同与采购人签订合同，就成交项目向采购人承担连带责任。</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政府采购合同不能转包。</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hint="eastAsia" w:ascii="宋体" w:hAnsi="宋体" w:eastAsia="宋体" w:cs="宋体"/>
          <w:b/>
          <w:bCs/>
          <w:sz w:val="24"/>
          <w:szCs w:val="24"/>
          <w:highlight w:val="none"/>
        </w:rPr>
        <w:t xml:space="preserve">响应无效</w:t>
      </w:r>
      <w:r>
        <w:rPr>
          <w:rFonts w:hint="eastAsia" w:ascii="宋体" w:hAnsi="宋体" w:eastAsia="宋体" w:cs="宋体"/>
          <w:sz w:val="24"/>
          <w:szCs w:val="24"/>
          <w:highlight w:val="none"/>
        </w:rPr>
        <w:t xml:space="preserve">。成交供应商就采购项目和分包项目向采购人负责，分包供应商就分包项目承担责任。</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bookmarkEnd w:id="552"/>
      <w:r/>
      <w:bookmarkEnd w:id="553"/>
      <w:r/>
      <w:bookmarkEnd w:id="560"/>
      <w:r>
        <w:rPr>
          <w:rFonts w:hint="eastAsia" w:ascii="宋体" w:hAnsi="宋体" w:eastAsia="宋体" w:cs="宋体"/>
          <w:sz w:val="24"/>
          <w:szCs w:val="24"/>
          <w:highlight w:val="none"/>
        </w:rPr>
        <w:t xml:space="preserve">询问与质疑</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询问</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谈判文件中采购需求以及相关部分（第四章、第五章以及供应商资格要求）由采购人负责制定和管理，对该部分内容有询问或者质疑的，供应商应当向采购人书面提出，由采购人负责接收和回复。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质疑函须使用财政部制定的范本文件。（下载网址：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"http://gks.mof.gov.cn/ztztz/zhengfucaigouguanli/201802/t20180201_2804589.htm" </w:instrText>
      </w:r>
      <w:r>
        <w:rPr>
          <w:rFonts w:hint="eastAsia" w:ascii="宋体" w:hAnsi="宋体" w:eastAsia="宋体" w:cs="宋体"/>
          <w:sz w:val="24"/>
          <w:szCs w:val="24"/>
          <w:highlight w:val="none"/>
        </w:rPr>
        <w:fldChar w:fldCharType="separate"/>
      </w:r>
      <w:r>
        <w:rPr>
          <w:rStyle w:val="1089"/>
          <w:rFonts w:hint="eastAsia" w:ascii="宋体" w:hAnsi="宋体" w:eastAsia="宋体" w:cs="宋体"/>
          <w:sz w:val="24"/>
          <w:szCs w:val="24"/>
          <w:highlight w:val="none"/>
        </w:rPr>
        <w:t xml:space="preserve">http://gk</w:t>
      </w:r>
      <w:bookmarkStart w:id="608" w:name="_Hlt100654014"/>
      <w:r>
        <w:rPr>
          <w:rStyle w:val="1089"/>
          <w:rFonts w:hint="eastAsia" w:ascii="宋体" w:hAnsi="宋体" w:eastAsia="宋体" w:cs="宋体"/>
          <w:sz w:val="24"/>
          <w:szCs w:val="24"/>
          <w:highlight w:val="none"/>
        </w:rPr>
        <w:t xml:space="preserve">s</w:t>
      </w:r>
      <w:bookmarkEnd w:id="608"/>
      <w:r>
        <w:rPr>
          <w:rStyle w:val="1089"/>
          <w:rFonts w:hint="eastAsia" w:ascii="宋体" w:hAnsi="宋体" w:eastAsia="宋体" w:cs="宋体"/>
          <w:sz w:val="24"/>
          <w:szCs w:val="24"/>
          <w:highlight w:val="none"/>
        </w:rPr>
        <w:t xml:space="preserve">.m</w:t>
      </w:r>
      <w:bookmarkStart w:id="609" w:name="_Hlt100653994"/>
      <w:r/>
      <w:bookmarkStart w:id="610" w:name="_Hlt100653993"/>
      <w:r>
        <w:rPr>
          <w:rStyle w:val="1089"/>
          <w:rFonts w:hint="eastAsia" w:ascii="宋体" w:hAnsi="宋体" w:eastAsia="宋体" w:cs="宋体"/>
          <w:sz w:val="24"/>
          <w:szCs w:val="24"/>
          <w:highlight w:val="none"/>
        </w:rPr>
        <w:t xml:space="preserve">o</w:t>
      </w:r>
      <w:bookmarkEnd w:id="609"/>
      <w:r/>
      <w:bookmarkEnd w:id="610"/>
      <w:r/>
      <w:bookmarkStart w:id="611" w:name="_Hlt101169156"/>
      <w:r>
        <w:rPr>
          <w:rStyle w:val="1089"/>
          <w:rFonts w:hint="eastAsia" w:ascii="宋体" w:hAnsi="宋体" w:eastAsia="宋体" w:cs="宋体"/>
          <w:sz w:val="24"/>
          <w:szCs w:val="24"/>
          <w:highlight w:val="none"/>
        </w:rPr>
        <w:t xml:space="preserve">f</w:t>
      </w:r>
      <w:bookmarkEnd w:id="611"/>
      <w:r>
        <w:rPr>
          <w:rStyle w:val="1089"/>
          <w:rFonts w:hint="eastAsia" w:ascii="宋体" w:hAnsi="宋体" w:eastAsia="宋体" w:cs="宋体"/>
          <w:sz w:val="24"/>
          <w:szCs w:val="24"/>
          <w:highlight w:val="none"/>
        </w:rPr>
        <w:t xml:space="preserve">.gov.cn/ztztz/zhengfucaigouguanli/201802/t20180201_2804589.htm</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4"/>
          <w:szCs w:val="24"/>
          <w:highlight w:val="none"/>
        </w:rPr>
      </w:r>
      <w:r/>
    </w:p>
    <w:p>
      <w:pPr>
        <w:pStyle w:val="1012"/>
        <w:numPr>
          <w:ilvl w:val="2"/>
          <w:numId w:val="8"/>
        </w:numPr>
        <w:pageBreakBefore w:val="0"/>
        <w:spacing w:line="400" w:lineRule="exact"/>
        <w:widowControl w:val="off"/>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接收询问和质疑的联系部门、联系电话和通讯地址见《供应商须知资料表》。</w:t>
      </w:r>
      <w:r>
        <w:rPr>
          <w:rFonts w:hint="eastAsia" w:ascii="宋体" w:hAnsi="宋体" w:eastAsia="宋体" w:cs="宋体"/>
          <w:sz w:val="24"/>
          <w:szCs w:val="24"/>
          <w:highlight w:val="none"/>
        </w:rPr>
      </w:r>
      <w:r/>
    </w:p>
    <w:p>
      <w:pPr>
        <w:pStyle w:val="1012"/>
        <w:numPr>
          <w:ilvl w:val="0"/>
          <w:numId w:val="8"/>
        </w:numPr>
        <w:ind w:left="357" w:hanging="357"/>
        <w:pageBreakBefore w:val="0"/>
        <w:spacing w:line="400" w:lineRule="exact"/>
        <w:widowControl w:val="off"/>
        <w:tabs>
          <w:tab w:val="left" w:pos="360" w:leader="none"/>
          <w:tab w:val="left" w:pos="900"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代理费</w:t>
      </w:r>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收费对象、收费标准及缴纳时间见《供应商须知资料表》。由成交供应商支付的，成交供应商须一次性向采购代理机构缴纳代理费，报价应包含代理费用。</w:t>
      </w:r>
      <w:bookmarkStart w:id="612" w:name="_Toc226337250"/>
      <w:r/>
      <w:bookmarkStart w:id="613" w:name="_Toc305158896"/>
      <w:r/>
      <w:bookmarkStart w:id="614" w:name="_Toc305158822"/>
      <w:r/>
      <w:bookmarkStart w:id="615" w:name="_Toc264969244"/>
      <w:r/>
      <w:bookmarkStart w:id="616" w:name="_Toc150480792"/>
      <w:r/>
      <w:bookmarkStart w:id="617" w:name="_Toc353873664"/>
      <w:r/>
      <w:bookmarkStart w:id="618" w:name="_Toc127151554"/>
      <w:r/>
      <w:bookmarkStart w:id="619" w:name="_Toc142311056"/>
      <w:r/>
      <w:bookmarkStart w:id="620" w:name="_Toc226965827"/>
      <w:r/>
      <w:bookmarkStart w:id="621" w:name="_Toc150774759"/>
      <w:r/>
      <w:bookmarkStart w:id="622" w:name="_Toc265228392"/>
      <w:r/>
      <w:bookmarkStart w:id="623" w:name="_Toc353873934"/>
      <w:r/>
      <w:bookmarkStart w:id="624" w:name="_Toc353825544"/>
      <w:r>
        <w:rPr>
          <w:rFonts w:hint="eastAsia" w:ascii="宋体" w:hAnsi="宋体" w:eastAsia="宋体" w:cs="宋体"/>
          <w:sz w:val="24"/>
          <w:szCs w:val="24"/>
          <w:highlight w:val="none"/>
        </w:rPr>
      </w:r>
      <w:r/>
    </w:p>
    <w:p>
      <w:pPr>
        <w:pStyle w:val="101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ascii="宋体" w:hAnsi="宋体" w:eastAsia="宋体" w:cs="宋体"/>
          <w:sz w:val="24"/>
          <w:szCs w:val="24"/>
          <w:highlight w:val="none"/>
        </w:rPr>
        <w:sectPr>
          <w:footerReference w:type="even" r:id="rId16"/>
          <w:footnotePr/>
          <w:endnotePr/>
          <w:type w:val="nextPage"/>
          <w:pgSz w:w="11907" w:h="16840" w:orient="portrait"/>
          <w:pgMar w:top="1417" w:right="1417" w:bottom="1417" w:left="1417" w:header="851" w:footer="850" w:gutter="0"/>
          <w:cols w:num="1" w:sep="0" w:space="1701" w:equalWidth="1"/>
          <w:docGrid w:linePitch="360"/>
        </w:sectPr>
      </w:pPr>
      <w:r>
        <w:rPr>
          <w:rFonts w:hint="eastAsia" w:ascii="宋体" w:hAnsi="宋体" w:eastAsia="宋体" w:cs="宋体"/>
          <w:sz w:val="24"/>
          <w:szCs w:val="24"/>
          <w:highlight w:val="none"/>
        </w:rPr>
      </w:r>
      <w:r/>
    </w:p>
    <w:p>
      <w:pPr>
        <w:pStyle w:val="1012"/>
        <w:jc w:val="center"/>
        <w:spacing w:line="360" w:lineRule="auto"/>
        <w:rPr>
          <w:b/>
          <w:sz w:val="36"/>
          <w:szCs w:val="36"/>
          <w:highlight w:val="none"/>
        </w:rPr>
        <w:outlineLvl w:val="0"/>
      </w:pPr>
      <w:r/>
      <w:bookmarkStart w:id="625" w:name="_Toc99301375"/>
      <w:r>
        <w:rPr>
          <w:b/>
          <w:sz w:val="36"/>
          <w:szCs w:val="36"/>
          <w:highlight w:val="none"/>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Hlk97413531"/>
      <w:r/>
      <w:bookmarkStart w:id="627" w:name="_Toc487900382"/>
      <w:r>
        <w:rPr>
          <w:b/>
          <w:sz w:val="36"/>
          <w:szCs w:val="36"/>
          <w:highlight w:val="none"/>
        </w:rPr>
        <w:t xml:space="preserve">评审程序和</w:t>
      </w:r>
      <w:bookmarkEnd w:id="626"/>
      <w:r>
        <w:rPr>
          <w:b/>
          <w:sz w:val="36"/>
          <w:szCs w:val="36"/>
          <w:highlight w:val="none"/>
        </w:rPr>
        <w:t xml:space="preserve">评定成交的标准</w:t>
      </w:r>
      <w:bookmarkEnd w:id="625"/>
      <w:r>
        <w:rPr>
          <w:b/>
          <w:sz w:val="36"/>
          <w:szCs w:val="36"/>
          <w:highlight w:val="none"/>
        </w:rPr>
      </w:r>
      <w:r/>
    </w:p>
    <w:p>
      <w:pPr>
        <w:pStyle w:val="1012"/>
        <w:numPr>
          <w:ilvl w:val="0"/>
          <w:numId w:val="11"/>
        </w:numPr>
        <w:keepLines w:val="0"/>
        <w:keepNext w:val="0"/>
        <w:pageBreakBefore w:val="0"/>
        <w:spacing w:line="400" w:lineRule="exact"/>
        <w:widowControl w:val="off"/>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响应文件的资格审查和符合性审查</w:t>
      </w:r>
      <w:r>
        <w:rPr>
          <w:rFonts w:hint="eastAsia" w:ascii="宋体" w:hAnsi="宋体" w:eastAsia="宋体" w:cs="宋体"/>
          <w:sz w:val="24"/>
          <w:highlight w:val="none"/>
        </w:rPr>
      </w:r>
      <w:r/>
    </w:p>
    <w:p>
      <w:pPr>
        <w:pStyle w:val="1012"/>
        <w:numPr>
          <w:ilvl w:val="1"/>
          <w:numId w:val="12"/>
        </w:numPr>
        <w:ind w:left="900" w:hanging="480"/>
        <w:keepLines w:val="0"/>
        <w:keepNext w:val="0"/>
        <w:pageBreakBefore w:val="0"/>
        <w:spacing w:line="400" w:lineRule="exact"/>
        <w:widowControl w:val="off"/>
        <w:tabs>
          <w:tab w:val="left" w:pos="360" w:leader="none"/>
          <w:tab w:val="left" w:pos="426" w:leader="none"/>
          <w:tab w:val="left" w:pos="900" w:leader="none"/>
          <w:tab w:val="left" w:pos="1589"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谈判小组将根据《</w:t>
      </w:r>
      <w:r>
        <w:rPr>
          <w:rFonts w:hint="eastAsia" w:ascii="宋体" w:hAnsi="宋体" w:eastAsia="宋体" w:cs="宋体"/>
          <w:sz w:val="24"/>
          <w:highlight w:val="none"/>
        </w:rPr>
        <w:t xml:space="preserve">资格审查要求》和《符合性审查要求</w:t>
      </w:r>
      <w:r>
        <w:rPr>
          <w:rFonts w:hint="eastAsia" w:ascii="宋体" w:hAnsi="宋体" w:eastAsia="宋体" w:cs="宋体"/>
          <w:color w:val="000000"/>
          <w:sz w:val="24"/>
          <w:highlight w:val="none"/>
        </w:rPr>
        <w:t xml:space="preserve">》中规定的内容，对供应商进行审查，并形成审查结果。供应商《响应文件》有任何一项不符合《资格审查要求》的，视为未实质性响应谈判文件。未实质性响应谈判文件的响应文件</w:t>
      </w:r>
      <w:r>
        <w:rPr>
          <w:rFonts w:hint="eastAsia" w:ascii="宋体" w:hAnsi="宋体" w:eastAsia="宋体" w:cs="宋体"/>
          <w:b/>
          <w:bCs/>
          <w:color w:val="000000"/>
          <w:sz w:val="24"/>
          <w:highlight w:val="none"/>
        </w:rPr>
        <w:t xml:space="preserve">按无效处理</w:t>
      </w:r>
      <w:r>
        <w:rPr>
          <w:rFonts w:hint="eastAsia" w:ascii="宋体" w:hAnsi="宋体" w:eastAsia="宋体" w:cs="宋体"/>
          <w:color w:val="000000"/>
          <w:sz w:val="24"/>
          <w:highlight w:val="none"/>
        </w:rPr>
        <w:t xml:space="preserve">，谈判小组应当告知有关供应商。</w:t>
      </w:r>
      <w:r>
        <w:rPr>
          <w:rFonts w:hint="eastAsia" w:ascii="宋体" w:hAnsi="宋体" w:eastAsia="宋体" w:cs="宋体"/>
          <w:color w:val="000000"/>
          <w:sz w:val="24"/>
          <w:highlight w:val="none"/>
        </w:rPr>
      </w:r>
      <w:r/>
    </w:p>
    <w:p>
      <w:pPr>
        <w:pStyle w:val="1012"/>
        <w:numPr>
          <w:ilvl w:val="1"/>
          <w:numId w:val="12"/>
        </w:numPr>
        <w:ind w:left="900" w:hanging="480"/>
        <w:keepLines w:val="0"/>
        <w:keepNext w:val="0"/>
        <w:pageBreakBefore w:val="0"/>
        <w:spacing w:line="400" w:lineRule="exact"/>
        <w:widowControl w:val="off"/>
        <w:tabs>
          <w:tab w:val="left" w:pos="360" w:leader="none"/>
          <w:tab w:val="left" w:pos="426" w:leader="none"/>
          <w:tab w:val="left" w:pos="900" w:leader="none"/>
          <w:tab w:val="left" w:pos="1589"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《资格审查要求》中对格式有要求的，除谈判文件另有规定外，均为“实质性格式”文件。</w:t>
      </w:r>
      <w:r>
        <w:rPr>
          <w:rFonts w:hint="eastAsia" w:ascii="宋体" w:hAnsi="宋体" w:eastAsia="宋体" w:cs="宋体"/>
          <w:color w:val="000000"/>
          <w:sz w:val="24"/>
          <w:highlight w:val="none"/>
        </w:rPr>
      </w:r>
      <w:r/>
    </w:p>
    <w:p>
      <w:pPr>
        <w:pStyle w:val="1012"/>
        <w:numPr>
          <w:ilvl w:val="1"/>
          <w:numId w:val="12"/>
        </w:numPr>
        <w:ind w:left="900" w:hanging="480"/>
        <w:keepLines w:val="0"/>
        <w:keepNext w:val="0"/>
        <w:pageBreakBefore w:val="0"/>
        <w:spacing w:line="400" w:lineRule="exact"/>
        <w:widowControl w:val="off"/>
        <w:tabs>
          <w:tab w:val="left" w:pos="360" w:leader="none"/>
          <w:tab w:val="left" w:pos="426" w:leader="none"/>
          <w:tab w:val="left" w:pos="900" w:leader="none"/>
          <w:tab w:val="left" w:pos="1589"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《资格审查要求》见下表：</w:t>
      </w:r>
      <w:r>
        <w:rPr>
          <w:rFonts w:hint="eastAsia" w:ascii="宋体" w:hAnsi="宋体" w:eastAsia="宋体" w:cs="宋体"/>
          <w:color w:val="000000"/>
          <w:sz w:val="24"/>
          <w:highlight w:val="none"/>
        </w:rPr>
      </w:r>
      <w:r/>
    </w:p>
    <w:p>
      <w:pPr>
        <w:pStyle w:val="1012"/>
        <w:jc w:val="center"/>
        <w:spacing w:line="360" w:lineRule="auto"/>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资格审查要求</w:t>
      </w:r>
      <w:r>
        <w:rPr>
          <w:rFonts w:hint="eastAsia" w:ascii="宋体" w:hAnsi="宋体" w:eastAsia="宋体" w:cs="宋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9"/>
        <w:gridCol w:w="1809"/>
      </w:tblGrid>
      <w:tr>
        <w:trPr>
          <w:cantSplit/>
          <w:trHeight w:val="20"/>
          <w:tblHeader/>
        </w:trPr>
        <w:tc>
          <w:tcPr>
            <w:tcW w:w="375" w:type="dxa"/>
            <w:vAlign w:val="center"/>
            <w:textDirection w:val="lrTb"/>
            <w:noWrap w:val="false"/>
          </w:tcPr>
          <w:p>
            <w:pPr>
              <w:pStyle w:val="101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rPr>
                <w:rFonts w:hint="eastAsia" w:ascii="宋体" w:hAnsi="宋体" w:eastAsia="宋体" w:cs="宋体"/>
                <w:b/>
                <w:sz w:val="24"/>
                <w:highlight w:val="none"/>
              </w:rPr>
            </w:r>
            <w:r/>
          </w:p>
        </w:tc>
        <w:tc>
          <w:tcPr>
            <w:tcW w:w="1014" w:type="dxa"/>
            <w:vAlign w:val="center"/>
            <w:textDirection w:val="lrTb"/>
            <w:noWrap w:val="false"/>
          </w:tcPr>
          <w:p>
            <w:pPr>
              <w:pStyle w:val="101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rPr>
                <w:rFonts w:hint="eastAsia" w:ascii="宋体" w:hAnsi="宋体" w:eastAsia="宋体" w:cs="宋体"/>
                <w:b/>
                <w:sz w:val="24"/>
                <w:highlight w:val="none"/>
              </w:rPr>
            </w:r>
            <w:r/>
          </w:p>
        </w:tc>
        <w:tc>
          <w:tcPr>
            <w:tcW w:w="2636" w:type="dxa"/>
            <w:vAlign w:val="center"/>
            <w:textDirection w:val="lrTb"/>
            <w:noWrap w:val="false"/>
          </w:tcPr>
          <w:p>
            <w:pPr>
              <w:pStyle w:val="101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rPr>
                <w:rFonts w:hint="eastAsia" w:ascii="宋体" w:hAnsi="宋体" w:eastAsia="宋体" w:cs="宋体"/>
                <w:b/>
                <w:sz w:val="24"/>
                <w:highlight w:val="none"/>
              </w:rPr>
            </w:r>
            <w:r/>
          </w:p>
        </w:tc>
        <w:tc>
          <w:tcPr>
            <w:tcW w:w="973" w:type="dxa"/>
            <w:vAlign w:val="center"/>
            <w:textDirection w:val="lrTb"/>
            <w:noWrap w:val="false"/>
          </w:tcPr>
          <w:p>
            <w:pPr>
              <w:pStyle w:val="101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rPr>
                <w:rFonts w:hint="eastAsia" w:ascii="宋体" w:hAnsi="宋体" w:eastAsia="宋体" w:cs="宋体"/>
                <w:b/>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具体规定见第一章《采购邀请》</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供应商资格声明函</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提供了符合采购文件要求的《供应商资格声明函》。</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格式见《响应文件格式》</w:t>
            </w: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供应商信用记录</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查询渠道：信用中国网站和中国政府采购网（www.creditchina.gov.cn、www.ccgp.gov.cn）；</w:t>
            </w:r>
            <w:r>
              <w:rPr>
                <w:rFonts w:hint="eastAsia" w:ascii="宋体" w:hAnsi="宋体" w:eastAsia="宋体" w:cs="宋体"/>
                <w:sz w:val="24"/>
                <w:highlight w:val="none"/>
              </w:rPr>
            </w:r>
            <w:r/>
          </w:p>
          <w:p>
            <w:pPr>
              <w:pStyle w:val="1012"/>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截止时点：提交响应文件截止时间以后、资格审查阶段采购人或采购代理机构的实际查询时间；</w:t>
            </w:r>
            <w:r>
              <w:rPr>
                <w:rFonts w:hint="eastAsia" w:ascii="宋体" w:hAnsi="宋体" w:eastAsia="宋体" w:cs="宋体"/>
                <w:sz w:val="24"/>
                <w:highlight w:val="none"/>
              </w:rPr>
            </w:r>
            <w:r/>
          </w:p>
          <w:p>
            <w:pPr>
              <w:pStyle w:val="1012"/>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sz w:val="24"/>
                <w:highlight w:val="none"/>
              </w:rPr>
            </w:r>
            <w:r/>
          </w:p>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4"/>
                <w:highlight w:val="none"/>
              </w:rPr>
              <w:t xml:space="preserve">响应无效</w:t>
            </w:r>
            <w:r>
              <w:rPr>
                <w:rFonts w:hint="eastAsia" w:ascii="宋体" w:hAnsi="宋体" w:eastAsia="宋体" w:cs="宋体"/>
                <w:sz w:val="24"/>
                <w:highlight w:val="none"/>
              </w:rPr>
              <w:t xml:space="preserve">。联合体形式响应的，联合体成员存在不良信用记录，视同联合体存在不良信用记录。</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无须供应商提供，由采购人查询。</w:t>
            </w: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具体要求见第一章《采购邀请》</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1、供应商单独参与谈判的，应提供中小企业声明函；如为监狱企业或残疾人福利性单位，不必提供中小企业声明函，但须按注1或注2要求提供证明材料。</w:t>
            </w:r>
            <w:r>
              <w:rPr>
                <w:rFonts w:hint="eastAsia" w:ascii="宋体" w:hAnsi="宋体" w:eastAsia="宋体" w:cs="宋体"/>
                <w:bCs/>
                <w:sz w:val="24"/>
                <w:highlight w:val="none"/>
              </w:rPr>
            </w:r>
            <w:r/>
          </w:p>
          <w:p>
            <w:pPr>
              <w:pStyle w:val="1012"/>
              <w:tabs>
                <w:tab w:val="left" w:pos="108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bCs/>
                <w:sz w:val="24"/>
                <w:highlight w:val="none"/>
              </w:rPr>
            </w:r>
            <w:r/>
          </w:p>
          <w:p>
            <w:pPr>
              <w:pStyle w:val="1012"/>
              <w:tabs>
                <w:tab w:val="left" w:pos="108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bCs/>
                <w:sz w:val="24"/>
                <w:highlight w:val="none"/>
              </w:rPr>
            </w:r>
            <w:r/>
          </w:p>
          <w:p>
            <w:pPr>
              <w:pStyle w:val="1012"/>
              <w:tabs>
                <w:tab w:val="left" w:pos="1080" w:leader="none"/>
              </w:tabs>
              <w:rPr>
                <w:rFonts w:hint="eastAsia" w:ascii="宋体" w:hAnsi="宋体" w:eastAsia="宋体" w:cs="宋体"/>
                <w:b/>
                <w:sz w:val="24"/>
                <w:highlight w:val="none"/>
              </w:rPr>
            </w:pPr>
            <w:r>
              <w:rPr>
                <w:rFonts w:hint="eastAsia" w:ascii="宋体" w:hAnsi="宋体" w:eastAsia="宋体" w:cs="宋体"/>
                <w:bCs/>
                <w:sz w:val="24"/>
                <w:highlight w:val="none"/>
              </w:rPr>
              <w:t xml:space="preserve">注2：残疾人福利性单位须按谈判文件要求提供《残疾人福利性单位声明函》。</w:t>
            </w:r>
            <w:r>
              <w:rPr>
                <w:rFonts w:hint="eastAsia" w:ascii="宋体" w:hAnsi="宋体" w:eastAsia="宋体" w:cs="宋体"/>
                <w:b/>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本项目属性为工程：须提供“工程、服务”格式的中小企业声明函，</w:t>
            </w:r>
            <w:r>
              <w:rPr>
                <w:rFonts w:hint="eastAsia" w:ascii="宋体" w:hAnsi="宋体" w:eastAsia="宋体" w:cs="宋体"/>
                <w:sz w:val="24"/>
                <w:highlight w:val="none"/>
              </w:rPr>
              <w:t xml:space="preserve">格式见《响应文件格式》</w:t>
            </w: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如有，见第一章《采购邀请》</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014"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rPr>
                <w:rFonts w:hint="eastAsia" w:ascii="宋体" w:hAnsi="宋体" w:eastAsia="宋体" w:cs="宋体"/>
                <w:sz w:val="24"/>
                <w:highlight w:val="none"/>
              </w:rPr>
            </w:r>
            <w:r/>
          </w:p>
        </w:tc>
        <w:tc>
          <w:tcPr>
            <w:tcW w:w="2636"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如有，见第一章《采购邀请》</w:t>
            </w:r>
            <w:r>
              <w:rPr>
                <w:rFonts w:hint="eastAsia" w:ascii="宋体" w:hAnsi="宋体" w:eastAsia="宋体" w:cs="宋体"/>
                <w:sz w:val="24"/>
                <w:highlight w:val="none"/>
              </w:rPr>
            </w:r>
            <w:r/>
          </w:p>
        </w:tc>
        <w:tc>
          <w:tcPr>
            <w:tcW w:w="973" w:type="dxa"/>
            <w:vAlign w:val="center"/>
            <w:textDirection w:val="lrTb"/>
            <w:noWrap w:val="false"/>
          </w:tcPr>
          <w:p>
            <w:pPr>
              <w:pStyle w:val="101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4"/>
                <w:highlight w:val="none"/>
                <w:lang w:val="en-US" w:eastAsia="zh-CN" w:bidi="ar-SA"/>
              </w:rPr>
            </w:r>
            <w:r/>
          </w:p>
        </w:tc>
        <w:tc>
          <w:tcPr>
            <w:tcW w:w="1014" w:type="dxa"/>
            <w:vAlign w:val="center"/>
            <w:textDirection w:val="lrTb"/>
            <w:noWrap w:val="false"/>
          </w:tcPr>
          <w:p>
            <w:pPr>
              <w:pStyle w:val="1012"/>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szCs w:val="24"/>
                <w:highlight w:val="none"/>
                <w:lang w:val="en-US" w:eastAsia="zh-CN" w:bidi="ar-SA"/>
              </w:rPr>
            </w:r>
            <w:r/>
          </w:p>
        </w:tc>
        <w:tc>
          <w:tcPr>
            <w:tcW w:w="2636" w:type="dxa"/>
            <w:vAlign w:val="center"/>
            <w:textDirection w:val="lrTb"/>
            <w:noWrap w:val="false"/>
          </w:tcPr>
          <w:p>
            <w:pPr>
              <w:pStyle w:val="1012"/>
              <w:numPr>
                <w:ilvl w:val="0"/>
                <w:numId w:val="0"/>
              </w:numPr>
              <w:keepLines w:val="0"/>
              <w:keepNext w:val="0"/>
              <w:pageBreakBefore w:val="0"/>
              <w:spacing w:line="24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rPr>
              <w:t xml:space="preserve">供应商须具备</w:t>
            </w:r>
            <w:r>
              <w:rPr>
                <w:rFonts w:hint="eastAsia" w:ascii="宋体" w:hAnsi="宋体" w:eastAsia="宋体" w:cs="宋体"/>
                <w:b/>
                <w:bCs/>
                <w:color w:val="000000"/>
                <w:sz w:val="24"/>
                <w:highlight w:val="none"/>
                <w:lang w:eastAsia="zh-CN"/>
              </w:rPr>
              <w:t xml:space="preserve">建筑工程施工总承包三级及以上资质或防水防腐保温工程专业承包二级及以上资质</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r>
            <w:r/>
          </w:p>
          <w:p>
            <w:pPr>
              <w:pStyle w:val="1012"/>
              <w:numPr>
                <w:ilvl w:val="0"/>
                <w:numId w:val="0"/>
              </w:numPr>
              <w:keepLines w:val="0"/>
              <w:keepNext w:val="0"/>
              <w:pageBreakBefore w:val="0"/>
              <w:spacing w:line="24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highlight w:val="none"/>
              </w:rPr>
              <w:t xml:space="preserve">供应商须具备</w:t>
            </w:r>
            <w:r>
              <w:rPr>
                <w:rFonts w:hint="eastAsia" w:ascii="宋体" w:hAnsi="宋体" w:eastAsia="宋体" w:cs="宋体"/>
                <w:b/>
                <w:bCs/>
                <w:color w:val="000000"/>
                <w:sz w:val="24"/>
                <w:highlight w:val="none"/>
                <w:lang w:val="en-US" w:eastAsia="zh-CN"/>
              </w:rPr>
              <w:t xml:space="preserve">安全生产条件，并取得《安全生产许可证》；</w:t>
            </w:r>
            <w:r>
              <w:rPr>
                <w:rFonts w:hint="eastAsia" w:ascii="宋体" w:hAnsi="宋体" w:eastAsia="宋体" w:cs="宋体"/>
                <w:b/>
                <w:bCs/>
                <w:color w:val="000000"/>
                <w:sz w:val="24"/>
                <w:highlight w:val="none"/>
              </w:rPr>
            </w:r>
            <w:r/>
          </w:p>
          <w:p>
            <w:pPr>
              <w:pStyle w:val="1012"/>
              <w:numPr>
                <w:ilvl w:val="0"/>
                <w:numId w:val="0"/>
              </w:numPr>
              <w:ind w:left="0" w:firstLine="0"/>
              <w:keepLines w:val="0"/>
              <w:keepNext w:val="0"/>
              <w:pageBreakBefore w:val="0"/>
              <w:spacing w:line="24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highlight w:val="none"/>
              </w:rPr>
              <w:t xml:space="preserve">项目经理须具有</w:t>
            </w:r>
            <w:r>
              <w:rPr>
                <w:rFonts w:hint="eastAsia" w:ascii="宋体" w:hAnsi="宋体" w:eastAsia="宋体" w:cs="宋体"/>
                <w:b/>
                <w:bCs/>
                <w:color w:val="000000"/>
                <w:sz w:val="24"/>
                <w:highlight w:val="none"/>
                <w:lang w:val="en-US" w:eastAsia="zh-CN"/>
              </w:rPr>
              <w:t xml:space="preserve">建筑工程</w:t>
            </w:r>
            <w:r>
              <w:rPr>
                <w:rFonts w:hint="eastAsia" w:ascii="宋体" w:hAnsi="宋体" w:eastAsia="宋体" w:cs="宋体"/>
                <w:b/>
                <w:bCs/>
                <w:color w:val="000000"/>
                <w:sz w:val="24"/>
                <w:highlight w:val="none"/>
              </w:rPr>
              <w:t xml:space="preserve">二级及以上注册建造师执业资格</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同时具有建设行政主管部门核发的安全生产考核合格证（B 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以及社保部门出具的供应商为其缴纳的202</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12月-2026年2</w:t>
            </w:r>
            <w:r>
              <w:rPr>
                <w:rFonts w:hint="eastAsia" w:ascii="宋体" w:hAnsi="宋体" w:eastAsia="宋体" w:cs="宋体"/>
                <w:b/>
                <w:bCs/>
                <w:color w:val="000000"/>
                <w:sz w:val="24"/>
                <w:highlight w:val="none"/>
              </w:rPr>
              <w:t xml:space="preserve">月的社保证明材料</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并提供无在建承诺（格式自拟）</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W w:w="973" w:type="dxa"/>
            <w:vAlign w:val="center"/>
            <w:textDirection w:val="lrTb"/>
            <w:noWrap w:val="false"/>
          </w:tcPr>
          <w:p>
            <w:pPr>
              <w:pStyle w:val="1012"/>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提供证明文件</w:t>
            </w:r>
            <w:r>
              <w:rPr>
                <w:rFonts w:hint="eastAsia" w:ascii="宋体" w:hAnsi="宋体" w:eastAsia="宋体" w:cs="宋体"/>
                <w:color w:val="000000"/>
                <w:sz w:val="24"/>
                <w:highlight w:val="none"/>
                <w:lang w:val="en-US" w:eastAsia="zh-CN"/>
              </w:rPr>
              <w:t xml:space="preserve">扫描件</w:t>
            </w:r>
            <w:r>
              <w:rPr>
                <w:rFonts w:hint="eastAsia" w:ascii="宋体" w:hAnsi="宋体" w:eastAsia="宋体" w:cs="宋体"/>
                <w:color w:val="000000"/>
                <w:sz w:val="24"/>
                <w:szCs w:val="24"/>
                <w:highlight w:val="none"/>
                <w:lang w:val="en-US" w:eastAsia="zh-CN" w:bidi="ar-SA"/>
              </w:rPr>
            </w:r>
            <w:r/>
          </w:p>
        </w:tc>
      </w:tr>
      <w:tr>
        <w:trPr>
          <w:cantSplit/>
          <w:trHeight w:val="20"/>
        </w:trPr>
        <w:tc>
          <w:tcPr>
            <w:tcW w:w="375" w:type="dxa"/>
            <w:vAlign w:val="center"/>
            <w:textDirection w:val="lrTb"/>
            <w:noWrap w:val="false"/>
          </w:tcPr>
          <w:p>
            <w:pPr>
              <w:pStyle w:val="1012"/>
              <w:jc w:val="center"/>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highlight w:val="none"/>
                <w:lang w:val="en-US" w:eastAsia="zh-CN" w:bidi="ar-SA"/>
              </w:rPr>
            </w:r>
            <w:r/>
          </w:p>
        </w:tc>
        <w:tc>
          <w:tcPr>
            <w:tcW w:w="1014" w:type="dxa"/>
            <w:vAlign w:val="center"/>
            <w:textDirection w:val="lrTb"/>
            <w:noWrap w:val="false"/>
          </w:tcPr>
          <w:p>
            <w:pPr>
              <w:pStyle w:val="1012"/>
              <w:jc w:val="center"/>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营业执照</w:t>
            </w:r>
            <w:r>
              <w:rPr>
                <w:rFonts w:hint="eastAsia" w:ascii="宋体" w:hAnsi="宋体" w:eastAsia="宋体" w:cs="宋体"/>
                <w:color w:val="000000"/>
                <w:sz w:val="24"/>
                <w:szCs w:val="24"/>
                <w:highlight w:val="none"/>
                <w:lang w:val="en-US" w:eastAsia="zh-CN" w:bidi="ar-SA"/>
              </w:rPr>
            </w:r>
            <w:r/>
          </w:p>
        </w:tc>
        <w:tc>
          <w:tcPr>
            <w:tcW w:w="2636" w:type="dxa"/>
            <w:vAlign w:val="center"/>
            <w:textDirection w:val="lrTb"/>
            <w:noWrap w:val="false"/>
          </w:tcPr>
          <w:p>
            <w:pPr>
              <w:pStyle w:val="1012"/>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有效期内的营业执照</w:t>
            </w:r>
            <w:r>
              <w:rPr>
                <w:rFonts w:hint="eastAsia" w:ascii="宋体" w:hAnsi="宋体" w:eastAsia="宋体" w:cs="宋体"/>
                <w:color w:val="000000"/>
                <w:sz w:val="24"/>
                <w:szCs w:val="24"/>
                <w:highlight w:val="none"/>
                <w:lang w:val="en-US" w:eastAsia="zh-CN" w:bidi="ar-SA"/>
              </w:rPr>
            </w:r>
            <w:r/>
          </w:p>
        </w:tc>
        <w:tc>
          <w:tcPr>
            <w:tcW w:w="973" w:type="dxa"/>
            <w:vAlign w:val="center"/>
            <w:textDirection w:val="lrTb"/>
            <w:noWrap w:val="false"/>
          </w:tcPr>
          <w:p>
            <w:pPr>
              <w:pStyle w:val="1012"/>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提供证明文件</w:t>
            </w:r>
            <w:r>
              <w:rPr>
                <w:rFonts w:hint="eastAsia" w:ascii="宋体" w:hAnsi="宋体" w:eastAsia="宋体" w:cs="宋体"/>
                <w:color w:val="000000"/>
                <w:sz w:val="24"/>
                <w:highlight w:val="none"/>
                <w:lang w:val="en-US" w:eastAsia="zh-CN"/>
              </w:rPr>
              <w:t xml:space="preserve">扫描件</w:t>
            </w:r>
            <w:r>
              <w:rPr>
                <w:rFonts w:hint="eastAsia" w:ascii="宋体" w:hAnsi="宋体" w:eastAsia="宋体" w:cs="宋体"/>
                <w:sz w:val="24"/>
                <w:highlight w:val="none"/>
              </w:rPr>
              <w:t xml:space="preserve">或电子证照</w:t>
            </w:r>
            <w:r>
              <w:rPr>
                <w:rFonts w:hint="eastAsia" w:ascii="宋体" w:hAnsi="宋体" w:eastAsia="宋体" w:cs="宋体"/>
                <w:color w:val="000000"/>
                <w:sz w:val="24"/>
                <w:szCs w:val="24"/>
                <w:highlight w:val="none"/>
                <w:lang w:val="en-US" w:eastAsia="zh-CN" w:bidi="ar-SA"/>
              </w:rPr>
            </w:r>
            <w:r/>
          </w:p>
        </w:tc>
      </w:tr>
    </w:tbl>
    <w:p>
      <w:pPr>
        <w:pStyle w:val="1012"/>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12"/>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12"/>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r>
      <w:r>
        <w:rPr>
          <w:rFonts w:hint="eastAsia" w:ascii="宋体" w:hAnsi="宋体" w:eastAsia="宋体" w:cs="宋体"/>
          <w:sz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1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r>
      <w:r/>
    </w:p>
    <w:p>
      <w:pPr>
        <w:pStyle w:val="1012"/>
        <w:numPr>
          <w:ilvl w:val="1"/>
          <w:numId w:val="12"/>
        </w:numPr>
        <w:ind w:left="900" w:hanging="48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4"/>
          <w:highlight w:val="none"/>
        </w:rPr>
        <w:outlineLvl w:val="1"/>
      </w:pPr>
      <w:r/>
      <w:bookmarkStart w:id="628" w:name="_Toc127161490"/>
      <w:r/>
      <w:bookmarkStart w:id="629" w:name="_Toc353873940"/>
      <w:r/>
      <w:bookmarkStart w:id="630" w:name="_Toc353825550"/>
      <w:r/>
      <w:bookmarkStart w:id="631" w:name="_Toc127151779"/>
      <w:r/>
      <w:bookmarkStart w:id="632" w:name="_Toc226965858"/>
      <w:r>
        <w:rPr>
          <w:rFonts w:hint="eastAsia" w:ascii="宋体" w:hAnsi="宋体" w:eastAsia="宋体" w:cs="宋体"/>
          <w:color w:val="000000"/>
          <w:sz w:val="24"/>
          <w:highlight w:val="none"/>
        </w:rPr>
        <w:t xml:space="preserve">《符合性审查要求》见下表：</w:t>
      </w:r>
      <w:bookmarkEnd w:id="628"/>
      <w:r/>
      <w:bookmarkEnd w:id="629"/>
      <w:r/>
      <w:bookmarkEnd w:id="630"/>
      <w:r/>
      <w:bookmarkEnd w:id="631"/>
      <w:r/>
      <w:bookmarkEnd w:id="632"/>
      <w:r>
        <w:rPr>
          <w:rFonts w:hint="eastAsia" w:ascii="宋体" w:hAnsi="宋体" w:eastAsia="宋体" w:cs="宋体"/>
          <w:color w:val="000000"/>
          <w:sz w:val="24"/>
          <w:highlight w:val="none"/>
        </w:rPr>
      </w:r>
      <w:r/>
    </w:p>
    <w:p>
      <w:pPr>
        <w:pStyle w:val="1012"/>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rPr>
          <w:rFonts w:hint="eastAsia" w:ascii="宋体" w:hAnsi="宋体" w:eastAsia="宋体" w:cs="宋体"/>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8"/>
      </w:tblGrid>
      <w:tr>
        <w:trPr>
          <w:trHeight w:val="484"/>
          <w:tblHeader/>
        </w:trPr>
        <w:tc>
          <w:tcPr>
            <w:tcW w:w="403" w:type="dxa"/>
            <w:vAlign w:val="center"/>
            <w:textDirection w:val="lrTb"/>
            <w:noWrap w:val="false"/>
          </w:tcPr>
          <w:p>
            <w:pPr>
              <w:pStyle w:val="1012"/>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620" w:type="dxa"/>
            <w:vAlign w:val="center"/>
            <w:textDirection w:val="lrTb"/>
            <w:noWrap w:val="false"/>
          </w:tcPr>
          <w:p>
            <w:pPr>
              <w:pStyle w:val="1012"/>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highlight w:val="none"/>
              </w:rPr>
              <w:t xml:space="preserve">法定代表人资格证明书（或授权委托书）和政府采购供应商信用承诺书</w:t>
            </w:r>
            <w:r>
              <w:rPr>
                <w:rFonts w:hint="eastAsia" w:ascii="宋体" w:hAnsi="宋体" w:eastAsia="宋体" w:cs="宋体"/>
                <w:color w:val="000000"/>
                <w:sz w:val="24"/>
                <w:szCs w:val="24"/>
                <w:highlight w:val="none"/>
                <w:lang w:val="en-US" w:eastAsia="zh-CN" w:bidi="ar-SA"/>
              </w:rPr>
            </w:r>
            <w:r/>
          </w:p>
        </w:tc>
        <w:tc>
          <w:tcPr>
            <w:tcW w:w="3620" w:type="dxa"/>
            <w:vAlign w:val="center"/>
            <w:textDirection w:val="lrTb"/>
            <w:noWrap w:val="false"/>
          </w:tcPr>
          <w:p>
            <w:pPr>
              <w:pStyle w:val="101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按</w:t>
            </w:r>
            <w:r>
              <w:rPr>
                <w:rFonts w:hint="eastAsia" w:ascii="宋体" w:hAnsi="宋体" w:eastAsia="宋体" w:cs="宋体"/>
                <w:color w:val="000000"/>
                <w:sz w:val="24"/>
                <w:highlight w:val="none"/>
                <w:lang w:eastAsia="zh-CN"/>
              </w:rPr>
              <w:t xml:space="preserve">谈判</w:t>
            </w:r>
            <w:r>
              <w:rPr>
                <w:rFonts w:hint="eastAsia" w:ascii="宋体" w:hAnsi="宋体" w:eastAsia="宋体" w:cs="宋体"/>
                <w:color w:val="000000"/>
                <w:sz w:val="24"/>
                <w:highlight w:val="none"/>
              </w:rPr>
              <w:t xml:space="preserve">文件要求提供响应函、</w:t>
            </w:r>
            <w:r>
              <w:rPr>
                <w:rFonts w:hint="eastAsia" w:ascii="宋体" w:hAnsi="宋体" w:eastAsia="宋体" w:cs="宋体"/>
                <w:color w:val="000000"/>
                <w:sz w:val="24"/>
                <w:highlight w:val="none"/>
              </w:rPr>
              <w:t xml:space="preserve">法定代表人资格证明书（或授权委托书）和政府采购供应商信用承诺书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未将一个采购包中的内容拆开响应；</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val="en-US"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响应报价</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响应报价未</w:t>
            </w:r>
            <w:r>
              <w:rPr>
                <w:rFonts w:hint="eastAsia" w:ascii="宋体" w:hAnsi="宋体" w:eastAsia="宋体" w:cs="宋体"/>
                <w:color w:val="000000"/>
                <w:sz w:val="24"/>
                <w:highlight w:val="none"/>
              </w:rPr>
              <w:t xml:space="preserve">超过谈判文件中规定的项目/采购包预算金额或者项目/采购包最高限价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highlight w:val="none"/>
                <w:lang w:val="en-US" w:eastAsia="zh-CN"/>
              </w:rPr>
              <w:t xml:space="preserve">报价</w:t>
            </w:r>
            <w:r>
              <w:rPr>
                <w:rFonts w:hint="eastAsia" w:ascii="宋体" w:hAnsi="宋体" w:eastAsia="宋体" w:cs="宋体"/>
                <w:b/>
                <w:bCs/>
                <w:color w:val="000000"/>
                <w:sz w:val="24"/>
                <w:highlight w:val="none"/>
              </w:rPr>
              <w:t xml:space="preserve">一览表》，</w:t>
            </w:r>
            <w:r>
              <w:rPr>
                <w:rFonts w:hint="eastAsia" w:ascii="宋体" w:hAnsi="宋体" w:eastAsia="宋体" w:cs="宋体"/>
                <w:b/>
                <w:bCs/>
                <w:color w:val="000000"/>
                <w:sz w:val="24"/>
                <w:highlight w:val="none"/>
              </w:rPr>
              <w:t xml:space="preserve">格式见</w:t>
            </w:r>
            <w:r>
              <w:rPr>
                <w:rFonts w:hint="eastAsia" w:ascii="宋体" w:hAnsi="宋体" w:eastAsia="宋体" w:cs="宋体"/>
                <w:b/>
                <w:bCs/>
                <w:color w:val="000000"/>
                <w:sz w:val="24"/>
                <w:highlight w:val="none"/>
              </w:rPr>
              <w:t xml:space="preserve">《投标文件格式》</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响应文件未</w:t>
            </w:r>
            <w:r>
              <w:rPr>
                <w:rFonts w:hint="eastAsia" w:ascii="宋体" w:hAnsi="宋体" w:eastAsia="宋体" w:cs="宋体"/>
                <w:sz w:val="24"/>
                <w:highlight w:val="none"/>
              </w:rPr>
              <w:t xml:space="preserve">出现可选择性或可调整的报价（谈判文件另有规定的除外）</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提供《分项报价表》，格式见</w:t>
            </w:r>
            <w:r>
              <w:rPr>
                <w:rFonts w:hint="eastAsia" w:ascii="宋体" w:hAnsi="宋体" w:eastAsia="宋体" w:cs="宋体"/>
                <w:b/>
                <w:bCs/>
                <w:color w:val="000000"/>
                <w:sz w:val="24"/>
                <w:highlight w:val="none"/>
              </w:rPr>
              <w:t xml:space="preserve">《投标文件格式》</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响应文件中承诺的响应有效期满足谈判文件中载明的响应有效期的；</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见《响应函》）</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按照谈判文件要求签署、加盖公章的；</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标记为“实质性格式”的文件均按谈判文件要求提供；</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供应商资格声明函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中小企业声明函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eastAsia="zh-CN"/>
              </w:rPr>
              <w:t xml:space="preserve">函》、《法定代表人资格证明书（或授权委托书）》、《政府采购供应商信用承诺书》、《投标供应商管理关系或控股关系信息情况表》、</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采购需求偏离表</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和《合同条款偏离表》</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响应文件满足谈判文件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如有，</w:t>
            </w:r>
            <w:r>
              <w:rPr>
                <w:rFonts w:hint="eastAsia" w:ascii="宋体" w:hAnsi="宋体" w:eastAsia="宋体" w:cs="宋体"/>
                <w:b/>
                <w:color w:val="000000"/>
                <w:sz w:val="24"/>
                <w:highlight w:val="none"/>
              </w:rPr>
              <w:t xml:space="preserve">根据</w:t>
            </w:r>
            <w:r>
              <w:rPr>
                <w:rFonts w:hint="eastAsia" w:ascii="宋体" w:hAnsi="宋体" w:eastAsia="宋体" w:cs="宋体"/>
                <w:b/>
                <w:color w:val="000000"/>
                <w:sz w:val="24"/>
                <w:highlight w:val="none"/>
                <w:lang w:val="en-US" w:eastAsia="zh-CN"/>
              </w:rPr>
              <w:t xml:space="preserve">采购</w:t>
            </w:r>
            <w:r>
              <w:rPr>
                <w:rFonts w:hint="eastAsia" w:ascii="宋体" w:hAnsi="宋体" w:eastAsia="宋体" w:cs="宋体"/>
                <w:b/>
                <w:color w:val="000000"/>
                <w:sz w:val="24"/>
                <w:highlight w:val="none"/>
              </w:rPr>
              <w:t xml:space="preserve">文件列出的★号条款，按照序号逐项提供相关证明材料；</w:t>
            </w:r>
            <w:r>
              <w:rPr>
                <w:rFonts w:hint="eastAsia" w:ascii="宋体" w:hAnsi="宋体" w:eastAsia="宋体" w:cs="宋体"/>
                <w:b/>
                <w:bCs/>
                <w:color w:val="000000"/>
                <w:sz w:val="24"/>
                <w:highlight w:val="none"/>
              </w:rPr>
              <w:t xml:space="preserve">如没有，则无需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分包承担主体具备《供应商须知资料表》载明的资质条件且提供了资质证书电子件（如有）；</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rPr>
                <w:rFonts w:hint="eastAsia" w:ascii="宋体" w:hAnsi="宋体" w:eastAsia="宋体" w:cs="宋体"/>
                <w:color w:val="000000"/>
                <w:sz w:val="24"/>
                <w:highlight w:val="none"/>
              </w:rPr>
            </w:r>
            <w:r/>
          </w:p>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按谈判文件规定签订并提供分包意向协议原件的电子件的；</w:t>
            </w:r>
            <w:r>
              <w:rPr>
                <w:rFonts w:hint="eastAsia" w:ascii="宋体" w:hAnsi="宋体" w:eastAsia="宋体" w:cs="宋体"/>
                <w:sz w:val="24"/>
                <w:highlight w:val="none"/>
              </w:rPr>
              <w:t xml:space="preserve">（如有）</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不涉及报价修正，或响应文件报价出现前后不一致时，供应商对修正后的报价予以确认；（如有）</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highlight w:val="none"/>
              </w:rPr>
            </w:r>
            <w:r/>
          </w:p>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谈判文件不接受进口产品响应的内容时，供应商所投产品非进口产品的；</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国家有关部门对供应商的响应产品有强制性规定或要求的</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4"/>
                <w:highlight w:val="none"/>
              </w:rPr>
            </w:r>
            <w:r/>
          </w:p>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highlight w:val="none"/>
              </w:rPr>
            </w:r>
            <w:r/>
          </w:p>
          <w:p>
            <w:pPr>
              <w:pStyle w:val="1012"/>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串通响应</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4"/>
                <w:highlight w:val="none"/>
              </w:rPr>
              <w:t xml:space="preserve">（包含使用同一MAC地址的计算机制作电子响应文件的情形）</w:t>
            </w:r>
            <w:r>
              <w:rPr>
                <w:rFonts w:hint="eastAsia" w:ascii="宋体" w:hAnsi="宋体" w:eastAsia="宋体" w:cs="宋体"/>
                <w:color w:val="000000"/>
                <w:sz w:val="24"/>
                <w:highlight w:val="none"/>
              </w:rPr>
              <w:t xml:space="preserve">；（二）不同供应商委托同一单位或者个人办理响应事宜</w:t>
            </w:r>
            <w:r>
              <w:rPr>
                <w:rFonts w:hint="eastAsia" w:ascii="宋体" w:hAnsi="宋体" w:eastAsia="宋体" w:cs="宋体"/>
                <w:sz w:val="24"/>
                <w:highlight w:val="none"/>
              </w:rPr>
              <w:t xml:space="preserve">（包含使用同一MAC地址的计算机提交或者解密电子响应文件的情形）</w:t>
            </w:r>
            <w:r>
              <w:rPr>
                <w:rFonts w:hint="eastAsia" w:ascii="宋体" w:hAnsi="宋体" w:eastAsia="宋体" w:cs="宋体"/>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响应文件未含有采购人不能接受的附加条件的；</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r>
        <w:trPr>
          <w:trHeight w:val="685"/>
        </w:trPr>
        <w:tc>
          <w:tcPr>
            <w:tcW w:w="403"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rPr>
            </w:r>
            <w:r/>
          </w:p>
        </w:tc>
        <w:tc>
          <w:tcPr>
            <w:tcW w:w="975" w:type="dxa"/>
            <w:vAlign w:val="center"/>
            <w:textDirection w:val="lrTb"/>
            <w:noWrap w:val="false"/>
          </w:tcPr>
          <w:p>
            <w:pPr>
              <w:pStyle w:val="1012"/>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3620" w:type="dxa"/>
            <w:vAlign w:val="center"/>
            <w:textDirection w:val="lrTb"/>
            <w:noWrap w:val="false"/>
          </w:tcPr>
          <w:p>
            <w:pPr>
              <w:pStyle w:val="101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供应商、响应文件不存在不符合法律、法规和谈判文件规定的其他无效情形。</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谈判小组</w:t>
            </w:r>
            <w:r>
              <w:rPr>
                <w:rFonts w:hint="eastAsia" w:ascii="宋体" w:hAnsi="宋体" w:eastAsia="宋体" w:cs="宋体"/>
                <w:b/>
                <w:bCs/>
                <w:color w:val="000000"/>
                <w:sz w:val="24"/>
                <w:highlight w:val="none"/>
              </w:rPr>
              <w:t xml:space="preserve">审查，无需</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提供材料）</w:t>
            </w:r>
            <w:r>
              <w:rPr>
                <w:rFonts w:hint="eastAsia" w:ascii="宋体" w:hAnsi="宋体" w:eastAsia="宋体" w:cs="宋体"/>
                <w:color w:val="000000"/>
                <w:sz w:val="24"/>
                <w:highlight w:val="none"/>
              </w:rPr>
            </w:r>
            <w:r/>
          </w:p>
        </w:tc>
      </w:tr>
    </w:tbl>
    <w:p>
      <w:pPr>
        <w:pStyle w:val="1012"/>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012"/>
        <w:numPr>
          <w:ilvl w:val="0"/>
          <w:numId w:val="11"/>
        </w:numPr>
        <w:keepLines w:val="0"/>
        <w:keepNext w:val="0"/>
        <w:pageBreakBefore w:val="0"/>
        <w:spacing w:line="400" w:lineRule="exact"/>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谈判、响应文件有关事项的澄清、说明或者更正和最终报价</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对谈判文件作出的实质性变动是谈判文件的有效组成部分，谈判小组将及时通过</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系统以书面形式同时通知所有参加谈判的供应商。</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供应商应当按照谈判文件的变动情况和谈判小组的要求重新提交响应文件，并由其法定代表人或授权代表签字或者加盖公章。</w:t>
      </w:r>
      <w:r>
        <w:rPr>
          <w:rFonts w:hint="eastAsia" w:ascii="宋体" w:hAnsi="宋体" w:eastAsia="宋体" w:cs="宋体"/>
          <w:sz w:val="24"/>
          <w:highlight w:val="none"/>
        </w:rPr>
        <w:t xml:space="preserve">由授权代表签字的，应当附授权委托书。</w:t>
      </w:r>
      <w:r>
        <w:rPr>
          <w:rFonts w:hint="eastAsia" w:ascii="宋体" w:hAnsi="宋体" w:eastAsia="宋体" w:cs="宋体"/>
          <w:sz w:val="24"/>
          <w:highlight w:val="none"/>
        </w:rPr>
        <w:t xml:space="preserve">供应商为自然人的，应当由本人签字并附身份证明。</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响应文件的澄清、说明或者更正：</w:t>
      </w:r>
      <w:r>
        <w:rPr>
          <w:rFonts w:hint="eastAsia" w:ascii="宋体" w:hAnsi="宋体" w:eastAsia="宋体" w:cs="宋体"/>
          <w:sz w:val="24"/>
          <w:highlight w:val="none"/>
        </w:rPr>
      </w:r>
      <w:r/>
    </w:p>
    <w:p>
      <w:pPr>
        <w:pStyle w:val="1012"/>
        <w:ind w:left="1134"/>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评审过程中，谈判小组会将通过</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谈判结束后，谈判小组将要求所有实质性响应的供应商在规定时间内通过</w:t>
      </w:r>
      <w:r>
        <w:rPr>
          <w:rFonts w:hint="eastAsia" w:ascii="宋体" w:hAnsi="宋体" w:eastAsia="宋体" w:cs="宋体"/>
          <w:b/>
          <w:sz w:val="24"/>
          <w:highlight w:val="none"/>
          <w:lang w:eastAsia="zh-CN"/>
        </w:rPr>
        <w:t xml:space="preserve">“苏采云”政府采购一体化平台</w:t>
      </w:r>
      <w:r>
        <w:rPr>
          <w:rFonts w:hint="eastAsia" w:ascii="宋体" w:hAnsi="宋体" w:eastAsia="宋体" w:cs="宋体"/>
          <w:b/>
          <w:sz w:val="24"/>
          <w:highlight w:val="none"/>
        </w:rPr>
        <w:t xml:space="preserve">系统提交最终报价。</w:t>
      </w:r>
      <w:r>
        <w:rPr>
          <w:rFonts w:hint="eastAsia" w:ascii="宋体" w:hAnsi="宋体" w:eastAsia="宋体" w:cs="宋体"/>
          <w:b/>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采购异常低价审查</w:t>
      </w:r>
      <w:r>
        <w:rPr>
          <w:rFonts w:hint="eastAsia" w:ascii="宋体" w:hAnsi="宋体" w:eastAsia="宋体" w:cs="宋体"/>
          <w:b/>
          <w:bCs/>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评审中</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最终报价提交后</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rPr>
        <w:t xml:space="preserve">出现下列情形之一的，</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应当启动异常低价投标（响应）审查程序：</w:t>
      </w:r>
      <w:r>
        <w:rPr>
          <w:rFonts w:hint="eastAsia" w:ascii="宋体" w:hAnsi="宋体" w:eastAsia="宋体" w:cs="宋体"/>
          <w:sz w:val="24"/>
          <w:highlight w:val="none"/>
        </w:rPr>
      </w:r>
      <w:r/>
    </w:p>
    <w:p>
      <w:pPr>
        <w:pStyle w:val="1012"/>
        <w:numPr>
          <w:ilvl w:val="0"/>
          <w:numId w:val="0"/>
        </w:numPr>
        <w:ind w:left="1080" w:firstLine="482"/>
        <w:keepLines w:val="0"/>
        <w:keepNext w:val="0"/>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w:t>
      </w:r>
      <w:r>
        <w:rPr>
          <w:rFonts w:hint="eastAsia" w:ascii="宋体" w:hAnsi="宋体" w:eastAsia="宋体" w:cs="宋体"/>
          <w:b/>
          <w:bCs/>
          <w:sz w:val="24"/>
          <w:highlight w:val="none"/>
        </w:rPr>
        <w:t xml:space="preserve">（响应）报价低于全部通过符合性审查供应商投标（响应）报价平均值50%的，即投标（响应）报价&lt;全部通过符合性审查供应商投标（响应）报价平均值×50%；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highlight w:val="none"/>
        </w:rPr>
      </w:r>
      <w:r/>
    </w:p>
    <w:p>
      <w:pPr>
        <w:pStyle w:val="1012"/>
        <w:numPr>
          <w:ilvl w:val="0"/>
          <w:numId w:val="0"/>
        </w:numPr>
        <w:ind w:left="1080" w:firstLine="482"/>
        <w:keepLines w:val="0"/>
        <w:keepNext w:val="0"/>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highlight w:val="none"/>
        </w:rPr>
      </w:r>
      <w:r/>
    </w:p>
    <w:p>
      <w:pPr>
        <w:pStyle w:val="1012"/>
        <w:numPr>
          <w:ilvl w:val="0"/>
          <w:numId w:val="0"/>
        </w:numPr>
        <w:ind w:left="1080" w:firstLine="482"/>
        <w:keepLines w:val="0"/>
        <w:keepNext w:val="0"/>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3.投标（响应）报价低于采购项目最高限价45%的，即投标（响应）报价&lt;采购项目最高限价×45%；</w:t>
      </w:r>
      <w:r>
        <w:rPr>
          <w:rFonts w:hint="eastAsia" w:ascii="宋体" w:hAnsi="宋体" w:eastAsia="宋体" w:cs="宋体"/>
          <w:b/>
          <w:bCs/>
          <w:sz w:val="24"/>
          <w:highlight w:val="none"/>
        </w:rPr>
      </w:r>
      <w:r/>
    </w:p>
    <w:p>
      <w:pPr>
        <w:pStyle w:val="1012"/>
        <w:numPr>
          <w:ilvl w:val="0"/>
          <w:numId w:val="0"/>
        </w:numPr>
        <w:ind w:left="1080" w:firstLine="480"/>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基于专业判断，认为供应商报价过低，有可能影响产品质量或者不能诚信履约的其他情形。</w:t>
      </w:r>
      <w:r>
        <w:rPr>
          <w:rFonts w:hint="eastAsia" w:ascii="宋体" w:hAnsi="宋体" w:eastAsia="宋体" w:cs="宋体"/>
          <w:sz w:val="24"/>
          <w:highlight w:val="none"/>
        </w:rPr>
      </w:r>
      <w:r/>
    </w:p>
    <w:p>
      <w:pPr>
        <w:pStyle w:val="1012"/>
        <w:numPr>
          <w:ilvl w:val="0"/>
          <w:numId w:val="0"/>
        </w:numPr>
        <w:ind w:left="1080" w:firstLine="480"/>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相关</w:t>
      </w:r>
      <w:r>
        <w:rPr>
          <w:rFonts w:hint="eastAsia" w:ascii="宋体" w:hAnsi="宋体" w:eastAsia="宋体" w:cs="宋体"/>
          <w:sz w:val="24"/>
          <w:highlight w:val="none"/>
        </w:rPr>
        <w:t xml:space="preserve">法律</w:t>
      </w:r>
      <w:r>
        <w:rPr>
          <w:rFonts w:hint="eastAsia" w:ascii="宋体" w:hAnsi="宋体" w:eastAsia="宋体" w:cs="宋体"/>
          <w:sz w:val="24"/>
          <w:highlight w:val="none"/>
        </w:rPr>
        <w:t xml:space="preserve">法规对供应商报价有规定的，从其规定。</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应当将其作为无效投标（响应）处理。</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采购人、采购代理机构应当为</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借助互联网等渠道查询相关信息的，应当严格遵守评审工作纪律，不得实施影响评审公正的行为。</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highlight w:val="none"/>
          <w:lang w:eastAsia="zh-CN"/>
        </w:rPr>
        <w:t xml:space="preserve">谈判小组</w:t>
      </w:r>
      <w:r>
        <w:rPr>
          <w:rFonts w:hint="eastAsia" w:ascii="宋体" w:hAnsi="宋体" w:eastAsia="宋体" w:cs="宋体"/>
          <w:sz w:val="24"/>
          <w:highlight w:val="none"/>
        </w:rPr>
        <w:t xml:space="preserve">有关互联网浏览、查询历史一并归档。</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文件能够详细列明采购标的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最终报价是供应商响应文件的有效组成部分。</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已提交响应文件的供应商，在提交最终报价之前，可以根据谈判情况退出谈判。</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报价次数：</w:t>
      </w:r>
      <w:r>
        <w:rPr>
          <w:rFonts w:hint="eastAsia" w:ascii="宋体" w:hAnsi="宋体" w:eastAsia="宋体" w:cs="宋体"/>
          <w:b/>
          <w:bCs/>
          <w:sz w:val="24"/>
          <w:highlight w:val="none"/>
          <w:u w:val="single"/>
        </w:rPr>
        <w:t xml:space="preserve">按《供应商须知资料表》规定，如有多轮报价，合同单价按照最终报价同比例浮动。</w:t>
      </w:r>
      <w:r>
        <w:rPr>
          <w:rFonts w:hint="eastAsia" w:ascii="宋体" w:hAnsi="宋体" w:eastAsia="宋体" w:cs="宋体"/>
          <w:sz w:val="24"/>
          <w:highlight w:val="none"/>
        </w:rPr>
      </w:r>
      <w:r/>
    </w:p>
    <w:p>
      <w:pPr>
        <w:pStyle w:val="1012"/>
        <w:numPr>
          <w:ilvl w:val="0"/>
          <w:numId w:val="11"/>
        </w:numPr>
        <w:keepLines w:val="0"/>
        <w:keepNext w:val="0"/>
        <w:pageBreakBefore w:val="0"/>
        <w:spacing w:line="400" w:lineRule="exact"/>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最终报价的算术修正及政策调整</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eastAsia="宋体" w:cs="宋体"/>
          <w:b/>
          <w:bCs/>
          <w:sz w:val="24"/>
          <w:highlight w:val="none"/>
        </w:rPr>
        <w:t xml:space="preserve">响应无效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最终报价出现前后不一致的，按照下列规定修正：</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谈判文件对于报价修正是否另有规定：</w:t>
      </w:r>
      <w:r>
        <w:rPr>
          <w:rFonts w:hint="eastAsia" w:ascii="宋体" w:hAnsi="宋体" w:eastAsia="宋体" w:cs="宋体"/>
          <w:sz w:val="24"/>
          <w:highlight w:val="none"/>
        </w:rPr>
      </w:r>
      <w:r/>
    </w:p>
    <w:p>
      <w:pPr>
        <w:pStyle w:val="1012"/>
        <w:ind w:left="2035"/>
        <w:keepLines w:val="0"/>
        <w:keepNext w:val="0"/>
        <w:pageBreakBefore w:val="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□有，具体规定为：____________________________</w:t>
      </w:r>
      <w:r>
        <w:rPr>
          <w:rFonts w:hint="eastAsia" w:ascii="宋体" w:hAnsi="宋体" w:eastAsia="宋体" w:cs="宋体"/>
          <w:sz w:val="24"/>
          <w:highlight w:val="none"/>
          <w:u w:val="single"/>
        </w:rPr>
      </w:r>
      <w:r/>
    </w:p>
    <w:p>
      <w:pPr>
        <w:pStyle w:val="1012"/>
        <w:ind w:left="2035"/>
        <w:keepLines w:val="0"/>
        <w:keepNext w:val="0"/>
        <w:pageBreakBefore w:val="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■无，按下述3.2.2-3.2.5项规定修正。</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大写金额和小写金额不一致的，以大写金额为准；</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单价金额小数点或者百分比有明显错位的，以总价为准，并修改单价；</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总价金额与按单价汇总金额不一致的，以单价金额计算结果为准。</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同时出现两种以上不一致的，按照前款规定的顺序修正。修正后的报价经供应商书面确认后产生约束力，供应商不确认的，其</w:t>
      </w:r>
      <w:r>
        <w:rPr>
          <w:rFonts w:hint="eastAsia" w:ascii="宋体" w:hAnsi="宋体" w:eastAsia="宋体" w:cs="宋体"/>
          <w:b/>
          <w:bCs/>
          <w:sz w:val="24"/>
          <w:highlight w:val="none"/>
        </w:rPr>
        <w:t xml:space="preserve">响应无效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落实政府采购政策的价格调整：只有符合第二章《供应商须知》3.2条规定情形的，可以享受中小企业扶持政策，用扣除后的价格参加评审；否则，评审时价格不予扣除。</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本项目专门面向中小企业采购，报价不作扣除</w:t>
      </w:r>
      <w:r>
        <w:rPr>
          <w:rFonts w:hint="eastAsia" w:ascii="宋体" w:hAnsi="宋体" w:eastAsia="宋体" w:cs="宋体"/>
          <w:b/>
          <w:bCs/>
          <w:sz w:val="24"/>
          <w:highlight w:val="none"/>
          <w:u w:val="single"/>
          <w:lang w:eastAsia="zh-CN"/>
        </w:rPr>
        <w:t xml:space="preserve">）</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w:t>
      </w:r>
      <w:r>
        <w:rPr>
          <w:rFonts w:hint="eastAsia" w:ascii="宋体" w:hAnsi="宋体" w:eastAsia="宋体" w:cs="宋体"/>
          <w:color w:val="000000"/>
          <w:sz w:val="24"/>
          <w:highlight w:val="none"/>
        </w:rPr>
        <w:t xml:space="preserve">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color w:val="000000"/>
          <w:sz w:val="24"/>
          <w:highlight w:val="none"/>
        </w:rPr>
        <w:t xml:space="preserve">的扣除，用扣除</w:t>
      </w:r>
      <w:r>
        <w:rPr>
          <w:rFonts w:hint="eastAsia" w:ascii="宋体" w:hAnsi="宋体" w:eastAsia="宋体" w:cs="宋体"/>
          <w:sz w:val="24"/>
          <w:highlight w:val="none"/>
        </w:rPr>
        <w:t xml:space="preserve">后的价格参加评审。</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30%以上的联合体或者大中型企业的报价给予3%的扣除，用扣除后的价格参加评审。</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中小企业参加政府采购活动，应当按照谈判文件给定的格式出具《中小企业声明函》，否则不得享受相关中小企业扶持政策。</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残疾人福利性单位按谈判文件要求提供了《残疾人福利性单位声明函》（见附件）的，视同小微企业。</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关于无线局域网认证产品政府采购清单中的产品，优先采购的具体规定（如涉及）：____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____。</w:t>
      </w:r>
      <w:r>
        <w:rPr>
          <w:rFonts w:hint="eastAsia" w:ascii="宋体" w:hAnsi="宋体" w:eastAsia="宋体" w:cs="宋体"/>
          <w:sz w:val="24"/>
          <w:highlight w:val="none"/>
        </w:rPr>
      </w:r>
      <w:r/>
    </w:p>
    <w:p>
      <w:pPr>
        <w:pStyle w:val="1012"/>
        <w:numPr>
          <w:ilvl w:val="2"/>
          <w:numId w:val="11"/>
        </w:numPr>
        <w:keepLines w:val="0"/>
        <w:keepNext w:val="0"/>
        <w:pageBreakBefore w:val="0"/>
        <w:spacing w:line="400" w:lineRule="exact"/>
        <w:tabs>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其他为落实政府采购政策实施的优先采购（如涉及）：______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________。</w:t>
      </w:r>
      <w:r>
        <w:rPr>
          <w:rFonts w:hint="eastAsia" w:ascii="宋体" w:hAnsi="宋体" w:eastAsia="宋体" w:cs="宋体"/>
          <w:sz w:val="24"/>
          <w:highlight w:val="none"/>
        </w:rPr>
      </w:r>
      <w:r/>
    </w:p>
    <w:p>
      <w:pPr>
        <w:pStyle w:val="1012"/>
        <w:numPr>
          <w:ilvl w:val="0"/>
          <w:numId w:val="11"/>
        </w:numPr>
        <w:keepLines w:val="0"/>
        <w:keepNext w:val="0"/>
        <w:pageBreakBefore w:val="0"/>
        <w:spacing w:line="400" w:lineRule="exact"/>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谈判环节及提交最终报价后如出现以下情况的，供应商的</w:t>
      </w:r>
      <w:r>
        <w:rPr>
          <w:rFonts w:hint="eastAsia" w:ascii="宋体" w:hAnsi="宋体" w:eastAsia="宋体" w:cs="宋体"/>
          <w:b/>
          <w:bCs/>
          <w:sz w:val="24"/>
          <w:highlight w:val="none"/>
        </w:rPr>
        <w:t xml:space="preserve">响应文件无效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供应商对实质性变动不予确认的；</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不满足谈判文件★号条款或谈判文件技术指标超出谈判文件《采购需求》中主要技术参数允许偏差的最大范围的（如有）；</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未按照谈判小组规定的时间、逾期提交最终报价的；</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如供应商的最终报价超过谈判文件中规定的项目/采购包预算金额或者项目/采购包最高限价的；</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响应文件中出现可选择性或可调整的报价的（谈判文件另有规定的除外）；</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最终报价出现前后不一致，供应商对修正后的报价不予确认的；</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其他：_________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________。</w:t>
      </w:r>
      <w:r>
        <w:rPr>
          <w:rFonts w:hint="eastAsia" w:ascii="宋体" w:hAnsi="宋体" w:eastAsia="宋体" w:cs="宋体"/>
          <w:sz w:val="24"/>
          <w:highlight w:val="none"/>
        </w:rPr>
      </w:r>
      <w:r/>
    </w:p>
    <w:p>
      <w:pPr>
        <w:pStyle w:val="1012"/>
        <w:numPr>
          <w:ilvl w:val="0"/>
          <w:numId w:val="11"/>
        </w:numPr>
        <w:keepLines w:val="0"/>
        <w:keepNext w:val="0"/>
        <w:pageBreakBefore w:val="0"/>
        <w:spacing w:line="400" w:lineRule="exact"/>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评定成交的标准与确定</w:t>
      </w:r>
      <w:bookmarkStart w:id="633" w:name="_Toc305158888"/>
      <w:r/>
      <w:bookmarkStart w:id="634" w:name="_Toc226965819"/>
      <w:r/>
      <w:bookmarkStart w:id="635" w:name="_Toc226337242"/>
      <w:r/>
      <w:bookmarkStart w:id="636" w:name="_Toc226309790"/>
      <w:r/>
      <w:bookmarkStart w:id="637" w:name="_Toc151193860"/>
      <w:r/>
      <w:bookmarkStart w:id="638" w:name="_Toc164229241"/>
      <w:r/>
      <w:bookmarkStart w:id="639" w:name="_Toc150774751"/>
      <w:r/>
      <w:bookmarkStart w:id="640" w:name="_Toc142311048"/>
      <w:r/>
      <w:bookmarkStart w:id="641" w:name="_Toc150480784"/>
      <w:r/>
      <w:bookmarkStart w:id="642" w:name="_Toc127161460"/>
      <w:r/>
      <w:bookmarkStart w:id="643" w:name="_Ref467307010"/>
      <w:r/>
      <w:bookmarkStart w:id="644" w:name="_Toc151193788"/>
      <w:r/>
      <w:bookmarkStart w:id="645" w:name="_Toc265228384"/>
      <w:r/>
      <w:bookmarkStart w:id="646" w:name="_Toc164351640"/>
      <w:r/>
      <w:bookmarkStart w:id="647" w:name="_Toc164608815"/>
      <w:r/>
      <w:bookmarkStart w:id="648" w:name="_Toc195842911"/>
      <w:r/>
      <w:bookmarkStart w:id="649" w:name="_Toc150509297"/>
      <w:r/>
      <w:bookmarkStart w:id="650" w:name="_Toc520356170"/>
      <w:r/>
      <w:bookmarkStart w:id="651" w:name="_Toc226965736"/>
      <w:r/>
      <w:bookmarkStart w:id="652" w:name="_Toc151193934"/>
      <w:r/>
      <w:bookmarkStart w:id="653" w:name="_Toc127151747"/>
      <w:r/>
      <w:bookmarkStart w:id="654" w:name="_Toc151193644"/>
      <w:r/>
      <w:bookmarkStart w:id="655" w:name="_Toc164229387"/>
      <w:r/>
      <w:bookmarkStart w:id="656" w:name="_Toc151190173"/>
      <w:r/>
      <w:bookmarkStart w:id="657" w:name="_Toc127151546"/>
      <w:r/>
      <w:bookmarkStart w:id="658" w:name="_Toc305158814"/>
      <w:r/>
      <w:bookmarkStart w:id="659" w:name="_Toc151193716"/>
      <w:r/>
      <w:bookmarkStart w:id="660" w:name="_Toc150774646"/>
      <w:r/>
      <w:bookmarkStart w:id="661" w:name="_Toc264969236"/>
      <w:r/>
      <w:bookmarkStart w:id="662" w:name="_Toc164608660"/>
      <w:r/>
      <w:bookmarkStart w:id="663" w:name="_Toc149720839"/>
      <w:r>
        <w:rPr>
          <w:rFonts w:hint="eastAsia" w:ascii="宋体" w:hAnsi="宋体" w:eastAsia="宋体" w:cs="宋体"/>
          <w:sz w:val="24"/>
          <w:highlight w:val="none"/>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1872"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谈判小组要对评审结果进行复核，特别是对排名第一的、响应文件被认定为无效的情形进行重点复核。</w:t>
      </w:r>
      <w:r>
        <w:rPr>
          <w:rFonts w:hint="eastAsia" w:ascii="宋体" w:hAnsi="宋体" w:eastAsia="宋体" w:cs="宋体"/>
          <w:sz w:val="24"/>
          <w:highlight w:val="none"/>
        </w:rPr>
      </w:r>
      <w:r/>
    </w:p>
    <w:p>
      <w:pPr>
        <w:pStyle w:val="1012"/>
        <w:numPr>
          <w:ilvl w:val="0"/>
          <w:numId w:val="11"/>
        </w:numPr>
        <w:keepLines w:val="0"/>
        <w:keepNext w:val="0"/>
        <w:pageBreakBefore w:val="0"/>
        <w:spacing w:line="400" w:lineRule="exact"/>
        <w:tabs>
          <w:tab w:val="left" w:pos="360" w:leader="none"/>
          <w:tab w:val="left" w:pos="900" w:leader="none"/>
        </w:tabs>
        <w:rPr>
          <w:rFonts w:hint="eastAsia" w:ascii="宋体" w:hAnsi="宋体" w:eastAsia="宋体" w:cs="宋体"/>
          <w:sz w:val="24"/>
          <w:highlight w:val="none"/>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7"/>
      <w:r/>
      <w:bookmarkStart w:id="664" w:name="_Toc195842920"/>
      <w:r/>
      <w:bookmarkStart w:id="665" w:name="_Toc353873935"/>
      <w:r/>
      <w:bookmarkStart w:id="666" w:name="_Toc353873665"/>
      <w:r/>
      <w:bookmarkStart w:id="667" w:name="_Toc150480793"/>
      <w:r/>
      <w:bookmarkStart w:id="668" w:name="_Toc127151555"/>
      <w:r/>
      <w:bookmarkStart w:id="669" w:name="_Toc305158823"/>
      <w:r/>
      <w:bookmarkStart w:id="670" w:name="_Toc265228393"/>
      <w:r/>
      <w:bookmarkStart w:id="671" w:name="_Toc226965828"/>
      <w:r/>
      <w:bookmarkStart w:id="672" w:name="_Toc305158897"/>
      <w:r/>
      <w:bookmarkStart w:id="673" w:name="_Toc142311057"/>
      <w:r/>
      <w:bookmarkStart w:id="674" w:name="_Toc264969245"/>
      <w:r/>
      <w:bookmarkStart w:id="675" w:name="_Toc150774760"/>
      <w:r/>
      <w:bookmarkStart w:id="676" w:name="_Toc226337251"/>
      <w:r/>
      <w:bookmarkStart w:id="677" w:name="_Toc353825545"/>
      <w:r>
        <w:rPr>
          <w:rFonts w:hint="eastAsia" w:ascii="宋体" w:hAnsi="宋体" w:eastAsia="宋体" w:cs="宋体"/>
          <w:sz w:val="24"/>
          <w:highlight w:val="none"/>
        </w:rPr>
        <w:t xml:space="preserve">报告违法行为</w:t>
      </w:r>
      <w:r>
        <w:rPr>
          <w:rFonts w:hint="eastAsia" w:ascii="宋体" w:hAnsi="宋体" w:eastAsia="宋体" w:cs="宋体"/>
          <w:sz w:val="24"/>
          <w:highlight w:val="none"/>
        </w:rPr>
      </w:r>
      <w:r/>
    </w:p>
    <w:p>
      <w:pPr>
        <w:pStyle w:val="1012"/>
        <w:numPr>
          <w:ilvl w:val="1"/>
          <w:numId w:val="11"/>
        </w:numPr>
        <w:ind w:left="1077" w:hanging="720"/>
        <w:keepLines w:val="0"/>
        <w:keepNext w:val="0"/>
        <w:pageBreakBefore w:val="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谈判小组在评审过程中发现供应商有行贿、提供虚假材料或者串通等违法行为时，有向采购人、采购代理机构或者有关部门报告的职责。</w:t>
      </w:r>
      <w:r>
        <w:rPr>
          <w:rFonts w:hint="eastAsia" w:ascii="宋体" w:hAnsi="宋体" w:eastAsia="宋体" w:cs="宋体"/>
          <w:sz w:val="24"/>
          <w:highlight w:val="none"/>
        </w:rPr>
      </w:r>
      <w:r/>
    </w:p>
    <w:p>
      <w:pPr>
        <w:pStyle w:val="1012"/>
        <w:rPr>
          <w:sz w:val="24"/>
          <w:highlight w:val="none"/>
        </w:rPr>
      </w:pPr>
      <w:r>
        <w:rPr>
          <w:sz w:val="24"/>
          <w:highlight w:val="none"/>
        </w:rPr>
      </w:r>
      <w:r/>
    </w:p>
    <w:p>
      <w:pPr>
        <w:pStyle w:val="1012"/>
        <w:rPr>
          <w:sz w:val="24"/>
          <w:highlight w:val="none"/>
        </w:rPr>
      </w:pPr>
      <w:r>
        <w:rPr>
          <w:sz w:val="24"/>
          <w:highlight w:val="none"/>
        </w:rPr>
      </w:r>
      <w:r/>
    </w:p>
    <w:p>
      <w:pPr>
        <w:pStyle w:val="1012"/>
        <w:jc w:val="center"/>
        <w:spacing w:line="360" w:lineRule="auto"/>
        <w:rPr>
          <w:b/>
          <w:sz w:val="36"/>
          <w:szCs w:val="36"/>
          <w:highlight w:val="none"/>
        </w:rPr>
        <w:outlineLvl w:val="0"/>
      </w:pPr>
      <w:r>
        <w:rPr>
          <w:b/>
          <w:sz w:val="36"/>
          <w:szCs w:val="36"/>
          <w:highlight w:val="none"/>
        </w:rPr>
        <w:br w:type="page" w:clear="all"/>
      </w:r>
      <w:bookmarkStart w:id="678" w:name="_Toc99301376"/>
      <w:r>
        <w:rPr>
          <w:b/>
          <w:sz w:val="36"/>
          <w:szCs w:val="36"/>
          <w:highlight w:val="none"/>
        </w:rPr>
        <w:t xml:space="preserve">第四章   采购需求</w:t>
      </w:r>
      <w:bookmarkEnd w:id="678"/>
      <w:r>
        <w:rPr>
          <w:b/>
          <w:sz w:val="36"/>
          <w:szCs w:val="36"/>
          <w:highlight w:val="none"/>
        </w:rPr>
      </w:r>
      <w:r/>
    </w:p>
    <w:p>
      <w:pPr>
        <w:pStyle w:val="1262"/>
        <w:ind w:firstLine="480"/>
        <w:spacing w:line="400" w:lineRule="exact"/>
        <w:rPr>
          <w:rFonts w:ascii="黑体" w:hAnsi="黑体" w:eastAsia="黑体" w:cs="黑体"/>
          <w:bCs/>
          <w:color w:val="000000"/>
          <w:szCs w:val="24"/>
          <w:highlight w:val="none"/>
        </w:rPr>
      </w:pPr>
      <w:r/>
      <w:bookmarkStart w:id="679" w:name="_Toc123024251"/>
      <w:r/>
      <w:bookmarkStart w:id="680" w:name="_Toc31719"/>
      <w:r/>
      <w:bookmarkStart w:id="681" w:name="_Toc122848219"/>
      <w:r/>
      <w:bookmarkStart w:id="682" w:name="_Toc896"/>
      <w:r>
        <w:rPr>
          <w:rFonts w:hint="eastAsia" w:ascii="黑体" w:hAnsi="黑体" w:eastAsia="黑体" w:cs="黑体"/>
          <w:bCs/>
          <w:color w:val="000000"/>
          <w:szCs w:val="24"/>
          <w:highlight w:val="none"/>
        </w:rPr>
        <w:t xml:space="preserve">一、项目概述</w:t>
      </w:r>
      <w:r>
        <w:rPr>
          <w:rFonts w:ascii="黑体" w:hAnsi="黑体" w:eastAsia="黑体" w:cs="黑体"/>
          <w:bCs/>
          <w:color w:val="000000"/>
          <w:szCs w:val="24"/>
          <w:highlight w:val="none"/>
        </w:rPr>
      </w:r>
      <w:r/>
    </w:p>
    <w:p>
      <w:pPr>
        <w:pStyle w:val="1263"/>
        <w:ind w:firstLine="490"/>
        <w:spacing w:line="400" w:lineRule="exact"/>
        <w:rPr>
          <w:rFonts w:hint="eastAsia" w:hAnsi="宋体" w:eastAsia="宋体" w:cs="宋体"/>
          <w:b w:val="0"/>
          <w:bCs w:val="0"/>
          <w:color w:val="000000"/>
          <w:spacing w:val="2"/>
          <w:sz w:val="24"/>
          <w:szCs w:val="24"/>
          <w:highlight w:val="none"/>
          <w:lang w:eastAsia="zh-CN"/>
        </w:rPr>
      </w:pPr>
      <w:r/>
      <w:bookmarkEnd w:id="679"/>
      <w:r/>
      <w:bookmarkEnd w:id="680"/>
      <w:r/>
      <w:bookmarkEnd w:id="681"/>
      <w:r/>
      <w:bookmarkEnd w:id="682"/>
      <w:r>
        <w:rPr>
          <w:rFonts w:hint="eastAsia" w:hAnsi="宋体" w:cs="宋体"/>
          <w:b w:val="0"/>
          <w:bCs w:val="0"/>
          <w:color w:val="000000"/>
          <w:spacing w:val="2"/>
          <w:sz w:val="24"/>
          <w:szCs w:val="24"/>
          <w:highlight w:val="none"/>
        </w:rPr>
        <w:t xml:space="preserve">1.采购内容：</w:t>
      </w:r>
      <w:r>
        <w:rPr>
          <w:rFonts w:hint="eastAsia" w:hAnsi="宋体" w:cs="宋体"/>
          <w:b w:val="0"/>
          <w:bCs w:val="0"/>
          <w:color w:val="000000"/>
          <w:spacing w:val="2"/>
          <w:sz w:val="24"/>
          <w:szCs w:val="24"/>
          <w:highlight w:val="none"/>
          <w:lang w:eastAsia="zh-CN"/>
        </w:rPr>
        <w:t xml:space="preserve">常州科教城现代工业中心1-5号楼及惠弘楼北楼屋面防水</w:t>
      </w:r>
      <w:r>
        <w:rPr>
          <w:rFonts w:hint="eastAsia" w:hAnsi="宋体" w:eastAsia="宋体" w:cs="宋体"/>
          <w:b w:val="0"/>
          <w:bCs w:val="0"/>
          <w:color w:val="000000"/>
          <w:spacing w:val="2"/>
          <w:sz w:val="24"/>
          <w:szCs w:val="24"/>
          <w:highlight w:val="none"/>
          <w:lang w:eastAsia="zh-CN"/>
        </w:rPr>
      </w:r>
      <w:r/>
    </w:p>
    <w:p>
      <w:pPr>
        <w:pStyle w:val="1262"/>
        <w:ind w:firstLine="490"/>
        <w:spacing w:line="400" w:lineRule="exact"/>
        <w:rPr>
          <w:rFonts w:hint="eastAsia" w:ascii="黑体" w:hAnsi="黑体" w:eastAsia="宋体" w:cs="黑体"/>
          <w:b w:val="0"/>
          <w:bCs w:val="0"/>
          <w:color w:val="000000"/>
          <w:szCs w:val="24"/>
          <w:highlight w:val="none"/>
          <w:lang w:eastAsia="zh-CN"/>
        </w:rPr>
      </w:pPr>
      <w:r>
        <w:rPr>
          <w:rFonts w:hint="eastAsia" w:ascii="宋体" w:hAnsi="宋体" w:cs="宋体"/>
          <w:b w:val="0"/>
          <w:bCs w:val="0"/>
          <w:color w:val="000000"/>
          <w:spacing w:val="2"/>
          <w:szCs w:val="24"/>
          <w:highlight w:val="none"/>
        </w:rPr>
        <w:t xml:space="preserve">2.项目预算：</w:t>
      </w:r>
      <w:r>
        <w:rPr>
          <w:rFonts w:hint="eastAsia" w:ascii="宋体" w:hAnsi="宋体" w:cs="宋体"/>
          <w:b w:val="0"/>
          <w:bCs w:val="0"/>
          <w:color w:val="000000"/>
          <w:spacing w:val="2"/>
          <w:szCs w:val="24"/>
          <w:highlight w:val="none"/>
          <w:lang w:eastAsia="zh-CN"/>
        </w:rPr>
        <w:t xml:space="preserve">人民币202万元；</w:t>
      </w:r>
      <w:r>
        <w:rPr>
          <w:rFonts w:hint="eastAsia" w:ascii="宋体" w:hAnsi="宋体" w:cs="宋体"/>
          <w:b w:val="0"/>
          <w:bCs w:val="0"/>
          <w:color w:val="000000"/>
          <w:spacing w:val="2"/>
          <w:szCs w:val="24"/>
          <w:highlight w:val="none"/>
        </w:rPr>
        <w:t xml:space="preserve">项目限价：</w:t>
      </w:r>
      <w:r>
        <w:rPr>
          <w:rFonts w:hint="eastAsia" w:ascii="宋体" w:hAnsi="宋体" w:cs="宋体"/>
          <w:b w:val="0"/>
          <w:bCs w:val="0"/>
          <w:color w:val="000000"/>
          <w:spacing w:val="2"/>
          <w:szCs w:val="24"/>
          <w:highlight w:val="none"/>
          <w:lang w:eastAsia="zh-CN"/>
        </w:rPr>
        <w:t xml:space="preserve">人民币202万元</w:t>
      </w:r>
      <w:r>
        <w:rPr>
          <w:rFonts w:hint="eastAsia" w:ascii="黑体" w:hAnsi="黑体" w:eastAsia="宋体" w:cs="黑体"/>
          <w:b w:val="0"/>
          <w:bCs w:val="0"/>
          <w:color w:val="000000"/>
          <w:szCs w:val="24"/>
          <w:highlight w:val="none"/>
          <w:lang w:eastAsia="zh-CN"/>
        </w:rPr>
      </w:r>
      <w:r/>
    </w:p>
    <w:p>
      <w:pPr>
        <w:pStyle w:val="1262"/>
        <w:ind w:firstLine="490"/>
        <w:spacing w:line="400" w:lineRule="exact"/>
        <w:rPr>
          <w:rFonts w:hint="eastAsia" w:ascii="黑体" w:hAnsi="黑体" w:eastAsia="宋体" w:cs="黑体"/>
          <w:b w:val="0"/>
          <w:bCs w:val="0"/>
          <w:color w:val="000000"/>
          <w:szCs w:val="24"/>
          <w:highlight w:val="none"/>
          <w:lang w:eastAsia="zh-CN"/>
        </w:rPr>
      </w:pPr>
      <w:r>
        <w:rPr>
          <w:rFonts w:hint="eastAsia" w:ascii="宋体" w:hAnsi="宋体" w:cs="宋体"/>
          <w:b w:val="0"/>
          <w:bCs w:val="0"/>
          <w:color w:val="000000"/>
          <w:spacing w:val="2"/>
          <w:szCs w:val="24"/>
          <w:highlight w:val="none"/>
          <w:lang w:val="en-US" w:eastAsia="zh-CN"/>
        </w:rPr>
        <w:t xml:space="preserve">3</w:t>
      </w:r>
      <w:r>
        <w:rPr>
          <w:rFonts w:hint="eastAsia" w:ascii="宋体" w:hAnsi="宋体" w:cs="宋体"/>
          <w:b w:val="0"/>
          <w:bCs w:val="0"/>
          <w:color w:val="000000"/>
          <w:spacing w:val="2"/>
          <w:szCs w:val="24"/>
          <w:highlight w:val="none"/>
        </w:rPr>
        <w:t xml:space="preserve">.承包方式：包工包料</w:t>
      </w:r>
      <w:r>
        <w:rPr>
          <w:rFonts w:hint="eastAsia" w:ascii="宋体" w:hAnsi="宋体" w:cs="宋体"/>
          <w:b w:val="0"/>
          <w:bCs w:val="0"/>
          <w:color w:val="000000"/>
          <w:spacing w:val="2"/>
          <w:szCs w:val="24"/>
          <w:highlight w:val="none"/>
          <w:lang w:eastAsia="zh-CN"/>
        </w:rPr>
        <w:t xml:space="preserve">，</w:t>
      </w:r>
      <w:r>
        <w:rPr>
          <w:rFonts w:hint="eastAsia" w:hAnsi="宋体" w:cs="宋体"/>
          <w:b w:val="0"/>
          <w:bCs w:val="0"/>
          <w:color w:val="000000"/>
          <w:spacing w:val="2"/>
          <w:sz w:val="24"/>
          <w:szCs w:val="24"/>
          <w:highlight w:val="none"/>
        </w:rPr>
        <w:t xml:space="preserve">包括不限于采购文件和工程量清单要求范围内拆除、材料定制、采购、包装、运输、装卸、二次搬运、安装施工、垃圾清运、成品保护、售后服务等全部工作内容。</w:t>
      </w:r>
      <w:r>
        <w:rPr>
          <w:rFonts w:hint="eastAsia" w:ascii="黑体" w:hAnsi="黑体" w:eastAsia="宋体" w:cs="黑体"/>
          <w:b w:val="0"/>
          <w:bCs w:val="0"/>
          <w:color w:val="000000"/>
          <w:szCs w:val="24"/>
          <w:highlight w:val="none"/>
          <w:lang w:eastAsia="zh-CN"/>
        </w:rPr>
      </w:r>
      <w:r/>
    </w:p>
    <w:p>
      <w:pPr>
        <w:pStyle w:val="1262"/>
        <w:ind w:firstLine="490"/>
        <w:spacing w:line="400" w:lineRule="exact"/>
        <w:rPr>
          <w:rFonts w:ascii="黑体" w:hAnsi="黑体" w:eastAsia="宋体" w:cs="黑体"/>
          <w:b w:val="0"/>
          <w:bCs w:val="0"/>
          <w:color w:val="000000"/>
          <w:szCs w:val="24"/>
          <w:highlight w:val="none"/>
          <w:lang w:val="en-US" w:eastAsia="zh-CN"/>
        </w:rPr>
      </w:pPr>
      <w:r>
        <w:rPr>
          <w:rFonts w:hint="eastAsia" w:ascii="宋体" w:hAnsi="宋体" w:cs="宋体"/>
          <w:b w:val="0"/>
          <w:bCs w:val="0"/>
          <w:color w:val="000000"/>
          <w:spacing w:val="2"/>
          <w:szCs w:val="24"/>
          <w:highlight w:val="none"/>
          <w:lang w:val="en-US" w:eastAsia="zh-CN"/>
        </w:rPr>
        <w:t xml:space="preserve">4</w:t>
      </w:r>
      <w:r>
        <w:rPr>
          <w:rFonts w:hint="eastAsia" w:ascii="宋体" w:hAnsi="宋体" w:cs="宋体"/>
          <w:b w:val="0"/>
          <w:bCs w:val="0"/>
          <w:color w:val="000000"/>
          <w:spacing w:val="2"/>
          <w:szCs w:val="24"/>
          <w:highlight w:val="none"/>
        </w:rPr>
        <w:t xml:space="preserve">.</w:t>
      </w:r>
      <w:r>
        <w:rPr>
          <w:rFonts w:hint="eastAsia" w:ascii="宋体" w:hAnsi="宋体" w:cs="宋体"/>
          <w:b w:val="0"/>
          <w:bCs w:val="0"/>
          <w:color w:val="000000"/>
          <w:spacing w:val="2"/>
          <w:szCs w:val="24"/>
          <w:highlight w:val="none"/>
          <w:lang w:val="en-US" w:eastAsia="zh-CN"/>
        </w:rPr>
        <w:t xml:space="preserve">招标控制价</w:t>
      </w:r>
      <w:r>
        <w:rPr>
          <w:rFonts w:hint="eastAsia" w:ascii="宋体" w:hAnsi="宋体" w:cs="宋体"/>
          <w:b w:val="0"/>
          <w:bCs w:val="0"/>
          <w:color w:val="000000"/>
          <w:spacing w:val="2"/>
          <w:szCs w:val="24"/>
          <w:highlight w:val="none"/>
        </w:rPr>
        <w:t xml:space="preserve">：</w:t>
      </w:r>
      <w:r>
        <w:rPr>
          <w:rFonts w:hint="eastAsia" w:ascii="宋体" w:hAnsi="宋体" w:cs="宋体"/>
          <w:b w:val="0"/>
          <w:bCs w:val="0"/>
          <w:color w:val="000000"/>
          <w:spacing w:val="2"/>
          <w:szCs w:val="24"/>
          <w:highlight w:val="none"/>
          <w:lang w:val="en-US" w:eastAsia="zh-CN"/>
        </w:rPr>
        <w:t xml:space="preserve">详见附件</w:t>
      </w:r>
      <w:r>
        <w:rPr>
          <w:rFonts w:ascii="黑体" w:hAnsi="黑体" w:eastAsia="宋体" w:cs="黑体"/>
          <w:b w:val="0"/>
          <w:bCs w:val="0"/>
          <w:color w:val="000000"/>
          <w:szCs w:val="24"/>
          <w:highlight w:val="none"/>
          <w:lang w:val="en-US" w:eastAsia="zh-CN"/>
        </w:rPr>
      </w:r>
      <w:r/>
    </w:p>
    <w:p>
      <w:pPr>
        <w:pStyle w:val="1262"/>
        <w:ind w:firstLine="480"/>
        <w:keepLines w:val="0"/>
        <w:keepNext w:val="0"/>
        <w:pageBreakBefore w:val="0"/>
        <w:spacing w:line="400" w:lineRule="exact"/>
        <w:widowControl w:val="off"/>
        <w:rPr>
          <w:rFonts w:hint="eastAsia" w:ascii="黑体" w:hAnsi="黑体" w:eastAsia="黑体" w:cs="黑体"/>
          <w:bCs/>
          <w:color w:val="000000"/>
          <w:szCs w:val="24"/>
          <w:highlight w:val="none"/>
        </w:rPr>
      </w:pPr>
      <w:r>
        <w:rPr>
          <w:rFonts w:hint="eastAsia" w:ascii="黑体" w:hAnsi="黑体" w:eastAsia="黑体" w:cs="黑体"/>
          <w:bCs/>
          <w:color w:val="000000"/>
          <w:szCs w:val="24"/>
          <w:highlight w:val="none"/>
          <w:lang w:val="en-US" w:eastAsia="zh-CN"/>
        </w:rPr>
        <w:t xml:space="preserve">二、</w:t>
      </w:r>
      <w:r>
        <w:rPr>
          <w:rFonts w:hint="eastAsia" w:ascii="黑体" w:hAnsi="黑体" w:eastAsia="黑体" w:cs="黑体"/>
          <w:bCs/>
          <w:color w:val="000000"/>
          <w:szCs w:val="24"/>
          <w:highlight w:val="none"/>
        </w:rPr>
        <w:t xml:space="preserve">商务要求</w:t>
      </w:r>
      <w:r>
        <w:rPr>
          <w:rFonts w:hint="eastAsia" w:ascii="黑体" w:hAnsi="黑体" w:eastAsia="黑体" w:cs="黑体"/>
          <w:bCs/>
          <w:color w:val="000000"/>
          <w:szCs w:val="24"/>
          <w:highlight w:val="none"/>
        </w:rPr>
      </w:r>
      <w:r/>
    </w:p>
    <w:p>
      <w:pPr>
        <w:pStyle w:val="1012"/>
        <w:contextualSpacing/>
        <w:ind w:firstLine="482"/>
        <w:keepLines w:val="0"/>
        <w:keepNext w:val="0"/>
        <w:pageBreakBefore w:val="0"/>
        <w:spacing w:line="400" w:lineRule="exact"/>
        <w:widowControl w:val="off"/>
        <w:rPr>
          <w:b/>
          <w:bCs/>
          <w:i/>
          <w:color w:val="000000"/>
          <w:sz w:val="24"/>
          <w:highlight w:val="none"/>
        </w:rPr>
      </w:pP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一</w:t>
      </w:r>
      <w:r>
        <w:rPr>
          <w:rFonts w:hint="eastAsia"/>
          <w:b/>
          <w:bCs/>
          <w:color w:val="000000"/>
          <w:sz w:val="24"/>
          <w:highlight w:val="none"/>
          <w:lang w:eastAsia="zh-CN"/>
        </w:rPr>
        <w:t xml:space="preserve">）</w:t>
      </w:r>
      <w:r>
        <w:rPr>
          <w:b/>
          <w:bCs/>
          <w:color w:val="000000"/>
          <w:sz w:val="24"/>
          <w:highlight w:val="none"/>
        </w:rPr>
        <w:t xml:space="preserve">交付（实施）的时间（期限）和地点（范围）</w:t>
      </w:r>
      <w:r>
        <w:rPr>
          <w:b/>
          <w:bCs/>
          <w:i/>
          <w:color w:val="000000"/>
          <w:sz w:val="24"/>
          <w:highlight w:val="none"/>
        </w:rPr>
      </w:r>
      <w:r/>
    </w:p>
    <w:p>
      <w:pPr>
        <w:pStyle w:val="101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lang w:val="en-US" w:eastAsia="zh-CN"/>
        </w:rPr>
        <w:t xml:space="preserve">工期</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60天，具体开工时间以采购人通知为准</w:t>
      </w:r>
      <w:r>
        <w:rPr>
          <w:rFonts w:hint="eastAsia" w:ascii="宋体" w:hAnsi="宋体" w:cs="宋体"/>
          <w:color w:val="000000"/>
          <w:sz w:val="24"/>
          <w:highlight w:val="none"/>
        </w:rPr>
        <w:t xml:space="preserve">  </w:t>
      </w:r>
      <w:r>
        <w:rPr>
          <w:rFonts w:ascii="宋体" w:hAnsi="宋体" w:cs="宋体"/>
          <w:color w:val="000000"/>
          <w:sz w:val="24"/>
          <w:highlight w:val="none"/>
          <w:u w:val="single"/>
        </w:rPr>
      </w:r>
      <w:r/>
    </w:p>
    <w:p>
      <w:pPr>
        <w:pStyle w:val="1262"/>
        <w:ind w:firstLine="480"/>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工程地点：</w:t>
      </w:r>
      <w:r>
        <w:rPr>
          <w:rFonts w:hint="eastAsia" w:hAnsi="宋体" w:cs="宋体"/>
          <w:b w:val="0"/>
          <w:bCs w:val="0"/>
          <w:color w:val="000000"/>
          <w:spacing w:val="2"/>
          <w:sz w:val="24"/>
          <w:szCs w:val="24"/>
          <w:highlight w:val="none"/>
          <w:lang w:eastAsia="zh-CN"/>
        </w:rPr>
        <w:t xml:space="preserve">常州科教城现代工业中心</w:t>
      </w:r>
      <w:r>
        <w:rPr>
          <w:rFonts w:ascii="宋体" w:hAnsi="宋体" w:eastAsia="宋体" w:cs="宋体"/>
          <w:color w:val="000000"/>
          <w:sz w:val="24"/>
          <w:szCs w:val="24"/>
          <w:highlight w:val="none"/>
          <w:lang w:val="en-US" w:eastAsia="zh-CN" w:bidi="ar-SA"/>
        </w:rPr>
      </w:r>
      <w:r/>
    </w:p>
    <w:p>
      <w:pPr>
        <w:pStyle w:val="1012"/>
        <w:contextualSpacing/>
        <w:ind w:firstLine="482"/>
        <w:keepLines w:val="0"/>
        <w:keepNext w:val="0"/>
        <w:pageBreakBefore w:val="0"/>
        <w:spacing w:line="400" w:lineRule="exact"/>
        <w:widowControl w:val="off"/>
        <w:rPr>
          <w:b/>
          <w:bCs/>
          <w:color w:val="000000"/>
          <w:sz w:val="24"/>
          <w:highlight w:val="none"/>
        </w:rPr>
      </w:pP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二</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结算与</w:t>
      </w:r>
      <w:r>
        <w:rPr>
          <w:b/>
          <w:bCs/>
          <w:color w:val="000000"/>
          <w:sz w:val="24"/>
          <w:highlight w:val="none"/>
        </w:rPr>
        <w:t xml:space="preserve">付款条件（进度和方式）</w:t>
      </w:r>
      <w:r>
        <w:rPr>
          <w:b/>
          <w:bCs/>
          <w:color w:val="000000"/>
          <w:sz w:val="24"/>
          <w:highlight w:val="none"/>
        </w:rPr>
      </w:r>
      <w:r/>
    </w:p>
    <w:p>
      <w:pPr>
        <w:pStyle w:val="1045"/>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结算方式：</w:t>
      </w:r>
      <w:r>
        <w:rPr>
          <w:rFonts w:hint="eastAsia" w:ascii="宋体" w:hAnsi="宋体" w:eastAsia="宋体" w:cs="宋体"/>
          <w:color w:val="000000"/>
          <w:sz w:val="24"/>
          <w:szCs w:val="24"/>
          <w:highlight w:val="none"/>
          <w:lang w:val="en-US" w:eastAsia="zh-CN"/>
        </w:rPr>
      </w:r>
      <w:r/>
    </w:p>
    <w:p>
      <w:pPr>
        <w:pStyle w:val="104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本项目采用固定综合单价结算方式，经审计后按实结算。本工程结算核减率在</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%（含）以内的，审计费由</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承担；核减率超出</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超出部分</w:t>
      </w:r>
      <w:r>
        <w:rPr>
          <w:rFonts w:hint="eastAsia" w:ascii="宋体" w:hAnsi="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承担；该费用由</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从工程结算款中扣回。</w:t>
      </w:r>
      <w:r>
        <w:rPr>
          <w:rFonts w:hint="eastAsia" w:ascii="宋体" w:hAnsi="宋体" w:cs="宋体"/>
          <w:color w:val="000000"/>
          <w:sz w:val="24"/>
          <w:szCs w:val="24"/>
          <w:highlight w:val="none"/>
        </w:rPr>
      </w:r>
      <w:r/>
    </w:p>
    <w:p>
      <w:pPr>
        <w:pStyle w:val="1045"/>
        <w:ind w:firstLine="480"/>
        <w:spacing w:line="4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付款方式：</w:t>
      </w:r>
      <w:r>
        <w:rPr>
          <w:rFonts w:ascii="宋体" w:hAnsi="宋体" w:eastAsia="宋体" w:cs="宋体"/>
          <w:color w:val="000000"/>
          <w:sz w:val="24"/>
          <w:szCs w:val="24"/>
          <w:highlight w:val="none"/>
          <w:lang w:val="en-US" w:eastAsia="zh-CN"/>
        </w:rPr>
      </w:r>
      <w:r/>
    </w:p>
    <w:p>
      <w:pPr>
        <w:pStyle w:val="1045"/>
        <w:ind w:firstLine="480"/>
        <w:spacing w:line="400" w:lineRule="exact"/>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合同签订后，支付合同价款的30%作为预付款；</w:t>
      </w:r>
      <w:r>
        <w:rPr>
          <w:rFonts w:ascii="宋体" w:hAnsi="宋体" w:cs="宋体"/>
          <w:color w:val="000000"/>
          <w:sz w:val="24"/>
          <w:szCs w:val="24"/>
          <w:highlight w:val="none"/>
          <w:lang w:val="en-US"/>
        </w:rPr>
      </w:r>
      <w:r/>
    </w:p>
    <w:p>
      <w:pPr>
        <w:pStyle w:val="104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竣工验收完成，</w:t>
      </w:r>
      <w:r>
        <w:rPr>
          <w:rFonts w:hint="eastAsia" w:ascii="宋体" w:hAnsi="宋体" w:cs="宋体"/>
          <w:color w:val="000000"/>
          <w:sz w:val="24"/>
          <w:szCs w:val="24"/>
          <w:highlight w:val="none"/>
          <w:lang w:val="en-US" w:eastAsia="zh-CN"/>
        </w:rPr>
        <w:t xml:space="preserve">支付合同价款的50%；</w:t>
      </w:r>
      <w:r>
        <w:rPr>
          <w:rFonts w:hint="eastAsia" w:ascii="宋体" w:hAnsi="宋体" w:cs="宋体"/>
          <w:color w:val="000000"/>
          <w:sz w:val="24"/>
          <w:szCs w:val="24"/>
          <w:highlight w:val="none"/>
          <w:lang w:val="en-US" w:eastAsia="zh-CN"/>
        </w:rPr>
      </w:r>
      <w:r/>
    </w:p>
    <w:p>
      <w:pPr>
        <w:pStyle w:val="104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结算审计后，</w:t>
      </w:r>
      <w:r>
        <w:rPr>
          <w:rFonts w:hint="eastAsia" w:ascii="宋体" w:hAnsi="宋体" w:cs="宋体"/>
          <w:color w:val="000000"/>
          <w:sz w:val="24"/>
          <w:szCs w:val="24"/>
          <w:highlight w:val="none"/>
          <w:lang w:val="en-US" w:eastAsia="zh-CN"/>
        </w:rPr>
        <w:t xml:space="preserve">采购人付至审定价的97%；</w:t>
      </w:r>
      <w:r>
        <w:rPr>
          <w:rFonts w:hint="eastAsia" w:ascii="宋体" w:hAnsi="宋体" w:cs="宋体"/>
          <w:color w:val="000000"/>
          <w:sz w:val="24"/>
          <w:szCs w:val="24"/>
          <w:highlight w:val="none"/>
          <w:lang w:val="en-US" w:eastAsia="zh-CN"/>
        </w:rPr>
      </w:r>
      <w:r/>
    </w:p>
    <w:p>
      <w:pPr>
        <w:pStyle w:val="104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4）余款的3%（</w:t>
      </w:r>
      <w:r>
        <w:rPr>
          <w:rFonts w:hint="eastAsia" w:ascii="宋体" w:hAnsi="宋体" w:cs="宋体"/>
          <w:color w:val="000000"/>
          <w:sz w:val="24"/>
          <w:szCs w:val="24"/>
          <w:highlight w:val="none"/>
          <w:lang w:val="en-US" w:eastAsia="zh-CN"/>
        </w:rPr>
        <w:t xml:space="preserve">审定价</w:t>
      </w:r>
      <w:r>
        <w:rPr>
          <w:rFonts w:hint="eastAsia" w:ascii="宋体" w:hAnsi="宋体" w:cs="宋体"/>
          <w:color w:val="000000"/>
          <w:sz w:val="24"/>
          <w:szCs w:val="24"/>
          <w:highlight w:val="none"/>
          <w:lang w:val="en-US" w:eastAsia="zh-CN"/>
        </w:rPr>
        <w:t xml:space="preserve">），质保期满后付清（无息）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62"/>
        <w:ind w:firstLine="482"/>
        <w:spacing w:line="400" w:lineRule="exact"/>
        <w:rPr>
          <w:rFonts w:hint="eastAsia" w:ascii="宋体" w:hAnsi="宋体" w:cs="宋体"/>
          <w:b/>
          <w:bCs/>
          <w:color w:val="000000"/>
          <w:szCs w:val="24"/>
          <w:highlight w:val="none"/>
        </w:rPr>
      </w:pP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三</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报价要求</w:t>
      </w:r>
      <w:r>
        <w:rPr>
          <w:rFonts w:hint="eastAsia" w:ascii="宋体" w:hAnsi="宋体" w:cs="宋体"/>
          <w:b/>
          <w:bCs/>
          <w:color w:val="000000"/>
          <w:szCs w:val="24"/>
          <w:highlight w:val="none"/>
        </w:rPr>
      </w:r>
      <w:r/>
    </w:p>
    <w:p>
      <w:pPr>
        <w:pStyle w:val="1045"/>
        <w:ind w:left="0" w:firstLine="482"/>
        <w:keepLines w:val="0"/>
        <w:keepNext w:val="0"/>
        <w:pageBreakBefore w:val="0"/>
        <w:spacing w:after="0" w:line="400" w:lineRule="exact"/>
        <w:rPr>
          <w:rFonts w:hint="eastAsia" w:ascii="宋体" w:hAnsi="宋体" w:eastAsia="宋体" w:cs="宋体"/>
          <w:b/>
          <w:bCs/>
          <w:color w:val="000000"/>
          <w:sz w:val="24"/>
          <w:szCs w:val="24"/>
          <w:highlight w:val="none"/>
          <w:u w:val="single"/>
          <w:lang w:eastAsia="zh-CN"/>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1.本项目投标报价采用单价总价双控，即投标总价不得超出采购预算价及最高限价，且所有计价表中各项综合单价的报价均不得高于招标控制价中相对应列项综合单价，否则作为无效</w:t>
      </w:r>
      <w:r>
        <w:rPr>
          <w:rFonts w:hint="eastAsia" w:ascii="宋体" w:hAnsi="宋体" w:eastAsia="宋体" w:cs="宋体"/>
          <w:b/>
          <w:bCs/>
          <w:color w:val="000000"/>
          <w:sz w:val="24"/>
          <w:szCs w:val="24"/>
          <w:highlight w:val="none"/>
          <w:u w:val="single"/>
          <w:lang w:val="en-US" w:eastAsia="zh-CN"/>
        </w:rPr>
        <w:t xml:space="preserve">响应</w:t>
      </w:r>
      <w:r>
        <w:rPr>
          <w:rFonts w:hint="eastAsia" w:ascii="宋体" w:hAnsi="宋体" w:eastAsia="宋体" w:cs="宋体"/>
          <w:b/>
          <w:bCs/>
          <w:color w:val="000000"/>
          <w:sz w:val="24"/>
          <w:szCs w:val="24"/>
          <w:highlight w:val="none"/>
          <w:u w:val="single"/>
        </w:rPr>
        <w:t xml:space="preserve">处理。</w:t>
      </w:r>
      <w:r>
        <w:rPr>
          <w:rFonts w:hint="eastAsia" w:ascii="宋体" w:hAnsi="宋体" w:cs="宋体"/>
          <w:b/>
          <w:bCs/>
          <w:color w:val="000000"/>
          <w:sz w:val="24"/>
          <w:highlight w:val="none"/>
          <w:u w:val="single"/>
        </w:rPr>
        <w:t xml:space="preserve">不可竞争费的计取按常建【2014】279号文规定和清单、纪要的规定执行，具体为现场安全文明施工措施费、规费、税金（费率见工程量清单）</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rPr>
        <w:t xml:space="preserve">暂列金额</w:t>
      </w:r>
      <w:r>
        <w:rPr>
          <w:rFonts w:hint="eastAsia" w:ascii="宋体" w:hAnsi="宋体" w:cs="宋体"/>
          <w:b/>
          <w:bCs/>
          <w:color w:val="000000"/>
          <w:sz w:val="24"/>
          <w:highlight w:val="none"/>
          <w:u w:val="single"/>
          <w:lang w:val="en-US" w:eastAsia="zh-CN"/>
        </w:rPr>
        <w:t xml:space="preserve">和</w:t>
      </w:r>
      <w:r>
        <w:rPr>
          <w:rFonts w:hint="eastAsia" w:ascii="宋体" w:hAnsi="宋体" w:cs="宋体"/>
          <w:b/>
          <w:bCs/>
          <w:color w:val="000000"/>
          <w:sz w:val="24"/>
          <w:highlight w:val="none"/>
          <w:u w:val="single"/>
        </w:rPr>
        <w:t xml:space="preserve">暂估价，不得更改</w:t>
      </w:r>
      <w:r>
        <w:rPr>
          <w:rFonts w:hint="eastAsia" w:ascii="宋体" w:hAnsi="宋体" w:eastAsia="宋体" w:cs="宋体"/>
          <w:b/>
          <w:bCs/>
          <w:color w:val="000000"/>
          <w:sz w:val="24"/>
          <w:szCs w:val="24"/>
          <w:highlight w:val="none"/>
          <w:u w:val="single"/>
        </w:rPr>
        <w:t xml:space="preserve">，否则作为无效</w:t>
      </w:r>
      <w:r>
        <w:rPr>
          <w:rFonts w:hint="eastAsia" w:ascii="宋体" w:hAnsi="宋体" w:eastAsia="宋体" w:cs="宋体"/>
          <w:b/>
          <w:bCs/>
          <w:color w:val="000000"/>
          <w:sz w:val="24"/>
          <w:szCs w:val="24"/>
          <w:highlight w:val="none"/>
          <w:u w:val="single"/>
          <w:lang w:val="en-US" w:eastAsia="zh-CN"/>
        </w:rPr>
        <w:t xml:space="preserve">响应</w:t>
      </w:r>
      <w:r>
        <w:rPr>
          <w:rFonts w:hint="eastAsia" w:ascii="宋体" w:hAnsi="宋体" w:eastAsia="宋体" w:cs="宋体"/>
          <w:b/>
          <w:bCs/>
          <w:color w:val="000000"/>
          <w:sz w:val="24"/>
          <w:szCs w:val="24"/>
          <w:highlight w:val="none"/>
          <w:u w:val="single"/>
        </w:rPr>
        <w:t xml:space="preserve">处理</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eastAsia="zh-CN"/>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2.本工程报价采用工程量清单报价。供应商应按要求提供已标价工程量清单。已标价工程量清单包括不限于：单位工程</w:t>
      </w:r>
      <w:r>
        <w:rPr>
          <w:rFonts w:hint="eastAsia" w:ascii="宋体" w:hAnsi="宋体" w:cs="宋体"/>
          <w:color w:val="000000"/>
          <w:sz w:val="24"/>
          <w:highlight w:val="none"/>
          <w:lang w:val="en-US" w:eastAsia="zh-CN"/>
        </w:rPr>
        <w:t xml:space="preserve">投标报价</w:t>
      </w:r>
      <w:r>
        <w:rPr>
          <w:rFonts w:hint="eastAsia" w:ascii="宋体" w:hAnsi="宋体" w:cs="宋体"/>
          <w:color w:val="000000"/>
          <w:sz w:val="24"/>
          <w:highlight w:val="none"/>
        </w:rPr>
        <w:t xml:space="preserve">汇总表、分部分项工程量清单计价表、措施项目清单计价表、其他项目清单计价表、暂列金额明细表、规费、税金项目清单计价表等。</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2.1本工程采用综合单价包干，投标报价为供应商在响应文件中提出的各项支付金额的总和。</w:t>
      </w:r>
      <w:r>
        <w:rPr>
          <w:rFonts w:hint="eastAsia" w:ascii="宋体" w:hAnsi="宋体" w:cs="宋体"/>
          <w:color w:val="000000"/>
          <w:sz w:val="24"/>
          <w:highlight w:val="none"/>
        </w:rPr>
      </w:r>
      <w:r/>
    </w:p>
    <w:p>
      <w:pPr>
        <w:pStyle w:val="1045"/>
        <w:ind w:firstLine="480"/>
        <w:spacing w:line="400" w:lineRule="exact"/>
        <w:rPr>
          <w:rFonts w:hint="eastAsia" w:ascii="宋体" w:hAnsi="宋体" w:cs="宋体"/>
          <w:color w:val="000000"/>
          <w:highlight w:val="none"/>
        </w:rPr>
      </w:pPr>
      <w:r>
        <w:rPr>
          <w:rFonts w:hint="eastAsia" w:ascii="宋体" w:hAnsi="宋体" w:cs="宋体"/>
          <w:color w:val="000000"/>
          <w:highlight w:val="none"/>
        </w:rPr>
        <w:t xml:space="preserve">2.2 供应商所填报的各项基价中的各种材料单价在合同实施期间不因市场价格变化因素而变动，供应商在报综合单价时，应充分考虑企业自身实力和承受风险的能力、材料涨价、通货膨胀、政府政策、天气变化影响等因素，结算时单价不予调整。</w:t>
      </w:r>
      <w:r>
        <w:rPr>
          <w:rFonts w:hint="eastAsia" w:ascii="宋体" w:hAnsi="宋体" w:cs="宋体"/>
          <w:color w:val="000000"/>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 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优惠、下浮10%计算，其中主要材料价格依采购单位现场签证报请中介机构造价审计后确定。</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2.4采购代理机构反对盲目压低报价。</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 投标报价的编制要求：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报价应该是按采购文件规定的采购范围内工程量清单所列项目的全部费用总和，是采购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供应商应根据采购文件（含工程量清单）的有关要求，施工现场实际情况及拟定的施工方案或施工组织设计，依据企业定额和市场价格信息或参照建设行政主管部门发布的计价定额编制投标报价，供应商对投标报价的任何优惠让利均应体现在各分部分项工程、措施项目和其他项目的综合单价中，不可竞争费不得优惠让利。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（3）其他项目清单中的暂列金额，虽计入供应商的报价中，但不应视为供应商所有。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工程量清单中的工程数量是按《建设工程工程量清单计价规范》（GB50500-2013）工程量计算规则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b w:val="0"/>
          <w:bCs w:val="0"/>
          <w:color w:val="000000"/>
          <w:sz w:val="24"/>
          <w:highlight w:val="none"/>
          <w:u w:val="none"/>
        </w:rPr>
        <w:t xml:space="preserve">（5）</w:t>
      </w:r>
      <w:r>
        <w:rPr>
          <w:rFonts w:hint="eastAsia" w:ascii="宋体" w:hAnsi="宋体" w:cs="宋体"/>
          <w:color w:val="000000"/>
          <w:sz w:val="24"/>
          <w:highlight w:val="none"/>
        </w:rPr>
        <w:t xml:space="preserve">特别强调：为进一步提升施工现场管理，要求施工过程中的围墙 （围挡）、工地施工过程管理、渣土装载运输等，应认真落实执行相关配套文件精神，有关费用供应商须在项目措施费中落实。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（6）供应商应按采购人提供的工程量清单填报价格，填写的项目编码、项目名称、项目特征、计量单位、工程量必须与采购人提供的一致。</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分部分项工程费应依据2013计价规范综合单价组成内容，按分部分项工程量清单项目的特征述确定综合单价。综合单价中应考虑采购文件中要求供应商承担的风险费用。暂估单价的材料，按暂估的单价计入综合单价。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除非采购人对采购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rPr>
          <w:rFonts w:hint="eastAsia" w:ascii="宋体" w:hAnsi="宋体" w:cs="宋体"/>
          <w:color w:val="000000"/>
          <w:sz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以暂估项目形式包括在总承包范围内的工程、货物、服务属于依法必须进行招标的项目范围且达到国家规定规模标准的，应当依法进行招标。工程量清单中材料暂估价和专业工程暂估价，由成交供应商和采购人共同组织采购。</w:t>
      </w:r>
      <w:r>
        <w:rPr>
          <w:rFonts w:hint="eastAsia" w:ascii="宋体" w:hAnsi="宋体" w:cs="宋体"/>
          <w:color w:val="000000"/>
          <w:sz w:val="24"/>
          <w:highlight w:val="none"/>
        </w:rPr>
      </w:r>
      <w:r/>
    </w:p>
    <w:p>
      <w:pPr>
        <w:pStyle w:val="1045"/>
        <w:ind w:firstLine="480"/>
        <w:spacing w:line="400" w:lineRule="exact"/>
        <w:rPr>
          <w:rFonts w:ascii="宋体" w:hAnsi="宋体" w:cs="宋体"/>
          <w:color w:val="000000"/>
          <w:highlight w:val="none"/>
        </w:rPr>
      </w:pPr>
      <w:r>
        <w:rPr>
          <w:rFonts w:hint="eastAsia" w:ascii="宋体" w:hAnsi="宋体" w:cs="宋体"/>
          <w:color w:val="000000"/>
          <w:highlight w:val="none"/>
        </w:rPr>
        <w:t xml:space="preserve">2.7本工程工程量清单及编制说明中提供材料（设备）备</w:t>
      </w:r>
      <w:r>
        <w:rPr>
          <w:rFonts w:hint="eastAsia" w:ascii="宋体" w:hAnsi="宋体" w:cs="宋体"/>
          <w:color w:val="000000"/>
          <w:highlight w:val="none"/>
        </w:rPr>
        <w:t xml:space="preserve">选品牌（或规格、型号、产地）的，应在备选品牌（或规格、型号、产地）范围内自行选择一款并根据市场行情及自身实际情况进行组价、报价。采购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rPr>
          <w:rFonts w:ascii="宋体" w:hAnsi="宋体" w:cs="宋体"/>
          <w:color w:val="000000"/>
          <w:highlight w:val="none"/>
        </w:rPr>
      </w:r>
      <w:r/>
    </w:p>
    <w:p>
      <w:pPr>
        <w:pStyle w:val="1045"/>
        <w:ind w:firstLine="480"/>
        <w:spacing w:line="400" w:lineRule="exact"/>
        <w:rPr>
          <w:rFonts w:asci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供应商在投标时所报的价格包括但不限于完成该项目的旧材料的拆除、垃圾清运、材料采购、加工、制造、包装、运输、装卸、安装成品保护、售后服务等全部费用及为本项目实施所发生的水电费、组织及技术措施费、进退场费、检验试验费、材料损耗及运输装卸费、二次搬运、验收及资料归档费、风险费、利润、管理费、税金、政策性文件规定费用等所有费用。</w:t>
      </w:r>
      <w:r>
        <w:rPr>
          <w:rFonts w:ascii="宋体" w:cs="宋体"/>
          <w:color w:val="000000"/>
          <w:highlight w:val="none"/>
        </w:rPr>
      </w:r>
      <w:r/>
    </w:p>
    <w:p>
      <w:pPr>
        <w:pStyle w:val="1045"/>
        <w:ind w:firstLine="480"/>
        <w:spacing w:line="400" w:lineRule="exact"/>
        <w:rPr>
          <w:rFonts w:asci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t xml:space="preserve">.</w:t>
      </w:r>
      <w:r>
        <w:rPr>
          <w:rFonts w:hint="eastAsia" w:ascii="宋体" w:hAnsi="宋体" w:cs="宋体"/>
          <w:color w:val="000000"/>
          <w:highlight w:val="none"/>
        </w:rPr>
        <w:t xml:space="preserve">供应商报价时应充分考虑合同期限内及售后服务时所产生的一切费用，采购人不再额外支付任何费用。</w:t>
      </w:r>
      <w:r>
        <w:rPr>
          <w:rFonts w:ascii="宋体" w:cs="宋体"/>
          <w:color w:val="000000"/>
          <w:highlight w:val="none"/>
        </w:rPr>
      </w:r>
      <w:r/>
    </w:p>
    <w:p>
      <w:pPr>
        <w:pStyle w:val="1045"/>
        <w:ind w:firstLine="480"/>
        <w:spacing w:line="400" w:lineRule="exact"/>
        <w:rPr>
          <w:rFonts w:asci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t xml:space="preserve">.</w:t>
      </w:r>
      <w:r>
        <w:rPr>
          <w:rFonts w:hint="eastAsia" w:ascii="宋体" w:hAnsi="宋体" w:cs="宋体"/>
          <w:color w:val="000000"/>
          <w:highlight w:val="none"/>
        </w:rPr>
        <w:t xml:space="preserve">供应商根据采购人提供的需求清单及现场勘察情况，结合自身实力测算费用。</w:t>
      </w:r>
      <w:r>
        <w:rPr>
          <w:rFonts w:ascii="宋体" w:cs="宋体"/>
          <w:color w:val="000000"/>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6.供应商项目组人员的伙食费、住宿费、交通费用等一切费用由成交供应商负责，费用包含在报价中。</w:t>
      </w:r>
      <w:r>
        <w:rPr>
          <w:rFonts w:ascii="宋体" w:hAnsi="宋体" w:cs="宋体"/>
          <w:color w:val="000000"/>
          <w:spacing w:val="2"/>
          <w:highlight w:val="none"/>
        </w:rPr>
      </w:r>
      <w:r/>
    </w:p>
    <w:p>
      <w:pPr>
        <w:pStyle w:val="1262"/>
        <w:ind w:firstLine="482"/>
        <w:spacing w:line="400" w:lineRule="exact"/>
        <w:rPr>
          <w:rFonts w:hint="eastAsia" w:ascii="宋体" w:hAnsi="宋体" w:cs="宋体"/>
          <w:b/>
          <w:bCs/>
          <w:color w:val="000000"/>
          <w:szCs w:val="24"/>
          <w:highlight w:val="none"/>
        </w:rPr>
      </w:pPr>
      <w:r>
        <w:rPr>
          <w:rFonts w:hint="eastAsia" w:ascii="宋体" w:hAnsi="宋体" w:cs="宋体"/>
          <w:color w:val="000000"/>
          <w:spacing w:val="2"/>
          <w:sz w:val="24"/>
          <w:highlight w:val="none"/>
        </w:rPr>
        <w:t xml:space="preserve">7.由供应商原因所产生的返工或整改的一切费用（含设备、材料、人工、搬运及保管费等），由成交供应商自行承担。若未按期整改，采购人有权立即解除合同，且一切损失均由成交供应商承担。</w:t>
      </w:r>
      <w:r>
        <w:rPr>
          <w:rFonts w:hint="eastAsia" w:ascii="宋体" w:hAnsi="宋体" w:cs="宋体"/>
          <w:b/>
          <w:bCs/>
          <w:color w:val="000000"/>
          <w:szCs w:val="24"/>
          <w:highlight w:val="none"/>
        </w:rPr>
      </w:r>
      <w:r/>
    </w:p>
    <w:p>
      <w:pPr>
        <w:pStyle w:val="1012"/>
        <w:contextualSpacing/>
        <w:ind w:firstLine="482"/>
        <w:keepLines w:val="0"/>
        <w:keepNext w:val="0"/>
        <w:pageBreakBefore w:val="0"/>
        <w:spacing w:line="400" w:lineRule="exact"/>
        <w:widowControl w:val="off"/>
        <w:rPr>
          <w:rFonts w:hint="eastAsia"/>
          <w:b/>
          <w:bCs/>
          <w:color w:val="000000"/>
          <w:sz w:val="24"/>
          <w:highlight w:val="none"/>
          <w:lang w:eastAsia="zh-CN"/>
        </w:rPr>
      </w:pP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四</w:t>
      </w:r>
      <w:r>
        <w:rPr>
          <w:rFonts w:hint="eastAsia"/>
          <w:b/>
          <w:bCs/>
          <w:color w:val="000000"/>
          <w:sz w:val="24"/>
          <w:highlight w:val="none"/>
          <w:lang w:eastAsia="zh-CN"/>
        </w:rPr>
        <w:t xml:space="preserve">）售后服务（质保期）</w:t>
      </w:r>
      <w:r>
        <w:rPr>
          <w:rFonts w:hint="eastAsia"/>
          <w:b/>
          <w:bCs/>
          <w:color w:val="000000"/>
          <w:sz w:val="24"/>
          <w:highlight w:val="none"/>
          <w:lang w:eastAsia="zh-CN"/>
        </w:rPr>
      </w:r>
      <w:r/>
    </w:p>
    <w:p>
      <w:pPr>
        <w:pStyle w:val="1262"/>
        <w:ind w:firstLine="49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b/>
          <w:bCs/>
          <w:color w:val="000000"/>
          <w:spacing w:val="2"/>
          <w:szCs w:val="24"/>
          <w:highlight w:val="none"/>
          <w:u w:val="single"/>
          <w:lang w:val="en-US" w:eastAsia="zh-CN"/>
        </w:rPr>
        <w:t xml:space="preserve">1.免费</w:t>
      </w:r>
      <w:r>
        <w:rPr>
          <w:rFonts w:hint="eastAsia" w:ascii="宋体" w:hAnsi="宋体" w:cs="宋体"/>
          <w:b/>
          <w:bCs/>
          <w:color w:val="000000"/>
          <w:spacing w:val="2"/>
          <w:szCs w:val="24"/>
          <w:highlight w:val="none"/>
          <w:u w:val="single"/>
        </w:rPr>
        <w:t xml:space="preserve">质保期：</w:t>
      </w:r>
      <w:r>
        <w:rPr>
          <w:rFonts w:hint="eastAsia" w:ascii="宋体" w:hAnsi="宋体" w:cs="宋体"/>
          <w:b/>
          <w:bCs/>
          <w:color w:val="000000"/>
          <w:spacing w:val="2"/>
          <w:szCs w:val="24"/>
          <w:highlight w:val="none"/>
          <w:u w:val="single"/>
          <w:lang w:val="en-US" w:eastAsia="zh-CN"/>
        </w:rPr>
        <w:t xml:space="preserve">5年</w:t>
      </w:r>
      <w:r>
        <w:rPr>
          <w:rFonts w:hint="eastAsia" w:ascii="宋体" w:hAnsi="宋体" w:cs="宋体"/>
          <w:b/>
          <w:bCs/>
          <w:color w:val="000000"/>
          <w:spacing w:val="2"/>
          <w:szCs w:val="24"/>
          <w:highlight w:val="none"/>
          <w:u w:val="single"/>
        </w:rPr>
        <w:t xml:space="preserve">，自验收合格之日起计算</w:t>
      </w:r>
      <w:r>
        <w:rPr>
          <w:rFonts w:hint="eastAsia" w:ascii="宋体" w:hAnsi="宋体" w:cs="宋体"/>
          <w:b/>
          <w:bCs/>
          <w:color w:val="000000"/>
          <w:spacing w:val="2"/>
          <w:szCs w:val="24"/>
          <w:highlight w:val="none"/>
          <w:u w:val="single"/>
          <w:lang w:eastAsia="zh-CN"/>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应在质保期内对已交付使用的工</w:t>
      </w:r>
      <w:r>
        <w:rPr>
          <w:rFonts w:hint="eastAsia" w:ascii="宋体" w:hAnsi="宋体" w:cs="宋体"/>
          <w:color w:val="000000"/>
          <w:sz w:val="24"/>
          <w:highlight w:val="none"/>
        </w:rPr>
        <w:t xml:space="preserve">程承担保修责任。</w:t>
      </w:r>
      <w:r>
        <w:rPr>
          <w:rFonts w:ascii="宋体" w:hAnsi="宋体" w:cs="宋体"/>
          <w:color w:val="000000"/>
          <w:sz w:val="24"/>
          <w:highlight w:val="none"/>
        </w:rPr>
      </w:r>
      <w:r/>
    </w:p>
    <w:p>
      <w:pPr>
        <w:pStyle w:val="1045"/>
        <w:ind w:firstLine="48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2.</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承诺在采购人通知后</w:t>
      </w:r>
      <w:r>
        <w:rPr>
          <w:rFonts w:hint="eastAsia" w:ascii="宋体" w:hAnsi="宋体" w:cs="宋体"/>
          <w:color w:val="000000"/>
          <w:szCs w:val="22"/>
          <w:highlight w:val="none"/>
          <w:lang w:val="en-US" w:eastAsia="zh-CN"/>
        </w:rPr>
        <w:t xml:space="preserve">48</w:t>
      </w:r>
      <w:r>
        <w:rPr>
          <w:rFonts w:hint="eastAsia" w:ascii="宋体" w:hAnsi="宋体" w:cs="宋体"/>
          <w:color w:val="000000"/>
          <w:szCs w:val="22"/>
          <w:highlight w:val="none"/>
        </w:rPr>
        <w:t xml:space="preserve">小时内赶到现场并于2小时内完成应急处理。发生紧急抢修事故的，</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在接到事故通知后，应当立即到达事故现场抢修。</w:t>
      </w:r>
      <w:r>
        <w:rPr>
          <w:rFonts w:ascii="宋体" w:hAnsi="宋体" w:cs="宋体"/>
          <w:color w:val="000000"/>
          <w:szCs w:val="22"/>
          <w:highlight w:val="none"/>
        </w:rPr>
      </w:r>
      <w:r/>
    </w:p>
    <w:p>
      <w:pPr>
        <w:pStyle w:val="1045"/>
        <w:ind w:firstLine="48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3.每个维修项目完成后，经采购人验收并签字后，方为该维修项目本次维修完毕。所维修项目应保证在六个月内不再出现类似问题。</w:t>
      </w:r>
      <w:r>
        <w:rPr>
          <w:rFonts w:ascii="宋体" w:hAnsi="宋体" w:cs="宋体"/>
          <w:color w:val="000000"/>
          <w:szCs w:val="22"/>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4.质保期内，采购人对已接收使用的工程负责日常维护工作。采购人在使用过程中，发现已接收的工程存在新的缺陷或已修复的缺陷部位或部件又遭损坏的，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应负责修复，直至检验合格为止。</w:t>
      </w:r>
      <w:r>
        <w:rPr>
          <w:rFonts w:ascii="宋体" w:hAnsi="宋体" w:cs="宋体"/>
          <w:color w:val="000000"/>
          <w:sz w:val="24"/>
          <w:highlight w:val="none"/>
        </w:rPr>
      </w:r>
      <w:r/>
    </w:p>
    <w:p>
      <w:pPr>
        <w:pStyle w:val="1045"/>
        <w:ind w:firstLine="48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5.</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承诺无论以上质量缺陷属</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或采购人责任，在接到通知后，均遵守上述时间性要求不问理由地进行维修，并在维修过程中与采购人共同取证，以判断责任原因，不属</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责任的，由责任方向</w:t>
      </w:r>
      <w:r>
        <w:rPr>
          <w:rFonts w:hint="eastAsia" w:ascii="宋体" w:hAnsi="宋体" w:cs="宋体"/>
          <w:color w:val="000000"/>
          <w:szCs w:val="22"/>
          <w:highlight w:val="none"/>
          <w:lang w:eastAsia="zh-CN"/>
        </w:rPr>
        <w:t xml:space="preserve">供应商</w:t>
      </w:r>
      <w:r>
        <w:rPr>
          <w:rFonts w:hint="eastAsia" w:ascii="宋体" w:hAnsi="宋体" w:cs="宋体"/>
          <w:color w:val="000000"/>
          <w:szCs w:val="22"/>
          <w:highlight w:val="none"/>
        </w:rPr>
        <w:t xml:space="preserve">支付材料及人工费用。</w:t>
      </w:r>
      <w:r>
        <w:rPr>
          <w:rFonts w:ascii="宋体" w:hAnsi="宋体" w:cs="宋体"/>
          <w:color w:val="000000"/>
          <w:szCs w:val="22"/>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不能在合理时间内修复缺陷的，采购人可自行修复或委托其他人修复，经查明属</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原因造成的，应由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承担修复和查验的费用。</w:t>
      </w:r>
      <w:r>
        <w:rPr>
          <w:rFonts w:ascii="宋体" w:hAnsi="宋体" w:cs="宋体"/>
          <w:color w:val="000000"/>
          <w:sz w:val="24"/>
          <w:highlight w:val="none"/>
        </w:rPr>
      </w:r>
      <w:r/>
    </w:p>
    <w:p>
      <w:pPr>
        <w:pStyle w:val="1262"/>
        <w:ind w:firstLine="480"/>
        <w:keepLines w:val="0"/>
        <w:keepNext w:val="0"/>
        <w:pageBreakBefore w:val="0"/>
        <w:spacing w:line="400" w:lineRule="exact"/>
        <w:widowControl w:val="off"/>
        <w:rPr>
          <w:rFonts w:hint="eastAsia" w:ascii="黑体" w:hAnsi="黑体" w:eastAsia="黑体" w:cs="黑体"/>
          <w:bCs/>
          <w:color w:val="000000"/>
          <w:szCs w:val="24"/>
          <w:highlight w:val="none"/>
        </w:rPr>
      </w:pPr>
      <w:r>
        <w:rPr>
          <w:rFonts w:hint="eastAsia" w:ascii="宋体" w:hAnsi="宋体" w:cs="宋体"/>
          <w:color w:val="000000"/>
          <w:sz w:val="24"/>
          <w:highlight w:val="none"/>
        </w:rPr>
        <w:t xml:space="preserve">7.质保期内</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应提供充足的备品备件，以保障维修时及时更换。超过质保期后的维修只计材料成本费。</w:t>
      </w:r>
      <w:r>
        <w:rPr>
          <w:rFonts w:hint="eastAsia" w:ascii="黑体" w:hAnsi="黑体" w:eastAsia="黑体" w:cs="黑体"/>
          <w:bCs/>
          <w:color w:val="000000"/>
          <w:szCs w:val="24"/>
          <w:highlight w:val="none"/>
        </w:rPr>
      </w:r>
      <w:r/>
    </w:p>
    <w:p>
      <w:pPr>
        <w:pStyle w:val="1262"/>
        <w:ind w:firstLine="480"/>
        <w:spacing w:line="400" w:lineRule="exact"/>
        <w:rPr>
          <w:rFonts w:hint="eastAsia" w:ascii="黑体" w:hAnsi="黑体" w:eastAsia="黑体" w:cs="黑体"/>
          <w:bCs/>
          <w:color w:val="000000"/>
          <w:szCs w:val="24"/>
          <w:highlight w:val="none"/>
          <w:lang w:val="en-US" w:eastAsia="zh-CN"/>
        </w:rPr>
      </w:pPr>
      <w:r>
        <w:rPr>
          <w:rFonts w:hint="eastAsia" w:ascii="黑体" w:hAnsi="黑体" w:eastAsia="黑体" w:cs="黑体"/>
          <w:bCs/>
          <w:color w:val="000000"/>
          <w:szCs w:val="24"/>
          <w:highlight w:val="none"/>
          <w:lang w:val="en-US" w:eastAsia="zh-CN"/>
        </w:rPr>
        <w:t xml:space="preserve">三</w:t>
      </w:r>
      <w:r>
        <w:rPr>
          <w:rFonts w:hint="eastAsia" w:ascii="黑体" w:hAnsi="黑体" w:eastAsia="黑体" w:cs="黑体"/>
          <w:bCs/>
          <w:color w:val="000000"/>
          <w:szCs w:val="24"/>
          <w:highlight w:val="none"/>
        </w:rPr>
        <w:t xml:space="preserve">、</w:t>
      </w:r>
      <w:r>
        <w:rPr>
          <w:rFonts w:hint="eastAsia" w:ascii="黑体" w:hAnsi="黑体" w:eastAsia="黑体" w:cs="黑体"/>
          <w:bCs/>
          <w:color w:val="000000"/>
          <w:szCs w:val="24"/>
          <w:highlight w:val="none"/>
          <w:lang w:val="en-US" w:eastAsia="zh-CN"/>
        </w:rPr>
        <w:t xml:space="preserve">技术</w:t>
      </w:r>
      <w:r>
        <w:rPr>
          <w:rFonts w:hint="eastAsia" w:ascii="黑体" w:hAnsi="黑体" w:eastAsia="黑体" w:cs="黑体"/>
          <w:bCs/>
          <w:color w:val="000000"/>
          <w:szCs w:val="24"/>
          <w:highlight w:val="none"/>
        </w:rPr>
        <w:t xml:space="preserve">要求</w:t>
      </w:r>
      <w:r>
        <w:rPr>
          <w:rFonts w:hint="eastAsia" w:ascii="黑体" w:hAnsi="黑体" w:eastAsia="黑体" w:cs="黑体"/>
          <w:bCs/>
          <w:color w:val="000000"/>
          <w:szCs w:val="24"/>
          <w:highlight w:val="none"/>
          <w:lang w:val="en-US" w:eastAsia="zh-CN"/>
        </w:rPr>
      </w:r>
      <w:r/>
    </w:p>
    <w:p>
      <w:pPr>
        <w:pStyle w:val="1262"/>
        <w:ind w:firstLine="490"/>
        <w:spacing w:line="400" w:lineRule="exact"/>
        <w:rPr>
          <w:rFonts w:ascii="宋体" w:hAnsi="宋体" w:cs="宋体"/>
          <w:b/>
          <w:bCs/>
          <w:color w:val="000000"/>
          <w:spacing w:val="2"/>
          <w:highlight w:val="none"/>
        </w:rPr>
      </w:pPr>
      <w:r>
        <w:rPr>
          <w:rFonts w:hint="eastAsia" w:ascii="宋体" w:hAnsi="宋体" w:cs="宋体"/>
          <w:b/>
          <w:bCs/>
          <w:color w:val="000000"/>
          <w:spacing w:val="2"/>
          <w:highlight w:val="none"/>
        </w:rPr>
        <w:t xml:space="preserve">（一）施工要求</w:t>
      </w:r>
      <w:r>
        <w:rPr>
          <w:rFonts w:ascii="宋体" w:hAnsi="宋体" w:cs="宋体"/>
          <w:b/>
          <w:bCs/>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1.严格执行施工规范、安全操作规程、防火安全规定。严格按照图纸或作法说明进行施工，做好各项质量检查记录。参加竣工验收，编制工程结算，绘制竣工图。</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2.遵守国家或地方政府及有关部门对施工现场管理的规定，妥善保护好施工现场周围建筑物、设备管线不受损坏。施工中未经采购人同意或有关部门批准，不得随便拆改原建筑物结构及各种设备管线。</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3.负责做好现场保卫、消防、垃圾处理与清运等等工作</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处理好由于施工带来的扰民问题及与周围居民的关系。</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4</w:t>
      </w:r>
      <w:r>
        <w:rPr>
          <w:rFonts w:hint="eastAsia" w:ascii="宋体" w:hAnsi="宋体" w:cs="宋体"/>
          <w:color w:val="000000"/>
          <w:spacing w:val="2"/>
          <w:highlight w:val="none"/>
        </w:rPr>
        <w:t xml:space="preserve">.工程竣工未移交采购人之前，负责对现场的一切设施和工程成品进行保护。</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5</w:t>
      </w:r>
      <w:r>
        <w:rPr>
          <w:rFonts w:hint="eastAsia" w:ascii="宋体" w:hAnsi="宋体" w:cs="宋体"/>
          <w:color w:val="000000"/>
          <w:spacing w:val="2"/>
          <w:highlight w:val="none"/>
        </w:rPr>
        <w:t xml:space="preserve">.采购人有权对现场不称职或不合格的技术负责人、其他人员提出更换，成交供应商应无条件接受。</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6</w:t>
      </w:r>
      <w:r>
        <w:rPr>
          <w:rFonts w:hint="eastAsia" w:ascii="宋体" w:hAnsi="宋体" w:cs="宋体"/>
          <w:color w:val="000000"/>
          <w:spacing w:val="2"/>
          <w:highlight w:val="none"/>
        </w:rPr>
        <w:t xml:space="preserve">.现场的材料及设备、工具由成交供应商自行保管。</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7</w:t>
      </w:r>
      <w:r>
        <w:rPr>
          <w:rFonts w:hint="eastAsia" w:ascii="宋体" w:hAnsi="宋体" w:cs="宋体"/>
          <w:color w:val="000000"/>
          <w:spacing w:val="2"/>
          <w:highlight w:val="none"/>
        </w:rPr>
        <w:t xml:space="preserve">.成交供应商在施工过程中，采购人有权要求对成交供应商的施工进行适当调整安排，对采购人提出的安排，成交供应商应积极服从。如成交供应商拒服从采购人的调整安排，采购人有权对成交供应商进行相应的经济处罚。</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8</w:t>
      </w:r>
      <w:r>
        <w:rPr>
          <w:rFonts w:hint="eastAsia" w:ascii="宋体" w:hAnsi="宋体" w:cs="宋体"/>
          <w:color w:val="000000"/>
          <w:spacing w:val="2"/>
          <w:highlight w:val="none"/>
        </w:rPr>
        <w:t xml:space="preserve">.材料堆放及现场施工应服从采购人管理，做到材料堆放整齐、规范，施工现场保证工完场地清；保持施工现场整洁、通畅。施工现场严禁打架、斗殴，工作前严禁喝酒，一经发现，采购人有权处以罚款。</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9</w:t>
      </w:r>
      <w:r>
        <w:rPr>
          <w:rFonts w:hint="eastAsia" w:ascii="宋体" w:hAnsi="宋体" w:cs="宋体"/>
          <w:color w:val="000000"/>
          <w:spacing w:val="2"/>
          <w:highlight w:val="none"/>
        </w:rPr>
        <w:t xml:space="preserve">.在施工区域设置必要的危险警示牌、灯等，采取警示措施，避免发生伤亡事故，工程施工期间所发生伤亡等一切事故，均由成交供应商承担，所发生的一切费用均由成交供应商全部支付。</w:t>
      </w:r>
      <w:r>
        <w:rPr>
          <w:rFonts w:ascii="宋体" w:hAnsi="宋体" w:cs="宋体"/>
          <w:color w:val="000000"/>
          <w:spacing w:val="2"/>
          <w:highlight w:val="none"/>
        </w:rPr>
      </w:r>
      <w:r/>
    </w:p>
    <w:p>
      <w:pPr>
        <w:pStyle w:val="1262"/>
        <w:ind w:firstLine="488"/>
        <w:spacing w:line="400" w:lineRule="exact"/>
        <w:rPr>
          <w:rFonts w:hint="eastAsia" w:ascii="宋体" w:hAnsi="宋体" w:cs="宋体"/>
          <w:color w:val="000000"/>
          <w:spacing w:val="2"/>
          <w:highlight w:val="none"/>
        </w:rPr>
      </w:pPr>
      <w:r>
        <w:rPr>
          <w:rFonts w:hint="eastAsia" w:ascii="宋体" w:hAnsi="宋体" w:cs="宋体"/>
          <w:color w:val="000000"/>
          <w:spacing w:val="2"/>
          <w:highlight w:val="none"/>
          <w:lang w:val="en-US" w:eastAsia="zh-CN"/>
        </w:rPr>
        <w:t xml:space="preserve">10</w:t>
      </w:r>
      <w:r>
        <w:rPr>
          <w:rFonts w:hint="eastAsia" w:ascii="宋体" w:hAnsi="宋体" w:cs="宋体"/>
          <w:color w:val="000000"/>
          <w:spacing w:val="2"/>
          <w:highlight w:val="none"/>
        </w:rPr>
        <w:t xml:space="preserve">.成交供应商应随时接受采购人对工程的监督和检查，对不符合规范的施工项目无条件组织返工或整改。</w:t>
      </w:r>
      <w:r>
        <w:rPr>
          <w:rFonts w:hint="eastAsia" w:ascii="宋体" w:hAnsi="宋体" w:cs="宋体"/>
          <w:color w:val="000000"/>
          <w:spacing w:val="2"/>
          <w:highlight w:val="none"/>
        </w:rPr>
      </w:r>
      <w:r/>
    </w:p>
    <w:p>
      <w:pPr>
        <w:pStyle w:val="1262"/>
        <w:ind w:firstLine="488"/>
        <w:spacing w:line="400" w:lineRule="exact"/>
        <w:rPr>
          <w:rFonts w:hint="eastAsia" w:ascii="宋体" w:hAnsi="宋体" w:cs="宋体"/>
          <w:color w:val="000000"/>
          <w:highlight w:val="none"/>
        </w:rPr>
      </w:pPr>
      <w:r>
        <w:rPr>
          <w:rFonts w:hint="eastAsia" w:ascii="宋体" w:hAnsi="宋体" w:cs="宋体"/>
          <w:color w:val="000000"/>
          <w:spacing w:val="2"/>
          <w:highlight w:val="none"/>
          <w:lang w:val="en-US" w:eastAsia="zh-CN"/>
        </w:rPr>
        <w:t xml:space="preserve">11</w:t>
      </w:r>
      <w:r>
        <w:rPr>
          <w:rFonts w:hint="eastAsia" w:ascii="宋体" w:hAnsi="宋体" w:cs="宋体"/>
          <w:color w:val="000000"/>
          <w:spacing w:val="2"/>
          <w:highlight w:val="none"/>
        </w:rPr>
        <w:t xml:space="preserve">.成交供应商应按采购人要求，</w:t>
      </w:r>
      <w:r>
        <w:rPr>
          <w:rFonts w:hint="eastAsia" w:ascii="宋体" w:hAnsi="宋体" w:cs="宋体"/>
          <w:color w:val="000000"/>
          <w:highlight w:val="none"/>
        </w:rPr>
        <w:t xml:space="preserve">无偿提供方案设计及施工图纸。</w:t>
      </w:r>
      <w:r>
        <w:rPr>
          <w:rFonts w:hint="eastAsia" w:ascii="宋体" w:hAnsi="宋体" w:cs="宋体"/>
          <w:color w:val="000000"/>
          <w:highlight w:val="none"/>
        </w:rPr>
      </w:r>
      <w:r/>
    </w:p>
    <w:p>
      <w:pPr>
        <w:pStyle w:val="1262"/>
        <w:ind w:firstLine="480"/>
        <w:spacing w:line="4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.成交供应商施工时不得影响办公区域正常办公，应合理组织人员机械，利用非工作时间施工噪音大、异味重的维修。</w:t>
      </w:r>
      <w:r>
        <w:rPr>
          <w:rFonts w:hint="eastAsia" w:ascii="宋体" w:hAnsi="宋体" w:cs="宋体"/>
          <w:color w:val="000000"/>
          <w:highlight w:val="none"/>
        </w:rPr>
      </w:r>
      <w:r/>
    </w:p>
    <w:p>
      <w:pPr>
        <w:pStyle w:val="1262"/>
        <w:ind w:firstLine="490"/>
        <w:spacing w:line="400" w:lineRule="exact"/>
        <w:rPr>
          <w:rFonts w:ascii="宋体" w:hAnsi="宋体" w:cs="宋体"/>
          <w:b/>
          <w:bCs/>
          <w:color w:val="000000"/>
          <w:spacing w:val="2"/>
          <w:highlight w:val="none"/>
        </w:rPr>
      </w:pPr>
      <w:r>
        <w:rPr>
          <w:rFonts w:hint="eastAsia" w:ascii="宋体" w:hAnsi="宋体" w:cs="宋体"/>
          <w:b/>
          <w:bCs/>
          <w:color w:val="000000"/>
          <w:spacing w:val="2"/>
          <w:highlight w:val="none"/>
        </w:rPr>
        <w:t xml:space="preserve">（二）关于材料供应的要求</w:t>
      </w:r>
      <w:r>
        <w:rPr>
          <w:rFonts w:ascii="宋体" w:hAnsi="宋体" w:cs="宋体"/>
          <w:b/>
          <w:bCs/>
          <w:color w:val="000000"/>
          <w:spacing w:val="2"/>
          <w:highlight w:val="none"/>
        </w:rPr>
      </w:r>
      <w:r/>
    </w:p>
    <w:p>
      <w:pPr>
        <w:pStyle w:val="1262"/>
        <w:ind w:firstLine="488"/>
        <w:spacing w:line="400" w:lineRule="exact"/>
        <w:rPr>
          <w:rFonts w:hint="eastAsia" w:ascii="宋体" w:hAnsi="宋体" w:cs="宋体"/>
          <w:color w:val="000000"/>
          <w:spacing w:val="2"/>
          <w:highlight w:val="none"/>
        </w:rPr>
      </w:pPr>
      <w:r>
        <w:rPr>
          <w:rFonts w:hint="eastAsia" w:ascii="宋体" w:hAnsi="宋体" w:cs="宋体"/>
          <w:color w:val="000000"/>
          <w:spacing w:val="2"/>
          <w:highlight w:val="none"/>
        </w:rPr>
        <w:t xml:space="preserve">1.凡由成交供应商采购的材料、设备，如不符合质量要求或规格差异，应禁止使用。若已使用，对工程造成的损失由成交供应商负责。</w:t>
      </w:r>
      <w:r>
        <w:rPr>
          <w:rFonts w:hint="eastAsia" w:ascii="宋体" w:hAnsi="宋体" w:cs="宋体"/>
          <w:color w:val="000000"/>
          <w:spacing w:val="2"/>
          <w:highlight w:val="none"/>
          <w:lang w:val="en-US" w:eastAsia="zh-CN"/>
        </w:rPr>
        <w:t xml:space="preserve">材料必须在使用前进行检测，材料的抽样送检必须在施工现场进行，且须由采购人、施工单位、监理在场监督，三方送检合格后方能使用，检验费由成交供应商负担。 </w:t>
      </w:r>
      <w:r>
        <w:rPr>
          <w:rFonts w:hint="eastAsia" w:ascii="宋体" w:hAnsi="宋体" w:cs="宋体"/>
          <w:color w:val="000000"/>
          <w:spacing w:val="2"/>
          <w:highlight w:val="none"/>
        </w:rPr>
      </w:r>
      <w:r/>
    </w:p>
    <w:p>
      <w:pPr>
        <w:pStyle w:val="1262"/>
        <w:ind w:firstLine="488"/>
        <w:spacing w:line="400" w:lineRule="exact"/>
        <w:rPr>
          <w:rFonts w:hint="eastAsia" w:ascii="宋体" w:hAnsi="宋体" w:cs="宋体"/>
          <w:color w:val="000000"/>
          <w:spacing w:val="2"/>
          <w:highlight w:val="none"/>
        </w:rPr>
      </w:pPr>
      <w:r>
        <w:rPr>
          <w:rFonts w:hint="eastAsia" w:ascii="宋体" w:hAnsi="宋体" w:cs="宋体"/>
          <w:color w:val="000000"/>
          <w:spacing w:val="2"/>
          <w:highlight w:val="none"/>
        </w:rPr>
        <w:t xml:space="preserve">2.材料、设备进场前应接受采购人组织的验收，不合格材料标识后，三天内运出场外。场内严禁堆放不合格材料和不符材料，过期不处理的不合格材料和不符材料，采购人有权自行处理，由此造成成交供应商异议或损失的，采购人不予赔偿。</w:t>
      </w:r>
      <w:r>
        <w:rPr>
          <w:rFonts w:hint="eastAsia" w:ascii="宋体" w:hAnsi="宋体" w:cs="宋体"/>
          <w:color w:val="000000"/>
          <w:spacing w:val="2"/>
          <w:highlight w:val="none"/>
        </w:rPr>
      </w:r>
      <w:r/>
    </w:p>
    <w:p>
      <w:pPr>
        <w:pStyle w:val="1262"/>
        <w:ind w:firstLine="490"/>
        <w:spacing w:line="400" w:lineRule="exact"/>
        <w:rPr>
          <w:rFonts w:ascii="宋体" w:hAnsi="宋体" w:cs="宋体"/>
          <w:b/>
          <w:bCs/>
          <w:color w:val="000000"/>
          <w:spacing w:val="2"/>
          <w:highlight w:val="none"/>
        </w:rPr>
      </w:pPr>
      <w:r>
        <w:rPr>
          <w:rFonts w:hint="eastAsia" w:ascii="宋体" w:hAnsi="宋体" w:cs="宋体"/>
          <w:b/>
          <w:bCs/>
          <w:color w:val="000000"/>
          <w:spacing w:val="2"/>
          <w:highlight w:val="none"/>
        </w:rPr>
        <w:t xml:space="preserve">（三）有关安全生产和防火的要求</w:t>
      </w:r>
      <w:r>
        <w:rPr>
          <w:rFonts w:ascii="宋体" w:hAnsi="宋体" w:cs="宋体"/>
          <w:b/>
          <w:bCs/>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1.成交供应商提供的施工图纸或作法说明，应符合《</w:t>
      </w:r>
      <w:r>
        <w:rPr>
          <w:rFonts w:hint="eastAsia" w:ascii="宋体" w:hAnsi="宋体" w:cs="宋体"/>
          <w:color w:val="000000"/>
          <w:spacing w:val="2"/>
          <w:highlight w:val="none"/>
          <w:lang w:eastAsia="zh-CN"/>
        </w:rPr>
        <w:t xml:space="preserve">中华人民共和国消防法</w:t>
      </w:r>
      <w:r>
        <w:rPr>
          <w:rFonts w:hint="eastAsia" w:ascii="宋体" w:hAnsi="宋体" w:cs="宋体"/>
          <w:color w:val="000000"/>
          <w:spacing w:val="2"/>
          <w:highlight w:val="none"/>
        </w:rPr>
        <w:t xml:space="preserve">》和有关防火设计规范。如施工图纸或作法说明有违反有关安全操作规程、</w:t>
      </w:r>
      <w:r>
        <w:rPr>
          <w:rFonts w:hint="eastAsia" w:ascii="宋体" w:hAnsi="宋体" w:cs="宋体"/>
          <w:color w:val="000000"/>
          <w:spacing w:val="2"/>
          <w:highlight w:val="none"/>
          <w:lang w:eastAsia="zh-CN"/>
        </w:rPr>
        <w:t xml:space="preserve">消防法</w:t>
      </w:r>
      <w:r>
        <w:rPr>
          <w:rFonts w:hint="eastAsia" w:ascii="宋体" w:hAnsi="宋体" w:cs="宋体"/>
          <w:color w:val="000000"/>
          <w:spacing w:val="2"/>
          <w:highlight w:val="none"/>
        </w:rPr>
        <w:t xml:space="preserve">和防火设计规范，导致发生安全或火灾事故，成交供应商应承担由此产生的一切经济损失。</w:t>
      </w:r>
      <w:r>
        <w:rPr>
          <w:rFonts w:ascii="宋体" w:hAnsi="宋体" w:cs="宋体"/>
          <w:color w:val="000000"/>
          <w:spacing w:val="2"/>
          <w:highlight w:val="none"/>
        </w:rPr>
      </w:r>
      <w:r/>
    </w:p>
    <w:p>
      <w:pPr>
        <w:pStyle w:val="1262"/>
        <w:ind w:firstLine="488"/>
        <w:spacing w:line="400" w:lineRule="exact"/>
        <w:rPr>
          <w:rFonts w:ascii="宋体" w:hAnsi="宋体" w:cs="宋体"/>
          <w:color w:val="000000"/>
          <w:spacing w:val="2"/>
          <w:highlight w:val="none"/>
        </w:rPr>
      </w:pPr>
      <w:r>
        <w:rPr>
          <w:rFonts w:hint="eastAsia" w:ascii="宋体" w:hAnsi="宋体" w:cs="宋体"/>
          <w:color w:val="000000"/>
          <w:spacing w:val="2"/>
          <w:highlight w:val="none"/>
        </w:rPr>
        <w:t xml:space="preserve">2.成交供应商在施工期间应严格遵守《建设工程安全生产管理条例》、《建筑施工安全检查标准》、《</w:t>
      </w:r>
      <w:r>
        <w:rPr>
          <w:rFonts w:hint="eastAsia" w:ascii="宋体" w:hAnsi="宋体" w:cs="宋体"/>
          <w:color w:val="000000"/>
          <w:spacing w:val="2"/>
          <w:highlight w:val="none"/>
          <w:lang w:eastAsia="zh-CN"/>
        </w:rPr>
        <w:t xml:space="preserve">中华人民共和国消防法</w:t>
      </w:r>
      <w:r>
        <w:rPr>
          <w:rFonts w:hint="eastAsia" w:ascii="宋体" w:hAnsi="宋体" w:cs="宋体"/>
          <w:color w:val="000000"/>
          <w:spacing w:val="2"/>
          <w:highlight w:val="none"/>
        </w:rPr>
        <w:t xml:space="preserve">》和其他相关的法规、规范。</w:t>
      </w:r>
      <w:r>
        <w:rPr>
          <w:rFonts w:ascii="宋体" w:hAnsi="宋体" w:cs="宋体"/>
          <w:color w:val="000000"/>
          <w:spacing w:val="2"/>
          <w:highlight w:val="none"/>
        </w:rPr>
      </w:r>
      <w:r/>
    </w:p>
    <w:p>
      <w:pPr>
        <w:pStyle w:val="1262"/>
        <w:ind w:firstLine="488"/>
        <w:spacing w:line="400" w:lineRule="exact"/>
        <w:rPr>
          <w:rFonts w:ascii="宋体" w:hAnsi="宋体" w:cs="宋体"/>
          <w:color w:val="000000"/>
          <w:szCs w:val="24"/>
          <w:highlight w:val="none"/>
        </w:rPr>
      </w:pPr>
      <w:r>
        <w:rPr>
          <w:rFonts w:hint="eastAsia" w:ascii="宋体" w:hAnsi="宋体" w:cs="宋体"/>
          <w:color w:val="000000"/>
          <w:spacing w:val="2"/>
          <w:highlight w:val="none"/>
        </w:rPr>
        <w:t xml:space="preserve">3.由于成交供应商在施工生产过程中违反有关安全操作规程、消防</w:t>
      </w:r>
      <w:r>
        <w:rPr>
          <w:rFonts w:hint="eastAsia" w:ascii="宋体" w:hAnsi="宋体" w:cs="宋体"/>
          <w:color w:val="000000"/>
          <w:spacing w:val="2"/>
          <w:highlight w:val="none"/>
          <w:lang w:val="en-US" w:eastAsia="zh-CN"/>
        </w:rPr>
        <w:t xml:space="preserve">法</w:t>
      </w:r>
      <w:r>
        <w:rPr>
          <w:rFonts w:hint="eastAsia" w:ascii="宋体" w:hAnsi="宋体" w:cs="宋体"/>
          <w:color w:val="000000"/>
          <w:spacing w:val="2"/>
          <w:highlight w:val="none"/>
        </w:rPr>
        <w:t xml:space="preserve">，导致发生人员伤亡或安全事故或火灾事故，成交供应商须承担由此引发的一切经济损失及法律责任。</w:t>
      </w:r>
      <w:r>
        <w:rPr>
          <w:rFonts w:ascii="宋体" w:hAnsi="宋体" w:cs="宋体"/>
          <w:color w:val="000000"/>
          <w:szCs w:val="24"/>
          <w:highlight w:val="none"/>
        </w:rPr>
      </w:r>
      <w:r/>
    </w:p>
    <w:p>
      <w:pPr>
        <w:pStyle w:val="1262"/>
        <w:ind w:firstLine="490"/>
        <w:spacing w:line="400" w:lineRule="exact"/>
        <w:rPr>
          <w:rFonts w:hint="eastAsia" w:ascii="宋体" w:hAnsi="宋体" w:cs="宋体"/>
          <w:b/>
          <w:bCs/>
          <w:color w:val="000000"/>
          <w:spacing w:val="2"/>
          <w:highlight w:val="none"/>
        </w:rPr>
      </w:pPr>
      <w:r>
        <w:rPr>
          <w:rFonts w:hint="eastAsia" w:ascii="宋体" w:hAnsi="宋体" w:cs="宋体"/>
          <w:b/>
          <w:bCs/>
          <w:color w:val="000000"/>
          <w:spacing w:val="2"/>
          <w:highlight w:val="none"/>
        </w:rPr>
        <w:t xml:space="preserve">（四）材料品牌要求</w:t>
      </w:r>
      <w:r>
        <w:rPr>
          <w:rFonts w:hint="eastAsia" w:ascii="宋体" w:hAnsi="宋体" w:cs="宋体"/>
          <w:b/>
          <w:bCs/>
          <w:color w:val="000000"/>
          <w:spacing w:val="2"/>
          <w:highlight w:val="none"/>
        </w:rPr>
      </w:r>
      <w:r/>
    </w:p>
    <w:p>
      <w:pPr>
        <w:pStyle w:val="1262"/>
        <w:ind w:firstLine="490"/>
        <w:spacing w:line="400" w:lineRule="exact"/>
        <w:rPr>
          <w:rFonts w:hint="eastAsia" w:ascii="宋体" w:hAnsi="宋体" w:cs="宋体"/>
          <w:b w:val="0"/>
          <w:bCs w:val="0"/>
          <w:color w:val="000000"/>
          <w:spacing w:val="2"/>
          <w:sz w:val="24"/>
          <w:szCs w:val="24"/>
          <w:highlight w:val="none"/>
          <w:lang w:eastAsia="zh-CN"/>
        </w:rPr>
      </w:pPr>
      <w:r>
        <w:rPr>
          <w:rFonts w:hint="eastAsia" w:ascii="宋体" w:hAnsi="宋体" w:cs="宋体"/>
          <w:b w:val="0"/>
          <w:bCs w:val="0"/>
          <w:color w:val="000000"/>
          <w:spacing w:val="2"/>
          <w:sz w:val="24"/>
          <w:szCs w:val="24"/>
          <w:highlight w:val="none"/>
          <w:lang w:val="en-US" w:eastAsia="zh-CN"/>
        </w:rPr>
        <w:t xml:space="preserve">供应商</w:t>
      </w:r>
      <w:r>
        <w:rPr>
          <w:rFonts w:hint="eastAsia" w:ascii="宋体" w:hAnsi="宋体" w:cs="宋体"/>
          <w:b w:val="0"/>
          <w:bCs w:val="0"/>
          <w:color w:val="000000"/>
          <w:spacing w:val="2"/>
          <w:sz w:val="24"/>
          <w:szCs w:val="24"/>
          <w:highlight w:val="none"/>
          <w:lang w:eastAsia="zh-CN"/>
        </w:rPr>
        <w:t xml:space="preserve">可以选择推荐品牌，也可以选择性能不低于推荐品牌性能的其他品牌，但应在使用前向采购人提交拟用品牌的型号、信誉度、质量、性能、技术指标等相关证明材料，经采购人认可后方可使用。</w:t>
      </w:r>
      <w:r>
        <w:rPr>
          <w:rFonts w:hint="eastAsia" w:ascii="宋体" w:hAnsi="宋体" w:cs="宋体"/>
          <w:b w:val="0"/>
          <w:bCs w:val="0"/>
          <w:color w:val="000000"/>
          <w:spacing w:val="2"/>
          <w:sz w:val="24"/>
          <w:szCs w:val="24"/>
          <w:highlight w:val="none"/>
          <w:lang w:eastAsia="zh-CN"/>
        </w:rPr>
      </w:r>
      <w:r/>
    </w:p>
    <w:p>
      <w:pPr>
        <w:pStyle w:val="1262"/>
        <w:ind w:firstLine="490"/>
        <w:spacing w:line="400" w:lineRule="exact"/>
        <w:rPr>
          <w:rFonts w:hint="eastAsia" w:ascii="宋体" w:hAnsi="宋体" w:cs="宋体"/>
          <w:b w:val="0"/>
          <w:bCs w:val="0"/>
          <w:color w:val="000000"/>
          <w:spacing w:val="2"/>
          <w:highlight w:val="none"/>
        </w:rPr>
      </w:pPr>
      <w:r>
        <w:rPr>
          <w:rFonts w:hint="eastAsia" w:ascii="宋体" w:hAnsi="宋体" w:eastAsia="宋体" w:cs="宋体"/>
          <w:b w:val="0"/>
          <w:bCs w:val="0"/>
          <w:color w:val="000000"/>
          <w:spacing w:val="2"/>
          <w:sz w:val="24"/>
          <w:szCs w:val="24"/>
          <w:highlight w:val="none"/>
          <w:u w:val="single"/>
          <w:lang w:eastAsia="zh-CN"/>
        </w:rPr>
        <w:t xml:space="preserve">★</w:t>
      </w:r>
      <w:r>
        <w:rPr>
          <w:rFonts w:hint="eastAsia" w:ascii="宋体" w:hAnsi="宋体" w:cs="宋体"/>
          <w:b w:val="0"/>
          <w:bCs w:val="0"/>
          <w:color w:val="000000"/>
          <w:spacing w:val="2"/>
          <w:sz w:val="24"/>
          <w:szCs w:val="24"/>
          <w:highlight w:val="none"/>
          <w:u w:val="single"/>
          <w:lang w:eastAsia="zh-CN"/>
        </w:rPr>
        <w:t xml:space="preserve">供应商</w:t>
      </w:r>
      <w:r>
        <w:rPr>
          <w:rFonts w:hint="eastAsia" w:ascii="宋体" w:hAnsi="宋体" w:cs="宋体"/>
          <w:b w:val="0"/>
          <w:bCs w:val="0"/>
          <w:color w:val="000000"/>
          <w:spacing w:val="2"/>
          <w:sz w:val="24"/>
          <w:szCs w:val="24"/>
          <w:highlight w:val="none"/>
          <w:u w:val="single"/>
          <w:lang w:val="en-US" w:eastAsia="zh-CN"/>
        </w:rPr>
        <w:t xml:space="preserve">须在响应文件中提供“材料品牌选用表”（格式见附件）</w:t>
      </w:r>
      <w:r>
        <w:rPr>
          <w:rFonts w:hint="eastAsia" w:ascii="宋体" w:hAnsi="宋体" w:cs="宋体"/>
          <w:b w:val="0"/>
          <w:bCs w:val="0"/>
          <w:color w:val="000000"/>
          <w:spacing w:val="2"/>
          <w:sz w:val="24"/>
          <w:szCs w:val="24"/>
          <w:highlight w:val="none"/>
          <w:lang w:val="en-US" w:eastAsia="zh-CN"/>
        </w:rPr>
        <w:t xml:space="preserve">。</w:t>
      </w:r>
      <w:r>
        <w:rPr>
          <w:rFonts w:hint="eastAsia" w:ascii="宋体" w:hAnsi="宋体" w:cs="宋体"/>
          <w:b w:val="0"/>
          <w:bCs w:val="0"/>
          <w:color w:val="000000"/>
          <w:spacing w:val="2"/>
          <w:highlight w:val="none"/>
        </w:rPr>
      </w:r>
      <w:r/>
    </w:p>
    <w:tbl>
      <w:tblPr>
        <w:tblW w:w="4927" w:type="pct"/>
        <w:jc w:val="center"/>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613"/>
        <w:gridCol w:w="4426"/>
        <w:gridCol w:w="1312"/>
      </w:tblGrid>
      <w:tr>
        <w:trPr>
          <w:trHeight w:val="454"/>
          <w:tblHeader/>
        </w:trPr>
        <w:tc>
          <w:tcPr>
            <w:tcW w:w="43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427"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材料名称</w:t>
            </w:r>
            <w:r>
              <w:rPr>
                <w:rFonts w:hint="eastAsia" w:ascii="宋体" w:hAnsi="宋体" w:eastAsia="宋体" w:cs="宋体"/>
                <w:b/>
                <w:bCs/>
                <w:color w:val="000000"/>
                <w:sz w:val="24"/>
                <w:szCs w:val="24"/>
                <w:highlight w:val="none"/>
              </w:rPr>
            </w:r>
            <w:r/>
          </w:p>
        </w:tc>
        <w:tc>
          <w:tcPr>
            <w:tcW w:w="2417"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推荐</w:t>
            </w: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c>
          <w:tcPr>
            <w:tcW w:w="716"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454"/>
        </w:trPr>
        <w:tc>
          <w:tcPr>
            <w:tcW w:w="43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1427" w:type="dxa"/>
            <w:vAlign w:val="center"/>
            <w:textDirection w:val="lrTb"/>
            <w:noWrap w:val="false"/>
          </w:tcPr>
          <w:p>
            <w:pPr>
              <w:pStyle w:val="1012"/>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防水材料</w:t>
            </w:r>
            <w:r>
              <w:rPr>
                <w:rFonts w:ascii="宋体" w:hAnsi="宋体" w:eastAsia="宋体" w:cs="宋体"/>
                <w:color w:val="000000"/>
                <w:sz w:val="24"/>
                <w:szCs w:val="24"/>
                <w:highlight w:val="none"/>
                <w:lang w:val="en-US" w:eastAsia="zh-CN" w:bidi="ar-SA"/>
              </w:rPr>
            </w:r>
            <w:r/>
          </w:p>
        </w:tc>
        <w:tc>
          <w:tcPr>
            <w:tcW w:w="2417" w:type="dxa"/>
            <w:vAlign w:val="center"/>
            <w:textDirection w:val="lrTb"/>
            <w:noWrap w:val="false"/>
          </w:tcPr>
          <w:p>
            <w:pPr>
              <w:pStyle w:val="1012"/>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东方雨虹、广东科顺、北新禹王</w:t>
            </w:r>
            <w:r>
              <w:rPr>
                <w:rFonts w:ascii="宋体" w:hAnsi="宋体" w:eastAsia="宋体" w:cs="宋体"/>
                <w:color w:val="000000"/>
                <w:sz w:val="24"/>
                <w:szCs w:val="24"/>
                <w:highlight w:val="none"/>
                <w:lang w:val="en-US" w:eastAsia="zh-CN" w:bidi="ar-SA"/>
              </w:rPr>
            </w:r>
            <w:r/>
          </w:p>
        </w:tc>
        <w:tc>
          <w:tcPr>
            <w:tcW w:w="716"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262"/>
        <w:ind w:firstLine="482"/>
        <w:spacing w:line="400" w:lineRule="exact"/>
        <w:rPr>
          <w:rFonts w:ascii="宋体" w:hAnsi="宋体" w:eastAsia="宋体" w:cs="宋体"/>
          <w:b/>
          <w:bCs/>
          <w:color w:val="000000"/>
          <w:szCs w:val="24"/>
          <w:highlight w:val="none"/>
          <w:lang w:val="en-US" w:eastAsia="zh-CN"/>
        </w:rPr>
      </w:pPr>
      <w:r>
        <w:rPr>
          <w:rFonts w:hint="eastAsia" w:ascii="宋体" w:hAnsi="宋体" w:cs="宋体"/>
          <w:b/>
          <w:bCs/>
          <w:color w:val="000000"/>
          <w:szCs w:val="24"/>
          <w:highlight w:val="none"/>
        </w:rPr>
        <w:t xml:space="preserve">（五）</w:t>
      </w:r>
      <w:r>
        <w:rPr>
          <w:rFonts w:hint="eastAsia" w:ascii="宋体" w:hAnsi="宋体" w:cs="宋体"/>
          <w:b/>
          <w:bCs/>
          <w:color w:val="000000"/>
          <w:szCs w:val="24"/>
          <w:highlight w:val="none"/>
          <w:lang w:val="en-US" w:eastAsia="zh-CN"/>
        </w:rPr>
        <w:t xml:space="preserve">质量标准及验收要求</w:t>
      </w:r>
      <w:r>
        <w:rPr>
          <w:rFonts w:ascii="宋体" w:hAnsi="宋体" w:eastAsia="宋体" w:cs="宋体"/>
          <w:b/>
          <w:bCs/>
          <w:color w:val="000000"/>
          <w:szCs w:val="24"/>
          <w:highlight w:val="none"/>
          <w:lang w:val="en-US" w:eastAsia="zh-CN"/>
        </w:rPr>
      </w:r>
      <w:r/>
    </w:p>
    <w:p>
      <w:pPr>
        <w:pStyle w:val="1262"/>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本工程以施工图纸、作法说明、设计变更和《建筑工程施工质量验收统一标准》（GB50300——2013）等国家制订的施工及验收规范为质量评定验收标准。</w:t>
      </w:r>
      <w:r>
        <w:rPr>
          <w:rFonts w:hint="eastAsia" w:ascii="宋体" w:hAnsi="宋体" w:cs="宋体"/>
          <w:color w:val="000000"/>
          <w:szCs w:val="24"/>
          <w:highlight w:val="none"/>
        </w:rPr>
      </w:r>
      <w:r/>
    </w:p>
    <w:p>
      <w:pPr>
        <w:pStyle w:val="1262"/>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本工程质量应达到国家质量评定</w:t>
      </w:r>
      <w:r>
        <w:rPr>
          <w:rFonts w:hint="eastAsia" w:ascii="宋体" w:hAnsi="宋体" w:cs="宋体"/>
          <w:color w:val="000000"/>
          <w:szCs w:val="24"/>
          <w:highlight w:val="none"/>
          <w:u w:val="single"/>
          <w:lang w:val="en-US" w:eastAsia="zh-CN"/>
        </w:rPr>
        <w:t xml:space="preserve"> 合格 </w:t>
      </w:r>
      <w:r>
        <w:rPr>
          <w:rFonts w:hint="eastAsia" w:ascii="宋体" w:hAnsi="宋体" w:cs="宋体"/>
          <w:color w:val="000000"/>
          <w:szCs w:val="24"/>
          <w:highlight w:val="none"/>
        </w:rPr>
        <w:t xml:space="preserve">标准。</w:t>
      </w:r>
      <w:r>
        <w:rPr>
          <w:rFonts w:hint="eastAsia" w:ascii="宋体" w:hAnsi="宋体" w:cs="宋体"/>
          <w:color w:val="000000"/>
          <w:szCs w:val="24"/>
          <w:highlight w:val="none"/>
        </w:rPr>
      </w:r>
      <w:r/>
    </w:p>
    <w:p>
      <w:pPr>
        <w:pStyle w:val="1262"/>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3.采购人和供应商</w:t>
      </w:r>
      <w:r>
        <w:rPr>
          <w:rFonts w:hint="eastAsia" w:ascii="宋体" w:hAnsi="宋体" w:cs="宋体"/>
          <w:color w:val="000000"/>
          <w:szCs w:val="24"/>
          <w:highlight w:val="none"/>
        </w:rPr>
        <w:t xml:space="preserve">应及时办理隐蔽工程和中间工程的检查与验收手续。</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不按时参加隐蔽工程和中间工程验收，</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可自行验收，</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应予承认。若</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要求复验时，</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应按要求办理复验。若复验合格，</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应承担复验费用，由此造成停工，工期顺延；若复验不合格，其复验及返工费用由</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承担，但工期也予顺延。</w:t>
      </w:r>
      <w:r>
        <w:rPr>
          <w:rFonts w:hint="eastAsia" w:ascii="宋体" w:hAnsi="宋体" w:cs="宋体"/>
          <w:color w:val="000000"/>
          <w:szCs w:val="24"/>
          <w:highlight w:val="none"/>
        </w:rPr>
      </w:r>
      <w:r/>
    </w:p>
    <w:p>
      <w:pPr>
        <w:pStyle w:val="1262"/>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由于</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原因造成质量事故，其损失及费用由</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承担，工期不顺延。</w:t>
      </w:r>
      <w:r>
        <w:rPr>
          <w:rFonts w:hint="eastAsia" w:ascii="宋体" w:hAnsi="宋体" w:cs="宋体"/>
          <w:color w:val="000000"/>
          <w:szCs w:val="24"/>
          <w:highlight w:val="none"/>
        </w:rPr>
      </w:r>
      <w:r/>
    </w:p>
    <w:p>
      <w:pPr>
        <w:pStyle w:val="1262"/>
        <w:ind w:firstLine="480"/>
        <w:spacing w:line="400" w:lineRule="exact"/>
        <w:rPr>
          <w:rFonts w:ascii="宋体" w:hAnsi="宋体" w:cs="宋体"/>
          <w:color w:val="000000"/>
          <w:szCs w:val="24"/>
          <w:highlight w:val="none"/>
        </w:rPr>
      </w:pP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工程竣工后，</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应通知</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验收，</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自接到验收通知</w:t>
      </w:r>
      <w:r>
        <w:rPr>
          <w:rFonts w:hint="eastAsia" w:ascii="宋体" w:hAnsi="宋体" w:cs="宋体"/>
          <w:color w:val="000000"/>
          <w:szCs w:val="24"/>
          <w:highlight w:val="none"/>
          <w:u w:val="single"/>
        </w:rPr>
        <w:t xml:space="preserve"> 10 </w:t>
      </w:r>
      <w:r>
        <w:rPr>
          <w:rFonts w:hint="eastAsia" w:ascii="宋体" w:hAnsi="宋体" w:cs="宋体"/>
          <w:color w:val="000000"/>
          <w:szCs w:val="24"/>
          <w:highlight w:val="none"/>
        </w:rPr>
        <w:t xml:space="preserve">日内组织验收，并办理验收、移交手续。如</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在规定时间内未能组织验收，需及时通知</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，另定验收日期。但</w:t>
      </w:r>
      <w:r>
        <w:rPr>
          <w:rFonts w:hint="eastAsia" w:ascii="宋体" w:hAnsi="宋体" w:cs="宋体"/>
          <w:color w:val="000000"/>
          <w:szCs w:val="24"/>
          <w:highlight w:val="none"/>
          <w:lang w:val="en-US" w:eastAsia="zh-CN"/>
        </w:rPr>
        <w:t xml:space="preserve">采购人</w:t>
      </w:r>
      <w:r>
        <w:rPr>
          <w:rFonts w:hint="eastAsia" w:ascii="宋体" w:hAnsi="宋体" w:cs="宋体"/>
          <w:color w:val="000000"/>
          <w:szCs w:val="24"/>
          <w:highlight w:val="none"/>
        </w:rPr>
        <w:t xml:space="preserve">应承认竣工日期，并承担</w:t>
      </w:r>
      <w:r>
        <w:rPr>
          <w:rFonts w:hint="eastAsia" w:ascii="宋体" w:hAnsi="宋体" w:cs="宋体"/>
          <w:color w:val="000000"/>
          <w:szCs w:val="24"/>
          <w:highlight w:val="none"/>
          <w:lang w:val="en-US" w:eastAsia="zh-CN"/>
        </w:rPr>
        <w:t xml:space="preserve">供应商</w:t>
      </w:r>
      <w:r>
        <w:rPr>
          <w:rFonts w:hint="eastAsia" w:ascii="宋体" w:hAnsi="宋体" w:cs="宋体"/>
          <w:color w:val="000000"/>
          <w:szCs w:val="24"/>
          <w:highlight w:val="none"/>
        </w:rPr>
        <w:t xml:space="preserve">的看管费用和相关费用。</w:t>
      </w:r>
      <w:r>
        <w:rPr>
          <w:rFonts w:ascii="宋体" w:hAnsi="宋体" w:cs="宋体"/>
          <w:color w:val="000000"/>
          <w:szCs w:val="24"/>
          <w:highlight w:val="none"/>
        </w:rPr>
      </w:r>
      <w:r/>
    </w:p>
    <w:p>
      <w:pPr>
        <w:pStyle w:val="1262"/>
        <w:ind w:firstLine="480"/>
        <w:spacing w:line="400" w:lineRule="exact"/>
        <w:rPr>
          <w:rFonts w:hint="eastAsia" w:ascii="黑体" w:hAnsi="黑体" w:eastAsia="黑体" w:cs="黑体"/>
          <w:bCs/>
          <w:color w:val="000000"/>
          <w:szCs w:val="24"/>
          <w:highlight w:val="none"/>
          <w:lang w:val="en-US" w:eastAsia="zh-CN"/>
        </w:rPr>
      </w:pPr>
      <w:r>
        <w:rPr>
          <w:rFonts w:hint="eastAsia" w:ascii="黑体" w:hAnsi="黑体" w:eastAsia="黑体" w:cs="黑体"/>
          <w:bCs/>
          <w:color w:val="000000"/>
          <w:szCs w:val="24"/>
          <w:highlight w:val="none"/>
          <w:lang w:val="en-US" w:eastAsia="zh-CN"/>
        </w:rPr>
        <w:t xml:space="preserve">四</w:t>
      </w:r>
      <w:r>
        <w:rPr>
          <w:rFonts w:hint="eastAsia" w:ascii="黑体" w:hAnsi="黑体" w:eastAsia="黑体" w:cs="黑体"/>
          <w:bCs/>
          <w:color w:val="000000"/>
          <w:szCs w:val="24"/>
          <w:highlight w:val="none"/>
        </w:rPr>
        <w:t xml:space="preserve">、</w:t>
      </w:r>
      <w:r>
        <w:rPr>
          <w:rFonts w:hint="eastAsia" w:ascii="黑体" w:hAnsi="黑体" w:eastAsia="黑体" w:cs="黑体"/>
          <w:bCs/>
          <w:color w:val="000000"/>
          <w:szCs w:val="24"/>
          <w:highlight w:val="none"/>
          <w:lang w:val="en-US" w:eastAsia="zh-CN"/>
        </w:rPr>
        <w:t xml:space="preserve">其他</w:t>
      </w:r>
      <w:r>
        <w:rPr>
          <w:rFonts w:hint="eastAsia" w:ascii="黑体" w:hAnsi="黑体" w:eastAsia="黑体" w:cs="黑体"/>
          <w:bCs/>
          <w:color w:val="000000"/>
          <w:szCs w:val="24"/>
          <w:highlight w:val="none"/>
        </w:rPr>
        <w:t xml:space="preserve">要求</w:t>
      </w:r>
      <w:r>
        <w:rPr>
          <w:rFonts w:hint="eastAsia" w:ascii="黑体" w:hAnsi="黑体" w:eastAsia="黑体" w:cs="黑体"/>
          <w:bCs/>
          <w:color w:val="000000"/>
          <w:szCs w:val="24"/>
          <w:highlight w:val="none"/>
          <w:lang w:val="en-US" w:eastAsia="zh-CN"/>
        </w:rPr>
      </w:r>
      <w:r/>
    </w:p>
    <w:p>
      <w:pPr>
        <w:pStyle w:val="101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）偏离要求</w:t>
      </w:r>
      <w:r>
        <w:rPr>
          <w:rFonts w:ascii="宋体" w:hAnsi="宋体" w:cs="宋体"/>
          <w:b/>
          <w:bCs/>
          <w:color w:val="000000"/>
          <w:sz w:val="24"/>
          <w:highlight w:val="none"/>
        </w:rPr>
      </w:r>
      <w:r/>
    </w:p>
    <w:p>
      <w:pPr>
        <w:pStyle w:val="1108"/>
        <w:contextualSpacing/>
        <w:ind w:firstLine="480"/>
        <w:jc w:val="left"/>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如果供应商没有以书面形式对本采购文件的条文提出异议，则意味着供应商所提供的货物和服务完全符合采购文件的要求，如有偏离，请在《偏离表》中详细列出。</w:t>
      </w:r>
      <w:r>
        <w:rPr>
          <w:rFonts w:hint="eastAsia" w:ascii="宋体" w:hAnsi="宋体" w:cs="宋体"/>
          <w:bCs/>
          <w:color w:val="000000"/>
          <w:sz w:val="24"/>
          <w:szCs w:val="24"/>
          <w:highlight w:val="none"/>
        </w:rPr>
      </w:r>
      <w:r/>
    </w:p>
    <w:p>
      <w:pPr>
        <w:pStyle w:val="1262"/>
        <w:ind w:firstLine="482"/>
        <w:spacing w:line="400" w:lineRule="exact"/>
        <w:rPr>
          <w:rFonts w:ascii="宋体" w:hAnsi="宋体" w:cs="宋体"/>
          <w:b/>
          <w:bCs/>
          <w:color w:val="000000"/>
          <w:szCs w:val="24"/>
          <w:highlight w:val="none"/>
        </w:rPr>
      </w:pPr>
      <w:r>
        <w:rPr>
          <w:rFonts w:hint="eastAsia" w:ascii="宋体" w:hAnsi="宋体" w:cs="宋体"/>
          <w:b/>
          <w:bCs/>
          <w:color w:val="000000"/>
          <w:szCs w:val="24"/>
          <w:highlight w:val="none"/>
        </w:rPr>
        <w:t xml:space="preserve">（</w:t>
      </w:r>
      <w:r>
        <w:rPr>
          <w:rFonts w:hint="eastAsia" w:ascii="宋体" w:hAnsi="宋体" w:cs="宋体"/>
          <w:b/>
          <w:bCs/>
          <w:color w:val="000000"/>
          <w:szCs w:val="24"/>
          <w:highlight w:val="none"/>
          <w:lang w:val="en-US" w:eastAsia="zh-CN"/>
        </w:rPr>
        <w:t xml:space="preserve">二</w:t>
      </w:r>
      <w:r>
        <w:rPr>
          <w:rFonts w:hint="eastAsia" w:ascii="宋体" w:hAnsi="宋体" w:cs="宋体"/>
          <w:b/>
          <w:bCs/>
          <w:color w:val="000000"/>
          <w:szCs w:val="24"/>
          <w:highlight w:val="none"/>
        </w:rPr>
        <w:t xml:space="preserve">）其他</w:t>
      </w:r>
      <w:r>
        <w:rPr>
          <w:rFonts w:ascii="宋体" w:hAnsi="宋体" w:cs="宋体"/>
          <w:b/>
          <w:bCs/>
          <w:color w:val="000000"/>
          <w:szCs w:val="24"/>
          <w:highlight w:val="none"/>
        </w:rPr>
      </w:r>
      <w:r/>
    </w:p>
    <w:p>
      <w:pPr>
        <w:pStyle w:val="1262"/>
        <w:ind w:firstLine="480"/>
        <w:spacing w:line="400" w:lineRule="exact"/>
        <w:rPr>
          <w:rFonts w:ascii="宋体" w:hAnsi="宋体" w:cs="宋体"/>
          <w:color w:val="000000"/>
          <w:szCs w:val="24"/>
          <w:highlight w:val="none"/>
        </w:rPr>
      </w:pPr>
      <w:r>
        <w:rPr>
          <w:rFonts w:hint="eastAsia" w:ascii="宋体" w:hAnsi="宋体" w:cs="宋体"/>
          <w:color w:val="000000"/>
          <w:szCs w:val="24"/>
          <w:highlight w:val="none"/>
        </w:rPr>
        <w:t xml:space="preserve">1.本清单所列工程数量是根据图纸，结合现场情况编制，仅作为投标的共同基础，不能作为最终结算与支付的依据。结算与支付应以审计结算的工程数量为依据。</w:t>
      </w:r>
      <w:r>
        <w:rPr>
          <w:rFonts w:ascii="宋体" w:hAnsi="宋体" w:cs="宋体"/>
          <w:color w:val="000000"/>
          <w:szCs w:val="24"/>
          <w:highlight w:val="none"/>
        </w:rPr>
      </w:r>
      <w:r/>
    </w:p>
    <w:p>
      <w:pPr>
        <w:pStyle w:val="1262"/>
        <w:ind w:firstLine="480"/>
        <w:spacing w:line="400" w:lineRule="exact"/>
        <w:rPr>
          <w:rFonts w:ascii="宋体" w:hAnsi="宋体" w:cs="宋体"/>
          <w:color w:val="000000"/>
          <w:szCs w:val="24"/>
          <w:highlight w:val="none"/>
        </w:rPr>
      </w:pPr>
      <w:r>
        <w:rPr>
          <w:rFonts w:hint="eastAsia" w:ascii="宋体" w:hAnsi="宋体" w:cs="宋体"/>
          <w:color w:val="000000"/>
          <w:szCs w:val="24"/>
          <w:highlight w:val="none"/>
        </w:rPr>
        <w:t xml:space="preserve">2.工程量清单中所列工程量的变动，丝毫不会降低或影响合同条件的效力，也不免除承包商按规定的标准进行施工和修复缺陷的责任。</w:t>
      </w:r>
      <w:r>
        <w:rPr>
          <w:rFonts w:ascii="宋体" w:hAnsi="宋体" w:cs="宋体"/>
          <w:color w:val="000000"/>
          <w:szCs w:val="24"/>
          <w:highlight w:val="none"/>
        </w:rPr>
      </w:r>
      <w:r/>
    </w:p>
    <w:p>
      <w:pPr>
        <w:pStyle w:val="1262"/>
        <w:ind w:firstLine="480"/>
        <w:spacing w:line="400" w:lineRule="exact"/>
        <w:rPr>
          <w:rFonts w:ascii="宋体" w:hAnsi="宋体" w:cs="宋体"/>
          <w:color w:val="000000"/>
          <w:szCs w:val="24"/>
          <w:highlight w:val="none"/>
        </w:rPr>
      </w:pPr>
      <w:r>
        <w:rPr>
          <w:rFonts w:hint="eastAsia" w:ascii="宋体" w:hAnsi="宋体" w:cs="宋体"/>
          <w:color w:val="000000"/>
          <w:szCs w:val="24"/>
          <w:highlight w:val="none"/>
        </w:rPr>
        <w:t xml:space="preserve">3.供应商必须响应本采购文件中规定的质保期。在此基础上，如其</w:t>
      </w:r>
      <w:r>
        <w:rPr>
          <w:rFonts w:hint="eastAsia" w:ascii="宋体" w:hAnsi="宋体" w:cs="宋体"/>
          <w:color w:val="000000"/>
          <w:szCs w:val="24"/>
          <w:highlight w:val="none"/>
          <w:lang w:val="en-US" w:eastAsia="zh-CN"/>
        </w:rPr>
        <w:t xml:space="preserve">响应</w:t>
      </w:r>
      <w:r>
        <w:rPr>
          <w:rFonts w:hint="eastAsia" w:ascii="宋体" w:hAnsi="宋体" w:cs="宋体"/>
          <w:color w:val="000000"/>
          <w:szCs w:val="24"/>
          <w:highlight w:val="none"/>
        </w:rPr>
        <w:t xml:space="preserve">文件中承诺有延长质保期，则按其承诺的质保期执行。</w:t>
      </w:r>
      <w:r>
        <w:rPr>
          <w:rFonts w:ascii="宋体" w:hAnsi="宋体" w:cs="宋体"/>
          <w:color w:val="000000"/>
          <w:szCs w:val="24"/>
          <w:highlight w:val="none"/>
        </w:rPr>
      </w:r>
      <w:r/>
    </w:p>
    <w:p>
      <w:pPr>
        <w:pStyle w:val="1262"/>
        <w:ind w:firstLine="480"/>
        <w:spacing w:line="400" w:lineRule="exact"/>
        <w:rPr>
          <w:rFonts w:ascii="宋体" w:hAnsi="宋体" w:cs="宋体"/>
          <w:color w:val="000000"/>
          <w:szCs w:val="24"/>
          <w:highlight w:val="none"/>
        </w:rPr>
      </w:pPr>
      <w:r>
        <w:rPr>
          <w:rFonts w:hint="eastAsia" w:ascii="宋体" w:hAnsi="宋体" w:cs="宋体"/>
          <w:color w:val="000000"/>
          <w:szCs w:val="24"/>
          <w:highlight w:val="none"/>
        </w:rPr>
        <w:t xml:space="preserve">4.供应商必须提供施工期间项目部主要人员：项目负责人、技术负责人、专职安全员到岗到位，且项目部人员不得更换。如出现项目负责人、技术负责人、专职安全员不在场，采购人可提出警告、罚款、换人、直至解除合同并追究成交供应商的责任。</w:t>
      </w:r>
      <w:r>
        <w:rPr>
          <w:rFonts w:ascii="宋体" w:hAnsi="宋体" w:cs="宋体"/>
          <w:color w:val="000000"/>
          <w:szCs w:val="24"/>
          <w:highlight w:val="none"/>
        </w:rPr>
      </w:r>
      <w:r/>
    </w:p>
    <w:p>
      <w:pPr>
        <w:pStyle w:val="1262"/>
        <w:ind w:firstLine="480"/>
        <w:spacing w:line="400" w:lineRule="exact"/>
        <w:rPr>
          <w:rFonts w:ascii="Times New Roman" w:hAnsi="Times New Roman"/>
          <w:sz w:val="24"/>
          <w:szCs w:val="24"/>
          <w:highlight w:val="none"/>
        </w:rPr>
      </w:pPr>
      <w:r>
        <w:rPr>
          <w:rFonts w:hint="eastAsia" w:ascii="宋体" w:hAnsi="宋体" w:cs="宋体"/>
          <w:color w:val="000000"/>
          <w:szCs w:val="24"/>
          <w:highlight w:val="none"/>
        </w:rPr>
        <w:t xml:space="preserve">5.供应商必须提供在合同履行过程中，若其出现多次失误或拖延工作现象，采购人有权随时终止合同。成交供应商负有责任的建设进度滞后或质量安全事故所造成的损失应由其承担，并接受采购人作出的相应处罚。</w:t>
      </w:r>
      <w:r>
        <w:rPr>
          <w:rFonts w:ascii="Times New Roman" w:hAnsi="Times New Roman"/>
          <w:sz w:val="24"/>
          <w:szCs w:val="24"/>
          <w:highlight w:val="none"/>
        </w:rPr>
      </w:r>
      <w:r/>
    </w:p>
    <w:p>
      <w:pPr>
        <w:pStyle w:val="1012"/>
        <w:spacing w:line="440" w:lineRule="exact"/>
        <w:rPr>
          <w:b/>
          <w:highlight w:val="none"/>
        </w:rPr>
      </w:pPr>
      <w:r>
        <w:rPr>
          <w:b/>
          <w:highlight w:val="none"/>
        </w:rPr>
      </w:r>
      <w:r/>
    </w:p>
    <w:p>
      <w:pPr>
        <w:pStyle w:val="1012"/>
        <w:rPr>
          <w:bCs/>
          <w:highlight w:val="none"/>
        </w:rPr>
      </w:pPr>
      <w:r>
        <w:rPr>
          <w:bCs/>
          <w:highlight w:val="none"/>
        </w:rPr>
      </w:r>
      <w:r/>
    </w:p>
    <w:p>
      <w:pPr>
        <w:pStyle w:val="1012"/>
        <w:rPr>
          <w:highlight w:val="none"/>
        </w:rPr>
      </w:pPr>
      <w:r>
        <w:rPr>
          <w:highlight w:val="none"/>
        </w:rPr>
      </w:r>
      <w:r/>
    </w:p>
    <w:p>
      <w:pPr>
        <w:pStyle w:val="1012"/>
        <w:jc w:val="left"/>
        <w:widowControl/>
        <w:rPr>
          <w:b/>
          <w:sz w:val="36"/>
          <w:szCs w:val="36"/>
          <w:highlight w:val="none"/>
        </w:rPr>
      </w:pPr>
      <w:r>
        <w:rPr>
          <w:b/>
          <w:sz w:val="36"/>
          <w:szCs w:val="36"/>
          <w:highlight w:val="none"/>
        </w:rPr>
        <w:br w:type="page" w:clear="all"/>
      </w:r>
      <w:r>
        <w:rPr>
          <w:b/>
          <w:sz w:val="36"/>
          <w:szCs w:val="36"/>
          <w:highlight w:val="none"/>
        </w:rPr>
        <w:t xml:space="preserve"> </w:t>
      </w:r>
      <w:r>
        <w:rPr>
          <w:b/>
          <w:sz w:val="36"/>
          <w:szCs w:val="36"/>
          <w:highlight w:val="none"/>
        </w:rPr>
      </w:r>
      <w:r/>
    </w:p>
    <w:p>
      <w:pPr>
        <w:pStyle w:val="1012"/>
        <w:jc w:val="center"/>
        <w:spacing w:line="360" w:lineRule="auto"/>
        <w:rPr>
          <w:b/>
          <w:sz w:val="36"/>
          <w:szCs w:val="36"/>
          <w:highlight w:val="none"/>
        </w:rPr>
        <w:outlineLvl w:val="0"/>
      </w:pPr>
      <w:r/>
      <w:bookmarkStart w:id="683" w:name="_Toc99301377"/>
      <w:r>
        <w:rPr>
          <w:b/>
          <w:sz w:val="36"/>
          <w:szCs w:val="36"/>
          <w:highlight w:val="none"/>
        </w:rPr>
        <w:t xml:space="preserve">第五章   合同草案</w:t>
      </w:r>
      <w:r>
        <w:rPr>
          <w:rFonts w:hint="eastAsia"/>
          <w:b/>
          <w:sz w:val="36"/>
          <w:szCs w:val="36"/>
          <w:highlight w:val="none"/>
        </w:rPr>
        <w:t xml:space="preserve">条款</w:t>
      </w:r>
      <w:bookmarkEnd w:id="683"/>
      <w:r>
        <w:rPr>
          <w:b/>
          <w:sz w:val="36"/>
          <w:szCs w:val="36"/>
          <w:highlight w:val="none"/>
        </w:rPr>
      </w:r>
      <w:r/>
    </w:p>
    <w:p>
      <w:pPr>
        <w:pStyle w:val="1012"/>
        <w:spacing w:line="360" w:lineRule="auto"/>
        <w:tabs>
          <w:tab w:val="left" w:pos="900" w:leader="none"/>
          <w:tab w:val="left" w:pos="1080" w:leader="none"/>
        </w:tabs>
        <w:rPr>
          <w:sz w:val="18"/>
          <w:szCs w:val="18"/>
          <w:highlight w:val="none"/>
        </w:rPr>
      </w:pPr>
      <w:r>
        <w:rPr>
          <w:sz w:val="18"/>
          <w:szCs w:val="18"/>
          <w:highlight w:val="none"/>
        </w:rPr>
      </w:r>
      <w:r/>
    </w:p>
    <w:p>
      <w:pPr>
        <w:pStyle w:val="1012"/>
        <w:jc w:val="left"/>
        <w:rPr>
          <w:b/>
          <w:bCs/>
          <w:sz w:val="44"/>
          <w:szCs w:val="44"/>
          <w:highlight w:val="none"/>
        </w:rPr>
      </w:pPr>
      <w:r>
        <w:rPr>
          <w:rFonts w:hint="eastAsia" w:ascii="宋体" w:hAnsi="宋体" w:cs="宋体"/>
          <w:sz w:val="24"/>
          <w:highlight w:val="none"/>
        </w:rPr>
        <w:t xml:space="preserve">合同编号:  </w:t>
      </w:r>
      <w:r>
        <w:rPr>
          <w:b/>
          <w:bCs/>
          <w:sz w:val="44"/>
          <w:szCs w:val="44"/>
          <w:highlight w:val="none"/>
        </w:rPr>
      </w:r>
      <w:r/>
    </w:p>
    <w:p>
      <w:pPr>
        <w:pStyle w:val="1012"/>
        <w:jc w:val="center"/>
        <w:spacing w:line="360" w:lineRule="auto"/>
        <w:rPr>
          <w:rFonts w:ascii="宋体" w:hAnsi="宋体" w:cs="宋体"/>
          <w:b/>
          <w:sz w:val="36"/>
          <w:szCs w:val="36"/>
          <w:highlight w:val="none"/>
        </w:rPr>
        <w:outlineLvl w:val="0"/>
      </w:pPr>
      <w:r>
        <w:rPr>
          <w:rFonts w:ascii="宋体" w:hAnsi="宋体" w:cs="宋体"/>
          <w:b/>
          <w:sz w:val="36"/>
          <w:szCs w:val="36"/>
          <w:highlight w:val="none"/>
        </w:rPr>
      </w:r>
      <w:r/>
    </w:p>
    <w:p>
      <w:pPr>
        <w:pStyle w:val="1012"/>
        <w:jc w:val="center"/>
        <w:spacing w:line="360" w:lineRule="auto"/>
        <w:rPr>
          <w:rFonts w:hint="eastAsia" w:ascii="宋体" w:hAnsi="宋体" w:eastAsia="宋体" w:cs="宋体"/>
          <w:b/>
          <w:sz w:val="36"/>
          <w:szCs w:val="36"/>
          <w:highlight w:val="none"/>
          <w:lang w:eastAsia="zh-CN"/>
        </w:rPr>
        <w:outlineLvl w:val="0"/>
      </w:pPr>
      <w:r>
        <w:rPr>
          <w:rFonts w:hint="eastAsia" w:ascii="宋体" w:hAnsi="宋体" w:cs="宋体"/>
          <w:b/>
          <w:sz w:val="36"/>
          <w:szCs w:val="36"/>
          <w:highlight w:val="none"/>
          <w:lang w:eastAsia="zh-CN"/>
        </w:rPr>
        <w:t xml:space="preserve">常州科教城现代工业中心1-5号楼及惠弘楼北楼屋面防水</w:t>
      </w:r>
      <w:r>
        <w:rPr>
          <w:rFonts w:hint="eastAsia" w:ascii="宋体" w:hAnsi="宋体" w:eastAsia="宋体" w:cs="宋体"/>
          <w:b/>
          <w:sz w:val="36"/>
          <w:szCs w:val="36"/>
          <w:highlight w:val="none"/>
          <w:lang w:eastAsia="zh-CN"/>
        </w:rPr>
      </w:r>
      <w:r/>
    </w:p>
    <w:p>
      <w:pPr>
        <w:pStyle w:val="1012"/>
        <w:jc w:val="center"/>
        <w:rPr>
          <w:b/>
          <w:bCs/>
          <w:sz w:val="44"/>
          <w:szCs w:val="44"/>
          <w:highlight w:val="none"/>
        </w:rPr>
      </w:pPr>
      <w:r>
        <w:rPr>
          <w:b/>
          <w:bCs/>
          <w:sz w:val="44"/>
          <w:szCs w:val="44"/>
          <w:highlight w:val="none"/>
        </w:rPr>
      </w:r>
      <w:r/>
    </w:p>
    <w:p>
      <w:pPr>
        <w:pStyle w:val="1012"/>
        <w:jc w:val="center"/>
        <w:rPr>
          <w:b/>
          <w:bCs/>
          <w:sz w:val="44"/>
          <w:szCs w:val="44"/>
          <w:highlight w:val="none"/>
        </w:rPr>
      </w:pPr>
      <w:r>
        <w:rPr>
          <w:b/>
          <w:bCs/>
          <w:sz w:val="44"/>
          <w:szCs w:val="44"/>
          <w:highlight w:val="none"/>
        </w:rPr>
      </w:r>
      <w:r/>
    </w:p>
    <w:p>
      <w:pPr>
        <w:pStyle w:val="1012"/>
        <w:jc w:val="center"/>
        <w:rPr>
          <w:b/>
          <w:bCs/>
          <w:sz w:val="52"/>
          <w:szCs w:val="52"/>
          <w:highlight w:val="none"/>
        </w:rPr>
      </w:pPr>
      <w:r>
        <w:rPr>
          <w:b/>
          <w:bCs/>
          <w:sz w:val="52"/>
          <w:szCs w:val="52"/>
          <w:highlight w:val="none"/>
        </w:rPr>
      </w:r>
      <w:r/>
    </w:p>
    <w:p>
      <w:pPr>
        <w:pStyle w:val="1012"/>
        <w:jc w:val="center"/>
        <w:rPr>
          <w:b/>
          <w:bCs/>
          <w:sz w:val="52"/>
          <w:szCs w:val="52"/>
          <w:highlight w:val="none"/>
        </w:rPr>
      </w:pPr>
      <w:r>
        <w:rPr>
          <w:rFonts w:hint="eastAsia"/>
          <w:b/>
          <w:bCs/>
          <w:sz w:val="52"/>
          <w:szCs w:val="52"/>
          <w:highlight w:val="none"/>
        </w:rPr>
        <w:t xml:space="preserve">施</w:t>
      </w:r>
      <w:r>
        <w:rPr>
          <w:b/>
          <w:bCs/>
          <w:sz w:val="52"/>
          <w:szCs w:val="52"/>
          <w:highlight w:val="none"/>
        </w:rPr>
      </w:r>
      <w:r/>
    </w:p>
    <w:p>
      <w:pPr>
        <w:pStyle w:val="1012"/>
        <w:jc w:val="center"/>
        <w:rPr>
          <w:b/>
          <w:bCs/>
          <w:sz w:val="52"/>
          <w:szCs w:val="52"/>
          <w:highlight w:val="none"/>
        </w:rPr>
      </w:pPr>
      <w:r>
        <w:rPr>
          <w:rFonts w:hint="eastAsia"/>
          <w:b/>
          <w:bCs/>
          <w:sz w:val="52"/>
          <w:szCs w:val="52"/>
          <w:highlight w:val="none"/>
        </w:rPr>
        <w:t xml:space="preserve">工</w:t>
      </w:r>
      <w:r>
        <w:rPr>
          <w:b/>
          <w:bCs/>
          <w:sz w:val="52"/>
          <w:szCs w:val="52"/>
          <w:highlight w:val="none"/>
        </w:rPr>
      </w:r>
      <w:r/>
    </w:p>
    <w:p>
      <w:pPr>
        <w:pStyle w:val="1012"/>
        <w:jc w:val="center"/>
        <w:rPr>
          <w:b/>
          <w:bCs/>
          <w:sz w:val="52"/>
          <w:szCs w:val="52"/>
          <w:highlight w:val="none"/>
        </w:rPr>
      </w:pPr>
      <w:r>
        <w:rPr>
          <w:rFonts w:hint="eastAsia"/>
          <w:b/>
          <w:bCs/>
          <w:sz w:val="52"/>
          <w:szCs w:val="52"/>
          <w:highlight w:val="none"/>
        </w:rPr>
        <w:t xml:space="preserve">合</w:t>
      </w:r>
      <w:r>
        <w:rPr>
          <w:b/>
          <w:bCs/>
          <w:sz w:val="52"/>
          <w:szCs w:val="52"/>
          <w:highlight w:val="none"/>
        </w:rPr>
      </w:r>
      <w:r/>
    </w:p>
    <w:p>
      <w:pPr>
        <w:pStyle w:val="1012"/>
        <w:jc w:val="center"/>
        <w:rPr>
          <w:sz w:val="52"/>
          <w:szCs w:val="52"/>
          <w:highlight w:val="none"/>
        </w:rPr>
      </w:pPr>
      <w:r>
        <w:rPr>
          <w:rFonts w:hint="eastAsia"/>
          <w:b/>
          <w:bCs/>
          <w:sz w:val="52"/>
          <w:szCs w:val="52"/>
          <w:highlight w:val="none"/>
        </w:rPr>
        <w:t xml:space="preserve">同</w:t>
      </w:r>
      <w:r>
        <w:rPr>
          <w:sz w:val="52"/>
          <w:szCs w:val="52"/>
          <w:highlight w:val="none"/>
        </w:rPr>
      </w:r>
      <w:r/>
    </w:p>
    <w:p>
      <w:pPr>
        <w:pStyle w:val="1012"/>
        <w:rPr>
          <w:sz w:val="32"/>
          <w:szCs w:val="32"/>
          <w:highlight w:val="none"/>
        </w:rPr>
      </w:pPr>
      <w:r>
        <w:rPr>
          <w:sz w:val="32"/>
          <w:szCs w:val="32"/>
          <w:highlight w:val="none"/>
        </w:rPr>
      </w:r>
      <w:r/>
    </w:p>
    <w:p>
      <w:pPr>
        <w:pStyle w:val="1012"/>
        <w:rPr>
          <w:sz w:val="32"/>
          <w:szCs w:val="32"/>
          <w:highlight w:val="none"/>
        </w:rPr>
      </w:pPr>
      <w:r>
        <w:rPr>
          <w:sz w:val="32"/>
          <w:szCs w:val="32"/>
          <w:highlight w:val="none"/>
        </w:rPr>
      </w:r>
      <w:r/>
    </w:p>
    <w:p>
      <w:pPr>
        <w:pStyle w:val="1012"/>
        <w:ind w:firstLine="732"/>
        <w:rPr>
          <w:sz w:val="32"/>
          <w:szCs w:val="32"/>
          <w:highlight w:val="none"/>
        </w:rPr>
      </w:pPr>
      <w:r>
        <w:rPr>
          <w:sz w:val="32"/>
          <w:szCs w:val="32"/>
          <w:highlight w:val="none"/>
        </w:rPr>
      </w:r>
      <w:r/>
    </w:p>
    <w:p>
      <w:pPr>
        <w:pStyle w:val="1012"/>
        <w:ind w:firstLine="732"/>
        <w:rPr>
          <w:sz w:val="32"/>
          <w:szCs w:val="32"/>
          <w:highlight w:val="none"/>
        </w:rPr>
      </w:pPr>
      <w:r>
        <w:rPr>
          <w:rFonts w:hint="eastAsia"/>
          <w:sz w:val="32"/>
          <w:szCs w:val="32"/>
          <w:highlight w:val="none"/>
        </w:rPr>
        <w:t xml:space="preserve"> </w:t>
      </w:r>
      <w:r>
        <w:rPr>
          <w:sz w:val="32"/>
          <w:szCs w:val="32"/>
          <w:highlight w:val="none"/>
        </w:rPr>
      </w:r>
      <w:r/>
    </w:p>
    <w:p>
      <w:pPr>
        <w:pStyle w:val="1012"/>
        <w:ind w:firstLine="1286"/>
        <w:spacing w:line="480" w:lineRule="auto"/>
        <w:rPr>
          <w:sz w:val="30"/>
          <w:szCs w:val="30"/>
          <w:highlight w:val="none"/>
        </w:rPr>
      </w:pPr>
      <w:r>
        <w:rPr>
          <w:rFonts w:hint="eastAsia"/>
          <w:b/>
          <w:bCs/>
          <w:sz w:val="30"/>
          <w:szCs w:val="30"/>
          <w:highlight w:val="none"/>
        </w:rPr>
        <w:t xml:space="preserve">甲    方：</w:t>
      </w:r>
      <w:r>
        <w:rPr>
          <w:rFonts w:hint="eastAsia" w:ascii="宋体" w:hAnsi="宋体"/>
          <w:b/>
          <w:sz w:val="32"/>
          <w:szCs w:val="32"/>
          <w:highlight w:val="none"/>
        </w:rPr>
        <w:t xml:space="preserve">常州科教城现代工业中心</w:t>
      </w:r>
      <w:r>
        <w:rPr>
          <w:rFonts w:hint="eastAsia"/>
          <w:sz w:val="30"/>
          <w:szCs w:val="30"/>
          <w:highlight w:val="none"/>
        </w:rPr>
        <w:t xml:space="preserve">   </w:t>
      </w:r>
      <w:r>
        <w:rPr>
          <w:sz w:val="30"/>
          <w:szCs w:val="30"/>
          <w:highlight w:val="none"/>
        </w:rPr>
        <w:t xml:space="preserve">  </w:t>
      </w:r>
      <w:r>
        <w:rPr>
          <w:sz w:val="30"/>
          <w:szCs w:val="30"/>
          <w:highlight w:val="none"/>
        </w:rPr>
      </w:r>
      <w:r/>
    </w:p>
    <w:p>
      <w:pPr>
        <w:pStyle w:val="1012"/>
        <w:ind w:firstLine="1286"/>
        <w:spacing w:line="480" w:lineRule="auto"/>
        <w:rPr>
          <w:sz w:val="30"/>
          <w:szCs w:val="30"/>
          <w:highlight w:val="none"/>
        </w:rPr>
      </w:pPr>
      <w:r>
        <w:rPr>
          <w:rFonts w:hint="eastAsia"/>
          <w:b/>
          <w:bCs/>
          <w:sz w:val="30"/>
          <w:szCs w:val="30"/>
          <w:highlight w:val="none"/>
        </w:rPr>
        <w:t xml:space="preserve">乙    方：</w:t>
      </w:r>
      <w:r>
        <w:rPr>
          <w:rFonts w:hint="eastAsia" w:ascii="仿宋" w:hAnsi="仿宋" w:eastAsia="仿宋"/>
          <w:sz w:val="32"/>
          <w:szCs w:val="32"/>
          <w:highlight w:val="none"/>
        </w:rPr>
        <w:t xml:space="preserve">                  </w:t>
      </w:r>
      <w:r>
        <w:rPr>
          <w:sz w:val="30"/>
          <w:szCs w:val="30"/>
          <w:highlight w:val="none"/>
        </w:rPr>
      </w:r>
      <w:r/>
    </w:p>
    <w:p>
      <w:pPr>
        <w:pStyle w:val="1012"/>
        <w:ind w:firstLine="1286"/>
        <w:spacing w:line="480" w:lineRule="auto"/>
        <w:rPr>
          <w:rFonts w:hint="eastAsia"/>
          <w:b/>
          <w:bCs/>
          <w:sz w:val="30"/>
          <w:szCs w:val="30"/>
          <w:highlight w:val="none"/>
        </w:rPr>
      </w:pPr>
      <w:r>
        <w:rPr>
          <w:rFonts w:hint="eastAsia"/>
          <w:b/>
          <w:bCs/>
          <w:sz w:val="30"/>
          <w:szCs w:val="30"/>
          <w:highlight w:val="none"/>
        </w:rPr>
        <w:t xml:space="preserve">签订地点：江苏常州</w:t>
      </w:r>
      <w:r>
        <w:rPr>
          <w:rFonts w:hint="eastAsia"/>
          <w:b/>
          <w:bCs/>
          <w:sz w:val="30"/>
          <w:szCs w:val="30"/>
          <w:highlight w:val="none"/>
        </w:rPr>
      </w:r>
      <w:r/>
    </w:p>
    <w:p>
      <w:pPr>
        <w:pStyle w:val="1012"/>
        <w:ind w:firstLine="1205"/>
        <w:spacing w:line="400" w:lineRule="exact"/>
        <w:rPr>
          <w:rFonts w:ascii="宋体" w:hAnsi="宋体" w:cs="宋体"/>
          <w:color w:val="000000"/>
          <w:sz w:val="24"/>
          <w:szCs w:val="24"/>
          <w:highlight w:val="none"/>
        </w:rPr>
      </w:pPr>
      <w:r>
        <w:rPr>
          <w:rFonts w:hint="eastAsia"/>
          <w:b/>
          <w:bCs/>
          <w:sz w:val="30"/>
          <w:szCs w:val="30"/>
          <w:highlight w:val="none"/>
        </w:rPr>
        <w:t xml:space="preserve">签订日期：</w:t>
      </w: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年 </w:t>
      </w: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日      </w:t>
      </w: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合同编号: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12"/>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签订地点：江苏常州  </w:t>
      </w:r>
      <w:r>
        <w:rPr>
          <w:rFonts w:ascii="宋体" w:hAnsi="宋体" w:cs="宋体"/>
          <w:color w:val="000000"/>
          <w:sz w:val="24"/>
          <w:szCs w:val="24"/>
          <w:highlight w:val="none"/>
        </w:rPr>
      </w:r>
      <w:r/>
    </w:p>
    <w:p>
      <w:pPr>
        <w:pStyle w:val="1012"/>
        <w:ind w:firstLine="16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签订时间：                </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2"/>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按照《中华人民共和国</w:t>
      </w:r>
      <w:r>
        <w:rPr>
          <w:rFonts w:hint="eastAsia" w:ascii="宋体" w:hAnsi="宋体" w:cs="宋体"/>
          <w:color w:val="000000"/>
          <w:sz w:val="24"/>
          <w:szCs w:val="24"/>
          <w:highlight w:val="none"/>
          <w:lang w:val="en-US" w:eastAsia="zh-CN"/>
        </w:rPr>
        <w:t xml:space="preserve">民法典</w:t>
      </w:r>
      <w:r>
        <w:rPr>
          <w:rFonts w:hint="eastAsia" w:ascii="宋体" w:hAnsi="宋体" w:cs="宋体"/>
          <w:color w:val="000000"/>
          <w:sz w:val="24"/>
          <w:szCs w:val="24"/>
          <w:highlight w:val="none"/>
        </w:rPr>
        <w:t xml:space="preserve">》的规定，结合本工程具体情况，双方</w:t>
      </w:r>
      <w:r>
        <w:rPr>
          <w:rFonts w:hint="eastAsia" w:ascii="宋体" w:hAnsi="宋体" w:cs="宋体"/>
          <w:color w:val="000000"/>
          <w:sz w:val="24"/>
          <w:szCs w:val="24"/>
          <w:highlight w:val="none"/>
          <w:lang w:eastAsia="zh-CN"/>
        </w:rPr>
        <w:t xml:space="preserve">订立本合同。</w:t>
      </w:r>
      <w:r>
        <w:rPr>
          <w:rFonts w:hint="eastAsia" w:ascii="宋体" w:hAnsi="宋体" w:eastAsia="宋体" w:cs="宋体"/>
          <w:color w:val="000000"/>
          <w:sz w:val="24"/>
          <w:szCs w:val="24"/>
          <w:highlight w:val="none"/>
          <w:lang w:eastAsia="zh-CN"/>
        </w:rPr>
      </w:r>
      <w:r/>
    </w:p>
    <w:p>
      <w:pPr>
        <w:pStyle w:val="1012"/>
        <w:ind w:firstLine="482"/>
        <w:spacing w:line="400" w:lineRule="exact"/>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条 </w:t>
      </w:r>
      <w:r>
        <w:rPr>
          <w:rFonts w:hint="eastAsia" w:ascii="宋体" w:hAnsi="宋体" w:cs="宋体"/>
          <w:b/>
          <w:color w:val="000000"/>
          <w:sz w:val="24"/>
          <w:szCs w:val="24"/>
          <w:highlight w:val="none"/>
          <w:lang w:val="en-US" w:eastAsia="zh-CN"/>
        </w:rPr>
        <w:t xml:space="preserve"> 工程概况</w:t>
      </w:r>
      <w:r>
        <w:rPr>
          <w:rFonts w:ascii="宋体" w:hAnsi="宋体" w:eastAsia="宋体" w:cs="宋体"/>
          <w:b/>
          <w:color w:val="000000"/>
          <w:sz w:val="24"/>
          <w:szCs w:val="24"/>
          <w:highlight w:val="none"/>
          <w:lang w:val="en-US" w:eastAsia="zh-CN"/>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 工程名称：</w:t>
      </w:r>
      <w:r>
        <w:rPr>
          <w:rFonts w:hint="eastAsia" w:ascii="宋体" w:hAnsi="宋体" w:cs="宋体"/>
          <w:color w:val="000000"/>
          <w:sz w:val="24"/>
          <w:szCs w:val="24"/>
          <w:highlight w:val="none"/>
          <w:lang w:val="en-US" w:eastAsia="zh-CN"/>
        </w:rPr>
        <w:t xml:space="preserve">常州科教城现代工业中心1-5号楼及惠弘楼北楼屋面防水</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 工程地点：</w:t>
      </w:r>
      <w:r>
        <w:rPr>
          <w:rFonts w:hint="eastAsia" w:ascii="宋体" w:hAnsi="宋体" w:cs="宋体"/>
          <w:color w:val="000000"/>
          <w:sz w:val="24"/>
          <w:szCs w:val="24"/>
          <w:highlight w:val="none"/>
          <w:lang w:val="en-US" w:eastAsia="zh-CN"/>
        </w:rPr>
        <w:t xml:space="preserve">常州科教城现代工业中心</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 承包范围：</w:t>
      </w:r>
      <w:r>
        <w:rPr>
          <w:rFonts w:hint="eastAsia" w:ascii="宋体" w:hAnsi="宋体" w:cs="宋体"/>
          <w:color w:val="000000"/>
          <w:sz w:val="24"/>
          <w:szCs w:val="24"/>
          <w:highlight w:val="none"/>
          <w:lang w:val="en-US" w:eastAsia="zh-CN"/>
        </w:rPr>
        <w:t xml:space="preserve">工程量</w:t>
      </w:r>
      <w:r>
        <w:rPr>
          <w:rFonts w:hint="eastAsia" w:ascii="宋体" w:hAnsi="宋体" w:cs="宋体"/>
          <w:color w:val="000000"/>
          <w:sz w:val="24"/>
          <w:szCs w:val="24"/>
          <w:highlight w:val="none"/>
        </w:rPr>
        <w:t xml:space="preserve">清单范围内所有内容                               </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 承包方式：包工包料                         </w:t>
      </w:r>
      <w:r>
        <w:rPr>
          <w:rFonts w:ascii="宋体" w:hAnsi="宋体" w:cs="宋体"/>
          <w:color w:val="000000"/>
          <w:sz w:val="24"/>
          <w:szCs w:val="24"/>
          <w:highlight w:val="none"/>
        </w:rPr>
      </w:r>
      <w:r/>
    </w:p>
    <w:p>
      <w:pPr>
        <w:pStyle w:val="1012"/>
        <w:ind w:firstLine="480"/>
        <w:spacing w:line="40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1.5计划工期：</w:t>
      </w:r>
      <w:r>
        <w:rPr>
          <w:rFonts w:hint="eastAsia" w:ascii="宋体" w:hAnsi="宋体" w:cs="宋体"/>
          <w:color w:val="000000"/>
          <w:sz w:val="24"/>
          <w:szCs w:val="24"/>
          <w:highlight w:val="none"/>
          <w:u w:val="single"/>
        </w:rPr>
        <w:t xml:space="preserve">     </w:t>
      </w:r>
      <w:r>
        <w:rPr>
          <w:rFonts w:hint="eastAsia" w:ascii="宋体" w:hAnsi="宋体" w:cs="宋体"/>
          <w:color w:val="000000"/>
          <w:spacing w:val="2"/>
          <w:sz w:val="24"/>
          <w:szCs w:val="24"/>
          <w:highlight w:val="none"/>
          <w:u w:val="none"/>
        </w:rPr>
        <w:t xml:space="preserve">年</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none"/>
        </w:rPr>
        <w:t xml:space="preserve">月</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none"/>
        </w:rPr>
        <w:t xml:space="preserve">日至</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none"/>
        </w:rPr>
        <w:t xml:space="preserve">年</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none"/>
        </w:rPr>
        <w:t xml:space="preserve">月</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none"/>
        </w:rPr>
        <w:t xml:space="preserve">日，共</w:t>
      </w:r>
      <w:r>
        <w:rPr>
          <w:rFonts w:hint="eastAsia" w:ascii="宋体" w:hAnsi="宋体" w:cs="宋体"/>
          <w:color w:val="000000"/>
          <w:spacing w:val="2"/>
          <w:sz w:val="24"/>
          <w:szCs w:val="24"/>
          <w:highlight w:val="none"/>
          <w:u w:val="single"/>
          <w:lang w:val="en-US" w:eastAsia="zh-CN"/>
        </w:rPr>
        <w:t xml:space="preserve">   </w:t>
      </w:r>
      <w:r>
        <w:rPr>
          <w:rFonts w:hint="eastAsia" w:ascii="宋体" w:hAnsi="宋体" w:cs="宋体"/>
          <w:color w:val="000000"/>
          <w:spacing w:val="2"/>
          <w:sz w:val="24"/>
          <w:szCs w:val="24"/>
          <w:highlight w:val="none"/>
          <w:u w:val="none"/>
        </w:rPr>
        <w:t xml:space="preserve">天</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12"/>
        <w:ind w:firstLine="480"/>
        <w:spacing w:line="40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1.6 工程质量：一次性验收合格，符合国家及地方相关标准、规范及文件的要求。 </w:t>
      </w:r>
      <w:r>
        <w:rPr>
          <w:rFonts w:ascii="宋体" w:hAnsi="宋体" w:cs="宋体"/>
          <w:color w:val="000000"/>
          <w:sz w:val="24"/>
          <w:szCs w:val="24"/>
          <w:highlight w:val="none"/>
        </w:rPr>
      </w:r>
      <w:r/>
    </w:p>
    <w:p>
      <w:pPr>
        <w:pStyle w:val="1012"/>
        <w:ind w:firstLine="480"/>
        <w:spacing w:line="40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质保期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lang w:val="en-US" w:eastAsia="zh-CN"/>
        </w:rPr>
        <w:t xml:space="preserve">5年，自验收合格之日起计算</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 合同价款(人民币大写)</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w:t>
      </w:r>
      <w:r>
        <w:rPr>
          <w:rFonts w:ascii="Arial" w:hAnsi="Arial" w:cs="Arial"/>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）含税，开具增值税普通发票。</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第2条  甲方工作</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 开工前3天,向乙方进行现场交底。向乙方提供施工所需的水、电、气等必要条件，并说明使用注意事项。</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指派</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为甲方代表，负责合同履行。对工程质量、进度进行监督检查，办理验收、变更、登记手续和其他事宜。</w:t>
      </w:r>
      <w:r>
        <w:rPr>
          <w:rFonts w:ascii="宋体" w:hAnsi="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2.3 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监理公司进行工程监理，监理公司任命</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为总监理工程师，其职责在监理合同中应明确，并将合同副本交乙方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如确实需要拆改原建筑物结构或设备管线，负责到有关部门办理相应审批手续。</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协调有关部门做好现场保卫、消防等工作。</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 按照合同付款要求办理相关付款手续。</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第3条  乙方工作</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 参加甲方组织的现场交底，开工前拟定施工组织方案和进度计划，以书面形式交甲方审定。待甲方审定后，乙方方可施工。因乙方施工组织方案和进度计划迟延交甲方审定，影响开工时间的，乙方须按每日2000元承担罚款。</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 指派</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为乙方项目经理，负责合同履行，按要求组织施工，保质、保量、按期完成施工任务，解决由乙方负责的各项事宜。</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 严格按照甲方提供的图纸施工，严格执行施工规范、安全操作规程、防火安全规定，乙方必须为高空施工作业人员购买高空作业保险，做好各项质量检查记录，参加竣工验收。合同履行期间，发生的乙方人员受伤、或者对其他第三人造成人身伤害、财物损失、意外情况等，均有乙方承担责任，与甲方无关。</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 遵守国家或地方政府及有关部门对施工现场管理的规定，妥善保护好施工现场周围建筑物、设备管线及室内有关设备设施不受损坏。做好施工现场安全和垃圾清理及外运等工作，处理好由于施工带来的扰民问题及与周围单位（居民）的关系。</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3.5 施工中未经甲方同意或有关部门批准，不得随便拆改原建筑物结构及各种设备管线。</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3.6 工程竣工未移交甲方之前，负责对现场的一切设施和工程成品进行保护，若有财物遗失或财物损害，由乙方承担相应的赔偿责任。</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3.7 未经甲方书面同意，乙方不得变更本项目的项目经理。</w:t>
      </w:r>
      <w:r>
        <w:rPr>
          <w:rFonts w:ascii="宋体" w:hAnsi="宋体" w:cs="宋体"/>
          <w:color w:val="000000"/>
          <w:sz w:val="24"/>
          <w:szCs w:val="24"/>
          <w:highlight w:val="none"/>
        </w:rPr>
      </w:r>
      <w:r/>
    </w:p>
    <w:p>
      <w:pPr>
        <w:pStyle w:val="1012"/>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3.8 本合同生效之日起5日内，乙方应向甲方提供需甲方签认的各类产品的样品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400" w:lineRule="exact"/>
        <w:rPr>
          <w:rFonts w:ascii="宋体" w:hAnsi="宋体" w:cs="宋体"/>
          <w:b/>
          <w:color w:val="000000"/>
          <w:sz w:val="24"/>
          <w:szCs w:val="24"/>
          <w:highlight w:val="none"/>
        </w:rPr>
      </w:pPr>
      <w:r>
        <w:rPr>
          <w:rFonts w:hint="eastAsia" w:ascii="宋体" w:hAnsi="宋体" w:cs="宋体"/>
          <w:color w:val="000000"/>
          <w:sz w:val="24"/>
          <w:highlight w:val="none"/>
        </w:rPr>
        <w:t xml:space="preserve">3.9 做好施工时工程的防护措施，施工人员在高空作业时须系安全带，确保施工安全，一切责任事故由中标单位承担，每次施工完毕，及时清运所有垃圾。如垃圾清理不及时，将扣除审计价的2%。</w:t>
      </w:r>
      <w:r>
        <w:rPr>
          <w:rFonts w:ascii="宋体" w:hAnsi="宋体" w:cs="宋体"/>
          <w:b/>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第4条  关于工期的约定</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4.1甲方要求比合同约定的工期提前竣工时，应征得乙方同意，并支付乙方相应赶工措施费。</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4.2 因甲方原因未按约定完成工作，影响工期，工期顺延。</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4.3 因乙方责任，不能按期开工或中途无故停工，影响工期，工期不得顺延，施工单位延期完工的，除扣罚履约保证金外，每延迟一日另按本合同价款的千分之一罚款。逾期交付超过15天的，甲方有权单方面解除合同，甲方可以直接通知第三方进场施工，对此乙方没有异议，并要求乙方赔偿本合同价款20%违约金。</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4.4 因设计变更或非乙方原因造成的停电、停水、停气及不可抗力因素，导致停工8小时以上，工期相应顺延。</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第5条  关于工程质量及验收的约定</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 本工程质量满足设计图纸、施工规范、</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及甲方要求，并符合现行国家及行业验收标准。</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5.2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除扣罚履约保证金外，每延迟一日另按本合同价款的千分之一罚款。</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5.3 乙方负责采购的材料，应严格按</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及甲方要求采购，并提供产品合格证明,对材料质量负责。乙方采购的材料在使用前应及时向甲方办理报验手续，经甲方验收后方可使用，拒绝不符合要求的材料用于本工程。</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5.4 由于乙方原因造成质量及安全事故（包括但不限于造成甲方、乙方或者第三方人员人身损害、财物损失或者其他意外情况的），其损失及费用全部由乙方承担，工期不顺延。</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5.5 工程竣工后，乙方应书面通知甲方验收，甲方自接到验收通知5个工作日内组织验收，若工程质量不符合合同约定或者相关标准要求的，乙方应承担返工义务，工期不得顺延，并处罚金，罚金总额按本合同价款3%。若两次返工后工程质量仍不符合合同约定或者相关质量标准的，甲方有权不再支付未支付的剩余款项，并要求乙方承担本合同价款30%违约金，甲方有其他损失的，乙方仍应全额承担。</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5.6 未通过甲方验收的工程不能进行结算处理。</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第6条  关于工程价款及结算的约定</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 双方商定本工程承包方式：固定综合单价承包。</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6.1.1本合同价款采用固定价格方式确定。固定价格为固定综合单价承包。合同中约定的风险范围：市场风险（包括采用新的验收标准，施工期间材料及器材价格不调整）；分部分项工程和措施项目中的单价项目的综合单价（</w:t>
      </w:r>
      <w:r>
        <w:rPr>
          <w:rFonts w:hint="eastAsia" w:ascii="宋体" w:hAnsi="宋体" w:cs="宋体"/>
          <w:b w:val="0"/>
          <w:bCs w:val="0"/>
          <w:color w:val="000000"/>
          <w:sz w:val="24"/>
          <w:szCs w:val="24"/>
          <w:highlight w:val="none"/>
        </w:rPr>
        <w:t xml:space="preserve">不随工程量的增减而调整，另有约定的除外）；承包人的投标施工方案；经踏勘后的现场条件；其余详见本工程工程</w:t>
      </w:r>
      <w:r>
        <w:rPr>
          <w:rFonts w:hint="eastAsia" w:ascii="宋体" w:hAnsi="宋体" w:cs="宋体"/>
          <w:color w:val="000000"/>
          <w:sz w:val="24"/>
          <w:szCs w:val="24"/>
          <w:highlight w:val="none"/>
        </w:rPr>
        <w:t xml:space="preserve">量清单的要求。</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6.1.2风险费用的计算方法：</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综合考虑在投标总价内，在合同约定风险范围内不作调整。</w:t>
      </w:r>
      <w:r>
        <w:rPr>
          <w:rFonts w:ascii="宋体" w:hAnsi="宋体" w:cs="宋体"/>
          <w:color w:val="000000"/>
          <w:sz w:val="24"/>
          <w:szCs w:val="24"/>
          <w:highlight w:val="none"/>
        </w:rPr>
      </w:r>
      <w:r/>
    </w:p>
    <w:p>
      <w:pPr>
        <w:pStyle w:val="1045"/>
        <w:ind w:left="0" w:firstLine="480"/>
        <w:spacing w:after="0"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本合同生效后，甲方按以下约定支付合同款：</w:t>
      </w:r>
      <w:r>
        <w:rPr>
          <w:rFonts w:hint="eastAsia" w:ascii="宋体" w:hAnsi="宋体" w:cs="宋体"/>
          <w:color w:val="000000"/>
          <w:sz w:val="24"/>
          <w:szCs w:val="24"/>
          <w:highlight w:val="none"/>
        </w:rPr>
      </w:r>
      <w:r/>
    </w:p>
    <w:p>
      <w:pPr>
        <w:pStyle w:val="1045"/>
        <w:ind w:firstLine="480"/>
        <w:spacing w:line="400" w:lineRule="exact"/>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合同签订后，支付合同价款的30%作为预付款；</w:t>
      </w:r>
      <w:r>
        <w:rPr>
          <w:rFonts w:ascii="宋体" w:hAnsi="宋体" w:cs="宋体"/>
          <w:color w:val="000000"/>
          <w:sz w:val="24"/>
          <w:szCs w:val="24"/>
          <w:highlight w:val="none"/>
          <w:lang w:val="en-US"/>
        </w:rPr>
      </w:r>
      <w:r/>
    </w:p>
    <w:p>
      <w:pPr>
        <w:pStyle w:val="104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竣工验收完成，</w:t>
      </w:r>
      <w:r>
        <w:rPr>
          <w:rFonts w:hint="eastAsia" w:ascii="宋体" w:hAnsi="宋体" w:cs="宋体"/>
          <w:color w:val="000000"/>
          <w:sz w:val="24"/>
          <w:szCs w:val="24"/>
          <w:highlight w:val="none"/>
          <w:lang w:val="en-US" w:eastAsia="zh-CN"/>
        </w:rPr>
        <w:t xml:space="preserve">支付合同价款的50%；</w:t>
      </w:r>
      <w:r>
        <w:rPr>
          <w:rFonts w:hint="eastAsia" w:ascii="宋体" w:hAnsi="宋体" w:cs="宋体"/>
          <w:color w:val="000000"/>
          <w:sz w:val="24"/>
          <w:szCs w:val="24"/>
          <w:highlight w:val="none"/>
          <w:lang w:val="en-US" w:eastAsia="zh-CN"/>
        </w:rPr>
      </w:r>
      <w:r/>
    </w:p>
    <w:p>
      <w:pPr>
        <w:pStyle w:val="104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结算审计后，</w:t>
      </w:r>
      <w:r>
        <w:rPr>
          <w:rFonts w:hint="eastAsia" w:ascii="宋体" w:hAnsi="宋体" w:cs="宋体"/>
          <w:color w:val="000000"/>
          <w:sz w:val="24"/>
          <w:szCs w:val="24"/>
          <w:highlight w:val="none"/>
          <w:lang w:val="en-US" w:eastAsia="zh-CN"/>
        </w:rPr>
        <w:t xml:space="preserve">采购人付至审定价的97%；</w:t>
      </w:r>
      <w:r>
        <w:rPr>
          <w:rFonts w:hint="eastAsia" w:ascii="宋体" w:hAnsi="宋体" w:cs="宋体"/>
          <w:color w:val="000000"/>
          <w:sz w:val="24"/>
          <w:szCs w:val="24"/>
          <w:highlight w:val="none"/>
          <w:lang w:val="en-US" w:eastAsia="zh-CN"/>
        </w:rPr>
      </w:r>
      <w:r/>
    </w:p>
    <w:p>
      <w:pPr>
        <w:pStyle w:val="104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4）余款3%（</w:t>
      </w:r>
      <w:r>
        <w:rPr>
          <w:rFonts w:hint="eastAsia" w:ascii="宋体" w:hAnsi="宋体" w:cs="宋体"/>
          <w:color w:val="000000"/>
          <w:sz w:val="24"/>
          <w:szCs w:val="24"/>
          <w:highlight w:val="none"/>
          <w:lang w:val="en-US" w:eastAsia="zh-CN"/>
        </w:rPr>
        <w:t xml:space="preserve">审定价</w:t>
      </w:r>
      <w:r>
        <w:rPr>
          <w:rFonts w:hint="eastAsia" w:ascii="宋体" w:hAnsi="宋体" w:cs="宋体"/>
          <w:color w:val="000000"/>
          <w:sz w:val="24"/>
          <w:szCs w:val="24"/>
          <w:highlight w:val="none"/>
          <w:lang w:val="en-US" w:eastAsia="zh-CN"/>
        </w:rPr>
        <w:t xml:space="preserve">），质保期满后付清（无息）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6.3 工程经甲方竣工验收后，乙方提出工程结算并将有关资料送交甲方。由甲方委托中介机构实施工程结算审计，并作为最终结算的依据，对此乙方没有异议。</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6.4 建设工程结算审计费按甲方有关规定执行。</w:t>
      </w:r>
      <w:r>
        <w:rPr>
          <w:rFonts w:ascii="宋体" w:hAnsi="宋体" w:cs="宋体"/>
          <w:color w:val="000000"/>
          <w:sz w:val="24"/>
          <w:szCs w:val="24"/>
          <w:highlight w:val="none"/>
        </w:rPr>
      </w:r>
      <w:r/>
    </w:p>
    <w:p>
      <w:pPr>
        <w:pStyle w:val="1012"/>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本工程结算核减率在</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%（含）以内的，审计费由甲方承担；核减率超出</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超出部分的</w:t>
      </w:r>
      <w:r>
        <w:rPr>
          <w:rFonts w:hint="eastAsia" w:ascii="宋体" w:hAnsi="宋体" w:cs="宋体"/>
          <w:color w:val="000000"/>
          <w:sz w:val="24"/>
          <w:szCs w:val="24"/>
          <w:highlight w:val="none"/>
        </w:rPr>
        <w:t xml:space="preserve">审计费由乙方承担；该费用由甲方从工程结算款中扣回。</w:t>
      </w:r>
      <w:r>
        <w:rPr>
          <w:rFonts w:hint="eastAsia"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6.5 材料送检：在施工过程中，甲方有权将乙方施工中使用的材料送去专门的检测机构进行检测，检测结果必须符合检测参数。检测费用由乙方自行承担。</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6.6变更或增加的工程量不超过本合同价款10%。</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第7条  关于材料供应的约定</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 凡由乙方采购的材料，如不符合质量要求或规格差异，应禁止使用。</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7.2 凡由乙方采购的材料，必须满足</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及甲方要求，工程竣工验收前，甲方会对材料进行检测，若检测不合格，乙方须承担每项材料合价的5%为违约金，并由乙方重新提供符合工程要求的材料，直到检测合格为止，工期不予顺延。</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第8条  有关安全生产和防火的约定</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8.1 甲方提供的作法说明，应符合《中华人民共和国</w:t>
      </w:r>
      <w:r>
        <w:rPr>
          <w:rFonts w:hint="eastAsia" w:ascii="宋体" w:hAnsi="宋体" w:cs="宋体"/>
          <w:color w:val="000000"/>
          <w:sz w:val="24"/>
          <w:szCs w:val="24"/>
          <w:highlight w:val="none"/>
          <w:lang w:eastAsia="zh-CN"/>
        </w:rPr>
        <w:t xml:space="preserve">消防法</w:t>
      </w:r>
      <w:r>
        <w:rPr>
          <w:rFonts w:hint="eastAsia" w:ascii="宋体" w:hAnsi="宋体" w:cs="宋体"/>
          <w:color w:val="000000"/>
          <w:sz w:val="24"/>
          <w:szCs w:val="24"/>
          <w:highlight w:val="none"/>
        </w:rPr>
        <w:t xml:space="preserve">》和有关防火设计规范。</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8.2 乙方在施工期间应严格遵守《建筑安装工程安全技术规程》、《建筑安装工人安全操作规程》、《中华人民共和国</w:t>
      </w:r>
      <w:r>
        <w:rPr>
          <w:rFonts w:hint="eastAsia" w:ascii="宋体" w:hAnsi="宋体" w:cs="宋体"/>
          <w:color w:val="000000"/>
          <w:sz w:val="24"/>
          <w:szCs w:val="24"/>
          <w:highlight w:val="none"/>
          <w:lang w:eastAsia="zh-CN"/>
        </w:rPr>
        <w:t xml:space="preserve">消防法</w:t>
      </w:r>
      <w:r>
        <w:rPr>
          <w:rFonts w:hint="eastAsia" w:ascii="宋体" w:hAnsi="宋体" w:cs="宋体"/>
          <w:color w:val="000000"/>
          <w:sz w:val="24"/>
          <w:szCs w:val="24"/>
          <w:highlight w:val="none"/>
        </w:rPr>
        <w:t xml:space="preserve">》和其他相关的法规、规范。</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8.3 由于甲方确认的图纸或做法说明，违反有关安全操作规程、</w:t>
      </w:r>
      <w:r>
        <w:rPr>
          <w:rFonts w:hint="eastAsia" w:ascii="宋体" w:hAnsi="宋体" w:cs="宋体"/>
          <w:color w:val="000000"/>
          <w:sz w:val="24"/>
          <w:szCs w:val="24"/>
          <w:highlight w:val="none"/>
          <w:lang w:eastAsia="zh-CN"/>
        </w:rPr>
        <w:t xml:space="preserve">消防法</w:t>
      </w:r>
      <w:r>
        <w:rPr>
          <w:rFonts w:hint="eastAsia" w:ascii="宋体" w:hAnsi="宋体" w:cs="宋体"/>
          <w:color w:val="000000"/>
          <w:sz w:val="24"/>
          <w:szCs w:val="24"/>
          <w:highlight w:val="none"/>
        </w:rPr>
        <w:t xml:space="preserve">和防火设计规范，乙方应在施工前及时书面提出。</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8.4 乙方在施工期间必须规范施工，做好施工安全消防保护措施，如造成施工人员、甲方人员或第三人财产损失、人身伤亡的，由乙方承担一切安全事故和经济赔偿责任。</w:t>
      </w:r>
      <w:r>
        <w:rPr>
          <w:rFonts w:ascii="宋体" w:hAnsi="宋体" w:cs="宋体"/>
          <w:color w:val="000000"/>
          <w:sz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第9条  违约责任</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9.1 由于甲方原因导致延期开工或中途停工，工期顺延。</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9.2 由于乙方原因，逾期竣工或者逾期验收合格的，每逾期一天，除扣罚履约保证金外，另按本合同价款千分之一罚款。工期延误超过15天的，甲方有权直接解除合同，甲方不承担任何违约责任，乙方须按照本合同价款的20%支付违约金。</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9.3 乙方应妥善保护甲方施工现场的设备、家具、陈设，如造成损失，应按价赔偿。</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9.4 甲方未办理任何手续，擅自同意拆改原有建筑物结构或设备管线，由此发生的损失或事故（包括罚款），由甲方负责并承担损失。</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9.5 未经甲方同意，乙方擅自拆改原建筑物结构或设备管线，由此发生的损失或事故（包括罚款），由乙方负责并承担损失。</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9.6 因一方原因，合同无法继续履行时，应通知对方，办理合同终止协议，并由责任方承担由此造成的一切经济损失。</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第10条  售后服务</w:t>
      </w:r>
      <w:r>
        <w:rPr>
          <w:rFonts w:ascii="宋体" w:hAnsi="宋体" w:cs="宋体"/>
          <w:b/>
          <w:color w:val="000000"/>
          <w:sz w:val="24"/>
          <w:szCs w:val="24"/>
          <w:highlight w:val="none"/>
        </w:rPr>
      </w:r>
      <w:r/>
    </w:p>
    <w:p>
      <w:pPr>
        <w:pStyle w:val="1012"/>
        <w:ind w:firstLine="480"/>
        <w:spacing w:line="40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10.1 </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应在</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内对已交付使用的工程承担</w:t>
      </w:r>
      <w:r>
        <w:rPr>
          <w:rFonts w:hint="eastAsia" w:ascii="宋体" w:hAnsi="宋体" w:cs="宋体"/>
          <w:color w:val="000000"/>
          <w:sz w:val="24"/>
          <w:highlight w:val="none"/>
          <w:lang w:val="en-US" w:eastAsia="zh-CN"/>
        </w:rPr>
        <w:t xml:space="preserve">保修</w:t>
      </w: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1045"/>
        <w:ind w:left="0" w:firstLine="480"/>
        <w:spacing w:after="0"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10.2 </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承诺在</w:t>
      </w:r>
      <w:r>
        <w:rPr>
          <w:rFonts w:hint="eastAsia" w:ascii="宋体" w:hAnsi="宋体" w:cs="宋体"/>
          <w:color w:val="000000"/>
          <w:sz w:val="24"/>
          <w:szCs w:val="22"/>
          <w:highlight w:val="none"/>
          <w:lang w:eastAsia="zh-CN"/>
        </w:rPr>
        <w:t xml:space="preserve">甲方</w:t>
      </w:r>
      <w:r>
        <w:rPr>
          <w:rFonts w:hint="eastAsia" w:ascii="宋体" w:hAnsi="宋体" w:cs="宋体"/>
          <w:color w:val="000000"/>
          <w:sz w:val="24"/>
          <w:szCs w:val="22"/>
          <w:highlight w:val="none"/>
        </w:rPr>
        <w:t xml:space="preserve">通知后</w:t>
      </w:r>
      <w:r>
        <w:rPr>
          <w:rFonts w:hint="eastAsia" w:ascii="宋体" w:hAnsi="宋体" w:cs="宋体"/>
          <w:color w:val="000000"/>
          <w:sz w:val="24"/>
          <w:szCs w:val="22"/>
          <w:highlight w:val="none"/>
          <w:lang w:val="en-US" w:eastAsia="zh-CN"/>
        </w:rPr>
        <w:t xml:space="preserve">48</w:t>
      </w:r>
      <w:r>
        <w:rPr>
          <w:rFonts w:hint="eastAsia" w:ascii="宋体" w:hAnsi="宋体" w:cs="宋体"/>
          <w:color w:val="000000"/>
          <w:sz w:val="24"/>
          <w:szCs w:val="22"/>
          <w:highlight w:val="none"/>
        </w:rPr>
        <w:t xml:space="preserve">小时内赶到现场并于</w:t>
      </w: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小时内完成维修。发生紧急抢修事故的，</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在接到事故通知后，应当立即到达事故现场抢修。</w:t>
      </w:r>
      <w:r>
        <w:rPr>
          <w:rFonts w:hint="eastAsia" w:ascii="宋体" w:hAnsi="宋体" w:cs="宋体"/>
          <w:color w:val="000000"/>
          <w:sz w:val="24"/>
          <w:szCs w:val="22"/>
          <w:highlight w:val="none"/>
        </w:rPr>
      </w:r>
      <w:r/>
    </w:p>
    <w:p>
      <w:pPr>
        <w:pStyle w:val="1045"/>
        <w:ind w:left="0" w:firstLine="480"/>
        <w:spacing w:after="0" w:line="400" w:lineRule="exact"/>
        <w:rPr>
          <w:rFonts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10.3 </w:t>
      </w:r>
      <w:r>
        <w:rPr>
          <w:rFonts w:hint="eastAsia" w:ascii="宋体" w:hAnsi="宋体" w:cs="宋体"/>
          <w:color w:val="000000"/>
          <w:sz w:val="24"/>
          <w:szCs w:val="22"/>
          <w:highlight w:val="none"/>
        </w:rPr>
        <w:t xml:space="preserve">每个维修项目完成后，经</w:t>
      </w:r>
      <w:r>
        <w:rPr>
          <w:rFonts w:hint="eastAsia" w:ascii="宋体" w:hAnsi="宋体" w:cs="宋体"/>
          <w:color w:val="000000"/>
          <w:sz w:val="24"/>
          <w:szCs w:val="22"/>
          <w:highlight w:val="none"/>
          <w:lang w:eastAsia="zh-CN"/>
        </w:rPr>
        <w:t xml:space="preserve">甲方</w:t>
      </w:r>
      <w:r>
        <w:rPr>
          <w:rFonts w:hint="eastAsia" w:ascii="宋体" w:hAnsi="宋体" w:cs="宋体"/>
          <w:color w:val="000000"/>
          <w:sz w:val="24"/>
          <w:szCs w:val="22"/>
          <w:highlight w:val="none"/>
        </w:rPr>
        <w:t xml:space="preserve">验收并签字后，方为该维修项目本次维修完毕。所维修项目应保证在六个月内不再出现类似问题。</w:t>
      </w:r>
      <w:r>
        <w:rPr>
          <w:rFonts w:ascii="宋体" w:hAnsi="宋体" w:cs="宋体"/>
          <w:color w:val="000000"/>
          <w:sz w:val="24"/>
          <w:szCs w:val="22"/>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10.4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内，</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对已接收使用的工程负责日常维护工作。</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在使用过程中，发现已接收的工程存在新的缺陷或已修复的缺陷部位或部件又遭损坏的，</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应负责修复，直至检验合格为止。</w:t>
      </w:r>
      <w:r>
        <w:rPr>
          <w:rFonts w:ascii="宋体" w:hAnsi="宋体" w:cs="宋体"/>
          <w:color w:val="000000"/>
          <w:sz w:val="24"/>
          <w:highlight w:val="none"/>
        </w:rPr>
      </w:r>
      <w:r/>
    </w:p>
    <w:p>
      <w:pPr>
        <w:pStyle w:val="1045"/>
        <w:ind w:left="0" w:firstLine="480"/>
        <w:spacing w:after="0" w:line="400" w:lineRule="exact"/>
        <w:rPr>
          <w:rFonts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10.5 </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承诺无论以上质量缺陷属</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或</w:t>
      </w:r>
      <w:r>
        <w:rPr>
          <w:rFonts w:hint="eastAsia" w:ascii="宋体" w:hAnsi="宋体" w:cs="宋体"/>
          <w:color w:val="000000"/>
          <w:sz w:val="24"/>
          <w:szCs w:val="22"/>
          <w:highlight w:val="none"/>
          <w:lang w:eastAsia="zh-CN"/>
        </w:rPr>
        <w:t xml:space="preserve">甲方</w:t>
      </w:r>
      <w:r>
        <w:rPr>
          <w:rFonts w:hint="eastAsia" w:ascii="宋体" w:hAnsi="宋体" w:cs="宋体"/>
          <w:color w:val="000000"/>
          <w:sz w:val="24"/>
          <w:szCs w:val="22"/>
          <w:highlight w:val="none"/>
        </w:rPr>
        <w:t xml:space="preserve">责任，在接到通知后，均遵守上述时间性要求不问理由地进行维修，并在维修过程中与</w:t>
      </w:r>
      <w:r>
        <w:rPr>
          <w:rFonts w:hint="eastAsia" w:ascii="宋体" w:hAnsi="宋体" w:cs="宋体"/>
          <w:color w:val="000000"/>
          <w:sz w:val="24"/>
          <w:szCs w:val="22"/>
          <w:highlight w:val="none"/>
          <w:lang w:eastAsia="zh-CN"/>
        </w:rPr>
        <w:t xml:space="preserve">甲方</w:t>
      </w:r>
      <w:r>
        <w:rPr>
          <w:rFonts w:hint="eastAsia" w:ascii="宋体" w:hAnsi="宋体" w:cs="宋体"/>
          <w:color w:val="000000"/>
          <w:sz w:val="24"/>
          <w:szCs w:val="22"/>
          <w:highlight w:val="none"/>
        </w:rPr>
        <w:t xml:space="preserve">共同取证，以判断责任原因，不属</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责任的，由责任方向</w:t>
      </w:r>
      <w:r>
        <w:rPr>
          <w:rFonts w:hint="eastAsia" w:ascii="宋体" w:hAnsi="宋体" w:cs="宋体"/>
          <w:color w:val="000000"/>
          <w:sz w:val="24"/>
          <w:szCs w:val="22"/>
          <w:highlight w:val="none"/>
          <w:lang w:eastAsia="zh-CN"/>
        </w:rPr>
        <w:t xml:space="preserve">乙方</w:t>
      </w:r>
      <w:r>
        <w:rPr>
          <w:rFonts w:hint="eastAsia" w:ascii="宋体" w:hAnsi="宋体" w:cs="宋体"/>
          <w:color w:val="000000"/>
          <w:sz w:val="24"/>
          <w:szCs w:val="22"/>
          <w:highlight w:val="none"/>
        </w:rPr>
        <w:t xml:space="preserve">支付材料及人工费用。</w:t>
      </w:r>
      <w:r>
        <w:rPr>
          <w:rFonts w:ascii="宋体" w:hAnsi="宋体" w:cs="宋体"/>
          <w:color w:val="000000"/>
          <w:sz w:val="24"/>
          <w:szCs w:val="22"/>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10.6 </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不能在合理时间内修复缺陷的，</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可自行修复或委托其他人修复，经查明属</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原因造成的，应由</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承担修复和查验的费用。</w:t>
      </w:r>
      <w:r>
        <w:rPr>
          <w:rFonts w:ascii="宋体" w:hAnsi="宋体" w:cs="宋体"/>
          <w:color w:val="000000"/>
          <w:sz w:val="24"/>
          <w:highlight w:val="none"/>
        </w:rPr>
      </w:r>
      <w:r/>
    </w:p>
    <w:p>
      <w:pPr>
        <w:pStyle w:val="1012"/>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10.7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内</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应提供充足的备品备件，以保障维修时及时更换。超过</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后的维修只计材料成本费。</w:t>
      </w:r>
      <w:r>
        <w:rPr>
          <w:rFonts w:ascii="宋体" w:hAnsi="宋体" w:cs="宋体"/>
          <w:color w:val="000000"/>
          <w:sz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第11条  争议的解决方式</w:t>
      </w:r>
      <w:r>
        <w:rPr>
          <w:rFonts w:ascii="宋体" w:hAnsi="宋体" w:cs="宋体"/>
          <w:b/>
          <w:color w:val="000000"/>
          <w:sz w:val="24"/>
          <w:szCs w:val="24"/>
          <w:highlight w:val="none"/>
        </w:rPr>
      </w:r>
      <w:r/>
    </w:p>
    <w:p>
      <w:pPr>
        <w:pStyle w:val="101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rPr>
      </w:r>
      <w:r/>
    </w:p>
    <w:p>
      <w:pPr>
        <w:pStyle w:val="101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（1）向工程所在地人民法院提起诉讼；</w:t>
      </w:r>
      <w:r>
        <w:rPr>
          <w:rFonts w:ascii="宋体" w:hAnsi="宋体" w:eastAsia="宋体" w:cs="宋体"/>
          <w:color w:val="000000"/>
          <w:sz w:val="24"/>
          <w:szCs w:val="24"/>
          <w:highlight w:val="none"/>
        </w:rPr>
      </w:r>
      <w:r/>
    </w:p>
    <w:p>
      <w:pPr>
        <w:pStyle w:val="101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（2）向工程所在地仲裁委员会按其仲裁规则申请仲裁。</w:t>
      </w:r>
      <w:r>
        <w:rPr>
          <w:rFonts w:ascii="宋体" w:hAnsi="宋体" w:eastAsia="宋体" w:cs="宋体"/>
          <w:color w:val="000000"/>
          <w:sz w:val="24"/>
          <w:szCs w:val="24"/>
          <w:highlight w:val="none"/>
        </w:rPr>
      </w:r>
      <w:r/>
    </w:p>
    <w:p>
      <w:pPr>
        <w:pStyle w:val="101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ascii="宋体" w:hAnsi="宋体" w:eastAsia="宋体" w:cs="宋体"/>
          <w:color w:val="000000"/>
          <w:sz w:val="24"/>
          <w:szCs w:val="24"/>
          <w:highlight w:val="none"/>
        </w:rPr>
      </w:r>
      <w:r/>
    </w:p>
    <w:p>
      <w:pPr>
        <w:pStyle w:val="101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在法院审理和仲裁期间，除有争议部分外，本合同其他部分应继续履行。</w:t>
      </w:r>
      <w:r>
        <w:rPr>
          <w:rFonts w:ascii="宋体" w:hAnsi="宋体" w:eastAsia="宋体" w:cs="宋体"/>
          <w:color w:val="000000"/>
          <w:sz w:val="24"/>
          <w:szCs w:val="24"/>
          <w:highlight w:val="none"/>
        </w:rPr>
      </w:r>
      <w:r/>
    </w:p>
    <w:p>
      <w:pPr>
        <w:pStyle w:val="1012"/>
        <w:ind w:firstLine="482"/>
        <w:spacing w:line="40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第12条  其它约定:</w:t>
      </w:r>
      <w:r>
        <w:rPr>
          <w:rFonts w:hint="eastAsia" w:ascii="宋体" w:hAnsi="宋体" w:cs="宋体"/>
          <w:color w:val="000000"/>
          <w:sz w:val="24"/>
          <w:szCs w:val="24"/>
          <w:highlight w:val="none"/>
        </w:rPr>
        <w:t xml:space="preserve">①乙方必须注意确保安全生产、文明施工；如发生违法乱纪及人身伤害事故、意外事件等，一切责任均由乙方负责。③其他未尽事宜另行协商。</w:t>
      </w:r>
      <w:r>
        <w:rPr>
          <w:rFonts w:ascii="宋体" w:hAnsi="宋体" w:cs="宋体"/>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第13条  附则</w:t>
      </w:r>
      <w:r>
        <w:rPr>
          <w:rFonts w:ascii="宋体" w:hAnsi="宋体" w:cs="宋体"/>
          <w:b/>
          <w:color w:val="000000"/>
          <w:sz w:val="24"/>
          <w:szCs w:val="24"/>
          <w:highlight w:val="none"/>
        </w:rPr>
      </w:r>
      <w:r/>
    </w:p>
    <w:p>
      <w:pPr>
        <w:pStyle w:val="1012"/>
        <w:ind w:firstLine="482"/>
        <w:spacing w:line="4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13.1 本合同一式</w:t>
      </w:r>
      <w:r>
        <w:rPr>
          <w:rFonts w:hint="eastAsia" w:ascii="宋体" w:hAnsi="宋体" w:cs="宋体"/>
          <w:b/>
          <w:color w:val="000000"/>
          <w:sz w:val="24"/>
          <w:szCs w:val="24"/>
          <w:highlight w:val="none"/>
          <w:lang w:eastAsia="zh-CN"/>
        </w:rPr>
        <w:t xml:space="preserve">伍</w:t>
      </w:r>
      <w:r>
        <w:rPr>
          <w:rFonts w:hint="eastAsia" w:ascii="宋体" w:hAnsi="宋体" w:cs="宋体"/>
          <w:b/>
          <w:color w:val="000000"/>
          <w:sz w:val="24"/>
          <w:szCs w:val="24"/>
          <w:highlight w:val="none"/>
        </w:rPr>
        <w:t xml:space="preserve">份，甲方</w:t>
      </w:r>
      <w:r>
        <w:rPr>
          <w:rFonts w:hint="eastAsia" w:ascii="宋体" w:hAnsi="宋体" w:cs="宋体"/>
          <w:b/>
          <w:color w:val="000000"/>
          <w:sz w:val="24"/>
          <w:szCs w:val="24"/>
          <w:highlight w:val="none"/>
          <w:lang w:eastAsia="zh-CN"/>
        </w:rPr>
        <w:t xml:space="preserve">叁</w:t>
      </w:r>
      <w:r>
        <w:rPr>
          <w:rFonts w:hint="eastAsia" w:ascii="宋体" w:hAnsi="宋体" w:cs="宋体"/>
          <w:b/>
          <w:color w:val="000000"/>
          <w:sz w:val="24"/>
          <w:szCs w:val="24"/>
          <w:highlight w:val="none"/>
        </w:rPr>
        <w:t xml:space="preserve">份，乙方</w:t>
      </w:r>
      <w:r>
        <w:rPr>
          <w:rFonts w:hint="eastAsia" w:ascii="宋体" w:hAnsi="宋体" w:cs="宋体"/>
          <w:b/>
          <w:color w:val="000000"/>
          <w:sz w:val="24"/>
          <w:szCs w:val="24"/>
          <w:highlight w:val="none"/>
          <w:lang w:eastAsia="zh-CN"/>
        </w:rPr>
        <w:t xml:space="preserve">壹</w:t>
      </w:r>
      <w:r>
        <w:rPr>
          <w:rFonts w:hint="eastAsia" w:ascii="宋体" w:hAnsi="宋体" w:cs="宋体"/>
          <w:b/>
          <w:color w:val="000000"/>
          <w:sz w:val="24"/>
          <w:szCs w:val="24"/>
          <w:highlight w:val="none"/>
        </w:rPr>
        <w:t xml:space="preserve">份，采购代理机构</w:t>
      </w:r>
      <w:r>
        <w:rPr>
          <w:rFonts w:hint="eastAsia" w:ascii="宋体" w:hAnsi="宋体" w:cs="宋体"/>
          <w:b/>
          <w:color w:val="000000"/>
          <w:sz w:val="24"/>
          <w:szCs w:val="24"/>
          <w:highlight w:val="none"/>
          <w:lang w:eastAsia="zh-CN"/>
        </w:rPr>
        <w:t xml:space="preserve">壹</w:t>
      </w:r>
      <w:r>
        <w:rPr>
          <w:rFonts w:hint="eastAsia" w:ascii="宋体" w:hAnsi="宋体" w:cs="宋体"/>
          <w:b/>
          <w:color w:val="000000"/>
          <w:sz w:val="24"/>
          <w:szCs w:val="24"/>
          <w:highlight w:val="none"/>
        </w:rPr>
        <w:t xml:space="preserve">份。</w:t>
      </w:r>
      <w:r>
        <w:rPr>
          <w:rFonts w:ascii="宋体" w:hAnsi="宋体" w:cs="宋体"/>
          <w:b/>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13.2 本合同履行完成后自动终止。</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13.3 附件</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(1)乙方提交的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           （ √ ）</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                     （ √ ）</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(3)会议纪要                     （ √ ）</w:t>
      </w:r>
      <w:r>
        <w:rPr>
          <w:rFonts w:ascii="宋体" w:hAnsi="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(4)其他                         （ √ ）</w:t>
      </w:r>
      <w:r>
        <w:rPr>
          <w:rFonts w:ascii="宋体" w:hAnsi="宋体" w:cs="宋体"/>
          <w:color w:val="000000"/>
          <w:sz w:val="24"/>
          <w:szCs w:val="24"/>
          <w:highlight w:val="none"/>
        </w:rPr>
      </w:r>
      <w:r/>
    </w:p>
    <w:p>
      <w:pPr>
        <w:pStyle w:val="1012"/>
        <w:ind w:firstLine="482"/>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条 诚实信用 </w:t>
      </w:r>
      <w:r>
        <w:rPr>
          <w:rFonts w:hint="eastAsia" w:ascii="宋体" w:hAnsi="宋体" w:cs="宋体"/>
          <w:b/>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要求和投标承诺履行合同，不向甲方进行商业贿赂或者提供不正当利益。</w:t>
      </w:r>
      <w:r>
        <w:rPr>
          <w:rFonts w:hint="eastAsia" w:ascii="宋体" w:hAnsi="宋体" w:eastAsia="宋体" w:cs="宋体"/>
          <w:color w:val="000000"/>
          <w:sz w:val="24"/>
          <w:szCs w:val="24"/>
          <w:highlight w:val="none"/>
        </w:rPr>
      </w:r>
      <w:r/>
    </w:p>
    <w:p>
      <w:pPr>
        <w:pStyle w:val="1012"/>
        <w:ind w:firstLine="482"/>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15条 </w:t>
      </w:r>
      <w:r>
        <w:rPr>
          <w:rFonts w:hint="eastAsia" w:ascii="宋体" w:hAnsi="宋体" w:cs="宋体"/>
          <w:b/>
          <w:color w:val="000000"/>
          <w:sz w:val="24"/>
          <w:szCs w:val="24"/>
          <w:highlight w:val="none"/>
        </w:rPr>
        <w:t xml:space="preserve">合同生效及其他</w:t>
      </w:r>
      <w:r>
        <w:rPr>
          <w:rFonts w:hint="eastAsia" w:ascii="宋体" w:hAnsi="宋体" w:cs="宋体"/>
          <w:b/>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4"/>
          <w:szCs w:val="24"/>
          <w:highlight w:val="none"/>
        </w:rPr>
      </w:r>
      <w:r/>
    </w:p>
    <w:p>
      <w:pPr>
        <w:pStyle w:val="1012"/>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常州科教城现代工业中心</w:t>
      </w:r>
      <w:r>
        <w:rPr>
          <w:rFonts w:hint="eastAsia" w:ascii="宋体" w:hAnsi="宋体" w:eastAsia="宋体" w:cs="宋体"/>
          <w:color w:val="000000"/>
          <w:sz w:val="24"/>
          <w:szCs w:val="24"/>
          <w:highlight w:val="none"/>
        </w:rPr>
        <w:t xml:space="preserve">    乙方：（盖章）</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                法定代表人或委托代理人：</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                                经办人：</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常州市常武中路801号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地址：</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开具发票信息：                          开具发票信息：</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单位名称：</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开户行：</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统一社会信用代码（税号）：               统一社会信用代码（税号）：</w:t>
      </w:r>
      <w:r>
        <w:rPr>
          <w:rFonts w:hint="eastAsia" w:ascii="宋体" w:hAnsi="宋体" w:eastAsia="宋体" w:cs="宋体"/>
          <w:color w:val="000000"/>
          <w:sz w:val="24"/>
          <w:szCs w:val="24"/>
          <w:highlight w:val="none"/>
        </w:rPr>
      </w:r>
      <w:r/>
    </w:p>
    <w:p>
      <w:pPr>
        <w:pStyle w:val="101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见</w:t>
      </w:r>
      <w:r>
        <w:rPr>
          <w:rFonts w:hint="eastAsia" w:ascii="宋体" w:hAnsi="宋体" w:eastAsia="宋体" w:cs="宋体"/>
          <w:color w:val="000000"/>
          <w:sz w:val="24"/>
          <w:szCs w:val="24"/>
          <w:highlight w:val="none"/>
        </w:rPr>
        <w:t xml:space="preserve">证方）：常州润邦招标代理有限公司</w:t>
      </w:r>
      <w:r>
        <w:rPr>
          <w:rFonts w:hint="eastAsia" w:ascii="宋体" w:hAnsi="宋体" w:eastAsia="宋体" w:cs="宋体"/>
          <w:color w:val="000000"/>
          <w:sz w:val="24"/>
          <w:szCs w:val="24"/>
          <w:highlight w:val="none"/>
        </w:rPr>
      </w:r>
      <w:r/>
    </w:p>
    <w:p>
      <w:pPr>
        <w:pStyle w:val="101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rPr>
      </w:r>
      <w:r/>
    </w:p>
    <w:p>
      <w:pPr>
        <w:pStyle w:val="1012"/>
        <w:spacing w:line="360" w:lineRule="auto"/>
        <w:tabs>
          <w:tab w:val="left" w:pos="900" w:leader="none"/>
          <w:tab w:val="left" w:pos="1080" w:leader="none"/>
        </w:tabs>
        <w:rPr>
          <w:sz w:val="18"/>
          <w:szCs w:val="18"/>
          <w:highlight w:val="none"/>
        </w:rPr>
      </w:pPr>
      <w:r>
        <w:rPr>
          <w:sz w:val="18"/>
          <w:szCs w:val="18"/>
          <w:highlight w:val="none"/>
        </w:rPr>
      </w:r>
      <w:r/>
    </w:p>
    <w:p>
      <w:pPr>
        <w:pStyle w:val="1012"/>
        <w:jc w:val="left"/>
        <w:widowControl/>
        <w:rPr>
          <w:b/>
          <w:sz w:val="36"/>
          <w:szCs w:val="36"/>
          <w:highlight w:val="none"/>
        </w:rPr>
      </w:pPr>
      <w:r>
        <w:rPr>
          <w:b/>
          <w:sz w:val="36"/>
          <w:szCs w:val="36"/>
          <w:highlight w:val="none"/>
        </w:rPr>
      </w:r>
      <w:r/>
    </w:p>
    <w:p>
      <w:pPr>
        <w:pStyle w:val="1012"/>
        <w:jc w:val="left"/>
        <w:widowControl/>
        <w:rPr>
          <w:b/>
          <w:sz w:val="36"/>
          <w:szCs w:val="36"/>
          <w:highlight w:val="none"/>
        </w:rPr>
      </w:pPr>
      <w:r>
        <w:rPr>
          <w:b/>
          <w:sz w:val="36"/>
          <w:szCs w:val="36"/>
          <w:highlight w:val="none"/>
        </w:rPr>
      </w:r>
      <w:r/>
    </w:p>
    <w:p>
      <w:pPr>
        <w:pStyle w:val="1012"/>
        <w:jc w:val="center"/>
        <w:spacing w:line="360" w:lineRule="auto"/>
        <w:rPr>
          <w:b/>
          <w:sz w:val="36"/>
          <w:szCs w:val="36"/>
          <w:highlight w:val="none"/>
        </w:rPr>
        <w:outlineLvl w:val="0"/>
      </w:pPr>
      <w:r>
        <w:rPr>
          <w:b/>
          <w:sz w:val="36"/>
          <w:szCs w:val="36"/>
          <w:highlight w:val="none"/>
        </w:rPr>
        <w:br w:type="page" w:clear="all"/>
      </w:r>
      <w:bookmarkStart w:id="684" w:name="_Toc99301378"/>
      <w:r>
        <w:rPr>
          <w:b/>
          <w:sz w:val="36"/>
          <w:szCs w:val="36"/>
          <w:highlight w:val="none"/>
        </w:rPr>
        <w:t xml:space="preserve">第六章   响应文件格式</w:t>
      </w:r>
      <w:bookmarkEnd w:id="684"/>
      <w:r>
        <w:rPr>
          <w:b/>
          <w:sz w:val="36"/>
          <w:szCs w:val="36"/>
          <w:highlight w:val="none"/>
        </w:rPr>
      </w:r>
      <w:r/>
    </w:p>
    <w:p>
      <w:pPr>
        <w:pStyle w:val="1012"/>
        <w:jc w:val="left"/>
        <w:spacing w:line="360" w:lineRule="auto"/>
        <w:widowControl/>
        <w:rPr>
          <w:b/>
          <w:sz w:val="24"/>
          <w:highlight w:val="none"/>
        </w:rPr>
      </w:pPr>
      <w:r>
        <w:rPr>
          <w:b/>
          <w:sz w:val="24"/>
          <w:highlight w:val="none"/>
        </w:rPr>
      </w:r>
      <w:r/>
    </w:p>
    <w:p>
      <w:pPr>
        <w:pStyle w:val="1012"/>
        <w:jc w:val="left"/>
        <w:spacing w:line="360" w:lineRule="auto"/>
        <w:widowControl/>
        <w:rPr>
          <w:b/>
          <w:sz w:val="24"/>
          <w:highlight w:val="none"/>
        </w:rPr>
      </w:pPr>
      <w:r>
        <w:rPr>
          <w:b/>
          <w:sz w:val="24"/>
          <w:highlight w:val="none"/>
        </w:rPr>
      </w:r>
      <w:r/>
    </w:p>
    <w:p>
      <w:pPr>
        <w:pStyle w:val="1012"/>
        <w:ind w:left="142"/>
        <w:spacing w:line="360" w:lineRule="auto"/>
        <w:tabs>
          <w:tab w:val="left" w:pos="900" w:leader="none"/>
          <w:tab w:val="left" w:pos="1980" w:leader="none"/>
        </w:tabs>
        <w:rPr>
          <w:b/>
          <w:sz w:val="24"/>
          <w:highlight w:val="none"/>
        </w:rPr>
      </w:pPr>
      <w:r>
        <w:rPr>
          <w:b/>
          <w:sz w:val="24"/>
          <w:highlight w:val="none"/>
        </w:rPr>
        <w:t xml:space="preserve">供应商编制文件须知</w:t>
      </w:r>
      <w:r>
        <w:rPr>
          <w:b/>
          <w:sz w:val="24"/>
          <w:highlight w:val="none"/>
        </w:rPr>
      </w:r>
      <w:r/>
    </w:p>
    <w:p>
      <w:pPr>
        <w:pStyle w:val="1012"/>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101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对于谈判文件中标记了“实质性格式”文件的，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。未标记“实质性格式”的文件和谈判文件未提供格式的内容，可由供应商自行编写。</w:t>
      </w:r>
      <w:r>
        <w:rPr>
          <w:sz w:val="24"/>
          <w:highlight w:val="none"/>
        </w:rPr>
      </w:r>
      <w:r/>
    </w:p>
    <w:p>
      <w:pPr>
        <w:pStyle w:val="1012"/>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101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1012"/>
        <w:ind w:left="142"/>
        <w:spacing w:line="360" w:lineRule="auto"/>
        <w:tabs>
          <w:tab w:val="left" w:pos="900" w:leader="none"/>
          <w:tab w:val="left" w:pos="1980" w:leader="none"/>
        </w:tabs>
        <w:rPr>
          <w:sz w:val="24"/>
          <w:highlight w:val="none"/>
        </w:rPr>
      </w:pPr>
      <w:r>
        <w:rPr>
          <w:sz w:val="24"/>
          <w:highlight w:val="none"/>
        </w:rPr>
      </w:r>
      <w:r/>
    </w:p>
    <w:p>
      <w:pPr>
        <w:pStyle w:val="1012"/>
        <w:jc w:val="left"/>
        <w:widowControl/>
        <w:rPr>
          <w:sz w:val="24"/>
          <w:highlight w:val="none"/>
        </w:rPr>
      </w:pPr>
      <w:r>
        <w:rPr>
          <w:sz w:val="24"/>
          <w:highlight w:val="none"/>
        </w:rPr>
        <w:br w:type="page" w:clear="all"/>
      </w:r>
      <w:r>
        <w:rPr>
          <w:sz w:val="24"/>
          <w:highlight w:val="none"/>
        </w:rPr>
      </w:r>
      <w:r/>
    </w:p>
    <w:p>
      <w:pPr>
        <w:pStyle w:val="1012"/>
        <w:rPr>
          <w:b/>
          <w:spacing w:val="20"/>
          <w:szCs w:val="21"/>
          <w:highlight w:val="none"/>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b/>
          <w:spacing w:val="20"/>
          <w:szCs w:val="21"/>
          <w:highlight w:val="none"/>
        </w:rPr>
      </w:r>
      <w:r/>
    </w:p>
    <w:p>
      <w:pPr>
        <w:pStyle w:val="1012"/>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012"/>
        <w:jc w:val="center"/>
        <w:rPr>
          <w:szCs w:val="21"/>
          <w:highlight w:val="none"/>
        </w:rPr>
      </w:pPr>
      <w:r>
        <w:rPr>
          <w:szCs w:val="21"/>
          <w:highlight w:val="none"/>
        </w:rPr>
      </w:r>
      <w:r/>
    </w:p>
    <w:p>
      <w:pPr>
        <w:pStyle w:val="1012"/>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12"/>
        <w:ind w:firstLine="963"/>
        <w:rPr>
          <w:b/>
          <w:spacing w:val="60"/>
          <w:sz w:val="52"/>
          <w:szCs w:val="52"/>
          <w:highlight w:val="none"/>
        </w:rPr>
      </w:pPr>
      <w:r>
        <w:rPr>
          <w:b/>
          <w:spacing w:val="60"/>
          <w:sz w:val="52"/>
          <w:szCs w:val="52"/>
          <w:highlight w:val="none"/>
        </w:rPr>
      </w:r>
      <w:r/>
    </w:p>
    <w:p>
      <w:pPr>
        <w:pStyle w:val="1012"/>
        <w:ind w:firstLine="542"/>
        <w:rPr>
          <w:b/>
          <w:spacing w:val="20"/>
          <w:sz w:val="32"/>
          <w:szCs w:val="32"/>
          <w:highlight w:val="none"/>
        </w:rPr>
      </w:pPr>
      <w:r>
        <w:rPr>
          <w:b/>
          <w:spacing w:val="20"/>
          <w:sz w:val="32"/>
          <w:szCs w:val="32"/>
          <w:highlight w:val="none"/>
        </w:rPr>
      </w:r>
      <w:r/>
    </w:p>
    <w:p>
      <w:pPr>
        <w:pStyle w:val="1012"/>
        <w:ind w:firstLine="542"/>
        <w:rPr>
          <w:b/>
          <w:spacing w:val="20"/>
          <w:sz w:val="32"/>
          <w:szCs w:val="32"/>
          <w:highlight w:val="none"/>
        </w:rPr>
      </w:pPr>
      <w:r>
        <w:rPr>
          <w:b/>
          <w:spacing w:val="20"/>
          <w:sz w:val="32"/>
          <w:szCs w:val="32"/>
          <w:highlight w:val="none"/>
        </w:rPr>
      </w:r>
      <w:r/>
    </w:p>
    <w:p>
      <w:pPr>
        <w:pStyle w:val="101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1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12"/>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1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12"/>
        <w:jc w:val="center"/>
        <w:rPr>
          <w:b/>
          <w:sz w:val="32"/>
          <w:szCs w:val="32"/>
          <w:highlight w:val="none"/>
        </w:rPr>
      </w:pPr>
      <w:r>
        <w:rPr>
          <w:b/>
          <w:sz w:val="32"/>
          <w:szCs w:val="32"/>
          <w:highlight w:val="none"/>
        </w:rPr>
      </w:r>
      <w:r/>
    </w:p>
    <w:p>
      <w:pPr>
        <w:pStyle w:val="1012"/>
        <w:rPr>
          <w:b/>
          <w:highlight w:val="none"/>
        </w:rPr>
      </w:pPr>
      <w:r>
        <w:rPr>
          <w:b/>
          <w:spacing w:val="20"/>
          <w:sz w:val="32"/>
          <w:szCs w:val="32"/>
          <w:highlight w:val="none"/>
        </w:rPr>
        <w:br w:type="page" w:clear="all"/>
      </w:r>
      <w:r>
        <w:rPr>
          <w:b/>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01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1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1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26"/>
        <w:ind w:firstLine="480"/>
        <w:spacing w:line="460" w:lineRule="exact"/>
        <w:rPr>
          <w:highlight w:val="none"/>
        </w:rPr>
      </w:pPr>
      <w:r>
        <w:rPr>
          <w:highlight w:val="none"/>
        </w:rPr>
      </w:r>
      <w:r/>
    </w:p>
    <w:p>
      <w:pPr>
        <w:pStyle w:val="1026"/>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常州润邦招标代理有限公司</w:t>
      </w:r>
      <w:r>
        <w:rPr>
          <w:rFonts w:hint="eastAsia" w:eastAsia="宋体"/>
          <w:highlight w:val="none"/>
          <w:lang w:eastAsia="zh-CN"/>
        </w:rPr>
      </w:r>
      <w:r/>
    </w:p>
    <w:p>
      <w:pPr>
        <w:pStyle w:val="1026"/>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1026"/>
        <w:ind w:firstLine="480"/>
        <w:spacing w:line="460" w:lineRule="exact"/>
        <w:rPr>
          <w:highlight w:val="none"/>
        </w:rPr>
      </w:pPr>
      <w:r>
        <w:rPr>
          <w:highlight w:val="none"/>
        </w:rPr>
      </w:r>
      <w:r/>
    </w:p>
    <w:p>
      <w:pPr>
        <w:pStyle w:val="1026"/>
        <w:ind w:firstLine="480"/>
        <w:spacing w:line="460" w:lineRule="exact"/>
        <w:rPr>
          <w:highlight w:val="none"/>
        </w:rPr>
      </w:pPr>
      <w:r>
        <w:rPr>
          <w:rFonts w:hint="eastAsia"/>
          <w:highlight w:val="none"/>
        </w:rPr>
        <w:t xml:space="preserve">按照《中华人民共和国政府采购法》第二十二条和谈判文件的规定，我单位郑重声明如下：</w:t>
      </w:r>
      <w:r>
        <w:rPr>
          <w:highlight w:val="none"/>
        </w:rPr>
      </w:r>
      <w:r/>
    </w:p>
    <w:p>
      <w:pPr>
        <w:pStyle w:val="102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26"/>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1026"/>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26"/>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26"/>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26"/>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2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26"/>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26"/>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26"/>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2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2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2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26"/>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26"/>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2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2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2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26"/>
        <w:ind w:firstLine="480"/>
        <w:spacing w:line="460" w:lineRule="exact"/>
        <w:rPr>
          <w:highlight w:val="none"/>
        </w:rPr>
      </w:pPr>
      <w:r>
        <w:rPr>
          <w:highlight w:val="none"/>
        </w:rPr>
      </w:r>
      <w:r/>
    </w:p>
    <w:p>
      <w:pPr>
        <w:pStyle w:val="102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26"/>
        <w:ind w:firstLine="480"/>
        <w:spacing w:line="460" w:lineRule="exact"/>
        <w:rPr>
          <w:highlight w:val="none"/>
        </w:rPr>
      </w:pPr>
      <w:r>
        <w:rPr>
          <w:highlight w:val="none"/>
        </w:rPr>
      </w:r>
      <w:r/>
    </w:p>
    <w:p>
      <w:pPr>
        <w:pStyle w:val="1026"/>
        <w:ind w:firstLine="480"/>
        <w:spacing w:line="460" w:lineRule="exact"/>
        <w:rPr>
          <w:highlight w:val="none"/>
        </w:rPr>
      </w:pPr>
      <w:r>
        <w:rPr>
          <w:highlight w:val="none"/>
        </w:rPr>
      </w:r>
      <w:r/>
    </w:p>
    <w:p>
      <w:pPr>
        <w:pStyle w:val="1026"/>
        <w:ind w:firstLine="480"/>
        <w:spacing w:line="460" w:lineRule="exact"/>
        <w:rPr>
          <w:highlight w:val="none"/>
        </w:rPr>
      </w:pPr>
      <w:r>
        <w:rPr>
          <w:rFonts w:hint="eastAsia"/>
          <w:highlight w:val="none"/>
        </w:rPr>
        <w:t xml:space="preserve">                                            供应商：（加盖公章）</w:t>
      </w:r>
      <w:r>
        <w:rPr>
          <w:highlight w:val="none"/>
        </w:rPr>
      </w:r>
      <w:r/>
    </w:p>
    <w:p>
      <w:pPr>
        <w:pStyle w:val="1026"/>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26"/>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12"/>
        <w:spacing w:line="360" w:lineRule="auto"/>
        <w:rPr>
          <w:rFonts w:hint="eastAsia"/>
          <w:sz w:val="24"/>
          <w:highlight w:val="none"/>
        </w:rPr>
      </w:pPr>
      <w:r>
        <w:rPr>
          <w:rFonts w:hint="eastAsia"/>
          <w:sz w:val="24"/>
          <w:highlight w:val="none"/>
        </w:rPr>
      </w:r>
      <w:r/>
    </w:p>
    <w:p>
      <w:pPr>
        <w:pStyle w:val="1012"/>
        <w:spacing w:line="360" w:lineRule="auto"/>
        <w:rPr>
          <w:rFonts w:hint="eastAsia"/>
          <w:sz w:val="24"/>
          <w:highlight w:val="none"/>
        </w:rPr>
      </w:pPr>
      <w:r>
        <w:rPr>
          <w:rFonts w:hint="eastAsia"/>
          <w:sz w:val="24"/>
          <w:highlight w:val="none"/>
        </w:rPr>
      </w:r>
      <w:r/>
    </w:p>
    <w:p>
      <w:pPr>
        <w:pStyle w:val="1012"/>
        <w:spacing w:line="360" w:lineRule="auto"/>
        <w:rPr>
          <w:rFonts w:hint="eastAsia"/>
          <w:sz w:val="24"/>
          <w:highlight w:val="none"/>
        </w:rPr>
      </w:pPr>
      <w:r>
        <w:rPr>
          <w:rFonts w:hint="eastAsia"/>
          <w:sz w:val="24"/>
          <w:highlight w:val="none"/>
        </w:rPr>
      </w:r>
      <w:r/>
    </w:p>
    <w:p>
      <w:pPr>
        <w:pStyle w:val="101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12"/>
        <w:spacing w:line="360" w:lineRule="auto"/>
        <w:tabs>
          <w:tab w:val="left" w:pos="5580" w:leader="none"/>
        </w:tabs>
        <w:rPr>
          <w:sz w:val="24"/>
          <w:highlight w:val="none"/>
        </w:rPr>
        <w:sectPr>
          <w:footnotePr/>
          <w:endnotePr/>
          <w:type w:val="nextPage"/>
          <w:pgSz w:w="11907" w:h="16840" w:orient="portrait"/>
          <w:pgMar w:top="1417" w:right="1417" w:bottom="1417" w:left="1417" w:header="851" w:footer="850" w:gutter="0"/>
          <w:cols w:num="1" w:sep="0" w:space="1701" w:equalWidth="1"/>
          <w:docGrid w:linePitch="360"/>
        </w:sectPr>
      </w:pPr>
      <w:r>
        <w:rPr>
          <w:sz w:val="24"/>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012"/>
        <w:spacing w:line="360" w:lineRule="auto"/>
        <w:tabs>
          <w:tab w:val="left" w:pos="5580" w:leader="none"/>
        </w:tabs>
        <w:rPr>
          <w:sz w:val="24"/>
          <w:highlight w:val="none"/>
        </w:rPr>
      </w:pPr>
      <w:r>
        <w:rPr>
          <w:sz w:val="24"/>
          <w:highlight w:val="none"/>
        </w:rPr>
      </w:r>
      <w:r/>
    </w:p>
    <w:p>
      <w:pPr>
        <w:pStyle w:val="1012"/>
        <w:spacing w:line="360" w:lineRule="auto"/>
        <w:tabs>
          <w:tab w:val="left" w:pos="5580" w:leader="none"/>
        </w:tabs>
        <w:rPr>
          <w:sz w:val="24"/>
          <w:highlight w:val="none"/>
        </w:rPr>
      </w:pPr>
      <w:r>
        <w:rPr>
          <w:sz w:val="24"/>
          <w:highlight w:val="none"/>
        </w:rPr>
        <w:t xml:space="preserve">说明：</w:t>
      </w:r>
      <w:r>
        <w:rPr>
          <w:sz w:val="24"/>
          <w:highlight w:val="none"/>
        </w:rPr>
      </w:r>
      <w:r/>
    </w:p>
    <w:p>
      <w:pPr>
        <w:pStyle w:val="1012"/>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1012"/>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1012"/>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1012"/>
        <w:spacing w:line="360" w:lineRule="auto"/>
        <w:tabs>
          <w:tab w:val="left" w:pos="5580" w:leader="none"/>
        </w:tabs>
        <w:rPr>
          <w:sz w:val="24"/>
          <w:highlight w:val="none"/>
        </w:rPr>
      </w:pPr>
      <w:r>
        <w:rPr>
          <w:sz w:val="24"/>
          <w:highlight w:val="none"/>
        </w:rPr>
        <w:t xml:space="preserve">（4）其它</w:t>
      </w:r>
      <w:r>
        <w:rPr>
          <w:sz w:val="24"/>
          <w:highlight w:val="none"/>
        </w:rPr>
      </w:r>
      <w:r/>
    </w:p>
    <w:p>
      <w:pPr>
        <w:pStyle w:val="1012"/>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1012"/>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012"/>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1012"/>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1012"/>
        <w:spacing w:line="360" w:lineRule="auto"/>
        <w:tabs>
          <w:tab w:val="left" w:pos="5580" w:leader="none"/>
        </w:tabs>
        <w:rPr>
          <w:sz w:val="24"/>
          <w:highlight w:val="none"/>
        </w:rPr>
      </w:pPr>
      <w:r>
        <w:rPr>
          <w:sz w:val="24"/>
          <w:highlight w:val="none"/>
        </w:rPr>
      </w:r>
      <w:r/>
    </w:p>
    <w:p>
      <w:pPr>
        <w:pStyle w:val="1012"/>
        <w:jc w:val="left"/>
        <w:widowControl/>
        <w:rPr>
          <w:sz w:val="24"/>
          <w:highlight w:val="none"/>
        </w:rPr>
      </w:pPr>
      <w:r>
        <w:rPr>
          <w:sz w:val="24"/>
          <w:highlight w:val="none"/>
        </w:rPr>
        <w:br w:type="page" w:clear="all"/>
      </w:r>
      <w:r>
        <w:rPr>
          <w:sz w:val="24"/>
          <w:highlight w:val="none"/>
        </w:rPr>
      </w:r>
      <w:r/>
    </w:p>
    <w:p>
      <w:pPr>
        <w:pStyle w:val="1012"/>
        <w:jc w:val="center"/>
        <w:rPr>
          <w:rFonts w:hint="eastAsia" w:eastAsia="宋体"/>
          <w:b/>
          <w:color w:val="000000"/>
          <w:sz w:val="36"/>
          <w:szCs w:val="36"/>
          <w:highlight w:val="none"/>
          <w:lang w:eastAsia="zh-CN"/>
        </w:rPr>
      </w:pPr>
      <w:r>
        <w:rPr>
          <w:rFonts w:hint="eastAsia"/>
          <w:b/>
          <w:color w:val="000000"/>
          <w:sz w:val="36"/>
          <w:szCs w:val="36"/>
          <w:highlight w:val="none"/>
        </w:rPr>
        <w:t xml:space="preserve">中小企业声明函（货物）格式</w:t>
      </w:r>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本项目不适用</w:t>
      </w:r>
      <w:r>
        <w:rPr>
          <w:rFonts w:hint="eastAsia"/>
          <w:b/>
          <w:color w:val="000000"/>
          <w:sz w:val="36"/>
          <w:szCs w:val="36"/>
          <w:highlight w:val="none"/>
          <w:lang w:eastAsia="zh-CN"/>
        </w:rPr>
        <w:t xml:space="preserve">）</w:t>
      </w:r>
      <w:r>
        <w:rPr>
          <w:rFonts w:hint="eastAsia" w:eastAsia="宋体"/>
          <w:b/>
          <w:color w:val="000000"/>
          <w:sz w:val="36"/>
          <w:szCs w:val="36"/>
          <w:highlight w:val="none"/>
          <w:lang w:eastAsia="zh-CN"/>
        </w:rPr>
      </w:r>
      <w:r/>
    </w:p>
    <w:p>
      <w:pPr>
        <w:pStyle w:val="1012"/>
        <w:jc w:val="center"/>
        <w:rPr>
          <w:color w:val="000000"/>
          <w:sz w:val="36"/>
          <w:szCs w:val="36"/>
          <w:highlight w:val="none"/>
        </w:rPr>
      </w:pPr>
      <w:r>
        <w:rPr>
          <w:color w:val="000000"/>
          <w:sz w:val="36"/>
          <w:szCs w:val="36"/>
          <w:highlight w:val="none"/>
        </w:rPr>
      </w:r>
      <w:r/>
    </w:p>
    <w:p>
      <w:pPr>
        <w:pStyle w:val="1012"/>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spacing w:val="6"/>
          <w:sz w:val="24"/>
          <w:highlight w:val="none"/>
          <w:u w:val="single"/>
        </w:rPr>
        <w:t xml:space="preserve">（单位名称）</w:t>
      </w:r>
      <w:r>
        <w:rPr>
          <w:spacing w:val="6"/>
          <w:sz w:val="24"/>
          <w:highlight w:val="none"/>
        </w:rPr>
        <w:t xml:space="preserve">的</w:t>
      </w:r>
      <w:r>
        <w:rPr>
          <w:spacing w:val="6"/>
          <w:sz w:val="24"/>
          <w:highlight w:val="none"/>
          <w:u w:val="single"/>
        </w:rPr>
        <w:t xml:space="preserve">（项目名称）</w:t>
      </w:r>
      <w:r>
        <w:rPr>
          <w:spacing w:val="6"/>
          <w:sz w:val="24"/>
          <w:highlight w:val="none"/>
        </w:rPr>
        <w:t xml:space="preserve">采购活动，提供的货物全部由符合政策要求的中小企业制造。相关企业（含联合体中的中小企业、签订分包意向协议的中小企业）的具体情况如下：</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（谈判文件中明确的所属行业）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（谈判文件中明确的所属行业）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012"/>
        <w:ind w:firstLine="504"/>
        <w:spacing w:line="360" w:lineRule="auto"/>
        <w:rPr>
          <w:spacing w:val="6"/>
          <w:sz w:val="24"/>
          <w:highlight w:val="none"/>
        </w:rPr>
      </w:pPr>
      <w:r>
        <w:rPr>
          <w:spacing w:val="6"/>
          <w:sz w:val="24"/>
          <w:highlight w:val="none"/>
        </w:rPr>
      </w:r>
      <w:r/>
    </w:p>
    <w:p>
      <w:pPr>
        <w:pStyle w:val="1012"/>
        <w:ind w:right="360" w:firstLine="480"/>
        <w:jc w:val="right"/>
        <w:spacing w:line="360" w:lineRule="auto"/>
        <w:rPr>
          <w:color w:val="000000"/>
          <w:sz w:val="24"/>
          <w:highlight w:val="none"/>
        </w:rPr>
      </w:pPr>
      <w:r>
        <w:rPr>
          <w:color w:val="000000"/>
          <w:sz w:val="24"/>
          <w:highlight w:val="none"/>
        </w:rPr>
        <w:t xml:space="preserve">企业名称（盖章）：________</w:t>
      </w: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2"/>
        <w:ind w:firstLine="420"/>
        <w:jc w:val="left"/>
        <w:rPr>
          <w:sz w:val="24"/>
          <w:highlight w:val="none"/>
        </w:rPr>
      </w:pPr>
      <w:r>
        <w:rPr>
          <w:sz w:val="24"/>
          <w:highlight w:val="none"/>
        </w:rPr>
      </w:r>
      <w:r/>
    </w:p>
    <w:p>
      <w:pPr>
        <w:pStyle w:val="1012"/>
        <w:spacing w:line="360" w:lineRule="auto"/>
        <w:rPr>
          <w:color w:val="000000"/>
          <w:sz w:val="24"/>
          <w:highlight w:val="none"/>
        </w:rPr>
      </w:pPr>
      <w:r>
        <w:rPr>
          <w:color w:val="000000"/>
          <w:sz w:val="24"/>
          <w:highlight w:val="none"/>
        </w:rPr>
      </w:r>
      <w:r/>
    </w:p>
    <w:p>
      <w:pPr>
        <w:pStyle w:val="1012"/>
        <w:jc w:val="center"/>
        <w:spacing w:before="240" w:after="240" w:line="360" w:lineRule="auto"/>
        <w:rPr>
          <w:rFonts w:hint="eastAsia" w:eastAsia="宋体"/>
          <w:b/>
          <w:bCs/>
          <w:color w:val="000000"/>
          <w:sz w:val="36"/>
          <w:szCs w:val="36"/>
          <w:highlight w:val="none"/>
          <w:lang w:eastAsia="zh-CN"/>
        </w:rPr>
      </w:pPr>
      <w:r>
        <w:rPr>
          <w:color w:val="000000"/>
          <w:sz w:val="24"/>
          <w:highlight w:val="none"/>
        </w:rPr>
        <w:br w:type="page" w:clear="all"/>
      </w:r>
      <w:r>
        <w:rPr>
          <w:rFonts w:hint="eastAsia"/>
          <w:b/>
          <w:bCs/>
          <w:color w:val="000000"/>
          <w:sz w:val="36"/>
          <w:szCs w:val="36"/>
          <w:highlight w:val="none"/>
        </w:rPr>
        <w:t xml:space="preserve">中小企业声明函（工程、服务）格式</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本项目适用</w:t>
      </w:r>
      <w:r>
        <w:rPr>
          <w:rFonts w:hint="eastAsia"/>
          <w:b/>
          <w:bCs/>
          <w:color w:val="000000"/>
          <w:sz w:val="36"/>
          <w:szCs w:val="36"/>
          <w:highlight w:val="none"/>
          <w:lang w:eastAsia="zh-CN"/>
        </w:rPr>
        <w:t xml:space="preserve">）</w:t>
      </w:r>
      <w:r>
        <w:rPr>
          <w:rFonts w:hint="eastAsia" w:eastAsia="宋体"/>
          <w:b/>
          <w:bCs/>
          <w:color w:val="000000"/>
          <w:sz w:val="36"/>
          <w:szCs w:val="36"/>
          <w:highlight w:val="none"/>
          <w:lang w:eastAsia="zh-CN"/>
        </w:rPr>
      </w:r>
      <w:r/>
    </w:p>
    <w:p>
      <w:pPr>
        <w:pStyle w:val="1012"/>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spacing w:val="6"/>
          <w:sz w:val="24"/>
          <w:highlight w:val="none"/>
          <w:u w:val="single"/>
        </w:rPr>
        <w:t xml:space="preserve">（单位名称）</w:t>
      </w:r>
      <w:r>
        <w:rPr>
          <w:spacing w:val="6"/>
          <w:sz w:val="24"/>
          <w:highlight w:val="none"/>
        </w:rPr>
        <w:t xml:space="preserve">的</w:t>
      </w:r>
      <w:r>
        <w:rPr>
          <w:spacing w:val="6"/>
          <w:sz w:val="24"/>
          <w:highlight w:val="none"/>
          <w:u w:val="single"/>
        </w:rPr>
        <w:t xml:space="preserve">（项目名称）</w:t>
      </w:r>
      <w:r>
        <w:rPr>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012"/>
        <w:ind w:firstLine="504"/>
        <w:spacing w:line="360" w:lineRule="auto"/>
        <w:rPr>
          <w:spacing w:val="6"/>
          <w:sz w:val="24"/>
          <w:highlight w:val="none"/>
        </w:rPr>
      </w:pP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01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2"/>
        <w:jc w:val="left"/>
        <w:rPr>
          <w:color w:val="000000"/>
          <w:sz w:val="24"/>
          <w:szCs w:val="21"/>
          <w:highlight w:val="none"/>
        </w:rPr>
      </w:pPr>
      <w:r>
        <w:rPr>
          <w:color w:val="000000"/>
          <w:sz w:val="24"/>
          <w:szCs w:val="21"/>
          <w:highlight w:val="none"/>
        </w:rPr>
      </w:r>
      <w:r/>
    </w:p>
    <w:p>
      <w:pPr>
        <w:pStyle w:val="101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2"/>
        <w:jc w:val="left"/>
        <w:rPr>
          <w:color w:val="000000"/>
          <w:szCs w:val="21"/>
          <w:highlight w:val="none"/>
          <w:vertAlign w:val="superscript"/>
        </w:rPr>
      </w:pPr>
      <w:r>
        <w:rPr>
          <w:color w:val="000000"/>
          <w:szCs w:val="21"/>
          <w:highlight w:val="none"/>
          <w:vertAlign w:val="superscript"/>
        </w:rPr>
      </w:r>
      <w:r/>
    </w:p>
    <w:p>
      <w:pPr>
        <w:pStyle w:val="1012"/>
        <w:ind w:right="360" w:firstLine="480"/>
        <w:jc w:val="right"/>
        <w:spacing w:line="360" w:lineRule="auto"/>
        <w:rPr>
          <w:color w:val="000000"/>
          <w:sz w:val="24"/>
          <w:highlight w:val="none"/>
        </w:rPr>
      </w:pPr>
      <w:r>
        <w:rPr>
          <w:color w:val="000000"/>
          <w:sz w:val="24"/>
          <w:highlight w:val="none"/>
        </w:rPr>
      </w:r>
      <w:r/>
    </w:p>
    <w:p>
      <w:pPr>
        <w:pStyle w:val="101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2"/>
        <w:jc w:val="center"/>
        <w:spacing w:before="240" w:after="240" w:line="360" w:lineRule="auto"/>
        <w:rPr>
          <w:color w:val="000000"/>
          <w:sz w:val="24"/>
          <w:szCs w:val="20"/>
          <w:highlight w:val="none"/>
        </w:rPr>
      </w:pPr>
      <w:r>
        <w:rPr>
          <w:color w:val="000000"/>
          <w:sz w:val="24"/>
          <w:szCs w:val="20"/>
          <w:highlight w:val="none"/>
        </w:rPr>
      </w:r>
      <w:r/>
    </w:p>
    <w:p>
      <w:pPr>
        <w:pStyle w:val="1012"/>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12"/>
        <w:jc w:val="center"/>
        <w:rPr>
          <w:color w:val="000000"/>
          <w:sz w:val="36"/>
          <w:szCs w:val="36"/>
          <w:highlight w:val="none"/>
        </w:rPr>
      </w:pPr>
      <w:r>
        <w:rPr>
          <w:color w:val="000000"/>
          <w:sz w:val="36"/>
          <w:szCs w:val="36"/>
          <w:highlight w:val="none"/>
        </w:rPr>
      </w:r>
      <w:r/>
    </w:p>
    <w:p>
      <w:pPr>
        <w:pStyle w:val="101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1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1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01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12"/>
        <w:ind w:firstLine="504"/>
        <w:spacing w:line="588" w:lineRule="exact"/>
        <w:rPr>
          <w:spacing w:val="6"/>
          <w:sz w:val="24"/>
          <w:highlight w:val="none"/>
        </w:rPr>
      </w:pPr>
      <w:r>
        <w:rPr>
          <w:spacing w:val="6"/>
          <w:sz w:val="24"/>
          <w:highlight w:val="none"/>
        </w:rPr>
      </w:r>
      <w:r/>
    </w:p>
    <w:p>
      <w:pPr>
        <w:pStyle w:val="1012"/>
        <w:ind w:firstLine="504"/>
        <w:spacing w:line="588" w:lineRule="exact"/>
        <w:rPr>
          <w:spacing w:val="6"/>
          <w:sz w:val="24"/>
          <w:highlight w:val="none"/>
        </w:rPr>
      </w:pPr>
      <w:r>
        <w:rPr>
          <w:spacing w:val="6"/>
          <w:sz w:val="24"/>
          <w:highlight w:val="none"/>
        </w:rPr>
      </w:r>
      <w:r/>
    </w:p>
    <w:p>
      <w:pPr>
        <w:pStyle w:val="1012"/>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101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12"/>
        <w:jc w:val="left"/>
        <w:widowControl/>
        <w:rPr>
          <w:color w:val="000000"/>
          <w:sz w:val="24"/>
          <w:szCs w:val="20"/>
          <w:highlight w:val="none"/>
        </w:rPr>
      </w:pPr>
      <w:r>
        <w:rPr>
          <w:color w:val="000000"/>
          <w:sz w:val="24"/>
          <w:szCs w:val="20"/>
          <w:highlight w:val="none"/>
        </w:rPr>
      </w:r>
      <w:r/>
    </w:p>
    <w:p>
      <w:pPr>
        <w:pStyle w:val="1012"/>
        <w:jc w:val="left"/>
        <w:widowControl/>
        <w:rPr>
          <w:sz w:val="24"/>
          <w:highlight w:val="none"/>
        </w:rPr>
      </w:pPr>
      <w:r>
        <w:rPr>
          <w:sz w:val="24"/>
          <w:highlight w:val="none"/>
        </w:rPr>
      </w:r>
      <w:r/>
    </w:p>
    <w:p>
      <w:pPr>
        <w:pStyle w:val="1012"/>
        <w:jc w:val="left"/>
        <w:widowControl/>
        <w:rPr>
          <w:color w:val="000000"/>
          <w:sz w:val="24"/>
          <w:szCs w:val="20"/>
          <w:highlight w:val="none"/>
        </w:rPr>
      </w:pPr>
      <w:r>
        <w:rPr>
          <w:sz w:val="24"/>
          <w:highlight w:val="none"/>
        </w:rPr>
        <w:br w:type="page" w:clear="all"/>
      </w:r>
      <w:bookmarkStart w:id="685" w:name="_Toc150774762"/>
      <w:r/>
      <w:bookmarkStart w:id="686" w:name="_Toc480942350"/>
      <w:r/>
      <w:bookmarkStart w:id="687" w:name="_Toc195842922"/>
      <w:r/>
      <w:bookmarkStart w:id="688" w:name="_Toc265228395"/>
      <w:r/>
      <w:bookmarkStart w:id="689" w:name="_Toc226309801"/>
      <w:r/>
      <w:bookmarkStart w:id="690" w:name="_Toc226965830"/>
      <w:r/>
      <w:bookmarkStart w:id="691" w:name="_Toc226965747"/>
      <w:r/>
      <w:bookmarkStart w:id="692" w:name="_Toc127151557"/>
      <w:r/>
      <w:bookmarkStart w:id="693" w:name="_Toc226337253"/>
      <w:r/>
      <w:bookmarkStart w:id="694" w:name="_Toc520356218"/>
      <w:r/>
      <w:bookmarkStart w:id="695" w:name="_Toc305158825"/>
      <w:r/>
      <w:bookmarkStart w:id="696" w:name="_Toc264969247"/>
      <w:r/>
      <w:bookmarkStart w:id="697" w:name="_Toc142311059"/>
      <w:r/>
      <w:bookmarkStart w:id="698" w:name="_Ref467988705"/>
      <w:r/>
      <w:bookmarkStart w:id="699" w:name="_Toc150480795"/>
      <w:r/>
      <w:bookmarkStart w:id="700" w:name="_Toc305158899"/>
      <w:r>
        <w:rPr>
          <w:rFonts w:hint="eastAsia"/>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2"/>
        <w:spacing w:line="360" w:lineRule="auto"/>
        <w:tabs>
          <w:tab w:val="left" w:pos="5580" w:leader="none"/>
        </w:tabs>
        <w:rPr>
          <w:color w:val="000000"/>
          <w:sz w:val="24"/>
          <w:highlight w:val="none"/>
        </w:rPr>
      </w:pPr>
      <w:r>
        <w:rPr>
          <w:color w:val="000000"/>
          <w:sz w:val="24"/>
          <w:highlight w:val="none"/>
        </w:rPr>
      </w:r>
      <w:r/>
    </w:p>
    <w:p>
      <w:pPr>
        <w:pStyle w:val="1012"/>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1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2"/>
        <w:spacing w:line="360" w:lineRule="auto"/>
        <w:tabs>
          <w:tab w:val="left" w:pos="5580" w:leader="none"/>
        </w:tabs>
        <w:rPr>
          <w:color w:val="000000"/>
          <w:sz w:val="24"/>
          <w:szCs w:val="20"/>
          <w:highlight w:val="none"/>
        </w:rPr>
      </w:pPr>
      <w:r>
        <w:rPr>
          <w:color w:val="000000"/>
          <w:sz w:val="24"/>
          <w:szCs w:val="20"/>
          <w:highlight w:val="none"/>
        </w:rPr>
      </w:r>
      <w:r/>
    </w:p>
    <w:p>
      <w:pPr>
        <w:pStyle w:val="101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1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已详细审查全部谈判文件</w:t>
      </w:r>
      <w:r>
        <w:rPr>
          <w:color w:val="000000"/>
          <w:sz w:val="24"/>
          <w:szCs w:val="20"/>
          <w:highlight w:val="none"/>
        </w:rPr>
        <w:t xml:space="preserve">，自愿参与响应并承诺如下：</w:t>
      </w:r>
      <w:r>
        <w:rPr>
          <w:color w:val="000000"/>
          <w:sz w:val="24"/>
          <w:szCs w:val="20"/>
          <w:highlight w:val="none"/>
        </w:rPr>
      </w:r>
      <w:r/>
    </w:p>
    <w:p>
      <w:pPr>
        <w:pStyle w:val="101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1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（2）除合同条款及采购需求偏离表列出的偏离外，我方响应谈判文件的全部要求。</w:t>
      </w:r>
      <w:r>
        <w:rPr>
          <w:color w:val="000000"/>
          <w:sz w:val="24"/>
          <w:szCs w:val="20"/>
          <w:highlight w:val="none"/>
        </w:rPr>
      </w:r>
      <w:r/>
    </w:p>
    <w:p>
      <w:pPr>
        <w:pStyle w:val="101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1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（4）如我方中标，我方将在法律规定的期限内与你方签订合同，按照谈判文件要求提交履约保证金，并在合同约定的期限内完成合同规定的全部义务。</w:t>
      </w:r>
      <w:r>
        <w:rPr>
          <w:color w:val="000000"/>
          <w:sz w:val="24"/>
          <w:highlight w:val="none"/>
        </w:rPr>
      </w:r>
      <w:r/>
    </w:p>
    <w:p>
      <w:pPr>
        <w:pStyle w:val="101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1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2"/>
        <w:jc w:val="left"/>
        <w:widowControl/>
        <w:rPr>
          <w:rFonts w:hint="eastAsia"/>
          <w:color w:val="000000"/>
          <w:sz w:val="24"/>
          <w:highlight w:val="none"/>
        </w:rPr>
      </w:pPr>
      <w:r/>
      <w:bookmarkStart w:id="701" w:name="_Hlt520355938"/>
      <w:r/>
      <w:bookmarkEnd w:id="701"/>
      <w:r/>
      <w:bookmarkStart w:id="702" w:name="_Hlt520356243"/>
      <w:r/>
      <w:bookmarkEnd w:id="702"/>
      <w:r>
        <w:rPr>
          <w:color w:val="000000"/>
          <w:sz w:val="24"/>
          <w:highlight w:val="none"/>
        </w:rPr>
        <w:br w:type="page" w:clear="all"/>
      </w: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lang w:val="en-US" w:eastAsia="zh-CN"/>
        </w:rPr>
        <w:t xml:space="preserve">/授权委托书</w:t>
      </w:r>
      <w:r>
        <w:rPr>
          <w:color w:val="000000"/>
          <w:sz w:val="24"/>
          <w:szCs w:val="20"/>
          <w:highlight w:val="none"/>
        </w:rPr>
        <w:t xml:space="preserve">（实质性格式）</w:t>
      </w:r>
      <w:r>
        <w:rPr>
          <w:rFonts w:hint="eastAsia"/>
          <w:color w:val="000000"/>
          <w:sz w:val="24"/>
          <w:highlight w:val="none"/>
        </w:rPr>
      </w:r>
      <w:r/>
    </w:p>
    <w:p>
      <w:pPr>
        <w:pStyle w:val="101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1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上述项目的响应文件、进行合同谈判、签署合同和处理与之有关的一切事务。</w:t>
      </w:r>
      <w:r>
        <w:rPr>
          <w:rFonts w:ascii="宋体" w:hAnsi="宋体"/>
          <w:sz w:val="24"/>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12"/>
        <w:spacing w:line="560" w:lineRule="exact"/>
        <w:rPr>
          <w:rFonts w:ascii="宋体" w:hAnsi="宋体"/>
          <w:sz w:val="24"/>
          <w:highlight w:val="none"/>
        </w:rPr>
      </w:pPr>
      <w:r>
        <w:rPr>
          <w:rFonts w:ascii="宋体" w:hAnsi="宋体"/>
          <w:sz w:val="24"/>
          <w:highlight w:val="none"/>
        </w:rPr>
      </w:r>
      <w:r/>
    </w:p>
    <w:p>
      <w:pPr>
        <w:pStyle w:val="104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2"/>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01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1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center"/>
        <w:spacing w:line="360" w:lineRule="auto"/>
        <w:rPr>
          <w:rFonts w:ascii="宋体" w:hAnsi="宋体"/>
          <w:b/>
          <w:color w:val="000000"/>
          <w:sz w:val="32"/>
          <w:szCs w:val="32"/>
          <w:highlight w:val="none"/>
        </w:rPr>
      </w:pPr>
      <w:r>
        <w:rPr>
          <w:rFonts w:hint="eastAsia"/>
          <w:color w:val="000000"/>
          <w:sz w:val="24"/>
          <w:highlight w:val="none"/>
        </w:rPr>
        <w:br w:type="page" w:clear="all"/>
      </w:r>
      <w:r>
        <w:rPr>
          <w:rFonts w:hint="eastAsia" w:ascii="宋体" w:hAnsi="宋体"/>
          <w:b/>
          <w:color w:val="000000"/>
          <w:sz w:val="32"/>
          <w:szCs w:val="32"/>
          <w:highlight w:val="none"/>
        </w:rPr>
        <w:t xml:space="preserve">授权委托书</w:t>
      </w:r>
      <w:r>
        <w:rPr>
          <w:rFonts w:ascii="宋体" w:hAnsi="宋体"/>
          <w:b/>
          <w:color w:val="000000"/>
          <w:sz w:val="32"/>
          <w:szCs w:val="32"/>
          <w:highlight w:val="none"/>
        </w:rPr>
      </w:r>
      <w:r/>
    </w:p>
    <w:p>
      <w:pPr>
        <w:pStyle w:val="1012"/>
        <w:ind w:firstLine="420"/>
        <w:spacing w:line="360" w:lineRule="auto"/>
        <w:rPr>
          <w:color w:val="000000"/>
          <w:sz w:val="24"/>
          <w:szCs w:val="20"/>
          <w:highlight w:val="none"/>
        </w:rPr>
      </w:pPr>
      <w:r>
        <w:rPr>
          <w:color w:val="000000"/>
          <w:sz w:val="24"/>
          <w:szCs w:val="20"/>
          <w:highlight w:val="none"/>
        </w:rPr>
      </w:r>
      <w:r/>
    </w:p>
    <w:p>
      <w:pPr>
        <w:pStyle w:val="1012"/>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012"/>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012"/>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012"/>
        <w:ind w:firstLine="420"/>
        <w:spacing w:line="360" w:lineRule="auto"/>
        <w:rPr>
          <w:color w:val="000000"/>
          <w:sz w:val="24"/>
          <w:szCs w:val="20"/>
          <w:highlight w:val="none"/>
        </w:rPr>
      </w:pPr>
      <w:r>
        <w:rPr>
          <w:color w:val="000000"/>
          <w:sz w:val="24"/>
          <w:szCs w:val="20"/>
          <w:highlight w:val="none"/>
        </w:rPr>
      </w:r>
      <w:r/>
    </w:p>
    <w:p>
      <w:pPr>
        <w:pStyle w:val="1012"/>
        <w:spacing w:line="360" w:lineRule="auto"/>
        <w:rPr>
          <w:color w:val="000000"/>
          <w:sz w:val="24"/>
          <w:highlight w:val="none"/>
          <w:lang w:val="zh-CN"/>
        </w:rPr>
      </w:pPr>
      <w:r>
        <w:rPr>
          <w:rFonts w:hint="eastAsia" w:ascii="宋体" w:hAnsi="宋体" w:cs="宋体"/>
          <w:color w:val="000000"/>
          <w:sz w:val="24"/>
          <w:highlight w:val="none"/>
        </w:rPr>
        <w:t xml:space="preserve">供应商</w:t>
      </w:r>
      <w:r>
        <w:rPr>
          <w:rFonts w:hint="eastAsia" w:ascii="宋体" w:hAnsi="宋体"/>
          <w:color w:val="000000"/>
          <w:sz w:val="24"/>
          <w:highlight w:val="none"/>
        </w:rPr>
        <w:t xml:space="preserve">名称（加盖公章）</w:t>
      </w:r>
      <w:r>
        <w:rPr>
          <w:color w:val="000000"/>
          <w:sz w:val="24"/>
          <w:highlight w:val="none"/>
          <w:lang w:val="zh-CN"/>
        </w:rPr>
        <w:t xml:space="preserve">：________________</w:t>
      </w:r>
      <w:r>
        <w:rPr>
          <w:color w:val="000000"/>
          <w:sz w:val="24"/>
          <w:highlight w:val="none"/>
          <w:lang w:val="zh-CN"/>
        </w:rPr>
      </w:r>
      <w:r/>
    </w:p>
    <w:p>
      <w:pPr>
        <w:pStyle w:val="1012"/>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012"/>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1012"/>
        <w:spacing w:line="360" w:lineRule="auto"/>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012"/>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012"/>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p>
            <w:pPr>
              <w:pStyle w:val="1012"/>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012"/>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1012"/>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2"/>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采购文件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2"/>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012"/>
        <w:jc w:val="left"/>
        <w:spacing w:line="400" w:lineRule="exact"/>
        <w:tabs>
          <w:tab w:val="left" w:pos="5580" w:leader="none"/>
        </w:tabs>
        <w:rPr>
          <w:rFonts w:ascii="仿宋" w:hAnsi="仿宋" w:eastAsia="仿宋"/>
          <w:color w:val="00000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w:t>
      </w:r>
      <w:r>
        <w:rPr>
          <w:rFonts w:hint="eastAsia" w:ascii="宋体" w:hAnsi="宋体"/>
          <w:color w:val="000000"/>
          <w:sz w:val="24"/>
          <w:szCs w:val="20"/>
          <w:highlight w:val="none"/>
          <w:lang w:val="en-US" w:eastAsia="zh-CN"/>
        </w:rPr>
        <w:t xml:space="preserve">扫描件</w:t>
      </w:r>
      <w:r>
        <w:rPr>
          <w:rFonts w:hint="eastAsia" w:ascii="宋体" w:hAnsi="宋体"/>
          <w:color w:val="000000"/>
          <w:sz w:val="24"/>
          <w:szCs w:val="20"/>
          <w:highlight w:val="none"/>
        </w:rPr>
        <w:t xml:space="preserve">并签名，可不提供《法定代表人（单位负责人）身份证明》和《授权委托书》。</w:t>
      </w:r>
      <w:r>
        <w:rPr>
          <w:rFonts w:ascii="仿宋" w:hAnsi="仿宋" w:eastAsia="仿宋"/>
          <w:color w:val="000000"/>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101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12"/>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政府采购供应商信用承诺书</w:t>
      </w:r>
      <w:r>
        <w:rPr>
          <w:rFonts w:hint="eastAsia" w:ascii="宋体" w:hAnsi="宋体" w:eastAsia="宋体" w:cs="Times New Roman"/>
          <w:b/>
          <w:color w:val="000000"/>
          <w:sz w:val="32"/>
          <w:szCs w:val="32"/>
          <w:highlight w:val="none"/>
        </w:rPr>
      </w:r>
      <w:r/>
    </w:p>
    <w:p>
      <w:pPr>
        <w:pStyle w:val="1012"/>
        <w:ind w:firstLine="640"/>
        <w:rPr>
          <w:highlight w:val="none"/>
        </w:rPr>
      </w:pPr>
      <w:r>
        <w:rPr>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1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6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jc w:val="left"/>
        <w:widowControl/>
        <w:rPr>
          <w:rFonts w:hint="eastAsia" w:ascii="Times New Roman" w:hAnsi="Times New Roman" w:eastAsia="宋体" w:cs="Times New Roman"/>
          <w:color w:val="000000"/>
          <w:sz w:val="24"/>
          <w:highlight w:val="none"/>
          <w:lang w:val="en-US" w:eastAsia="zh-CN"/>
        </w:rPr>
      </w:pPr>
      <w:r>
        <w:rPr>
          <w:color w:val="000000"/>
          <w:sz w:val="24"/>
          <w:szCs w:val="20"/>
          <w:highlight w:val="none"/>
        </w:rPr>
        <w:br w:type="page" w:clear="all"/>
      </w:r>
      <w:r>
        <w:rPr>
          <w:rFonts w:hint="eastAsia" w:ascii="Times New Roman" w:hAnsi="Times New Roman" w:eastAsia="宋体" w:cs="Times New Roman"/>
          <w:color w:val="000000"/>
          <w:sz w:val="24"/>
          <w:highlight w:val="none"/>
          <w:lang w:val="en-US" w:eastAsia="zh-CN"/>
        </w:rPr>
        <w:t xml:space="preserve">6投标供应商管理关系或控股关系信息情况表</w:t>
      </w:r>
      <w:r>
        <w:rPr>
          <w:rFonts w:hint="eastAsia" w:ascii="Times New Roman" w:hAnsi="Times New Roman" w:eastAsia="宋体" w:cs="Times New Roman"/>
          <w:color w:val="000000"/>
          <w:sz w:val="24"/>
          <w:highlight w:val="none"/>
          <w:lang w:val="en-US" w:eastAsia="zh-CN"/>
        </w:rPr>
      </w:r>
      <w:r/>
    </w:p>
    <w:p>
      <w:pPr>
        <w:pStyle w:val="1012"/>
        <w:jc w:val="left"/>
        <w:widowControl/>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pStyle w:val="1012"/>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投标供应商管理关系或控股关系信息情况表</w:t>
      </w:r>
      <w:r>
        <w:rPr>
          <w:rFonts w:hint="eastAsia" w:ascii="宋体" w:hAnsi="宋体" w:eastAsia="宋体" w:cs="Times New Roman"/>
          <w:b/>
          <w:color w:val="000000"/>
          <w:sz w:val="32"/>
          <w:szCs w:val="32"/>
          <w:highlight w:val="none"/>
        </w:rPr>
      </w:r>
      <w:r/>
    </w:p>
    <w:tbl>
      <w:tblPr>
        <w:tblW w:w="875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rPr>
                <w:rFonts w:ascii="宋体" w:hAnsi="宋体" w:cs="宋体"/>
                <w:sz w:val="24"/>
                <w:highlight w:val="none"/>
              </w:rPr>
            </w:r>
            <w:r/>
          </w:p>
        </w:tc>
        <w:tc>
          <w:tcPr>
            <w:tcW w:w="1994" w:type="dxa"/>
            <w:vAlign w:val="center"/>
            <w:textDirection w:val="lrTb"/>
            <w:noWrap w:val="false"/>
          </w:tcPr>
          <w:p>
            <w:pPr>
              <w:pStyle w:val="1012"/>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1012"/>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rPr>
                <w:rFonts w:ascii="宋体" w:hAnsi="宋体" w:cs="宋体"/>
                <w:sz w:val="24"/>
                <w:highlight w:val="none"/>
              </w:rPr>
            </w:r>
            <w:r/>
          </w:p>
        </w:tc>
        <w:tc>
          <w:tcPr>
            <w:tcW w:w="2806" w:type="dxa"/>
            <w:vAlign w:val="center"/>
            <w:textDirection w:val="lrTb"/>
            <w:noWrap w:val="false"/>
          </w:tcPr>
          <w:p>
            <w:pPr>
              <w:pStyle w:val="1012"/>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2496" w:type="dxa"/>
            <w:vAlign w:val="center"/>
            <w:textDirection w:val="lrTb"/>
            <w:noWrap w:val="false"/>
          </w:tcPr>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rPr>
                <w:rFonts w:ascii="宋体" w:hAnsi="宋体" w:cs="宋体"/>
                <w:sz w:val="24"/>
                <w:highlight w:val="none"/>
              </w:rPr>
            </w:r>
            <w:r/>
          </w:p>
        </w:tc>
        <w:tc>
          <w:tcPr>
            <w:tcW w:w="1994" w:type="dxa"/>
            <w:vAlign w:val="center"/>
            <w:textDirection w:val="lrTb"/>
            <w:noWrap w:val="false"/>
          </w:tcPr>
          <w:p>
            <w:pPr>
              <w:pStyle w:val="1012"/>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1012"/>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rPr>
                <w:rFonts w:ascii="宋体" w:hAnsi="宋体" w:cs="宋体"/>
                <w:sz w:val="24"/>
                <w:highlight w:val="none"/>
              </w:rPr>
            </w:r>
            <w:r/>
          </w:p>
        </w:tc>
        <w:tc>
          <w:tcPr>
            <w:tcW w:w="2806" w:type="dxa"/>
            <w:vAlign w:val="center"/>
            <w:textDirection w:val="lrTb"/>
            <w:noWrap w:val="false"/>
          </w:tcPr>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rPr>
                <w:rFonts w:ascii="宋体" w:hAnsi="宋体" w:cs="宋体"/>
                <w:sz w:val="24"/>
                <w:highlight w:val="none"/>
              </w:rPr>
            </w:r>
            <w:r/>
          </w:p>
        </w:tc>
      </w:tr>
      <w:tr>
        <w:trPr>
          <w:cantSplit/>
          <w:trHeight w:val="412"/>
        </w:trPr>
        <w:tc>
          <w:tcPr>
            <w:tcW w:w="2496" w:type="dxa"/>
            <w:vAlign w:val="center"/>
            <w:textDirection w:val="lrTb"/>
            <w:noWrap w:val="false"/>
          </w:tcPr>
          <w:p>
            <w:pPr>
              <w:pStyle w:val="1012"/>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rPr>
                <w:rFonts w:ascii="宋体" w:hAnsi="宋体" w:cs="宋体"/>
                <w:sz w:val="24"/>
                <w:highlight w:val="none"/>
              </w:rPr>
            </w:r>
            <w:r/>
          </w:p>
        </w:tc>
        <w:tc>
          <w:tcPr>
            <w:gridSpan w:val="3"/>
            <w:tcW w:w="6255" w:type="dxa"/>
            <w:vAlign w:val="center"/>
            <w:textDirection w:val="lrTb"/>
            <w:noWrap w:val="false"/>
          </w:tcPr>
          <w:p>
            <w:pPr>
              <w:pStyle w:val="1012"/>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2496" w:type="dxa"/>
            <w:vAlign w:val="center"/>
            <w:textDirection w:val="lrTb"/>
            <w:noWrap w:val="false"/>
          </w:tcPr>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经营范围</w:t>
            </w:r>
            <w:r>
              <w:rPr>
                <w:rFonts w:ascii="宋体" w:hAnsi="宋体" w:cs="宋体"/>
                <w:sz w:val="24"/>
                <w:highlight w:val="none"/>
              </w:rPr>
            </w:r>
            <w:r/>
          </w:p>
        </w:tc>
        <w:tc>
          <w:tcPr>
            <w:gridSpan w:val="3"/>
            <w:tcW w:w="6255" w:type="dxa"/>
            <w:vAlign w:val="center"/>
            <w:textDirection w:val="lrTb"/>
            <w:noWrap w:val="false"/>
          </w:tcPr>
          <w:p>
            <w:pPr>
              <w:pStyle w:val="1012"/>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77"/>
        </w:trPr>
        <w:tc>
          <w:tcPr>
            <w:tcW w:w="2496" w:type="dxa"/>
            <w:vAlign w:val="center"/>
            <w:textDirection w:val="lrTb"/>
            <w:noWrap w:val="false"/>
          </w:tcPr>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rPr>
                <w:rFonts w:ascii="宋体" w:hAnsi="宋体" w:cs="宋体"/>
                <w:sz w:val="24"/>
                <w:highlight w:val="none"/>
              </w:rPr>
            </w:r>
            <w:r/>
          </w:p>
        </w:tc>
        <w:tc>
          <w:tcPr>
            <w:gridSpan w:val="3"/>
            <w:tcW w:w="6255" w:type="dxa"/>
            <w:vAlign w:val="center"/>
            <w:textDirection w:val="lrTb"/>
            <w:noWrap w:val="false"/>
          </w:tcPr>
          <w:p>
            <w:pPr>
              <w:pStyle w:val="1012"/>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rPr>
                <w:rFonts w:ascii="宋体" w:hAnsi="宋体" w:cs="宋体"/>
                <w:sz w:val="24"/>
                <w:highlight w:val="none"/>
              </w:rPr>
            </w:r>
            <w:r/>
          </w:p>
          <w:p>
            <w:pPr>
              <w:pStyle w:val="1012"/>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rPr>
                <w:rFonts w:ascii="宋体" w:hAnsi="宋体" w:cs="宋体"/>
                <w:sz w:val="24"/>
                <w:highlight w:val="none"/>
              </w:rPr>
            </w:r>
            <w:r/>
          </w:p>
          <w:p>
            <w:pPr>
              <w:pStyle w:val="1012"/>
              <w:jc w:val="left"/>
              <w:spacing w:line="480" w:lineRule="exact"/>
              <w:rPr>
                <w:rFonts w:ascii="宋体" w:hAnsi="宋体" w:cs="宋体"/>
                <w:sz w:val="24"/>
                <w:highlight w:val="none"/>
              </w:rPr>
            </w:pPr>
            <w:r>
              <w:rPr>
                <w:rFonts w:ascii="宋体" w:hAnsi="宋体" w:cs="宋体"/>
                <w:sz w:val="24"/>
                <w:highlight w:val="none"/>
              </w:rPr>
            </w:r>
            <w:r/>
          </w:p>
          <w:p>
            <w:pPr>
              <w:pStyle w:val="1012"/>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rPr>
                <w:rFonts w:ascii="宋体" w:hAnsi="宋体" w:cs="宋体"/>
                <w:sz w:val="24"/>
                <w:highlight w:val="none"/>
              </w:rPr>
            </w:r>
            <w:r/>
          </w:p>
          <w:p>
            <w:pPr>
              <w:pStyle w:val="1012"/>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rPr>
                <w:rFonts w:ascii="宋体" w:hAnsi="宋体" w:cs="宋体"/>
                <w:sz w:val="24"/>
                <w:highlight w:val="none"/>
              </w:rPr>
            </w:r>
            <w:r/>
          </w:p>
          <w:p>
            <w:pPr>
              <w:pStyle w:val="1012"/>
              <w:jc w:val="left"/>
              <w:spacing w:line="480" w:lineRule="exact"/>
              <w:rPr>
                <w:rFonts w:ascii="宋体" w:hAnsi="宋体" w:cs="宋体"/>
                <w:sz w:val="24"/>
                <w:highlight w:val="none"/>
              </w:rPr>
            </w:pPr>
            <w:r>
              <w:rPr>
                <w:rFonts w:ascii="宋体" w:hAnsi="宋体" w:cs="宋体"/>
                <w:sz w:val="24"/>
                <w:highlight w:val="none"/>
              </w:rPr>
            </w:r>
            <w:r/>
          </w:p>
          <w:p>
            <w:pPr>
              <w:pStyle w:val="1012"/>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964"/>
        </w:trPr>
        <w:tc>
          <w:tcPr>
            <w:tcW w:w="2496" w:type="dxa"/>
            <w:vAlign w:val="center"/>
            <w:textDirection w:val="lrTb"/>
            <w:noWrap w:val="false"/>
          </w:tcPr>
          <w:p>
            <w:pPr>
              <w:pStyle w:val="1012"/>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rPr>
                <w:rFonts w:ascii="宋体" w:hAnsi="宋体" w:cs="宋体"/>
                <w:sz w:val="24"/>
                <w:highlight w:val="none"/>
              </w:rPr>
            </w:r>
            <w:r/>
          </w:p>
        </w:tc>
        <w:tc>
          <w:tcPr>
            <w:gridSpan w:val="3"/>
            <w:tcW w:w="6255" w:type="dxa"/>
            <w:vAlign w:val="center"/>
            <w:textDirection w:val="lrTb"/>
            <w:noWrap w:val="false"/>
          </w:tcPr>
          <w:p>
            <w:pPr>
              <w:pStyle w:val="1012"/>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hint="eastAsia" w:ascii="宋体" w:hAnsi="宋体" w:cs="宋体"/>
                <w:sz w:val="24"/>
                <w:highlight w:val="none"/>
              </w:rPr>
              <w:t xml:space="preserve">企业1名称：</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hint="eastAsia" w:ascii="宋体" w:hAnsi="宋体" w:cs="宋体"/>
                <w:sz w:val="24"/>
                <w:highlight w:val="none"/>
              </w:rPr>
              <w:t xml:space="preserve">企业2名称：</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012"/>
              <w:jc w:val="left"/>
              <w:spacing w:line="50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2502"/>
        </w:trPr>
        <w:tc>
          <w:tcPr>
            <w:gridSpan w:val="4"/>
            <w:tcW w:w="8751" w:type="dxa"/>
            <w:vAlign w:val="center"/>
            <w:textDirection w:val="lrTb"/>
            <w:noWrap w:val="false"/>
          </w:tcPr>
          <w:p>
            <w:pPr>
              <w:pStyle w:val="1012"/>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ascii="宋体" w:hAnsi="宋体" w:cs="宋体"/>
                <w:sz w:val="24"/>
                <w:highlight w:val="none"/>
              </w:rPr>
            </w:r>
            <w:r/>
          </w:p>
          <w:p>
            <w:pPr>
              <w:pStyle w:val="1012"/>
              <w:ind w:firstLine="561"/>
              <w:jc w:val="left"/>
              <w:spacing w:line="500" w:lineRule="exact"/>
              <w:rPr>
                <w:rFonts w:ascii="宋体" w:hAnsi="宋体" w:cs="宋体"/>
                <w:sz w:val="24"/>
                <w:highlight w:val="none"/>
              </w:rPr>
            </w:pPr>
            <w:r>
              <w:rPr>
                <w:rFonts w:hint="eastAsia" w:ascii="宋体" w:hAnsi="宋体" w:cs="宋体"/>
                <w:sz w:val="24"/>
                <w:highlight w:val="none"/>
              </w:rPr>
              <w:t xml:space="preserve">供应商（盖章）：</w:t>
            </w:r>
            <w:r>
              <w:rPr>
                <w:rFonts w:ascii="宋体" w:hAnsi="宋体" w:cs="宋体"/>
                <w:sz w:val="24"/>
                <w:highlight w:val="none"/>
              </w:rPr>
            </w:r>
            <w:r/>
          </w:p>
          <w:p>
            <w:pPr>
              <w:pStyle w:val="1012"/>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法定代表人（签字名盖章）：</w:t>
            </w:r>
            <w:r>
              <w:rPr>
                <w:rFonts w:ascii="宋体" w:hAnsi="宋体" w:cs="宋体"/>
                <w:sz w:val="24"/>
                <w:highlight w:val="none"/>
              </w:rPr>
            </w:r>
            <w:r/>
          </w:p>
          <w:p>
            <w:pPr>
              <w:pStyle w:val="1012"/>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rPr>
                <w:rFonts w:ascii="宋体" w:hAnsi="宋体" w:cs="宋体"/>
                <w:sz w:val="24"/>
                <w:highlight w:val="none"/>
              </w:rPr>
            </w:r>
            <w:r/>
          </w:p>
        </w:tc>
      </w:tr>
    </w:tbl>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color w:val="000000"/>
          <w:sz w:val="24"/>
          <w:szCs w:val="20"/>
          <w:highlight w:val="none"/>
        </w:rPr>
      </w:r>
      <w:r/>
    </w:p>
    <w:p>
      <w:pPr>
        <w:pStyle w:val="1012"/>
        <w:jc w:val="center"/>
        <w:rPr>
          <w:b/>
          <w:color w:val="000000"/>
          <w:sz w:val="36"/>
          <w:szCs w:val="36"/>
          <w:highlight w:val="none"/>
        </w:rPr>
      </w:pPr>
      <w:r/>
      <w:bookmarkStart w:id="703" w:name="_Toc195842923"/>
      <w:r/>
      <w:bookmarkStart w:id="704" w:name="_Toc226337254"/>
      <w:r/>
      <w:bookmarkStart w:id="705" w:name="_Toc226309802"/>
      <w:r/>
      <w:bookmarkStart w:id="706" w:name="_Toc164608672"/>
      <w:r/>
      <w:bookmarkStart w:id="707" w:name="_Toc226965748"/>
      <w:r/>
      <w:bookmarkStart w:id="708" w:name="_Toc264969248"/>
      <w:r/>
      <w:bookmarkStart w:id="709" w:name="_Toc265228396"/>
      <w:r/>
      <w:bookmarkStart w:id="710" w:name="_Toc305158826"/>
      <w:r/>
      <w:bookmarkStart w:id="711" w:name="_Toc305158900"/>
      <w:r/>
      <w:bookmarkStart w:id="712" w:name="_Toc164608827"/>
      <w:r/>
      <w:bookmarkStart w:id="713" w:name="_Toc226965831"/>
      <w:r>
        <w:rPr>
          <w:rFonts w:hint="eastAsia"/>
          <w:b/>
          <w:color w:val="000000"/>
          <w:sz w:val="36"/>
          <w:szCs w:val="36"/>
          <w:highlight w:val="none"/>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Pr>
          <w:b/>
          <w:color w:val="000000"/>
          <w:sz w:val="36"/>
          <w:szCs w:val="36"/>
          <w:highlight w:val="none"/>
        </w:rPr>
      </w:r>
      <w:r/>
    </w:p>
    <w:p>
      <w:pPr>
        <w:pStyle w:val="101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1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5"/>
        <w:gridCol w:w="2026"/>
        <w:gridCol w:w="2132"/>
      </w:tblGrid>
      <w:tr>
        <w:trPr>
          <w:trHeight w:val="531"/>
        </w:trPr>
        <w:tc>
          <w:tcPr>
            <w:tcW w:w="496" w:type="dxa"/>
            <w:vAlign w:val="center"/>
            <w:vMerge w:val="restart"/>
            <w:textDirection w:val="lrTb"/>
            <w:noWrap w:val="false"/>
          </w:tcPr>
          <w:p>
            <w:pPr>
              <w:pStyle w:val="1012"/>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1012"/>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1012"/>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1012"/>
              <w:jc w:val="left"/>
              <w:widowControl/>
              <w:rPr>
                <w:b/>
                <w:sz w:val="24"/>
                <w:highlight w:val="none"/>
              </w:rPr>
            </w:pPr>
            <w:r>
              <w:rPr>
                <w:b/>
                <w:sz w:val="24"/>
                <w:highlight w:val="none"/>
              </w:rPr>
            </w:r>
            <w:r/>
          </w:p>
        </w:tc>
        <w:tc>
          <w:tcPr>
            <w:tcW w:w="3205" w:type="dxa"/>
            <w:vAlign w:val="center"/>
            <w:vMerge w:val="continue"/>
            <w:textDirection w:val="lrTb"/>
            <w:noWrap w:val="false"/>
          </w:tcPr>
          <w:p>
            <w:pPr>
              <w:pStyle w:val="1012"/>
              <w:jc w:val="left"/>
              <w:widowControl/>
              <w:rPr>
                <w:b/>
                <w:sz w:val="24"/>
                <w:highlight w:val="none"/>
              </w:rPr>
            </w:pPr>
            <w:r>
              <w:rPr>
                <w:b/>
                <w:sz w:val="24"/>
                <w:highlight w:val="none"/>
              </w:rPr>
            </w:r>
            <w:r/>
          </w:p>
        </w:tc>
        <w:tc>
          <w:tcPr>
            <w:tcW w:w="1239" w:type="dxa"/>
            <w:vAlign w:val="center"/>
            <w:textDirection w:val="lrTb"/>
            <w:noWrap w:val="false"/>
          </w:tcPr>
          <w:p>
            <w:pPr>
              <w:pStyle w:val="1012"/>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1012"/>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1012"/>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1012"/>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1012"/>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1012"/>
              <w:jc w:val="center"/>
              <w:tabs>
                <w:tab w:val="left" w:pos="5580" w:leader="none"/>
              </w:tabs>
              <w:rPr>
                <w:sz w:val="24"/>
                <w:highlight w:val="none"/>
              </w:rPr>
            </w:pPr>
            <w:r>
              <w:rPr>
                <w:sz w:val="24"/>
                <w:highlight w:val="none"/>
              </w:rPr>
            </w:r>
            <w:r/>
          </w:p>
        </w:tc>
      </w:tr>
    </w:tbl>
    <w:p>
      <w:pPr>
        <w:pStyle w:val="1012"/>
        <w:jc w:val="left"/>
        <w:rPr>
          <w:color w:val="000000"/>
          <w:sz w:val="24"/>
          <w:highlight w:val="none"/>
        </w:rPr>
      </w:pPr>
      <w:r>
        <w:rPr>
          <w:color w:val="000000"/>
          <w:sz w:val="24"/>
          <w:highlight w:val="none"/>
        </w:rPr>
      </w:r>
      <w:r/>
    </w:p>
    <w:p>
      <w:pPr>
        <w:pStyle w:val="1012"/>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1012"/>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jc w:val="left"/>
        <w:widowControl/>
        <w:rPr>
          <w:color w:val="000000"/>
          <w:sz w:val="24"/>
          <w:szCs w:val="20"/>
          <w:highlight w:val="none"/>
        </w:rPr>
      </w:pPr>
      <w:r/>
      <w:bookmarkStart w:id="714" w:name="_Toc226309803"/>
      <w:r/>
      <w:bookmarkStart w:id="715" w:name="_Toc150480796"/>
      <w:r/>
      <w:bookmarkStart w:id="716" w:name="_Toc305158901"/>
      <w:r/>
      <w:bookmarkStart w:id="717" w:name="_Toc226965749"/>
      <w:r/>
      <w:bookmarkStart w:id="718" w:name="_Toc305158827"/>
      <w:r/>
      <w:bookmarkStart w:id="719" w:name="_Toc226337255"/>
      <w:r/>
      <w:bookmarkStart w:id="720" w:name="_Toc226965832"/>
      <w:r/>
      <w:bookmarkStart w:id="721" w:name="_Toc264969249"/>
      <w:r/>
      <w:bookmarkStart w:id="722" w:name="_Toc127151558"/>
      <w:r/>
      <w:bookmarkStart w:id="723" w:name="_Toc142311060"/>
      <w:r/>
      <w:bookmarkStart w:id="724" w:name="_Toc195842924"/>
      <w:r/>
      <w:bookmarkStart w:id="725" w:name="_Toc265228397"/>
      <w:r/>
      <w:bookmarkStart w:id="726" w:name="_Toc150774763"/>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分项报价表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szCs w:val="20"/>
          <w:highlight w:val="none"/>
        </w:rPr>
      </w:r>
      <w:r/>
    </w:p>
    <w:p>
      <w:pPr>
        <w:pStyle w:val="1012"/>
        <w:jc w:val="center"/>
        <w:spacing w:line="360" w:lineRule="exact"/>
        <w:rPr>
          <w:color w:val="000000"/>
          <w:sz w:val="36"/>
          <w:szCs w:val="36"/>
          <w:highlight w:val="none"/>
        </w:rPr>
      </w:pPr>
      <w:r>
        <w:rPr>
          <w:color w:val="000000"/>
          <w:sz w:val="36"/>
          <w:szCs w:val="36"/>
          <w:highlight w:val="none"/>
        </w:rPr>
      </w:r>
      <w:r/>
    </w:p>
    <w:p>
      <w:pPr>
        <w:pStyle w:val="1012"/>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1012"/>
        <w:jc w:val="center"/>
        <w:spacing w:line="260" w:lineRule="exact"/>
        <w:rPr>
          <w:color w:val="000000"/>
          <w:sz w:val="36"/>
          <w:szCs w:val="36"/>
          <w:highlight w:val="none"/>
        </w:rPr>
      </w:pPr>
      <w:r>
        <w:rPr>
          <w:color w:val="000000"/>
          <w:sz w:val="36"/>
          <w:szCs w:val="36"/>
          <w:highlight w:val="none"/>
        </w:rPr>
      </w:r>
      <w:r/>
    </w:p>
    <w:p>
      <w:pPr>
        <w:pStyle w:val="1012"/>
        <w:tabs>
          <w:tab w:val="left" w:pos="1800" w:leader="none"/>
          <w:tab w:val="left" w:pos="5580" w:leader="none"/>
        </w:tabs>
        <w:rPr>
          <w:color w:val="000000"/>
          <w:sz w:val="24"/>
          <w:highlight w:val="none"/>
        </w:rPr>
      </w:pPr>
      <w:r/>
      <w:bookmarkStart w:id="727" w:name="_Toc150774765"/>
      <w:r/>
      <w:bookmarkStart w:id="728" w:name="_Toc226965835"/>
      <w:r/>
      <w:bookmarkStart w:id="729" w:name="_Toc226965752"/>
      <w:r/>
      <w:bookmarkStart w:id="730" w:name="_Toc305158904"/>
      <w:r/>
      <w:bookmarkStart w:id="731" w:name="_Toc195842927"/>
      <w:r/>
      <w:bookmarkStart w:id="732" w:name="_Toc142311062"/>
      <w:r/>
      <w:bookmarkStart w:id="733" w:name="_Toc305158830"/>
      <w:r/>
      <w:bookmarkStart w:id="734" w:name="_Toc127151562"/>
      <w:r/>
      <w:bookmarkStart w:id="735" w:name="_Toc150480798"/>
      <w:r/>
      <w:bookmarkStart w:id="736" w:name="_Toc264969252"/>
      <w:r/>
      <w:bookmarkStart w:id="737" w:name="_Toc226337258"/>
      <w:r/>
      <w:bookmarkStart w:id="738" w:name="_Toc226309806"/>
      <w:r/>
      <w:bookmarkStart w:id="739" w:name="_Toc265228400"/>
      <w:r/>
      <w:bookmarkStart w:id="740" w:name="_Toc226965834"/>
      <w:r/>
      <w:bookmarkStart w:id="741" w:name="_Toc226309805"/>
      <w:r/>
      <w:bookmarkStart w:id="742" w:name="_Toc150480797"/>
      <w:r/>
      <w:bookmarkStart w:id="743" w:name="_Toc226965751"/>
      <w:r/>
      <w:bookmarkStart w:id="744" w:name="_Toc305158903"/>
      <w:r/>
      <w:bookmarkStart w:id="745" w:name="_Toc305158829"/>
      <w:r/>
      <w:bookmarkStart w:id="746" w:name="_Toc195842926"/>
      <w:r/>
      <w:bookmarkStart w:id="747" w:name="_Toc265228399"/>
      <w:r/>
      <w:bookmarkStart w:id="748" w:name="_Toc150774764"/>
      <w:r/>
      <w:bookmarkStart w:id="749" w:name="_Toc264969251"/>
      <w:r/>
      <w:bookmarkStart w:id="750" w:name="_Toc142311061"/>
      <w:r/>
      <w:bookmarkStart w:id="751" w:name="_Toc127151561"/>
      <w:r/>
      <w:bookmarkStart w:id="752" w:name="_Toc226337257"/>
      <w:r>
        <w:rPr>
          <w:color w:val="000000"/>
          <w:sz w:val="24"/>
          <w:highlight w:val="none"/>
        </w:rPr>
        <w:t xml:space="preserve">项目编号/包号：___________ 项目名称：__________报价单位：人民币元</w:t>
      </w:r>
      <w:r>
        <w:rPr>
          <w:color w:val="000000"/>
          <w:sz w:val="24"/>
          <w:highlight w:val="none"/>
        </w:rPr>
      </w:r>
      <w:r/>
    </w:p>
    <w:p>
      <w:pPr>
        <w:pStyle w:val="1012"/>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12"/>
        <w:jc w:val="center"/>
        <w:tabs>
          <w:tab w:val="left" w:pos="1800" w:leader="none"/>
          <w:tab w:val="left" w:pos="5580" w:leader="none"/>
        </w:tabs>
        <w:rPr>
          <w:rFonts w:hint="eastAsia"/>
          <w:b/>
          <w:bCs/>
          <w:color w:val="000000"/>
          <w:sz w:val="24"/>
          <w:highlight w:val="none"/>
          <w:u w:val="single"/>
          <w:lang w:eastAsia="zh-CN"/>
        </w:rPr>
      </w:pPr>
      <w:r>
        <w:rPr>
          <w:rFonts w:hint="eastAsia"/>
          <w:b/>
          <w:bCs/>
          <w:color w:val="000000"/>
          <w:sz w:val="24"/>
          <w:highlight w:val="none"/>
          <w:u w:val="single"/>
          <w:lang w:eastAsia="zh-CN"/>
        </w:rPr>
      </w:r>
      <w:r/>
    </w:p>
    <w:p>
      <w:pPr>
        <w:pStyle w:val="1012"/>
        <w:jc w:val="center"/>
        <w:tabs>
          <w:tab w:val="left" w:pos="1800" w:leader="none"/>
          <w:tab w:val="left" w:pos="5580" w:leader="none"/>
        </w:tabs>
        <w:rPr>
          <w:rFonts w:hint="eastAsia" w:eastAsia="宋体"/>
          <w:b/>
          <w:bCs/>
          <w:color w:val="000000"/>
          <w:sz w:val="24"/>
          <w:highlight w:val="none"/>
          <w:u w:val="single"/>
          <w:lang w:eastAsia="zh-CN"/>
        </w:rPr>
      </w:pPr>
      <w:r>
        <w:rPr>
          <w:rFonts w:hint="eastAsia"/>
          <w:b/>
          <w:bCs/>
          <w:color w:val="000000"/>
          <w:sz w:val="24"/>
          <w:highlight w:val="none"/>
          <w:u w:val="single"/>
          <w:lang w:eastAsia="zh-CN"/>
        </w:rPr>
        <w:t xml:space="preserve">（</w:t>
      </w:r>
      <w:r>
        <w:rPr>
          <w:rFonts w:hint="eastAsia"/>
          <w:b/>
          <w:bCs/>
          <w:color w:val="000000"/>
          <w:sz w:val="24"/>
          <w:highlight w:val="none"/>
          <w:u w:val="single"/>
          <w:lang w:val="en-US" w:eastAsia="zh-CN"/>
        </w:rPr>
        <w:t xml:space="preserve">提供工程量清单报价</w:t>
      </w:r>
      <w:r>
        <w:rPr>
          <w:rFonts w:hint="eastAsia"/>
          <w:b/>
          <w:bCs/>
          <w:color w:val="000000"/>
          <w:sz w:val="24"/>
          <w:highlight w:val="none"/>
          <w:u w:val="single"/>
          <w:lang w:eastAsia="zh-CN"/>
        </w:rPr>
        <w:t xml:space="preserve">）</w:t>
      </w:r>
      <w:r>
        <w:rPr>
          <w:rFonts w:hint="eastAsia" w:eastAsia="宋体"/>
          <w:b/>
          <w:bCs/>
          <w:color w:val="000000"/>
          <w:sz w:val="24"/>
          <w:highlight w:val="none"/>
          <w:u w:val="single"/>
          <w:lang w:eastAsia="zh-CN"/>
        </w:rPr>
      </w:r>
      <w:r/>
    </w:p>
    <w:p>
      <w:pPr>
        <w:pStyle w:val="1012"/>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1012"/>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2.如果不提供分项报价将视为没有实质性响应谈判文件。</w:t>
      </w:r>
      <w:r>
        <w:rPr>
          <w:color w:val="000000"/>
          <w:sz w:val="24"/>
          <w:highlight w:val="none"/>
        </w:rPr>
      </w:r>
      <w:r/>
    </w:p>
    <w:p>
      <w:pPr>
        <w:pStyle w:val="1012"/>
        <w:spacing w:before="25" w:after="25" w:line="360" w:lineRule="auto"/>
        <w:rPr>
          <w:color w:val="000000"/>
          <w:sz w:val="24"/>
          <w:highlight w:val="none"/>
          <w:lang w:val="zh-CN"/>
        </w:rPr>
      </w:pP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sz w:val="24"/>
          <w:szCs w:val="20"/>
          <w:highlight w:val="none"/>
        </w:rPr>
      </w:r>
      <w:r/>
    </w:p>
    <w:p>
      <w:pPr>
        <w:pStyle w:val="1012"/>
        <w:spacing w:line="360" w:lineRule="auto"/>
        <w:rPr>
          <w:color w:val="000000"/>
          <w:sz w:val="24"/>
          <w:szCs w:val="20"/>
          <w:highlight w:val="none"/>
        </w:rPr>
      </w:pPr>
      <w:r>
        <w:rPr>
          <w:color w:val="000000"/>
          <w:sz w:val="24"/>
          <w:szCs w:val="20"/>
          <w:highlight w:val="none"/>
        </w:rPr>
      </w:r>
      <w:r/>
    </w:p>
    <w:p>
      <w:pPr>
        <w:pStyle w:val="1012"/>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12"/>
        <w:jc w:val="center"/>
        <w:rPr>
          <w:color w:val="000000"/>
          <w:sz w:val="36"/>
          <w:szCs w:val="36"/>
          <w:highlight w:val="none"/>
        </w:rPr>
      </w:pPr>
      <w:r>
        <w:rPr>
          <w:color w:val="000000"/>
          <w:sz w:val="36"/>
          <w:szCs w:val="36"/>
          <w:highlight w:val="none"/>
        </w:rPr>
      </w:r>
      <w:r/>
    </w:p>
    <w:p>
      <w:pPr>
        <w:pStyle w:val="1012"/>
        <w:spacing w:line="360" w:lineRule="auto"/>
        <w:rPr>
          <w:color w:val="000000"/>
          <w:sz w:val="24"/>
          <w:szCs w:val="20"/>
          <w:highlight w:val="none"/>
        </w:rPr>
      </w:pPr>
      <w:r>
        <w:rPr>
          <w:color w:val="000000"/>
          <w:sz w:val="24"/>
          <w:szCs w:val="20"/>
          <w:highlight w:val="none"/>
        </w:rPr>
      </w:r>
      <w:r/>
    </w:p>
    <w:p>
      <w:pPr>
        <w:pStyle w:val="101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1"/>
        <w:gridCol w:w="1980"/>
        <w:gridCol w:w="1981"/>
        <w:gridCol w:w="2427"/>
        <w:gridCol w:w="783"/>
      </w:tblGrid>
      <w:tr>
        <w:trPr>
          <w:trHeight w:val="930"/>
        </w:trPr>
        <w:tc>
          <w:tcPr>
            <w:gridSpan w:val="6"/>
            <w:tcW w:w="9289" w:type="dxa"/>
            <w:vAlign w:val="center"/>
            <w:textDirection w:val="lrTb"/>
            <w:noWrap w:val="false"/>
          </w:tcPr>
          <w:p>
            <w:pPr>
              <w:pStyle w:val="1012"/>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1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szCs w:val="21"/>
                <w:highlight w:val="none"/>
              </w:rPr>
              <w:t xml:space="preserve">谈判文件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szCs w:val="21"/>
                <w:highlight w:val="none"/>
              </w:rPr>
              <w:t xml:space="preserve">谈判文件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p>
            <w:pPr>
              <w:pStyle w:val="1012"/>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12"/>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1012"/>
        <w:spacing w:line="360" w:lineRule="auto"/>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color w:val="000000"/>
          <w:sz w:val="24"/>
          <w:szCs w:val="20"/>
          <w:highlight w:val="none"/>
        </w:rPr>
        <w:t xml:space="preserve">采购需求偏离表</w:t>
      </w:r>
      <w:r>
        <w:rPr>
          <w:color w:val="000000"/>
          <w:sz w:val="24"/>
          <w:szCs w:val="20"/>
          <w:highlight w:val="none"/>
        </w:rPr>
      </w:r>
      <w:r/>
    </w:p>
    <w:p>
      <w:pPr>
        <w:pStyle w:val="1012"/>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12"/>
        <w:jc w:val="center"/>
        <w:rPr>
          <w:color w:val="000000"/>
          <w:sz w:val="36"/>
          <w:szCs w:val="36"/>
          <w:highlight w:val="none"/>
        </w:rPr>
      </w:pPr>
      <w:r>
        <w:rPr>
          <w:color w:val="000000"/>
          <w:sz w:val="36"/>
          <w:szCs w:val="36"/>
          <w:highlight w:val="none"/>
        </w:rPr>
      </w:r>
      <w:r/>
    </w:p>
    <w:p>
      <w:pPr>
        <w:pStyle w:val="101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t xml:space="preserve">谈判文件条目号(页码)</w:t>
            </w: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t xml:space="preserve">谈判文件要求</w:t>
            </w: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p>
            <w:pPr>
              <w:pStyle w:val="101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12"/>
              <w:jc w:val="center"/>
              <w:rPr>
                <w:color w:val="000000"/>
                <w:sz w:val="24"/>
                <w:highlight w:val="none"/>
              </w:rPr>
            </w:pPr>
            <w:r>
              <w:rPr>
                <w:color w:val="000000"/>
                <w:sz w:val="24"/>
                <w:highlight w:val="none"/>
              </w:rPr>
            </w:r>
            <w:r/>
          </w:p>
        </w:tc>
        <w:tc>
          <w:tcPr>
            <w:tcW w:w="1482" w:type="dxa"/>
            <w:vAlign w:val="center"/>
            <w:textDirection w:val="lrTb"/>
            <w:noWrap w:val="false"/>
          </w:tcPr>
          <w:p>
            <w:pPr>
              <w:pStyle w:val="1012"/>
              <w:jc w:val="center"/>
              <w:rPr>
                <w:color w:val="000000"/>
                <w:sz w:val="24"/>
                <w:highlight w:val="none"/>
              </w:rPr>
            </w:pPr>
            <w:r>
              <w:rPr>
                <w:color w:val="000000"/>
                <w:sz w:val="24"/>
                <w:highlight w:val="none"/>
              </w:rPr>
            </w:r>
            <w:r/>
          </w:p>
        </w:tc>
        <w:tc>
          <w:tcPr>
            <w:tcW w:w="2384" w:type="dxa"/>
            <w:vAlign w:val="center"/>
            <w:textDirection w:val="lrTb"/>
            <w:noWrap w:val="false"/>
          </w:tcPr>
          <w:p>
            <w:pPr>
              <w:pStyle w:val="1012"/>
              <w:jc w:val="center"/>
              <w:rPr>
                <w:color w:val="000000"/>
                <w:sz w:val="24"/>
                <w:highlight w:val="none"/>
              </w:rPr>
            </w:pPr>
            <w:r>
              <w:rPr>
                <w:color w:val="000000"/>
                <w:sz w:val="24"/>
                <w:highlight w:val="none"/>
              </w:rPr>
            </w:r>
            <w:r/>
          </w:p>
        </w:tc>
        <w:tc>
          <w:tcPr>
            <w:tcW w:w="2126" w:type="dxa"/>
            <w:vAlign w:val="center"/>
            <w:textDirection w:val="lrTb"/>
            <w:noWrap w:val="false"/>
          </w:tcPr>
          <w:p>
            <w:pPr>
              <w:pStyle w:val="1012"/>
              <w:jc w:val="center"/>
              <w:rPr>
                <w:color w:val="000000"/>
                <w:sz w:val="24"/>
                <w:highlight w:val="none"/>
              </w:rPr>
            </w:pPr>
            <w:r>
              <w:rPr>
                <w:color w:val="000000"/>
                <w:sz w:val="24"/>
                <w:highlight w:val="none"/>
              </w:rPr>
            </w:r>
            <w:r/>
          </w:p>
        </w:tc>
        <w:tc>
          <w:tcPr>
            <w:tcW w:w="1875" w:type="dxa"/>
            <w:vAlign w:val="center"/>
            <w:textDirection w:val="lrTb"/>
            <w:noWrap w:val="false"/>
          </w:tcPr>
          <w:p>
            <w:pPr>
              <w:pStyle w:val="1012"/>
              <w:jc w:val="center"/>
              <w:rPr>
                <w:color w:val="000000"/>
                <w:sz w:val="24"/>
                <w:highlight w:val="none"/>
              </w:rPr>
            </w:pPr>
            <w:r>
              <w:rPr>
                <w:color w:val="000000"/>
                <w:sz w:val="24"/>
                <w:highlight w:val="none"/>
              </w:rPr>
            </w:r>
            <w:r/>
          </w:p>
        </w:tc>
        <w:tc>
          <w:tcPr>
            <w:tcW w:w="1009"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对谈判文件中的所有商务、技术要求，除本表所列明的所有偏离外，均视作供应商已对之理解和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rPr>
          <w:sz w:val="24"/>
          <w:highlight w:val="none"/>
        </w:rPr>
      </w:r>
      <w:r/>
    </w:p>
    <w:p>
      <w:pPr>
        <w:pStyle w:val="1012"/>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12"/>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rPr>
          <w:color w:val="000000"/>
          <w:sz w:val="24"/>
          <w:szCs w:val="20"/>
          <w:highlight w:val="none"/>
        </w:rPr>
      </w:r>
      <w:r/>
    </w:p>
    <w:p>
      <w:pPr>
        <w:pStyle w:val="1012"/>
        <w:ind w:firstLine="480"/>
        <w:spacing w:line="560" w:lineRule="exact"/>
        <w:rPr>
          <w:color w:val="000000"/>
          <w:sz w:val="24"/>
          <w:szCs w:val="20"/>
          <w:highlight w:val="none"/>
        </w:rPr>
      </w:pPr>
      <w:r>
        <w:rPr>
          <w:rFonts w:hint="eastAsia"/>
          <w:color w:val="000000"/>
          <w:sz w:val="24"/>
          <w:szCs w:val="20"/>
          <w:highlight w:val="none"/>
        </w:rPr>
        <w:t xml:space="preserve">2）项目管理方案；</w:t>
      </w:r>
      <w:r>
        <w:rPr>
          <w:color w:val="000000"/>
          <w:sz w:val="24"/>
          <w:szCs w:val="20"/>
          <w:highlight w:val="none"/>
        </w:rPr>
      </w:r>
      <w:r/>
    </w:p>
    <w:p>
      <w:pPr>
        <w:pStyle w:val="1012"/>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rPr>
          <w:color w:val="000000"/>
          <w:sz w:val="24"/>
          <w:szCs w:val="20"/>
          <w:highlight w:val="none"/>
        </w:rPr>
      </w:r>
      <w:r/>
    </w:p>
    <w:p>
      <w:pPr>
        <w:pStyle w:val="1012"/>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rPr>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rPr>
          <w:rFonts w:hint="eastAsia"/>
          <w:color w:val="000000"/>
          <w:sz w:val="24"/>
          <w:szCs w:val="20"/>
          <w:highlight w:val="none"/>
        </w:rPr>
      </w:r>
      <w:r/>
    </w:p>
    <w:p>
      <w:pPr>
        <w:pStyle w:val="1012"/>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101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1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12"/>
        <w:spacing w:line="360" w:lineRule="auto"/>
        <w:rPr>
          <w:rFonts w:ascii="宋体" w:hAnsi="宋体"/>
          <w:sz w:val="22"/>
          <w:highlight w:val="none"/>
        </w:rPr>
      </w:pPr>
      <w:r>
        <w:rPr>
          <w:rFonts w:ascii="宋体" w:hAnsi="宋体"/>
          <w:sz w:val="22"/>
          <w:highlight w:val="none"/>
        </w:rPr>
      </w:r>
      <w:r/>
    </w:p>
    <w:p>
      <w:pPr>
        <w:pStyle w:val="101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1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1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1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12"/>
        <w:spacing w:line="360" w:lineRule="auto"/>
        <w:rPr>
          <w:rFonts w:ascii="宋体" w:hAnsi="宋体"/>
          <w:sz w:val="24"/>
          <w:highlight w:val="none"/>
        </w:rPr>
      </w:pPr>
      <w:r>
        <w:rPr>
          <w:rFonts w:ascii="宋体" w:hAnsi="宋体"/>
          <w:sz w:val="24"/>
          <w:highlight w:val="none"/>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rPr>
          <w:rFonts w:hint="eastAsia"/>
          <w:sz w:val="22"/>
          <w:highlight w:val="none"/>
        </w:rPr>
      </w:pPr>
      <w:r>
        <w:rPr>
          <w:sz w:val="22"/>
          <w:highlight w:val="none"/>
        </w:rPr>
        <w:br w:type="page" w:clear="all"/>
      </w:r>
      <w:bookmarkStart w:id="753" w:name="_Toc288738839"/>
      <w:r/>
      <w:bookmarkStart w:id="754" w:name="_Toc288738397"/>
      <w:r>
        <w:rPr>
          <w:rFonts w:hint="eastAsia"/>
          <w:sz w:val="22"/>
          <w:highlight w:val="none"/>
        </w:rPr>
      </w:r>
      <w:r/>
    </w:p>
    <w:p>
      <w:pPr>
        <w:pStyle w:val="1012"/>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1012"/>
        <w:rPr>
          <w:color w:val="000000"/>
          <w:sz w:val="24"/>
          <w:szCs w:val="20"/>
          <w:highlight w:val="none"/>
        </w:rPr>
      </w:pPr>
      <w:r>
        <w:rPr>
          <w:color w:val="000000"/>
          <w:sz w:val="24"/>
          <w:szCs w:val="20"/>
          <w:highlight w:val="none"/>
        </w:rPr>
      </w:r>
      <w:r/>
    </w:p>
    <w:p>
      <w:pPr>
        <w:pStyle w:val="101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3"/>
      <w:r/>
      <w:bookmarkEnd w:id="754"/>
      <w:r>
        <w:rPr>
          <w:rFonts w:ascii="宋体" w:hAnsi="宋体"/>
          <w:b/>
          <w:sz w:val="32"/>
          <w:szCs w:val="32"/>
          <w:highlight w:val="none"/>
        </w:rPr>
      </w:r>
      <w:r/>
    </w:p>
    <w:p>
      <w:pPr>
        <w:pStyle w:val="1012"/>
        <w:jc w:val="center"/>
        <w:spacing w:line="360" w:lineRule="auto"/>
        <w:rPr>
          <w:rFonts w:ascii="宋体" w:hAnsi="宋体"/>
          <w:b/>
          <w:sz w:val="28"/>
          <w:szCs w:val="30"/>
          <w:highlight w:val="none"/>
        </w:rPr>
      </w:pPr>
      <w:r>
        <w:rPr>
          <w:rFonts w:ascii="宋体" w:hAnsi="宋体"/>
          <w:b/>
          <w:sz w:val="28"/>
          <w:szCs w:val="30"/>
          <w:highlight w:val="none"/>
        </w:rPr>
      </w:r>
      <w:r/>
    </w:p>
    <w:p>
      <w:pPr>
        <w:pStyle w:val="101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1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12"/>
        <w:spacing w:line="360" w:lineRule="auto"/>
        <w:rPr>
          <w:rFonts w:ascii="宋体" w:hAnsi="宋体" w:cs="宋体"/>
          <w:sz w:val="24"/>
          <w:highlight w:val="none"/>
        </w:rPr>
      </w:pPr>
      <w:r>
        <w:rPr>
          <w:rFonts w:ascii="宋体" w:hAnsi="宋体" w:cs="宋体"/>
          <w:sz w:val="24"/>
          <w:highlight w:val="none"/>
        </w:rPr>
      </w:r>
      <w:r/>
    </w:p>
    <w:p>
      <w:pPr>
        <w:pStyle w:val="101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r>
      <w:r/>
    </w:p>
    <w:p>
      <w:pPr>
        <w:pStyle w:val="1012"/>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lang w:val="en-US" w:eastAsia="zh-CN"/>
        </w:rPr>
        <w:t xml:space="preserve">14</w:t>
      </w:r>
      <w:r>
        <w:rPr>
          <w:rFonts w:hint="eastAsia" w:ascii="宋体" w:hAnsi="宋体" w:cs="宋体"/>
          <w:b w:val="0"/>
          <w:bCs w:val="0"/>
          <w:color w:val="000000"/>
          <w:sz w:val="24"/>
          <w:szCs w:val="20"/>
          <w:highlight w:val="none"/>
        </w:rPr>
        <w:t xml:space="preserve">  </w:t>
      </w:r>
      <w:r>
        <w:rPr>
          <w:rFonts w:hint="eastAsia" w:ascii="宋体" w:hAnsi="宋体" w:cs="宋体"/>
          <w:b w:val="0"/>
          <w:bCs w:val="0"/>
          <w:color w:val="000000"/>
          <w:sz w:val="24"/>
          <w:szCs w:val="20"/>
          <w:highlight w:val="none"/>
          <w:lang w:val="en-US" w:eastAsia="zh-CN"/>
        </w:rPr>
        <w:t xml:space="preserve">材料品牌选用</w:t>
      </w:r>
      <w:r>
        <w:rPr>
          <w:rFonts w:hint="eastAsia" w:ascii="宋体" w:hAnsi="宋体" w:cs="宋体"/>
          <w:b w:val="0"/>
          <w:bCs w:val="0"/>
          <w:color w:val="000000"/>
          <w:sz w:val="24"/>
          <w:szCs w:val="20"/>
          <w:highlight w:val="none"/>
        </w:rPr>
        <w:t xml:space="preserve">表</w:t>
      </w:r>
      <w:r>
        <w:rPr>
          <w:rFonts w:ascii="宋体" w:hAnsi="宋体" w:cs="宋体"/>
          <w:b w:val="0"/>
          <w:bCs w:val="0"/>
          <w:color w:val="000000"/>
          <w:sz w:val="24"/>
          <w:szCs w:val="20"/>
          <w:highlight w:val="none"/>
        </w:rPr>
      </w:r>
      <w:r/>
    </w:p>
    <w:p>
      <w:pPr>
        <w:pStyle w:val="1012"/>
        <w:rPr>
          <w:rFonts w:ascii="宋体" w:hAnsi="宋体" w:cs="宋体"/>
          <w:color w:val="000000"/>
          <w:sz w:val="24"/>
          <w:szCs w:val="20"/>
          <w:highlight w:val="none"/>
        </w:rPr>
      </w:pPr>
      <w:r>
        <w:rPr>
          <w:rFonts w:ascii="宋体" w:hAnsi="宋体" w:cs="宋体"/>
          <w:color w:val="000000"/>
          <w:sz w:val="24"/>
          <w:szCs w:val="20"/>
          <w:highlight w:val="none"/>
        </w:rPr>
      </w:r>
      <w:r/>
    </w:p>
    <w:p>
      <w:pPr>
        <w:pStyle w:val="1012"/>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材料品牌选用表</w:t>
      </w:r>
      <w:r>
        <w:rPr>
          <w:rFonts w:ascii="宋体" w:hAnsi="宋体" w:cs="宋体"/>
          <w:b/>
          <w:color w:val="000000"/>
          <w:sz w:val="32"/>
          <w:szCs w:val="32"/>
          <w:highlight w:val="none"/>
        </w:rPr>
      </w:r>
      <w:r/>
    </w:p>
    <w:p>
      <w:pPr>
        <w:pStyle w:val="1012"/>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105"/>
        <w:gridCol w:w="2864"/>
        <w:gridCol w:w="1579"/>
        <w:gridCol w:w="2006"/>
      </w:tblGrid>
      <w:tr>
        <w:trPr>
          <w:trHeight w:val="454"/>
        </w:trPr>
        <w:tc>
          <w:tcPr>
            <w:tcW w:w="392"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133"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材料设备名称</w:t>
            </w:r>
            <w:r>
              <w:rPr>
                <w:rFonts w:hint="eastAsia" w:ascii="宋体" w:hAnsi="宋体" w:eastAsia="宋体" w:cs="宋体"/>
                <w:b/>
                <w:bCs/>
                <w:color w:val="000000"/>
                <w:sz w:val="24"/>
                <w:szCs w:val="24"/>
                <w:highlight w:val="none"/>
              </w:rPr>
            </w:r>
            <w:r/>
          </w:p>
        </w:tc>
        <w:tc>
          <w:tcPr>
            <w:tcW w:w="1542"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推荐</w:t>
            </w: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c>
          <w:tcPr>
            <w:tcW w:w="850" w:type="dxa"/>
            <w:vAlign w:val="center"/>
            <w:textDirection w:val="lrTb"/>
            <w:noWrap w:val="false"/>
          </w:tcPr>
          <w:p>
            <w:pPr>
              <w:pStyle w:val="1012"/>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供应商所投品牌</w:t>
            </w:r>
            <w:r>
              <w:rPr>
                <w:rFonts w:ascii="宋体" w:hAnsi="宋体" w:eastAsia="宋体" w:cs="宋体"/>
                <w:b/>
                <w:bCs/>
                <w:color w:val="000000"/>
                <w:sz w:val="24"/>
                <w:szCs w:val="24"/>
                <w:highlight w:val="none"/>
                <w:lang w:val="en-US" w:eastAsia="zh-CN"/>
              </w:rPr>
            </w:r>
            <w:r/>
          </w:p>
        </w:tc>
        <w:tc>
          <w:tcPr>
            <w:tcW w:w="1080"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454"/>
        </w:trPr>
        <w:tc>
          <w:tcPr>
            <w:tcW w:w="392"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bidi="ar-SA"/>
              </w:rPr>
            </w:r>
            <w:r/>
          </w:p>
        </w:tc>
        <w:tc>
          <w:tcPr>
            <w:tcW w:w="1133" w:type="dxa"/>
            <w:vAlign w:val="center"/>
            <w:textDirection w:val="lrTb"/>
            <w:noWrap w:val="false"/>
          </w:tcPr>
          <w:p>
            <w:pPr>
              <w:pStyle w:val="1012"/>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防水材料</w:t>
            </w:r>
            <w:r>
              <w:rPr>
                <w:rFonts w:ascii="宋体" w:hAnsi="宋体" w:eastAsia="宋体" w:cs="宋体"/>
                <w:color w:val="000000"/>
                <w:sz w:val="24"/>
                <w:szCs w:val="24"/>
                <w:highlight w:val="none"/>
                <w:lang w:val="en-US" w:eastAsia="zh-CN" w:bidi="ar-SA"/>
              </w:rPr>
            </w:r>
            <w:r/>
          </w:p>
        </w:tc>
        <w:tc>
          <w:tcPr>
            <w:tcW w:w="1542" w:type="dxa"/>
            <w:vAlign w:val="center"/>
            <w:textDirection w:val="lrTb"/>
            <w:noWrap w:val="false"/>
          </w:tcPr>
          <w:p>
            <w:pPr>
              <w:pStyle w:val="1012"/>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东方雨虹、广东科顺、北新禹王</w:t>
            </w:r>
            <w:r>
              <w:rPr>
                <w:rFonts w:hint="eastAsia" w:ascii="宋体" w:hAnsi="宋体" w:eastAsia="宋体" w:cs="宋体"/>
                <w:color w:val="000000"/>
                <w:sz w:val="24"/>
                <w:szCs w:val="24"/>
                <w:highlight w:val="none"/>
                <w:lang w:val="en-US" w:eastAsia="zh-CN" w:bidi="ar-SA"/>
              </w:rPr>
            </w:r>
            <w:r/>
          </w:p>
        </w:tc>
        <w:tc>
          <w:tcPr>
            <w:tcW w:w="850"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080" w:type="dxa"/>
            <w:vAlign w:val="center"/>
            <w:textDirection w:val="lrTb"/>
            <w:noWrap w:val="false"/>
          </w:tcPr>
          <w:p>
            <w:pPr>
              <w:pStyle w:val="101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454"/>
        </w:trPr>
        <w:tc>
          <w:tcPr>
            <w:tcW w:w="392" w:type="dxa"/>
            <w:vAlign w:val="center"/>
            <w:textDirection w:val="lrTb"/>
            <w:noWrap w:val="false"/>
          </w:tcPr>
          <w:p>
            <w:pPr>
              <w:pStyle w:val="101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3" w:type="dxa"/>
            <w:vAlign w:val="center"/>
            <w:textDirection w:val="lrTb"/>
            <w:noWrap w:val="false"/>
          </w:tcPr>
          <w:p>
            <w:pPr>
              <w:pStyle w:val="101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542" w:type="dxa"/>
            <w:vAlign w:val="center"/>
            <w:textDirection w:val="lrTb"/>
            <w:noWrap w:val="false"/>
          </w:tcPr>
          <w:p>
            <w:pPr>
              <w:pStyle w:val="101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0" w:type="dxa"/>
            <w:vAlign w:val="center"/>
            <w:textDirection w:val="lrTb"/>
            <w:noWrap w:val="false"/>
          </w:tcPr>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392"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3"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42"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2"/>
        <w:spacing w:line="360" w:lineRule="auto"/>
        <w:rPr>
          <w:rFonts w:hint="eastAsia" w:ascii="宋体" w:hAnsi="宋体" w:cs="宋体"/>
          <w:color w:val="000000"/>
          <w:sz w:val="24"/>
          <w:szCs w:val="20"/>
          <w:highlight w:val="none"/>
          <w:lang w:val="en-US" w:eastAsia="zh-CN"/>
        </w:rPr>
        <w:outlineLvl w:val="2"/>
      </w:pPr>
      <w:r>
        <w:rPr>
          <w:rFonts w:hint="eastAsia" w:ascii="宋体" w:hAnsi="宋体" w:cs="宋体"/>
          <w:color w:val="000000"/>
          <w:sz w:val="24"/>
          <w:szCs w:val="20"/>
          <w:highlight w:val="none"/>
          <w:lang w:val="en-US" w:eastAsia="zh-CN"/>
        </w:rPr>
      </w:r>
      <w:r/>
    </w:p>
    <w:p>
      <w:pPr>
        <w:pStyle w:val="101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101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012"/>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012"/>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012"/>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012"/>
        <w:spacing w:line="360" w:lineRule="auto"/>
        <w:rPr>
          <w:sz w:val="24"/>
          <w:highlight w:val="none"/>
        </w:rPr>
        <w:outlineLvl w:val="2"/>
      </w:pPr>
      <w:r>
        <w:rPr>
          <w:rFonts w:hint="eastAsia"/>
          <w:color w:val="000000"/>
          <w:sz w:val="24"/>
          <w:szCs w:val="20"/>
          <w:highlight w:val="none"/>
          <w:lang w:val="en-US" w:eastAsia="zh-CN"/>
        </w:rPr>
        <w:t xml:space="preserve">15</w:t>
      </w:r>
      <w:r>
        <w:rPr>
          <w:color w:val="000000"/>
          <w:sz w:val="24"/>
          <w:szCs w:val="20"/>
          <w:highlight w:val="none"/>
        </w:rPr>
        <w:t xml:space="preserve">  谈判文件要求提供或供应商认为应附的其他材料</w:t>
      </w:r>
      <w:r>
        <w:rPr>
          <w:sz w:val="24"/>
          <w:highlight w:val="none"/>
        </w:rPr>
      </w:r>
      <w:r/>
    </w:p>
    <w:sectPr>
      <w:headerReference w:type="even" r:id="rId12"/>
      <w:headerReference w:type="first" r:id="rId13"/>
      <w:footerReference w:type="even" r:id="rId17"/>
      <w:footerReference w:type="first" r:id="rId18"/>
      <w:footnotePr/>
      <w:endnotePr/>
      <w:type w:val="nextPage"/>
      <w:pgSz w:w="11907" w:h="16840" w:orient="portrait"/>
      <w:pgMar w:top="1417" w:right="1417" w:bottom="1417" w:left="141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6"/>
      </w:rPr>
      <w:framePr w:wrap="around" w:vAnchor="text" w:hAnchor="margin" w:xAlign="right" w:y="1"/>
    </w:pPr>
    <w:r>
      <w:rPr>
        <w:rStyle w:val="1086"/>
      </w:rPr>
    </w:r>
    <w:r/>
  </w:p>
  <w:p>
    <w:pPr>
      <w:pStyle w:val="1061"/>
      <w:ind w:right="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1"/>
      <w:ind w:right="360"/>
      <w:tabs>
        <w:tab w:val="center" w:pos="4153" w:leader="none"/>
        <w:tab w:val="right" w:pos="8306" w:leader="none"/>
      </w:tabs>
    </w:pPr>
    <w:r/>
    <w:r/>
  </w:p>
  <w:p>
    <w:pPr>
      <w:pStyle w:val="10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222250</wp:posOffset>
              </wp:positionH>
              <wp:positionV relativeFrom="margin">
                <wp:posOffset>2472055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p>
  <w:p>
    <w:pPr>
      <w:pStyle w:val="1063"/>
      <w:jc w:val="right"/>
      <w:tabs>
        <w:tab w:val="center" w:pos="4153" w:leader="none"/>
        <w:tab w:val="right" w:pos="8306" w:leader="none"/>
      </w:tabs>
      <w:pBdr>
        <w:bottom w:val="none" w:color="000000"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222250</wp:posOffset>
              </wp:positionH>
              <wp:positionV relativeFrom="margin">
                <wp:posOffset>2472055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505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w:t>
    </w:r>
    <w:r>
      <w:rPr>
        <w:rFonts w:hint="eastAsia"/>
        <w:lang w:val="en-US" w:eastAsia="zh-CN"/>
      </w:rPr>
      <w:t xml:space="preserve">  </w:t>
    </w:r>
    <w:r>
      <w:rPr>
        <w:rFonts w:hint="eastAsia"/>
      </w:rPr>
      <w:t xml:space="preserve">                        常州润邦招标代理有限公司</w:t>
    </w:r>
    <w:r/>
  </w:p>
  <w:p>
    <w:pPr>
      <w:pStyle w:val="1063"/>
      <w:jc w:val="right"/>
      <w:tabs>
        <w:tab w:val="center" w:pos="4153" w:leader="none"/>
        <w:tab w:val="right" w:pos="8306" w:leader="none"/>
      </w:tabs>
      <w:pBdr>
        <w:bottom w:val="none" w:color="000000" w:sz="0" w:space="1"/>
      </w:pBd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p>
    <w:pPr>
      <w:pStyle w:val="101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2"/>
        <w:ind w:left="4941" w:hanging="1140"/>
        <w:tabs>
          <w:tab w:val="num" w:pos="4941" w:leader="none"/>
        </w:tabs>
      </w:pPr>
      <w:rPr>
        <w:rFonts w:hint="eastAsia"/>
      </w:rPr>
    </w:lvl>
    <w:lvl w:ilvl="1">
      <w:start w:val="1"/>
      <w:numFmt w:val="lowerLetter"/>
      <w:isLgl w:val="false"/>
      <w:suff w:val="tab"/>
      <w:lvlText w:val="%2)"/>
      <w:lvlJc w:val="left"/>
      <w:pPr>
        <w:pStyle w:val="1012"/>
        <w:ind w:left="4641" w:hanging="420"/>
        <w:tabs>
          <w:tab w:val="num" w:pos="4641" w:leader="none"/>
        </w:tabs>
      </w:pPr>
    </w:lvl>
    <w:lvl w:ilvl="2">
      <w:start w:val="1"/>
      <w:numFmt w:val="lowerRoman"/>
      <w:isLgl w:val="false"/>
      <w:suff w:val="tab"/>
      <w:lvlText w:val="%3."/>
      <w:lvlJc w:val="right"/>
      <w:pPr>
        <w:pStyle w:val="1012"/>
        <w:ind w:left="5061" w:hanging="420"/>
        <w:tabs>
          <w:tab w:val="num" w:pos="5061" w:leader="none"/>
        </w:tabs>
      </w:pPr>
    </w:lvl>
    <w:lvl w:ilvl="3">
      <w:start w:val="1"/>
      <w:numFmt w:val="decimal"/>
      <w:isLgl w:val="false"/>
      <w:suff w:val="tab"/>
      <w:lvlText w:val="%4."/>
      <w:lvlJc w:val="left"/>
      <w:pPr>
        <w:pStyle w:val="1012"/>
        <w:ind w:left="5481" w:hanging="420"/>
        <w:tabs>
          <w:tab w:val="num" w:pos="5481" w:leader="none"/>
        </w:tabs>
      </w:pPr>
    </w:lvl>
    <w:lvl w:ilvl="4">
      <w:start w:val="1"/>
      <w:numFmt w:val="lowerLetter"/>
      <w:isLgl w:val="false"/>
      <w:suff w:val="tab"/>
      <w:lvlText w:val="%5)"/>
      <w:lvlJc w:val="left"/>
      <w:pPr>
        <w:pStyle w:val="1012"/>
        <w:ind w:left="5901" w:hanging="420"/>
        <w:tabs>
          <w:tab w:val="num" w:pos="5901" w:leader="none"/>
        </w:tabs>
      </w:pPr>
    </w:lvl>
    <w:lvl w:ilvl="5">
      <w:start w:val="1"/>
      <w:numFmt w:val="lowerRoman"/>
      <w:isLgl w:val="false"/>
      <w:suff w:val="tab"/>
      <w:lvlText w:val="%6."/>
      <w:lvlJc w:val="right"/>
      <w:pPr>
        <w:pStyle w:val="1012"/>
        <w:ind w:left="6321" w:hanging="420"/>
        <w:tabs>
          <w:tab w:val="num" w:pos="6321" w:leader="none"/>
        </w:tabs>
      </w:pPr>
    </w:lvl>
    <w:lvl w:ilvl="6">
      <w:start w:val="1"/>
      <w:numFmt w:val="decimal"/>
      <w:isLgl w:val="false"/>
      <w:suff w:val="tab"/>
      <w:lvlText w:val="%7."/>
      <w:lvlJc w:val="left"/>
      <w:pPr>
        <w:pStyle w:val="1012"/>
        <w:ind w:left="6741" w:hanging="420"/>
        <w:tabs>
          <w:tab w:val="num" w:pos="6741" w:leader="none"/>
        </w:tabs>
      </w:pPr>
    </w:lvl>
    <w:lvl w:ilvl="7">
      <w:start w:val="1"/>
      <w:numFmt w:val="lowerLetter"/>
      <w:isLgl w:val="false"/>
      <w:suff w:val="tab"/>
      <w:lvlText w:val="%8)"/>
      <w:lvlJc w:val="left"/>
      <w:pPr>
        <w:pStyle w:val="1012"/>
        <w:ind w:left="7161" w:hanging="420"/>
        <w:tabs>
          <w:tab w:val="num" w:pos="7161" w:leader="none"/>
        </w:tabs>
      </w:pPr>
    </w:lvl>
    <w:lvl w:ilvl="8">
      <w:start w:val="1"/>
      <w:numFmt w:val="lowerRoman"/>
      <w:isLgl w:val="false"/>
      <w:suff w:val="tab"/>
      <w:lvlText w:val="%9."/>
      <w:lvlJc w:val="right"/>
      <w:pPr>
        <w:pStyle w:val="1012"/>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2"/>
        <w:ind w:left="420" w:hanging="420"/>
      </w:pPr>
    </w:lvl>
    <w:lvl w:ilvl="1">
      <w:start w:val="1"/>
      <w:numFmt w:val="decimal"/>
      <w:isLgl w:val="false"/>
      <w:suff w:val="tab"/>
      <w:lvlText w:val="（%2）"/>
      <w:lvlJc w:val="left"/>
      <w:pPr>
        <w:pStyle w:val="1012"/>
        <w:ind w:left="1140" w:hanging="720"/>
        <w:tabs>
          <w:tab w:val="num" w:pos="1140" w:leader="none"/>
        </w:tabs>
      </w:pPr>
      <w:rPr>
        <w:rFonts w:hint="eastAsia"/>
      </w:r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2">
    <w:multiLevelType w:val="hybridMultilevel"/>
    <w:lvl w:ilvl="0">
      <w:start w:val="1"/>
      <w:numFmt w:val="lowerLetter"/>
      <w:pStyle w:val="1196"/>
      <w:isLgl w:val="false"/>
      <w:suff w:val="tab"/>
      <w:lvlText w:val="%1)"/>
      <w:lvlJc w:val="left"/>
      <w:pPr>
        <w:pStyle w:val="1012"/>
        <w:ind w:left="902" w:hanging="420"/>
      </w:pPr>
      <w:rPr>
        <w:color w:val="000000"/>
      </w:rPr>
    </w:lvl>
    <w:lvl w:ilvl="1">
      <w:start w:val="1"/>
      <w:numFmt w:val="lowerLetter"/>
      <w:isLgl w:val="false"/>
      <w:suff w:val="tab"/>
      <w:lvlText w:val="%2)"/>
      <w:lvlJc w:val="left"/>
      <w:pPr>
        <w:pStyle w:val="1012"/>
        <w:ind w:left="1322" w:hanging="420"/>
      </w:pPr>
    </w:lvl>
    <w:lvl w:ilvl="2">
      <w:start w:val="1"/>
      <w:numFmt w:val="lowerRoman"/>
      <w:isLgl w:val="false"/>
      <w:suff w:val="tab"/>
      <w:lvlText w:val="%3."/>
      <w:lvlJc w:val="right"/>
      <w:pPr>
        <w:pStyle w:val="1012"/>
        <w:ind w:left="1742" w:hanging="420"/>
      </w:pPr>
    </w:lvl>
    <w:lvl w:ilvl="3">
      <w:start w:val="1"/>
      <w:numFmt w:val="decimal"/>
      <w:isLgl w:val="false"/>
      <w:suff w:val="tab"/>
      <w:lvlText w:val="%4."/>
      <w:lvlJc w:val="left"/>
      <w:pPr>
        <w:pStyle w:val="1012"/>
        <w:ind w:left="2162" w:hanging="420"/>
      </w:pPr>
    </w:lvl>
    <w:lvl w:ilvl="4">
      <w:start w:val="1"/>
      <w:numFmt w:val="lowerLetter"/>
      <w:isLgl w:val="false"/>
      <w:suff w:val="tab"/>
      <w:lvlText w:val="%5)"/>
      <w:lvlJc w:val="left"/>
      <w:pPr>
        <w:pStyle w:val="1012"/>
        <w:ind w:left="2582" w:hanging="420"/>
      </w:pPr>
    </w:lvl>
    <w:lvl w:ilvl="5">
      <w:start w:val="1"/>
      <w:numFmt w:val="lowerRoman"/>
      <w:isLgl w:val="false"/>
      <w:suff w:val="tab"/>
      <w:lvlText w:val="%6."/>
      <w:lvlJc w:val="right"/>
      <w:pPr>
        <w:pStyle w:val="1012"/>
        <w:ind w:left="3002" w:hanging="420"/>
      </w:pPr>
    </w:lvl>
    <w:lvl w:ilvl="6">
      <w:start w:val="1"/>
      <w:numFmt w:val="decimal"/>
      <w:isLgl w:val="false"/>
      <w:suff w:val="tab"/>
      <w:lvlText w:val="%7."/>
      <w:lvlJc w:val="left"/>
      <w:pPr>
        <w:pStyle w:val="1012"/>
        <w:ind w:left="3422" w:hanging="420"/>
      </w:pPr>
    </w:lvl>
    <w:lvl w:ilvl="7">
      <w:start w:val="1"/>
      <w:numFmt w:val="lowerLetter"/>
      <w:isLgl w:val="false"/>
      <w:suff w:val="tab"/>
      <w:lvlText w:val="%8)"/>
      <w:lvlJc w:val="left"/>
      <w:pPr>
        <w:pStyle w:val="1012"/>
        <w:ind w:left="3842" w:hanging="420"/>
      </w:pPr>
    </w:lvl>
    <w:lvl w:ilvl="8">
      <w:start w:val="1"/>
      <w:numFmt w:val="lowerRoman"/>
      <w:isLgl w:val="false"/>
      <w:suff w:val="tab"/>
      <w:lvlText w:val="%9."/>
      <w:lvlJc w:val="right"/>
      <w:pPr>
        <w:pStyle w:val="1012"/>
        <w:ind w:left="4262" w:hanging="420"/>
      </w:pPr>
    </w:lvl>
  </w:abstractNum>
  <w:abstractNum w:abstractNumId="3">
    <w:multiLevelType w:val="hybridMultilevel"/>
    <w:lvl w:ilvl="0">
      <w:start w:val="1"/>
      <w:numFmt w:val="decimal"/>
      <w:pStyle w:val="1167"/>
      <w:isLgl w:val="false"/>
      <w:suff w:val="tab"/>
      <w:lvlText w:val="%1."/>
      <w:lvlJc w:val="left"/>
      <w:pPr>
        <w:pStyle w:val="10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2"/>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2"/>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2"/>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2"/>
        <w:ind w:left="768" w:hanging="360"/>
        <w:tabs>
          <w:tab w:val="num" w:pos="768" w:leader="none"/>
        </w:tabs>
      </w:pPr>
      <w:rPr>
        <w:rFonts w:hint="eastAsia"/>
      </w:rPr>
    </w:lvl>
    <w:lvl w:ilvl="1">
      <w:start w:val="1"/>
      <w:numFmt w:val="decimal"/>
      <w:pStyle w:val="1154"/>
      <w:isLgl w:val="false"/>
      <w:suff w:val="tab"/>
      <w:lvlText w:val="%2、"/>
      <w:lvlJc w:val="left"/>
      <w:pPr>
        <w:pStyle w:val="1012"/>
        <w:ind w:left="1188" w:hanging="360"/>
        <w:tabs>
          <w:tab w:val="num" w:pos="1188" w:leader="none"/>
        </w:tabs>
      </w:pPr>
      <w:rPr>
        <w:rFonts w:hint="eastAsia"/>
      </w:rPr>
    </w:lvl>
    <w:lvl w:ilvl="2">
      <w:start w:val="1"/>
      <w:numFmt w:val="decimal"/>
      <w:isLgl w:val="false"/>
      <w:suff w:val="tab"/>
      <w:lvlText w:val="（%3）"/>
      <w:lvlJc w:val="left"/>
      <w:pPr>
        <w:pStyle w:val="1012"/>
        <w:ind w:left="1968" w:hanging="720"/>
        <w:tabs>
          <w:tab w:val="num" w:pos="1968" w:leader="none"/>
        </w:tabs>
      </w:pPr>
      <w:rPr>
        <w:rFonts w:hint="eastAsia"/>
        <w:u w:val="none"/>
      </w:rPr>
    </w:lvl>
    <w:lvl w:ilvl="3">
      <w:start w:val="1"/>
      <w:numFmt w:val="decimal"/>
      <w:isLgl w:val="false"/>
      <w:suff w:val="tab"/>
      <w:lvlText w:val="%4."/>
      <w:lvlJc w:val="left"/>
      <w:pPr>
        <w:pStyle w:val="1012"/>
        <w:ind w:left="2088" w:hanging="420"/>
        <w:tabs>
          <w:tab w:val="num" w:pos="2088" w:leader="none"/>
        </w:tabs>
      </w:pPr>
    </w:lvl>
    <w:lvl w:ilvl="4">
      <w:start w:val="1"/>
      <w:numFmt w:val="lowerLetter"/>
      <w:isLgl w:val="false"/>
      <w:suff w:val="tab"/>
      <w:lvlText w:val="%5)"/>
      <w:lvlJc w:val="left"/>
      <w:pPr>
        <w:pStyle w:val="1012"/>
        <w:ind w:left="2508" w:hanging="420"/>
        <w:tabs>
          <w:tab w:val="num" w:pos="2508" w:leader="none"/>
        </w:tabs>
      </w:pPr>
    </w:lvl>
    <w:lvl w:ilvl="5">
      <w:start w:val="1"/>
      <w:numFmt w:val="lowerRoman"/>
      <w:isLgl w:val="false"/>
      <w:suff w:val="tab"/>
      <w:lvlText w:val="%6."/>
      <w:lvlJc w:val="right"/>
      <w:pPr>
        <w:pStyle w:val="1012"/>
        <w:ind w:left="2928" w:hanging="420"/>
        <w:tabs>
          <w:tab w:val="num" w:pos="2928" w:leader="none"/>
        </w:tabs>
      </w:pPr>
    </w:lvl>
    <w:lvl w:ilvl="6">
      <w:start w:val="1"/>
      <w:numFmt w:val="decimal"/>
      <w:isLgl w:val="false"/>
      <w:suff w:val="tab"/>
      <w:lvlText w:val="%7."/>
      <w:lvlJc w:val="left"/>
      <w:pPr>
        <w:pStyle w:val="1012"/>
        <w:ind w:left="3348" w:hanging="420"/>
        <w:tabs>
          <w:tab w:val="num" w:pos="3348" w:leader="none"/>
        </w:tabs>
      </w:pPr>
    </w:lvl>
    <w:lvl w:ilvl="7">
      <w:start w:val="1"/>
      <w:numFmt w:val="lowerLetter"/>
      <w:isLgl w:val="false"/>
      <w:suff w:val="tab"/>
      <w:lvlText w:val="%8)"/>
      <w:lvlJc w:val="left"/>
      <w:pPr>
        <w:pStyle w:val="1012"/>
        <w:ind w:left="3768" w:hanging="420"/>
        <w:tabs>
          <w:tab w:val="num" w:pos="3768" w:leader="none"/>
        </w:tabs>
      </w:pPr>
    </w:lvl>
    <w:lvl w:ilvl="8">
      <w:start w:val="1"/>
      <w:numFmt w:val="lowerRoman"/>
      <w:isLgl w:val="false"/>
      <w:suff w:val="tab"/>
      <w:lvlText w:val="%9."/>
      <w:lvlJc w:val="right"/>
      <w:pPr>
        <w:pStyle w:val="101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2"/>
        <w:ind w:left="420" w:hanging="420"/>
      </w:p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8">
    <w:multiLevelType w:val="hybridMultilevel"/>
    <w:lvl w:ilvl="0">
      <w:start w:val="1"/>
      <w:numFmt w:val="decimal"/>
      <w:pStyle w:val="1221"/>
      <w:isLgl w:val="false"/>
      <w:suff w:val="tab"/>
      <w:lvlText w:val="%1"/>
      <w:lvlJc w:val="left"/>
      <w:pPr>
        <w:pStyle w:val="1012"/>
        <w:ind w:left="680" w:hanging="680"/>
      </w:pPr>
      <w:rPr>
        <w:rFonts w:hint="eastAsia" w:ascii="宋体" w:hAnsi="宋体" w:eastAsia="宋体"/>
      </w:rPr>
    </w:lvl>
    <w:lvl w:ilvl="1">
      <w:start w:val="1"/>
      <w:numFmt w:val="decimal"/>
      <w:pStyle w:val="1222"/>
      <w:isLgl w:val="false"/>
      <w:suff w:val="tab"/>
      <w:lvlText w:val="%1.%2"/>
      <w:lvlJc w:val="left"/>
      <w:pPr>
        <w:pStyle w:val="1012"/>
        <w:ind w:left="851" w:hanging="851"/>
      </w:pPr>
      <w:rPr>
        <w:rFonts w:hint="eastAsia" w:ascii="宋体" w:hAnsi="宋体" w:eastAsia="宋体"/>
        <w:color w:val="000000"/>
      </w:rPr>
    </w:lvl>
    <w:lvl w:ilvl="2">
      <w:start w:val="1"/>
      <w:numFmt w:val="decimal"/>
      <w:pStyle w:val="1223"/>
      <w:isLgl w:val="false"/>
      <w:suff w:val="tab"/>
      <w:lvlText w:val="%1.%2.%3"/>
      <w:lvlJc w:val="left"/>
      <w:pPr>
        <w:pStyle w:val="1012"/>
        <w:ind w:left="851" w:hanging="851"/>
      </w:pPr>
      <w:rPr>
        <w:rFonts w:hint="eastAsia"/>
      </w:rPr>
    </w:lvl>
    <w:lvl w:ilvl="3">
      <w:start w:val="1"/>
      <w:numFmt w:val="decimal"/>
      <w:isLgl w:val="false"/>
      <w:suff w:val="tab"/>
      <w:lvlText w:val="%1.%2.%3.%4"/>
      <w:lvlJc w:val="left"/>
      <w:pPr>
        <w:pStyle w:val="1012"/>
        <w:ind w:left="680" w:hanging="680"/>
      </w:pPr>
      <w:rPr>
        <w:rFonts w:hint="eastAsia"/>
      </w:rPr>
    </w:lvl>
    <w:lvl w:ilvl="4">
      <w:start w:val="1"/>
      <w:numFmt w:val="decimal"/>
      <w:isLgl w:val="false"/>
      <w:suff w:val="tab"/>
      <w:lvlText w:val="%1.%2.%3.%4.%5"/>
      <w:lvlJc w:val="left"/>
      <w:pPr>
        <w:pStyle w:val="1012"/>
        <w:ind w:left="680" w:hanging="680"/>
      </w:pPr>
      <w:rPr>
        <w:rFonts w:hint="eastAsia"/>
      </w:rPr>
    </w:lvl>
    <w:lvl w:ilvl="5">
      <w:start w:val="1"/>
      <w:numFmt w:val="decimal"/>
      <w:isLgl w:val="false"/>
      <w:suff w:val="tab"/>
      <w:lvlText w:val="%1.%2.%3.%4.%5.%6"/>
      <w:lvlJc w:val="left"/>
      <w:pPr>
        <w:pStyle w:val="1012"/>
        <w:ind w:left="680" w:hanging="680"/>
      </w:pPr>
      <w:rPr>
        <w:rFonts w:hint="eastAsia"/>
      </w:rPr>
    </w:lvl>
    <w:lvl w:ilvl="6">
      <w:start w:val="1"/>
      <w:numFmt w:val="decimal"/>
      <w:isLgl w:val="false"/>
      <w:suff w:val="tab"/>
      <w:lvlText w:val="%1.%2.%3.%4.%5.%6.%7"/>
      <w:lvlJc w:val="left"/>
      <w:pPr>
        <w:pStyle w:val="1012"/>
        <w:ind w:left="680" w:hanging="680"/>
      </w:pPr>
      <w:rPr>
        <w:rFonts w:hint="eastAsia"/>
      </w:rPr>
    </w:lvl>
    <w:lvl w:ilvl="7">
      <w:start w:val="1"/>
      <w:numFmt w:val="decimal"/>
      <w:isLgl w:val="false"/>
      <w:suff w:val="tab"/>
      <w:lvlText w:val="%1.%2.%3.%4.%5.%6.%7.%8"/>
      <w:lvlJc w:val="left"/>
      <w:pPr>
        <w:pStyle w:val="1012"/>
        <w:ind w:left="680" w:hanging="680"/>
      </w:pPr>
      <w:rPr>
        <w:rFonts w:hint="eastAsia"/>
      </w:rPr>
    </w:lvl>
    <w:lvl w:ilvl="8">
      <w:start w:val="1"/>
      <w:numFmt w:val="decimal"/>
      <w:isLgl w:val="false"/>
      <w:suff w:val="tab"/>
      <w:lvlText w:val="%1.%2.%3.%4.%5.%6.%7.%8.%9"/>
      <w:lvlJc w:val="left"/>
      <w:pPr>
        <w:pStyle w:val="1012"/>
        <w:ind w:left="680" w:hanging="680"/>
      </w:pPr>
      <w:rPr>
        <w:rFonts w:hint="eastAsia"/>
      </w:rPr>
    </w:lvl>
  </w:abstractNum>
  <w:abstractNum w:abstractNumId="9">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3.%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4"/>
      <w:lang w:val="en-US" w:eastAsia="zh-CN" w:bidi="ar-SA"/>
    </w:rPr>
  </w:style>
  <w:style w:type="paragraph" w:styleId="1013">
    <w:name w:val="标题 1"/>
    <w:basedOn w:val="1012"/>
    <w:next w:val="1012"/>
    <w:link w:val="1024"/>
    <w:qFormat/>
    <w:pPr>
      <w:jc w:val="center"/>
      <w:keepLines/>
      <w:keepNext/>
      <w:spacing w:before="240" w:after="120" w:line="300" w:lineRule="auto"/>
      <w:outlineLvl w:val="0"/>
    </w:pPr>
    <w:rPr>
      <w:rFonts w:ascii="宋体"/>
      <w:b/>
      <w:sz w:val="32"/>
      <w:szCs w:val="20"/>
    </w:rPr>
  </w:style>
  <w:style w:type="paragraph" w:styleId="1014">
    <w:name w:val="标题 2"/>
    <w:basedOn w:val="1012"/>
    <w:next w:val="1026"/>
    <w:link w:val="1025"/>
    <w:qFormat/>
    <w:pPr>
      <w:jc w:val="center"/>
      <w:keepLines/>
      <w:keepNext/>
      <w:spacing w:before="120" w:line="300" w:lineRule="auto"/>
      <w:outlineLvl w:val="1"/>
    </w:pPr>
    <w:rPr>
      <w:rFonts w:ascii="Arial" w:hAnsi="Arial" w:eastAsia="黑体"/>
      <w:b/>
      <w:sz w:val="30"/>
      <w:szCs w:val="20"/>
    </w:rPr>
  </w:style>
  <w:style w:type="paragraph" w:styleId="1015">
    <w:name w:val="标题 3"/>
    <w:basedOn w:val="1012"/>
    <w:next w:val="1026"/>
    <w:link w:val="1028"/>
    <w:qFormat/>
    <w:pPr>
      <w:jc w:val="left"/>
      <w:keepLines/>
      <w:keepNext/>
      <w:spacing w:before="360" w:after="120"/>
      <w:outlineLvl w:val="2"/>
    </w:pPr>
    <w:rPr>
      <w:rFonts w:ascii="宋体"/>
      <w:b/>
      <w:sz w:val="24"/>
      <w:szCs w:val="20"/>
      <w:u w:val="single"/>
    </w:rPr>
  </w:style>
  <w:style w:type="paragraph" w:styleId="1016">
    <w:name w:val="标题 4"/>
    <w:basedOn w:val="1012"/>
    <w:next w:val="1012"/>
    <w:link w:val="1029"/>
    <w:qFormat/>
    <w:pPr>
      <w:keepLines/>
      <w:keepNext/>
      <w:spacing w:before="280" w:after="290" w:line="376" w:lineRule="atLeast"/>
      <w:outlineLvl w:val="3"/>
    </w:pPr>
    <w:rPr>
      <w:rFonts w:ascii="Arial" w:hAnsi="Arial" w:eastAsia="黑体"/>
      <w:b/>
      <w:sz w:val="28"/>
      <w:szCs w:val="20"/>
    </w:rPr>
  </w:style>
  <w:style w:type="paragraph" w:styleId="1017">
    <w:name w:val="标题 5"/>
    <w:basedOn w:val="1012"/>
    <w:next w:val="1012"/>
    <w:link w:val="1030"/>
    <w:qFormat/>
    <w:pPr>
      <w:keepLines/>
      <w:keepNext/>
      <w:spacing w:before="280" w:after="290" w:line="376" w:lineRule="atLeast"/>
      <w:outlineLvl w:val="4"/>
    </w:pPr>
    <w:rPr>
      <w:b/>
      <w:sz w:val="28"/>
      <w:szCs w:val="20"/>
    </w:rPr>
  </w:style>
  <w:style w:type="paragraph" w:styleId="1018">
    <w:name w:val="标题 6"/>
    <w:basedOn w:val="1012"/>
    <w:next w:val="1012"/>
    <w:link w:val="1031"/>
    <w:qFormat/>
    <w:pPr>
      <w:keepLines/>
      <w:keepNext/>
      <w:spacing w:before="240" w:after="64" w:line="320" w:lineRule="atLeast"/>
      <w:outlineLvl w:val="5"/>
    </w:pPr>
    <w:rPr>
      <w:rFonts w:ascii="Arial" w:hAnsi="Arial" w:eastAsia="黑体"/>
      <w:b/>
      <w:sz w:val="24"/>
      <w:szCs w:val="20"/>
    </w:rPr>
  </w:style>
  <w:style w:type="paragraph" w:styleId="1019">
    <w:name w:val="标题 7"/>
    <w:basedOn w:val="1012"/>
    <w:next w:val="1012"/>
    <w:link w:val="1032"/>
    <w:qFormat/>
    <w:pPr>
      <w:keepLines/>
      <w:keepNext/>
      <w:spacing w:before="240" w:after="64" w:line="320" w:lineRule="atLeast"/>
      <w:outlineLvl w:val="6"/>
    </w:pPr>
    <w:rPr>
      <w:b/>
      <w:sz w:val="24"/>
      <w:szCs w:val="20"/>
    </w:rPr>
  </w:style>
  <w:style w:type="paragraph" w:styleId="1020">
    <w:name w:val="标题 8"/>
    <w:basedOn w:val="1012"/>
    <w:next w:val="1012"/>
    <w:link w:val="1033"/>
    <w:qFormat/>
    <w:pPr>
      <w:keepLines/>
      <w:keepNext/>
      <w:spacing w:before="240" w:after="64" w:line="320" w:lineRule="atLeast"/>
      <w:outlineLvl w:val="7"/>
    </w:pPr>
    <w:rPr>
      <w:rFonts w:ascii="Arial" w:hAnsi="Arial" w:eastAsia="黑体"/>
      <w:sz w:val="24"/>
      <w:szCs w:val="20"/>
    </w:rPr>
  </w:style>
  <w:style w:type="paragraph" w:styleId="1021">
    <w:name w:val="标题 9"/>
    <w:basedOn w:val="1012"/>
    <w:next w:val="1012"/>
    <w:link w:val="1034"/>
    <w:qFormat/>
    <w:pPr>
      <w:keepLines/>
      <w:keepNext/>
      <w:spacing w:before="240" w:after="64" w:line="320" w:lineRule="atLeast"/>
      <w:outlineLvl w:val="8"/>
    </w:pPr>
    <w:rPr>
      <w:rFonts w:ascii="Arial" w:hAnsi="Arial" w:eastAsia="黑体"/>
      <w:szCs w:val="20"/>
    </w:rPr>
  </w:style>
  <w:style w:type="character" w:styleId="1022">
    <w:name w:val="默认段落字体"/>
    <w:next w:val="1022"/>
    <w:link w:val="1012"/>
    <w:uiPriority w:val="1"/>
    <w:unhideWhenUsed/>
    <w:qFormat/>
  </w:style>
  <w:style w:type="table" w:styleId="1023">
    <w:name w:val="普通表格"/>
    <w:next w:val="1023"/>
    <w:link w:val="1012"/>
    <w:uiPriority w:val="99"/>
    <w:unhideWhenUsed/>
    <w:qFormat/>
    <w:tblPr/>
  </w:style>
  <w:style w:type="character" w:styleId="1024">
    <w:name w:val="标题 1 Char"/>
    <w:basedOn w:val="1022"/>
    <w:next w:val="1024"/>
    <w:link w:val="1013"/>
    <w:qFormat/>
    <w:rPr>
      <w:rFonts w:ascii="宋体"/>
      <w:b/>
      <w:sz w:val="32"/>
    </w:rPr>
  </w:style>
  <w:style w:type="character" w:styleId="1025">
    <w:name w:val="标题 2 Char1"/>
    <w:next w:val="1025"/>
    <w:link w:val="1014"/>
    <w:qFormat/>
    <w:rPr>
      <w:rFonts w:ascii="Arial" w:hAnsi="Arial" w:eastAsia="黑体"/>
      <w:b/>
      <w:sz w:val="30"/>
      <w:lang w:val="en-US" w:eastAsia="zh-CN" w:bidi="ar-SA"/>
    </w:rPr>
  </w:style>
  <w:style w:type="paragraph" w:styleId="1026">
    <w:name w:val="正文缩进"/>
    <w:basedOn w:val="1012"/>
    <w:next w:val="1012"/>
    <w:link w:val="1027"/>
    <w:qFormat/>
    <w:pPr>
      <w:ind w:firstLine="420"/>
      <w:jc w:val="left"/>
    </w:pPr>
    <w:rPr>
      <w:rFonts w:ascii="宋体"/>
      <w:sz w:val="24"/>
    </w:rPr>
  </w:style>
  <w:style w:type="character" w:styleId="1027">
    <w:name w:val="正文缩进 Char1"/>
    <w:next w:val="1027"/>
    <w:link w:val="1026"/>
    <w:qFormat/>
    <w:rPr>
      <w:rFonts w:ascii="宋体" w:eastAsia="宋体"/>
      <w:sz w:val="24"/>
      <w:szCs w:val="24"/>
      <w:lang w:val="en-US" w:eastAsia="zh-CN" w:bidi="ar-SA"/>
    </w:rPr>
  </w:style>
  <w:style w:type="character" w:styleId="1028">
    <w:name w:val="标题 3 Char1"/>
    <w:next w:val="1028"/>
    <w:link w:val="1015"/>
    <w:qFormat/>
    <w:rPr>
      <w:rFonts w:ascii="宋体" w:eastAsia="宋体"/>
      <w:b/>
      <w:sz w:val="24"/>
      <w:u w:val="single"/>
      <w:lang w:val="en-US" w:eastAsia="zh-CN" w:bidi="ar-SA"/>
    </w:rPr>
  </w:style>
  <w:style w:type="character" w:styleId="1029">
    <w:name w:val="标题 4 Char"/>
    <w:basedOn w:val="1022"/>
    <w:next w:val="1029"/>
    <w:link w:val="1016"/>
    <w:qFormat/>
    <w:rPr>
      <w:rFonts w:ascii="Arial" w:hAnsi="Arial" w:eastAsia="黑体"/>
      <w:b/>
      <w:sz w:val="28"/>
    </w:rPr>
  </w:style>
  <w:style w:type="character" w:styleId="1030">
    <w:name w:val="标题 5 Char"/>
    <w:basedOn w:val="1022"/>
    <w:next w:val="1030"/>
    <w:link w:val="1017"/>
    <w:qFormat/>
    <w:rPr>
      <w:b/>
      <w:sz w:val="28"/>
    </w:rPr>
  </w:style>
  <w:style w:type="character" w:styleId="1031">
    <w:name w:val="标题 6 Char"/>
    <w:basedOn w:val="1022"/>
    <w:next w:val="1031"/>
    <w:link w:val="1018"/>
    <w:qFormat/>
    <w:rPr>
      <w:rFonts w:ascii="Arial" w:hAnsi="Arial" w:eastAsia="黑体"/>
      <w:b/>
      <w:sz w:val="24"/>
    </w:rPr>
  </w:style>
  <w:style w:type="character" w:styleId="1032">
    <w:name w:val="标题 7 Char"/>
    <w:basedOn w:val="1022"/>
    <w:next w:val="1032"/>
    <w:link w:val="1019"/>
    <w:qFormat/>
    <w:rPr>
      <w:b/>
      <w:sz w:val="24"/>
    </w:rPr>
  </w:style>
  <w:style w:type="character" w:styleId="1033">
    <w:name w:val="标题 8 Char"/>
    <w:basedOn w:val="1022"/>
    <w:next w:val="1033"/>
    <w:link w:val="1020"/>
    <w:qFormat/>
    <w:rPr>
      <w:rFonts w:ascii="Arial" w:hAnsi="Arial" w:eastAsia="黑体"/>
      <w:sz w:val="24"/>
    </w:rPr>
  </w:style>
  <w:style w:type="character" w:styleId="1034">
    <w:name w:val="标题 9 Char"/>
    <w:basedOn w:val="1022"/>
    <w:next w:val="1034"/>
    <w:link w:val="1021"/>
    <w:qFormat/>
    <w:rPr>
      <w:rFonts w:ascii="Arial" w:hAnsi="Arial" w:eastAsia="黑体"/>
      <w:sz w:val="21"/>
    </w:rPr>
  </w:style>
  <w:style w:type="paragraph" w:styleId="1035">
    <w:name w:val="目录 7"/>
    <w:basedOn w:val="1012"/>
    <w:next w:val="1012"/>
    <w:link w:val="1012"/>
    <w:qFormat/>
    <w:pPr>
      <w:ind w:left="2520"/>
    </w:pPr>
  </w:style>
  <w:style w:type="paragraph" w:styleId="1036">
    <w:name w:val="题注"/>
    <w:basedOn w:val="1012"/>
    <w:next w:val="1012"/>
    <w:link w:val="1012"/>
    <w:qFormat/>
    <w:pPr>
      <w:spacing w:line="480" w:lineRule="auto"/>
    </w:pPr>
    <w:rPr>
      <w:rFonts w:ascii="华文中宋" w:hAnsi="华文中宋" w:eastAsia="华文中宋"/>
      <w:sz w:val="36"/>
      <w:szCs w:val="20"/>
    </w:rPr>
  </w:style>
  <w:style w:type="paragraph" w:styleId="1037">
    <w:name w:val="文档结构图"/>
    <w:basedOn w:val="1012"/>
    <w:next w:val="1037"/>
    <w:link w:val="1038"/>
    <w:qFormat/>
    <w:pPr>
      <w:shd w:val="clear" w:color="auto" w:fill="000080"/>
    </w:pPr>
  </w:style>
  <w:style w:type="character" w:styleId="1038">
    <w:name w:val="文档结构图 Char"/>
    <w:basedOn w:val="1022"/>
    <w:next w:val="1038"/>
    <w:link w:val="1037"/>
    <w:qFormat/>
    <w:rPr>
      <w:sz w:val="21"/>
      <w:szCs w:val="24"/>
      <w:shd w:val="clear" w:color="auto" w:fill="000080"/>
    </w:rPr>
  </w:style>
  <w:style w:type="paragraph" w:styleId="1039">
    <w:name w:val="批注文字"/>
    <w:basedOn w:val="1012"/>
    <w:next w:val="1039"/>
    <w:link w:val="1040"/>
    <w:uiPriority w:val="99"/>
    <w:qFormat/>
    <w:pPr>
      <w:jc w:val="left"/>
    </w:pPr>
  </w:style>
  <w:style w:type="character" w:styleId="1040">
    <w:name w:val="批注文字 Char1"/>
    <w:next w:val="1040"/>
    <w:link w:val="1039"/>
    <w:uiPriority w:val="99"/>
    <w:qFormat/>
    <w:rPr>
      <w:sz w:val="21"/>
      <w:szCs w:val="24"/>
    </w:rPr>
  </w:style>
  <w:style w:type="paragraph" w:styleId="1041">
    <w:name w:val="正文文本 3"/>
    <w:basedOn w:val="1012"/>
    <w:next w:val="1041"/>
    <w:link w:val="1042"/>
    <w:qFormat/>
    <w:pPr>
      <w:spacing w:after="120"/>
    </w:pPr>
    <w:rPr>
      <w:sz w:val="16"/>
      <w:szCs w:val="16"/>
    </w:rPr>
  </w:style>
  <w:style w:type="character" w:styleId="1042">
    <w:name w:val="正文文本 3 Char"/>
    <w:basedOn w:val="1022"/>
    <w:next w:val="1042"/>
    <w:link w:val="1041"/>
    <w:qFormat/>
    <w:rPr>
      <w:sz w:val="16"/>
      <w:szCs w:val="16"/>
    </w:rPr>
  </w:style>
  <w:style w:type="paragraph" w:styleId="1043">
    <w:name w:val="正文文本"/>
    <w:basedOn w:val="1012"/>
    <w:next w:val="1043"/>
    <w:link w:val="1044"/>
    <w:qFormat/>
    <w:pPr>
      <w:spacing w:before="120" w:line="22" w:lineRule="atLeast"/>
      <w:tabs>
        <w:tab w:val="left" w:pos="567" w:leader="none"/>
      </w:tabs>
    </w:pPr>
    <w:rPr>
      <w:rFonts w:ascii="宋体" w:hAnsi="宋体"/>
      <w:sz w:val="24"/>
    </w:rPr>
  </w:style>
  <w:style w:type="character" w:styleId="1044">
    <w:name w:val="正文文本 Char"/>
    <w:basedOn w:val="1022"/>
    <w:next w:val="1044"/>
    <w:link w:val="1043"/>
    <w:qFormat/>
    <w:rPr>
      <w:rFonts w:ascii="宋体" w:hAnsi="宋体"/>
      <w:sz w:val="24"/>
      <w:szCs w:val="24"/>
    </w:rPr>
  </w:style>
  <w:style w:type="paragraph" w:styleId="1045">
    <w:name w:val="正文文本缩进"/>
    <w:basedOn w:val="1012"/>
    <w:next w:val="1047"/>
    <w:link w:val="1046"/>
    <w:qFormat/>
    <w:pPr>
      <w:ind w:firstLine="570"/>
      <w:spacing w:line="360" w:lineRule="auto"/>
    </w:pPr>
    <w:rPr>
      <w:sz w:val="24"/>
    </w:rPr>
  </w:style>
  <w:style w:type="character" w:styleId="1046">
    <w:name w:val="正文文本缩进 Char2"/>
    <w:next w:val="1046"/>
    <w:link w:val="1045"/>
    <w:qFormat/>
    <w:rPr>
      <w:rFonts w:eastAsia="宋体"/>
      <w:sz w:val="24"/>
      <w:szCs w:val="24"/>
      <w:lang w:val="en-US" w:eastAsia="zh-CN" w:bidi="ar-SA"/>
    </w:rPr>
  </w:style>
  <w:style w:type="paragraph" w:styleId="1047">
    <w:name w:val="寄信人地址"/>
    <w:basedOn w:val="1012"/>
    <w:next w:val="1047"/>
    <w:link w:val="1012"/>
    <w:uiPriority w:val="99"/>
    <w:unhideWhenUsed/>
    <w:qFormat/>
    <w:rPr>
      <w:rFonts w:ascii="Arial" w:hAnsi="Arial"/>
    </w:rPr>
  </w:style>
  <w:style w:type="paragraph" w:styleId="1048">
    <w:name w:val="列表 2"/>
    <w:basedOn w:val="1012"/>
    <w:next w:val="1048"/>
    <w:link w:val="1012"/>
    <w:qFormat/>
    <w:pPr>
      <w:ind w:left="100" w:hanging="200"/>
    </w:pPr>
  </w:style>
  <w:style w:type="paragraph" w:styleId="1049">
    <w:name w:val="文本块"/>
    <w:basedOn w:val="1012"/>
    <w:next w:val="1049"/>
    <w:link w:val="1012"/>
    <w:qFormat/>
    <w:pPr>
      <w:ind w:left="480" w:right="-341" w:firstLine="513"/>
      <w:widowControl/>
    </w:pPr>
    <w:rPr>
      <w:sz w:val="24"/>
      <w:szCs w:val="20"/>
    </w:rPr>
  </w:style>
  <w:style w:type="paragraph" w:styleId="1050">
    <w:name w:val="目录 5"/>
    <w:basedOn w:val="1012"/>
    <w:next w:val="1012"/>
    <w:link w:val="1012"/>
    <w:qFormat/>
    <w:pPr>
      <w:ind w:left="1680"/>
    </w:pPr>
  </w:style>
  <w:style w:type="paragraph" w:styleId="1051">
    <w:name w:val="目录 3"/>
    <w:basedOn w:val="1012"/>
    <w:next w:val="1012"/>
    <w:link w:val="1012"/>
    <w:uiPriority w:val="39"/>
    <w:qFormat/>
    <w:pPr>
      <w:ind w:left="840"/>
    </w:pPr>
  </w:style>
  <w:style w:type="paragraph" w:styleId="1052">
    <w:name w:val="纯文本"/>
    <w:basedOn w:val="1012"/>
    <w:next w:val="1052"/>
    <w:link w:val="1053"/>
    <w:qFormat/>
    <w:rPr>
      <w:rFonts w:hint="eastAsia" w:ascii="宋体" w:hAnsi="Courier New"/>
      <w:szCs w:val="20"/>
    </w:rPr>
  </w:style>
  <w:style w:type="character" w:styleId="1053">
    <w:name w:val="纯文本 Char"/>
    <w:basedOn w:val="1022"/>
    <w:next w:val="1053"/>
    <w:link w:val="1052"/>
    <w:qFormat/>
    <w:rPr>
      <w:rFonts w:hint="eastAsia" w:ascii="宋体" w:hAnsi="Courier New" w:eastAsia="宋体" w:cs="宋体"/>
      <w:sz w:val="21"/>
    </w:rPr>
  </w:style>
  <w:style w:type="paragraph" w:styleId="1054">
    <w:name w:val="目录 8"/>
    <w:basedOn w:val="1012"/>
    <w:next w:val="1012"/>
    <w:link w:val="1012"/>
    <w:qFormat/>
    <w:pPr>
      <w:ind w:left="2940"/>
    </w:pPr>
  </w:style>
  <w:style w:type="paragraph" w:styleId="1055">
    <w:name w:val="日期"/>
    <w:basedOn w:val="1012"/>
    <w:next w:val="1012"/>
    <w:link w:val="1056"/>
    <w:qFormat/>
    <w:pPr>
      <w:ind w:left="100"/>
    </w:pPr>
    <w:rPr>
      <w:rFonts w:ascii="仿宋_GB2312" w:hAnsi="宋体" w:eastAsia="仿宋_GB2312"/>
      <w:color w:val="000000"/>
      <w:sz w:val="24"/>
    </w:rPr>
  </w:style>
  <w:style w:type="character" w:styleId="1056">
    <w:name w:val="日期 Char"/>
    <w:basedOn w:val="1022"/>
    <w:next w:val="1056"/>
    <w:link w:val="1055"/>
    <w:qFormat/>
    <w:rPr>
      <w:rFonts w:ascii="仿宋_GB2312" w:hAnsi="宋体" w:eastAsia="仿宋_GB2312"/>
      <w:color w:val="000000"/>
      <w:sz w:val="24"/>
      <w:szCs w:val="24"/>
    </w:rPr>
  </w:style>
  <w:style w:type="paragraph" w:styleId="1057">
    <w:name w:val="正文文本缩进 2"/>
    <w:basedOn w:val="1012"/>
    <w:next w:val="1057"/>
    <w:link w:val="1058"/>
    <w:qFormat/>
    <w:pPr>
      <w:ind w:firstLine="480"/>
    </w:pPr>
    <w:rPr>
      <w:rFonts w:ascii="仿宋_GB2312" w:eastAsia="仿宋_GB2312"/>
      <w:sz w:val="24"/>
    </w:rPr>
  </w:style>
  <w:style w:type="character" w:styleId="1058">
    <w:name w:val="正文文本缩进 2 Char"/>
    <w:basedOn w:val="1022"/>
    <w:next w:val="1058"/>
    <w:link w:val="1057"/>
    <w:qFormat/>
    <w:rPr>
      <w:rFonts w:ascii="仿宋_GB2312" w:eastAsia="仿宋_GB2312"/>
      <w:sz w:val="24"/>
      <w:szCs w:val="24"/>
    </w:rPr>
  </w:style>
  <w:style w:type="paragraph" w:styleId="1059">
    <w:name w:val="批注框文本"/>
    <w:basedOn w:val="1012"/>
    <w:next w:val="1059"/>
    <w:link w:val="1060"/>
    <w:qFormat/>
    <w:rPr>
      <w:sz w:val="18"/>
      <w:szCs w:val="18"/>
    </w:rPr>
  </w:style>
  <w:style w:type="character" w:styleId="1060">
    <w:name w:val="批注框文本 Char"/>
    <w:basedOn w:val="1022"/>
    <w:next w:val="1060"/>
    <w:link w:val="1059"/>
    <w:qFormat/>
    <w:rPr>
      <w:sz w:val="18"/>
      <w:szCs w:val="18"/>
    </w:rPr>
  </w:style>
  <w:style w:type="paragraph" w:styleId="1061">
    <w:name w:val="页脚"/>
    <w:basedOn w:val="1012"/>
    <w:next w:val="1061"/>
    <w:link w:val="1062"/>
    <w:uiPriority w:val="99"/>
    <w:qFormat/>
    <w:pPr>
      <w:jc w:val="left"/>
      <w:tabs>
        <w:tab w:val="center" w:pos="4153" w:leader="none"/>
        <w:tab w:val="right" w:pos="8306" w:leader="none"/>
      </w:tabs>
    </w:pPr>
    <w:rPr>
      <w:rFonts w:ascii="宋体"/>
      <w:sz w:val="18"/>
      <w:szCs w:val="20"/>
    </w:rPr>
  </w:style>
  <w:style w:type="character" w:styleId="1062">
    <w:name w:val="页脚 Char1"/>
    <w:next w:val="1062"/>
    <w:link w:val="1061"/>
    <w:uiPriority w:val="99"/>
    <w:qFormat/>
    <w:rPr>
      <w:rFonts w:ascii="宋体" w:eastAsia="宋体"/>
      <w:sz w:val="18"/>
      <w:lang w:val="en-US" w:eastAsia="zh-CN" w:bidi="ar-SA"/>
    </w:rPr>
  </w:style>
  <w:style w:type="paragraph" w:styleId="1063">
    <w:name w:val="页眉"/>
    <w:basedOn w:val="1012"/>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Char1"/>
    <w:next w:val="1064"/>
    <w:link w:val="1063"/>
    <w:qFormat/>
    <w:rPr>
      <w:rFonts w:eastAsia="宋体"/>
      <w:sz w:val="18"/>
      <w:szCs w:val="18"/>
      <w:lang w:val="en-US" w:eastAsia="zh-CN" w:bidi="ar-SA"/>
    </w:rPr>
  </w:style>
  <w:style w:type="paragraph" w:styleId="1065">
    <w:name w:val="目录 1"/>
    <w:basedOn w:val="1012"/>
    <w:next w:val="1012"/>
    <w:link w:val="1012"/>
    <w:uiPriority w:val="39"/>
    <w:qFormat/>
    <w:pPr>
      <w:spacing w:line="300" w:lineRule="auto"/>
      <w:tabs>
        <w:tab w:val="left" w:pos="1050" w:leader="none"/>
        <w:tab w:val="right" w:pos="8937" w:leader="dot"/>
      </w:tabs>
    </w:pPr>
    <w:rPr>
      <w:rFonts w:ascii="宋体" w:hAnsi="宋体"/>
      <w:b/>
      <w:sz w:val="24"/>
    </w:rPr>
  </w:style>
  <w:style w:type="paragraph" w:styleId="1066">
    <w:name w:val="目录 4"/>
    <w:basedOn w:val="1012"/>
    <w:next w:val="1012"/>
    <w:link w:val="1012"/>
    <w:qFormat/>
    <w:pPr>
      <w:ind w:left="1260"/>
    </w:pPr>
  </w:style>
  <w:style w:type="paragraph" w:styleId="1067">
    <w:name w:val="目录 6"/>
    <w:basedOn w:val="1012"/>
    <w:next w:val="1012"/>
    <w:link w:val="1012"/>
    <w:qFormat/>
    <w:pPr>
      <w:ind w:left="2100"/>
    </w:pPr>
  </w:style>
  <w:style w:type="paragraph" w:styleId="1068">
    <w:name w:val="正文文本缩进 3"/>
    <w:basedOn w:val="1012"/>
    <w:next w:val="1068"/>
    <w:link w:val="1069"/>
    <w:qFormat/>
    <w:pPr>
      <w:ind w:left="720" w:firstLine="480"/>
      <w:jc w:val="left"/>
      <w:spacing w:before="120" w:line="22" w:lineRule="atLeast"/>
    </w:pPr>
    <w:rPr>
      <w:rFonts w:ascii="宋体"/>
      <w:sz w:val="24"/>
      <w:szCs w:val="20"/>
    </w:rPr>
  </w:style>
  <w:style w:type="character" w:styleId="1069">
    <w:name w:val="正文文本缩进 3 Char"/>
    <w:basedOn w:val="1022"/>
    <w:next w:val="1069"/>
    <w:link w:val="1068"/>
    <w:qFormat/>
    <w:rPr>
      <w:rFonts w:ascii="宋体"/>
      <w:sz w:val="24"/>
    </w:rPr>
  </w:style>
  <w:style w:type="paragraph" w:styleId="1070">
    <w:name w:val="目录 2"/>
    <w:basedOn w:val="1012"/>
    <w:next w:val="1012"/>
    <w:link w:val="1012"/>
    <w:uiPriority w:val="39"/>
    <w:qFormat/>
    <w:pPr>
      <w:ind w:left="420"/>
      <w:spacing w:line="312" w:lineRule="auto"/>
      <w:tabs>
        <w:tab w:val="right" w:pos="8937" w:leader="dot"/>
      </w:tabs>
    </w:pPr>
  </w:style>
  <w:style w:type="paragraph" w:styleId="1071">
    <w:name w:val="目录 9"/>
    <w:basedOn w:val="1012"/>
    <w:next w:val="1012"/>
    <w:link w:val="1012"/>
    <w:qFormat/>
    <w:pPr>
      <w:ind w:left="3360"/>
    </w:pPr>
  </w:style>
  <w:style w:type="paragraph" w:styleId="1072">
    <w:name w:val="HTML 预设格式"/>
    <w:basedOn w:val="1012"/>
    <w:next w:val="1072"/>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3">
    <w:name w:val="HTML 预设格式 Char"/>
    <w:basedOn w:val="1022"/>
    <w:next w:val="1073"/>
    <w:link w:val="1072"/>
    <w:qFormat/>
    <w:rPr>
      <w:rFonts w:ascii="宋体" w:hAnsi="宋体" w:cs="宋体"/>
      <w:sz w:val="24"/>
      <w:szCs w:val="24"/>
    </w:rPr>
  </w:style>
  <w:style w:type="paragraph" w:styleId="1074">
    <w:name w:val="普通(网站)"/>
    <w:basedOn w:val="1012"/>
    <w:next w:val="1074"/>
    <w:link w:val="1012"/>
    <w:uiPriority w:val="99"/>
    <w:unhideWhenUsed/>
    <w:qFormat/>
    <w:pPr>
      <w:jc w:val="left"/>
      <w:spacing w:before="100" w:beforeAutospacing="1" w:after="100" w:afterAutospacing="1"/>
      <w:widowControl/>
    </w:pPr>
    <w:rPr>
      <w:rFonts w:ascii="宋体" w:hAnsi="宋体" w:cs="宋体"/>
      <w:sz w:val="24"/>
    </w:rPr>
  </w:style>
  <w:style w:type="paragraph" w:styleId="1075">
    <w:name w:val="索引 1"/>
    <w:basedOn w:val="1012"/>
    <w:next w:val="1012"/>
    <w:link w:val="1012"/>
    <w:qFormat/>
    <w:rPr>
      <w:szCs w:val="20"/>
    </w:rPr>
  </w:style>
  <w:style w:type="paragraph" w:styleId="1076">
    <w:name w:val="标题"/>
    <w:basedOn w:val="1012"/>
    <w:next w:val="1076"/>
    <w:link w:val="1077"/>
    <w:qFormat/>
    <w:pPr>
      <w:jc w:val="center"/>
      <w:outlineLvl w:val="0"/>
    </w:pPr>
    <w:rPr>
      <w:b/>
      <w:sz w:val="32"/>
      <w:szCs w:val="20"/>
    </w:rPr>
  </w:style>
  <w:style w:type="character" w:styleId="1077">
    <w:name w:val="标题 Char1"/>
    <w:next w:val="1077"/>
    <w:link w:val="1076"/>
    <w:qFormat/>
    <w:rPr>
      <w:b/>
      <w:sz w:val="32"/>
    </w:rPr>
  </w:style>
  <w:style w:type="paragraph" w:styleId="1078">
    <w:name w:val="批注主题"/>
    <w:basedOn w:val="1039"/>
    <w:next w:val="1039"/>
    <w:link w:val="1079"/>
    <w:qFormat/>
    <w:rPr>
      <w:b/>
      <w:bCs/>
    </w:rPr>
  </w:style>
  <w:style w:type="character" w:styleId="1079">
    <w:name w:val="批注主题 Char"/>
    <w:basedOn w:val="1080"/>
    <w:next w:val="1079"/>
    <w:link w:val="1078"/>
    <w:qFormat/>
    <w:rPr>
      <w:rFonts w:ascii="Times New Roman" w:hAnsi="Times New Roman" w:eastAsia="宋体" w:cs="Times New Roman"/>
      <w:b/>
      <w:bCs/>
      <w:sz w:val="21"/>
      <w:szCs w:val="24"/>
      <w:lang w:val="en-US" w:eastAsia="zh-CN" w:bidi="ar-SA"/>
    </w:rPr>
  </w:style>
  <w:style w:type="character" w:styleId="1080">
    <w:name w:val="批注文字 字符"/>
    <w:next w:val="1080"/>
    <w:link w:val="1012"/>
    <w:uiPriority w:val="99"/>
    <w:qFormat/>
    <w:rPr>
      <w:rFonts w:ascii="Times New Roman" w:hAnsi="Times New Roman" w:eastAsia="宋体" w:cs="Times New Roman"/>
      <w:sz w:val="24"/>
      <w:lang w:val="en-US" w:eastAsia="zh-CN" w:bidi="ar-SA"/>
    </w:rPr>
  </w:style>
  <w:style w:type="paragraph" w:styleId="1081">
    <w:name w:val="正文首行缩进 2"/>
    <w:basedOn w:val="1012"/>
    <w:next w:val="1012"/>
    <w:link w:val="1082"/>
    <w:qFormat/>
    <w:pPr>
      <w:ind w:left="420" w:firstLine="420"/>
      <w:spacing w:after="120" w:line="480" w:lineRule="exact"/>
    </w:pPr>
    <w:rPr>
      <w:szCs w:val="20"/>
    </w:rPr>
  </w:style>
  <w:style w:type="character" w:styleId="1082">
    <w:name w:val="正文首行缩进 2 Char"/>
    <w:basedOn w:val="1046"/>
    <w:next w:val="1082"/>
    <w:link w:val="1081"/>
    <w:qFormat/>
    <w:rPr>
      <w:rFonts w:eastAsia="宋体"/>
      <w:sz w:val="24"/>
      <w:szCs w:val="24"/>
      <w:lang w:val="en-US" w:eastAsia="zh-CN" w:bidi="ar-SA"/>
    </w:rPr>
  </w:style>
  <w:style w:type="table" w:styleId="1083">
    <w:name w:val="网格型"/>
    <w:basedOn w:val="1023"/>
    <w:next w:val="1083"/>
    <w:link w:val="1012"/>
    <w:uiPriority w:val="39"/>
    <w:qFormat/>
    <w:tblPr/>
  </w:style>
  <w:style w:type="table" w:styleId="1084">
    <w:name w:val="中等深浅网格 1 - 强调文字颜色 2"/>
    <w:basedOn w:val="1023"/>
    <w:next w:val="1084"/>
    <w:link w:val="1012"/>
    <w:qFormat/>
    <w:rPr>
      <w:sz w:val="21"/>
      <w:szCs w:val="24"/>
    </w:rPr>
    <w:tblPr/>
  </w:style>
  <w:style w:type="character" w:styleId="1085">
    <w:name w:val="要点"/>
    <w:next w:val="1085"/>
    <w:link w:val="1012"/>
    <w:qFormat/>
    <w:rPr>
      <w:b/>
      <w:bCs/>
    </w:rPr>
  </w:style>
  <w:style w:type="character" w:styleId="1086">
    <w:name w:val="页码"/>
    <w:basedOn w:val="1022"/>
    <w:next w:val="1086"/>
    <w:link w:val="1012"/>
    <w:qFormat/>
  </w:style>
  <w:style w:type="character" w:styleId="1087">
    <w:name w:val="已访问的超链接"/>
    <w:next w:val="1087"/>
    <w:link w:val="1012"/>
    <w:qFormat/>
    <w:rPr>
      <w:color w:val="800080"/>
      <w:u w:val="single"/>
    </w:rPr>
  </w:style>
  <w:style w:type="character" w:styleId="1088">
    <w:name w:val="强调"/>
    <w:next w:val="1088"/>
    <w:link w:val="1012"/>
    <w:qFormat/>
    <w:rPr>
      <w:color w:val="cc0033"/>
    </w:rPr>
  </w:style>
  <w:style w:type="character" w:styleId="1089">
    <w:name w:val="超链接"/>
    <w:next w:val="1089"/>
    <w:link w:val="1012"/>
    <w:uiPriority w:val="99"/>
    <w:qFormat/>
    <w:rPr>
      <w:color w:val="0000ff"/>
      <w:u w:val="single"/>
    </w:rPr>
  </w:style>
  <w:style w:type="character" w:styleId="1090">
    <w:name w:val="批注引用"/>
    <w:next w:val="1090"/>
    <w:link w:val="1012"/>
    <w:uiPriority w:val="99"/>
    <w:qFormat/>
    <w:rPr>
      <w:sz w:val="21"/>
      <w:szCs w:val="21"/>
    </w:rPr>
  </w:style>
  <w:style w:type="character" w:styleId="1091">
    <w:name w:val="HTML 引文"/>
    <w:next w:val="1091"/>
    <w:link w:val="1012"/>
    <w:qFormat/>
    <w:rPr>
      <w:i/>
      <w:iCs/>
    </w:rPr>
  </w:style>
  <w:style w:type="paragraph" w:styleId="1092">
    <w:name w:val="Default"/>
    <w:next w:val="1092"/>
    <w:link w:val="1012"/>
    <w:qFormat/>
    <w:pPr>
      <w:widowControl w:val="off"/>
    </w:pPr>
    <w:rPr>
      <w:rFonts w:ascii="Symbol" w:hAnsi="Symbol" w:cs="Symbol"/>
      <w:color w:val="000000"/>
      <w:sz w:val="24"/>
      <w:szCs w:val="24"/>
      <w:lang w:val="en-US" w:eastAsia="zh-CN" w:bidi="ar-SA"/>
    </w:rPr>
  </w:style>
  <w:style w:type="character" w:styleId="1093">
    <w:name w:val="c21"/>
    <w:next w:val="1093"/>
    <w:link w:val="1012"/>
    <w:qFormat/>
    <w:rPr>
      <w:rFonts w:ascii="ˎ̥" w:hAnsi="ˎ̥"/>
      <w:color w:val="000000"/>
      <w:sz w:val="20"/>
      <w:szCs w:val="20"/>
      <w:u w:val="none"/>
    </w:rPr>
  </w:style>
  <w:style w:type="character" w:styleId="1094">
    <w:name w:val="title4"/>
    <w:next w:val="1094"/>
    <w:link w:val="1012"/>
    <w:qFormat/>
    <w:rPr>
      <w:b/>
      <w:bCs/>
      <w:color w:val="1d87b3"/>
      <w:sz w:val="15"/>
      <w:szCs w:val="15"/>
    </w:rPr>
  </w:style>
  <w:style w:type="character" w:styleId="1095">
    <w:name w:val="标题 2 Char Char"/>
    <w:next w:val="1095"/>
    <w:link w:val="1012"/>
    <w:qFormat/>
    <w:rPr>
      <w:rFonts w:ascii="Arial" w:hAnsi="Arial" w:eastAsia="黑体"/>
      <w:b/>
      <w:bCs/>
      <w:sz w:val="32"/>
      <w:szCs w:val="32"/>
      <w:lang w:val="en-US" w:eastAsia="zh-CN" w:bidi="ar-SA"/>
    </w:rPr>
  </w:style>
  <w:style w:type="character" w:styleId="1096">
    <w:name w:val="black1"/>
    <w:next w:val="1096"/>
    <w:link w:val="1012"/>
    <w:qFormat/>
    <w:rPr>
      <w:color w:val="000000"/>
    </w:rPr>
  </w:style>
  <w:style w:type="character" w:styleId="1097">
    <w:name w:val="street-address"/>
    <w:basedOn w:val="1022"/>
    <w:next w:val="1097"/>
    <w:link w:val="1012"/>
    <w:qFormat/>
  </w:style>
  <w:style w:type="character" w:styleId="1098">
    <w:name w:val="locality"/>
    <w:basedOn w:val="1022"/>
    <w:next w:val="1098"/>
    <w:link w:val="1012"/>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2"/>
    <w:next w:val="1100"/>
    <w:link w:val="1099"/>
    <w:qFormat/>
    <w:pPr>
      <w:ind w:firstLine="480"/>
      <w:spacing w:line="480" w:lineRule="exact"/>
    </w:pPr>
    <w:rPr>
      <w:rFonts w:ascii="宋体" w:hAnsi="宋体"/>
      <w:sz w:val="24"/>
    </w:rPr>
  </w:style>
  <w:style w:type="character" w:styleId="1101">
    <w:name w:val="Char Char11"/>
    <w:next w:val="1101"/>
    <w:link w:val="1012"/>
    <w:qFormat/>
    <w:rPr>
      <w:rFonts w:ascii="宋体" w:eastAsia="宋体"/>
      <w:b/>
      <w:sz w:val="24"/>
      <w:u w:val="single"/>
      <w:lang w:val="en-US" w:eastAsia="zh-CN" w:bidi="ar-SA"/>
    </w:rPr>
  </w:style>
  <w:style w:type="character" w:styleId="1102">
    <w:name w:val="txt"/>
    <w:basedOn w:val="1022"/>
    <w:next w:val="1102"/>
    <w:link w:val="1012"/>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2"/>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2"/>
    <w:qFormat/>
    <w:rPr>
      <w:rFonts w:ascii="宋体" w:hAnsi="Courier New" w:eastAsia="宋体"/>
      <w:sz w:val="21"/>
      <w:lang w:val="en-US" w:eastAsia="zh-CN" w:bidi="ar-SA"/>
    </w:rPr>
  </w:style>
  <w:style w:type="character" w:styleId="1106">
    <w:name w:val="chanpin1"/>
    <w:next w:val="1106"/>
    <w:link w:val="1012"/>
    <w:qFormat/>
    <w:rPr>
      <w:rFonts w:ascii="ˎ̥" w:hAnsi="ˎ̥"/>
      <w:color w:val="000000"/>
      <w:sz w:val="20"/>
      <w:szCs w:val="20"/>
      <w:u w:val="none"/>
    </w:rPr>
  </w:style>
  <w:style w:type="character" w:styleId="1107">
    <w:name w:val="列出段落 Char1"/>
    <w:next w:val="1107"/>
    <w:link w:val="1108"/>
    <w:uiPriority w:val="34"/>
    <w:qFormat/>
    <w:rPr>
      <w:rFonts w:ascii="Calibri" w:hAnsi="Calibri" w:eastAsia="宋体"/>
      <w:sz w:val="21"/>
      <w:szCs w:val="22"/>
      <w:lang w:val="en-US" w:eastAsia="zh-CN" w:bidi="ar-SA"/>
    </w:rPr>
  </w:style>
  <w:style w:type="paragraph" w:styleId="1108">
    <w:name w:val="列出段落"/>
    <w:basedOn w:val="1012"/>
    <w:next w:val="1108"/>
    <w:link w:val="1107"/>
    <w:uiPriority w:val="34"/>
    <w:qFormat/>
    <w:pPr>
      <w:ind w:firstLine="420"/>
    </w:pPr>
    <w:rPr>
      <w:rFonts w:ascii="Calibri" w:hAnsi="Calibri"/>
      <w:szCs w:val="22"/>
    </w:rPr>
  </w:style>
  <w:style w:type="character" w:styleId="1109">
    <w:name w:val="标题 3 Char Char"/>
    <w:next w:val="1109"/>
    <w:link w:val="1012"/>
    <w:qFormat/>
    <w:rPr>
      <w:rFonts w:eastAsia="宋体"/>
      <w:b/>
      <w:bCs/>
      <w:sz w:val="32"/>
      <w:szCs w:val="32"/>
      <w:lang w:val="en-US" w:eastAsia="zh-CN" w:bidi="ar-SA"/>
    </w:rPr>
  </w:style>
  <w:style w:type="character" w:styleId="1110">
    <w:name w:val="段1 Char"/>
    <w:next w:val="1110"/>
    <w:link w:val="1012"/>
    <w:qFormat/>
    <w:rPr>
      <w:rFonts w:ascii="宋体" w:eastAsia="宋体"/>
      <w:sz w:val="24"/>
      <w:lang w:val="en-US" w:eastAsia="zh-CN" w:bidi="ar-SA"/>
    </w:rPr>
  </w:style>
  <w:style w:type="character" w:styleId="1111">
    <w:name w:val="chanpin拷贝"/>
    <w:basedOn w:val="1022"/>
    <w:next w:val="1111"/>
    <w:link w:val="1012"/>
    <w:qFormat/>
  </w:style>
  <w:style w:type="character" w:styleId="1112">
    <w:name w:val="纯文本 Char1"/>
    <w:next w:val="1112"/>
    <w:link w:val="1012"/>
    <w:qFormat/>
    <w:rPr>
      <w:rFonts w:ascii="宋体" w:hAnsi="Courier New" w:eastAsia="宋体"/>
      <w:sz w:val="21"/>
      <w:lang w:val="en-US" w:eastAsia="zh-CN" w:bidi="ar-SA"/>
    </w:rPr>
  </w:style>
  <w:style w:type="character" w:styleId="1113">
    <w:name w:val="apple-style-span"/>
    <w:next w:val="1113"/>
    <w:link w:val="1012"/>
    <w:qFormat/>
    <w:rPr>
      <w:rFonts w:cs="Times New Roman"/>
    </w:rPr>
  </w:style>
  <w:style w:type="paragraph" w:styleId="1114">
    <w:name w:val="二级条标题"/>
    <w:basedOn w:val="1115"/>
    <w:next w:val="1012"/>
    <w:link w:val="1012"/>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2"/>
    <w:link w:val="1012"/>
    <w:qFormat/>
    <w:pPr>
      <w:numPr>
        <w:ilvl w:val="1"/>
      </w:numPr>
      <w:ind w:left="0" w:hanging="840"/>
      <w:tabs>
        <w:tab w:val="left" w:pos="360" w:leader="none"/>
        <w:tab w:val="left" w:pos="840" w:leader="none"/>
      </w:tabs>
      <w:outlineLvl w:val="1"/>
    </w:pPr>
  </w:style>
  <w:style w:type="paragraph" w:styleId="1116">
    <w:name w:val="章标题"/>
    <w:next w:val="1012"/>
    <w:link w:val="10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2"/>
    <w:next w:val="1117"/>
    <w:link w:val="1012"/>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2"/>
    <w:next w:val="1118"/>
    <w:link w:val="1012"/>
    <w:qFormat/>
    <w:rPr>
      <w:rFonts w:ascii="Tahoma" w:hAnsi="Tahoma"/>
      <w:sz w:val="24"/>
      <w:szCs w:val="20"/>
    </w:rPr>
  </w:style>
  <w:style w:type="paragraph" w:styleId="1119">
    <w:name w:val="Char3 Char Char Char"/>
    <w:basedOn w:val="1012"/>
    <w:next w:val="1119"/>
    <w:link w:val="1012"/>
    <w:qFormat/>
    <w:rPr>
      <w:rFonts w:ascii="Tahoma" w:hAnsi="Tahoma"/>
      <w:sz w:val="24"/>
      <w:szCs w:val="20"/>
    </w:rPr>
  </w:style>
  <w:style w:type="paragraph" w:styleId="1120">
    <w:name w:val="font6"/>
    <w:basedOn w:val="1012"/>
    <w:next w:val="1120"/>
    <w:link w:val="1012"/>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2"/>
    <w:qFormat/>
    <w:pPr>
      <w:numPr>
        <w:numId w:val="3"/>
      </w:numPr>
    </w:pPr>
  </w:style>
  <w:style w:type="paragraph" w:styleId="1122">
    <w:name w:val="项目编号1"/>
    <w:basedOn w:val="1012"/>
    <w:next w:val="1122"/>
    <w:link w:val="1012"/>
    <w:qFormat/>
    <w:pPr>
      <w:numPr>
        <w:ilvl w:val="0"/>
        <w:numId w:val="2"/>
      </w:numPr>
      <w:spacing w:before="100" w:beforeAutospacing="1" w:after="100" w:afterAutospacing="1" w:line="360" w:lineRule="auto"/>
    </w:pPr>
    <w:rPr>
      <w:sz w:val="24"/>
    </w:rPr>
  </w:style>
  <w:style w:type="paragraph" w:styleId="1123">
    <w:name w:val="图中文字"/>
    <w:basedOn w:val="1012"/>
    <w:next w:val="1123"/>
    <w:link w:val="1012"/>
    <w:qFormat/>
    <w:pPr>
      <w:jc w:val="center"/>
      <w:spacing w:line="0" w:lineRule="atLeast"/>
    </w:pPr>
    <w:rPr>
      <w:sz w:val="24"/>
      <w:szCs w:val="20"/>
    </w:rPr>
  </w:style>
  <w:style w:type="paragraph" w:styleId="1124">
    <w:name w:val="xl46"/>
    <w:basedOn w:val="1012"/>
    <w:next w:val="1124"/>
    <w:link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2"/>
    <w:next w:val="1125"/>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2"/>
    <w:next w:val="1126"/>
    <w:link w:val="1012"/>
    <w:qFormat/>
    <w:rPr>
      <w:rFonts w:ascii="Tahoma" w:hAnsi="Tahoma"/>
      <w:sz w:val="24"/>
      <w:szCs w:val="20"/>
    </w:rPr>
  </w:style>
  <w:style w:type="paragraph" w:styleId="1127">
    <w:name w:val="xl35"/>
    <w:basedOn w:val="1012"/>
    <w:next w:val="1127"/>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2"/>
    <w:next w:val="1128"/>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2"/>
    <w:next w:val="1129"/>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2"/>
    <w:next w:val="1130"/>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2"/>
    <w:next w:val="1131"/>
    <w:link w:val="1012"/>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2"/>
    <w:next w:val="1132"/>
    <w:link w:val="1012"/>
    <w:qFormat/>
    <w:pPr>
      <w:ind w:firstLine="200"/>
      <w:spacing w:line="360" w:lineRule="auto"/>
    </w:pPr>
    <w:rPr>
      <w:rFonts w:eastAsia="仿宋_GB2312"/>
      <w:sz w:val="24"/>
    </w:rPr>
  </w:style>
  <w:style w:type="paragraph" w:styleId="1133">
    <w:name w:val="xl38"/>
    <w:basedOn w:val="1012"/>
    <w:next w:val="1133"/>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2"/>
    <w:next w:val="1134"/>
    <w:link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2"/>
    <w:next w:val="1135"/>
    <w:link w:val="1012"/>
    <w:qFormat/>
    <w:pPr>
      <w:ind w:left="360" w:hanging="360"/>
      <w:jc w:val="left"/>
      <w:widowControl/>
    </w:pPr>
    <w:rPr>
      <w:rFonts w:ascii="宋体" w:hAnsi="宋体" w:cs="宋体"/>
      <w:b/>
      <w:bCs/>
      <w:color w:val="000000"/>
      <w:sz w:val="18"/>
      <w:szCs w:val="18"/>
    </w:rPr>
  </w:style>
  <w:style w:type="paragraph" w:styleId="1136">
    <w:name w:val="正文列项_数字"/>
    <w:basedOn w:val="1012"/>
    <w:next w:val="1136"/>
    <w:link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2"/>
    <w:next w:val="113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2"/>
    <w:next w:val="1138"/>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2"/>
    <w:next w:val="1139"/>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2"/>
    <w:next w:val="1140"/>
    <w:link w:val="1012"/>
    <w:qFormat/>
    <w:pPr>
      <w:jc w:val="left"/>
      <w:spacing w:before="100" w:beforeAutospacing="1" w:after="100" w:afterAutospacing="1"/>
      <w:widowControl/>
    </w:pPr>
    <w:rPr>
      <w:sz w:val="36"/>
      <w:szCs w:val="36"/>
    </w:rPr>
  </w:style>
  <w:style w:type="paragraph" w:styleId="1141">
    <w:name w:val="Char"/>
    <w:basedOn w:val="1012"/>
    <w:next w:val="1141"/>
    <w:link w:val="1012"/>
    <w:qFormat/>
    <w:pPr>
      <w:tabs>
        <w:tab w:val="left" w:pos="360" w:leader="none"/>
      </w:tabs>
    </w:pPr>
    <w:rPr>
      <w:sz w:val="24"/>
    </w:rPr>
  </w:style>
  <w:style w:type="paragraph" w:styleId="1142">
    <w:name w:val="Char Char Char Char Char Char Char Char Char Char Char Char Char Char Char Char"/>
    <w:basedOn w:val="1012"/>
    <w:next w:val="1142"/>
    <w:link w:val="1012"/>
    <w:qFormat/>
    <w:pPr>
      <w:jc w:val="center"/>
      <w:spacing w:after="160" w:line="240" w:lineRule="exact"/>
      <w:widowControl/>
    </w:pPr>
    <w:rPr>
      <w:rFonts w:ascii="宋体" w:hAnsi="宋体"/>
      <w:b/>
      <w:sz w:val="30"/>
      <w:szCs w:val="30"/>
      <w:lang w:eastAsia="en-US"/>
    </w:rPr>
  </w:style>
  <w:style w:type="paragraph" w:styleId="1143">
    <w:name w:val="xl45"/>
    <w:basedOn w:val="1012"/>
    <w:next w:val="1143"/>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2"/>
    <w:next w:val="1144"/>
    <w:link w:val="1012"/>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7"/>
    <w:next w:val="1145"/>
    <w:link w:val="1012"/>
    <w:qFormat/>
    <w:rPr>
      <w:rFonts w:ascii="Tahoma" w:hAnsi="Tahoma"/>
      <w:sz w:val="24"/>
    </w:rPr>
  </w:style>
  <w:style w:type="paragraph" w:styleId="1146">
    <w:name w:val="xl26"/>
    <w:basedOn w:val="1012"/>
    <w:next w:val="1146"/>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2"/>
    <w:next w:val="1147"/>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2"/>
    <w:next w:val="1148"/>
    <w:link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2"/>
    <w:next w:val="1149"/>
    <w:link w:val="1012"/>
    <w:qFormat/>
    <w:pPr>
      <w:jc w:val="left"/>
    </w:pPr>
    <w:rPr>
      <w:rFonts w:ascii="宋体" w:hAnsi="宋体"/>
      <w:szCs w:val="20"/>
    </w:rPr>
  </w:style>
  <w:style w:type="paragraph" w:styleId="1150">
    <w:name w:val="Char1 Char Char Char1"/>
    <w:basedOn w:val="1012"/>
    <w:next w:val="1150"/>
    <w:link w:val="1012"/>
    <w:qFormat/>
    <w:rPr>
      <w:rFonts w:ascii="Tahoma" w:hAnsi="Tahoma" w:cs="仿宋_GB2312"/>
      <w:sz w:val="24"/>
      <w:szCs w:val="28"/>
    </w:rPr>
  </w:style>
  <w:style w:type="paragraph" w:styleId="1151">
    <w:name w:val="四级条标题"/>
    <w:basedOn w:val="1152"/>
    <w:next w:val="1012"/>
    <w:link w:val="1012"/>
    <w:qFormat/>
    <w:pPr>
      <w:numPr>
        <w:ilvl w:val="4"/>
      </w:numPr>
      <w:ind w:left="0" w:hanging="840"/>
      <w:tabs>
        <w:tab w:val="left" w:pos="360" w:leader="none"/>
        <w:tab w:val="left" w:pos="840" w:leader="none"/>
      </w:tabs>
      <w:outlineLvl w:val="4"/>
    </w:pPr>
  </w:style>
  <w:style w:type="paragraph" w:styleId="1152">
    <w:name w:val="三级条标题"/>
    <w:basedOn w:val="1114"/>
    <w:next w:val="1012"/>
    <w:link w:val="1012"/>
    <w:qFormat/>
    <w:pPr>
      <w:numPr>
        <w:ilvl w:val="3"/>
        <w:numId w:val="1"/>
      </w:numPr>
      <w:ind w:left="0" w:hanging="840"/>
      <w:tabs>
        <w:tab w:val="left" w:pos="360" w:leader="none"/>
        <w:tab w:val="left" w:pos="840" w:leader="none"/>
      </w:tabs>
      <w:outlineLvl w:val="3"/>
    </w:pPr>
  </w:style>
  <w:style w:type="paragraph" w:styleId="1153">
    <w:name w:val="??"/>
    <w:next w:val="1153"/>
    <w:link w:val="1012"/>
    <w:qFormat/>
    <w:pPr>
      <w:jc w:val="both"/>
      <w:widowControl w:val="off"/>
    </w:pPr>
    <w:rPr>
      <w:sz w:val="21"/>
      <w:lang w:val="en-US" w:eastAsia="en-US" w:bidi="ar-SA"/>
    </w:rPr>
  </w:style>
  <w:style w:type="paragraph" w:styleId="1154">
    <w:name w:val="样式 标题 2 + 宋体 五号 行距: 单倍行距"/>
    <w:basedOn w:val="1014"/>
    <w:next w:val="1154"/>
    <w:link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2"/>
    <w:next w:val="1155"/>
    <w:link w:val="1012"/>
    <w:qFormat/>
    <w:pPr>
      <w:ind w:firstLine="420"/>
    </w:pPr>
    <w:rPr>
      <w:rFonts w:ascii="Calibri" w:hAnsi="Calibri"/>
      <w:szCs w:val="22"/>
    </w:rPr>
  </w:style>
  <w:style w:type="paragraph" w:styleId="1156">
    <w:name w:val="项目符号1"/>
    <w:basedOn w:val="1157"/>
    <w:next w:val="1156"/>
    <w:link w:val="1012"/>
    <w:qFormat/>
    <w:pPr>
      <w:ind w:left="-25" w:firstLine="0"/>
    </w:pPr>
  </w:style>
  <w:style w:type="paragraph" w:styleId="1157">
    <w:name w:val="正文文本样式"/>
    <w:basedOn w:val="1012"/>
    <w:next w:val="1157"/>
    <w:link w:val="1012"/>
    <w:qFormat/>
    <w:pPr>
      <w:ind w:firstLine="482"/>
      <w:spacing w:line="360" w:lineRule="auto"/>
    </w:pPr>
    <w:rPr>
      <w:rFonts w:cs="宋体"/>
      <w:sz w:val="24"/>
      <w:szCs w:val="20"/>
    </w:rPr>
  </w:style>
  <w:style w:type="paragraph" w:styleId="1158">
    <w:name w:val="xl27"/>
    <w:basedOn w:val="1012"/>
    <w:next w:val="1158"/>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2"/>
    <w:next w:val="1159"/>
    <w:link w:val="1012"/>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2"/>
    <w:link w:val="1012"/>
    <w:qFormat/>
    <w:pPr>
      <w:numPr>
        <w:ilvl w:val="5"/>
      </w:numPr>
      <w:ind w:left="0" w:hanging="840"/>
      <w:tabs>
        <w:tab w:val="left" w:pos="360" w:leader="none"/>
        <w:tab w:val="left" w:pos="840" w:leader="none"/>
      </w:tabs>
      <w:outlineLvl w:val="5"/>
    </w:pPr>
  </w:style>
  <w:style w:type="paragraph" w:styleId="1161">
    <w:name w:val="xl49"/>
    <w:basedOn w:val="1012"/>
    <w:next w:val="1161"/>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2"/>
    <w:next w:val="1162"/>
    <w:link w:val="1012"/>
    <w:qFormat/>
    <w:pPr>
      <w:spacing w:before="120" w:after="120" w:line="180" w:lineRule="auto"/>
    </w:pPr>
    <w:rPr>
      <w:rFonts w:ascii="Arial" w:hAnsi="Arial"/>
      <w:szCs w:val="20"/>
    </w:rPr>
  </w:style>
  <w:style w:type="paragraph" w:styleId="1163">
    <w:name w:val="xl33"/>
    <w:basedOn w:val="1012"/>
    <w:next w:val="1163"/>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2"/>
    <w:next w:val="1164"/>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2"/>
    <w:next w:val="1165"/>
    <w:link w:val="1012"/>
    <w:qFormat/>
    <w:rPr>
      <w:rFonts w:ascii="Tahoma" w:hAnsi="Tahoma"/>
      <w:sz w:val="24"/>
      <w:szCs w:val="20"/>
    </w:rPr>
  </w:style>
  <w:style w:type="paragraph" w:styleId="1166">
    <w:name w:val="xl44"/>
    <w:basedOn w:val="1012"/>
    <w:next w:val="1166"/>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2"/>
    <w:next w:val="1167"/>
    <w:link w:val="1012"/>
    <w:qFormat/>
    <w:pPr>
      <w:numPr>
        <w:ilvl w:val="0"/>
        <w:numId w:val="5"/>
      </w:numPr>
      <w:spacing w:before="120"/>
      <w:tabs>
        <w:tab w:val="left" w:pos="360" w:leader="none"/>
      </w:tabs>
    </w:pPr>
    <w:rPr>
      <w:rFonts w:ascii="宋体"/>
      <w:sz w:val="28"/>
      <w:szCs w:val="20"/>
    </w:rPr>
  </w:style>
  <w:style w:type="paragraph" w:styleId="1168">
    <w:name w:val="font9"/>
    <w:basedOn w:val="1012"/>
    <w:next w:val="1168"/>
    <w:link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2"/>
    <w:next w:val="1169"/>
    <w:link w:val="1012"/>
    <w:qFormat/>
    <w:rPr>
      <w:rFonts w:ascii="Tahoma" w:hAnsi="Tahoma"/>
      <w:sz w:val="24"/>
      <w:szCs w:val="20"/>
    </w:rPr>
  </w:style>
  <w:style w:type="paragraph" w:styleId="1170">
    <w:name w:val="Char Char Char Char Char Char Char Char Char Char"/>
    <w:basedOn w:val="1012"/>
    <w:next w:val="1170"/>
    <w:link w:val="1012"/>
    <w:qFormat/>
  </w:style>
  <w:style w:type="paragraph" w:styleId="1171">
    <w:name w:val="Char Char1 Char Char Char Char Char Char Char Char"/>
    <w:basedOn w:val="1012"/>
    <w:next w:val="1171"/>
    <w:link w:val="1012"/>
    <w:qFormat/>
    <w:pPr>
      <w:jc w:val="left"/>
      <w:spacing w:after="160" w:line="240" w:lineRule="exact"/>
      <w:widowControl/>
    </w:pPr>
    <w:rPr>
      <w:rFonts w:ascii="Verdana" w:hAnsi="Verdana"/>
      <w:sz w:val="20"/>
      <w:szCs w:val="20"/>
      <w:lang w:eastAsia="en-US"/>
    </w:rPr>
  </w:style>
  <w:style w:type="paragraph" w:styleId="1172">
    <w:name w:val="Char1"/>
    <w:basedOn w:val="1012"/>
    <w:next w:val="1172"/>
    <w:link w:val="1012"/>
    <w:qFormat/>
    <w:pPr>
      <w:tabs>
        <w:tab w:val="left" w:pos="360" w:leader="none"/>
      </w:tabs>
    </w:pPr>
    <w:rPr>
      <w:sz w:val="24"/>
    </w:rPr>
  </w:style>
  <w:style w:type="paragraph" w:styleId="1173">
    <w:name w:val="正文列项_字母"/>
    <w:basedOn w:val="1012"/>
    <w:next w:val="1173"/>
    <w:link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2"/>
    <w:next w:val="1174"/>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2"/>
    <w:next w:val="1175"/>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2"/>
    <w:next w:val="1176"/>
    <w:link w:val="1012"/>
    <w:qFormat/>
    <w:rPr>
      <w:rFonts w:ascii="Arial" w:hAnsi="Arial" w:cs="Arial"/>
      <w:szCs w:val="21"/>
    </w:rPr>
  </w:style>
  <w:style w:type="paragraph" w:styleId="1177">
    <w:name w:val="xl48"/>
    <w:basedOn w:val="1012"/>
    <w:next w:val="117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2"/>
    <w:next w:val="1178"/>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2"/>
    <w:next w:val="117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2"/>
    <w:next w:val="1180"/>
    <w:link w:val="1012"/>
    <w:qFormat/>
    <w:rPr>
      <w:rFonts w:ascii="Tahoma" w:hAnsi="Tahoma"/>
      <w:sz w:val="24"/>
      <w:szCs w:val="20"/>
    </w:rPr>
  </w:style>
  <w:style w:type="paragraph" w:styleId="1181">
    <w:name w:val="xl50"/>
    <w:basedOn w:val="1012"/>
    <w:next w:val="118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2"/>
    <w:next w:val="1182"/>
    <w:link w:val="1012"/>
    <w:qFormat/>
    <w:pPr>
      <w:jc w:val="left"/>
    </w:pPr>
    <w:rPr>
      <w:sz w:val="24"/>
    </w:rPr>
  </w:style>
  <w:style w:type="paragraph" w:styleId="1183">
    <w:name w:val="Char Char Char1"/>
    <w:basedOn w:val="1012"/>
    <w:next w:val="1183"/>
    <w:link w:val="1012"/>
    <w:qFormat/>
    <w:rPr>
      <w:rFonts w:ascii="Tahoma" w:hAnsi="Tahoma"/>
      <w:sz w:val="24"/>
      <w:szCs w:val="20"/>
    </w:rPr>
  </w:style>
  <w:style w:type="paragraph" w:styleId="1184">
    <w:name w:val="Char Char Char Char Char Char Char1"/>
    <w:basedOn w:val="1012"/>
    <w:next w:val="1184"/>
    <w:link w:val="1012"/>
    <w:qFormat/>
    <w:pPr>
      <w:ind w:firstLine="200"/>
      <w:spacing w:line="360" w:lineRule="auto"/>
    </w:pPr>
    <w:rPr>
      <w:rFonts w:eastAsia="仿宋_GB2312"/>
      <w:sz w:val="24"/>
    </w:rPr>
  </w:style>
  <w:style w:type="paragraph" w:styleId="1185">
    <w:name w:val="xl51"/>
    <w:basedOn w:val="1012"/>
    <w:next w:val="1185"/>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5"/>
    <w:next w:val="1186"/>
    <w:link w:val="1012"/>
    <w:qFormat/>
    <w:pPr>
      <w:jc w:val="center"/>
      <w:spacing w:line="360" w:lineRule="auto"/>
    </w:pPr>
    <w:rPr>
      <w:sz w:val="24"/>
    </w:rPr>
  </w:style>
  <w:style w:type="paragraph" w:styleId="1187">
    <w:name w:val="xl24"/>
    <w:basedOn w:val="1012"/>
    <w:next w:val="1187"/>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2"/>
    <w:next w:val="1188"/>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2"/>
    <w:next w:val="1189"/>
    <w:link w:val="1012"/>
    <w:qFormat/>
    <w:pPr>
      <w:jc w:val="left"/>
      <w:widowControl/>
    </w:pPr>
    <w:rPr>
      <w:rFonts w:ascii="楷体_GB2312" w:eastAsia="楷体_GB2312" w:cs="Arial"/>
      <w:sz w:val="24"/>
    </w:rPr>
  </w:style>
  <w:style w:type="paragraph" w:styleId="1190">
    <w:name w:val="xl34"/>
    <w:basedOn w:val="1012"/>
    <w:next w:val="119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2"/>
    <w:next w:val="1191"/>
    <w:link w:val="1012"/>
    <w:qFormat/>
    <w:rPr>
      <w:rFonts w:ascii="Tahoma" w:hAnsi="Tahoma"/>
      <w:sz w:val="24"/>
      <w:szCs w:val="20"/>
    </w:rPr>
  </w:style>
  <w:style w:type="paragraph" w:styleId="1192">
    <w:name w:val="列出段落1"/>
    <w:basedOn w:val="1012"/>
    <w:next w:val="1192"/>
    <w:link w:val="1012"/>
    <w:qFormat/>
    <w:pPr>
      <w:ind w:firstLine="420"/>
    </w:pPr>
    <w:rPr>
      <w:rFonts w:ascii="Calibri" w:hAnsi="Calibri"/>
      <w:szCs w:val="22"/>
    </w:rPr>
  </w:style>
  <w:style w:type="paragraph" w:styleId="1193">
    <w:name w:val="default"/>
    <w:basedOn w:val="1012"/>
    <w:next w:val="1193"/>
    <w:link w:val="1012"/>
    <w:qFormat/>
    <w:pPr>
      <w:jc w:val="left"/>
      <w:spacing w:before="100" w:beforeAutospacing="1" w:after="100" w:afterAutospacing="1"/>
      <w:widowControl/>
    </w:pPr>
    <w:rPr>
      <w:rFonts w:ascii="宋体" w:hAnsi="宋体" w:cs="宋体"/>
      <w:sz w:val="24"/>
    </w:rPr>
  </w:style>
  <w:style w:type="paragraph" w:styleId="1194">
    <w:name w:val="字元 字元1"/>
    <w:basedOn w:val="1012"/>
    <w:next w:val="1194"/>
    <w:link w:val="1012"/>
    <w:qFormat/>
    <w:rPr>
      <w:rFonts w:ascii="Tahoma" w:hAnsi="Tahoma"/>
      <w:sz w:val="24"/>
      <w:szCs w:val="20"/>
    </w:rPr>
  </w:style>
  <w:style w:type="paragraph" w:styleId="1195">
    <w:name w:val="_Style 160"/>
    <w:next w:val="1195"/>
    <w:link w:val="1012"/>
    <w:qFormat/>
    <w:rPr>
      <w:sz w:val="21"/>
      <w:szCs w:val="24"/>
      <w:lang w:val="en-US" w:eastAsia="zh-CN" w:bidi="ar-SA"/>
    </w:rPr>
  </w:style>
  <w:style w:type="paragraph" w:styleId="1196">
    <w:name w:val="项目编号3"/>
    <w:basedOn w:val="1157"/>
    <w:next w:val="1196"/>
    <w:link w:val="1012"/>
    <w:qFormat/>
    <w:pPr>
      <w:numPr>
        <w:ilvl w:val="0"/>
        <w:numId w:val="6"/>
      </w:numPr>
    </w:pPr>
  </w:style>
  <w:style w:type="paragraph" w:styleId="1197">
    <w:name w:val="Char21"/>
    <w:basedOn w:val="1012"/>
    <w:next w:val="1197"/>
    <w:link w:val="1012"/>
    <w:qFormat/>
    <w:rPr>
      <w:rFonts w:ascii="Tahoma" w:hAnsi="Tahoma"/>
      <w:sz w:val="24"/>
      <w:szCs w:val="20"/>
    </w:rPr>
  </w:style>
  <w:style w:type="paragraph" w:styleId="1198">
    <w:name w:val="表格文字"/>
    <w:basedOn w:val="1045"/>
    <w:next w:val="1198"/>
    <w:link w:val="1012"/>
    <w:qFormat/>
    <w:pPr>
      <w:ind w:firstLine="0"/>
      <w:spacing w:before="20" w:after="20" w:line="240" w:lineRule="auto"/>
    </w:pPr>
    <w:rPr>
      <w:rFonts w:ascii="Century Gothic" w:hAnsi="Century Gothic"/>
      <w:sz w:val="20"/>
      <w:szCs w:val="20"/>
    </w:rPr>
  </w:style>
  <w:style w:type="paragraph" w:styleId="1199">
    <w:name w:val="Char Char Char Char Char Char Char Char Char Char1"/>
    <w:basedOn w:val="1012"/>
    <w:next w:val="1199"/>
    <w:link w:val="1012"/>
    <w:qFormat/>
    <w:rPr>
      <w:rFonts w:ascii="宋体" w:hAnsi="宋体" w:cs="Courier New"/>
      <w:sz w:val="32"/>
      <w:szCs w:val="32"/>
    </w:rPr>
  </w:style>
  <w:style w:type="paragraph" w:styleId="1200">
    <w:name w:val="正文文本样式 加粗"/>
    <w:basedOn w:val="1157"/>
    <w:next w:val="1200"/>
    <w:link w:val="1012"/>
    <w:qFormat/>
    <w:rPr>
      <w:b/>
    </w:rPr>
  </w:style>
  <w:style w:type="paragraph" w:styleId="1201">
    <w:name w:val="Char2 Char Char Char Char Char Char"/>
    <w:basedOn w:val="1012"/>
    <w:next w:val="1201"/>
    <w:link w:val="1012"/>
    <w:qFormat/>
    <w:pPr>
      <w:jc w:val="center"/>
      <w:spacing w:line="400" w:lineRule="exact"/>
      <w:widowControl/>
    </w:pPr>
  </w:style>
  <w:style w:type="paragraph" w:styleId="1202">
    <w:name w:val="Char Char4"/>
    <w:basedOn w:val="1012"/>
    <w:next w:val="1202"/>
    <w:link w:val="1012"/>
    <w:qFormat/>
    <w:pPr>
      <w:jc w:val="center"/>
      <w:spacing w:line="400" w:lineRule="exact"/>
      <w:widowControl/>
    </w:pPr>
  </w:style>
  <w:style w:type="paragraph" w:styleId="1203">
    <w:name w:val="Char3 Char Char Char1"/>
    <w:basedOn w:val="1012"/>
    <w:next w:val="1203"/>
    <w:link w:val="1012"/>
    <w:qFormat/>
    <w:rPr>
      <w:rFonts w:ascii="Tahoma" w:hAnsi="Tahoma"/>
      <w:sz w:val="24"/>
      <w:szCs w:val="20"/>
    </w:rPr>
  </w:style>
  <w:style w:type="paragraph" w:styleId="1204">
    <w:name w:val="无间隔"/>
    <w:next w:val="1204"/>
    <w:link w:val="1012"/>
    <w:qFormat/>
    <w:pPr>
      <w:jc w:val="both"/>
      <w:widowControl w:val="off"/>
    </w:pPr>
    <w:rPr>
      <w:sz w:val="21"/>
      <w:szCs w:val="24"/>
      <w:lang w:val="en-US" w:eastAsia="zh-CN" w:bidi="ar-SA"/>
    </w:rPr>
  </w:style>
  <w:style w:type="paragraph" w:styleId="1205">
    <w:name w:val="22222222222222"/>
    <w:basedOn w:val="1012"/>
    <w:next w:val="1205"/>
    <w:link w:val="1012"/>
    <w:qFormat/>
    <w:pPr>
      <w:ind w:firstLine="480"/>
      <w:jc w:val="left"/>
      <w:spacing w:line="360" w:lineRule="auto"/>
      <w:widowControl/>
    </w:pPr>
    <w:rPr>
      <w:color w:val="ff0000"/>
      <w:sz w:val="24"/>
      <w:szCs w:val="20"/>
    </w:rPr>
  </w:style>
  <w:style w:type="character" w:styleId="1206">
    <w:name w:val="中等深浅网格 1 - 强调文字颜色 2 Char"/>
    <w:next w:val="1206"/>
    <w:link w:val="1207"/>
    <w:qFormat/>
    <w:rPr>
      <w:sz w:val="21"/>
      <w:szCs w:val="24"/>
      <w:lang w:val="zh-CN" w:eastAsia="zh-CN" w:bidi="ar-SA"/>
    </w:rPr>
  </w:style>
  <w:style w:type="paragraph" w:styleId="1207">
    <w:name w:val="1"/>
    <w:next w:val="1207"/>
    <w:link w:val="1206"/>
    <w:qFormat/>
    <w:rPr>
      <w:sz w:val="21"/>
      <w:szCs w:val="24"/>
      <w:lang w:val="zh-CN" w:eastAsia="zh-CN" w:bidi="ar-SA"/>
    </w:rPr>
  </w:style>
  <w:style w:type="paragraph" w:styleId="1208">
    <w:name w:val="图文"/>
    <w:basedOn w:val="1012"/>
    <w:next w:val="1208"/>
    <w:link w:val="1012"/>
    <w:qFormat/>
    <w:pPr>
      <w:spacing w:after="50" w:line="360" w:lineRule="auto"/>
    </w:pPr>
    <w:rPr>
      <w:sz w:val="24"/>
    </w:rPr>
  </w:style>
  <w:style w:type="paragraph" w:styleId="1209">
    <w:name w:val="xl23"/>
    <w:basedOn w:val="1012"/>
    <w:next w:val="1209"/>
    <w:link w:val="1012"/>
    <w:qFormat/>
    <w:pPr>
      <w:spacing w:before="100" w:beforeAutospacing="1" w:after="100" w:afterAutospacing="1" w:line="360" w:lineRule="auto"/>
      <w:widowControl/>
    </w:pPr>
    <w:rPr>
      <w:sz w:val="24"/>
      <w:szCs w:val="20"/>
    </w:rPr>
  </w:style>
  <w:style w:type="paragraph" w:styleId="1210">
    <w:name w:val="正文表格"/>
    <w:basedOn w:val="1012"/>
    <w:next w:val="1210"/>
    <w:link w:val="1211"/>
    <w:qFormat/>
    <w:pPr>
      <w:jc w:val="left"/>
    </w:pPr>
    <w:rPr>
      <w:rFonts w:ascii="宋体" w:hAnsi="宋体"/>
      <w:color w:val="000000"/>
      <w:szCs w:val="21"/>
    </w:rPr>
  </w:style>
  <w:style w:type="character" w:styleId="1211">
    <w:name w:val="正文表格 Char"/>
    <w:next w:val="1211"/>
    <w:link w:val="1210"/>
    <w:qFormat/>
    <w:rPr>
      <w:rFonts w:ascii="宋体" w:hAnsi="宋体"/>
      <w:color w:val="000000"/>
      <w:sz w:val="21"/>
      <w:szCs w:val="21"/>
    </w:rPr>
  </w:style>
  <w:style w:type="paragraph" w:styleId="1212">
    <w:name w:val="正文重点"/>
    <w:basedOn w:val="1012"/>
    <w:next w:val="1212"/>
    <w:link w:val="1213"/>
    <w:qFormat/>
    <w:pPr>
      <w:ind w:firstLine="482"/>
      <w:jc w:val="left"/>
      <w:spacing w:line="360" w:lineRule="auto"/>
    </w:pPr>
    <w:rPr>
      <w:b/>
      <w:sz w:val="24"/>
      <w:szCs w:val="20"/>
    </w:rPr>
  </w:style>
  <w:style w:type="character" w:styleId="1213">
    <w:name w:val="正文重点 Char"/>
    <w:next w:val="1213"/>
    <w:link w:val="1212"/>
    <w:qFormat/>
    <w:rPr>
      <w:b/>
      <w:sz w:val="24"/>
    </w:rPr>
  </w:style>
  <w:style w:type="paragraph" w:styleId="1214">
    <w:name w:val="标题1-附件"/>
    <w:basedOn w:val="1013"/>
    <w:next w:val="1214"/>
    <w:link w:val="1012"/>
    <w:qFormat/>
    <w:pPr>
      <w:jc w:val="left"/>
    </w:pPr>
    <w:rPr>
      <w:sz w:val="24"/>
      <w:szCs w:val="24"/>
    </w:rPr>
  </w:style>
  <w:style w:type="paragraph" w:styleId="1215">
    <w:name w:val="正文小标题"/>
    <w:basedOn w:val="1012"/>
    <w:next w:val="1026"/>
    <w:link w:val="1216"/>
    <w:qFormat/>
    <w:pPr>
      <w:ind w:firstLine="482"/>
      <w:jc w:val="left"/>
      <w:spacing w:before="312" w:after="312"/>
    </w:pPr>
    <w:rPr>
      <w:rFonts w:ascii="宋体" w:hAnsi="宋体"/>
      <w:b/>
      <w:i/>
      <w:color w:val="ff0000"/>
      <w:sz w:val="24"/>
      <w:szCs w:val="20"/>
    </w:rPr>
  </w:style>
  <w:style w:type="character" w:styleId="1216">
    <w:name w:val="正文小标题 Char"/>
    <w:next w:val="1216"/>
    <w:link w:val="1215"/>
    <w:qFormat/>
    <w:rPr>
      <w:rFonts w:ascii="宋体" w:hAnsi="宋体"/>
      <w:b/>
      <w:i/>
      <w:color w:val="ff0000"/>
      <w:sz w:val="24"/>
    </w:rPr>
  </w:style>
  <w:style w:type="paragraph" w:styleId="1217">
    <w:name w:val="正文大标题"/>
    <w:basedOn w:val="1215"/>
    <w:next w:val="1026"/>
    <w:link w:val="1218"/>
    <w:qFormat/>
    <w:pPr>
      <w:jc w:val="center"/>
    </w:pPr>
    <w:rPr>
      <w:i w:val="0"/>
      <w:color w:val="000000"/>
      <w:sz w:val="28"/>
      <w:szCs w:val="21"/>
    </w:rPr>
  </w:style>
  <w:style w:type="character" w:styleId="1218">
    <w:name w:val="正文大标题 Char"/>
    <w:next w:val="1218"/>
    <w:link w:val="1217"/>
    <w:qFormat/>
    <w:rPr>
      <w:rFonts w:ascii="宋体" w:hAnsi="宋体"/>
      <w:b/>
      <w:color w:val="000000"/>
      <w:sz w:val="28"/>
      <w:szCs w:val="21"/>
    </w:rPr>
  </w:style>
  <w:style w:type="paragraph" w:styleId="1219">
    <w:name w:val="注释"/>
    <w:basedOn w:val="1012"/>
    <w:next w:val="1219"/>
    <w:link w:val="1220"/>
    <w:qFormat/>
    <w:pPr>
      <w:ind w:left="420" w:hanging="420"/>
      <w:jc w:val="left"/>
    </w:pPr>
    <w:rPr>
      <w:rFonts w:ascii="宋体" w:hAnsi="宋体"/>
      <w:szCs w:val="21"/>
    </w:rPr>
  </w:style>
  <w:style w:type="character" w:styleId="1220">
    <w:name w:val="注释 Char"/>
    <w:next w:val="1220"/>
    <w:link w:val="1219"/>
    <w:qFormat/>
    <w:rPr>
      <w:rFonts w:ascii="宋体" w:hAnsi="宋体"/>
      <w:sz w:val="21"/>
      <w:szCs w:val="21"/>
    </w:rPr>
  </w:style>
  <w:style w:type="paragraph" w:styleId="1221">
    <w:name w:val="正文须知-1级"/>
    <w:basedOn w:val="1012"/>
    <w:next w:val="1012"/>
    <w:link w:val="1012"/>
    <w:qFormat/>
    <w:pPr>
      <w:numPr>
        <w:ilvl w:val="0"/>
        <w:numId w:val="7"/>
      </w:numPr>
      <w:spacing w:line="300" w:lineRule="auto"/>
    </w:pPr>
    <w:rPr>
      <w:rFonts w:ascii="宋体" w:hAnsi="Calibri"/>
      <w:sz w:val="24"/>
      <w:szCs w:val="21"/>
    </w:rPr>
  </w:style>
  <w:style w:type="paragraph" w:styleId="1222">
    <w:name w:val="正文须知-2级"/>
    <w:basedOn w:val="1012"/>
    <w:next w:val="1222"/>
    <w:link w:val="1012"/>
    <w:qFormat/>
    <w:pPr>
      <w:numPr>
        <w:ilvl w:val="1"/>
        <w:numId w:val="7"/>
      </w:numPr>
      <w:spacing w:line="300" w:lineRule="auto"/>
    </w:pPr>
    <w:rPr>
      <w:rFonts w:ascii="宋体" w:hAnsi="Calibri"/>
      <w:sz w:val="24"/>
      <w:szCs w:val="21"/>
    </w:rPr>
  </w:style>
  <w:style w:type="paragraph" w:styleId="1223">
    <w:name w:val="正文须知-3级"/>
    <w:basedOn w:val="1012"/>
    <w:next w:val="1223"/>
    <w:link w:val="1012"/>
    <w:qFormat/>
    <w:pPr>
      <w:numPr>
        <w:ilvl w:val="2"/>
        <w:numId w:val="7"/>
      </w:numPr>
      <w:ind w:hanging="355"/>
      <w:spacing w:line="300" w:lineRule="auto"/>
    </w:pPr>
    <w:rPr>
      <w:rFonts w:ascii="宋体" w:hAnsi="Calibri"/>
      <w:sz w:val="24"/>
      <w:szCs w:val="21"/>
    </w:rPr>
  </w:style>
  <w:style w:type="character" w:styleId="1224">
    <w:name w:val="纯文本 字符"/>
    <w:next w:val="1224"/>
    <w:link w:val="1012"/>
    <w:uiPriority w:val="99"/>
    <w:qFormat/>
    <w:rPr>
      <w:rFonts w:ascii="宋体" w:hAnsi="Courier New" w:eastAsia="宋体" w:cs="Times New Roman"/>
      <w:sz w:val="21"/>
      <w:szCs w:val="21"/>
      <w:lang w:val="en-US" w:eastAsia="zh-CN" w:bidi="ar-SA"/>
    </w:rPr>
  </w:style>
  <w:style w:type="paragraph" w:styleId="1225">
    <w:name w:val="表格1"/>
    <w:basedOn w:val="1012"/>
    <w:next w:val="1225"/>
    <w:link w:val="1012"/>
    <w:qFormat/>
    <w:pPr>
      <w:ind w:firstLine="480"/>
      <w:jc w:val="center"/>
    </w:pPr>
    <w:rPr>
      <w:sz w:val="24"/>
      <w:szCs w:val="20"/>
    </w:rPr>
  </w:style>
  <w:style w:type="character" w:styleId="1226">
    <w:name w:val="纯文本 字符1"/>
    <w:next w:val="1226"/>
    <w:link w:val="1012"/>
    <w:qFormat/>
    <w:rPr>
      <w:rFonts w:ascii="宋体" w:hAnsi="Courier New"/>
    </w:rPr>
  </w:style>
  <w:style w:type="character" w:styleId="1227">
    <w:name w:val="bjh-p"/>
    <w:next w:val="1227"/>
    <w:link w:val="1012"/>
    <w:qFormat/>
  </w:style>
  <w:style w:type="paragraph" w:styleId="1228">
    <w:name w:val="无标题条"/>
    <w:next w:val="1012"/>
    <w:link w:val="1012"/>
    <w:qFormat/>
    <w:pPr>
      <w:jc w:val="both"/>
    </w:pPr>
    <w:rPr>
      <w:sz w:val="21"/>
      <w:lang w:val="en-US" w:eastAsia="zh-CN" w:bidi="ar-SA"/>
    </w:rPr>
  </w:style>
  <w:style w:type="character" w:styleId="1229">
    <w:name w:val="正文格式 Char"/>
    <w:next w:val="1229"/>
    <w:link w:val="1230"/>
    <w:qFormat/>
    <w:rPr>
      <w:rFonts w:ascii="宋体" w:hAnsi="宋体"/>
      <w:sz w:val="24"/>
      <w:szCs w:val="24"/>
      <w:lang w:val="en-GB"/>
    </w:rPr>
  </w:style>
  <w:style w:type="paragraph" w:styleId="1230">
    <w:name w:val="正文格式"/>
    <w:basedOn w:val="1012"/>
    <w:next w:val="1230"/>
    <w:link w:val="1229"/>
    <w:qFormat/>
    <w:pPr>
      <w:ind w:firstLine="480"/>
      <w:spacing w:line="360" w:lineRule="auto"/>
    </w:pPr>
    <w:rPr>
      <w:rFonts w:ascii="宋体" w:hAnsi="宋体"/>
      <w:sz w:val="24"/>
      <w:lang w:val="en-GB"/>
    </w:rPr>
  </w:style>
  <w:style w:type="character" w:styleId="1231">
    <w:name w:val="标题 3 Char"/>
    <w:next w:val="1231"/>
    <w:link w:val="1012"/>
    <w:qFormat/>
    <w:rPr>
      <w:rFonts w:ascii="宋体" w:eastAsia="宋体"/>
      <w:b/>
      <w:sz w:val="24"/>
      <w:u w:val="single"/>
      <w:lang w:val="en-US" w:eastAsia="zh-CN" w:bidi="ar-SA"/>
    </w:rPr>
  </w:style>
  <w:style w:type="character" w:styleId="1232">
    <w:name w:val="正文缩进 Char"/>
    <w:next w:val="1232"/>
    <w:link w:val="1012"/>
    <w:qFormat/>
    <w:rPr>
      <w:rFonts w:ascii="宋体" w:eastAsia="宋体"/>
      <w:sz w:val="24"/>
      <w:szCs w:val="24"/>
      <w:lang w:val="en-US" w:eastAsia="zh-CN" w:bidi="ar-SA"/>
    </w:rPr>
  </w:style>
  <w:style w:type="character" w:styleId="1233">
    <w:name w:val="Char Char111"/>
    <w:next w:val="1233"/>
    <w:link w:val="1012"/>
    <w:qFormat/>
    <w:rPr>
      <w:rFonts w:ascii="宋体" w:eastAsia="宋体"/>
      <w:b/>
      <w:sz w:val="24"/>
      <w:u w:val="single"/>
      <w:lang w:val="en-US" w:eastAsia="zh-CN" w:bidi="ar-SA"/>
    </w:rPr>
  </w:style>
  <w:style w:type="character" w:styleId="1234">
    <w:name w:val="正文文本缩进 Char"/>
    <w:next w:val="1234"/>
    <w:link w:val="1012"/>
    <w:qFormat/>
    <w:rPr>
      <w:rFonts w:eastAsia="宋体"/>
      <w:sz w:val="24"/>
      <w:szCs w:val="24"/>
      <w:lang w:val="en-US" w:eastAsia="zh-CN" w:bidi="ar-SA"/>
    </w:rPr>
  </w:style>
  <w:style w:type="character" w:styleId="1235">
    <w:name w:val="列出段落 Char"/>
    <w:next w:val="1235"/>
    <w:link w:val="1012"/>
    <w:qFormat/>
    <w:rPr>
      <w:rFonts w:ascii="Calibri" w:hAnsi="Calibri" w:eastAsia="宋体"/>
      <w:sz w:val="21"/>
      <w:szCs w:val="22"/>
      <w:lang w:val="en-US" w:eastAsia="zh-CN" w:bidi="ar-SA"/>
    </w:rPr>
  </w:style>
  <w:style w:type="character" w:styleId="1236">
    <w:name w:val="页眉 Char"/>
    <w:next w:val="1236"/>
    <w:link w:val="1012"/>
    <w:qFormat/>
    <w:rPr>
      <w:rFonts w:eastAsia="宋体"/>
      <w:sz w:val="18"/>
      <w:szCs w:val="18"/>
      <w:lang w:val="en-US" w:eastAsia="zh-CN" w:bidi="ar-SA"/>
    </w:rPr>
  </w:style>
  <w:style w:type="character" w:styleId="1237">
    <w:name w:val="标题 2 Char"/>
    <w:next w:val="1237"/>
    <w:link w:val="1012"/>
    <w:qFormat/>
    <w:rPr>
      <w:rFonts w:ascii="Arial" w:hAnsi="Arial" w:eastAsia="黑体"/>
      <w:b/>
      <w:sz w:val="30"/>
      <w:lang w:val="en-US" w:eastAsia="zh-CN" w:bidi="ar-SA"/>
    </w:rPr>
  </w:style>
  <w:style w:type="paragraph" w:styleId="1238">
    <w:name w:val="字元 字元2"/>
    <w:basedOn w:val="1012"/>
    <w:next w:val="1238"/>
    <w:link w:val="1012"/>
    <w:qFormat/>
    <w:rPr>
      <w:rFonts w:ascii="Tahoma" w:hAnsi="Tahoma"/>
      <w:sz w:val="24"/>
      <w:szCs w:val="20"/>
    </w:rPr>
  </w:style>
  <w:style w:type="paragraph" w:styleId="1239">
    <w:name w:val="Char3 Char Char Char2"/>
    <w:basedOn w:val="1012"/>
    <w:next w:val="1239"/>
    <w:link w:val="1012"/>
    <w:qFormat/>
    <w:rPr>
      <w:rFonts w:ascii="Tahoma" w:hAnsi="Tahoma"/>
      <w:sz w:val="24"/>
      <w:szCs w:val="20"/>
    </w:rPr>
  </w:style>
  <w:style w:type="paragraph" w:styleId="1240">
    <w:name w:val="正文文本缩进2"/>
    <w:basedOn w:val="1012"/>
    <w:next w:val="1240"/>
    <w:link w:val="1012"/>
    <w:qFormat/>
    <w:pPr>
      <w:ind w:firstLine="480"/>
      <w:spacing w:line="480" w:lineRule="exact"/>
    </w:pPr>
    <w:rPr>
      <w:rFonts w:ascii="宋体" w:hAnsi="宋体"/>
      <w:sz w:val="24"/>
      <w:lang w:val="zh-CN" w:eastAsia="zh-CN"/>
    </w:rPr>
  </w:style>
  <w:style w:type="paragraph" w:styleId="1241">
    <w:name w:val="Char3"/>
    <w:basedOn w:val="1012"/>
    <w:next w:val="1241"/>
    <w:link w:val="1012"/>
    <w:qFormat/>
    <w:pPr>
      <w:tabs>
        <w:tab w:val="left" w:pos="360" w:leader="none"/>
      </w:tabs>
    </w:pPr>
    <w:rPr>
      <w:sz w:val="24"/>
    </w:rPr>
  </w:style>
  <w:style w:type="paragraph" w:styleId="1242">
    <w:name w:val="Char Char Char Char Char Char Char Char Char Char Char Char Char Char Char Char1"/>
    <w:basedOn w:val="1012"/>
    <w:next w:val="1242"/>
    <w:link w:val="1012"/>
    <w:qFormat/>
    <w:pPr>
      <w:jc w:val="center"/>
      <w:spacing w:after="160" w:line="240" w:lineRule="exact"/>
      <w:widowControl/>
    </w:pPr>
    <w:rPr>
      <w:rFonts w:ascii="宋体" w:hAnsi="宋体"/>
      <w:b/>
      <w:sz w:val="30"/>
      <w:szCs w:val="30"/>
      <w:lang w:eastAsia="en-US"/>
    </w:rPr>
  </w:style>
  <w:style w:type="paragraph" w:styleId="1243">
    <w:name w:val="Char Char1 Char Char Char Char Char Char1"/>
    <w:basedOn w:val="1012"/>
    <w:next w:val="1243"/>
    <w:link w:val="1012"/>
    <w:qFormat/>
    <w:pPr>
      <w:jc w:val="left"/>
      <w:spacing w:after="160" w:line="240" w:lineRule="exact"/>
      <w:widowControl/>
    </w:pPr>
    <w:rPr>
      <w:rFonts w:ascii="Verdana" w:hAnsi="Verdana" w:eastAsia="仿宋_GB2312"/>
      <w:sz w:val="24"/>
      <w:szCs w:val="20"/>
      <w:lang w:eastAsia="en-US"/>
    </w:rPr>
  </w:style>
  <w:style w:type="paragraph" w:styleId="1244">
    <w:name w:val="列出段落2"/>
    <w:basedOn w:val="1012"/>
    <w:next w:val="1244"/>
    <w:link w:val="1012"/>
    <w:qFormat/>
    <w:pPr>
      <w:ind w:firstLine="420"/>
    </w:pPr>
    <w:rPr>
      <w:rFonts w:ascii="Calibri" w:hAnsi="Calibri"/>
      <w:szCs w:val="22"/>
    </w:rPr>
  </w:style>
  <w:style w:type="paragraph" w:styleId="1245">
    <w:name w:val="Char Char Char1 Char2"/>
    <w:basedOn w:val="1012"/>
    <w:next w:val="1245"/>
    <w:link w:val="1012"/>
    <w:qFormat/>
    <w:rPr>
      <w:rFonts w:ascii="Tahoma" w:hAnsi="Tahoma"/>
      <w:sz w:val="24"/>
      <w:szCs w:val="20"/>
    </w:rPr>
  </w:style>
  <w:style w:type="paragraph" w:styleId="1246">
    <w:name w:val="Char Char Char2"/>
    <w:basedOn w:val="1012"/>
    <w:next w:val="1246"/>
    <w:link w:val="1012"/>
    <w:qFormat/>
    <w:rPr>
      <w:rFonts w:ascii="Tahoma" w:hAnsi="Tahoma"/>
      <w:sz w:val="24"/>
      <w:szCs w:val="20"/>
    </w:rPr>
  </w:style>
  <w:style w:type="paragraph" w:styleId="1247">
    <w:name w:val="Char Char Char Char Char Char Char2"/>
    <w:basedOn w:val="1012"/>
    <w:next w:val="1247"/>
    <w:link w:val="1012"/>
    <w:qFormat/>
    <w:pPr>
      <w:ind w:firstLine="200"/>
      <w:spacing w:line="360" w:lineRule="auto"/>
    </w:pPr>
    <w:rPr>
      <w:rFonts w:eastAsia="仿宋_GB2312"/>
      <w:sz w:val="24"/>
    </w:rPr>
  </w:style>
  <w:style w:type="paragraph" w:styleId="1248">
    <w:name w:val="正文缩进2"/>
    <w:basedOn w:val="1012"/>
    <w:next w:val="1248"/>
    <w:link w:val="1012"/>
    <w:qFormat/>
    <w:pPr>
      <w:ind w:firstLine="567"/>
      <w:spacing w:line="480" w:lineRule="exact"/>
      <w:widowControl/>
    </w:pPr>
    <w:rPr>
      <w:rFonts w:ascii="宋体"/>
      <w:color w:val="000000"/>
      <w:sz w:val="28"/>
      <w:szCs w:val="20"/>
      <w:lang w:val="zh-CN" w:eastAsia="zh-CN"/>
    </w:rPr>
  </w:style>
  <w:style w:type="paragraph" w:styleId="1249">
    <w:name w:val="Revision"/>
    <w:next w:val="1249"/>
    <w:link w:val="1012"/>
    <w:qFormat/>
    <w:rPr>
      <w:sz w:val="21"/>
      <w:szCs w:val="24"/>
      <w:lang w:val="en-US" w:eastAsia="zh-CN" w:bidi="ar-SA"/>
    </w:rPr>
  </w:style>
  <w:style w:type="paragraph" w:styleId="1250">
    <w:name w:val="Char22"/>
    <w:basedOn w:val="1012"/>
    <w:next w:val="1250"/>
    <w:link w:val="1012"/>
    <w:qFormat/>
    <w:rPr>
      <w:rFonts w:ascii="Tahoma" w:hAnsi="Tahoma"/>
      <w:sz w:val="24"/>
      <w:szCs w:val="20"/>
    </w:rPr>
  </w:style>
  <w:style w:type="paragraph" w:styleId="1251">
    <w:name w:val="Char Char Char Char Char Char Char Char Char Char2"/>
    <w:basedOn w:val="1012"/>
    <w:next w:val="1251"/>
    <w:link w:val="1012"/>
    <w:qFormat/>
    <w:rPr>
      <w:rFonts w:ascii="宋体" w:hAnsi="宋体" w:cs="Courier New"/>
      <w:sz w:val="32"/>
      <w:szCs w:val="32"/>
    </w:rPr>
  </w:style>
  <w:style w:type="paragraph" w:styleId="1252">
    <w:name w:val="Char2 Char Char Char Char Char Char1"/>
    <w:basedOn w:val="1012"/>
    <w:next w:val="1252"/>
    <w:link w:val="1012"/>
    <w:qFormat/>
    <w:pPr>
      <w:jc w:val="center"/>
      <w:spacing w:line="400" w:lineRule="exact"/>
      <w:widowControl/>
    </w:pPr>
  </w:style>
  <w:style w:type="character" w:styleId="1253">
    <w:name w:val="页脚 Char"/>
    <w:next w:val="1253"/>
    <w:link w:val="1012"/>
    <w:qFormat/>
    <w:rPr>
      <w:rFonts w:ascii="宋体" w:eastAsia="宋体"/>
      <w:sz w:val="18"/>
      <w:lang w:val="en-US" w:eastAsia="zh-CN" w:bidi="ar-SA"/>
    </w:rPr>
  </w:style>
  <w:style w:type="paragraph" w:styleId="1254">
    <w:name w:val="Char Char41"/>
    <w:basedOn w:val="1012"/>
    <w:next w:val="1254"/>
    <w:link w:val="1012"/>
    <w:qFormat/>
    <w:pPr>
      <w:jc w:val="center"/>
      <w:spacing w:line="400" w:lineRule="exact"/>
      <w:widowControl/>
    </w:pPr>
  </w:style>
  <w:style w:type="character" w:styleId="1255">
    <w:name w:val="批注文字 Char"/>
    <w:next w:val="1255"/>
    <w:link w:val="1012"/>
    <w:uiPriority w:val="99"/>
    <w:qFormat/>
    <w:rPr>
      <w:sz w:val="21"/>
      <w:szCs w:val="24"/>
    </w:rPr>
  </w:style>
  <w:style w:type="character" w:styleId="1256">
    <w:name w:val="标题 Char"/>
    <w:next w:val="1256"/>
    <w:link w:val="1012"/>
    <w:qFormat/>
    <w:rPr>
      <w:b/>
      <w:sz w:val="32"/>
    </w:rPr>
  </w:style>
  <w:style w:type="paragraph" w:styleId="1257">
    <w:name w:val="图例"/>
    <w:basedOn w:val="1012"/>
    <w:next w:val="1257"/>
    <w:link w:val="1012"/>
    <w:qFormat/>
    <w:pPr>
      <w:jc w:val="center"/>
      <w:spacing w:before="120" w:after="120" w:line="360" w:lineRule="auto"/>
    </w:pPr>
    <w:rPr>
      <w:rFonts w:eastAsia="仿宋_GB2312"/>
      <w:b/>
      <w:sz w:val="24"/>
      <w:szCs w:val="20"/>
    </w:rPr>
  </w:style>
  <w:style w:type="paragraph" w:styleId="1258">
    <w:name w:val="Table Paragraph"/>
    <w:basedOn w:val="1012"/>
    <w:next w:val="1258"/>
    <w:link w:val="1012"/>
    <w:uiPriority w:val="1"/>
    <w:qFormat/>
    <w:pPr>
      <w:jc w:val="left"/>
    </w:pPr>
    <w:rPr>
      <w:rFonts w:ascii="宋体" w:hAnsi="宋体" w:cs="宋体"/>
      <w:sz w:val="22"/>
      <w:szCs w:val="22"/>
      <w:lang w:eastAsia="en-US"/>
    </w:rPr>
  </w:style>
  <w:style w:type="table" w:styleId="1259">
    <w:name w:val="Table Normal"/>
    <w:next w:val="1259"/>
    <w:link w:val="1012"/>
    <w:uiPriority w:val="2"/>
    <w:semiHidden/>
    <w:qFormat/>
    <w:pPr>
      <w:widowControl w:val="off"/>
    </w:pPr>
    <w:rPr>
      <w:rFonts w:ascii="Calibri" w:hAnsi="Calibri"/>
      <w:sz w:val="22"/>
      <w:szCs w:val="22"/>
      <w:lang w:val="en-US" w:eastAsia="en-US" w:bidi="ar-SA"/>
    </w:rPr>
    <w:tblPr/>
  </w:style>
  <w:style w:type="paragraph" w:styleId="1260">
    <w:name w:val="成文日期"/>
    <w:basedOn w:val="1012"/>
    <w:next w:val="1260"/>
    <w:link w:val="1261"/>
    <w:qFormat/>
    <w:pPr>
      <w:ind w:right="400" w:firstLine="200"/>
      <w:jc w:val="right"/>
      <w:spacing w:line="570" w:lineRule="exact"/>
    </w:pPr>
    <w:rPr>
      <w:rFonts w:ascii="仿宋_GB2312" w:eastAsia="仿宋_GB2312"/>
      <w:sz w:val="32"/>
      <w:szCs w:val="20"/>
    </w:rPr>
  </w:style>
  <w:style w:type="character" w:styleId="1261">
    <w:name w:val="成文日期 Char"/>
    <w:next w:val="1261"/>
    <w:link w:val="1260"/>
    <w:rPr>
      <w:rFonts w:ascii="仿宋_GB2312" w:eastAsia="仿宋_GB2312"/>
      <w:sz w:val="32"/>
    </w:rPr>
  </w:style>
  <w:style w:type="paragraph" w:styleId="1262">
    <w:name w:val="GP正文(首行缩进)"/>
    <w:basedOn w:val="1012"/>
    <w:next w:val="1262"/>
    <w:link w:val="1012"/>
    <w:uiPriority w:val="99"/>
    <w:qFormat/>
    <w:pPr>
      <w:ind w:firstLine="200"/>
      <w:jc w:val="left"/>
      <w:spacing w:line="360" w:lineRule="auto"/>
    </w:pPr>
    <w:rPr>
      <w:sz w:val="24"/>
      <w:szCs w:val="20"/>
    </w:rPr>
  </w:style>
  <w:style w:type="paragraph" w:styleId="1263">
    <w:name w:val="段"/>
    <w:next w:val="1264"/>
    <w:link w:val="1012"/>
    <w:qFormat/>
    <w:pPr>
      <w:ind w:firstLine="200"/>
      <w:jc w:val="both"/>
    </w:pPr>
    <w:rPr>
      <w:rFonts w:ascii="宋体" w:hAnsi="Calibri" w:eastAsia="宋体" w:cs="Times New Roman"/>
      <w:sz w:val="21"/>
      <w:szCs w:val="22"/>
      <w:lang w:val="en-US" w:eastAsia="zh-CN" w:bidi="ar-SA"/>
    </w:rPr>
  </w:style>
  <w:style w:type="paragraph" w:styleId="1264">
    <w:name w:val="正文 A"/>
    <w:next w:val="1264"/>
    <w:link w:val="1012"/>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265" w:default="1">
    <w:name w:val="Default Paragraph Font"/>
    <w:uiPriority w:val="1"/>
    <w:semiHidden/>
    <w:unhideWhenUsed/>
  </w:style>
  <w:style w:type="numbering" w:styleId="1266" w:default="1">
    <w:name w:val="No List"/>
    <w:uiPriority w:val="99"/>
    <w:semiHidden/>
    <w:unhideWhenUsed/>
  </w:style>
  <w:style w:type="table" w:styleId="1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赵婷</cp:lastModifiedBy>
  <cp:revision>4</cp:revision>
  <dcterms:created xsi:type="dcterms:W3CDTF">2022-05-30T08:05:00Z</dcterms:created>
  <dcterms:modified xsi:type="dcterms:W3CDTF">2026-03-19T07:40:16Z</dcterms:modified>
</cp:coreProperties>
</file>