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2A1859">
      <w:pPr>
        <w:rPr>
          <w:rFonts w:hint="eastAsia" w:ascii="宋体" w:hAnsi="宋体" w:cs="宋体"/>
          <w:caps/>
          <w:color w:val="000000"/>
          <w:szCs w:val="21"/>
        </w:rPr>
      </w:pPr>
      <w:r>
        <w:rPr>
          <w:rFonts w:hint="eastAsia" w:ascii="宋体" w:hAnsi="宋体" w:cs="宋体"/>
          <w:caps/>
          <w:color w:val="000000"/>
          <w:szCs w:val="21"/>
          <w:lang w:val="en-US" w:eastAsia="zh-CN"/>
        </w:rPr>
        <w:t xml:space="preserve"> </w:t>
      </w:r>
      <w:r>
        <w:rPr>
          <w:rFonts w:hint="eastAsia" w:ascii="宋体" w:hAnsi="宋体" w:cs="宋体"/>
          <w:caps/>
          <w:color w:val="000000"/>
          <w:szCs w:val="21"/>
        </w:rPr>
        <w:t xml:space="preserve"> </w:t>
      </w:r>
    </w:p>
    <w:p w14:paraId="7690866B">
      <w:pPr>
        <w:rPr>
          <w:rFonts w:hint="eastAsia" w:ascii="宋体" w:hAnsi="宋体" w:cs="宋体"/>
          <w:caps/>
          <w:color w:val="000000"/>
          <w:szCs w:val="21"/>
          <w:lang w:val="zh-CN"/>
        </w:rPr>
      </w:pPr>
    </w:p>
    <w:p w14:paraId="431FFBD6">
      <w:pPr>
        <w:jc w:val="center"/>
        <w:outlineLvl w:val="0"/>
        <w:rPr>
          <w:rFonts w:hint="eastAsia" w:ascii="宋体" w:hAnsi="宋体" w:cs="宋体"/>
          <w:color w:val="000000"/>
          <w:sz w:val="112"/>
          <w:szCs w:val="112"/>
          <w:lang w:val="zh-CN"/>
        </w:rPr>
      </w:pPr>
      <w:r>
        <w:rPr>
          <w:rFonts w:hint="eastAsia" w:ascii="宋体" w:hAnsi="宋体" w:cs="宋体"/>
          <w:color w:val="000000"/>
          <w:sz w:val="112"/>
          <w:szCs w:val="112"/>
          <w:lang w:val="zh-CN"/>
        </w:rPr>
        <w:t>公开招标文件</w:t>
      </w:r>
    </w:p>
    <w:p w14:paraId="5F862D56">
      <w:pPr>
        <w:rPr>
          <w:rFonts w:hint="eastAsia"/>
          <w:lang w:val="zh-CN"/>
        </w:rPr>
      </w:pPr>
    </w:p>
    <w:p w14:paraId="0B520C18">
      <w:pPr>
        <w:rPr>
          <w:rFonts w:hint="eastAsia" w:ascii="宋体" w:hAnsi="宋体" w:cs="宋体"/>
          <w:color w:val="000000"/>
          <w:szCs w:val="21"/>
          <w:lang w:val="zh-CN"/>
        </w:rPr>
      </w:pPr>
    </w:p>
    <w:p w14:paraId="04237A24">
      <w:pPr>
        <w:rPr>
          <w:rFonts w:hint="eastAsia" w:ascii="宋体" w:hAnsi="宋体" w:cs="宋体"/>
          <w:color w:val="000000"/>
          <w:szCs w:val="21"/>
          <w:lang w:val="zh-CN"/>
        </w:rPr>
      </w:pPr>
    </w:p>
    <w:p w14:paraId="26253473">
      <w:pPr>
        <w:pStyle w:val="42"/>
        <w:ind w:firstLine="420"/>
        <w:rPr>
          <w:rFonts w:hint="eastAsia" w:ascii="宋体" w:hAnsi="宋体" w:eastAsia="宋体"/>
          <w:color w:val="000000"/>
          <w:sz w:val="21"/>
          <w:szCs w:val="21"/>
        </w:rPr>
      </w:pPr>
    </w:p>
    <w:p w14:paraId="0FB9443E">
      <w:pPr>
        <w:pStyle w:val="42"/>
        <w:ind w:firstLine="420"/>
        <w:rPr>
          <w:rFonts w:hint="eastAsia" w:ascii="宋体" w:hAnsi="宋体" w:eastAsia="宋体"/>
          <w:color w:val="000000"/>
          <w:sz w:val="21"/>
          <w:szCs w:val="21"/>
        </w:rPr>
      </w:pPr>
    </w:p>
    <w:p w14:paraId="52F49FC3">
      <w:pPr>
        <w:pStyle w:val="42"/>
        <w:ind w:firstLine="420"/>
        <w:rPr>
          <w:rFonts w:hint="eastAsia" w:ascii="宋体" w:hAnsi="宋体" w:eastAsia="宋体"/>
          <w:color w:val="000000"/>
          <w:sz w:val="21"/>
          <w:szCs w:val="21"/>
        </w:rPr>
      </w:pPr>
    </w:p>
    <w:p w14:paraId="47455CBA">
      <w:pPr>
        <w:pStyle w:val="42"/>
        <w:ind w:firstLine="420"/>
        <w:rPr>
          <w:rFonts w:hint="eastAsia" w:ascii="宋体" w:hAnsi="宋体" w:eastAsia="宋体"/>
          <w:color w:val="000000"/>
          <w:sz w:val="21"/>
          <w:szCs w:val="21"/>
        </w:rPr>
      </w:pPr>
    </w:p>
    <w:tbl>
      <w:tblPr>
        <w:tblStyle w:val="35"/>
        <w:tblpPr w:leftFromText="180" w:rightFromText="180" w:vertAnchor="text" w:horzAnchor="margin" w:tblpXSpec="center" w:tblpY="321"/>
        <w:tblW w:w="9498" w:type="dxa"/>
        <w:jc w:val="center"/>
        <w:tblLayout w:type="fixed"/>
        <w:tblCellMar>
          <w:top w:w="0" w:type="dxa"/>
          <w:left w:w="0" w:type="dxa"/>
          <w:bottom w:w="0" w:type="dxa"/>
          <w:right w:w="0" w:type="dxa"/>
        </w:tblCellMar>
      </w:tblPr>
      <w:tblGrid>
        <w:gridCol w:w="9498"/>
      </w:tblGrid>
      <w:tr w14:paraId="2E313873">
        <w:tblPrEx>
          <w:tblCellMar>
            <w:top w:w="0" w:type="dxa"/>
            <w:left w:w="0" w:type="dxa"/>
            <w:bottom w:w="0" w:type="dxa"/>
            <w:right w:w="0" w:type="dxa"/>
          </w:tblCellMar>
        </w:tblPrEx>
        <w:trPr>
          <w:trHeight w:val="2336" w:hRule="atLeast"/>
          <w:jc w:val="center"/>
        </w:trPr>
        <w:tc>
          <w:tcPr>
            <w:tcW w:w="9498" w:type="dxa"/>
            <w:tcBorders>
              <w:top w:val="nil"/>
              <w:left w:val="nil"/>
              <w:bottom w:val="nil"/>
              <w:right w:val="nil"/>
            </w:tcBorders>
            <w:noWrap w:val="0"/>
            <w:vAlign w:val="top"/>
          </w:tcPr>
          <w:p w14:paraId="42638EC3">
            <w:pPr>
              <w:ind w:firstLine="945"/>
              <w:rPr>
                <w:rFonts w:hint="eastAsia" w:ascii="宋体" w:hAnsi="宋体" w:cs="宋体"/>
                <w:color w:val="000000"/>
                <w:szCs w:val="21"/>
                <w:lang w:val="zh-CN"/>
              </w:rPr>
            </w:pPr>
          </w:p>
          <w:p w14:paraId="26F9D97E">
            <w:pPr>
              <w:spacing w:line="360" w:lineRule="auto"/>
              <w:rPr>
                <w:rFonts w:hint="eastAsia" w:ascii="宋体" w:hAnsi="宋体" w:cs="宋体"/>
                <w:color w:val="000000"/>
                <w:sz w:val="40"/>
                <w:szCs w:val="40"/>
                <w:lang w:val="zh-CN" w:eastAsia="zh-CN"/>
              </w:rPr>
            </w:pPr>
            <w:r>
              <w:rPr>
                <w:rFonts w:hint="eastAsia" w:ascii="宋体" w:hAnsi="宋体" w:cs="宋体"/>
                <w:color w:val="000000"/>
                <w:sz w:val="40"/>
                <w:szCs w:val="40"/>
                <w:lang w:val="zh-CN"/>
              </w:rPr>
              <w:t>项</w:t>
            </w:r>
            <w:r>
              <w:rPr>
                <w:rFonts w:hint="eastAsia" w:ascii="宋体" w:hAnsi="宋体" w:cs="宋体"/>
                <w:color w:val="000000"/>
                <w:sz w:val="40"/>
                <w:szCs w:val="40"/>
                <w:highlight w:val="none"/>
                <w:lang w:val="zh-CN"/>
              </w:rPr>
              <w:t>目</w:t>
            </w:r>
            <w:r>
              <w:rPr>
                <w:rFonts w:hint="eastAsia" w:ascii="宋体" w:hAnsi="宋体" w:cs="宋体"/>
                <w:color w:val="000000"/>
                <w:sz w:val="40"/>
                <w:szCs w:val="40"/>
                <w:lang w:val="zh-CN"/>
              </w:rPr>
              <w:t>编号：JSZC-320115-NHYT-G2026-0001</w:t>
            </w:r>
          </w:p>
          <w:p w14:paraId="7125B94A">
            <w:pPr>
              <w:spacing w:line="360" w:lineRule="auto"/>
              <w:ind w:left="2000" w:hanging="2000"/>
              <w:rPr>
                <w:rFonts w:hint="eastAsia" w:ascii="宋体" w:hAnsi="宋体" w:cs="宋体"/>
                <w:sz w:val="40"/>
                <w:szCs w:val="40"/>
                <w:highlight w:val="none"/>
                <w:lang w:val="zh-CN"/>
              </w:rPr>
            </w:pPr>
            <w:r>
              <w:rPr>
                <w:rFonts w:hint="eastAsia" w:ascii="宋体" w:hAnsi="宋体" w:cs="宋体"/>
                <w:color w:val="000000"/>
                <w:sz w:val="40"/>
                <w:szCs w:val="40"/>
                <w:highlight w:val="none"/>
                <w:lang w:val="zh-CN"/>
              </w:rPr>
              <w:t>项目名称：</w:t>
            </w:r>
            <w:r>
              <w:rPr>
                <w:rFonts w:hint="eastAsia" w:ascii="宋体" w:hAnsi="宋体" w:cs="宋体"/>
                <w:sz w:val="40"/>
                <w:szCs w:val="40"/>
                <w:highlight w:val="none"/>
                <w:lang w:val="zh-CN"/>
              </w:rPr>
              <w:t>2026年江宁区林荫大道示范管护带</w:t>
            </w:r>
          </w:p>
          <w:p w14:paraId="45B1BEF2">
            <w:pPr>
              <w:spacing w:line="360" w:lineRule="auto"/>
              <w:ind w:left="0" w:firstLine="2000"/>
              <w:rPr>
                <w:rFonts w:hint="eastAsia" w:ascii="宋体" w:hAnsi="宋体" w:cs="宋体"/>
                <w:color w:val="000000"/>
                <w:szCs w:val="21"/>
                <w:lang w:val="zh-CN"/>
              </w:rPr>
            </w:pPr>
            <w:r>
              <w:rPr>
                <w:rFonts w:hint="eastAsia" w:ascii="宋体" w:hAnsi="宋体" w:cs="宋体"/>
                <w:sz w:val="40"/>
                <w:szCs w:val="40"/>
                <w:highlight w:val="none"/>
                <w:lang w:val="zh-CN"/>
              </w:rPr>
              <w:t>养护服务</w:t>
            </w:r>
          </w:p>
        </w:tc>
      </w:tr>
    </w:tbl>
    <w:p w14:paraId="6DBC0918">
      <w:pPr>
        <w:rPr>
          <w:rFonts w:hint="eastAsia" w:ascii="宋体" w:hAnsi="宋体" w:cs="宋体"/>
          <w:color w:val="000000"/>
          <w:szCs w:val="21"/>
          <w:lang w:val="zh-CN"/>
        </w:rPr>
      </w:pPr>
    </w:p>
    <w:p w14:paraId="51AAB2BE">
      <w:pPr>
        <w:rPr>
          <w:rFonts w:hint="eastAsia" w:ascii="宋体" w:hAnsi="宋体" w:cs="宋体"/>
          <w:color w:val="000000"/>
          <w:szCs w:val="21"/>
          <w:lang w:val="zh-CN"/>
        </w:rPr>
      </w:pPr>
    </w:p>
    <w:p w14:paraId="412396D6">
      <w:pPr>
        <w:rPr>
          <w:rFonts w:hint="eastAsia" w:ascii="宋体" w:hAnsi="宋体" w:cs="宋体"/>
          <w:b/>
          <w:color w:val="000000"/>
          <w:szCs w:val="21"/>
        </w:rPr>
      </w:pPr>
    </w:p>
    <w:p w14:paraId="6C21A4B5">
      <w:pPr>
        <w:rPr>
          <w:rFonts w:hint="eastAsia" w:ascii="宋体" w:hAnsi="宋体" w:cs="宋体"/>
          <w:b/>
          <w:color w:val="000000"/>
          <w:szCs w:val="21"/>
        </w:rPr>
      </w:pPr>
    </w:p>
    <w:p w14:paraId="545805E2">
      <w:pPr>
        <w:pStyle w:val="42"/>
        <w:ind w:firstLine="422"/>
        <w:rPr>
          <w:rFonts w:hint="eastAsia" w:ascii="宋体" w:hAnsi="宋体" w:eastAsia="宋体"/>
          <w:b/>
          <w:color w:val="000000"/>
          <w:sz w:val="21"/>
          <w:szCs w:val="21"/>
        </w:rPr>
      </w:pPr>
    </w:p>
    <w:p w14:paraId="15054F7B">
      <w:pPr>
        <w:pStyle w:val="42"/>
        <w:ind w:firstLine="422"/>
        <w:rPr>
          <w:rFonts w:hint="eastAsia" w:ascii="宋体" w:hAnsi="宋体" w:eastAsia="宋体"/>
          <w:b/>
          <w:color w:val="000000"/>
          <w:sz w:val="21"/>
          <w:szCs w:val="21"/>
        </w:rPr>
      </w:pPr>
    </w:p>
    <w:p w14:paraId="2A84C047">
      <w:pPr>
        <w:pStyle w:val="42"/>
        <w:ind w:firstLine="422"/>
        <w:rPr>
          <w:rFonts w:hint="eastAsia" w:ascii="宋体" w:hAnsi="宋体" w:eastAsia="宋体"/>
          <w:b/>
          <w:color w:val="000000"/>
          <w:sz w:val="21"/>
          <w:szCs w:val="21"/>
        </w:rPr>
      </w:pPr>
    </w:p>
    <w:p w14:paraId="6E2CA194">
      <w:pPr>
        <w:pStyle w:val="42"/>
        <w:ind w:firstLine="422"/>
        <w:rPr>
          <w:rFonts w:hint="eastAsia" w:ascii="宋体" w:hAnsi="宋体" w:eastAsia="宋体"/>
          <w:b/>
          <w:color w:val="000000"/>
          <w:sz w:val="21"/>
          <w:szCs w:val="21"/>
        </w:rPr>
      </w:pPr>
    </w:p>
    <w:p w14:paraId="64A9445D">
      <w:pPr>
        <w:pStyle w:val="42"/>
        <w:ind w:firstLine="422"/>
        <w:rPr>
          <w:rFonts w:hint="eastAsia" w:ascii="宋体" w:hAnsi="宋体" w:eastAsia="宋体"/>
          <w:b/>
          <w:color w:val="000000"/>
          <w:sz w:val="21"/>
          <w:szCs w:val="21"/>
        </w:rPr>
      </w:pPr>
    </w:p>
    <w:p w14:paraId="2DD4CCA7">
      <w:pPr>
        <w:rPr>
          <w:rFonts w:hint="eastAsia" w:ascii="宋体" w:hAnsi="宋体" w:cs="宋体"/>
          <w:color w:val="000000"/>
          <w:szCs w:val="21"/>
          <w:lang w:val="zh-CN"/>
        </w:rPr>
      </w:pPr>
    </w:p>
    <w:p w14:paraId="3EA1AF4A">
      <w:pPr>
        <w:rPr>
          <w:rFonts w:hint="eastAsia" w:ascii="宋体" w:hAnsi="宋体" w:cs="宋体"/>
          <w:color w:val="000000"/>
          <w:lang w:val="zh-CN"/>
        </w:rPr>
      </w:pPr>
    </w:p>
    <w:p w14:paraId="6C7E75DC">
      <w:pPr>
        <w:rPr>
          <w:rFonts w:hint="eastAsia" w:ascii="宋体" w:hAnsi="宋体" w:cs="宋体"/>
          <w:color w:val="000000"/>
          <w:lang w:val="zh-CN"/>
        </w:rPr>
      </w:pPr>
    </w:p>
    <w:p w14:paraId="36319134">
      <w:pPr>
        <w:rPr>
          <w:rFonts w:hint="eastAsia" w:ascii="宋体" w:hAnsi="宋体" w:cs="宋体"/>
          <w:color w:val="000000"/>
          <w:lang w:val="zh-CN"/>
        </w:rPr>
      </w:pPr>
    </w:p>
    <w:p w14:paraId="4BF01689">
      <w:pPr>
        <w:rPr>
          <w:rFonts w:hint="eastAsia" w:ascii="宋体" w:hAnsi="宋体" w:cs="宋体"/>
          <w:color w:val="000000"/>
          <w:lang w:val="zh-CN"/>
        </w:rPr>
      </w:pPr>
    </w:p>
    <w:p w14:paraId="79519EE4">
      <w:pPr>
        <w:spacing w:line="360" w:lineRule="auto"/>
        <w:ind w:left="2001" w:hanging="2001"/>
        <w:jc w:val="center"/>
        <w:rPr>
          <w:rFonts w:hint="eastAsia" w:ascii="宋体" w:hAnsi="宋体" w:cs="宋体"/>
          <w:sz w:val="40"/>
          <w:szCs w:val="40"/>
          <w:lang w:val="zh-CN"/>
        </w:rPr>
      </w:pPr>
      <w:r>
        <w:rPr>
          <w:rFonts w:hint="eastAsia" w:ascii="宋体" w:hAnsi="宋体" w:cs="宋体"/>
          <w:sz w:val="40"/>
          <w:szCs w:val="40"/>
          <w:lang w:val="zh-CN"/>
        </w:rPr>
        <w:t>南京浩运通工程咨询有限公司</w:t>
      </w:r>
    </w:p>
    <w:p w14:paraId="2C969369">
      <w:pPr>
        <w:spacing w:line="360" w:lineRule="auto"/>
        <w:ind w:left="2001" w:hanging="2001"/>
        <w:jc w:val="center"/>
        <w:rPr>
          <w:rFonts w:hint="eastAsia" w:ascii="宋体" w:hAnsi="宋体" w:cs="宋体"/>
          <w:sz w:val="40"/>
          <w:szCs w:val="40"/>
          <w:lang w:val="zh-CN"/>
        </w:rPr>
      </w:pPr>
      <w:r>
        <w:rPr>
          <w:rFonts w:hint="eastAsia" w:ascii="宋体" w:hAnsi="宋体" w:cs="宋体"/>
          <w:sz w:val="40"/>
          <w:szCs w:val="40"/>
          <w:lang w:val="zh-CN"/>
        </w:rPr>
        <w:t>二○二</w:t>
      </w:r>
      <w:r>
        <w:rPr>
          <w:rFonts w:hint="eastAsia" w:ascii="宋体" w:hAnsi="宋体" w:cs="宋体"/>
          <w:sz w:val="40"/>
          <w:szCs w:val="40"/>
          <w:lang w:val="en-US" w:eastAsia="zh-CN"/>
        </w:rPr>
        <w:t>六</w:t>
      </w:r>
      <w:r>
        <w:rPr>
          <w:rFonts w:hint="eastAsia" w:ascii="宋体" w:hAnsi="宋体" w:cs="宋体"/>
          <w:sz w:val="40"/>
          <w:szCs w:val="40"/>
          <w:lang w:val="zh-CN"/>
        </w:rPr>
        <w:t>年</w:t>
      </w:r>
      <w:r>
        <w:rPr>
          <w:rFonts w:hint="eastAsia" w:ascii="宋体" w:hAnsi="宋体" w:cs="宋体"/>
          <w:sz w:val="40"/>
          <w:szCs w:val="40"/>
          <w:lang w:val="en-US" w:eastAsia="zh-CN"/>
        </w:rPr>
        <w:t>三</w:t>
      </w:r>
      <w:r>
        <w:rPr>
          <w:rFonts w:hint="eastAsia" w:ascii="宋体" w:hAnsi="宋体" w:cs="宋体"/>
          <w:sz w:val="40"/>
          <w:szCs w:val="40"/>
          <w:lang w:val="zh-CN"/>
        </w:rPr>
        <w:t>月</w:t>
      </w:r>
    </w:p>
    <w:p w14:paraId="17186758">
      <w:pPr>
        <w:ind w:left="2000" w:hanging="2000"/>
        <w:jc w:val="center"/>
        <w:rPr>
          <w:rFonts w:hint="eastAsia" w:ascii="宋体" w:hAnsi="宋体" w:cs="宋体"/>
          <w:sz w:val="40"/>
          <w:szCs w:val="40"/>
          <w:lang w:val="zh-CN"/>
        </w:rPr>
      </w:pPr>
    </w:p>
    <w:p w14:paraId="64D9A6C5">
      <w:pPr>
        <w:jc w:val="both"/>
        <w:rPr>
          <w:rFonts w:hint="eastAsia" w:ascii="宋体" w:hAnsi="宋体" w:cs="宋体"/>
          <w:b/>
          <w:bCs/>
          <w:color w:val="000000"/>
          <w:sz w:val="36"/>
          <w:szCs w:val="36"/>
          <w:lang w:val="zh-CN"/>
        </w:rPr>
      </w:pPr>
    </w:p>
    <w:p w14:paraId="51D8C35F">
      <w:pPr>
        <w:pStyle w:val="41"/>
        <w:widowControl/>
        <w:spacing w:before="156" w:after="156" w:line="460" w:lineRule="exact"/>
        <w:ind w:left="1455" w:hanging="1455"/>
        <w:contextualSpacing/>
        <w:jc w:val="center"/>
        <w:outlineLvl w:val="0"/>
        <w:rPr>
          <w:rFonts w:hint="eastAsia" w:ascii="宋体" w:hAnsi="宋体" w:eastAsia="宋体" w:cs="Times New Roman"/>
          <w:b/>
          <w:sz w:val="36"/>
          <w:szCs w:val="30"/>
          <w:lang w:val="zh-CN" w:eastAsia="zh-CN" w:bidi="en-US"/>
        </w:rPr>
        <w:sectPr>
          <w:footerReference r:id="rId3" w:type="default"/>
          <w:pgSz w:w="11906" w:h="16838"/>
          <w:pgMar w:top="1440" w:right="1134" w:bottom="1440" w:left="1134" w:header="851" w:footer="992" w:gutter="0"/>
          <w:cols w:space="720" w:num="1"/>
          <w:docGrid w:linePitch="360" w:charSpace="0"/>
        </w:sectPr>
      </w:pPr>
    </w:p>
    <w:p w14:paraId="3AA830CC">
      <w:pPr>
        <w:pStyle w:val="41"/>
        <w:widowControl/>
        <w:spacing w:before="156" w:after="156" w:line="460" w:lineRule="exact"/>
        <w:ind w:left="1455" w:hanging="1455"/>
        <w:contextualSpacing/>
        <w:jc w:val="center"/>
        <w:outlineLvl w:val="0"/>
        <w:rPr>
          <w:rFonts w:hint="eastAsia" w:ascii="宋体" w:hAnsi="宋体" w:eastAsia="宋体" w:cs="Times New Roman"/>
          <w:b/>
          <w:sz w:val="36"/>
          <w:szCs w:val="30"/>
          <w:lang w:eastAsia="zh-CN" w:bidi="en-US"/>
        </w:rPr>
      </w:pPr>
      <w:r>
        <w:rPr>
          <w:rFonts w:hint="eastAsia" w:ascii="宋体" w:hAnsi="宋体" w:eastAsia="宋体" w:cs="Times New Roman"/>
          <w:b/>
          <w:sz w:val="36"/>
          <w:szCs w:val="30"/>
          <w:lang w:val="zh-CN" w:eastAsia="zh-CN" w:bidi="en-US"/>
        </w:rPr>
        <w:t>第一章  招标公告</w:t>
      </w:r>
    </w:p>
    <w:p w14:paraId="4ADE91EC">
      <w:pPr>
        <w:pStyle w:val="266"/>
        <w:keepNext w:val="0"/>
        <w:keepLines w:val="0"/>
        <w:pageBreakBefore w:val="0"/>
        <w:widowControl/>
        <w:spacing w:before="0" w:beforeAutospacing="0" w:after="0" w:afterAutospacing="0" w:line="360" w:lineRule="auto"/>
        <w:ind w:firstLine="440"/>
        <w:rPr>
          <w:rFonts w:hint="eastAsia"/>
          <w:sz w:val="22"/>
          <w:szCs w:val="22"/>
          <w:highlight w:val="none"/>
        </w:rPr>
      </w:pPr>
      <w:r>
        <w:rPr>
          <w:rFonts w:hint="eastAsia"/>
          <w:sz w:val="22"/>
          <w:szCs w:val="22"/>
          <w:highlight w:val="none"/>
          <w:lang w:eastAsia="zh-CN"/>
        </w:rPr>
        <w:t>2026年江宁区林荫大道示范管护带养护服务JSZC-320115-NHYT-G2026-0001</w:t>
      </w:r>
      <w:r>
        <w:rPr>
          <w:rFonts w:hint="eastAsia" w:ascii="宋体" w:hAnsi="宋体" w:eastAsia="宋体"/>
          <w:bCs/>
          <w:sz w:val="22"/>
          <w:szCs w:val="22"/>
          <w:highlight w:val="none"/>
        </w:rPr>
        <w:t>招标项目的潜在投标人应在江苏政府采购网获取招标文件</w:t>
      </w:r>
      <w:r>
        <w:rPr>
          <w:rFonts w:hint="eastAsia" w:ascii="宋体" w:hAnsi="宋体" w:eastAsia="宋体"/>
          <w:sz w:val="22"/>
          <w:szCs w:val="22"/>
          <w:highlight w:val="none"/>
        </w:rPr>
        <w:t>，</w:t>
      </w:r>
      <w:r>
        <w:rPr>
          <w:rFonts w:ascii="宋体" w:hAnsi="宋体" w:eastAsia="宋体"/>
          <w:sz w:val="22"/>
          <w:szCs w:val="22"/>
          <w:highlight w:val="none"/>
        </w:rPr>
        <w:t>并</w:t>
      </w:r>
      <w:r>
        <w:rPr>
          <w:rFonts w:hint="eastAsia" w:ascii="宋体" w:hAnsi="宋体" w:eastAsia="宋体"/>
          <w:sz w:val="22"/>
          <w:szCs w:val="22"/>
          <w:highlight w:val="none"/>
        </w:rPr>
        <w:t>于</w:t>
      </w:r>
      <w:r>
        <w:rPr>
          <w:rFonts w:hint="eastAsia"/>
          <w:sz w:val="22"/>
          <w:szCs w:val="22"/>
          <w:highlight w:val="none"/>
          <w:lang w:eastAsia="zh-CN"/>
        </w:rPr>
        <w:t>2025年4月17日</w:t>
      </w:r>
      <w:r>
        <w:rPr>
          <w:rFonts w:hint="eastAsia"/>
          <w:sz w:val="22"/>
          <w:szCs w:val="22"/>
          <w:highlight w:val="none"/>
          <w:lang w:val="en-US" w:eastAsia="zh-CN"/>
        </w:rPr>
        <w:t>09</w:t>
      </w:r>
      <w:r>
        <w:rPr>
          <w:rFonts w:hint="eastAsia" w:ascii="宋体" w:hAnsi="宋体" w:eastAsia="宋体"/>
          <w:sz w:val="22"/>
          <w:szCs w:val="22"/>
          <w:highlight w:val="none"/>
        </w:rPr>
        <w:t>:3</w:t>
      </w:r>
      <w:r>
        <w:rPr>
          <w:rFonts w:ascii="宋体" w:hAnsi="宋体" w:eastAsia="宋体"/>
          <w:sz w:val="22"/>
          <w:szCs w:val="22"/>
          <w:highlight w:val="none"/>
        </w:rPr>
        <w:t>0</w:t>
      </w:r>
      <w:r>
        <w:rPr>
          <w:rFonts w:hint="eastAsia" w:ascii="宋体" w:hAnsi="宋体" w:eastAsia="宋体"/>
          <w:sz w:val="22"/>
          <w:szCs w:val="22"/>
          <w:highlight w:val="none"/>
        </w:rPr>
        <w:t>（北京时间）前递交投标文件。</w:t>
      </w:r>
    </w:p>
    <w:p w14:paraId="6B8EFC32">
      <w:pPr>
        <w:widowControl/>
        <w:spacing w:after="0" w:line="360" w:lineRule="auto"/>
        <w:ind w:firstLine="422"/>
        <w:jc w:val="left"/>
        <w:outlineLvl w:val="1"/>
        <w:rPr>
          <w:rFonts w:hint="eastAsia" w:ascii="宋体" w:hAnsi="宋体" w:eastAsia="宋体" w:cs="Times New Roman"/>
          <w:b/>
          <w:sz w:val="22"/>
          <w:szCs w:val="22"/>
          <w:highlight w:val="none"/>
          <w:lang w:eastAsia="zh-CN" w:bidi="en-US"/>
        </w:rPr>
      </w:pPr>
      <w:r>
        <w:rPr>
          <w:rFonts w:hint="eastAsia" w:ascii="宋体" w:hAnsi="宋体" w:eastAsia="宋体" w:cs="Times New Roman"/>
          <w:b/>
          <w:sz w:val="22"/>
          <w:szCs w:val="22"/>
          <w:highlight w:val="none"/>
          <w:lang w:eastAsia="zh-CN" w:bidi="en-US"/>
        </w:rPr>
        <w:t>一、项目基本情况</w:t>
      </w:r>
    </w:p>
    <w:p w14:paraId="37B1E25F">
      <w:pPr>
        <w:pStyle w:val="266"/>
        <w:keepNext w:val="0"/>
        <w:keepLines w:val="0"/>
        <w:pageBreakBefore w:val="0"/>
        <w:widowControl/>
        <w:spacing w:before="0" w:beforeAutospacing="0" w:after="0" w:afterAutospacing="0" w:line="360" w:lineRule="auto"/>
        <w:ind w:firstLine="440"/>
        <w:rPr>
          <w:rFonts w:hint="eastAsia" w:eastAsia="宋体"/>
          <w:sz w:val="22"/>
          <w:szCs w:val="22"/>
          <w:highlight w:val="none"/>
          <w:lang w:eastAsia="zh-CN"/>
        </w:rPr>
      </w:pPr>
      <w:r>
        <w:rPr>
          <w:rFonts w:hint="eastAsia"/>
          <w:sz w:val="22"/>
          <w:szCs w:val="22"/>
          <w:highlight w:val="none"/>
        </w:rPr>
        <w:t>项目编号：</w:t>
      </w:r>
      <w:r>
        <w:rPr>
          <w:rFonts w:hint="eastAsia"/>
          <w:sz w:val="22"/>
          <w:szCs w:val="22"/>
          <w:highlight w:val="none"/>
          <w:lang w:eastAsia="zh-CN"/>
        </w:rPr>
        <w:t>JSZC-320115-NHYT-G2026-0001</w:t>
      </w:r>
    </w:p>
    <w:p w14:paraId="2DB8949B">
      <w:pPr>
        <w:pStyle w:val="266"/>
        <w:keepNext w:val="0"/>
        <w:keepLines w:val="0"/>
        <w:pageBreakBefore w:val="0"/>
        <w:widowControl/>
        <w:spacing w:before="0" w:beforeAutospacing="0" w:after="0" w:afterAutospacing="0" w:line="360" w:lineRule="auto"/>
        <w:ind w:firstLine="440"/>
        <w:rPr>
          <w:rFonts w:hint="eastAsia"/>
          <w:sz w:val="22"/>
          <w:szCs w:val="22"/>
          <w:highlight w:val="none"/>
          <w:lang w:eastAsia="zh-CN"/>
        </w:rPr>
      </w:pPr>
      <w:r>
        <w:rPr>
          <w:rFonts w:hint="eastAsia"/>
          <w:sz w:val="22"/>
          <w:szCs w:val="22"/>
          <w:highlight w:val="none"/>
        </w:rPr>
        <w:t>项目名称：</w:t>
      </w:r>
      <w:r>
        <w:rPr>
          <w:rFonts w:hint="eastAsia"/>
          <w:sz w:val="22"/>
          <w:szCs w:val="22"/>
          <w:highlight w:val="none"/>
          <w:lang w:eastAsia="zh-CN"/>
        </w:rPr>
        <w:t>2026年江宁区林荫大道示范管护带养护服务</w:t>
      </w:r>
    </w:p>
    <w:p w14:paraId="2E9A7F51">
      <w:pPr>
        <w:pStyle w:val="266"/>
        <w:keepNext w:val="0"/>
        <w:keepLines w:val="0"/>
        <w:pageBreakBefore w:val="0"/>
        <w:widowControl/>
        <w:spacing w:before="0" w:beforeAutospacing="0" w:after="0" w:afterAutospacing="0" w:line="360" w:lineRule="auto"/>
        <w:ind w:firstLine="440"/>
        <w:rPr>
          <w:rFonts w:hint="default"/>
          <w:sz w:val="22"/>
          <w:szCs w:val="22"/>
          <w:highlight w:val="none"/>
          <w:lang w:val="en-US" w:eastAsia="zh-CN"/>
        </w:rPr>
      </w:pPr>
      <w:r>
        <w:rPr>
          <w:rFonts w:hint="eastAsia"/>
          <w:sz w:val="22"/>
          <w:szCs w:val="22"/>
          <w:highlight w:val="none"/>
          <w:lang w:val="en-US" w:eastAsia="zh-CN"/>
        </w:rPr>
        <w:t>预算金额：396万元</w:t>
      </w:r>
    </w:p>
    <w:p w14:paraId="0ED6FCA3">
      <w:pPr>
        <w:pStyle w:val="266"/>
        <w:keepNext w:val="0"/>
        <w:keepLines w:val="0"/>
        <w:pageBreakBefore w:val="0"/>
        <w:widowControl/>
        <w:spacing w:before="0" w:beforeAutospacing="0" w:after="0" w:afterAutospacing="0" w:line="360" w:lineRule="auto"/>
        <w:ind w:firstLine="440"/>
        <w:rPr>
          <w:rFonts w:hint="eastAsia"/>
          <w:sz w:val="22"/>
          <w:szCs w:val="22"/>
          <w:highlight w:val="none"/>
        </w:rPr>
      </w:pPr>
      <w:r>
        <w:rPr>
          <w:rFonts w:hint="eastAsia"/>
          <w:sz w:val="22"/>
          <w:szCs w:val="22"/>
          <w:highlight w:val="none"/>
        </w:rPr>
        <w:t>最高限价：</w:t>
      </w:r>
      <w:r>
        <w:rPr>
          <w:rFonts w:hint="eastAsia"/>
          <w:sz w:val="22"/>
          <w:szCs w:val="22"/>
          <w:highlight w:val="none"/>
          <w:lang w:val="en-US" w:eastAsia="zh-CN"/>
        </w:rPr>
        <w:t>396万元</w:t>
      </w:r>
      <w:r>
        <w:rPr>
          <w:rFonts w:hint="eastAsia"/>
          <w:sz w:val="22"/>
          <w:szCs w:val="22"/>
          <w:highlight w:val="none"/>
        </w:rPr>
        <w:t>（投标报价不得超过采购项目最高限价金额，否则按无效投标处理）</w:t>
      </w:r>
    </w:p>
    <w:p w14:paraId="5E6804C3">
      <w:pPr>
        <w:pStyle w:val="266"/>
        <w:keepNext w:val="0"/>
        <w:keepLines w:val="0"/>
        <w:pageBreakBefore w:val="0"/>
        <w:widowControl/>
        <w:spacing w:before="0" w:beforeAutospacing="0" w:after="0" w:afterAutospacing="0" w:line="360" w:lineRule="auto"/>
        <w:ind w:firstLine="440"/>
        <w:rPr>
          <w:rFonts w:hint="eastAsia"/>
          <w:sz w:val="22"/>
          <w:szCs w:val="22"/>
          <w:highlight w:val="none"/>
          <w:lang w:val="en-US" w:eastAsia="zh-CN"/>
        </w:rPr>
      </w:pPr>
      <w:r>
        <w:rPr>
          <w:rFonts w:hint="eastAsia"/>
          <w:sz w:val="22"/>
          <w:szCs w:val="22"/>
          <w:highlight w:val="none"/>
        </w:rPr>
        <w:t>采购需求：</w:t>
      </w:r>
      <w:r>
        <w:rPr>
          <w:rFonts w:hint="eastAsia"/>
          <w:sz w:val="22"/>
          <w:szCs w:val="22"/>
          <w:highlight w:val="none"/>
          <w:lang w:val="en-US" w:eastAsia="zh-CN"/>
        </w:rPr>
        <w:t>本项目为</w:t>
      </w:r>
      <w:r>
        <w:rPr>
          <w:rFonts w:hint="eastAsia"/>
          <w:sz w:val="22"/>
          <w:szCs w:val="22"/>
          <w:highlight w:val="none"/>
          <w:lang w:eastAsia="zh-CN"/>
        </w:rPr>
        <w:t>2026年江宁区林荫大道示范管护带养护服务</w:t>
      </w:r>
      <w:r>
        <w:rPr>
          <w:rFonts w:hint="eastAsia"/>
          <w:sz w:val="22"/>
          <w:szCs w:val="22"/>
          <w:highlight w:val="none"/>
          <w:lang w:val="en-US" w:eastAsia="zh-CN"/>
        </w:rPr>
        <w:t>，具体服务工作详见招标文件。</w:t>
      </w:r>
    </w:p>
    <w:p w14:paraId="0D55E732">
      <w:pPr>
        <w:pStyle w:val="266"/>
        <w:keepNext w:val="0"/>
        <w:keepLines w:val="0"/>
        <w:pageBreakBefore w:val="0"/>
        <w:widowControl/>
        <w:spacing w:before="0" w:beforeAutospacing="0" w:after="0" w:afterAutospacing="0" w:line="360" w:lineRule="auto"/>
        <w:ind w:firstLine="440"/>
        <w:rPr>
          <w:rFonts w:hint="eastAsia"/>
          <w:sz w:val="22"/>
          <w:szCs w:val="22"/>
          <w:highlight w:val="none"/>
          <w:lang w:val="en-US" w:eastAsia="zh-CN"/>
        </w:rPr>
      </w:pPr>
      <w:bookmarkStart w:id="0" w:name="OLE_LINK5"/>
      <w:r>
        <w:rPr>
          <w:rFonts w:hint="eastAsia"/>
          <w:sz w:val="22"/>
          <w:szCs w:val="22"/>
          <w:highlight w:val="none"/>
          <w:lang w:val="en-US" w:eastAsia="zh-CN"/>
        </w:rPr>
        <w:t>合同履行期限：自合同签订之日起一年</w:t>
      </w:r>
    </w:p>
    <w:p w14:paraId="11639AB9">
      <w:pPr>
        <w:pStyle w:val="266"/>
        <w:spacing w:before="75" w:beforeAutospacing="0" w:after="75" w:afterAutospacing="0" w:line="360" w:lineRule="auto"/>
        <w:ind w:firstLine="420"/>
        <w:rPr>
          <w:rFonts w:hint="eastAsia"/>
          <w:sz w:val="22"/>
          <w:szCs w:val="22"/>
          <w:highlight w:val="none"/>
        </w:rPr>
      </w:pPr>
      <w:r>
        <w:rPr>
          <w:rFonts w:hint="eastAsia"/>
          <w:sz w:val="22"/>
          <w:szCs w:val="22"/>
          <w:highlight w:val="none"/>
        </w:rPr>
        <w:t>本项目（是/否）接受联合体投标：</w:t>
      </w:r>
      <w:r>
        <w:rPr>
          <w:rFonts w:hint="eastAsia"/>
          <w:sz w:val="22"/>
          <w:szCs w:val="22"/>
          <w:highlight w:val="none"/>
          <w:lang w:val="en-US" w:eastAsia="zh-CN"/>
        </w:rPr>
        <w:t>否</w:t>
      </w:r>
      <w:bookmarkEnd w:id="0"/>
    </w:p>
    <w:p w14:paraId="7DC300F1">
      <w:pPr>
        <w:widowControl/>
        <w:spacing w:after="0" w:line="360" w:lineRule="auto"/>
        <w:ind w:firstLine="422"/>
        <w:jc w:val="left"/>
        <w:outlineLvl w:val="1"/>
        <w:rPr>
          <w:rFonts w:hint="eastAsia" w:ascii="宋体" w:hAnsi="宋体" w:eastAsia="宋体" w:cs="Times New Roman"/>
          <w:b/>
          <w:sz w:val="22"/>
          <w:szCs w:val="22"/>
          <w:lang w:eastAsia="zh-CN" w:bidi="en-US"/>
        </w:rPr>
      </w:pPr>
      <w:r>
        <w:rPr>
          <w:rFonts w:hint="eastAsia" w:ascii="宋体" w:hAnsi="宋体" w:eastAsia="宋体" w:cs="Times New Roman"/>
          <w:b/>
          <w:sz w:val="22"/>
          <w:szCs w:val="22"/>
          <w:lang w:eastAsia="zh-CN" w:bidi="en-US"/>
        </w:rPr>
        <w:t>二、申请人的资格要求：</w:t>
      </w:r>
    </w:p>
    <w:p w14:paraId="42B4FB97">
      <w:pPr>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（一）</w:t>
      </w:r>
      <w:r>
        <w:rPr>
          <w:rFonts w:hint="eastAsia" w:ascii="宋体" w:hAnsi="宋体" w:eastAsia="宋体"/>
          <w:bCs/>
          <w:sz w:val="22"/>
          <w:szCs w:val="22"/>
          <w:highlight w:val="none"/>
        </w:rPr>
        <w:t>满足《中华人民共和国政府采购法》第二十二条规定；</w:t>
      </w:r>
    </w:p>
    <w:p w14:paraId="362A2930">
      <w:pPr>
        <w:widowControl/>
        <w:spacing w:after="0" w:line="360" w:lineRule="auto"/>
        <w:ind w:firstLine="440"/>
        <w:jc w:val="left"/>
        <w:rPr>
          <w:rFonts w:hint="eastAsia" w:ascii="宋体" w:hAnsi="宋体" w:eastAsia="宋体" w:cs="宋体"/>
          <w:sz w:val="22"/>
          <w:szCs w:val="22"/>
          <w:lang w:eastAsia="zh-CN" w:bidi="en-US"/>
        </w:rPr>
      </w:pPr>
      <w:r>
        <w:rPr>
          <w:rFonts w:hint="eastAsia" w:ascii="宋体" w:hAnsi="宋体" w:eastAsia="宋体" w:cs="宋体"/>
          <w:sz w:val="22"/>
          <w:szCs w:val="22"/>
          <w:lang w:eastAsia="zh-CN" w:bidi="en-US"/>
        </w:rPr>
        <w:t>（1）具有独立承担民事责任的能力（提供法人或者其他组织的营业执照）。</w:t>
      </w:r>
    </w:p>
    <w:p w14:paraId="17042ADD">
      <w:pPr>
        <w:widowControl/>
        <w:spacing w:after="0" w:line="360" w:lineRule="auto"/>
        <w:ind w:firstLine="440"/>
        <w:jc w:val="left"/>
        <w:rPr>
          <w:rFonts w:hint="eastAsia" w:ascii="宋体" w:hAnsi="宋体" w:eastAsia="宋体" w:cs="宋体"/>
          <w:sz w:val="22"/>
          <w:szCs w:val="22"/>
          <w:lang w:eastAsia="zh-CN" w:bidi="en-US"/>
        </w:rPr>
      </w:pPr>
      <w:r>
        <w:rPr>
          <w:rFonts w:hint="eastAsia" w:ascii="宋体" w:hAnsi="宋体" w:eastAsia="宋体" w:cs="宋体"/>
          <w:sz w:val="22"/>
          <w:szCs w:val="22"/>
          <w:lang w:eastAsia="zh-CN" w:bidi="en-US"/>
        </w:rPr>
        <w:t>（2）具有良好的商业信誉和健全的财务会计制度（提供</w:t>
      </w:r>
      <w:r>
        <w:rPr>
          <w:rFonts w:hint="eastAsia" w:ascii="宋体" w:hAnsi="宋体" w:cs="宋体"/>
          <w:sz w:val="22"/>
          <w:szCs w:val="22"/>
          <w:lang w:val="en-US" w:eastAsia="zh-CN" w:bidi="en-US"/>
        </w:rPr>
        <w:t>本次采购活动前的</w:t>
      </w:r>
      <w:r>
        <w:rPr>
          <w:rFonts w:hint="eastAsia" w:ascii="宋体" w:hAnsi="宋体" w:eastAsia="宋体" w:cs="宋体"/>
          <w:sz w:val="22"/>
          <w:szCs w:val="22"/>
          <w:lang w:eastAsia="zh-CN" w:bidi="en-US"/>
        </w:rPr>
        <w:t>财务状况报告</w:t>
      </w:r>
      <w:r>
        <w:rPr>
          <w:rFonts w:hint="eastAsia" w:ascii="宋体" w:hAnsi="宋体" w:cs="宋体"/>
          <w:sz w:val="22"/>
          <w:szCs w:val="22"/>
          <w:lang w:val="en-US" w:eastAsia="zh-CN" w:bidi="en-US"/>
        </w:rPr>
        <w:t>或</w:t>
      </w:r>
      <w:r>
        <w:rPr>
          <w:rFonts w:hint="eastAsia" w:ascii="宋体" w:hAnsi="宋体" w:eastAsia="宋体" w:cs="宋体"/>
          <w:i w:val="0"/>
          <w:iCs w:val="0"/>
          <w:caps w:val="0"/>
          <w:color w:val="auto"/>
          <w:spacing w:val="0"/>
          <w:sz w:val="22"/>
          <w:szCs w:val="22"/>
          <w:shd w:val="clear" w:color="auto" w:fill="auto"/>
          <w:lang w:bidi="en-US"/>
        </w:rPr>
        <w:t>提供参加本次采购活动前的会计报表</w:t>
      </w:r>
      <w:r>
        <w:rPr>
          <w:rFonts w:hint="eastAsia" w:ascii="宋体" w:hAnsi="宋体" w:eastAsia="宋体" w:cs="宋体"/>
          <w:sz w:val="22"/>
          <w:szCs w:val="22"/>
          <w:lang w:eastAsia="zh-CN" w:bidi="en-US"/>
        </w:rPr>
        <w:t>）。</w:t>
      </w:r>
    </w:p>
    <w:p w14:paraId="5D6004A7">
      <w:pPr>
        <w:widowControl/>
        <w:spacing w:after="0" w:line="360" w:lineRule="auto"/>
        <w:ind w:firstLine="440"/>
        <w:jc w:val="left"/>
        <w:rPr>
          <w:rFonts w:hint="eastAsia" w:ascii="宋体" w:hAnsi="宋体" w:eastAsia="宋体" w:cs="宋体"/>
          <w:sz w:val="22"/>
          <w:szCs w:val="22"/>
          <w:lang w:eastAsia="zh-CN" w:bidi="en-US"/>
        </w:rPr>
      </w:pPr>
      <w:r>
        <w:rPr>
          <w:rFonts w:hint="eastAsia" w:ascii="宋体" w:hAnsi="宋体" w:eastAsia="宋体" w:cs="宋体"/>
          <w:sz w:val="22"/>
          <w:szCs w:val="22"/>
          <w:lang w:eastAsia="zh-CN" w:bidi="en-US"/>
        </w:rPr>
        <w:t>（3）具有履行合同所必需的设备和专业技术能力（供应商根据履行采购项目合同需要，提供履行合同所必需的设备和专业技术能力的证明材料及声明）。</w:t>
      </w:r>
    </w:p>
    <w:p w14:paraId="039EB52E">
      <w:pPr>
        <w:widowControl/>
        <w:spacing w:after="0" w:line="360" w:lineRule="auto"/>
        <w:ind w:firstLine="440"/>
        <w:jc w:val="left"/>
        <w:rPr>
          <w:rFonts w:hint="eastAsia" w:ascii="宋体" w:hAnsi="宋体" w:eastAsia="宋体" w:cs="宋体"/>
          <w:sz w:val="22"/>
          <w:szCs w:val="22"/>
          <w:lang w:eastAsia="zh-CN" w:bidi="en-US"/>
        </w:rPr>
      </w:pPr>
      <w:r>
        <w:rPr>
          <w:rFonts w:hint="eastAsia" w:ascii="宋体" w:hAnsi="宋体" w:eastAsia="宋体" w:cs="宋体"/>
          <w:sz w:val="22"/>
          <w:szCs w:val="22"/>
          <w:lang w:eastAsia="zh-CN" w:bidi="en-US"/>
        </w:rPr>
        <w:t>（4）有依法缴纳税收和社会保障资金的良好记录（提供参加本次政府采购活动前半年内至少一个月缴纳增值税，或营业税，或企业所得税的凭据；并提供缴纳社会保险的凭据（专用收据或社会保险缴纳清单））。</w:t>
      </w:r>
    </w:p>
    <w:p w14:paraId="6700881E">
      <w:pPr>
        <w:widowControl/>
        <w:spacing w:after="0" w:line="360" w:lineRule="auto"/>
        <w:ind w:firstLine="440"/>
        <w:jc w:val="left"/>
        <w:rPr>
          <w:rFonts w:hint="eastAsia" w:ascii="宋体" w:hAnsi="宋体" w:eastAsia="宋体" w:cs="宋体"/>
          <w:sz w:val="22"/>
          <w:szCs w:val="22"/>
          <w:lang w:eastAsia="zh-CN" w:bidi="en-US"/>
        </w:rPr>
      </w:pPr>
      <w:r>
        <w:rPr>
          <w:rFonts w:hint="eastAsia" w:ascii="宋体" w:hAnsi="宋体" w:eastAsia="宋体" w:cs="宋体"/>
          <w:sz w:val="22"/>
          <w:szCs w:val="22"/>
          <w:lang w:eastAsia="zh-CN" w:bidi="en-US"/>
        </w:rPr>
        <w:t>（5）参加政府采购活动前三年内，在经营活动中没有重大违法记录（提供书面声明或承诺书）。</w:t>
      </w:r>
    </w:p>
    <w:p w14:paraId="0DF3C9DA">
      <w:pPr>
        <w:widowControl/>
        <w:spacing w:after="0" w:line="360" w:lineRule="auto"/>
        <w:ind w:firstLine="440"/>
        <w:jc w:val="left"/>
        <w:rPr>
          <w:rFonts w:hint="eastAsia" w:ascii="宋体" w:hAnsi="宋体" w:eastAsia="宋体" w:cs="宋体"/>
          <w:sz w:val="22"/>
          <w:szCs w:val="22"/>
          <w:lang w:eastAsia="zh-CN" w:bidi="en-US"/>
        </w:rPr>
      </w:pPr>
      <w:r>
        <w:rPr>
          <w:rFonts w:hint="eastAsia" w:ascii="宋体" w:hAnsi="宋体" w:eastAsia="宋体" w:cs="宋体"/>
          <w:sz w:val="22"/>
          <w:szCs w:val="22"/>
          <w:lang w:eastAsia="zh-CN" w:bidi="en-US"/>
        </w:rPr>
        <w:t>（6）法律、行政法规规定的其他条件（无）。</w:t>
      </w:r>
    </w:p>
    <w:p w14:paraId="2B53EA26">
      <w:pPr>
        <w:pStyle w:val="266"/>
        <w:keepNext w:val="0"/>
        <w:keepLines w:val="0"/>
        <w:pageBreakBefore w:val="0"/>
        <w:spacing w:before="0" w:beforeAutospacing="0" w:after="0" w:afterAutospacing="0" w:line="360" w:lineRule="auto"/>
        <w:ind w:firstLine="420"/>
        <w:rPr>
          <w:rFonts w:hint="eastAsia" w:ascii="宋体" w:hAnsi="宋体" w:eastAsia="宋体" w:cs="宋体"/>
          <w:b w:val="0"/>
          <w:bCs/>
          <w:sz w:val="22"/>
          <w:szCs w:val="22"/>
          <w:highlight w:val="none"/>
          <w:lang w:eastAsia="zh-CN"/>
        </w:rPr>
      </w:pPr>
      <w:r>
        <w:rPr>
          <w:rFonts w:hint="eastAsia" w:eastAsia="宋体"/>
          <w:sz w:val="22"/>
          <w:szCs w:val="22"/>
          <w:highlight w:val="none"/>
        </w:rPr>
        <w:t>（二）落实政府采购政策需满足的资格要求：</w:t>
      </w:r>
      <w:r>
        <w:rPr>
          <w:rFonts w:hint="eastAsia" w:ascii="宋体" w:hAnsi="宋体" w:eastAsia="宋体" w:cs="宋体"/>
          <w:b w:val="0"/>
          <w:bCs/>
          <w:sz w:val="22"/>
          <w:szCs w:val="22"/>
        </w:rPr>
        <w:t>（如属于专门面向中小企业采购的项目，供应商应为</w:t>
      </w:r>
      <w:r>
        <w:rPr>
          <w:rFonts w:hint="eastAsia" w:ascii="宋体" w:hAnsi="宋体" w:eastAsia="宋体" w:cs="宋体"/>
          <w:b w:val="0"/>
          <w:bCs/>
          <w:sz w:val="22"/>
          <w:szCs w:val="22"/>
          <w:lang w:eastAsia="zh-CN"/>
        </w:rPr>
        <w:t>中小微企业、监狱企业</w:t>
      </w:r>
      <w:r>
        <w:rPr>
          <w:rFonts w:hint="eastAsia" w:ascii="宋体" w:hAnsi="宋体" w:eastAsia="宋体" w:cs="宋体"/>
          <w:b w:val="0"/>
          <w:bCs/>
          <w:sz w:val="22"/>
          <w:szCs w:val="22"/>
          <w:highlight w:val="none"/>
          <w:lang w:eastAsia="zh-CN"/>
        </w:rPr>
        <w:t>、残疾人福利性单位）本项目按照采用以下</w:t>
      </w:r>
      <w:r>
        <w:rPr>
          <w:rFonts w:hint="eastAsia" w:ascii="宋体" w:hAnsi="宋体" w:eastAsia="宋体" w:cs="宋体"/>
          <w:b/>
          <w:bCs w:val="0"/>
          <w:sz w:val="22"/>
          <w:szCs w:val="22"/>
          <w:highlight w:val="none"/>
          <w:lang w:eastAsia="zh-CN"/>
        </w:rPr>
        <w:t>第</w:t>
      </w:r>
      <w:r>
        <w:rPr>
          <w:rFonts w:hint="eastAsia" w:cs="宋体"/>
          <w:b/>
          <w:bCs w:val="0"/>
          <w:sz w:val="22"/>
          <w:szCs w:val="22"/>
          <w:highlight w:val="none"/>
          <w:lang w:val="en-US" w:eastAsia="zh-CN"/>
        </w:rPr>
        <w:t>4</w:t>
      </w:r>
      <w:r>
        <w:rPr>
          <w:rFonts w:hint="eastAsia" w:ascii="宋体" w:hAnsi="宋体" w:eastAsia="宋体" w:cs="宋体"/>
          <w:b/>
          <w:bCs w:val="0"/>
          <w:sz w:val="22"/>
          <w:szCs w:val="22"/>
          <w:highlight w:val="none"/>
          <w:lang w:eastAsia="zh-CN"/>
        </w:rPr>
        <w:t>种方式</w:t>
      </w:r>
      <w:r>
        <w:rPr>
          <w:rFonts w:hint="eastAsia" w:ascii="宋体" w:hAnsi="宋体" w:eastAsia="宋体" w:cs="宋体"/>
          <w:b w:val="0"/>
          <w:bCs/>
          <w:sz w:val="22"/>
          <w:szCs w:val="22"/>
          <w:highlight w:val="none"/>
          <w:lang w:eastAsia="zh-CN"/>
        </w:rPr>
        <w:t>落实政府采购促进中小企业发展的要求：</w:t>
      </w:r>
    </w:p>
    <w:p w14:paraId="317F042A">
      <w:pPr>
        <w:pStyle w:val="33"/>
        <w:keepNext w:val="0"/>
        <w:keepLines w:val="0"/>
        <w:pageBreakBefore w:val="0"/>
        <w:spacing w:before="0" w:beforeAutospacing="0" w:after="0" w:afterAutospacing="0" w:line="360" w:lineRule="auto"/>
        <w:ind w:firstLine="440"/>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1.本项目整体专门面向中小企业采购服务；</w:t>
      </w:r>
    </w:p>
    <w:p w14:paraId="278ACBAA">
      <w:pPr>
        <w:pStyle w:val="33"/>
        <w:keepNext w:val="0"/>
        <w:keepLines w:val="0"/>
        <w:pageBreakBefore w:val="0"/>
        <w:spacing w:before="0" w:beforeAutospacing="0" w:after="0" w:afterAutospacing="0" w:line="360" w:lineRule="auto"/>
        <w:ind w:firstLine="440"/>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2.本项目整体专门面向小微企业采购服务；</w:t>
      </w:r>
    </w:p>
    <w:p w14:paraId="00BA3930">
      <w:pPr>
        <w:pStyle w:val="33"/>
        <w:keepNext w:val="0"/>
        <w:keepLines w:val="0"/>
        <w:pageBreakBefore w:val="0"/>
        <w:spacing w:before="0" w:beforeAutospacing="0" w:after="0" w:afterAutospacing="0" w:line="360" w:lineRule="auto"/>
        <w:ind w:firstLine="440"/>
        <w:rPr>
          <w:rFonts w:hint="eastAsia" w:ascii="宋体" w:hAnsi="宋体" w:eastAsia="宋体" w:cs="宋体"/>
          <w:sz w:val="22"/>
          <w:szCs w:val="22"/>
          <w:lang w:eastAsia="zh-CN"/>
        </w:rPr>
      </w:pPr>
      <w:r>
        <w:rPr>
          <w:rFonts w:hint="eastAsia" w:ascii="宋体" w:hAnsi="宋体" w:eastAsia="宋体" w:cs="宋体"/>
          <w:sz w:val="22"/>
          <w:szCs w:val="22"/>
          <w:lang w:eastAsia="zh-CN"/>
        </w:rPr>
        <w:t>3.本项目通过以下第种方式预留部分采购份额采购中小企业服务：</w:t>
      </w:r>
    </w:p>
    <w:p w14:paraId="56FE0524">
      <w:pPr>
        <w:pStyle w:val="33"/>
        <w:keepNext w:val="0"/>
        <w:keepLines w:val="0"/>
        <w:pageBreakBefore w:val="0"/>
        <w:spacing w:before="0" w:beforeAutospacing="0" w:after="0" w:afterAutospacing="0" w:line="360" w:lineRule="auto"/>
        <w:ind w:firstLine="440"/>
        <w:rPr>
          <w:rFonts w:hint="eastAsia" w:ascii="宋体" w:hAnsi="宋体" w:eastAsia="宋体" w:cs="宋体"/>
          <w:sz w:val="22"/>
          <w:szCs w:val="22"/>
          <w:lang w:eastAsia="zh-CN"/>
        </w:rPr>
      </w:pPr>
      <w:r>
        <w:rPr>
          <w:rFonts w:hint="eastAsia" w:ascii="宋体" w:hAnsi="宋体" w:eastAsia="宋体" w:cs="宋体"/>
          <w:sz w:val="22"/>
          <w:szCs w:val="22"/>
          <w:lang w:eastAsia="zh-CN"/>
        </w:rPr>
        <w:t>（1）本项目要求供应商以联合体形式参加，企业合同金额应当达到的比例为%。</w:t>
      </w:r>
    </w:p>
    <w:p w14:paraId="411E5EA4">
      <w:pPr>
        <w:pStyle w:val="33"/>
        <w:keepNext w:val="0"/>
        <w:keepLines w:val="0"/>
        <w:pageBreakBefore w:val="0"/>
        <w:spacing w:before="0" w:beforeAutospacing="0" w:after="0" w:afterAutospacing="0" w:line="360" w:lineRule="auto"/>
        <w:ind w:firstLine="440"/>
        <w:rPr>
          <w:rFonts w:hint="eastAsia" w:ascii="宋体" w:hAnsi="宋体" w:eastAsia="宋体" w:cs="宋体"/>
          <w:sz w:val="22"/>
          <w:szCs w:val="22"/>
          <w:lang w:eastAsia="zh-CN"/>
        </w:rPr>
      </w:pPr>
      <w:r>
        <w:rPr>
          <w:rFonts w:hint="eastAsia" w:ascii="宋体" w:hAnsi="宋体" w:eastAsia="宋体" w:cs="宋体"/>
          <w:sz w:val="22"/>
          <w:szCs w:val="22"/>
          <w:lang w:eastAsia="zh-CN"/>
        </w:rPr>
        <w:t>（2）本项目要求供应商进行合同分包，企业合同金额应当达到的比例为%。</w:t>
      </w:r>
    </w:p>
    <w:p w14:paraId="11DA931A">
      <w:pPr>
        <w:pStyle w:val="33"/>
        <w:keepNext w:val="0"/>
        <w:keepLines w:val="0"/>
        <w:pageBreakBefore w:val="0"/>
        <w:spacing w:before="0" w:beforeAutospacing="0" w:after="0" w:afterAutospacing="0" w:line="360" w:lineRule="auto"/>
        <w:ind w:firstLine="440"/>
        <w:rPr>
          <w:rFonts w:hint="eastAsia" w:ascii="宋体" w:hAnsi="宋体" w:eastAsia="宋体" w:cs="宋体"/>
          <w:sz w:val="22"/>
          <w:szCs w:val="22"/>
          <w:lang w:eastAsia="zh-CN"/>
        </w:rPr>
      </w:pPr>
      <w:r>
        <w:rPr>
          <w:rFonts w:hint="eastAsia" w:ascii="宋体" w:hAnsi="宋体" w:eastAsia="宋体" w:cs="宋体"/>
          <w:sz w:val="22"/>
          <w:szCs w:val="22"/>
          <w:lang w:eastAsia="zh-CN"/>
        </w:rPr>
        <w:t>4.本项目为非预留份额的采购项目或采购包，执行价格扣除优惠政策，具体详见第三章评标标准。</w:t>
      </w:r>
    </w:p>
    <w:p w14:paraId="12C778A8">
      <w:pPr>
        <w:pStyle w:val="266"/>
        <w:keepNext w:val="0"/>
        <w:keepLines w:val="0"/>
        <w:pageBreakBefore w:val="0"/>
        <w:spacing w:before="0" w:beforeAutospacing="0" w:after="0" w:afterAutospacing="0" w:line="360" w:lineRule="auto"/>
        <w:ind w:firstLine="420"/>
        <w:rPr>
          <w:rFonts w:hint="eastAsia" w:ascii="宋体" w:hAnsi="宋体" w:eastAsia="宋体" w:cs="宋体"/>
          <w:sz w:val="22"/>
          <w:szCs w:val="22"/>
          <w:highlight w:val="none"/>
          <w:lang w:val="en-US" w:eastAsia="zh-CN"/>
        </w:rPr>
      </w:pPr>
      <w:r>
        <w:rPr>
          <w:rFonts w:hint="eastAsia" w:eastAsia="宋体"/>
          <w:sz w:val="22"/>
          <w:szCs w:val="22"/>
          <w:highlight w:val="none"/>
          <w:lang w:eastAsia="zh-CN"/>
        </w:rPr>
        <w:t>（</w:t>
      </w:r>
      <w:r>
        <w:rPr>
          <w:rFonts w:hint="eastAsia" w:eastAsia="宋体"/>
          <w:sz w:val="22"/>
          <w:szCs w:val="22"/>
          <w:highlight w:val="none"/>
          <w:lang w:val="en-US" w:eastAsia="zh-CN"/>
        </w:rPr>
        <w:t>三</w:t>
      </w:r>
      <w:r>
        <w:rPr>
          <w:rFonts w:hint="eastAsia" w:eastAsia="宋体"/>
          <w:sz w:val="22"/>
          <w:szCs w:val="22"/>
          <w:highlight w:val="none"/>
          <w:lang w:eastAsia="zh-CN"/>
        </w:rPr>
        <w:t>）</w:t>
      </w:r>
      <w:r>
        <w:rPr>
          <w:rFonts w:hint="eastAsia" w:eastAsia="宋体"/>
          <w:sz w:val="22"/>
          <w:szCs w:val="22"/>
          <w:highlight w:val="none"/>
        </w:rPr>
        <w:t>采购人根据采购项目的特殊要求规定的特定条件：</w:t>
      </w:r>
      <w:r>
        <w:rPr>
          <w:rFonts w:hint="eastAsia"/>
          <w:sz w:val="22"/>
          <w:szCs w:val="22"/>
          <w:highlight w:val="none"/>
          <w:lang w:val="en-US" w:eastAsia="zh-CN"/>
        </w:rPr>
        <w:t>无</w:t>
      </w:r>
    </w:p>
    <w:p w14:paraId="2D641492">
      <w:pPr>
        <w:keepNext w:val="0"/>
        <w:keepLines w:val="0"/>
        <w:pageBreakBefore w:val="0"/>
        <w:widowControl/>
        <w:spacing w:line="360" w:lineRule="auto"/>
        <w:ind w:firstLine="422"/>
        <w:jc w:val="left"/>
        <w:outlineLvl w:val="1"/>
        <w:rPr>
          <w:rFonts w:hint="eastAsia" w:ascii="宋体" w:hAnsi="宋体" w:eastAsia="宋体" w:cs="Times New Roman"/>
          <w:b/>
          <w:sz w:val="22"/>
          <w:szCs w:val="22"/>
          <w:lang w:eastAsia="zh-CN" w:bidi="en-US"/>
        </w:rPr>
      </w:pPr>
      <w:r>
        <w:rPr>
          <w:rFonts w:hint="eastAsia" w:ascii="宋体" w:hAnsi="宋体" w:eastAsia="宋体" w:cs="Times New Roman"/>
          <w:b/>
          <w:sz w:val="22"/>
          <w:szCs w:val="22"/>
          <w:lang w:val="en-US" w:eastAsia="zh-CN" w:bidi="en-US"/>
        </w:rPr>
        <w:t>三</w:t>
      </w:r>
      <w:r>
        <w:rPr>
          <w:rFonts w:hint="eastAsia" w:ascii="宋体" w:hAnsi="宋体" w:eastAsia="宋体" w:cs="Times New Roman"/>
          <w:b/>
          <w:sz w:val="22"/>
          <w:szCs w:val="22"/>
          <w:lang w:eastAsia="zh-CN" w:bidi="en-US"/>
        </w:rPr>
        <w:t>、获取招标文件</w:t>
      </w:r>
    </w:p>
    <w:p w14:paraId="4E96EA76">
      <w:pPr>
        <w:pStyle w:val="697"/>
        <w:keepNext w:val="0"/>
        <w:keepLines w:val="0"/>
        <w:pageBreakBefore w:val="0"/>
        <w:spacing w:line="360" w:lineRule="auto"/>
        <w:ind w:left="0" w:firstLine="440"/>
        <w:jc w:val="left"/>
        <w:rPr>
          <w:rFonts w:ascii="宋体" w:hAnsi="宋体" w:eastAsia="宋体"/>
          <w:sz w:val="22"/>
          <w:szCs w:val="22"/>
          <w:highlight w:val="none"/>
        </w:rPr>
      </w:pPr>
      <w:r>
        <w:rPr>
          <w:rFonts w:hint="eastAsia" w:ascii="宋体" w:hAnsi="宋体" w:eastAsia="宋体"/>
          <w:sz w:val="22"/>
          <w:szCs w:val="22"/>
          <w:highlight w:val="none"/>
        </w:rPr>
        <w:t>时间：自招标文件公告发布之日起5个工作日</w:t>
      </w:r>
    </w:p>
    <w:p w14:paraId="02228DD1">
      <w:pPr>
        <w:keepNext w:val="0"/>
        <w:keepLines w:val="0"/>
        <w:pageBreakBefore w:val="0"/>
        <w:spacing w:line="360" w:lineRule="auto"/>
        <w:ind w:firstLine="440"/>
        <w:rPr>
          <w:rFonts w:ascii="宋体" w:hAnsi="宋体" w:eastAsia="宋体"/>
          <w:sz w:val="22"/>
          <w:szCs w:val="22"/>
          <w:highlight w:val="none"/>
        </w:rPr>
      </w:pPr>
      <w:r>
        <w:rPr>
          <w:rFonts w:hint="eastAsia" w:ascii="宋体" w:hAnsi="宋体" w:eastAsia="宋体"/>
          <w:sz w:val="22"/>
          <w:szCs w:val="22"/>
          <w:highlight w:val="none"/>
        </w:rPr>
        <w:t>地点：江苏政府采购网</w:t>
      </w:r>
    </w:p>
    <w:p w14:paraId="3146C20C">
      <w:pPr>
        <w:keepNext w:val="0"/>
        <w:keepLines w:val="0"/>
        <w:pageBreakBefore w:val="0"/>
        <w:spacing w:line="360" w:lineRule="auto"/>
        <w:ind w:firstLine="440"/>
        <w:rPr>
          <w:rFonts w:hint="eastAsia" w:ascii="宋体" w:hAnsi="宋体" w:eastAsia="宋体"/>
          <w:sz w:val="22"/>
          <w:szCs w:val="22"/>
          <w:highlight w:val="none"/>
        </w:rPr>
      </w:pPr>
      <w:r>
        <w:rPr>
          <w:rFonts w:hint="eastAsia" w:ascii="宋体" w:hAnsi="宋体" w:eastAsia="宋体"/>
          <w:sz w:val="22"/>
          <w:szCs w:val="22"/>
          <w:highlight w:val="none"/>
        </w:rPr>
        <w:t>方式：</w:t>
      </w:r>
      <w:r>
        <w:rPr>
          <w:rFonts w:hint="eastAsia" w:ascii="宋体" w:hAnsi="宋体"/>
          <w:sz w:val="22"/>
          <w:szCs w:val="22"/>
          <w:highlight w:val="none"/>
          <w:lang w:val="en-US" w:eastAsia="zh-CN"/>
        </w:rPr>
        <w:t>投标人</w:t>
      </w:r>
      <w:r>
        <w:rPr>
          <w:rFonts w:hint="eastAsia" w:ascii="宋体" w:hAnsi="宋体" w:eastAsia="宋体"/>
          <w:sz w:val="22"/>
          <w:szCs w:val="22"/>
          <w:highlight w:val="none"/>
          <w:lang w:eastAsia="zh-CN"/>
        </w:rPr>
        <w:t>登陆“江苏政府采购网”，在网站首页点击“苏采云”→使用CA锁登录系统(新用户需进行“平台用户注册”)→“项目参与”进行登记，在“可参与项目”中选择“我要参与”，参与成功后到“已参与项目”界面中找到该项目下载文件并进行操作。</w:t>
      </w:r>
    </w:p>
    <w:p w14:paraId="106D7DBA">
      <w:pPr>
        <w:keepNext w:val="0"/>
        <w:keepLines w:val="0"/>
        <w:pageBreakBefore w:val="0"/>
        <w:spacing w:line="360" w:lineRule="auto"/>
        <w:ind w:firstLine="440"/>
        <w:rPr>
          <w:rFonts w:ascii="宋体" w:hAnsi="宋体" w:eastAsia="宋体"/>
          <w:sz w:val="22"/>
          <w:szCs w:val="22"/>
          <w:highlight w:val="none"/>
        </w:rPr>
      </w:pPr>
      <w:r>
        <w:rPr>
          <w:rFonts w:hint="eastAsia" w:ascii="宋体" w:hAnsi="宋体" w:eastAsia="宋体"/>
          <w:sz w:val="22"/>
          <w:szCs w:val="22"/>
          <w:highlight w:val="none"/>
        </w:rPr>
        <w:t>售价：</w:t>
      </w:r>
      <w:r>
        <w:rPr>
          <w:rFonts w:hint="eastAsia" w:ascii="宋体" w:hAnsi="宋体" w:eastAsia="宋体"/>
          <w:sz w:val="22"/>
          <w:szCs w:val="22"/>
          <w:highlight w:val="none"/>
          <w:lang w:val="en-US" w:eastAsia="zh-CN"/>
        </w:rPr>
        <w:t>0</w:t>
      </w:r>
      <w:r>
        <w:rPr>
          <w:rFonts w:ascii="宋体" w:hAnsi="宋体" w:eastAsia="宋体"/>
          <w:sz w:val="22"/>
          <w:szCs w:val="22"/>
          <w:highlight w:val="none"/>
        </w:rPr>
        <w:t>元</w:t>
      </w:r>
    </w:p>
    <w:p w14:paraId="609E1234">
      <w:pPr>
        <w:keepNext w:val="0"/>
        <w:keepLines w:val="0"/>
        <w:pageBreakBefore w:val="0"/>
        <w:widowControl/>
        <w:spacing w:line="360" w:lineRule="auto"/>
        <w:ind w:firstLine="422"/>
        <w:jc w:val="left"/>
        <w:outlineLvl w:val="1"/>
        <w:rPr>
          <w:rFonts w:hint="eastAsia" w:ascii="宋体" w:hAnsi="宋体" w:eastAsia="宋体" w:cs="Times New Roman"/>
          <w:b/>
          <w:sz w:val="22"/>
          <w:szCs w:val="22"/>
          <w:lang w:val="en-US" w:eastAsia="zh-CN" w:bidi="en-US"/>
        </w:rPr>
      </w:pPr>
      <w:r>
        <w:rPr>
          <w:rFonts w:hint="eastAsia" w:ascii="宋体" w:hAnsi="宋体" w:eastAsia="宋体" w:cs="Times New Roman"/>
          <w:b/>
          <w:sz w:val="22"/>
          <w:szCs w:val="22"/>
          <w:lang w:val="en-US" w:eastAsia="zh-CN" w:bidi="en-US"/>
        </w:rPr>
        <w:t>四、投标截止时间、投标地点</w:t>
      </w:r>
    </w:p>
    <w:p w14:paraId="6D0289B5">
      <w:pPr>
        <w:pStyle w:val="266"/>
        <w:keepNext w:val="0"/>
        <w:keepLines w:val="0"/>
        <w:pageBreakBefore w:val="0"/>
        <w:spacing w:before="0" w:beforeAutospacing="0" w:after="0" w:afterAutospacing="0" w:line="360" w:lineRule="auto"/>
        <w:ind w:firstLine="660"/>
        <w:rPr>
          <w:rFonts w:hint="eastAsia"/>
          <w:sz w:val="22"/>
          <w:szCs w:val="22"/>
          <w:highlight w:val="none"/>
          <w:shd w:val="clear" w:color="auto" w:fill="FFFFFF"/>
        </w:rPr>
      </w:pPr>
      <w:r>
        <w:rPr>
          <w:rFonts w:hint="eastAsia"/>
          <w:sz w:val="22"/>
          <w:szCs w:val="22"/>
          <w:highlight w:val="none"/>
          <w:shd w:val="clear" w:color="auto" w:fill="FFFFFF"/>
          <w:lang w:eastAsia="zh-CN"/>
        </w:rPr>
        <w:t>2025年4月17日</w:t>
      </w:r>
      <w:r>
        <w:rPr>
          <w:rFonts w:hint="eastAsia"/>
          <w:sz w:val="22"/>
          <w:szCs w:val="22"/>
          <w:highlight w:val="none"/>
          <w:shd w:val="clear" w:color="auto" w:fill="FFFFFF"/>
          <w:lang w:val="en-US" w:eastAsia="zh-CN"/>
        </w:rPr>
        <w:t>09</w:t>
      </w:r>
      <w:r>
        <w:rPr>
          <w:rFonts w:hint="eastAsia"/>
          <w:sz w:val="22"/>
          <w:szCs w:val="22"/>
          <w:highlight w:val="none"/>
          <w:shd w:val="clear" w:color="auto" w:fill="FFFFFF"/>
        </w:rPr>
        <w:t>:30（北京时间）</w:t>
      </w:r>
    </w:p>
    <w:p w14:paraId="6A5F50DB">
      <w:pPr>
        <w:pStyle w:val="266"/>
        <w:keepNext w:val="0"/>
        <w:keepLines w:val="0"/>
        <w:pageBreakBefore w:val="0"/>
        <w:spacing w:before="0" w:beforeAutospacing="0" w:after="0" w:afterAutospacing="0" w:line="360" w:lineRule="auto"/>
        <w:ind w:firstLine="660"/>
        <w:rPr>
          <w:rFonts w:hint="eastAsia"/>
          <w:sz w:val="22"/>
          <w:szCs w:val="22"/>
          <w:highlight w:val="none"/>
          <w:shd w:val="clear" w:color="auto" w:fill="FFFFFF"/>
        </w:rPr>
      </w:pPr>
      <w:r>
        <w:rPr>
          <w:rFonts w:hint="eastAsia"/>
          <w:sz w:val="22"/>
          <w:szCs w:val="22"/>
          <w:highlight w:val="none"/>
          <w:shd w:val="clear" w:color="auto" w:fill="FFFFFF"/>
        </w:rPr>
        <w:t>地点：（1）提交投标文件地点：</w:t>
      </w:r>
      <w:r>
        <w:rPr>
          <w:rFonts w:hint="eastAsia" w:ascii="宋体" w:hAnsi="宋体" w:eastAsia="宋体" w:cs="宋体"/>
          <w:i w:val="0"/>
          <w:iCs w:val="0"/>
          <w:caps w:val="0"/>
          <w:color w:val="auto"/>
          <w:spacing w:val="0"/>
          <w:sz w:val="22"/>
          <w:szCs w:val="22"/>
          <w:highlight w:val="none"/>
          <w:shd w:val="clear" w:color="auto" w:fill="FFFFFF"/>
        </w:rPr>
        <w:t>江苏省政府采购交易系统（以下简称“苏采云系统”）网上开标大厅</w:t>
      </w:r>
      <w:r>
        <w:rPr>
          <w:rFonts w:hint="eastAsia"/>
          <w:sz w:val="22"/>
          <w:szCs w:val="22"/>
          <w:highlight w:val="none"/>
          <w:shd w:val="clear" w:color="auto" w:fill="FFFFFF"/>
        </w:rPr>
        <w:t>。</w:t>
      </w:r>
    </w:p>
    <w:p w14:paraId="63C3C8E9">
      <w:pPr>
        <w:keepNext w:val="0"/>
        <w:keepLines w:val="0"/>
        <w:pageBreakBefore w:val="0"/>
        <w:widowControl/>
        <w:spacing w:line="360" w:lineRule="auto"/>
        <w:ind w:firstLine="422"/>
        <w:jc w:val="left"/>
        <w:outlineLvl w:val="1"/>
        <w:rPr>
          <w:rFonts w:hint="eastAsia" w:ascii="宋体" w:hAnsi="宋体" w:eastAsia="宋体" w:cs="Times New Roman"/>
          <w:b/>
          <w:sz w:val="22"/>
          <w:szCs w:val="22"/>
          <w:lang w:val="en-US" w:eastAsia="zh-CN" w:bidi="en-US"/>
        </w:rPr>
      </w:pPr>
      <w:r>
        <w:rPr>
          <w:rFonts w:hint="eastAsia" w:ascii="宋体" w:hAnsi="宋体" w:eastAsia="宋体" w:cs="Times New Roman"/>
          <w:b/>
          <w:sz w:val="22"/>
          <w:szCs w:val="22"/>
          <w:lang w:val="en-US" w:eastAsia="zh-CN" w:bidi="en-US"/>
        </w:rPr>
        <w:t>五、公告期限</w:t>
      </w:r>
    </w:p>
    <w:p w14:paraId="567DF809">
      <w:pPr>
        <w:pStyle w:val="266"/>
        <w:keepNext w:val="0"/>
        <w:keepLines w:val="0"/>
        <w:pageBreakBefore w:val="0"/>
        <w:spacing w:before="0" w:beforeAutospacing="0" w:after="0" w:afterAutospacing="0" w:line="360" w:lineRule="auto"/>
        <w:ind w:firstLine="420"/>
        <w:rPr>
          <w:rFonts w:hint="eastAsia"/>
          <w:sz w:val="22"/>
          <w:szCs w:val="22"/>
        </w:rPr>
      </w:pPr>
      <w:r>
        <w:rPr>
          <w:rFonts w:hint="eastAsia"/>
          <w:sz w:val="22"/>
          <w:szCs w:val="22"/>
        </w:rPr>
        <w:t>自本公告发布之日起5个工作日。</w:t>
      </w:r>
    </w:p>
    <w:p w14:paraId="59B32B6A">
      <w:pPr>
        <w:keepNext w:val="0"/>
        <w:keepLines w:val="0"/>
        <w:pageBreakBefore w:val="0"/>
        <w:widowControl/>
        <w:spacing w:line="360" w:lineRule="auto"/>
        <w:ind w:firstLine="422"/>
        <w:jc w:val="left"/>
        <w:outlineLvl w:val="1"/>
        <w:rPr>
          <w:rFonts w:hint="eastAsia" w:ascii="宋体" w:hAnsi="宋体" w:eastAsia="宋体" w:cs="Times New Roman"/>
          <w:b/>
          <w:sz w:val="22"/>
          <w:szCs w:val="22"/>
          <w:lang w:val="en-US" w:eastAsia="zh-CN" w:bidi="en-US"/>
        </w:rPr>
      </w:pPr>
      <w:r>
        <w:rPr>
          <w:rFonts w:hint="eastAsia" w:ascii="宋体" w:hAnsi="宋体" w:eastAsia="宋体" w:cs="Times New Roman"/>
          <w:b/>
          <w:sz w:val="22"/>
          <w:szCs w:val="22"/>
          <w:lang w:val="en-US" w:eastAsia="zh-CN" w:bidi="en-US"/>
        </w:rPr>
        <w:t>六、其他补充事宜</w:t>
      </w:r>
    </w:p>
    <w:p w14:paraId="6486EE17">
      <w:pPr>
        <w:pStyle w:val="266"/>
        <w:keepNext w:val="0"/>
        <w:keepLines w:val="0"/>
        <w:pageBreakBefore w:val="0"/>
        <w:spacing w:before="0" w:beforeAutospacing="0" w:after="0" w:afterAutospacing="0" w:line="360" w:lineRule="auto"/>
        <w:ind w:firstLine="420"/>
        <w:rPr>
          <w:rFonts w:hint="eastAsia"/>
          <w:sz w:val="22"/>
          <w:szCs w:val="22"/>
        </w:rPr>
      </w:pPr>
      <w:r>
        <w:rPr>
          <w:rFonts w:hint="eastAsia"/>
          <w:sz w:val="22"/>
          <w:szCs w:val="22"/>
        </w:rPr>
        <w:t>1.不适用信用承诺的情形：</w:t>
      </w:r>
    </w:p>
    <w:p w14:paraId="1F8B2BD6">
      <w:pPr>
        <w:pStyle w:val="266"/>
        <w:keepNext w:val="0"/>
        <w:keepLines w:val="0"/>
        <w:pageBreakBefore w:val="0"/>
        <w:spacing w:before="0" w:beforeAutospacing="0" w:after="0" w:afterAutospacing="0" w:line="360" w:lineRule="auto"/>
        <w:ind w:firstLine="420"/>
        <w:rPr>
          <w:rFonts w:hint="eastAsia"/>
          <w:sz w:val="22"/>
          <w:szCs w:val="22"/>
        </w:rPr>
      </w:pPr>
      <w:r>
        <w:rPr>
          <w:rFonts w:hint="eastAsia"/>
          <w:sz w:val="22"/>
          <w:szCs w:val="22"/>
        </w:rPr>
        <w:t>（1）供应商被列入严重失信主体名单；</w:t>
      </w:r>
    </w:p>
    <w:p w14:paraId="10BCDF50">
      <w:pPr>
        <w:pStyle w:val="266"/>
        <w:keepNext w:val="0"/>
        <w:keepLines w:val="0"/>
        <w:pageBreakBefore w:val="0"/>
        <w:spacing w:before="0" w:beforeAutospacing="0" w:after="0" w:afterAutospacing="0" w:line="360" w:lineRule="auto"/>
        <w:ind w:firstLine="420"/>
        <w:rPr>
          <w:rFonts w:hint="eastAsia"/>
          <w:sz w:val="22"/>
          <w:szCs w:val="22"/>
        </w:rPr>
      </w:pPr>
      <w:r>
        <w:rPr>
          <w:rFonts w:hint="eastAsia"/>
          <w:sz w:val="22"/>
          <w:szCs w:val="22"/>
        </w:rPr>
        <w:t>（2）被相关监管部门作出行政处罚且尚在处罚有效期内的；</w:t>
      </w:r>
    </w:p>
    <w:p w14:paraId="55AD7955">
      <w:pPr>
        <w:pStyle w:val="266"/>
        <w:keepNext w:val="0"/>
        <w:keepLines w:val="0"/>
        <w:pageBreakBefore w:val="0"/>
        <w:spacing w:before="0" w:beforeAutospacing="0" w:after="0" w:afterAutospacing="0" w:line="360" w:lineRule="auto"/>
        <w:ind w:firstLine="420"/>
        <w:rPr>
          <w:rFonts w:hint="eastAsia"/>
          <w:sz w:val="22"/>
          <w:szCs w:val="22"/>
        </w:rPr>
      </w:pPr>
      <w:r>
        <w:rPr>
          <w:rFonts w:hint="eastAsia"/>
          <w:sz w:val="22"/>
          <w:szCs w:val="22"/>
        </w:rPr>
        <w:t>（3）其他法律、行政法规规定的不适用信用承诺的情形。</w:t>
      </w:r>
    </w:p>
    <w:p w14:paraId="510C1CBC">
      <w:pPr>
        <w:keepNext w:val="0"/>
        <w:keepLines w:val="0"/>
        <w:pageBreakBefore w:val="0"/>
        <w:spacing w:line="360" w:lineRule="auto"/>
        <w:ind w:firstLine="440"/>
        <w:rPr>
          <w:rFonts w:ascii="宋体" w:hAnsi="宋体" w:eastAsia="宋体"/>
          <w:sz w:val="22"/>
          <w:szCs w:val="22"/>
          <w:highlight w:val="none"/>
        </w:rPr>
      </w:pPr>
      <w:r>
        <w:rPr>
          <w:rFonts w:hint="eastAsia" w:ascii="宋体" w:hAnsi="宋体" w:eastAsia="宋体"/>
          <w:sz w:val="22"/>
          <w:szCs w:val="22"/>
          <w:highlight w:val="none"/>
        </w:rPr>
        <w:t>2.</w:t>
      </w:r>
      <w:r>
        <w:rPr>
          <w:rFonts w:ascii="宋体" w:hAnsi="宋体" w:eastAsia="宋体"/>
          <w:sz w:val="22"/>
          <w:szCs w:val="22"/>
          <w:highlight w:val="none"/>
        </w:rPr>
        <w:t>拒绝下述供应商参加本次采购活动：</w:t>
      </w:r>
    </w:p>
    <w:p w14:paraId="53EB3167">
      <w:pPr>
        <w:keepNext w:val="0"/>
        <w:keepLines w:val="0"/>
        <w:pageBreakBefore w:val="0"/>
        <w:spacing w:line="360" w:lineRule="auto"/>
        <w:ind w:firstLine="465"/>
        <w:rPr>
          <w:rFonts w:ascii="宋体" w:hAnsi="宋体" w:eastAsia="宋体"/>
          <w:sz w:val="22"/>
          <w:szCs w:val="22"/>
          <w:highlight w:val="none"/>
        </w:rPr>
      </w:pPr>
      <w:r>
        <w:rPr>
          <w:rFonts w:ascii="宋体" w:hAnsi="宋体" w:eastAsia="宋体"/>
          <w:sz w:val="22"/>
          <w:szCs w:val="22"/>
          <w:highlight w:val="none"/>
        </w:rPr>
        <w:t>（1）供应商单位负责人为同一人或者存在直接控股、管理关系的不同供应商，不得参加同一合同项下的政府采购活动。</w:t>
      </w:r>
    </w:p>
    <w:p w14:paraId="0F82368B">
      <w:pPr>
        <w:keepNext w:val="0"/>
        <w:keepLines w:val="0"/>
        <w:pageBreakBefore w:val="0"/>
        <w:spacing w:line="360" w:lineRule="auto"/>
        <w:ind w:firstLine="465"/>
        <w:rPr>
          <w:rFonts w:ascii="宋体" w:hAnsi="宋体" w:eastAsia="宋体"/>
          <w:sz w:val="22"/>
          <w:szCs w:val="22"/>
          <w:highlight w:val="none"/>
        </w:rPr>
      </w:pPr>
      <w:r>
        <w:rPr>
          <w:rFonts w:ascii="宋体" w:hAnsi="宋体" w:eastAsia="宋体"/>
          <w:sz w:val="22"/>
          <w:szCs w:val="22"/>
          <w:highlight w:val="none"/>
        </w:rPr>
        <w:t>（2）凡为采购项目提供整体设计、规范编制或者项目管理、监理、检测等服务的供应商，不得再参加本项目的采购活动。</w:t>
      </w:r>
    </w:p>
    <w:p w14:paraId="4D1291E4">
      <w:pPr>
        <w:pStyle w:val="266"/>
        <w:keepNext w:val="0"/>
        <w:keepLines w:val="0"/>
        <w:pageBreakBefore w:val="0"/>
        <w:spacing w:before="0" w:beforeAutospacing="0" w:after="0" w:afterAutospacing="0" w:line="360" w:lineRule="auto"/>
        <w:ind w:firstLine="420"/>
        <w:rPr>
          <w:rFonts w:hint="eastAsia" w:eastAsia="宋体"/>
          <w:sz w:val="22"/>
          <w:szCs w:val="22"/>
          <w:highlight w:val="none"/>
        </w:rPr>
      </w:pPr>
      <w:r>
        <w:rPr>
          <w:rFonts w:ascii="宋体" w:hAnsi="宋体" w:eastAsia="宋体"/>
          <w:sz w:val="22"/>
          <w:szCs w:val="22"/>
          <w:highlight w:val="none"/>
        </w:rPr>
        <w:t>（3）供应商</w:t>
      </w:r>
      <w:r>
        <w:rPr>
          <w:rFonts w:hint="eastAsia" w:ascii="宋体" w:hAnsi="宋体" w:eastAsia="宋体"/>
          <w:sz w:val="22"/>
          <w:szCs w:val="22"/>
          <w:highlight w:val="none"/>
        </w:rPr>
        <w:t>参加政府采购活动前三年内</w:t>
      </w:r>
      <w:r>
        <w:rPr>
          <w:rFonts w:ascii="宋体" w:hAnsi="宋体" w:eastAsia="宋体"/>
          <w:sz w:val="22"/>
          <w:szCs w:val="22"/>
          <w:highlight w:val="none"/>
        </w:rPr>
        <w:t>被“信用中国”网站（www.creditchina.gov.cn）、“中国政府采购网”(www.ccgp.gov.cn)列入失信被执行人、重大税收违法失信主体、政府采购严重违法失信行为记录名单。</w:t>
      </w:r>
    </w:p>
    <w:p w14:paraId="24008B0D">
      <w:pPr>
        <w:pStyle w:val="266"/>
        <w:keepNext w:val="0"/>
        <w:keepLines w:val="0"/>
        <w:pageBreakBefore w:val="0"/>
        <w:spacing w:before="0" w:beforeAutospacing="0" w:after="0" w:afterAutospacing="0" w:line="360" w:lineRule="auto"/>
        <w:ind w:firstLine="420"/>
        <w:rPr>
          <w:rFonts w:hint="eastAsia"/>
          <w:sz w:val="22"/>
          <w:szCs w:val="22"/>
        </w:rPr>
      </w:pPr>
      <w:r>
        <w:rPr>
          <w:rFonts w:hint="eastAsia"/>
          <w:sz w:val="22"/>
          <w:szCs w:val="22"/>
          <w:lang w:val="en-US" w:eastAsia="zh-CN"/>
        </w:rPr>
        <w:t>3</w:t>
      </w:r>
      <w:r>
        <w:rPr>
          <w:rFonts w:hint="eastAsia"/>
          <w:sz w:val="22"/>
          <w:szCs w:val="22"/>
        </w:rPr>
        <w:t>.违反信用承诺的法律责任：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年至三年内禁止参加政府采购活动；有违法所得的，并没收违法所得，情节严重的，由市场监管部门吊销营业执照；构成犯罪的，依法追究刑事责任。</w:t>
      </w:r>
    </w:p>
    <w:p w14:paraId="4BFC9540">
      <w:pPr>
        <w:pStyle w:val="266"/>
        <w:keepNext w:val="0"/>
        <w:keepLines w:val="0"/>
        <w:pageBreakBefore w:val="0"/>
        <w:spacing w:before="0" w:beforeAutospacing="0" w:after="0" w:afterAutospacing="0" w:line="360" w:lineRule="auto"/>
        <w:ind w:firstLine="420"/>
        <w:rPr>
          <w:rFonts w:hint="eastAsia"/>
          <w:sz w:val="22"/>
          <w:szCs w:val="22"/>
        </w:rPr>
      </w:pPr>
      <w:r>
        <w:rPr>
          <w:rFonts w:hint="eastAsia"/>
          <w:sz w:val="22"/>
          <w:szCs w:val="22"/>
          <w:lang w:val="en-US" w:eastAsia="zh-CN"/>
        </w:rPr>
        <w:t>4</w:t>
      </w:r>
      <w:r>
        <w:rPr>
          <w:rFonts w:hint="eastAsia"/>
          <w:sz w:val="22"/>
          <w:szCs w:val="22"/>
        </w:rPr>
        <w:t>.供应商诚信档案管理：</w:t>
      </w:r>
    </w:p>
    <w:p w14:paraId="4398A7D9">
      <w:pPr>
        <w:pStyle w:val="266"/>
        <w:keepNext w:val="0"/>
        <w:keepLines w:val="0"/>
        <w:pageBreakBefore w:val="0"/>
        <w:spacing w:before="0" w:beforeAutospacing="0" w:after="0" w:afterAutospacing="0" w:line="360" w:lineRule="auto"/>
        <w:ind w:firstLine="420"/>
        <w:rPr>
          <w:rFonts w:hint="eastAsia"/>
          <w:sz w:val="22"/>
          <w:szCs w:val="22"/>
        </w:rPr>
      </w:pPr>
      <w:r>
        <w:rPr>
          <w:rFonts w:hint="eastAsia"/>
          <w:sz w:val="22"/>
          <w:szCs w:val="22"/>
        </w:rPr>
        <w:t>根据《南京市政府采购供应商信用管理工作暂行办法》（宁财规〔2018〕10号）有关规定，凡在南京地区参加政府采购活动的供应商，应当事先登录“信用南京”（www.njcredit.gov.cn）或“南京公共采购信息网”（https://njgc.jfh.com/）主页“政府采购供应商诚信档案”栏目进行注册登记。由于特殊原因未及时注册的供应商可先行获取采购文件，但必须在提交投标（响应）文件截止日2天前办理登记注册手续。</w:t>
      </w:r>
    </w:p>
    <w:p w14:paraId="6EFA7BE6">
      <w:pPr>
        <w:pStyle w:val="266"/>
        <w:keepNext w:val="0"/>
        <w:keepLines w:val="0"/>
        <w:pageBreakBefore w:val="0"/>
        <w:spacing w:before="0" w:beforeAutospacing="0" w:after="0" w:afterAutospacing="0" w:line="360" w:lineRule="auto"/>
        <w:ind w:firstLine="420"/>
        <w:rPr>
          <w:rFonts w:hint="eastAsia"/>
          <w:sz w:val="22"/>
          <w:szCs w:val="22"/>
        </w:rPr>
      </w:pPr>
      <w:r>
        <w:rPr>
          <w:rFonts w:hint="eastAsia"/>
          <w:sz w:val="22"/>
          <w:szCs w:val="22"/>
        </w:rPr>
        <w:t xml:space="preserve">供应商申请网上注册的，应当按以下程序进行：  </w:t>
      </w:r>
    </w:p>
    <w:p w14:paraId="59B3A8FE">
      <w:pPr>
        <w:pStyle w:val="266"/>
        <w:keepNext w:val="0"/>
        <w:keepLines w:val="0"/>
        <w:pageBreakBefore w:val="0"/>
        <w:spacing w:before="0" w:beforeAutospacing="0" w:after="0" w:afterAutospacing="0" w:line="360" w:lineRule="auto"/>
        <w:ind w:firstLine="420"/>
        <w:rPr>
          <w:rFonts w:hint="eastAsia"/>
          <w:sz w:val="22"/>
          <w:szCs w:val="22"/>
        </w:rPr>
      </w:pPr>
      <w:r>
        <w:rPr>
          <w:rFonts w:hint="eastAsia"/>
          <w:sz w:val="22"/>
          <w:szCs w:val="22"/>
        </w:rPr>
        <w:t>（1）登录“信用南京”或“南京公共采购信息网”网站，点击“政府采购供应商诚信档案”图标，在弹出的用户登录界面，点击“新用户注册”；</w:t>
      </w:r>
    </w:p>
    <w:p w14:paraId="64E5409D">
      <w:pPr>
        <w:pStyle w:val="266"/>
        <w:keepNext w:val="0"/>
        <w:keepLines w:val="0"/>
        <w:pageBreakBefore w:val="0"/>
        <w:spacing w:before="0" w:beforeAutospacing="0" w:after="0" w:afterAutospacing="0" w:line="360" w:lineRule="auto"/>
        <w:ind w:firstLine="420"/>
        <w:rPr>
          <w:rFonts w:hint="eastAsia"/>
          <w:sz w:val="22"/>
          <w:szCs w:val="22"/>
        </w:rPr>
      </w:pPr>
      <w:r>
        <w:rPr>
          <w:rFonts w:hint="eastAsia"/>
          <w:sz w:val="22"/>
          <w:szCs w:val="22"/>
        </w:rPr>
        <w:t>（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p>
    <w:p w14:paraId="75AB88DA">
      <w:pPr>
        <w:pStyle w:val="266"/>
        <w:keepNext w:val="0"/>
        <w:keepLines w:val="0"/>
        <w:pageBreakBefore w:val="0"/>
        <w:spacing w:before="0" w:beforeAutospacing="0" w:after="0" w:afterAutospacing="0" w:line="360" w:lineRule="auto"/>
        <w:ind w:firstLine="420"/>
        <w:rPr>
          <w:rFonts w:hint="eastAsia"/>
          <w:sz w:val="22"/>
          <w:szCs w:val="22"/>
        </w:rPr>
      </w:pPr>
      <w:r>
        <w:rPr>
          <w:rFonts w:hint="eastAsia"/>
          <w:sz w:val="22"/>
          <w:szCs w:val="22"/>
        </w:rPr>
        <w:t>注册成功后，供应商参加本次政府采购活动时，在采购文件发布之日起至递交投标文件截止日前，应先登录“信用南京”在线打印其“南京市政府采购供应商信用记录表”，经法定代表人签名盖章后作为投标文件的组成部分“南京市政府采购供应商信用记录表”是其参加本次政府采购活动的必备材料。</w:t>
      </w:r>
    </w:p>
    <w:p w14:paraId="3E2F7844">
      <w:pPr>
        <w:pStyle w:val="266"/>
        <w:keepNext w:val="0"/>
        <w:keepLines w:val="0"/>
        <w:pageBreakBefore w:val="0"/>
        <w:spacing w:before="0" w:beforeAutospacing="0" w:after="0" w:afterAutospacing="0" w:line="360" w:lineRule="auto"/>
        <w:ind w:firstLine="420"/>
        <w:rPr>
          <w:rFonts w:hint="eastAsia"/>
          <w:sz w:val="22"/>
          <w:szCs w:val="22"/>
        </w:rPr>
      </w:pPr>
      <w:r>
        <w:rPr>
          <w:rFonts w:hint="eastAsia"/>
          <w:sz w:val="22"/>
          <w:szCs w:val="22"/>
        </w:rPr>
        <w:t>南京市政府采购供应商诚信档案管理系统客服电话：025-52718366；供应商可就用户注册与打印“南京市政府采购供应商信用记录表”等事宜进行咨询。</w:t>
      </w:r>
    </w:p>
    <w:p w14:paraId="50D07803">
      <w:pPr>
        <w:pStyle w:val="266"/>
        <w:keepNext w:val="0"/>
        <w:keepLines w:val="0"/>
        <w:pageBreakBefore w:val="0"/>
        <w:spacing w:before="0" w:beforeAutospacing="0" w:after="0" w:afterAutospacing="0" w:line="360" w:lineRule="auto"/>
        <w:ind w:firstLine="420"/>
        <w:rPr>
          <w:rFonts w:hint="eastAsia"/>
          <w:sz w:val="22"/>
          <w:szCs w:val="22"/>
        </w:rPr>
      </w:pPr>
      <w:r>
        <w:rPr>
          <w:rFonts w:hint="eastAsia"/>
          <w:sz w:val="22"/>
          <w:szCs w:val="22"/>
          <w:lang w:val="en-US" w:eastAsia="zh-CN"/>
        </w:rPr>
        <w:t>5</w:t>
      </w:r>
      <w:r>
        <w:rPr>
          <w:rFonts w:hint="eastAsia"/>
          <w:sz w:val="22"/>
          <w:szCs w:val="22"/>
        </w:rPr>
        <w:t>.根据《关于在政府采购活动中推行信用承诺制的通知》（宁财购通[2021]5号）的规定，本项目公告“二、申请人的资格要求（一）满足《中华人民共和国政府采购法》第二十二条规定”中涉及的证明材料，供应商可以在投标文件中一次性提交，也可以在投标文件中提供满足相应条件的书面承诺书，不再需要提供上述涉及的证明材料。</w:t>
      </w:r>
    </w:p>
    <w:p w14:paraId="689372DE">
      <w:pPr>
        <w:pStyle w:val="266"/>
        <w:keepNext w:val="0"/>
        <w:keepLines w:val="0"/>
        <w:pageBreakBefore w:val="0"/>
        <w:spacing w:before="0" w:beforeAutospacing="0" w:after="0" w:afterAutospacing="0" w:line="360" w:lineRule="auto"/>
        <w:ind w:firstLine="420"/>
        <w:rPr>
          <w:rFonts w:hint="eastAsia"/>
          <w:sz w:val="22"/>
          <w:szCs w:val="22"/>
        </w:rPr>
      </w:pPr>
      <w:r>
        <w:rPr>
          <w:rFonts w:hint="eastAsia"/>
          <w:sz w:val="22"/>
          <w:szCs w:val="22"/>
        </w:rPr>
        <w:t>供应商仅提供信用承诺书而未提供“二、申请人的资格要求（一）满足《中华人民共和国政府采购法》第二十二条规定” 中涉及的证明材料，须在中标后，另行提供上述由信用承诺书替代的证明材料（一式</w:t>
      </w:r>
      <w:r>
        <w:rPr>
          <w:rFonts w:hint="eastAsia"/>
          <w:sz w:val="22"/>
          <w:szCs w:val="22"/>
          <w:lang w:val="en-US" w:eastAsia="zh-CN"/>
        </w:rPr>
        <w:t>二</w:t>
      </w:r>
      <w:r>
        <w:rPr>
          <w:rFonts w:hint="eastAsia"/>
          <w:sz w:val="22"/>
          <w:szCs w:val="22"/>
        </w:rPr>
        <w:t>份），材料须加盖公章并按采购文件要求提交采购代理机构核验。经核验无误后，由采购代理机构发出中标通知书。</w:t>
      </w:r>
    </w:p>
    <w:p w14:paraId="2D089BB9">
      <w:pPr>
        <w:pStyle w:val="266"/>
        <w:keepNext w:val="0"/>
        <w:keepLines w:val="0"/>
        <w:pageBreakBefore w:val="0"/>
        <w:spacing w:before="0" w:beforeAutospacing="0" w:after="0" w:afterAutospacing="0" w:line="360" w:lineRule="auto"/>
        <w:ind w:firstLine="420"/>
        <w:rPr>
          <w:rFonts w:hint="eastAsia"/>
          <w:sz w:val="22"/>
          <w:szCs w:val="22"/>
          <w:lang w:eastAsia="zh-CN"/>
        </w:rPr>
      </w:pPr>
      <w:r>
        <w:rPr>
          <w:rFonts w:hint="eastAsia"/>
          <w:sz w:val="22"/>
          <w:szCs w:val="22"/>
          <w:lang w:val="en-US" w:eastAsia="zh-CN"/>
        </w:rPr>
        <w:t>6</w:t>
      </w:r>
      <w:r>
        <w:rPr>
          <w:rFonts w:hint="eastAsia"/>
          <w:sz w:val="22"/>
          <w:szCs w:val="22"/>
        </w:rPr>
        <w:t>.投标文件份数：</w:t>
      </w:r>
      <w:r>
        <w:rPr>
          <w:rFonts w:hint="eastAsia"/>
          <w:sz w:val="22"/>
          <w:szCs w:val="22"/>
          <w:lang w:val="en-US" w:eastAsia="zh-CN"/>
        </w:rPr>
        <w:t>中标后提供</w:t>
      </w:r>
      <w:r>
        <w:rPr>
          <w:rFonts w:hint="eastAsia"/>
          <w:sz w:val="22"/>
          <w:szCs w:val="22"/>
        </w:rPr>
        <w:t>纸质版一式</w:t>
      </w:r>
      <w:r>
        <w:rPr>
          <w:rFonts w:hint="eastAsia"/>
          <w:sz w:val="22"/>
          <w:szCs w:val="22"/>
          <w:lang w:val="en-US" w:eastAsia="zh-CN"/>
        </w:rPr>
        <w:t>叁</w:t>
      </w:r>
      <w:r>
        <w:rPr>
          <w:rFonts w:hint="eastAsia"/>
          <w:sz w:val="22"/>
          <w:szCs w:val="22"/>
        </w:rPr>
        <w:t>份（壹份正本、</w:t>
      </w:r>
      <w:r>
        <w:rPr>
          <w:rFonts w:hint="eastAsia"/>
          <w:sz w:val="22"/>
          <w:szCs w:val="22"/>
          <w:lang w:val="en-US" w:eastAsia="zh-CN"/>
        </w:rPr>
        <w:t>贰</w:t>
      </w:r>
      <w:r>
        <w:rPr>
          <w:rFonts w:hint="eastAsia"/>
          <w:sz w:val="22"/>
          <w:szCs w:val="22"/>
        </w:rPr>
        <w:t>份副本）</w:t>
      </w:r>
      <w:r>
        <w:rPr>
          <w:rFonts w:hint="eastAsia"/>
          <w:sz w:val="22"/>
          <w:szCs w:val="22"/>
          <w:lang w:eastAsia="zh-CN"/>
        </w:rPr>
        <w:t>。</w:t>
      </w:r>
    </w:p>
    <w:p w14:paraId="07110EEB">
      <w:pPr>
        <w:pStyle w:val="266"/>
        <w:keepNext w:val="0"/>
        <w:keepLines w:val="0"/>
        <w:pageBreakBefore w:val="0"/>
        <w:spacing w:before="0" w:beforeAutospacing="0" w:after="0" w:afterAutospacing="0" w:line="360" w:lineRule="auto"/>
        <w:ind w:firstLine="420"/>
        <w:rPr>
          <w:rFonts w:hint="eastAsia"/>
          <w:sz w:val="22"/>
          <w:szCs w:val="22"/>
        </w:rPr>
      </w:pPr>
      <w:r>
        <w:rPr>
          <w:rFonts w:hint="eastAsia"/>
          <w:sz w:val="22"/>
          <w:szCs w:val="22"/>
          <w:lang w:val="en-US" w:eastAsia="zh-CN"/>
        </w:rPr>
        <w:t>7</w:t>
      </w:r>
      <w:r>
        <w:rPr>
          <w:rFonts w:hint="eastAsia"/>
          <w:sz w:val="22"/>
          <w:szCs w:val="22"/>
        </w:rPr>
        <w:t>.是否接受进口产品：不接受。</w:t>
      </w:r>
    </w:p>
    <w:p w14:paraId="074F6B43">
      <w:pPr>
        <w:pStyle w:val="266"/>
        <w:keepNext w:val="0"/>
        <w:keepLines w:val="0"/>
        <w:pageBreakBefore w:val="0"/>
        <w:spacing w:before="0" w:beforeAutospacing="0" w:after="0" w:afterAutospacing="0" w:line="360" w:lineRule="auto"/>
        <w:ind w:firstLine="420"/>
        <w:rPr>
          <w:rFonts w:hint="eastAsia"/>
          <w:sz w:val="22"/>
          <w:szCs w:val="22"/>
        </w:rPr>
      </w:pPr>
      <w:r>
        <w:rPr>
          <w:rFonts w:hint="eastAsia"/>
          <w:sz w:val="22"/>
          <w:szCs w:val="22"/>
          <w:lang w:val="en-US" w:eastAsia="zh-CN"/>
        </w:rPr>
        <w:t>8</w:t>
      </w:r>
      <w:r>
        <w:rPr>
          <w:rFonts w:hint="eastAsia"/>
          <w:sz w:val="22"/>
          <w:szCs w:val="22"/>
        </w:rPr>
        <w:t>.集中考察或答疑：本次采购不组织集中勘察现场。供应商如对采购需求有疑问请与采购联系人沟通。在递交投标文件截止时间15日前，代理机构将采购文件澄清或者修改的内容（如有）发放供应商，供应商如对本项目有疑问也应在此时间内向代理机构递交提疑文件。</w:t>
      </w:r>
    </w:p>
    <w:p w14:paraId="00C95C82">
      <w:pPr>
        <w:pStyle w:val="266"/>
        <w:keepNext w:val="0"/>
        <w:keepLines w:val="0"/>
        <w:pageBreakBefore w:val="0"/>
        <w:spacing w:before="0" w:beforeAutospacing="0" w:after="0" w:afterAutospacing="0" w:line="360" w:lineRule="auto"/>
        <w:ind w:firstLine="420"/>
        <w:rPr>
          <w:rFonts w:hint="eastAsia"/>
          <w:sz w:val="22"/>
          <w:szCs w:val="22"/>
          <w:lang w:val="en-US" w:eastAsia="zh-CN"/>
        </w:rPr>
      </w:pPr>
      <w:r>
        <w:rPr>
          <w:rFonts w:hint="eastAsia"/>
          <w:sz w:val="22"/>
          <w:szCs w:val="22"/>
          <w:lang w:val="en-US" w:eastAsia="zh-CN"/>
        </w:rPr>
        <w:t>9.行业划分：交通运输业。</w:t>
      </w:r>
    </w:p>
    <w:p w14:paraId="72114EAF">
      <w:pPr>
        <w:pStyle w:val="266"/>
        <w:keepNext w:val="0"/>
        <w:keepLines w:val="0"/>
        <w:pageBreakBefore w:val="0"/>
        <w:spacing w:before="0" w:beforeAutospacing="0" w:after="0" w:afterAutospacing="0" w:line="360" w:lineRule="auto"/>
        <w:ind w:firstLine="420"/>
        <w:rPr>
          <w:rFonts w:hint="eastAsia"/>
          <w:sz w:val="22"/>
          <w:szCs w:val="22"/>
          <w:highlight w:val="none"/>
          <w:lang w:val="en-US" w:eastAsia="zh-CN"/>
        </w:rPr>
      </w:pPr>
      <w:r>
        <w:rPr>
          <w:rFonts w:hint="eastAsia"/>
          <w:sz w:val="22"/>
          <w:szCs w:val="22"/>
          <w:lang w:val="en-US" w:eastAsia="zh-CN"/>
        </w:rPr>
        <w:t>10.潜在供应商访问政府采购</w:t>
      </w:r>
      <w:r>
        <w:rPr>
          <w:rFonts w:hint="eastAsia"/>
          <w:sz w:val="22"/>
          <w:szCs w:val="22"/>
          <w:highlight w:val="none"/>
          <w:lang w:val="en-US" w:eastAsia="zh-CN"/>
        </w:rPr>
        <w:t>管理交易系统（苏采云）的网络地址和方法：</w:t>
      </w:r>
    </w:p>
    <w:p w14:paraId="50703FB1">
      <w:pPr>
        <w:pStyle w:val="266"/>
        <w:keepNext w:val="0"/>
        <w:keepLines w:val="0"/>
        <w:pageBreakBefore w:val="0"/>
        <w:spacing w:before="0" w:beforeAutospacing="0" w:after="0" w:afterAutospacing="0" w:line="360" w:lineRule="auto"/>
        <w:ind w:firstLine="420"/>
        <w:rPr>
          <w:rFonts w:hint="eastAsia"/>
          <w:sz w:val="22"/>
          <w:szCs w:val="22"/>
          <w:highlight w:val="none"/>
          <w:lang w:val="en-US" w:eastAsia="zh-CN"/>
        </w:rPr>
      </w:pPr>
      <w:r>
        <w:rPr>
          <w:rFonts w:hint="eastAsia"/>
          <w:sz w:val="22"/>
          <w:szCs w:val="22"/>
          <w:highlight w:val="none"/>
          <w:lang w:val="en-US" w:eastAsia="zh-CN"/>
        </w:rPr>
        <w:t>（1）投标人通过苏采云系统参与政府采购项目，需要办理江苏省政府采购数字证书及电子签章，具体详见苏采云系统登录页“新CA办理指南”。投标人按《苏采云系统供应商操作手册》（以下简称“操作手册”）进行注册，并制作上传电子投标文件。《操作手册》下载地址（http://www.ccgp-jiangsu.gov.cn/jiangsu/zlxz/ee/ee3a4bc5a3454aa2b0d9312230633ce9.html）。</w:t>
      </w:r>
    </w:p>
    <w:p w14:paraId="3FAA62F2">
      <w:pPr>
        <w:pStyle w:val="266"/>
        <w:keepNext w:val="0"/>
        <w:keepLines w:val="0"/>
        <w:pageBreakBefore w:val="0"/>
        <w:spacing w:before="0" w:beforeAutospacing="0" w:after="0" w:afterAutospacing="0" w:line="360" w:lineRule="auto"/>
        <w:ind w:firstLine="420"/>
        <w:rPr>
          <w:rFonts w:hint="eastAsia"/>
          <w:sz w:val="22"/>
          <w:szCs w:val="22"/>
          <w:lang w:val="en-US" w:eastAsia="zh-CN"/>
        </w:rPr>
      </w:pPr>
      <w:r>
        <w:rPr>
          <w:rFonts w:hint="eastAsia"/>
          <w:sz w:val="22"/>
          <w:szCs w:val="22"/>
          <w:lang w:val="en-US" w:eastAsia="zh-CN"/>
        </w:rPr>
        <w:t>（2）苏采云系统使用谷歌浏览器参与不见面开标。</w:t>
      </w:r>
    </w:p>
    <w:p w14:paraId="0307608E">
      <w:pPr>
        <w:pStyle w:val="266"/>
        <w:keepNext w:val="0"/>
        <w:keepLines w:val="0"/>
        <w:pageBreakBefore w:val="0"/>
        <w:spacing w:before="0" w:beforeAutospacing="0" w:after="0" w:afterAutospacing="0" w:line="360" w:lineRule="auto"/>
        <w:ind w:firstLine="420"/>
        <w:rPr>
          <w:rFonts w:hint="eastAsia"/>
          <w:sz w:val="22"/>
          <w:szCs w:val="22"/>
          <w:lang w:val="en-US" w:eastAsia="zh-CN"/>
        </w:rPr>
      </w:pPr>
      <w:r>
        <w:rPr>
          <w:rFonts w:hint="eastAsia"/>
          <w:sz w:val="22"/>
          <w:szCs w:val="22"/>
          <w:lang w:val="en-US" w:eastAsia="zh-CN"/>
        </w:rPr>
        <w:t>（3）“苏采云”南京地区客服热线025-83633744、025-83633743。</w:t>
      </w:r>
    </w:p>
    <w:p w14:paraId="1B92C89C">
      <w:pPr>
        <w:pStyle w:val="266"/>
        <w:keepNext w:val="0"/>
        <w:keepLines w:val="0"/>
        <w:pageBreakBefore w:val="0"/>
        <w:spacing w:before="0" w:beforeAutospacing="0" w:after="0" w:afterAutospacing="0" w:line="360" w:lineRule="auto"/>
        <w:ind w:firstLine="420"/>
        <w:rPr>
          <w:rFonts w:hint="eastAsia"/>
          <w:sz w:val="22"/>
          <w:szCs w:val="22"/>
          <w:lang w:val="en-US" w:eastAsia="zh-CN"/>
        </w:rPr>
      </w:pPr>
      <w:r>
        <w:rPr>
          <w:rFonts w:hint="eastAsia"/>
          <w:sz w:val="22"/>
          <w:szCs w:val="22"/>
          <w:lang w:val="en-US" w:eastAsia="zh-CN"/>
        </w:rPr>
        <w:t>11.有关本次招标的事项若存在变动或修改，请及时关注“江苏政府采购网”、“南京公共采购信息网”发布的更正公告。</w:t>
      </w:r>
    </w:p>
    <w:p w14:paraId="2DDC98EB">
      <w:pPr>
        <w:keepNext w:val="0"/>
        <w:keepLines w:val="0"/>
        <w:pageBreakBefore w:val="0"/>
        <w:widowControl/>
        <w:spacing w:line="360" w:lineRule="auto"/>
        <w:ind w:firstLine="422"/>
        <w:jc w:val="left"/>
        <w:outlineLvl w:val="1"/>
        <w:rPr>
          <w:rFonts w:hint="eastAsia" w:ascii="宋体" w:hAnsi="宋体" w:eastAsia="宋体" w:cs="Times New Roman"/>
          <w:b/>
          <w:sz w:val="22"/>
          <w:szCs w:val="22"/>
          <w:lang w:val="en-US" w:eastAsia="zh-CN" w:bidi="en-US"/>
        </w:rPr>
      </w:pPr>
      <w:r>
        <w:rPr>
          <w:rFonts w:hint="eastAsia" w:ascii="宋体" w:hAnsi="宋体" w:cs="Times New Roman"/>
          <w:b/>
          <w:sz w:val="22"/>
          <w:szCs w:val="22"/>
          <w:lang w:val="en-US" w:eastAsia="zh-CN" w:bidi="en-US"/>
        </w:rPr>
        <w:t>七</w:t>
      </w:r>
      <w:r>
        <w:rPr>
          <w:rFonts w:hint="eastAsia" w:ascii="宋体" w:hAnsi="宋体" w:eastAsia="宋体" w:cs="Times New Roman"/>
          <w:b/>
          <w:sz w:val="22"/>
          <w:szCs w:val="22"/>
          <w:lang w:val="en-US" w:eastAsia="zh-CN" w:bidi="en-US"/>
        </w:rPr>
        <w:t>、对本次招标提出询问，请按以下方式联系</w:t>
      </w:r>
    </w:p>
    <w:p w14:paraId="0E52255D">
      <w:pPr>
        <w:keepNext w:val="0"/>
        <w:keepLines w:val="0"/>
        <w:pageBreakBefore w:val="0"/>
        <w:tabs>
          <w:tab w:val="left" w:pos="0"/>
          <w:tab w:val="left" w:pos="510"/>
          <w:tab w:val="left" w:pos="1134"/>
        </w:tabs>
        <w:spacing w:line="360" w:lineRule="auto"/>
        <w:ind w:firstLine="440"/>
        <w:rPr>
          <w:rFonts w:ascii="宋体" w:hAnsi="宋体" w:cs="Trebuchet MS"/>
          <w:sz w:val="22"/>
          <w:szCs w:val="22"/>
        </w:rPr>
      </w:pPr>
      <w:r>
        <w:rPr>
          <w:rFonts w:hint="eastAsia" w:ascii="宋体" w:hAnsi="宋体" w:cs="Trebuchet MS"/>
          <w:sz w:val="22"/>
          <w:szCs w:val="22"/>
        </w:rPr>
        <w:t>1.采购人信息</w:t>
      </w:r>
    </w:p>
    <w:p w14:paraId="02855E6B">
      <w:pPr>
        <w:keepNext w:val="0"/>
        <w:keepLines w:val="0"/>
        <w:pageBreakBefore w:val="0"/>
        <w:tabs>
          <w:tab w:val="left" w:pos="0"/>
          <w:tab w:val="left" w:pos="510"/>
          <w:tab w:val="left" w:pos="1134"/>
        </w:tabs>
        <w:spacing w:line="360" w:lineRule="auto"/>
        <w:ind w:firstLine="440"/>
        <w:rPr>
          <w:rFonts w:hint="eastAsia" w:ascii="宋体" w:hAnsi="宋体" w:cs="Trebuchet MS"/>
          <w:sz w:val="22"/>
          <w:szCs w:val="22"/>
        </w:rPr>
      </w:pPr>
      <w:r>
        <w:rPr>
          <w:rFonts w:hint="eastAsia" w:ascii="宋体" w:hAnsi="宋体" w:cs="Trebuchet MS"/>
          <w:sz w:val="22"/>
          <w:szCs w:val="22"/>
        </w:rPr>
        <w:t>名称：</w:t>
      </w:r>
      <w:bookmarkStart w:id="1" w:name="OLE_LINK2"/>
      <w:r>
        <w:rPr>
          <w:rFonts w:hint="eastAsia" w:ascii="宋体" w:hAnsi="宋体"/>
          <w:sz w:val="22"/>
          <w:szCs w:val="22"/>
        </w:rPr>
        <w:t>南京市江宁区交</w:t>
      </w:r>
      <w:r>
        <w:rPr>
          <w:rFonts w:hint="eastAsia" w:ascii="宋体" w:hAnsi="宋体" w:cs="Trebuchet MS"/>
          <w:sz w:val="22"/>
          <w:szCs w:val="22"/>
        </w:rPr>
        <w:t>通运输局</w:t>
      </w:r>
      <w:bookmarkEnd w:id="1"/>
    </w:p>
    <w:p w14:paraId="329DFFEC">
      <w:pPr>
        <w:keepNext w:val="0"/>
        <w:keepLines w:val="0"/>
        <w:pageBreakBefore w:val="0"/>
        <w:tabs>
          <w:tab w:val="left" w:pos="0"/>
          <w:tab w:val="left" w:pos="510"/>
          <w:tab w:val="left" w:pos="1134"/>
        </w:tabs>
        <w:spacing w:line="360" w:lineRule="auto"/>
        <w:ind w:firstLine="440"/>
        <w:rPr>
          <w:rFonts w:hint="eastAsia" w:ascii="宋体" w:hAnsi="宋体" w:cs="Trebuchet MS"/>
          <w:sz w:val="22"/>
          <w:szCs w:val="22"/>
        </w:rPr>
      </w:pPr>
      <w:r>
        <w:rPr>
          <w:rFonts w:hint="eastAsia" w:ascii="宋体" w:hAnsi="宋体" w:cs="Trebuchet MS"/>
          <w:sz w:val="22"/>
          <w:szCs w:val="22"/>
        </w:rPr>
        <w:t>地址：南京市江宁区科宁路779号</w:t>
      </w:r>
    </w:p>
    <w:p w14:paraId="6D98E944">
      <w:pPr>
        <w:keepNext w:val="0"/>
        <w:keepLines w:val="0"/>
        <w:pageBreakBefore w:val="0"/>
        <w:tabs>
          <w:tab w:val="left" w:pos="0"/>
          <w:tab w:val="left" w:pos="510"/>
          <w:tab w:val="left" w:pos="1134"/>
        </w:tabs>
        <w:spacing w:line="360" w:lineRule="auto"/>
        <w:ind w:firstLine="440"/>
        <w:rPr>
          <w:rFonts w:hint="eastAsia" w:ascii="宋体" w:hAnsi="宋体" w:cs="Trebuchet MS"/>
          <w:sz w:val="22"/>
          <w:szCs w:val="22"/>
          <w:lang w:val="zh-CN"/>
        </w:rPr>
      </w:pPr>
      <w:r>
        <w:rPr>
          <w:rFonts w:hint="eastAsia" w:ascii="宋体" w:hAnsi="宋体" w:cs="Trebuchet MS"/>
          <w:sz w:val="22"/>
          <w:szCs w:val="22"/>
          <w:lang w:val="zh-CN"/>
        </w:rPr>
        <w:t>联系电话：</w:t>
      </w:r>
      <w:r>
        <w:rPr>
          <w:rFonts w:hint="eastAsia" w:ascii="宋体" w:hAnsi="宋体" w:cs="宋体"/>
          <w:bCs/>
          <w:sz w:val="22"/>
          <w:szCs w:val="22"/>
          <w:lang w:eastAsia="zh-CN"/>
        </w:rPr>
        <w:t>025-52106771</w:t>
      </w:r>
    </w:p>
    <w:p w14:paraId="1E4663A8">
      <w:pPr>
        <w:keepNext w:val="0"/>
        <w:keepLines w:val="0"/>
        <w:pageBreakBefore w:val="0"/>
        <w:tabs>
          <w:tab w:val="left" w:pos="0"/>
          <w:tab w:val="left" w:pos="510"/>
          <w:tab w:val="left" w:pos="1134"/>
        </w:tabs>
        <w:spacing w:line="360" w:lineRule="auto"/>
        <w:ind w:firstLine="440"/>
        <w:rPr>
          <w:rFonts w:ascii="宋体" w:hAnsi="宋体" w:cs="Trebuchet MS"/>
          <w:sz w:val="22"/>
          <w:szCs w:val="22"/>
        </w:rPr>
      </w:pPr>
      <w:r>
        <w:rPr>
          <w:rFonts w:ascii="宋体" w:hAnsi="宋体" w:cs="Trebuchet MS"/>
          <w:sz w:val="22"/>
          <w:szCs w:val="22"/>
        </w:rPr>
        <w:t>2</w:t>
      </w:r>
      <w:r>
        <w:rPr>
          <w:rFonts w:hint="eastAsia" w:ascii="宋体" w:hAnsi="宋体" w:cs="Trebuchet MS"/>
          <w:sz w:val="22"/>
          <w:szCs w:val="22"/>
        </w:rPr>
        <w:t>.采购代理机构信息</w:t>
      </w:r>
    </w:p>
    <w:p w14:paraId="05CFB23E">
      <w:pPr>
        <w:keepNext w:val="0"/>
        <w:keepLines w:val="0"/>
        <w:pageBreakBefore w:val="0"/>
        <w:tabs>
          <w:tab w:val="left" w:pos="0"/>
          <w:tab w:val="left" w:pos="510"/>
          <w:tab w:val="left" w:pos="1134"/>
        </w:tabs>
        <w:spacing w:line="360" w:lineRule="auto"/>
        <w:ind w:firstLine="440"/>
        <w:rPr>
          <w:rFonts w:hint="eastAsia" w:ascii="宋体" w:hAnsi="宋体" w:eastAsia="宋体" w:cs="Trebuchet MS"/>
          <w:sz w:val="22"/>
          <w:szCs w:val="22"/>
          <w:lang w:val="zh-CN" w:eastAsia="zh-CN"/>
        </w:rPr>
      </w:pPr>
      <w:r>
        <w:rPr>
          <w:rFonts w:hint="eastAsia" w:ascii="宋体" w:hAnsi="宋体" w:cs="Trebuchet MS"/>
          <w:sz w:val="22"/>
          <w:szCs w:val="22"/>
          <w:lang w:val="zh-CN"/>
        </w:rPr>
        <w:t>名称：</w:t>
      </w:r>
      <w:r>
        <w:rPr>
          <w:rFonts w:hint="eastAsia" w:ascii="宋体" w:hAnsi="宋体" w:cs="Trebuchet MS"/>
          <w:sz w:val="22"/>
          <w:szCs w:val="22"/>
          <w:lang w:eastAsia="zh-CN"/>
        </w:rPr>
        <w:t>南京浩运通工程咨询有限公司</w:t>
      </w:r>
    </w:p>
    <w:p w14:paraId="3A78151A">
      <w:pPr>
        <w:keepNext w:val="0"/>
        <w:keepLines w:val="0"/>
        <w:pageBreakBefore w:val="0"/>
        <w:tabs>
          <w:tab w:val="left" w:pos="0"/>
          <w:tab w:val="left" w:pos="510"/>
          <w:tab w:val="left" w:pos="1134"/>
        </w:tabs>
        <w:spacing w:line="360" w:lineRule="auto"/>
        <w:ind w:firstLine="440"/>
        <w:rPr>
          <w:rFonts w:hint="eastAsia" w:ascii="宋体" w:hAnsi="宋体" w:cs="Trebuchet MS"/>
          <w:sz w:val="22"/>
          <w:szCs w:val="22"/>
        </w:rPr>
      </w:pPr>
      <w:r>
        <w:rPr>
          <w:rFonts w:hint="eastAsia" w:ascii="宋体" w:hAnsi="宋体" w:cs="Trebuchet MS"/>
          <w:sz w:val="22"/>
          <w:szCs w:val="22"/>
          <w:lang w:val="zh-CN"/>
        </w:rPr>
        <w:t>地址：</w:t>
      </w:r>
      <w:r>
        <w:rPr>
          <w:rFonts w:hint="eastAsia" w:ascii="宋体" w:hAnsi="宋体" w:eastAsia="宋体" w:cs="宋体"/>
          <w:sz w:val="22"/>
          <w:szCs w:val="28"/>
          <w:lang w:eastAsia="zh-CN"/>
        </w:rPr>
        <w:t>江苏省南京市科宁路777号汉德森科技园21号楼5楼会议室</w:t>
      </w:r>
    </w:p>
    <w:p w14:paraId="119F9DCB">
      <w:pPr>
        <w:keepNext w:val="0"/>
        <w:keepLines w:val="0"/>
        <w:pageBreakBefore w:val="0"/>
        <w:tabs>
          <w:tab w:val="left" w:pos="0"/>
          <w:tab w:val="left" w:pos="510"/>
          <w:tab w:val="left" w:pos="1134"/>
        </w:tabs>
        <w:spacing w:line="360" w:lineRule="auto"/>
        <w:ind w:firstLine="440"/>
        <w:rPr>
          <w:rFonts w:ascii="宋体" w:hAnsi="宋体" w:cs="Trebuchet MS"/>
          <w:sz w:val="22"/>
          <w:szCs w:val="22"/>
          <w:lang w:val="zh-CN"/>
        </w:rPr>
      </w:pPr>
      <w:r>
        <w:rPr>
          <w:rFonts w:hint="eastAsia" w:ascii="宋体" w:hAnsi="宋体" w:cs="Trebuchet MS"/>
          <w:sz w:val="22"/>
          <w:szCs w:val="22"/>
          <w:lang w:val="zh-CN"/>
        </w:rPr>
        <w:t>联系方式：</w:t>
      </w:r>
      <w:r>
        <w:rPr>
          <w:rFonts w:hint="eastAsia" w:ascii="宋体" w:hAnsi="宋体" w:cs="Trebuchet MS"/>
          <w:sz w:val="22"/>
          <w:szCs w:val="22"/>
          <w:lang w:val="en-US" w:eastAsia="zh-CN"/>
        </w:rPr>
        <w:t>殷工</w:t>
      </w:r>
      <w:r>
        <w:rPr>
          <w:rFonts w:hint="eastAsia" w:ascii="宋体" w:hAnsi="宋体" w:cs="Trebuchet MS"/>
          <w:sz w:val="22"/>
          <w:szCs w:val="22"/>
          <w:lang w:val="zh-CN"/>
        </w:rPr>
        <w:t xml:space="preserve"> </w:t>
      </w:r>
      <w:r>
        <w:rPr>
          <w:rFonts w:ascii="宋体" w:hAnsi="宋体" w:cs="Trebuchet MS"/>
          <w:sz w:val="22"/>
          <w:szCs w:val="22"/>
          <w:lang w:val="zh-CN"/>
        </w:rPr>
        <w:t xml:space="preserve"> </w:t>
      </w:r>
    </w:p>
    <w:p w14:paraId="54D94B5D">
      <w:pPr>
        <w:keepNext w:val="0"/>
        <w:keepLines w:val="0"/>
        <w:pageBreakBefore w:val="0"/>
        <w:tabs>
          <w:tab w:val="left" w:pos="0"/>
          <w:tab w:val="left" w:pos="510"/>
          <w:tab w:val="left" w:pos="1134"/>
        </w:tabs>
        <w:spacing w:line="360" w:lineRule="auto"/>
        <w:ind w:firstLine="440"/>
        <w:rPr>
          <w:rFonts w:ascii="宋体" w:hAnsi="宋体" w:cs="Trebuchet MS"/>
          <w:sz w:val="22"/>
          <w:szCs w:val="22"/>
          <w:lang w:val="zh-CN"/>
        </w:rPr>
      </w:pPr>
      <w:r>
        <w:rPr>
          <w:rFonts w:hint="eastAsia" w:ascii="宋体" w:hAnsi="宋体" w:cs="Trebuchet MS"/>
          <w:sz w:val="22"/>
          <w:szCs w:val="22"/>
          <w:lang w:val="zh-CN"/>
        </w:rPr>
        <w:t>电话：</w:t>
      </w:r>
      <w:r>
        <w:rPr>
          <w:rFonts w:hint="eastAsia" w:ascii="宋体" w:hAnsi="宋体" w:eastAsia="宋体" w:cs="宋体"/>
          <w:sz w:val="22"/>
          <w:szCs w:val="28"/>
          <w:lang w:eastAsia="zh-CN"/>
        </w:rPr>
        <w:t>025-52122300</w:t>
      </w:r>
    </w:p>
    <w:p w14:paraId="4CF2FC39">
      <w:pPr>
        <w:keepNext w:val="0"/>
        <w:keepLines w:val="0"/>
        <w:pageBreakBefore w:val="0"/>
        <w:tabs>
          <w:tab w:val="left" w:pos="0"/>
          <w:tab w:val="left" w:pos="510"/>
          <w:tab w:val="left" w:pos="1134"/>
        </w:tabs>
        <w:spacing w:line="360" w:lineRule="auto"/>
        <w:ind w:firstLine="440"/>
        <w:rPr>
          <w:rFonts w:ascii="宋体" w:hAnsi="宋体" w:cs="Trebuchet MS"/>
          <w:sz w:val="22"/>
          <w:szCs w:val="22"/>
          <w:lang w:val="zh-CN"/>
        </w:rPr>
      </w:pPr>
      <w:r>
        <w:rPr>
          <w:rFonts w:hint="eastAsia" w:ascii="宋体" w:hAnsi="宋体" w:cs="Trebuchet MS"/>
          <w:sz w:val="22"/>
          <w:szCs w:val="22"/>
          <w:lang w:val="zh-CN"/>
        </w:rPr>
        <w:t>3.项目联系方式</w:t>
      </w:r>
    </w:p>
    <w:p w14:paraId="239C6BEE">
      <w:pPr>
        <w:keepNext w:val="0"/>
        <w:keepLines w:val="0"/>
        <w:pageBreakBefore w:val="0"/>
        <w:tabs>
          <w:tab w:val="left" w:pos="0"/>
          <w:tab w:val="left" w:pos="510"/>
          <w:tab w:val="left" w:pos="1134"/>
        </w:tabs>
        <w:spacing w:line="360" w:lineRule="auto"/>
        <w:ind w:firstLine="440"/>
        <w:rPr>
          <w:rFonts w:ascii="宋体" w:hAnsi="宋体" w:cs="Trebuchet MS"/>
          <w:sz w:val="22"/>
          <w:szCs w:val="22"/>
          <w:lang w:val="zh-CN"/>
        </w:rPr>
      </w:pPr>
      <w:r>
        <w:rPr>
          <w:rFonts w:hint="eastAsia" w:ascii="宋体" w:hAnsi="宋体" w:cs="Trebuchet MS"/>
          <w:sz w:val="22"/>
          <w:szCs w:val="22"/>
          <w:lang w:val="zh-CN"/>
        </w:rPr>
        <w:t>项目联系人：</w:t>
      </w:r>
      <w:r>
        <w:rPr>
          <w:rFonts w:hint="eastAsia" w:ascii="宋体" w:hAnsi="宋体" w:cs="Trebuchet MS"/>
          <w:sz w:val="22"/>
          <w:szCs w:val="22"/>
          <w:lang w:val="en-US" w:eastAsia="zh-CN"/>
        </w:rPr>
        <w:t>殷工</w:t>
      </w:r>
    </w:p>
    <w:p w14:paraId="52CBCEE8">
      <w:pPr>
        <w:keepNext w:val="0"/>
        <w:keepLines w:val="0"/>
        <w:pageBreakBefore w:val="0"/>
        <w:tabs>
          <w:tab w:val="left" w:pos="0"/>
          <w:tab w:val="left" w:pos="510"/>
          <w:tab w:val="left" w:pos="1134"/>
        </w:tabs>
        <w:spacing w:line="360" w:lineRule="auto"/>
        <w:ind w:firstLine="440"/>
        <w:rPr>
          <w:rFonts w:hint="eastAsia"/>
          <w:sz w:val="22"/>
          <w:szCs w:val="22"/>
        </w:rPr>
      </w:pPr>
      <w:r>
        <w:rPr>
          <w:rFonts w:hint="eastAsia" w:ascii="宋体" w:hAnsi="宋体" w:cs="Trebuchet MS"/>
          <w:sz w:val="22"/>
          <w:szCs w:val="22"/>
          <w:lang w:val="zh-CN"/>
        </w:rPr>
        <w:t>电话：</w:t>
      </w:r>
      <w:r>
        <w:rPr>
          <w:rFonts w:hint="eastAsia" w:ascii="宋体" w:hAnsi="宋体" w:eastAsia="宋体" w:cs="宋体"/>
          <w:sz w:val="22"/>
          <w:szCs w:val="28"/>
          <w:lang w:eastAsia="zh-CN"/>
        </w:rPr>
        <w:t>025-52122300</w:t>
      </w:r>
    </w:p>
    <w:p w14:paraId="7AB79282">
      <w:pPr>
        <w:pStyle w:val="266"/>
        <w:keepNext w:val="0"/>
        <w:keepLines w:val="0"/>
        <w:pageBreakBefore w:val="0"/>
        <w:spacing w:before="0" w:beforeAutospacing="0" w:after="0" w:afterAutospacing="0" w:line="360" w:lineRule="auto"/>
        <w:ind w:firstLine="420"/>
        <w:rPr>
          <w:rFonts w:hint="eastAsia"/>
          <w:sz w:val="22"/>
          <w:szCs w:val="22"/>
        </w:rPr>
      </w:pPr>
    </w:p>
    <w:p w14:paraId="7777ABBE">
      <w:pPr>
        <w:keepNext w:val="0"/>
        <w:keepLines w:val="0"/>
        <w:pageBreakBefore w:val="0"/>
        <w:spacing w:line="360" w:lineRule="auto"/>
        <w:rPr>
          <w:rFonts w:hint="eastAsia" w:ascii="宋体" w:hAnsi="宋体" w:cs="宋体"/>
          <w:b/>
          <w:bCs/>
          <w:color w:val="000000"/>
          <w:sz w:val="22"/>
          <w:szCs w:val="22"/>
          <w:lang w:val="zh-CN"/>
        </w:rPr>
      </w:pPr>
      <w:r>
        <w:rPr>
          <w:rFonts w:hint="eastAsia" w:ascii="宋体" w:hAnsi="宋体" w:cs="宋体"/>
          <w:b/>
          <w:bCs/>
          <w:color w:val="000000"/>
          <w:sz w:val="22"/>
          <w:szCs w:val="22"/>
          <w:lang w:val="zh-CN"/>
        </w:rPr>
        <w:br w:type="page" w:clear="all"/>
      </w:r>
    </w:p>
    <w:p w14:paraId="5D953011">
      <w:pPr>
        <w:pStyle w:val="41"/>
        <w:widowControl/>
        <w:spacing w:before="156" w:after="156" w:line="460" w:lineRule="exact"/>
        <w:ind w:left="1455" w:hanging="1455"/>
        <w:contextualSpacing/>
        <w:jc w:val="center"/>
        <w:outlineLvl w:val="0"/>
        <w:rPr>
          <w:rFonts w:hint="eastAsia" w:ascii="宋体" w:hAnsi="宋体" w:eastAsia="宋体" w:cs="Times New Roman"/>
          <w:b/>
          <w:sz w:val="36"/>
          <w:szCs w:val="30"/>
          <w:lang w:val="zh-CN" w:eastAsia="zh-CN" w:bidi="en-US"/>
        </w:rPr>
      </w:pPr>
      <w:r>
        <w:rPr>
          <w:rFonts w:hint="eastAsia" w:ascii="宋体" w:hAnsi="宋体" w:eastAsia="宋体" w:cs="Times New Roman"/>
          <w:b/>
          <w:sz w:val="36"/>
          <w:szCs w:val="30"/>
          <w:lang w:val="zh-CN" w:eastAsia="zh-CN" w:bidi="en-US"/>
        </w:rPr>
        <w:t xml:space="preserve">第二章 </w:t>
      </w:r>
      <w:r>
        <w:rPr>
          <w:rFonts w:hint="eastAsia" w:ascii="宋体" w:hAnsi="宋体" w:cs="Times New Roman"/>
          <w:b/>
          <w:sz w:val="36"/>
          <w:szCs w:val="30"/>
          <w:lang w:val="en-US" w:eastAsia="zh-CN" w:bidi="en-US"/>
        </w:rPr>
        <w:t xml:space="preserve"> </w:t>
      </w:r>
      <w:r>
        <w:rPr>
          <w:rFonts w:hint="eastAsia" w:ascii="宋体" w:hAnsi="宋体" w:eastAsia="宋体" w:cs="Times New Roman"/>
          <w:b/>
          <w:sz w:val="36"/>
          <w:szCs w:val="30"/>
          <w:lang w:val="zh-CN" w:eastAsia="zh-CN" w:bidi="en-US"/>
        </w:rPr>
        <w:t>供应商须知</w:t>
      </w:r>
    </w:p>
    <w:p w14:paraId="50E69195">
      <w:pPr>
        <w:pageBreakBefore w:val="0"/>
        <w:widowControl/>
        <w:spacing w:after="0" w:line="360" w:lineRule="auto"/>
        <w:ind w:firstLine="422"/>
        <w:jc w:val="left"/>
        <w:outlineLvl w:val="1"/>
        <w:rPr>
          <w:rFonts w:hint="eastAsia" w:ascii="宋体" w:hAnsi="宋体" w:eastAsia="宋体" w:cs="Times New Roman"/>
          <w:b/>
          <w:sz w:val="22"/>
          <w:szCs w:val="22"/>
          <w:lang w:val="zh-CN" w:eastAsia="zh-CN" w:bidi="en-US"/>
        </w:rPr>
      </w:pPr>
      <w:r>
        <w:rPr>
          <w:rFonts w:hint="eastAsia" w:ascii="宋体" w:hAnsi="宋体" w:eastAsia="宋体" w:cs="Times New Roman"/>
          <w:b/>
          <w:sz w:val="22"/>
          <w:szCs w:val="22"/>
          <w:lang w:val="zh-CN" w:eastAsia="zh-CN" w:bidi="en-US"/>
        </w:rPr>
        <w:t>一、总则</w:t>
      </w:r>
    </w:p>
    <w:p w14:paraId="2641C67C">
      <w:pPr>
        <w:pageBreakBefore w:val="0"/>
        <w:spacing w:line="360" w:lineRule="auto"/>
        <w:ind w:firstLine="420"/>
        <w:rPr>
          <w:rFonts w:hint="eastAsia" w:ascii="宋体" w:hAnsi="宋体" w:eastAsia="宋体" w:cs="宋体"/>
          <w:b/>
          <w:bCs/>
          <w:sz w:val="22"/>
          <w:szCs w:val="22"/>
          <w:highlight w:val="none"/>
          <w:lang w:val="zh-CN"/>
        </w:rPr>
      </w:pPr>
      <w:r>
        <w:rPr>
          <w:rFonts w:hint="eastAsia" w:ascii="宋体" w:hAnsi="宋体" w:eastAsia="宋体" w:cs="宋体"/>
          <w:b/>
          <w:bCs/>
          <w:sz w:val="22"/>
          <w:szCs w:val="22"/>
          <w:highlight w:val="none"/>
          <w:lang w:val="zh-CN"/>
        </w:rPr>
        <w:t>（一）、适用法律</w:t>
      </w:r>
    </w:p>
    <w:p w14:paraId="0227EB8D">
      <w:pPr>
        <w:pageBreakBefore w:val="0"/>
        <w:spacing w:line="360" w:lineRule="auto"/>
        <w:ind w:firstLine="420"/>
        <w:rPr>
          <w:rFonts w:hint="eastAsia" w:ascii="宋体" w:hAnsi="宋体" w:cs="宋体"/>
          <w:sz w:val="22"/>
          <w:szCs w:val="22"/>
          <w:lang w:val="zh-CN"/>
        </w:rPr>
      </w:pPr>
      <w:r>
        <w:rPr>
          <w:rFonts w:hint="eastAsia" w:ascii="宋体" w:hAnsi="宋体" w:cs="宋体"/>
          <w:sz w:val="22"/>
          <w:szCs w:val="22"/>
          <w:lang w:val="zh-CN"/>
        </w:rPr>
        <w:t>1、《中华人民共和国政府采购法》、《中华人民共和国政府采购法实施条例》、《政府采购货物和服务招标投标管理办法》等有关法律、规章和规定等。</w:t>
      </w:r>
    </w:p>
    <w:p w14:paraId="0AD97907">
      <w:pPr>
        <w:pageBreakBefore w:val="0"/>
        <w:spacing w:line="360" w:lineRule="auto"/>
        <w:ind w:firstLine="420"/>
        <w:rPr>
          <w:rFonts w:hint="eastAsia" w:ascii="宋体" w:hAnsi="宋体" w:eastAsia="宋体" w:cs="宋体"/>
          <w:b/>
          <w:bCs/>
          <w:sz w:val="22"/>
          <w:szCs w:val="22"/>
          <w:highlight w:val="none"/>
          <w:lang w:val="zh-CN"/>
        </w:rPr>
      </w:pPr>
      <w:r>
        <w:rPr>
          <w:rFonts w:hint="eastAsia" w:ascii="宋体" w:hAnsi="宋体" w:eastAsia="宋体" w:cs="宋体"/>
          <w:b/>
          <w:bCs/>
          <w:sz w:val="22"/>
          <w:szCs w:val="22"/>
          <w:highlight w:val="none"/>
          <w:lang w:val="zh-CN"/>
        </w:rPr>
        <w:t>（二）、定义</w:t>
      </w:r>
    </w:p>
    <w:p w14:paraId="6AF9AEA7">
      <w:pPr>
        <w:pageBreakBefore w:val="0"/>
        <w:spacing w:line="360" w:lineRule="auto"/>
        <w:ind w:firstLine="420"/>
        <w:rPr>
          <w:rFonts w:hint="eastAsia" w:ascii="宋体" w:hAnsi="宋体" w:cs="宋体"/>
          <w:sz w:val="22"/>
          <w:szCs w:val="22"/>
          <w:lang w:val="zh-CN"/>
        </w:rPr>
      </w:pPr>
      <w:r>
        <w:rPr>
          <w:rFonts w:hint="eastAsia" w:ascii="宋体" w:hAnsi="宋体" w:cs="宋体"/>
          <w:sz w:val="22"/>
          <w:szCs w:val="22"/>
        </w:rPr>
        <w:t>1</w:t>
      </w:r>
      <w:r>
        <w:rPr>
          <w:rFonts w:hint="eastAsia" w:ascii="宋体" w:hAnsi="宋体" w:cs="宋体"/>
          <w:sz w:val="22"/>
          <w:szCs w:val="22"/>
          <w:lang w:val="zh-CN"/>
        </w:rPr>
        <w:t>、“供应商”、“供应商”是指参加投标竞争，并符合招标文件规定资格条件的法人、其他组织或者自然人。</w:t>
      </w:r>
    </w:p>
    <w:p w14:paraId="2007FBC7">
      <w:pPr>
        <w:pageBreakBefore w:val="0"/>
        <w:spacing w:line="360" w:lineRule="auto"/>
        <w:ind w:firstLine="420"/>
        <w:rPr>
          <w:rFonts w:hint="eastAsia" w:ascii="宋体" w:hAnsi="宋体" w:cs="宋体"/>
          <w:sz w:val="22"/>
          <w:szCs w:val="22"/>
          <w:lang w:val="zh-CN"/>
        </w:rPr>
      </w:pPr>
      <w:r>
        <w:rPr>
          <w:rFonts w:hint="eastAsia" w:ascii="宋体" w:hAnsi="宋体" w:cs="宋体"/>
          <w:sz w:val="22"/>
          <w:szCs w:val="22"/>
          <w:lang w:val="zh-CN"/>
        </w:rPr>
        <w:t>2、</w:t>
      </w:r>
      <w:r>
        <w:rPr>
          <w:rFonts w:hint="eastAsia" w:ascii="宋体" w:hAnsi="宋体" w:cs="宋体"/>
          <w:color w:val="000000"/>
          <w:sz w:val="22"/>
          <w:szCs w:val="22"/>
          <w:lang w:val="zh-CN"/>
        </w:rPr>
        <w:t>“服务”指本招标文件中所述项目及相关服务。</w:t>
      </w:r>
    </w:p>
    <w:p w14:paraId="54B6F418">
      <w:pPr>
        <w:pageBreakBefore w:val="0"/>
        <w:spacing w:line="360" w:lineRule="auto"/>
        <w:ind w:firstLine="420"/>
        <w:rPr>
          <w:rFonts w:hint="eastAsia" w:ascii="宋体" w:hAnsi="宋体" w:cs="宋体"/>
          <w:sz w:val="22"/>
          <w:szCs w:val="22"/>
          <w:lang w:val="zh-CN"/>
        </w:rPr>
      </w:pPr>
      <w:r>
        <w:rPr>
          <w:rFonts w:hint="eastAsia" w:ascii="宋体" w:hAnsi="宋体" w:cs="宋体"/>
          <w:sz w:val="22"/>
          <w:szCs w:val="22"/>
        </w:rPr>
        <w:t>3</w:t>
      </w:r>
      <w:r>
        <w:rPr>
          <w:rFonts w:hint="eastAsia" w:ascii="宋体" w:hAnsi="宋体" w:cs="宋体"/>
          <w:sz w:val="22"/>
          <w:szCs w:val="22"/>
          <w:lang w:val="zh-CN"/>
        </w:rPr>
        <w:t>、“用户或使用单位”是指使用货物、服务的单位。</w:t>
      </w:r>
    </w:p>
    <w:p w14:paraId="3B47FB0E">
      <w:pPr>
        <w:pageBreakBefore w:val="0"/>
        <w:spacing w:line="360" w:lineRule="auto"/>
        <w:ind w:firstLine="420"/>
        <w:rPr>
          <w:rFonts w:hint="eastAsia" w:ascii="宋体" w:hAnsi="宋体" w:eastAsia="宋体" w:cs="宋体"/>
          <w:b/>
          <w:bCs/>
          <w:sz w:val="22"/>
          <w:szCs w:val="22"/>
          <w:highlight w:val="none"/>
          <w:lang w:val="zh-CN"/>
        </w:rPr>
      </w:pPr>
      <w:r>
        <w:rPr>
          <w:rFonts w:hint="eastAsia" w:ascii="宋体" w:hAnsi="宋体" w:eastAsia="宋体" w:cs="宋体"/>
          <w:b/>
          <w:bCs/>
          <w:sz w:val="22"/>
          <w:szCs w:val="22"/>
          <w:highlight w:val="none"/>
          <w:lang w:val="zh-CN"/>
        </w:rPr>
        <w:t>（三）、政策功能</w:t>
      </w:r>
    </w:p>
    <w:p w14:paraId="4C02C78B">
      <w:pPr>
        <w:pageBreakBefore w:val="0"/>
        <w:spacing w:line="360" w:lineRule="auto"/>
        <w:ind w:firstLine="420"/>
        <w:rPr>
          <w:rFonts w:hint="eastAsia" w:ascii="宋体" w:hAnsi="宋体" w:cs="宋体"/>
          <w:sz w:val="22"/>
          <w:szCs w:val="22"/>
          <w:lang w:val="zh-CN"/>
        </w:rPr>
      </w:pPr>
      <w:r>
        <w:rPr>
          <w:rFonts w:hint="eastAsia" w:ascii="宋体" w:hAnsi="宋体" w:cs="宋体"/>
          <w:sz w:val="22"/>
          <w:szCs w:val="22"/>
          <w:lang w:val="en-US" w:eastAsia="zh-CN"/>
        </w:rPr>
        <w:t>1、</w:t>
      </w:r>
      <w:r>
        <w:rPr>
          <w:rFonts w:hint="eastAsia" w:ascii="宋体" w:hAnsi="宋体" w:cs="宋体"/>
          <w:sz w:val="22"/>
          <w:szCs w:val="22"/>
          <w:lang w:val="zh-CN"/>
        </w:rPr>
        <w:t>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w:t>
      </w:r>
      <w:r>
        <w:rPr>
          <w:rFonts w:hint="eastAsia" w:ascii="宋体" w:hAnsi="宋体" w:cs="宋体"/>
          <w:sz w:val="22"/>
          <w:szCs w:val="22"/>
          <w:lang w:val="en-US" w:eastAsia="zh-CN"/>
        </w:rPr>
        <w:t>七</w:t>
      </w:r>
      <w:r>
        <w:rPr>
          <w:rFonts w:hint="eastAsia" w:ascii="宋体" w:hAnsi="宋体" w:cs="宋体"/>
          <w:sz w:val="22"/>
          <w:szCs w:val="22"/>
          <w:lang w:val="zh-CN"/>
        </w:rPr>
        <w:t>章），否则不得享受相关中小企业扶持政策。（“中小企业划型标准”详见《关于印发中小企业划型标准规定的通知》工信部联企业〔2011〕300号及《国家统计局关于印发&lt;统计上大中小微型企业划分办法（2017）&gt;的通知》国统2017〕213号）。</w:t>
      </w:r>
    </w:p>
    <w:p w14:paraId="465D92F3">
      <w:pPr>
        <w:pageBreakBefore w:val="0"/>
        <w:spacing w:line="360" w:lineRule="auto"/>
        <w:ind w:firstLine="420"/>
        <w:rPr>
          <w:rFonts w:hint="eastAsia" w:ascii="宋体" w:hAnsi="宋体" w:cs="宋体"/>
          <w:sz w:val="22"/>
          <w:szCs w:val="22"/>
          <w:lang w:val="zh-CN"/>
        </w:rPr>
      </w:pPr>
      <w:r>
        <w:rPr>
          <w:rFonts w:hint="eastAsia" w:ascii="宋体" w:hAnsi="宋体" w:cs="宋体"/>
          <w:sz w:val="22"/>
          <w:szCs w:val="22"/>
          <w:lang w:val="en-US" w:eastAsia="zh-CN"/>
        </w:rPr>
        <w:t>2、</w:t>
      </w:r>
      <w:r>
        <w:rPr>
          <w:rFonts w:hint="eastAsia" w:ascii="宋体" w:hAnsi="宋体" w:cs="宋体"/>
          <w:sz w:val="22"/>
          <w:szCs w:val="22"/>
          <w:lang w:val="zh-CN"/>
        </w:rPr>
        <w:t>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661BCDD0">
      <w:pPr>
        <w:pageBreakBefore w:val="0"/>
        <w:spacing w:line="360" w:lineRule="auto"/>
        <w:ind w:firstLine="420"/>
        <w:rPr>
          <w:rFonts w:hint="eastAsia" w:ascii="宋体" w:hAnsi="宋体" w:cs="宋体"/>
          <w:sz w:val="22"/>
          <w:szCs w:val="22"/>
          <w:lang w:val="zh-CN"/>
        </w:rPr>
      </w:pPr>
      <w:r>
        <w:rPr>
          <w:rFonts w:hint="eastAsia" w:ascii="宋体" w:hAnsi="宋体" w:cs="宋体"/>
          <w:sz w:val="22"/>
          <w:szCs w:val="22"/>
          <w:lang w:val="en-US" w:eastAsia="zh-CN"/>
        </w:rPr>
        <w:t>3、</w:t>
      </w:r>
      <w:r>
        <w:rPr>
          <w:rFonts w:hint="eastAsia" w:ascii="宋体" w:hAnsi="宋体" w:cs="宋体"/>
          <w:sz w:val="22"/>
          <w:szCs w:val="22"/>
          <w:lang w:val="zh-CN"/>
        </w:rPr>
        <w:t>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094AB0CB">
      <w:pPr>
        <w:pageBreakBefore w:val="0"/>
        <w:spacing w:line="360" w:lineRule="auto"/>
        <w:ind w:firstLine="420"/>
        <w:rPr>
          <w:rFonts w:hint="eastAsia" w:ascii="宋体" w:hAnsi="宋体" w:cs="宋体"/>
          <w:sz w:val="22"/>
          <w:szCs w:val="22"/>
          <w:lang w:val="zh-CN"/>
        </w:rPr>
      </w:pPr>
      <w:r>
        <w:rPr>
          <w:rFonts w:hint="eastAsia" w:ascii="宋体" w:hAnsi="宋体" w:cs="宋体"/>
          <w:sz w:val="22"/>
          <w:szCs w:val="22"/>
          <w:lang w:val="en-US" w:eastAsia="zh-CN"/>
        </w:rPr>
        <w:t>4、</w:t>
      </w:r>
      <w:r>
        <w:rPr>
          <w:rFonts w:hint="eastAsia" w:ascii="宋体" w:hAnsi="宋体" w:cs="宋体"/>
          <w:sz w:val="22"/>
          <w:szCs w:val="22"/>
          <w:lang w:val="zh-CN"/>
        </w:rPr>
        <w:t>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w:t>
      </w:r>
      <w:r>
        <w:rPr>
          <w:rFonts w:hint="eastAsia" w:ascii="宋体" w:hAnsi="宋体" w:cs="宋体"/>
          <w:sz w:val="22"/>
          <w:szCs w:val="22"/>
          <w:lang w:val="zh-CN" w:eastAsia="zh-CN"/>
        </w:rPr>
        <w:t>供应商</w:t>
      </w:r>
      <w:r>
        <w:rPr>
          <w:rFonts w:hint="eastAsia" w:ascii="宋体" w:hAnsi="宋体" w:cs="宋体"/>
          <w:sz w:val="22"/>
          <w:szCs w:val="22"/>
          <w:lang w:val="zh-CN"/>
        </w:rPr>
        <w:t>应当提供国家确定的认证机构出具的、处于有效期之内的节能产品、环境标志产品认证证书。</w:t>
      </w:r>
    </w:p>
    <w:p w14:paraId="668F6D5A">
      <w:pPr>
        <w:pageBreakBefore w:val="0"/>
        <w:spacing w:line="360" w:lineRule="auto"/>
        <w:ind w:firstLine="420"/>
        <w:rPr>
          <w:rFonts w:hint="eastAsia" w:ascii="宋体" w:hAnsi="宋体" w:cs="宋体"/>
          <w:sz w:val="22"/>
          <w:szCs w:val="22"/>
          <w:lang w:val="zh-CN"/>
        </w:rPr>
      </w:pPr>
      <w:r>
        <w:rPr>
          <w:rFonts w:hint="eastAsia" w:ascii="宋体" w:hAnsi="宋体" w:cs="宋体"/>
          <w:sz w:val="22"/>
          <w:szCs w:val="22"/>
          <w:lang w:val="en-US" w:eastAsia="zh-CN"/>
        </w:rPr>
        <w:t>5、</w:t>
      </w:r>
      <w:r>
        <w:rPr>
          <w:rFonts w:hint="eastAsia" w:ascii="宋体" w:hAnsi="宋体" w:cs="宋体"/>
          <w:sz w:val="22"/>
          <w:szCs w:val="22"/>
          <w:lang w:val="zh-CN"/>
        </w:rPr>
        <w:t>强制采购信息安全产品。参加政府采购活动的信息安全产品</w:t>
      </w:r>
      <w:r>
        <w:rPr>
          <w:rFonts w:hint="eastAsia" w:ascii="宋体" w:hAnsi="宋体" w:cs="宋体"/>
          <w:sz w:val="22"/>
          <w:szCs w:val="22"/>
          <w:lang w:val="zh-CN" w:eastAsia="zh-CN"/>
        </w:rPr>
        <w:t>供应商</w:t>
      </w:r>
      <w:r>
        <w:rPr>
          <w:rFonts w:hint="eastAsia" w:ascii="宋体" w:hAnsi="宋体" w:cs="宋体"/>
          <w:sz w:val="22"/>
          <w:szCs w:val="22"/>
          <w:lang w:val="zh-CN"/>
        </w:rPr>
        <w:t>应当选择经国家认证的信息安全产品投标，并提供由国家信息安全认证中心按国家标准认证颁发的有效认证证书。</w:t>
      </w:r>
    </w:p>
    <w:p w14:paraId="726FFC2A">
      <w:pPr>
        <w:pageBreakBefore w:val="0"/>
        <w:spacing w:line="360" w:lineRule="auto"/>
        <w:ind w:firstLine="420"/>
        <w:rPr>
          <w:rFonts w:hint="eastAsia" w:ascii="宋体" w:hAnsi="宋体" w:cs="宋体"/>
          <w:sz w:val="22"/>
          <w:szCs w:val="22"/>
          <w:lang w:val="zh-CN"/>
        </w:rPr>
      </w:pPr>
      <w:r>
        <w:rPr>
          <w:rFonts w:hint="eastAsia" w:ascii="宋体" w:hAnsi="宋体" w:cs="宋体"/>
          <w:sz w:val="22"/>
          <w:szCs w:val="22"/>
          <w:lang w:val="en-US" w:eastAsia="zh-CN"/>
        </w:rPr>
        <w:t>6、</w:t>
      </w:r>
      <w:r>
        <w:rPr>
          <w:rFonts w:hint="eastAsia" w:ascii="宋体" w:hAnsi="宋体" w:cs="宋体"/>
          <w:sz w:val="22"/>
          <w:szCs w:val="22"/>
          <w:lang w:val="zh-CN"/>
        </w:rPr>
        <w:t>进口产品政策</w:t>
      </w:r>
    </w:p>
    <w:p w14:paraId="16920BE9">
      <w:pPr>
        <w:pageBreakBefore w:val="0"/>
        <w:spacing w:line="360" w:lineRule="auto"/>
        <w:ind w:firstLine="420"/>
        <w:rPr>
          <w:rFonts w:hint="eastAsia" w:ascii="宋体" w:hAnsi="宋体" w:cs="宋体"/>
          <w:sz w:val="22"/>
          <w:szCs w:val="22"/>
          <w:lang w:val="zh-CN"/>
        </w:rPr>
      </w:pPr>
      <w:r>
        <w:rPr>
          <w:rFonts w:hint="eastAsia" w:ascii="宋体" w:hAnsi="宋体" w:cs="宋体"/>
          <w:sz w:val="22"/>
          <w:szCs w:val="22"/>
          <w:lang w:val="zh-CN"/>
        </w:rPr>
        <w:t>（1）除招标公告载明接受进口产品参加外，不允许进口产品参加。进口产品认定依照《财政部关于政府采购进口产品管理有关问题的通知》（财办库〔2008〕248号）的规定。</w:t>
      </w:r>
    </w:p>
    <w:p w14:paraId="7268673D">
      <w:pPr>
        <w:pageBreakBefore w:val="0"/>
        <w:spacing w:line="360" w:lineRule="auto"/>
        <w:ind w:firstLine="420"/>
        <w:rPr>
          <w:rFonts w:hint="eastAsia" w:ascii="宋体" w:hAnsi="宋体" w:cs="宋体"/>
          <w:sz w:val="22"/>
          <w:szCs w:val="22"/>
          <w:lang w:val="zh-CN"/>
        </w:rPr>
      </w:pPr>
      <w:r>
        <w:rPr>
          <w:rFonts w:hint="eastAsia" w:ascii="宋体" w:hAnsi="宋体" w:cs="宋体"/>
          <w:sz w:val="22"/>
          <w:szCs w:val="22"/>
          <w:lang w:val="zh-CN"/>
        </w:rPr>
        <w:t>（2）允许进口产品参加的，满足需求的国内产品可以参加。</w:t>
      </w:r>
    </w:p>
    <w:p w14:paraId="65FB5095">
      <w:pPr>
        <w:pageBreakBefore w:val="0"/>
        <w:spacing w:line="360" w:lineRule="auto"/>
        <w:ind w:firstLine="420"/>
        <w:rPr>
          <w:rFonts w:hint="eastAsia" w:ascii="宋体" w:hAnsi="宋体" w:cs="宋体"/>
          <w:sz w:val="22"/>
          <w:szCs w:val="22"/>
          <w:lang w:val="zh-CN"/>
        </w:rPr>
      </w:pPr>
      <w:r>
        <w:rPr>
          <w:rFonts w:hint="eastAsia" w:ascii="宋体" w:hAnsi="宋体" w:cs="宋体"/>
          <w:sz w:val="22"/>
          <w:szCs w:val="22"/>
          <w:lang w:val="zh-CN"/>
        </w:rPr>
        <w:t>（3）允许进口产品参加的，优先采购向我国企业转让技术、与我国企业签订消化吸收再创新方案的</w:t>
      </w:r>
      <w:r>
        <w:rPr>
          <w:rFonts w:hint="eastAsia" w:ascii="宋体" w:hAnsi="宋体" w:cs="宋体"/>
          <w:sz w:val="22"/>
          <w:szCs w:val="22"/>
          <w:lang w:val="zh-CN" w:eastAsia="zh-CN"/>
        </w:rPr>
        <w:t>供应商</w:t>
      </w:r>
      <w:r>
        <w:rPr>
          <w:rFonts w:hint="eastAsia" w:ascii="宋体" w:hAnsi="宋体" w:cs="宋体"/>
          <w:sz w:val="22"/>
          <w:szCs w:val="22"/>
          <w:lang w:val="zh-CN"/>
        </w:rPr>
        <w:t>的进口产品。</w:t>
      </w:r>
    </w:p>
    <w:p w14:paraId="225BB96E">
      <w:pPr>
        <w:pageBreakBefore w:val="0"/>
        <w:spacing w:line="360" w:lineRule="auto"/>
        <w:ind w:firstLine="420"/>
        <w:rPr>
          <w:rFonts w:hint="eastAsia" w:ascii="宋体" w:hAnsi="宋体" w:cs="宋体"/>
          <w:sz w:val="22"/>
          <w:szCs w:val="22"/>
          <w:lang w:val="zh-CN"/>
        </w:rPr>
      </w:pPr>
      <w:r>
        <w:rPr>
          <w:rFonts w:hint="eastAsia" w:ascii="宋体" w:hAnsi="宋体" w:cs="宋体"/>
          <w:sz w:val="22"/>
          <w:szCs w:val="22"/>
          <w:lang w:val="en-US" w:eastAsia="zh-CN"/>
        </w:rPr>
        <w:t>7、</w:t>
      </w:r>
      <w:r>
        <w:rPr>
          <w:rFonts w:hint="eastAsia" w:ascii="宋体" w:hAnsi="宋体" w:cs="宋体"/>
          <w:sz w:val="22"/>
          <w:szCs w:val="22"/>
          <w:lang w:val="zh-CN"/>
        </w:rPr>
        <w:t>未按要求提供相关材料的，不享受相关政策。</w:t>
      </w:r>
    </w:p>
    <w:p w14:paraId="4514FC65">
      <w:pPr>
        <w:pageBreakBefore w:val="0"/>
        <w:widowControl/>
        <w:spacing w:after="0" w:line="360" w:lineRule="auto"/>
        <w:ind w:firstLine="422"/>
        <w:jc w:val="left"/>
        <w:outlineLvl w:val="1"/>
        <w:rPr>
          <w:rFonts w:hint="eastAsia" w:ascii="宋体" w:hAnsi="宋体" w:eastAsia="宋体" w:cs="Times New Roman"/>
          <w:b/>
          <w:sz w:val="22"/>
          <w:szCs w:val="22"/>
          <w:lang w:val="zh-CN" w:eastAsia="zh-CN" w:bidi="en-US"/>
        </w:rPr>
      </w:pPr>
      <w:r>
        <w:rPr>
          <w:rFonts w:hint="eastAsia" w:ascii="宋体" w:hAnsi="宋体" w:eastAsia="宋体" w:cs="Times New Roman"/>
          <w:b/>
          <w:sz w:val="22"/>
          <w:szCs w:val="22"/>
          <w:lang w:val="zh-CN" w:eastAsia="zh-CN" w:bidi="en-US"/>
        </w:rPr>
        <w:t>二、招标文件</w:t>
      </w:r>
    </w:p>
    <w:p w14:paraId="3A7DEA35">
      <w:pPr>
        <w:pageBreakBefore w:val="0"/>
        <w:spacing w:line="360" w:lineRule="auto"/>
        <w:ind w:firstLine="422"/>
        <w:rPr>
          <w:rFonts w:hint="eastAsia" w:ascii="宋体" w:hAnsi="宋体" w:cs="宋体"/>
          <w:b/>
          <w:sz w:val="22"/>
          <w:szCs w:val="22"/>
          <w:highlight w:val="none"/>
          <w:lang w:val="zh-CN"/>
        </w:rPr>
      </w:pPr>
      <w:r>
        <w:rPr>
          <w:rFonts w:hint="eastAsia" w:ascii="宋体" w:hAnsi="宋体" w:cs="宋体"/>
          <w:b/>
          <w:sz w:val="22"/>
          <w:szCs w:val="22"/>
          <w:highlight w:val="none"/>
          <w:lang w:val="zh-CN"/>
        </w:rPr>
        <w:t>（一）、招标文件组成</w:t>
      </w:r>
    </w:p>
    <w:p w14:paraId="5F53D7B4">
      <w:pPr>
        <w:pageBreakBefore w:val="0"/>
        <w:spacing w:line="360" w:lineRule="auto"/>
        <w:ind w:firstLine="420"/>
        <w:rPr>
          <w:rFonts w:hint="eastAsia" w:ascii="宋体" w:hAnsi="宋体" w:cs="宋体"/>
          <w:sz w:val="22"/>
          <w:szCs w:val="22"/>
          <w:highlight w:val="none"/>
        </w:rPr>
      </w:pPr>
      <w:r>
        <w:rPr>
          <w:rFonts w:hint="eastAsia" w:ascii="宋体" w:hAnsi="宋体" w:cs="宋体"/>
          <w:sz w:val="22"/>
          <w:szCs w:val="22"/>
          <w:highlight w:val="none"/>
        </w:rPr>
        <w:t>1、</w:t>
      </w:r>
      <w:r>
        <w:rPr>
          <w:rFonts w:hint="eastAsia" w:ascii="宋体" w:hAnsi="宋体" w:cs="宋体"/>
          <w:sz w:val="22"/>
          <w:szCs w:val="22"/>
          <w:highlight w:val="none"/>
          <w:lang w:val="zh-CN"/>
        </w:rPr>
        <w:t>招标文件组成：招标公告、供应商须知、供应商应当提交的资格和资信证明文件、投标报价要求、投标文件编制要求和招标项目的服务要求和数量、合同主要条款及合同签订方式、提供服务的时间、付款条件、评标方法、评标标准、无效投标和废标条款、附件等。</w:t>
      </w:r>
    </w:p>
    <w:p w14:paraId="1B7E8A6A">
      <w:pPr>
        <w:pageBreakBefore w:val="0"/>
        <w:spacing w:line="360" w:lineRule="auto"/>
        <w:ind w:firstLine="420"/>
        <w:rPr>
          <w:rFonts w:hint="eastAsia" w:ascii="宋体" w:hAnsi="宋体" w:cs="宋体"/>
          <w:sz w:val="22"/>
          <w:szCs w:val="22"/>
          <w:highlight w:val="none"/>
          <w:lang w:val="zh-CN"/>
        </w:rPr>
      </w:pPr>
      <w:r>
        <w:rPr>
          <w:rFonts w:hint="eastAsia" w:ascii="宋体" w:hAnsi="宋体" w:cs="宋体"/>
          <w:sz w:val="22"/>
          <w:szCs w:val="22"/>
          <w:highlight w:val="none"/>
        </w:rPr>
        <w:t>2、</w:t>
      </w:r>
      <w:r>
        <w:rPr>
          <w:rFonts w:hint="eastAsia" w:ascii="宋体" w:hAnsi="宋体" w:cs="宋体"/>
          <w:sz w:val="22"/>
          <w:szCs w:val="22"/>
          <w:highlight w:val="none"/>
          <w:lang w:val="zh-CN"/>
        </w:rPr>
        <w:t>招标的最小单位是包。招标服务数量及技术要求中未分包的，供应商对要求提供的服务不得部分投标；招标服务数量及技术要求中已经分包的，应当以包为单位投标。</w:t>
      </w:r>
    </w:p>
    <w:p w14:paraId="4143FA20">
      <w:pPr>
        <w:pageBreakBefore w:val="0"/>
        <w:spacing w:line="360" w:lineRule="auto"/>
        <w:ind w:firstLine="420"/>
        <w:rPr>
          <w:rFonts w:hint="eastAsia" w:ascii="宋体" w:hAnsi="宋体" w:cs="宋体"/>
          <w:sz w:val="22"/>
          <w:szCs w:val="22"/>
          <w:highlight w:val="none"/>
          <w:lang w:val="zh-CN"/>
        </w:rPr>
      </w:pPr>
      <w:r>
        <w:rPr>
          <w:rFonts w:hint="eastAsia" w:ascii="宋体" w:hAnsi="宋体" w:cs="宋体"/>
          <w:sz w:val="22"/>
          <w:szCs w:val="22"/>
          <w:highlight w:val="none"/>
        </w:rPr>
        <w:t>3、</w:t>
      </w:r>
      <w:r>
        <w:rPr>
          <w:rFonts w:hint="eastAsia" w:ascii="宋体" w:hAnsi="宋体" w:cs="宋体"/>
          <w:sz w:val="22"/>
          <w:szCs w:val="22"/>
          <w:highlight w:val="none"/>
          <w:lang w:val="zh-CN"/>
        </w:rPr>
        <w:t>招标文件如果要求供应商提交备选投标方案的，供应商可以提交备选方案；否则，备选方案将被拒绝。</w:t>
      </w:r>
    </w:p>
    <w:p w14:paraId="7355CCB4">
      <w:pPr>
        <w:pageBreakBefore w:val="0"/>
        <w:spacing w:line="360" w:lineRule="auto"/>
        <w:ind w:firstLine="422"/>
        <w:rPr>
          <w:rFonts w:hint="eastAsia" w:ascii="宋体" w:hAnsi="宋体" w:cs="宋体"/>
          <w:b/>
          <w:sz w:val="22"/>
          <w:szCs w:val="22"/>
          <w:highlight w:val="none"/>
          <w:lang w:val="zh-CN"/>
        </w:rPr>
      </w:pPr>
      <w:r>
        <w:rPr>
          <w:rFonts w:hint="eastAsia" w:ascii="宋体" w:hAnsi="宋体" w:cs="宋体"/>
          <w:b/>
          <w:sz w:val="22"/>
          <w:szCs w:val="22"/>
          <w:highlight w:val="none"/>
          <w:lang w:val="zh-CN"/>
        </w:rPr>
        <w:t>（二）、招标文件的澄清、修改</w:t>
      </w:r>
    </w:p>
    <w:p w14:paraId="7DED882A">
      <w:pPr>
        <w:pageBreakBefore w:val="0"/>
        <w:spacing w:line="360" w:lineRule="auto"/>
        <w:ind w:firstLine="420"/>
        <w:rPr>
          <w:rFonts w:hint="eastAsia" w:ascii="宋体" w:hAnsi="宋体" w:cs="宋体"/>
          <w:sz w:val="22"/>
          <w:szCs w:val="22"/>
          <w:highlight w:val="none"/>
          <w:lang w:val="zh-CN"/>
        </w:rPr>
      </w:pPr>
      <w:r>
        <w:rPr>
          <w:rFonts w:hint="eastAsia" w:ascii="宋体" w:hAnsi="宋体" w:cs="宋体"/>
          <w:sz w:val="22"/>
          <w:szCs w:val="22"/>
          <w:highlight w:val="none"/>
          <w:lang w:val="zh-CN"/>
        </w:rPr>
        <w:t>1、代理机构对已发出的招标文件进行必要澄清或者修改的，将在招标文件要求提交投标文件截止时间</w:t>
      </w:r>
      <w:r>
        <w:rPr>
          <w:rFonts w:hint="eastAsia" w:ascii="宋体" w:hAnsi="宋体" w:cs="宋体"/>
          <w:b/>
          <w:bCs/>
          <w:iCs/>
          <w:sz w:val="22"/>
          <w:szCs w:val="22"/>
          <w:highlight w:val="none"/>
          <w:u w:val="single"/>
          <w:lang w:val="zh-CN"/>
        </w:rPr>
        <w:t>十五日</w:t>
      </w:r>
      <w:r>
        <w:rPr>
          <w:rFonts w:hint="eastAsia" w:ascii="宋体" w:hAnsi="宋体" w:cs="宋体"/>
          <w:sz w:val="22"/>
          <w:szCs w:val="22"/>
          <w:highlight w:val="none"/>
          <w:lang w:val="zh-CN"/>
        </w:rPr>
        <w:t>前，在原招标公告媒体发布更正公告，该澄清或者修改的内容为招标文件的组成部分。</w:t>
      </w:r>
    </w:p>
    <w:p w14:paraId="323EC756">
      <w:pPr>
        <w:pageBreakBefore w:val="0"/>
        <w:spacing w:line="360" w:lineRule="auto"/>
        <w:ind w:firstLine="420"/>
        <w:rPr>
          <w:rFonts w:hint="eastAsia" w:ascii="宋体" w:hAnsi="宋体" w:cs="宋体"/>
          <w:color w:val="000000"/>
          <w:sz w:val="22"/>
          <w:szCs w:val="22"/>
          <w:highlight w:val="none"/>
        </w:rPr>
      </w:pPr>
      <w:r>
        <w:rPr>
          <w:rFonts w:hint="eastAsia" w:ascii="宋体" w:hAnsi="宋体" w:cs="宋体"/>
          <w:color w:val="000000"/>
          <w:sz w:val="22"/>
          <w:szCs w:val="22"/>
          <w:highlight w:val="none"/>
        </w:rPr>
        <w:t>2、</w:t>
      </w:r>
      <w:r>
        <w:rPr>
          <w:rFonts w:hint="eastAsia" w:ascii="宋体" w:hAnsi="宋体" w:cs="宋体"/>
          <w:color w:val="000000"/>
          <w:sz w:val="22"/>
          <w:szCs w:val="22"/>
          <w:highlight w:val="none"/>
          <w:lang w:val="zh-CN"/>
        </w:rPr>
        <w:t>代理机构在招标文件要求提交投标文件截止时间前，有权决定延长投标截止时间和开标时间，并</w:t>
      </w:r>
      <w:r>
        <w:rPr>
          <w:rFonts w:hint="eastAsia" w:ascii="宋体" w:hAnsi="宋体" w:cs="宋体"/>
          <w:color w:val="000000"/>
          <w:sz w:val="22"/>
          <w:szCs w:val="22"/>
          <w:highlight w:val="none"/>
        </w:rPr>
        <w:t>在原采购信息发布媒体上发布变更公告。</w:t>
      </w:r>
    </w:p>
    <w:p w14:paraId="27B77AF7">
      <w:pPr>
        <w:pageBreakBefore w:val="0"/>
        <w:spacing w:line="360" w:lineRule="auto"/>
        <w:ind w:left="210" w:firstLine="210"/>
        <w:rPr>
          <w:rFonts w:hint="eastAsia" w:ascii="宋体" w:hAnsi="宋体" w:cs="宋体"/>
          <w:sz w:val="22"/>
          <w:szCs w:val="22"/>
          <w:highlight w:val="none"/>
          <w:lang w:val="zh-CN"/>
        </w:rPr>
      </w:pPr>
      <w:r>
        <w:rPr>
          <w:rFonts w:hint="eastAsia" w:ascii="宋体" w:hAnsi="宋体" w:cs="宋体"/>
          <w:sz w:val="22"/>
          <w:szCs w:val="22"/>
          <w:highlight w:val="none"/>
        </w:rPr>
        <w:t>3、</w:t>
      </w:r>
      <w:r>
        <w:rPr>
          <w:rFonts w:hint="eastAsia" w:ascii="宋体" w:hAnsi="宋体" w:cs="宋体"/>
          <w:sz w:val="22"/>
          <w:szCs w:val="22"/>
          <w:highlight w:val="none"/>
          <w:lang w:val="zh-CN"/>
        </w:rPr>
        <w:t>供应商应在投标截止时间前关注</w:t>
      </w:r>
      <w:r>
        <w:rPr>
          <w:rFonts w:hint="eastAsia" w:ascii="宋体" w:hAnsi="宋体" w:cs="宋体"/>
          <w:sz w:val="22"/>
          <w:szCs w:val="22"/>
          <w:highlight w:val="none"/>
        </w:rPr>
        <w:t>原采购信息发布媒体上</w:t>
      </w:r>
      <w:r>
        <w:rPr>
          <w:rFonts w:hint="eastAsia" w:ascii="宋体" w:hAnsi="宋体" w:cs="宋体"/>
          <w:sz w:val="22"/>
          <w:szCs w:val="22"/>
          <w:highlight w:val="none"/>
          <w:lang w:val="zh-CN"/>
        </w:rPr>
        <w:t>有关本招标项目有无变更公告。</w:t>
      </w:r>
    </w:p>
    <w:p w14:paraId="0426B143">
      <w:pPr>
        <w:pageBreakBefore w:val="0"/>
        <w:widowControl/>
        <w:spacing w:after="0" w:line="360" w:lineRule="auto"/>
        <w:ind w:firstLine="422"/>
        <w:jc w:val="left"/>
        <w:outlineLvl w:val="1"/>
        <w:rPr>
          <w:rFonts w:hint="eastAsia" w:ascii="宋体" w:hAnsi="宋体" w:eastAsia="宋体" w:cs="Times New Roman"/>
          <w:b/>
          <w:sz w:val="22"/>
          <w:szCs w:val="22"/>
          <w:lang w:val="zh-CN" w:eastAsia="zh-CN" w:bidi="en-US"/>
        </w:rPr>
      </w:pPr>
      <w:r>
        <w:rPr>
          <w:rFonts w:hint="eastAsia" w:ascii="宋体" w:hAnsi="宋体" w:eastAsia="宋体" w:cs="Times New Roman"/>
          <w:b/>
          <w:sz w:val="22"/>
          <w:szCs w:val="22"/>
          <w:lang w:val="zh-CN" w:eastAsia="zh-CN" w:bidi="en-US"/>
        </w:rPr>
        <w:t>三、投标</w:t>
      </w:r>
    </w:p>
    <w:p w14:paraId="777F4CAD">
      <w:pPr>
        <w:pageBreakBefore w:val="0"/>
        <w:spacing w:line="360" w:lineRule="auto"/>
        <w:ind w:firstLine="422"/>
        <w:rPr>
          <w:rFonts w:hint="eastAsia" w:ascii="宋体" w:hAnsi="宋体" w:cs="宋体"/>
          <w:b/>
          <w:bCs/>
          <w:sz w:val="22"/>
          <w:szCs w:val="22"/>
          <w:highlight w:val="none"/>
          <w:lang w:val="zh-CN"/>
        </w:rPr>
      </w:pPr>
      <w:r>
        <w:rPr>
          <w:rFonts w:hint="eastAsia" w:ascii="宋体" w:hAnsi="宋体" w:cs="宋体"/>
          <w:b/>
          <w:bCs/>
          <w:sz w:val="22"/>
          <w:szCs w:val="22"/>
          <w:highlight w:val="none"/>
          <w:lang w:val="zh-CN"/>
        </w:rPr>
        <w:t>（一）、投标文件的语言、计量单位、货币和编制</w:t>
      </w:r>
    </w:p>
    <w:p w14:paraId="559276CC">
      <w:pPr>
        <w:pageBreakBefore w:val="0"/>
        <w:spacing w:line="360" w:lineRule="auto"/>
        <w:ind w:firstLine="420"/>
        <w:rPr>
          <w:rFonts w:hint="eastAsia" w:ascii="宋体" w:hAnsi="宋体" w:cs="宋体"/>
          <w:sz w:val="22"/>
          <w:szCs w:val="22"/>
          <w:highlight w:val="none"/>
          <w:lang w:val="zh-CN"/>
        </w:rPr>
      </w:pPr>
      <w:r>
        <w:rPr>
          <w:rFonts w:hint="eastAsia" w:ascii="宋体" w:hAnsi="宋体" w:cs="宋体"/>
          <w:sz w:val="22"/>
          <w:szCs w:val="22"/>
          <w:highlight w:val="none"/>
        </w:rPr>
        <w:t>1、</w:t>
      </w:r>
      <w:r>
        <w:rPr>
          <w:rFonts w:hint="eastAsia" w:ascii="宋体" w:hAnsi="宋体" w:cs="宋体"/>
          <w:sz w:val="22"/>
          <w:szCs w:val="22"/>
          <w:highlight w:val="none"/>
          <w:lang w:val="zh-CN"/>
        </w:rPr>
        <w:t>供应商提交的投标文件、技术文件和资料，包括图纸中的说明。投标文件中若有英文或其他语言文字的资料，应提供相应的中文翻译资料。对不同文本投标文件的解释发生异议的，以中文文本为准。</w:t>
      </w:r>
    </w:p>
    <w:p w14:paraId="136EFD3F">
      <w:pPr>
        <w:pageBreakBefore w:val="0"/>
        <w:spacing w:line="360" w:lineRule="auto"/>
        <w:ind w:firstLine="420"/>
        <w:rPr>
          <w:rFonts w:hint="eastAsia" w:ascii="宋体" w:hAnsi="宋体" w:cs="宋体"/>
          <w:sz w:val="22"/>
          <w:szCs w:val="22"/>
          <w:highlight w:val="none"/>
          <w:lang w:val="zh-CN"/>
        </w:rPr>
      </w:pPr>
      <w:r>
        <w:rPr>
          <w:rFonts w:hint="eastAsia" w:ascii="宋体" w:hAnsi="宋体" w:cs="宋体"/>
          <w:sz w:val="22"/>
          <w:szCs w:val="22"/>
          <w:highlight w:val="none"/>
          <w:lang w:val="zh-CN"/>
        </w:rPr>
        <w:t>2、供应商所使用的计量单位应为国家法定计量单位。</w:t>
      </w:r>
    </w:p>
    <w:p w14:paraId="51F3AFAA">
      <w:pPr>
        <w:pageBreakBefore w:val="0"/>
        <w:spacing w:line="360" w:lineRule="auto"/>
        <w:ind w:firstLine="420"/>
        <w:rPr>
          <w:rFonts w:hint="eastAsia" w:ascii="宋体" w:hAnsi="宋体" w:cs="宋体"/>
          <w:sz w:val="22"/>
          <w:szCs w:val="22"/>
          <w:highlight w:val="none"/>
          <w:lang w:val="zh-CN"/>
        </w:rPr>
      </w:pPr>
      <w:r>
        <w:rPr>
          <w:rFonts w:hint="eastAsia" w:ascii="宋体" w:hAnsi="宋体" w:cs="宋体"/>
          <w:sz w:val="22"/>
          <w:szCs w:val="22"/>
          <w:highlight w:val="none"/>
          <w:lang w:val="zh-CN"/>
        </w:rPr>
        <w:t>3、供应商应用人民币报价。</w:t>
      </w:r>
    </w:p>
    <w:p w14:paraId="5182F908">
      <w:pPr>
        <w:pageBreakBefore w:val="0"/>
        <w:spacing w:line="360" w:lineRule="auto"/>
        <w:ind w:firstLine="420"/>
        <w:rPr>
          <w:rFonts w:hint="eastAsia" w:ascii="宋体" w:hAnsi="宋体" w:cs="宋体"/>
          <w:sz w:val="22"/>
          <w:szCs w:val="22"/>
          <w:highlight w:val="none"/>
          <w:lang w:val="zh-CN"/>
        </w:rPr>
      </w:pPr>
      <w:r>
        <w:rPr>
          <w:rFonts w:hint="eastAsia" w:ascii="宋体" w:hAnsi="宋体" w:cs="宋体"/>
          <w:sz w:val="22"/>
          <w:szCs w:val="22"/>
          <w:highlight w:val="none"/>
          <w:lang w:val="zh-CN"/>
        </w:rPr>
        <w:t>4、投标文件应字迹清楚、内容齐全、不得涂改。如有修改，修改处须有供应商公章和法定代表人或其授权的供应商代表签字。</w:t>
      </w:r>
    </w:p>
    <w:p w14:paraId="503D8AFF">
      <w:pPr>
        <w:pageBreakBefore w:val="0"/>
        <w:spacing w:line="360" w:lineRule="auto"/>
        <w:ind w:firstLine="420"/>
        <w:rPr>
          <w:rFonts w:hint="eastAsia" w:ascii="宋体" w:hAnsi="宋体" w:cs="宋体"/>
          <w:color w:val="FF0000"/>
          <w:sz w:val="22"/>
          <w:szCs w:val="22"/>
          <w:highlight w:val="none"/>
          <w:lang w:val="zh-CN"/>
        </w:rPr>
      </w:pPr>
      <w:r>
        <w:rPr>
          <w:rFonts w:hint="eastAsia" w:ascii="宋体" w:hAnsi="宋体" w:cs="宋体"/>
          <w:sz w:val="22"/>
          <w:szCs w:val="22"/>
          <w:highlight w:val="none"/>
          <w:lang w:val="zh-CN"/>
        </w:rPr>
        <w:t>5、投标文件应按照招标文件规定的顺序，用A4规格幅面打印、装订成册并编制目录，由于编排混乱导致投标文件被误读或查找不到，责任由供应商承担。</w:t>
      </w:r>
    </w:p>
    <w:p w14:paraId="2977036B">
      <w:pPr>
        <w:pageBreakBefore w:val="0"/>
        <w:spacing w:line="360" w:lineRule="auto"/>
        <w:ind w:firstLine="420"/>
        <w:rPr>
          <w:rFonts w:hint="eastAsia" w:ascii="宋体" w:hAnsi="宋体" w:cs="宋体"/>
          <w:sz w:val="22"/>
          <w:szCs w:val="22"/>
          <w:highlight w:val="none"/>
          <w:lang w:val="zh-CN"/>
        </w:rPr>
      </w:pPr>
      <w:r>
        <w:rPr>
          <w:rFonts w:hint="eastAsia" w:ascii="宋体" w:hAnsi="宋体" w:cs="宋体"/>
          <w:sz w:val="22"/>
          <w:szCs w:val="22"/>
          <w:highlight w:val="none"/>
          <w:lang w:val="zh-CN"/>
        </w:rPr>
        <w:t>6、投标文件应逐页编码，不得跳页（包括但不限于授权、证明材料、声明及产品介绍、彩页等）。</w:t>
      </w:r>
    </w:p>
    <w:p w14:paraId="275533A0">
      <w:pPr>
        <w:pageBreakBefore w:val="0"/>
        <w:spacing w:line="360" w:lineRule="auto"/>
        <w:ind w:firstLine="420"/>
        <w:rPr>
          <w:rFonts w:hint="eastAsia" w:ascii="宋体" w:hAnsi="宋体" w:cs="宋体"/>
          <w:sz w:val="22"/>
          <w:szCs w:val="22"/>
          <w:highlight w:val="none"/>
          <w:lang w:val="zh-CN"/>
        </w:rPr>
      </w:pPr>
      <w:r>
        <w:rPr>
          <w:rFonts w:hint="eastAsia" w:ascii="宋体" w:hAnsi="宋体" w:cs="宋体"/>
          <w:sz w:val="22"/>
          <w:szCs w:val="22"/>
          <w:highlight w:val="none"/>
          <w:lang w:val="zh-CN"/>
        </w:rPr>
        <w:t>7、供应商应在投标文件中写清相应的项目编号、项目名称、供应商全称、地址、电话、传真等。</w:t>
      </w:r>
    </w:p>
    <w:p w14:paraId="7DF8FADA">
      <w:pPr>
        <w:pageBreakBefore w:val="0"/>
        <w:spacing w:line="360" w:lineRule="auto"/>
        <w:ind w:firstLine="422"/>
        <w:rPr>
          <w:rFonts w:hint="eastAsia" w:ascii="宋体" w:hAnsi="宋体" w:cs="宋体"/>
          <w:b/>
          <w:sz w:val="22"/>
          <w:szCs w:val="22"/>
          <w:highlight w:val="none"/>
          <w:lang w:val="zh-CN"/>
        </w:rPr>
      </w:pPr>
      <w:r>
        <w:rPr>
          <w:rFonts w:hint="eastAsia" w:ascii="宋体" w:hAnsi="宋体" w:cs="宋体"/>
          <w:b/>
          <w:sz w:val="22"/>
          <w:szCs w:val="22"/>
          <w:highlight w:val="none"/>
          <w:lang w:val="zh-CN"/>
        </w:rPr>
        <w:t>（二）、投标费用</w:t>
      </w:r>
    </w:p>
    <w:p w14:paraId="0D148588">
      <w:pPr>
        <w:pageBreakBefore w:val="0"/>
        <w:spacing w:line="360" w:lineRule="auto"/>
        <w:ind w:firstLine="420"/>
        <w:rPr>
          <w:rFonts w:hint="eastAsia" w:ascii="宋体" w:hAnsi="宋体" w:cs="宋体"/>
          <w:sz w:val="22"/>
          <w:szCs w:val="22"/>
          <w:highlight w:val="none"/>
          <w:lang w:val="zh-CN"/>
        </w:rPr>
      </w:pPr>
      <w:r>
        <w:rPr>
          <w:rFonts w:hint="eastAsia" w:ascii="宋体" w:hAnsi="宋体" w:cs="宋体"/>
          <w:sz w:val="22"/>
          <w:szCs w:val="22"/>
          <w:highlight w:val="none"/>
          <w:lang w:val="zh-CN"/>
        </w:rPr>
        <w:t>1、供应商应自行承担所有与准备和参加投标有关的费用。</w:t>
      </w:r>
    </w:p>
    <w:p w14:paraId="4DACF7C1">
      <w:pPr>
        <w:keepNext w:val="0"/>
        <w:keepLines w:val="0"/>
        <w:pageBreakBefore w:val="0"/>
        <w:spacing w:line="520" w:lineRule="exact"/>
        <w:ind w:firstLine="440"/>
        <w:rPr>
          <w:rFonts w:hint="eastAsia" w:cs="宋体" w:asciiTheme="minorEastAsia" w:hAnsiTheme="minorEastAsia" w:eastAsiaTheme="minorEastAsia"/>
          <w:sz w:val="28"/>
          <w:szCs w:val="28"/>
          <w:highlight w:val="none"/>
          <w:lang w:eastAsia="zh-CN"/>
        </w:rPr>
      </w:pPr>
      <w:r>
        <w:rPr>
          <w:rFonts w:hint="eastAsia" w:ascii="宋体" w:hAnsi="宋体" w:eastAsia="宋体" w:cs="宋体"/>
          <w:sz w:val="22"/>
          <w:szCs w:val="22"/>
          <w:highlight w:val="none"/>
          <w:lang w:val="zh-CN"/>
        </w:rPr>
        <w:t>2、</w:t>
      </w:r>
      <w:r>
        <w:rPr>
          <w:rFonts w:hint="eastAsia" w:ascii="宋体" w:hAnsi="宋体" w:cs="宋体"/>
          <w:bCs/>
          <w:sz w:val="22"/>
          <w:szCs w:val="22"/>
          <w:highlight w:val="none"/>
        </w:rPr>
        <w:t>招标代理服务费：</w:t>
      </w:r>
      <w:r>
        <w:rPr>
          <w:rFonts w:hint="eastAsia" w:ascii="宋体" w:hAnsi="宋体" w:cs="宋体"/>
          <w:sz w:val="22"/>
          <w:szCs w:val="22"/>
          <w:highlight w:val="none"/>
          <w:lang w:val="zh-CN" w:eastAsia="zh-CN"/>
        </w:rPr>
        <w:t>经双方友好协商，预算金额在30万元以上的项目按《江苏省招标代理服务收费的指导意见》苏招协〔2022〕002号文收费标准的70%计取；</w:t>
      </w:r>
      <w:r>
        <w:rPr>
          <w:rFonts w:hint="eastAsia" w:ascii="宋体" w:hAnsi="宋体" w:cs="宋体"/>
          <w:sz w:val="22"/>
          <w:szCs w:val="22"/>
          <w:highlight w:val="none"/>
          <w:lang w:val="en-US" w:eastAsia="zh-CN"/>
        </w:rPr>
        <w:t>单项委托的代理服务费按折扣计算后低于3000元的</w:t>
      </w:r>
      <w:r>
        <w:rPr>
          <w:rFonts w:hint="eastAsia" w:ascii="宋体" w:hAnsi="宋体" w:cs="宋体"/>
          <w:sz w:val="22"/>
          <w:szCs w:val="22"/>
          <w:highlight w:val="none"/>
          <w:lang w:val="zh-CN" w:eastAsia="zh-CN"/>
        </w:rPr>
        <w:t>，按</w:t>
      </w:r>
      <w:r>
        <w:rPr>
          <w:rFonts w:hint="eastAsia" w:ascii="宋体" w:hAnsi="宋体" w:cs="宋体"/>
          <w:sz w:val="22"/>
          <w:szCs w:val="22"/>
          <w:highlight w:val="none"/>
          <w:lang w:val="en-US" w:eastAsia="zh-CN"/>
        </w:rPr>
        <w:t>3</w:t>
      </w:r>
      <w:r>
        <w:rPr>
          <w:rFonts w:hint="eastAsia" w:ascii="宋体" w:hAnsi="宋体" w:cs="宋体"/>
          <w:sz w:val="22"/>
          <w:szCs w:val="22"/>
          <w:highlight w:val="none"/>
          <w:lang w:val="zh-CN" w:eastAsia="zh-CN"/>
        </w:rPr>
        <w:t>000元</w:t>
      </w:r>
      <w:r>
        <w:rPr>
          <w:rFonts w:hint="eastAsia" w:ascii="宋体" w:hAnsi="宋体" w:cs="宋体"/>
          <w:sz w:val="22"/>
          <w:szCs w:val="22"/>
          <w:highlight w:val="none"/>
          <w:lang w:val="en-US" w:eastAsia="zh-CN"/>
        </w:rPr>
        <w:t>收</w:t>
      </w:r>
      <w:r>
        <w:rPr>
          <w:rFonts w:hint="eastAsia" w:ascii="宋体" w:hAnsi="宋体" w:cs="宋体"/>
          <w:sz w:val="22"/>
          <w:szCs w:val="22"/>
          <w:highlight w:val="none"/>
          <w:lang w:val="zh-CN" w:eastAsia="zh-CN"/>
        </w:rPr>
        <w:t>取；上述费用均由中标供应商一次性支付。</w:t>
      </w:r>
    </w:p>
    <w:p w14:paraId="3C46CDAD">
      <w:pPr>
        <w:pageBreakBefore w:val="0"/>
        <w:spacing w:line="360" w:lineRule="auto"/>
        <w:ind w:firstLine="420"/>
        <w:rPr>
          <w:rFonts w:hint="eastAsia" w:ascii="宋体" w:hAnsi="宋体" w:cs="宋体"/>
          <w:sz w:val="22"/>
          <w:szCs w:val="22"/>
          <w:highlight w:val="none"/>
          <w:lang w:val="zh-CN"/>
        </w:rPr>
      </w:pPr>
    </w:p>
    <w:p w14:paraId="645857A1">
      <w:pPr>
        <w:pageBreakBefore w:val="0"/>
        <w:spacing w:line="360" w:lineRule="auto"/>
        <w:ind w:firstLine="422"/>
        <w:rPr>
          <w:rFonts w:hint="eastAsia" w:ascii="宋体" w:hAnsi="宋体" w:cs="宋体"/>
          <w:b/>
          <w:bCs/>
          <w:sz w:val="22"/>
          <w:szCs w:val="22"/>
          <w:highlight w:val="none"/>
          <w:lang w:val="zh-CN"/>
        </w:rPr>
      </w:pPr>
      <w:r>
        <w:rPr>
          <w:rFonts w:hint="eastAsia" w:ascii="宋体" w:hAnsi="宋体" w:cs="宋体"/>
          <w:b/>
          <w:bCs/>
          <w:sz w:val="22"/>
          <w:szCs w:val="22"/>
          <w:highlight w:val="none"/>
        </w:rPr>
        <w:t>（三）</w:t>
      </w:r>
      <w:r>
        <w:rPr>
          <w:rFonts w:hint="eastAsia" w:ascii="宋体" w:hAnsi="宋体" w:cs="宋体"/>
          <w:b/>
          <w:bCs/>
          <w:sz w:val="22"/>
          <w:szCs w:val="22"/>
          <w:highlight w:val="none"/>
          <w:lang w:val="zh-CN"/>
        </w:rPr>
        <w:t>、投标文件组成</w:t>
      </w:r>
    </w:p>
    <w:p w14:paraId="6E2D07D4">
      <w:pPr>
        <w:pageBreakBefore w:val="0"/>
        <w:spacing w:line="360" w:lineRule="auto"/>
        <w:ind w:firstLine="420"/>
        <w:rPr>
          <w:rFonts w:hint="eastAsia" w:ascii="宋体" w:hAnsi="宋体" w:cs="宋体"/>
          <w:sz w:val="22"/>
          <w:szCs w:val="22"/>
          <w:highlight w:val="none"/>
          <w:lang w:val="zh-CN"/>
        </w:rPr>
      </w:pPr>
      <w:r>
        <w:rPr>
          <w:rFonts w:hint="eastAsia" w:ascii="宋体" w:hAnsi="宋体" w:cs="宋体"/>
          <w:sz w:val="22"/>
          <w:szCs w:val="22"/>
          <w:highlight w:val="none"/>
          <w:lang w:val="zh-CN"/>
        </w:rPr>
        <w:t>1、</w:t>
      </w:r>
      <w:r>
        <w:rPr>
          <w:rFonts w:hint="eastAsia" w:ascii="宋体" w:hAnsi="宋体" w:cs="宋体"/>
          <w:sz w:val="22"/>
          <w:szCs w:val="22"/>
          <w:highlight w:val="none"/>
        </w:rPr>
        <w:t>供应商应当根据招标文件要求编制投标文件，投标文件应对招标文件提出的要求和条件作出实质性响应。</w:t>
      </w:r>
      <w:r>
        <w:rPr>
          <w:rFonts w:hint="eastAsia" w:ascii="宋体" w:hAnsi="宋体" w:cs="宋体"/>
          <w:sz w:val="22"/>
          <w:szCs w:val="22"/>
          <w:highlight w:val="none"/>
          <w:lang w:val="zh-CN"/>
        </w:rPr>
        <w:t xml:space="preserve"> </w:t>
      </w:r>
    </w:p>
    <w:p w14:paraId="25945346">
      <w:pPr>
        <w:pageBreakBefore w:val="0"/>
        <w:spacing w:line="360" w:lineRule="auto"/>
        <w:ind w:firstLine="420"/>
        <w:rPr>
          <w:rFonts w:hint="eastAsia" w:ascii="宋体" w:hAnsi="宋体" w:cs="宋体"/>
          <w:b/>
          <w:sz w:val="22"/>
          <w:szCs w:val="22"/>
          <w:highlight w:val="none"/>
        </w:rPr>
      </w:pPr>
      <w:r>
        <w:rPr>
          <w:rFonts w:hint="eastAsia" w:ascii="宋体" w:hAnsi="宋体" w:cs="宋体"/>
          <w:sz w:val="22"/>
          <w:szCs w:val="22"/>
          <w:highlight w:val="none"/>
          <w:lang w:val="zh-CN"/>
        </w:rPr>
        <w:t>2、供应商根据招标文件载明的标的采购项目实际情况，拟在中标后将中标项目的非主体、非关键性工作交由他人完成的，应当在投标文件中载明。</w:t>
      </w:r>
    </w:p>
    <w:p w14:paraId="1C7E9DF9">
      <w:pPr>
        <w:pageBreakBefore w:val="0"/>
        <w:spacing w:line="360" w:lineRule="auto"/>
        <w:ind w:firstLine="420"/>
        <w:rPr>
          <w:rFonts w:hint="eastAsia" w:ascii="宋体" w:hAnsi="宋体" w:cs="宋体"/>
          <w:sz w:val="22"/>
          <w:szCs w:val="22"/>
          <w:highlight w:val="none"/>
          <w:lang w:val="zh-CN"/>
        </w:rPr>
      </w:pPr>
      <w:r>
        <w:rPr>
          <w:rFonts w:hint="eastAsia" w:ascii="宋体" w:hAnsi="宋体" w:cs="宋体"/>
          <w:sz w:val="22"/>
          <w:szCs w:val="22"/>
          <w:highlight w:val="none"/>
        </w:rPr>
        <w:t>3、</w:t>
      </w:r>
      <w:r>
        <w:rPr>
          <w:rFonts w:hint="eastAsia" w:ascii="宋体" w:hAnsi="宋体" w:cs="宋体"/>
          <w:sz w:val="22"/>
          <w:szCs w:val="22"/>
          <w:highlight w:val="none"/>
          <w:lang w:val="zh-CN"/>
        </w:rPr>
        <w:t>投标文件由商务部分、技术部分、价格部分，及其他部分组成。</w:t>
      </w:r>
    </w:p>
    <w:p w14:paraId="701D72F5">
      <w:pPr>
        <w:pageBreakBefore w:val="0"/>
        <w:spacing w:line="360" w:lineRule="auto"/>
        <w:ind w:firstLine="422"/>
        <w:rPr>
          <w:rFonts w:hint="eastAsia" w:ascii="宋体" w:hAnsi="宋体" w:cs="宋体"/>
          <w:sz w:val="22"/>
          <w:szCs w:val="22"/>
          <w:highlight w:val="none"/>
          <w:lang w:val="zh-CN"/>
        </w:rPr>
      </w:pPr>
      <w:r>
        <w:rPr>
          <w:rFonts w:hint="eastAsia" w:ascii="宋体" w:hAnsi="宋体" w:cs="宋体"/>
          <w:b/>
          <w:bCs/>
          <w:sz w:val="22"/>
          <w:szCs w:val="22"/>
          <w:highlight w:val="none"/>
        </w:rPr>
        <w:t>4、</w:t>
      </w:r>
      <w:r>
        <w:rPr>
          <w:rFonts w:hint="eastAsia" w:ascii="宋体" w:hAnsi="宋体" w:cs="宋体"/>
          <w:b/>
          <w:bCs/>
          <w:sz w:val="22"/>
          <w:szCs w:val="22"/>
          <w:highlight w:val="none"/>
          <w:lang w:val="zh-CN"/>
        </w:rPr>
        <w:t>用“★”加注或特别说明的内容为实质性要求。</w:t>
      </w:r>
    </w:p>
    <w:p w14:paraId="4126B585">
      <w:pPr>
        <w:pageBreakBefore w:val="0"/>
        <w:spacing w:line="360" w:lineRule="auto"/>
        <w:ind w:firstLine="422"/>
        <w:rPr>
          <w:rFonts w:hint="eastAsia" w:ascii="宋体" w:hAnsi="宋体" w:cs="宋体"/>
          <w:b/>
          <w:sz w:val="22"/>
          <w:szCs w:val="22"/>
          <w:highlight w:val="none"/>
        </w:rPr>
      </w:pPr>
      <w:r>
        <w:rPr>
          <w:rFonts w:hint="eastAsia" w:ascii="宋体" w:hAnsi="宋体" w:cs="宋体"/>
          <w:b/>
          <w:sz w:val="22"/>
          <w:szCs w:val="22"/>
          <w:highlight w:val="none"/>
        </w:rPr>
        <w:t>5、投标文件的商务部分</w:t>
      </w:r>
    </w:p>
    <w:p w14:paraId="0EF73C4B">
      <w:pPr>
        <w:pageBreakBefore w:val="0"/>
        <w:spacing w:line="360" w:lineRule="auto"/>
        <w:ind w:firstLine="420"/>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商务部分是证明供应商有资格参加投标和中标后有能力履行合同的文件，</w:t>
      </w:r>
      <w:r>
        <w:rPr>
          <w:rFonts w:hint="eastAsia" w:ascii="宋体" w:hAnsi="宋体" w:cs="宋体"/>
          <w:color w:val="000000"/>
          <w:sz w:val="22"/>
          <w:szCs w:val="22"/>
          <w:highlight w:val="none"/>
        </w:rPr>
        <w:t>这些文件应能满足招标的要求</w:t>
      </w:r>
      <w:r>
        <w:rPr>
          <w:rFonts w:hint="eastAsia" w:ascii="宋体" w:hAnsi="宋体" w:cs="宋体"/>
          <w:color w:val="000000"/>
          <w:sz w:val="22"/>
          <w:szCs w:val="22"/>
          <w:highlight w:val="none"/>
          <w:lang w:val="zh-CN"/>
        </w:rPr>
        <w:t>，包括但不限于下列文件，其中加</w:t>
      </w:r>
      <w:r>
        <w:rPr>
          <w:rFonts w:hint="eastAsia" w:ascii="宋体" w:hAnsi="宋体" w:cs="宋体"/>
          <w:b/>
          <w:color w:val="000000"/>
          <w:sz w:val="22"/>
          <w:szCs w:val="22"/>
          <w:highlight w:val="none"/>
        </w:rPr>
        <w:t>“★”</w:t>
      </w:r>
      <w:r>
        <w:rPr>
          <w:rFonts w:hint="eastAsia" w:ascii="宋体" w:hAnsi="宋体" w:cs="宋体"/>
          <w:color w:val="000000"/>
          <w:sz w:val="22"/>
          <w:szCs w:val="22"/>
          <w:highlight w:val="none"/>
          <w:lang w:val="zh-CN"/>
        </w:rPr>
        <w:t>项目不得有缺失或无效。</w:t>
      </w:r>
    </w:p>
    <w:p w14:paraId="5B9DC724">
      <w:pPr>
        <w:pageBreakBefore w:val="0"/>
        <w:widowControl/>
        <w:spacing w:line="360" w:lineRule="auto"/>
        <w:ind w:firstLine="420"/>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5.1、</w:t>
      </w:r>
      <w:r>
        <w:rPr>
          <w:rFonts w:hint="eastAsia" w:ascii="宋体" w:hAnsi="宋体" w:cs="宋体"/>
          <w:b/>
          <w:color w:val="000000"/>
          <w:sz w:val="22"/>
          <w:szCs w:val="22"/>
          <w:highlight w:val="none"/>
        </w:rPr>
        <w:t>★</w:t>
      </w:r>
      <w:r>
        <w:rPr>
          <w:rFonts w:hint="eastAsia" w:ascii="宋体" w:hAnsi="宋体" w:cs="宋体"/>
          <w:color w:val="000000"/>
          <w:sz w:val="22"/>
          <w:szCs w:val="22"/>
          <w:highlight w:val="none"/>
          <w:lang w:val="zh-CN"/>
        </w:rPr>
        <w:t xml:space="preserve"> 投标函（投标申请及声明）；</w:t>
      </w:r>
    </w:p>
    <w:p w14:paraId="106DD03B">
      <w:pPr>
        <w:pageBreakBefore w:val="0"/>
        <w:widowControl/>
        <w:spacing w:line="360" w:lineRule="auto"/>
        <w:ind w:firstLine="420"/>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5.2、</w:t>
      </w:r>
      <w:r>
        <w:rPr>
          <w:rFonts w:hint="eastAsia" w:ascii="宋体" w:hAnsi="宋体" w:cs="宋体"/>
          <w:b/>
          <w:color w:val="000000"/>
          <w:sz w:val="22"/>
          <w:szCs w:val="22"/>
          <w:highlight w:val="none"/>
        </w:rPr>
        <w:t>★</w:t>
      </w:r>
      <w:r>
        <w:rPr>
          <w:rFonts w:hint="eastAsia" w:ascii="宋体" w:hAnsi="宋体" w:cs="宋体"/>
          <w:color w:val="000000"/>
          <w:sz w:val="22"/>
          <w:szCs w:val="22"/>
          <w:highlight w:val="none"/>
          <w:lang w:val="zh-CN"/>
        </w:rPr>
        <w:t xml:space="preserve"> 法定代表人授权委托书及委托代理人的身份证复印件；</w:t>
      </w:r>
    </w:p>
    <w:p w14:paraId="7C32FEAD">
      <w:pPr>
        <w:pageBreakBefore w:val="0"/>
        <w:widowControl/>
        <w:spacing w:line="360" w:lineRule="auto"/>
        <w:ind w:firstLine="420"/>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5.3、</w:t>
      </w:r>
      <w:r>
        <w:rPr>
          <w:rFonts w:hint="eastAsia" w:ascii="宋体" w:hAnsi="宋体" w:cs="宋体"/>
          <w:b/>
          <w:color w:val="000000"/>
          <w:sz w:val="22"/>
          <w:szCs w:val="22"/>
          <w:highlight w:val="none"/>
        </w:rPr>
        <w:t>★</w:t>
      </w:r>
      <w:r>
        <w:rPr>
          <w:rFonts w:hint="eastAsia" w:ascii="宋体" w:hAnsi="宋体" w:cs="宋体"/>
          <w:color w:val="000000"/>
          <w:sz w:val="22"/>
          <w:szCs w:val="22"/>
          <w:highlight w:val="none"/>
        </w:rPr>
        <w:t>法人、其他组织的营业执照（副本）复印件；供应商是自然人的，提供自然人的身份证明（复印件）</w:t>
      </w:r>
      <w:r>
        <w:rPr>
          <w:rFonts w:hint="eastAsia" w:ascii="宋体" w:hAnsi="宋体" w:cs="宋体"/>
          <w:b/>
          <w:color w:val="000000"/>
          <w:sz w:val="22"/>
          <w:szCs w:val="22"/>
          <w:highlight w:val="none"/>
        </w:rPr>
        <w:t>；</w:t>
      </w:r>
    </w:p>
    <w:p w14:paraId="2AA763E1">
      <w:pPr>
        <w:pageBreakBefore w:val="0"/>
        <w:spacing w:line="360" w:lineRule="auto"/>
        <w:ind w:firstLine="420"/>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5.4、</w:t>
      </w:r>
      <w:r>
        <w:rPr>
          <w:rFonts w:hint="eastAsia" w:ascii="宋体" w:hAnsi="宋体" w:cs="宋体"/>
          <w:b/>
          <w:color w:val="000000"/>
          <w:sz w:val="22"/>
          <w:szCs w:val="22"/>
          <w:highlight w:val="none"/>
        </w:rPr>
        <w:t>★第一章招标公告中</w:t>
      </w:r>
      <w:r>
        <w:rPr>
          <w:rFonts w:hint="eastAsia" w:ascii="宋体" w:hAnsi="宋体" w:cs="宋体"/>
          <w:b/>
          <w:color w:val="000000"/>
          <w:sz w:val="22"/>
          <w:szCs w:val="22"/>
          <w:highlight w:val="none"/>
          <w:lang w:val="zh-CN"/>
        </w:rPr>
        <w:t>《中华人民共和国政府采购法》规定的资格条件证明文件</w:t>
      </w:r>
      <w:r>
        <w:rPr>
          <w:rFonts w:hint="eastAsia" w:ascii="宋体" w:hAnsi="宋体" w:cs="宋体"/>
          <w:color w:val="000000"/>
          <w:sz w:val="22"/>
          <w:szCs w:val="22"/>
          <w:highlight w:val="none"/>
          <w:lang w:val="zh-CN"/>
        </w:rPr>
        <w:t>；</w:t>
      </w:r>
    </w:p>
    <w:p w14:paraId="3DC8E3C0">
      <w:pPr>
        <w:pageBreakBefore w:val="0"/>
        <w:spacing w:line="360" w:lineRule="auto"/>
        <w:ind w:firstLine="420"/>
        <w:rPr>
          <w:rFonts w:hint="eastAsia" w:ascii="宋体" w:hAnsi="宋体" w:eastAsia="宋体" w:cs="宋体"/>
          <w:b/>
          <w:color w:val="000000"/>
          <w:sz w:val="22"/>
          <w:szCs w:val="22"/>
          <w:highlight w:val="none"/>
          <w:lang w:val="zh-CN" w:eastAsia="zh-CN"/>
        </w:rPr>
      </w:pPr>
      <w:r>
        <w:rPr>
          <w:rFonts w:hint="eastAsia" w:ascii="宋体" w:hAnsi="宋体" w:cs="宋体"/>
          <w:color w:val="000000"/>
          <w:sz w:val="22"/>
          <w:szCs w:val="22"/>
          <w:highlight w:val="none"/>
        </w:rPr>
        <w:t>5.5、</w:t>
      </w:r>
      <w:r>
        <w:rPr>
          <w:rFonts w:hint="eastAsia" w:ascii="宋体" w:hAnsi="宋体" w:cs="宋体"/>
          <w:b/>
          <w:color w:val="000000"/>
          <w:sz w:val="22"/>
          <w:szCs w:val="22"/>
          <w:highlight w:val="none"/>
        </w:rPr>
        <w:t>★第一章招标公告中采购人根据采购项目的特殊要求规定的特定条件证明文件；</w:t>
      </w:r>
      <w:r>
        <w:rPr>
          <w:rFonts w:hint="eastAsia" w:ascii="宋体" w:hAnsi="宋体" w:cs="宋体"/>
          <w:b/>
          <w:color w:val="000000"/>
          <w:sz w:val="22"/>
          <w:szCs w:val="22"/>
          <w:highlight w:val="none"/>
          <w:lang w:eastAsia="zh-CN"/>
        </w:rPr>
        <w:t>（</w:t>
      </w:r>
      <w:r>
        <w:rPr>
          <w:rFonts w:hint="eastAsia" w:ascii="宋体" w:hAnsi="宋体" w:cs="宋体"/>
          <w:b/>
          <w:color w:val="000000"/>
          <w:sz w:val="22"/>
          <w:szCs w:val="22"/>
          <w:highlight w:val="none"/>
          <w:lang w:val="en-US" w:eastAsia="zh-CN"/>
        </w:rPr>
        <w:t>若有</w:t>
      </w:r>
      <w:r>
        <w:rPr>
          <w:rFonts w:hint="eastAsia" w:ascii="宋体" w:hAnsi="宋体" w:cs="宋体"/>
          <w:b/>
          <w:color w:val="000000"/>
          <w:sz w:val="22"/>
          <w:szCs w:val="22"/>
          <w:highlight w:val="none"/>
          <w:lang w:eastAsia="zh-CN"/>
        </w:rPr>
        <w:t>）</w:t>
      </w:r>
    </w:p>
    <w:p w14:paraId="1D29D6DA">
      <w:pPr>
        <w:pageBreakBefore w:val="0"/>
        <w:widowControl/>
        <w:spacing w:line="360" w:lineRule="auto"/>
        <w:ind w:firstLine="420"/>
        <w:rPr>
          <w:rFonts w:hint="eastAsia" w:ascii="宋体" w:hAnsi="宋体" w:cs="宋体"/>
          <w:sz w:val="22"/>
          <w:szCs w:val="22"/>
          <w:highlight w:val="none"/>
          <w:lang w:val="zh-CN"/>
        </w:rPr>
      </w:pPr>
      <w:r>
        <w:rPr>
          <w:rFonts w:hint="eastAsia" w:ascii="宋体" w:hAnsi="宋体" w:cs="宋体"/>
          <w:color w:val="000000"/>
          <w:sz w:val="22"/>
          <w:szCs w:val="22"/>
          <w:highlight w:val="none"/>
        </w:rPr>
        <w:t>5.6、</w:t>
      </w:r>
      <w:r>
        <w:rPr>
          <w:rFonts w:hint="eastAsia" w:ascii="宋体" w:hAnsi="宋体" w:cs="宋体"/>
          <w:color w:val="000000"/>
          <w:sz w:val="22"/>
          <w:szCs w:val="22"/>
          <w:highlight w:val="none"/>
          <w:lang w:val="zh-CN"/>
        </w:rPr>
        <w:t>《商务条款偏离表》</w:t>
      </w:r>
    </w:p>
    <w:p w14:paraId="11893156">
      <w:pPr>
        <w:pageBreakBefore w:val="0"/>
        <w:widowControl/>
        <w:spacing w:line="360" w:lineRule="auto"/>
        <w:ind w:firstLine="420"/>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5.7、供应商认为需要</w:t>
      </w:r>
      <w:r>
        <w:rPr>
          <w:rFonts w:hint="eastAsia" w:ascii="宋体" w:hAnsi="宋体" w:cs="宋体"/>
          <w:color w:val="000000"/>
          <w:sz w:val="22"/>
          <w:szCs w:val="22"/>
          <w:highlight w:val="none"/>
          <w:lang w:val="zh-CN"/>
        </w:rPr>
        <w:t>提供的其他资格证明文件和商务资料等。</w:t>
      </w:r>
    </w:p>
    <w:p w14:paraId="26EFD847">
      <w:pPr>
        <w:pageBreakBefore w:val="0"/>
        <w:spacing w:line="360" w:lineRule="auto"/>
        <w:ind w:firstLine="422"/>
        <w:rPr>
          <w:rFonts w:hint="eastAsia" w:ascii="宋体" w:hAnsi="宋体" w:cs="宋体"/>
          <w:b/>
          <w:bCs/>
          <w:sz w:val="22"/>
          <w:szCs w:val="22"/>
          <w:highlight w:val="none"/>
          <w:lang w:val="zh-CN"/>
        </w:rPr>
      </w:pPr>
      <w:r>
        <w:rPr>
          <w:rFonts w:hint="eastAsia" w:ascii="宋体" w:hAnsi="宋体" w:cs="宋体"/>
          <w:b/>
          <w:bCs/>
          <w:sz w:val="22"/>
          <w:szCs w:val="22"/>
          <w:highlight w:val="none"/>
        </w:rPr>
        <w:t>6</w:t>
      </w:r>
      <w:r>
        <w:rPr>
          <w:rFonts w:hint="eastAsia" w:ascii="宋体" w:hAnsi="宋体" w:cs="宋体"/>
          <w:b/>
          <w:bCs/>
          <w:sz w:val="22"/>
          <w:szCs w:val="22"/>
          <w:highlight w:val="none"/>
          <w:lang w:val="zh-CN"/>
        </w:rPr>
        <w:t>、投标文件的技术部分</w:t>
      </w:r>
    </w:p>
    <w:p w14:paraId="77A423EA">
      <w:pPr>
        <w:pageBreakBefore w:val="0"/>
        <w:spacing w:line="360" w:lineRule="auto"/>
        <w:ind w:firstLine="420"/>
        <w:rPr>
          <w:rFonts w:hint="eastAsia" w:ascii="宋体" w:hAnsi="宋体" w:cs="宋体"/>
          <w:sz w:val="22"/>
          <w:szCs w:val="22"/>
          <w:highlight w:val="none"/>
          <w:lang w:val="zh-CN"/>
        </w:rPr>
      </w:pPr>
      <w:r>
        <w:rPr>
          <w:rFonts w:hint="eastAsia" w:ascii="宋体" w:hAnsi="宋体" w:cs="宋体"/>
          <w:sz w:val="22"/>
          <w:szCs w:val="22"/>
          <w:highlight w:val="none"/>
        </w:rPr>
        <w:t>6.1、</w:t>
      </w:r>
      <w:r>
        <w:rPr>
          <w:rFonts w:hint="eastAsia" w:ascii="宋体" w:hAnsi="宋体" w:cs="宋体"/>
          <w:sz w:val="22"/>
          <w:szCs w:val="22"/>
          <w:highlight w:val="none"/>
          <w:lang w:val="zh-CN"/>
        </w:rPr>
        <w:t>技术部分是证明</w:t>
      </w:r>
      <w:r>
        <w:rPr>
          <w:rFonts w:hint="eastAsia" w:ascii="宋体" w:hAnsi="宋体" w:cs="宋体"/>
          <w:sz w:val="22"/>
          <w:szCs w:val="22"/>
          <w:highlight w:val="none"/>
        </w:rPr>
        <w:t>供应商提供的服务是合格的、并符合招标文件要求的证明文件，以及</w:t>
      </w:r>
      <w:r>
        <w:rPr>
          <w:rFonts w:hint="eastAsia" w:ascii="宋体" w:hAnsi="宋体" w:cs="宋体"/>
          <w:sz w:val="22"/>
          <w:szCs w:val="22"/>
          <w:highlight w:val="none"/>
          <w:lang w:val="zh-CN"/>
        </w:rPr>
        <w:t>对投标报价表中的内容的详细说明，这些文件可以是文字资料、图纸和数据等。</w:t>
      </w:r>
    </w:p>
    <w:p w14:paraId="6C9838BA">
      <w:pPr>
        <w:pageBreakBefore w:val="0"/>
        <w:spacing w:line="360" w:lineRule="auto"/>
        <w:ind w:firstLine="420"/>
        <w:rPr>
          <w:rFonts w:hint="eastAsia" w:ascii="宋体" w:hAnsi="宋体" w:cs="宋体"/>
          <w:sz w:val="22"/>
          <w:szCs w:val="22"/>
          <w:highlight w:val="none"/>
          <w:lang w:val="zh-CN"/>
        </w:rPr>
      </w:pPr>
      <w:r>
        <w:rPr>
          <w:rFonts w:hint="eastAsia" w:ascii="宋体" w:hAnsi="宋体" w:cs="宋体"/>
          <w:sz w:val="22"/>
          <w:szCs w:val="22"/>
          <w:highlight w:val="none"/>
        </w:rPr>
        <w:t>6.2、</w:t>
      </w:r>
      <w:r>
        <w:rPr>
          <w:rFonts w:hint="eastAsia" w:ascii="宋体" w:hAnsi="宋体" w:cs="宋体"/>
          <w:sz w:val="22"/>
          <w:szCs w:val="22"/>
          <w:highlight w:val="none"/>
          <w:lang w:val="zh-CN"/>
        </w:rPr>
        <w:t>若提供的服务如与招标文件要求有不符之处，应说明其差别之所在。</w:t>
      </w:r>
    </w:p>
    <w:p w14:paraId="79CDFCAD">
      <w:pPr>
        <w:pageBreakBefore w:val="0"/>
        <w:spacing w:line="360" w:lineRule="auto"/>
        <w:ind w:firstLine="420"/>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6.3、</w:t>
      </w:r>
      <w:r>
        <w:rPr>
          <w:rFonts w:hint="eastAsia" w:ascii="宋体" w:hAnsi="宋体" w:cs="宋体"/>
          <w:color w:val="000000"/>
          <w:sz w:val="22"/>
          <w:szCs w:val="22"/>
          <w:highlight w:val="none"/>
          <w:lang w:val="zh-CN"/>
        </w:rPr>
        <w:t>投标文件应按照招标文件要求提供服务说明，技术资料、文件和有关证明，包括但不限于：</w:t>
      </w:r>
    </w:p>
    <w:p w14:paraId="0999FF83">
      <w:pPr>
        <w:pageBreakBefore w:val="0"/>
        <w:widowControl/>
        <w:spacing w:line="360" w:lineRule="auto"/>
        <w:ind w:firstLine="420"/>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6.3.1、</w:t>
      </w:r>
      <w:r>
        <w:rPr>
          <w:rFonts w:hint="eastAsia" w:ascii="宋体" w:hAnsi="宋体" w:cs="宋体"/>
          <w:color w:val="000000"/>
          <w:sz w:val="22"/>
          <w:szCs w:val="22"/>
          <w:highlight w:val="none"/>
          <w:lang w:val="zh-CN"/>
        </w:rPr>
        <w:t>技术方案；</w:t>
      </w:r>
    </w:p>
    <w:p w14:paraId="1F2F6F55">
      <w:pPr>
        <w:pageBreakBefore w:val="0"/>
        <w:widowControl/>
        <w:spacing w:line="360" w:lineRule="auto"/>
        <w:ind w:firstLine="420"/>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6.3.2、</w:t>
      </w:r>
      <w:r>
        <w:rPr>
          <w:rFonts w:hint="eastAsia" w:ascii="宋体" w:hAnsi="宋体" w:cs="宋体"/>
          <w:color w:val="000000"/>
          <w:sz w:val="22"/>
          <w:szCs w:val="22"/>
          <w:highlight w:val="none"/>
          <w:lang w:val="zh-CN"/>
        </w:rPr>
        <w:t>《技术条款偏离表》</w:t>
      </w:r>
    </w:p>
    <w:p w14:paraId="620AD300">
      <w:pPr>
        <w:pageBreakBefore w:val="0"/>
        <w:widowControl/>
        <w:spacing w:line="360" w:lineRule="auto"/>
        <w:ind w:firstLine="420"/>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6.3.3、</w:t>
      </w:r>
      <w:r>
        <w:rPr>
          <w:rFonts w:hint="eastAsia" w:ascii="宋体" w:hAnsi="宋体" w:cs="宋体"/>
          <w:color w:val="000000"/>
          <w:sz w:val="22"/>
          <w:szCs w:val="22"/>
          <w:highlight w:val="none"/>
          <w:lang w:val="zh-CN"/>
        </w:rPr>
        <w:t>服务承诺；</w:t>
      </w:r>
    </w:p>
    <w:p w14:paraId="2C1FEDB9">
      <w:pPr>
        <w:pageBreakBefore w:val="0"/>
        <w:widowControl/>
        <w:spacing w:line="360" w:lineRule="auto"/>
        <w:ind w:firstLine="420"/>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6.3.4、供应商认为需要</w:t>
      </w:r>
      <w:r>
        <w:rPr>
          <w:rFonts w:hint="eastAsia" w:ascii="宋体" w:hAnsi="宋体" w:cs="宋体"/>
          <w:color w:val="000000"/>
          <w:sz w:val="22"/>
          <w:szCs w:val="22"/>
          <w:highlight w:val="none"/>
          <w:lang w:val="zh-CN"/>
        </w:rPr>
        <w:t>提供的其他技术资料。</w:t>
      </w:r>
    </w:p>
    <w:p w14:paraId="03A5C2DA">
      <w:pPr>
        <w:pageBreakBefore w:val="0"/>
        <w:spacing w:line="360" w:lineRule="auto"/>
        <w:ind w:firstLine="422"/>
        <w:rPr>
          <w:rFonts w:hint="eastAsia" w:ascii="宋体" w:hAnsi="宋体" w:cs="宋体"/>
          <w:b/>
          <w:sz w:val="22"/>
          <w:szCs w:val="22"/>
          <w:highlight w:val="none"/>
          <w:lang w:val="zh-CN"/>
        </w:rPr>
      </w:pPr>
      <w:r>
        <w:rPr>
          <w:rFonts w:hint="eastAsia" w:ascii="宋体" w:hAnsi="宋体" w:cs="宋体"/>
          <w:b/>
          <w:sz w:val="22"/>
          <w:szCs w:val="22"/>
          <w:highlight w:val="none"/>
        </w:rPr>
        <w:t>7</w:t>
      </w:r>
      <w:r>
        <w:rPr>
          <w:rFonts w:hint="eastAsia" w:ascii="宋体" w:hAnsi="宋体" w:cs="宋体"/>
          <w:b/>
          <w:sz w:val="22"/>
          <w:szCs w:val="22"/>
          <w:highlight w:val="none"/>
          <w:lang w:val="zh-CN"/>
        </w:rPr>
        <w:t>、投标文件的价格部分</w:t>
      </w:r>
    </w:p>
    <w:p w14:paraId="4E29E844">
      <w:pPr>
        <w:pageBreakBefore w:val="0"/>
        <w:widowControl/>
        <w:spacing w:line="360" w:lineRule="auto"/>
        <w:ind w:firstLine="420"/>
        <w:rPr>
          <w:rFonts w:hint="eastAsia" w:ascii="宋体" w:hAnsi="宋体" w:cs="宋体"/>
          <w:sz w:val="22"/>
          <w:szCs w:val="22"/>
          <w:lang w:val="zh-CN"/>
        </w:rPr>
      </w:pPr>
      <w:r>
        <w:rPr>
          <w:rFonts w:hint="eastAsia" w:ascii="宋体" w:hAnsi="宋体" w:cs="宋体"/>
          <w:sz w:val="22"/>
          <w:szCs w:val="22"/>
        </w:rPr>
        <w:t>7.1、</w:t>
      </w:r>
      <w:r>
        <w:rPr>
          <w:rFonts w:hint="eastAsia" w:ascii="宋体" w:hAnsi="宋体" w:cs="宋体"/>
          <w:sz w:val="22"/>
          <w:szCs w:val="22"/>
          <w:lang w:val="zh-CN"/>
        </w:rPr>
        <w:t>价格部分是对投标服务价格构成的说明，每一项服务仅接受一个价格。</w:t>
      </w:r>
    </w:p>
    <w:p w14:paraId="077726B2">
      <w:pPr>
        <w:pageBreakBefore w:val="0"/>
        <w:spacing w:line="360" w:lineRule="auto"/>
        <w:ind w:firstLine="420"/>
        <w:rPr>
          <w:rFonts w:hint="eastAsia" w:ascii="宋体" w:hAnsi="宋体" w:cs="宋体"/>
          <w:b/>
          <w:color w:val="000000"/>
          <w:sz w:val="22"/>
          <w:szCs w:val="22"/>
        </w:rPr>
      </w:pPr>
      <w:r>
        <w:rPr>
          <w:rFonts w:hint="eastAsia" w:ascii="宋体" w:hAnsi="宋体" w:cs="宋体"/>
          <w:sz w:val="22"/>
          <w:szCs w:val="22"/>
        </w:rPr>
        <w:t>7.2、</w:t>
      </w:r>
      <w:r>
        <w:rPr>
          <w:rFonts w:hint="eastAsia" w:ascii="宋体" w:hAnsi="宋体" w:cs="宋体"/>
          <w:color w:val="000000"/>
          <w:sz w:val="22"/>
          <w:szCs w:val="22"/>
          <w:lang w:val="zh-CN"/>
        </w:rPr>
        <w:t>报价应包含完成本服务项目发生的所有含税费用、支付给员工的工资和国家强制缴纳的各种社会保障资金</w:t>
      </w:r>
      <w:r>
        <w:rPr>
          <w:rFonts w:hint="eastAsia" w:ascii="宋体" w:hAnsi="宋体" w:cs="宋体"/>
          <w:bCs/>
          <w:color w:val="000000"/>
          <w:sz w:val="22"/>
          <w:szCs w:val="22"/>
        </w:rPr>
        <w:t>，以</w:t>
      </w:r>
      <w:r>
        <w:rPr>
          <w:rFonts w:hint="eastAsia" w:ascii="宋体" w:hAnsi="宋体" w:cs="宋体"/>
          <w:color w:val="000000"/>
          <w:sz w:val="22"/>
          <w:szCs w:val="22"/>
        </w:rPr>
        <w:t>及供应商认为需要的其他费用等</w:t>
      </w:r>
      <w:r>
        <w:rPr>
          <w:rFonts w:hint="eastAsia" w:ascii="宋体" w:hAnsi="宋体" w:cs="宋体"/>
          <w:b/>
          <w:color w:val="000000"/>
          <w:sz w:val="22"/>
          <w:szCs w:val="22"/>
        </w:rPr>
        <w:t>。</w:t>
      </w:r>
    </w:p>
    <w:p w14:paraId="0733E66E">
      <w:pPr>
        <w:pageBreakBefore w:val="0"/>
        <w:spacing w:line="360" w:lineRule="auto"/>
        <w:ind w:firstLine="420"/>
        <w:rPr>
          <w:rFonts w:hint="eastAsia" w:ascii="宋体" w:hAnsi="宋体" w:cs="宋体"/>
          <w:sz w:val="22"/>
          <w:szCs w:val="22"/>
        </w:rPr>
      </w:pPr>
      <w:r>
        <w:rPr>
          <w:rFonts w:hint="eastAsia" w:ascii="宋体" w:hAnsi="宋体" w:cs="宋体"/>
          <w:sz w:val="22"/>
          <w:szCs w:val="22"/>
        </w:rPr>
        <w:t>7.3、供应商的任何错漏、优惠、竞争性报价不得作为减轻责任、减少服务、增加收费、降低质量的理由。</w:t>
      </w:r>
    </w:p>
    <w:p w14:paraId="7E6972C3">
      <w:pPr>
        <w:pageBreakBefore w:val="0"/>
        <w:spacing w:line="360" w:lineRule="auto"/>
        <w:ind w:firstLine="420"/>
        <w:rPr>
          <w:rFonts w:hint="eastAsia" w:ascii="宋体" w:hAnsi="宋体" w:cs="宋体"/>
          <w:color w:val="000000"/>
          <w:sz w:val="22"/>
          <w:szCs w:val="22"/>
        </w:rPr>
      </w:pPr>
      <w:r>
        <w:rPr>
          <w:rFonts w:hint="eastAsia" w:ascii="宋体" w:hAnsi="宋体" w:cs="宋体"/>
          <w:sz w:val="22"/>
          <w:szCs w:val="22"/>
        </w:rPr>
        <w:t>7.4、</w:t>
      </w:r>
      <w:r>
        <w:rPr>
          <w:rFonts w:hint="eastAsia" w:ascii="宋体" w:hAnsi="宋体" w:cs="宋体"/>
          <w:color w:val="000000"/>
          <w:sz w:val="22"/>
          <w:szCs w:val="22"/>
        </w:rPr>
        <w:t>服务收费中包含管理服务人员的工资、社保福利费，办公费、法定税费、公共责任险和合理利润。</w:t>
      </w:r>
    </w:p>
    <w:p w14:paraId="4C681658">
      <w:pPr>
        <w:pageBreakBefore w:val="0"/>
        <w:spacing w:line="360" w:lineRule="auto"/>
        <w:ind w:firstLine="422"/>
        <w:rPr>
          <w:rFonts w:hint="eastAsia" w:ascii="宋体" w:hAnsi="宋体" w:cs="宋体"/>
          <w:b/>
          <w:sz w:val="22"/>
          <w:szCs w:val="22"/>
          <w:lang w:val="zh-CN"/>
        </w:rPr>
      </w:pPr>
      <w:r>
        <w:rPr>
          <w:rFonts w:hint="eastAsia" w:ascii="宋体" w:hAnsi="宋体" w:cs="宋体"/>
          <w:b/>
          <w:sz w:val="22"/>
          <w:szCs w:val="22"/>
        </w:rPr>
        <w:t>8</w:t>
      </w:r>
      <w:r>
        <w:rPr>
          <w:rFonts w:hint="eastAsia" w:ascii="宋体" w:hAnsi="宋体" w:cs="宋体"/>
          <w:b/>
          <w:sz w:val="22"/>
          <w:szCs w:val="22"/>
          <w:lang w:val="zh-CN"/>
        </w:rPr>
        <w:t>、投标文件的其他部分</w:t>
      </w:r>
    </w:p>
    <w:p w14:paraId="5FDBC858">
      <w:pPr>
        <w:pageBreakBefore w:val="0"/>
        <w:spacing w:line="360" w:lineRule="auto"/>
        <w:ind w:firstLine="420"/>
        <w:rPr>
          <w:rFonts w:hint="eastAsia" w:ascii="宋体" w:hAnsi="宋体" w:cs="宋体"/>
          <w:sz w:val="22"/>
          <w:szCs w:val="22"/>
          <w:lang w:val="zh-CN"/>
        </w:rPr>
      </w:pPr>
      <w:r>
        <w:rPr>
          <w:rFonts w:hint="eastAsia" w:ascii="宋体" w:hAnsi="宋体" w:cs="宋体"/>
          <w:sz w:val="22"/>
          <w:szCs w:val="22"/>
        </w:rPr>
        <w:t>8.1、</w:t>
      </w:r>
      <w:r>
        <w:rPr>
          <w:rFonts w:hint="eastAsia" w:ascii="宋体" w:hAnsi="宋体" w:cs="宋体"/>
          <w:sz w:val="22"/>
          <w:szCs w:val="22"/>
          <w:lang w:val="zh-CN"/>
        </w:rPr>
        <w:t>其他部分由供应商根据编制投标文件需要提供的其他相关文件。</w:t>
      </w:r>
    </w:p>
    <w:p w14:paraId="49A55195">
      <w:pPr>
        <w:pageBreakBefore w:val="0"/>
        <w:spacing w:line="360" w:lineRule="auto"/>
        <w:ind w:firstLine="422"/>
        <w:rPr>
          <w:rFonts w:hint="eastAsia" w:ascii="宋体" w:hAnsi="宋体" w:cs="宋体"/>
          <w:b/>
          <w:bCs/>
          <w:sz w:val="22"/>
          <w:szCs w:val="22"/>
          <w:lang w:val="zh-CN"/>
        </w:rPr>
      </w:pPr>
      <w:r>
        <w:rPr>
          <w:rFonts w:hint="eastAsia" w:ascii="宋体" w:hAnsi="宋体" w:cs="宋体"/>
          <w:b/>
          <w:bCs/>
          <w:sz w:val="22"/>
          <w:szCs w:val="22"/>
        </w:rPr>
        <w:t>9</w:t>
      </w:r>
      <w:r>
        <w:rPr>
          <w:rFonts w:hint="eastAsia" w:ascii="宋体" w:hAnsi="宋体" w:cs="宋体"/>
          <w:b/>
          <w:bCs/>
          <w:sz w:val="22"/>
          <w:szCs w:val="22"/>
          <w:lang w:val="zh-CN"/>
        </w:rPr>
        <w:t>、投标有效期</w:t>
      </w:r>
    </w:p>
    <w:p w14:paraId="56BEB5D7">
      <w:pPr>
        <w:pageBreakBefore w:val="0"/>
        <w:spacing w:line="360" w:lineRule="auto"/>
        <w:ind w:firstLine="420"/>
        <w:rPr>
          <w:rFonts w:hint="eastAsia" w:ascii="宋体" w:hAnsi="宋体" w:cs="宋体"/>
          <w:sz w:val="22"/>
          <w:szCs w:val="22"/>
          <w:lang w:val="zh-CN"/>
        </w:rPr>
      </w:pPr>
      <w:r>
        <w:rPr>
          <w:rFonts w:hint="eastAsia" w:ascii="宋体" w:hAnsi="宋体" w:cs="宋体"/>
          <w:sz w:val="22"/>
          <w:szCs w:val="22"/>
        </w:rPr>
        <w:t>9.1、</w:t>
      </w:r>
      <w:r>
        <w:rPr>
          <w:rFonts w:hint="eastAsia" w:ascii="宋体" w:hAnsi="宋体" w:cs="宋体"/>
          <w:sz w:val="22"/>
          <w:szCs w:val="22"/>
          <w:lang w:val="zh-CN"/>
        </w:rPr>
        <w:t>自开标之日起</w:t>
      </w:r>
      <w:r>
        <w:rPr>
          <w:rFonts w:hint="eastAsia" w:ascii="宋体" w:hAnsi="宋体" w:cs="宋体"/>
          <w:b/>
          <w:sz w:val="22"/>
          <w:szCs w:val="22"/>
          <w:lang w:val="zh-CN"/>
        </w:rPr>
        <w:t>60天</w:t>
      </w:r>
      <w:r>
        <w:rPr>
          <w:rFonts w:hint="eastAsia" w:ascii="宋体" w:hAnsi="宋体" w:cs="宋体"/>
          <w:sz w:val="22"/>
          <w:szCs w:val="22"/>
          <w:lang w:val="zh-CN"/>
        </w:rPr>
        <w:t>内投标有效。</w:t>
      </w:r>
    </w:p>
    <w:p w14:paraId="2CCD4593">
      <w:pPr>
        <w:pageBreakBefore w:val="0"/>
        <w:spacing w:line="360" w:lineRule="auto"/>
        <w:ind w:firstLine="420"/>
        <w:rPr>
          <w:rFonts w:hint="eastAsia" w:ascii="宋体" w:hAnsi="宋体" w:cs="宋体"/>
          <w:sz w:val="22"/>
          <w:szCs w:val="22"/>
          <w:lang w:val="zh-CN"/>
        </w:rPr>
      </w:pPr>
      <w:r>
        <w:rPr>
          <w:rFonts w:hint="eastAsia" w:ascii="宋体" w:hAnsi="宋体" w:cs="宋体"/>
          <w:sz w:val="22"/>
          <w:szCs w:val="22"/>
        </w:rPr>
        <w:t>9.2、</w:t>
      </w:r>
      <w:r>
        <w:rPr>
          <w:rFonts w:hint="eastAsia" w:ascii="宋体" w:hAnsi="宋体" w:cs="宋体"/>
          <w:sz w:val="22"/>
          <w:szCs w:val="22"/>
          <w:lang w:val="zh-CN"/>
        </w:rPr>
        <w:t>在特殊情况下，在原投标有效期截止之前，这种要求与答复均以书面形式提交。</w:t>
      </w:r>
    </w:p>
    <w:p w14:paraId="16A4EDCD">
      <w:pPr>
        <w:pStyle w:val="189"/>
        <w:pageBreakBefore w:val="0"/>
        <w:spacing w:line="360" w:lineRule="auto"/>
        <w:ind w:firstLine="420"/>
        <w:rPr>
          <w:rFonts w:ascii="宋体" w:hAnsi="宋体" w:eastAsia="宋体" w:cs="宋体"/>
          <w:sz w:val="22"/>
          <w:szCs w:val="22"/>
          <w:highlight w:val="none"/>
        </w:rPr>
      </w:pPr>
      <w:r>
        <w:rPr>
          <w:rFonts w:hint="eastAsia" w:ascii="宋体" w:hAnsi="宋体" w:eastAsia="宋体" w:cs="宋体"/>
          <w:sz w:val="22"/>
          <w:szCs w:val="22"/>
          <w:highlight w:val="none"/>
        </w:rPr>
        <w:t>10.</w:t>
      </w:r>
      <w:r>
        <w:rPr>
          <w:rFonts w:hint="eastAsia" w:ascii="宋体" w:hAnsi="宋体" w:eastAsia="宋体" w:cs="宋体"/>
          <w:sz w:val="22"/>
          <w:szCs w:val="22"/>
          <w:highlight w:val="none"/>
          <w:lang w:val="zh-TW" w:eastAsia="zh-TW"/>
        </w:rPr>
        <w:t>投标文件的份数、签署</w:t>
      </w:r>
    </w:p>
    <w:p w14:paraId="7C5525DC">
      <w:pPr>
        <w:pageBreakBefore w:val="0"/>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sz w:val="22"/>
          <w:szCs w:val="22"/>
          <w:highlight w:val="none"/>
        </w:rPr>
      </w:pPr>
      <w:r>
        <w:rPr>
          <w:rFonts w:ascii="宋体" w:hAnsi="宋体" w:eastAsia="宋体" w:cs="宋体"/>
          <w:color w:val="000000"/>
          <w:sz w:val="22"/>
          <w:szCs w:val="22"/>
          <w:highlight w:val="none"/>
        </w:rPr>
        <w:t>投标文件应按照招标文件要求加盖电子公章，否则视为无效投标。</w:t>
      </w:r>
    </w:p>
    <w:p w14:paraId="5507FC2B">
      <w:pPr>
        <w:pStyle w:val="189"/>
        <w:pageBreakBefore w:val="0"/>
        <w:spacing w:line="360" w:lineRule="auto"/>
        <w:ind w:firstLine="420"/>
        <w:rPr>
          <w:rFonts w:ascii="宋体" w:hAnsi="宋体" w:eastAsia="宋体" w:cs="宋体"/>
          <w:sz w:val="22"/>
          <w:szCs w:val="22"/>
          <w:highlight w:val="none"/>
          <w:lang w:val="en-US" w:eastAsia="zh-CN"/>
        </w:rPr>
      </w:pPr>
      <w:r>
        <w:rPr>
          <w:rFonts w:hint="eastAsia" w:ascii="宋体" w:hAnsi="宋体" w:eastAsia="宋体" w:cs="宋体"/>
          <w:sz w:val="22"/>
          <w:szCs w:val="22"/>
          <w:highlight w:val="none"/>
          <w:lang w:val="zh-TW" w:eastAsia="zh-TW"/>
        </w:rPr>
        <w:t>1</w:t>
      </w:r>
      <w:r>
        <w:rPr>
          <w:rFonts w:hint="eastAsia" w:ascii="宋体" w:hAnsi="宋体" w:eastAsia="宋体" w:cs="宋体"/>
          <w:sz w:val="22"/>
          <w:szCs w:val="22"/>
          <w:highlight w:val="none"/>
        </w:rPr>
        <w:t>1.</w:t>
      </w:r>
      <w:r>
        <w:rPr>
          <w:rFonts w:hint="eastAsia" w:ascii="宋体" w:hAnsi="宋体" w:eastAsia="宋体" w:cs="宋体"/>
          <w:sz w:val="22"/>
          <w:szCs w:val="22"/>
          <w:highlight w:val="none"/>
          <w:lang w:val="zh-TW" w:eastAsia="zh-TW"/>
        </w:rPr>
        <w:t>投标文件的递交</w:t>
      </w:r>
      <w:r>
        <w:rPr>
          <w:rFonts w:hint="eastAsia" w:ascii="宋体" w:hAnsi="宋体" w:eastAsia="宋体" w:cs="宋体"/>
          <w:sz w:val="22"/>
          <w:szCs w:val="22"/>
          <w:highlight w:val="none"/>
          <w:lang w:val="en-US" w:eastAsia="zh-CN"/>
        </w:rPr>
        <w:t>和解密</w:t>
      </w:r>
    </w:p>
    <w:p w14:paraId="17AFD67A">
      <w:pPr>
        <w:pStyle w:val="189"/>
        <w:pageBreakBefore w:val="0"/>
        <w:spacing w:line="360" w:lineRule="auto"/>
        <w:ind w:firstLine="210"/>
        <w:rPr>
          <w:rFonts w:hint="eastAsia" w:ascii="宋体" w:hAnsi="宋体" w:eastAsia="宋体" w:cs="宋体"/>
          <w:sz w:val="22"/>
          <w:szCs w:val="22"/>
          <w:highlight w:val="none"/>
        </w:rPr>
      </w:pPr>
      <w:r>
        <w:rPr>
          <w:rFonts w:hint="eastAsia" w:ascii="宋体" w:hAnsi="宋体" w:eastAsia="宋体" w:cs="宋体"/>
          <w:sz w:val="22"/>
          <w:szCs w:val="22"/>
          <w:highlight w:val="none"/>
          <w:lang w:val="zh-TW" w:eastAsia="zh-TW"/>
        </w:rPr>
        <w:t>（</w:t>
      </w:r>
      <w:r>
        <w:rPr>
          <w:rFonts w:hint="eastAsia" w:ascii="宋体" w:hAnsi="宋体" w:eastAsia="宋体" w:cs="宋体"/>
          <w:sz w:val="22"/>
          <w:szCs w:val="22"/>
          <w:highlight w:val="none"/>
        </w:rPr>
        <w:t>1</w:t>
      </w:r>
      <w:r>
        <w:rPr>
          <w:rFonts w:hint="eastAsia" w:ascii="宋体" w:hAnsi="宋体" w:eastAsia="宋体" w:cs="宋体"/>
          <w:sz w:val="22"/>
          <w:szCs w:val="22"/>
          <w:highlight w:val="none"/>
          <w:lang w:val="zh-TW" w:eastAsia="zh-TW"/>
        </w:rPr>
        <w:t>）供应商应当按照《操作手册》规定，在招标公告规定的投标截止时间前制作并上传电子投标文件。</w:t>
      </w:r>
      <w:r>
        <w:rPr>
          <w:rFonts w:hint="eastAsia" w:ascii="宋体" w:hAnsi="宋体" w:eastAsia="宋体" w:cs="宋体"/>
          <w:sz w:val="22"/>
          <w:szCs w:val="22"/>
          <w:highlight w:val="none"/>
          <w:lang w:val="en-US" w:eastAsia="zh-CN"/>
        </w:rPr>
        <w:t>采购</w:t>
      </w:r>
      <w:r>
        <w:rPr>
          <w:rFonts w:hint="eastAsia" w:ascii="宋体" w:hAnsi="宋体" w:eastAsia="宋体" w:cs="宋体"/>
          <w:sz w:val="22"/>
          <w:szCs w:val="22"/>
          <w:highlight w:val="none"/>
          <w:lang w:val="zh-TW" w:eastAsia="zh-TW"/>
        </w:rPr>
        <w:t>代理机构拒绝接收提交投标文件截止时间后上传的任何电子投标文件。</w:t>
      </w:r>
    </w:p>
    <w:p w14:paraId="38A52757">
      <w:pPr>
        <w:pStyle w:val="189"/>
        <w:pageBreakBefore w:val="0"/>
        <w:spacing w:line="360" w:lineRule="auto"/>
        <w:ind w:firstLine="210"/>
        <w:rPr>
          <w:rFonts w:hint="eastAsia" w:ascii="宋体" w:hAnsi="宋体" w:eastAsia="宋体" w:cs="宋体"/>
          <w:sz w:val="22"/>
          <w:szCs w:val="22"/>
          <w:highlight w:val="none"/>
        </w:rPr>
      </w:pPr>
      <w:r>
        <w:rPr>
          <w:rFonts w:hint="eastAsia" w:ascii="宋体" w:hAnsi="宋体" w:eastAsia="宋体" w:cs="宋体"/>
          <w:sz w:val="22"/>
          <w:szCs w:val="22"/>
          <w:highlight w:val="none"/>
          <w:lang w:val="zh-TW" w:eastAsia="zh-TW"/>
        </w:rPr>
        <w:t>（</w:t>
      </w:r>
      <w:r>
        <w:rPr>
          <w:rFonts w:hint="eastAsia" w:ascii="宋体" w:hAnsi="宋体" w:eastAsia="宋体" w:cs="宋体"/>
          <w:sz w:val="22"/>
          <w:szCs w:val="22"/>
          <w:highlight w:val="none"/>
        </w:rPr>
        <w:t>2</w:t>
      </w:r>
      <w:r>
        <w:rPr>
          <w:rFonts w:hint="eastAsia" w:ascii="宋体" w:hAnsi="宋体" w:eastAsia="宋体" w:cs="宋体"/>
          <w:sz w:val="22"/>
          <w:szCs w:val="22"/>
          <w:highlight w:val="none"/>
          <w:lang w:val="zh-TW" w:eastAsia="zh-TW"/>
        </w:rPr>
        <w:t>）供应商</w:t>
      </w:r>
      <w:r>
        <w:rPr>
          <w:rFonts w:hint="eastAsia" w:ascii="宋体" w:hAnsi="宋体" w:eastAsia="宋体" w:cs="宋体"/>
          <w:sz w:val="22"/>
          <w:szCs w:val="22"/>
          <w:highlight w:val="none"/>
        </w:rPr>
        <w:t>应当按照《操作手册》规定，在“苏采云”系统规定的时间内对投标文件进行解密。</w:t>
      </w:r>
    </w:p>
    <w:p w14:paraId="4C17CD20">
      <w:pPr>
        <w:pStyle w:val="189"/>
        <w:pageBreakBefore w:val="0"/>
        <w:spacing w:line="360" w:lineRule="auto"/>
        <w:ind w:firstLine="210"/>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lang w:val="en-US" w:eastAsia="zh-CN"/>
        </w:rPr>
        <w:t>3</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lang w:val="zh-TW" w:eastAsia="zh-TW"/>
        </w:rPr>
        <w:t>供应商</w:t>
      </w:r>
      <w:r>
        <w:rPr>
          <w:rFonts w:ascii="宋体" w:hAnsi="宋体" w:eastAsia="宋体" w:cs="宋体"/>
          <w:color w:val="000000"/>
          <w:sz w:val="22"/>
          <w:szCs w:val="22"/>
          <w:highlight w:val="none"/>
        </w:rPr>
        <w:t>应充分考虑网络环境、网络带宽等因素可能对投标产生的影响，如因</w:t>
      </w:r>
      <w:r>
        <w:rPr>
          <w:rFonts w:hint="eastAsia" w:ascii="宋体" w:hAnsi="宋体" w:eastAsia="宋体" w:cs="宋体"/>
          <w:sz w:val="22"/>
          <w:szCs w:val="22"/>
          <w:highlight w:val="none"/>
          <w:lang w:val="zh-TW" w:eastAsia="zh-TW"/>
        </w:rPr>
        <w:t>供应商</w:t>
      </w:r>
      <w:r>
        <w:rPr>
          <w:rFonts w:ascii="宋体" w:hAnsi="宋体" w:eastAsia="宋体" w:cs="宋体"/>
          <w:color w:val="000000"/>
          <w:sz w:val="22"/>
          <w:szCs w:val="22"/>
          <w:highlight w:val="none"/>
        </w:rPr>
        <w:t>自身原因造成的电子投标文件解密不成功的，做无效投标处理。</w:t>
      </w:r>
    </w:p>
    <w:p w14:paraId="7192876C">
      <w:pPr>
        <w:pStyle w:val="189"/>
        <w:pageBreakBefore w:val="0"/>
        <w:spacing w:line="360" w:lineRule="auto"/>
        <w:ind w:firstLine="420"/>
        <w:rPr>
          <w:rFonts w:ascii="宋体" w:hAnsi="宋体" w:eastAsia="宋体" w:cs="宋体"/>
          <w:sz w:val="22"/>
          <w:szCs w:val="22"/>
          <w:highlight w:val="none"/>
        </w:rPr>
      </w:pPr>
      <w:r>
        <w:rPr>
          <w:rFonts w:hint="eastAsia" w:ascii="宋体" w:hAnsi="宋体" w:eastAsia="宋体" w:cs="宋体"/>
          <w:sz w:val="22"/>
          <w:szCs w:val="22"/>
          <w:highlight w:val="none"/>
          <w:lang w:val="zh-TW" w:eastAsia="zh-TW"/>
        </w:rPr>
        <w:t>1</w:t>
      </w:r>
      <w:r>
        <w:rPr>
          <w:rFonts w:hint="eastAsia" w:ascii="宋体" w:hAnsi="宋体" w:eastAsia="宋体" w:cs="宋体"/>
          <w:sz w:val="22"/>
          <w:szCs w:val="22"/>
          <w:highlight w:val="none"/>
        </w:rPr>
        <w:t>2.</w:t>
      </w:r>
      <w:r>
        <w:rPr>
          <w:rFonts w:hint="eastAsia" w:ascii="宋体" w:hAnsi="宋体" w:eastAsia="宋体" w:cs="宋体"/>
          <w:sz w:val="22"/>
          <w:szCs w:val="22"/>
          <w:highlight w:val="none"/>
          <w:lang w:val="zh-TW" w:eastAsia="zh-TW"/>
        </w:rPr>
        <w:t>有下列情形之一的投标文件将拒收：</w:t>
      </w:r>
    </w:p>
    <w:p w14:paraId="04B45180">
      <w:pPr>
        <w:pStyle w:val="189"/>
        <w:pageBreakBefore w:val="0"/>
        <w:spacing w:line="360" w:lineRule="auto"/>
        <w:ind w:firstLine="210"/>
        <w:rPr>
          <w:rFonts w:hint="eastAsia" w:ascii="宋体" w:hAnsi="宋体" w:eastAsia="宋体" w:cs="宋体"/>
          <w:sz w:val="22"/>
          <w:szCs w:val="22"/>
          <w:highlight w:val="none"/>
          <w:lang w:val="zh-TW" w:eastAsia="zh-TW"/>
        </w:rPr>
      </w:pPr>
      <w:r>
        <w:rPr>
          <w:rFonts w:hint="eastAsia" w:ascii="宋体" w:hAnsi="宋体" w:eastAsia="宋体" w:cs="宋体"/>
          <w:sz w:val="22"/>
          <w:szCs w:val="22"/>
          <w:highlight w:val="none"/>
          <w:lang w:val="zh-TW" w:eastAsia="zh-TW"/>
        </w:rPr>
        <w:t>（1）在招标文件要求提交投标文件的截止时间之后</w:t>
      </w:r>
      <w:r>
        <w:rPr>
          <w:rFonts w:hint="eastAsia" w:ascii="宋体" w:hAnsi="宋体" w:eastAsia="宋体" w:cs="宋体"/>
          <w:sz w:val="22"/>
          <w:szCs w:val="22"/>
          <w:highlight w:val="none"/>
          <w:lang w:val="en-US" w:eastAsia="zh-CN"/>
        </w:rPr>
        <w:t>上传</w:t>
      </w:r>
      <w:r>
        <w:rPr>
          <w:rFonts w:hint="eastAsia" w:ascii="宋体" w:hAnsi="宋体" w:eastAsia="宋体" w:cs="宋体"/>
          <w:sz w:val="22"/>
          <w:szCs w:val="22"/>
          <w:highlight w:val="none"/>
          <w:lang w:val="zh-TW" w:eastAsia="zh-TW"/>
        </w:rPr>
        <w:t>的。</w:t>
      </w:r>
    </w:p>
    <w:p w14:paraId="317D16E6">
      <w:pPr>
        <w:pStyle w:val="189"/>
        <w:pageBreakBefore w:val="0"/>
        <w:spacing w:line="360" w:lineRule="auto"/>
        <w:ind w:firstLine="210"/>
        <w:rPr>
          <w:rFonts w:hint="eastAsia" w:ascii="宋体" w:hAnsi="宋体" w:eastAsia="宋体" w:cs="宋体"/>
          <w:sz w:val="22"/>
          <w:szCs w:val="22"/>
          <w:highlight w:val="none"/>
          <w:lang w:val="zh-TW" w:eastAsia="zh-CN"/>
        </w:rPr>
      </w:pPr>
      <w:r>
        <w:rPr>
          <w:rFonts w:hint="eastAsia" w:ascii="宋体" w:hAnsi="宋体" w:eastAsia="宋体" w:cs="宋体"/>
          <w:sz w:val="22"/>
          <w:szCs w:val="22"/>
          <w:highlight w:val="none"/>
          <w:lang w:val="zh-TW" w:eastAsia="zh-CN"/>
        </w:rPr>
        <w:t>（</w:t>
      </w:r>
      <w:r>
        <w:rPr>
          <w:rFonts w:hint="eastAsia" w:ascii="宋体" w:hAnsi="宋体" w:eastAsia="宋体" w:cs="宋体"/>
          <w:sz w:val="22"/>
          <w:szCs w:val="22"/>
          <w:highlight w:val="none"/>
          <w:lang w:val="en-US" w:eastAsia="zh-CN"/>
        </w:rPr>
        <w:t>2</w:t>
      </w:r>
      <w:r>
        <w:rPr>
          <w:rFonts w:hint="eastAsia" w:ascii="宋体" w:hAnsi="宋体" w:eastAsia="宋体" w:cs="宋体"/>
          <w:sz w:val="22"/>
          <w:szCs w:val="22"/>
          <w:highlight w:val="none"/>
          <w:lang w:val="zh-TW" w:eastAsia="zh-CN"/>
        </w:rPr>
        <w:t>）</w:t>
      </w:r>
      <w:r>
        <w:rPr>
          <w:rFonts w:hint="eastAsia" w:ascii="宋体" w:hAnsi="宋体" w:eastAsia="宋体" w:cs="宋体"/>
          <w:sz w:val="22"/>
          <w:szCs w:val="22"/>
          <w:highlight w:val="none"/>
          <w:lang w:val="zh-TW" w:eastAsia="zh-TW"/>
        </w:rPr>
        <w:t>供应商名称与报名时不一致，且未提供有效名称变更证明文件的</w:t>
      </w:r>
      <w:r>
        <w:rPr>
          <w:rFonts w:hint="eastAsia" w:ascii="宋体" w:hAnsi="宋体" w:eastAsia="宋体" w:cs="宋体"/>
          <w:sz w:val="22"/>
          <w:szCs w:val="22"/>
          <w:highlight w:val="none"/>
          <w:lang w:val="zh-TW" w:eastAsia="zh-CN"/>
        </w:rPr>
        <w:t>。</w:t>
      </w:r>
    </w:p>
    <w:p w14:paraId="482CFD5B">
      <w:pPr>
        <w:pStyle w:val="189"/>
        <w:pageBreakBefore w:val="0"/>
        <w:spacing w:line="360" w:lineRule="auto"/>
        <w:ind w:firstLine="420"/>
        <w:rPr>
          <w:rFonts w:ascii="宋体" w:hAnsi="宋体" w:eastAsia="宋体" w:cs="宋体"/>
          <w:sz w:val="22"/>
          <w:szCs w:val="22"/>
          <w:highlight w:val="none"/>
        </w:rPr>
      </w:pPr>
      <w:r>
        <w:rPr>
          <w:rFonts w:hint="eastAsia" w:ascii="宋体" w:hAnsi="宋体" w:eastAsia="宋体" w:cs="宋体"/>
          <w:sz w:val="22"/>
          <w:szCs w:val="22"/>
          <w:highlight w:val="none"/>
          <w:lang w:val="zh-TW" w:eastAsia="zh-TW"/>
        </w:rPr>
        <w:t>1</w:t>
      </w:r>
      <w:r>
        <w:rPr>
          <w:rFonts w:hint="eastAsia" w:ascii="宋体" w:hAnsi="宋体" w:eastAsia="宋体" w:cs="宋体"/>
          <w:sz w:val="22"/>
          <w:szCs w:val="22"/>
          <w:highlight w:val="none"/>
        </w:rPr>
        <w:t>3.</w:t>
      </w:r>
      <w:r>
        <w:rPr>
          <w:rFonts w:hint="eastAsia" w:ascii="宋体" w:hAnsi="宋体" w:eastAsia="宋体" w:cs="宋体"/>
          <w:sz w:val="22"/>
          <w:szCs w:val="22"/>
          <w:highlight w:val="none"/>
          <w:lang w:val="zh-TW" w:eastAsia="zh-TW"/>
        </w:rPr>
        <w:t>投标文件的修改和撤回</w:t>
      </w:r>
    </w:p>
    <w:p w14:paraId="6F359D92">
      <w:pPr>
        <w:pStyle w:val="189"/>
        <w:pageBreakBefore w:val="0"/>
        <w:spacing w:line="360" w:lineRule="auto"/>
        <w:ind w:firstLine="210"/>
        <w:rPr>
          <w:rFonts w:ascii="宋体" w:hAnsi="宋体" w:eastAsia="宋体" w:cs="宋体"/>
          <w:sz w:val="22"/>
          <w:szCs w:val="22"/>
          <w:highlight w:val="none"/>
        </w:rPr>
      </w:pPr>
      <w:r>
        <w:rPr>
          <w:rFonts w:hint="eastAsia" w:ascii="宋体" w:hAnsi="宋体" w:eastAsia="宋体" w:cs="宋体"/>
          <w:sz w:val="22"/>
          <w:szCs w:val="22"/>
          <w:highlight w:val="none"/>
          <w:lang w:val="zh-TW" w:eastAsia="zh-TW"/>
        </w:rPr>
        <w:t>（</w:t>
      </w:r>
      <w:r>
        <w:rPr>
          <w:rFonts w:hint="eastAsia" w:ascii="宋体" w:hAnsi="宋体" w:eastAsia="宋体" w:cs="宋体"/>
          <w:sz w:val="22"/>
          <w:szCs w:val="22"/>
          <w:highlight w:val="none"/>
        </w:rPr>
        <w:t>1</w:t>
      </w:r>
      <w:r>
        <w:rPr>
          <w:rFonts w:hint="eastAsia" w:ascii="宋体" w:hAnsi="宋体" w:eastAsia="宋体" w:cs="宋体"/>
          <w:sz w:val="22"/>
          <w:szCs w:val="22"/>
          <w:highlight w:val="none"/>
          <w:lang w:val="zh-TW" w:eastAsia="zh-TW"/>
        </w:rPr>
        <w:t>）供应商在投标截止时间前，可以对所递交的投标文件进行补充、修改或撤回，并书面通知。补充、修改的内容应当按照招标文件要求签署、盖章，并作为投标文件的组成部分。</w:t>
      </w:r>
    </w:p>
    <w:p w14:paraId="696B1D9A">
      <w:pPr>
        <w:pStyle w:val="189"/>
        <w:pageBreakBefore w:val="0"/>
        <w:spacing w:line="360" w:lineRule="auto"/>
        <w:ind w:firstLine="210"/>
        <w:rPr>
          <w:rFonts w:ascii="宋体" w:hAnsi="宋体" w:eastAsia="宋体" w:cs="宋体"/>
          <w:sz w:val="22"/>
          <w:szCs w:val="22"/>
          <w:highlight w:val="none"/>
        </w:rPr>
      </w:pPr>
      <w:r>
        <w:rPr>
          <w:rFonts w:hint="eastAsia" w:ascii="宋体" w:hAnsi="宋体" w:eastAsia="宋体" w:cs="宋体"/>
          <w:sz w:val="22"/>
          <w:szCs w:val="22"/>
          <w:highlight w:val="none"/>
          <w:lang w:val="zh-TW" w:eastAsia="zh-TW"/>
        </w:rPr>
        <w:t>（</w:t>
      </w:r>
      <w:r>
        <w:rPr>
          <w:rFonts w:hint="eastAsia" w:ascii="宋体" w:hAnsi="宋体" w:eastAsia="宋体" w:cs="宋体"/>
          <w:sz w:val="22"/>
          <w:szCs w:val="22"/>
          <w:highlight w:val="none"/>
        </w:rPr>
        <w:t>2</w:t>
      </w:r>
      <w:r>
        <w:rPr>
          <w:rFonts w:hint="eastAsia" w:ascii="宋体" w:hAnsi="宋体" w:eastAsia="宋体" w:cs="宋体"/>
          <w:sz w:val="22"/>
          <w:szCs w:val="22"/>
          <w:highlight w:val="none"/>
          <w:lang w:val="zh-TW" w:eastAsia="zh-TW"/>
        </w:rPr>
        <w:t>）投标截止时间之后，投标文件不得撤回；如果撤回的，一年内不得参加南京公共采购信息网组织的政府采购活动。</w:t>
      </w:r>
    </w:p>
    <w:p w14:paraId="003FB262">
      <w:pPr>
        <w:pageBreakBefore w:val="0"/>
        <w:widowControl/>
        <w:spacing w:after="0" w:line="360" w:lineRule="auto"/>
        <w:ind w:firstLine="422"/>
        <w:jc w:val="left"/>
        <w:outlineLvl w:val="1"/>
        <w:rPr>
          <w:rFonts w:hint="eastAsia" w:ascii="宋体" w:hAnsi="宋体" w:eastAsia="宋体" w:cs="Times New Roman"/>
          <w:b/>
          <w:sz w:val="22"/>
          <w:szCs w:val="22"/>
          <w:lang w:val="zh-TW" w:eastAsia="zh-TW" w:bidi="en-US"/>
        </w:rPr>
      </w:pPr>
      <w:r>
        <w:rPr>
          <w:rFonts w:hint="eastAsia" w:ascii="宋体" w:hAnsi="宋体" w:eastAsia="宋体" w:cs="Times New Roman"/>
          <w:b/>
          <w:sz w:val="22"/>
          <w:szCs w:val="22"/>
          <w:lang w:val="zh-TW" w:eastAsia="zh-TW" w:bidi="en-US"/>
        </w:rPr>
        <w:t>四、开标、评标与确定中标供应商</w:t>
      </w:r>
    </w:p>
    <w:p w14:paraId="1F23996B">
      <w:pPr>
        <w:pStyle w:val="189"/>
        <w:pageBreakBefore w:val="0"/>
        <w:spacing w:line="360" w:lineRule="auto"/>
        <w:ind w:firstLine="420"/>
        <w:rPr>
          <w:rFonts w:ascii="宋体" w:hAnsi="宋体" w:eastAsia="宋体" w:cs="宋体"/>
          <w:sz w:val="22"/>
          <w:szCs w:val="22"/>
          <w:highlight w:val="none"/>
          <w:lang w:val="zh-TW" w:eastAsia="zh-TW"/>
        </w:rPr>
      </w:pPr>
      <w:r>
        <w:rPr>
          <w:rFonts w:hint="eastAsia" w:ascii="宋体" w:hAnsi="宋体" w:eastAsia="宋体" w:cs="宋体"/>
          <w:sz w:val="22"/>
          <w:szCs w:val="22"/>
          <w:highlight w:val="none"/>
          <w:lang w:val="zh-TW" w:eastAsia="zh-TW"/>
        </w:rPr>
        <w:t>（一）开标</w:t>
      </w:r>
    </w:p>
    <w:p w14:paraId="15184477">
      <w:pPr>
        <w:pStyle w:val="189"/>
        <w:pageBreakBefore w:val="0"/>
        <w:spacing w:line="360" w:lineRule="auto"/>
        <w:ind w:firstLine="420"/>
        <w:rPr>
          <w:rFonts w:ascii="宋体" w:hAnsi="宋体" w:eastAsia="宋体" w:cs="宋体"/>
          <w:sz w:val="22"/>
          <w:szCs w:val="22"/>
          <w:highlight w:val="none"/>
        </w:rPr>
      </w:pPr>
      <w:r>
        <w:rPr>
          <w:rFonts w:hint="eastAsia" w:ascii="宋体" w:hAnsi="宋体" w:eastAsia="宋体" w:cs="宋体"/>
          <w:sz w:val="22"/>
          <w:szCs w:val="22"/>
          <w:highlight w:val="none"/>
        </w:rPr>
        <w:t>1.代理机构在招标公告中规定的时间和地点组织公开开标。</w:t>
      </w:r>
      <w:r>
        <w:rPr>
          <w:rFonts w:hint="eastAsia" w:ascii="宋体" w:hAnsi="宋体" w:eastAsia="宋体" w:cs="宋体"/>
          <w:sz w:val="22"/>
          <w:szCs w:val="22"/>
          <w:highlight w:val="none"/>
          <w:lang w:val="en-US" w:eastAsia="zh-CN"/>
        </w:rPr>
        <w:t>供应商</w:t>
      </w:r>
      <w:r>
        <w:rPr>
          <w:rFonts w:hint="eastAsia" w:ascii="宋体" w:hAnsi="宋体" w:eastAsia="宋体" w:cs="宋体"/>
          <w:sz w:val="22"/>
          <w:szCs w:val="22"/>
          <w:highlight w:val="none"/>
        </w:rPr>
        <w:t>按照《操作手册》规定参加开标活动，并在“苏采云”系统规定的时间内对投标文件进行解密。“苏采云”系统公布各</w:t>
      </w:r>
      <w:r>
        <w:rPr>
          <w:rFonts w:hint="eastAsia" w:ascii="宋体" w:hAnsi="宋体" w:eastAsia="宋体" w:cs="宋体"/>
          <w:sz w:val="22"/>
          <w:szCs w:val="22"/>
          <w:highlight w:val="none"/>
          <w:lang w:val="en-US" w:eastAsia="zh-CN"/>
        </w:rPr>
        <w:t>供应商</w:t>
      </w:r>
      <w:r>
        <w:rPr>
          <w:rFonts w:hint="eastAsia" w:ascii="宋体" w:hAnsi="宋体" w:eastAsia="宋体" w:cs="宋体"/>
          <w:sz w:val="22"/>
          <w:szCs w:val="22"/>
          <w:highlight w:val="none"/>
        </w:rPr>
        <w:t>名称和投标价格。</w:t>
      </w:r>
    </w:p>
    <w:p w14:paraId="5D19C711">
      <w:pPr>
        <w:pStyle w:val="189"/>
        <w:pageBreakBefore w:val="0"/>
        <w:spacing w:line="360" w:lineRule="auto"/>
        <w:ind w:firstLine="420"/>
        <w:rPr>
          <w:rFonts w:ascii="宋体" w:hAnsi="宋体" w:eastAsia="宋体" w:cs="宋体"/>
          <w:sz w:val="22"/>
          <w:szCs w:val="22"/>
          <w:highlight w:val="none"/>
        </w:rPr>
      </w:pPr>
      <w:r>
        <w:rPr>
          <w:rFonts w:hint="eastAsia" w:ascii="宋体" w:hAnsi="宋体" w:eastAsia="宋体" w:cs="宋体"/>
          <w:sz w:val="22"/>
          <w:szCs w:val="22"/>
          <w:highlight w:val="none"/>
        </w:rPr>
        <w:t>2.</w:t>
      </w:r>
      <w:r>
        <w:rPr>
          <w:rFonts w:hint="eastAsia" w:ascii="宋体" w:hAnsi="宋体" w:eastAsia="宋体" w:cs="宋体"/>
          <w:sz w:val="22"/>
          <w:szCs w:val="22"/>
          <w:highlight w:val="none"/>
          <w:lang w:val="en-US" w:eastAsia="zh-CN"/>
        </w:rPr>
        <w:t>供应商</w:t>
      </w:r>
      <w:r>
        <w:rPr>
          <w:rFonts w:hint="eastAsia" w:ascii="宋体" w:hAnsi="宋体" w:eastAsia="宋体" w:cs="宋体"/>
          <w:sz w:val="22"/>
          <w:szCs w:val="22"/>
          <w:highlight w:val="none"/>
        </w:rPr>
        <w:t>在开标过程中涉及到的投标文件解密、开标结果确认等工作，应按照《操作手册》规定执行。</w:t>
      </w:r>
    </w:p>
    <w:p w14:paraId="0D2C37DA">
      <w:pPr>
        <w:pStyle w:val="189"/>
        <w:pageBreakBefore w:val="0"/>
        <w:spacing w:line="360" w:lineRule="auto"/>
        <w:ind w:firstLine="420"/>
        <w:rPr>
          <w:rFonts w:ascii="宋体" w:hAnsi="宋体" w:eastAsia="宋体" w:cs="宋体"/>
          <w:sz w:val="22"/>
          <w:szCs w:val="22"/>
          <w:highlight w:val="none"/>
        </w:rPr>
      </w:pPr>
      <w:r>
        <w:rPr>
          <w:rFonts w:hint="eastAsia" w:ascii="宋体" w:hAnsi="宋体" w:eastAsia="宋体" w:cs="宋体"/>
          <w:sz w:val="22"/>
          <w:szCs w:val="22"/>
          <w:highlight w:val="none"/>
        </w:rPr>
        <w:t>3.</w:t>
      </w:r>
      <w:r>
        <w:rPr>
          <w:rFonts w:hint="eastAsia" w:ascii="宋体" w:hAnsi="宋体" w:eastAsia="宋体" w:cs="宋体"/>
          <w:sz w:val="22"/>
          <w:szCs w:val="22"/>
          <w:highlight w:val="none"/>
          <w:lang w:val="en-US" w:eastAsia="zh-CN"/>
        </w:rPr>
        <w:t>供应商</w:t>
      </w:r>
      <w:r>
        <w:rPr>
          <w:rFonts w:hint="eastAsia" w:ascii="宋体" w:hAnsi="宋体" w:eastAsia="宋体" w:cs="宋体"/>
          <w:sz w:val="22"/>
          <w:szCs w:val="22"/>
          <w:highlight w:val="none"/>
        </w:rPr>
        <w:t>不足3家的，不得开标。</w:t>
      </w:r>
    </w:p>
    <w:p w14:paraId="4342063F">
      <w:pPr>
        <w:pStyle w:val="189"/>
        <w:pageBreakBefore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4.供应商</w:t>
      </w:r>
      <w:r>
        <w:rPr>
          <w:rFonts w:hint="eastAsia" w:ascii="宋体" w:hAnsi="宋体" w:eastAsia="宋体" w:cs="宋体"/>
          <w:sz w:val="22"/>
          <w:szCs w:val="22"/>
          <w:highlight w:val="none"/>
        </w:rPr>
        <w:t>如果对开标过程和开标结果有疑义，应当根据《操作手册》规定提出，</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苏采云</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系统中《开标记录表》公布后5分钟内未提出的，视同认可开标结果。</w:t>
      </w:r>
    </w:p>
    <w:p w14:paraId="2D194416">
      <w:pPr>
        <w:pStyle w:val="189"/>
        <w:pageBreakBefore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5</w:t>
      </w:r>
      <w:r>
        <w:rPr>
          <w:rFonts w:hint="eastAsia" w:ascii="宋体" w:hAnsi="宋体" w:eastAsia="宋体" w:cs="宋体"/>
          <w:sz w:val="22"/>
          <w:szCs w:val="22"/>
          <w:highlight w:val="none"/>
          <w:lang w:val="en-US" w:eastAsia="zh-CN"/>
        </w:rPr>
        <w:t>.</w:t>
      </w:r>
      <w:r>
        <w:rPr>
          <w:rFonts w:hint="eastAsia" w:ascii="宋体" w:hAnsi="宋体" w:eastAsia="宋体" w:cs="宋体"/>
          <w:sz w:val="22"/>
          <w:szCs w:val="22"/>
          <w:highlight w:val="none"/>
        </w:rPr>
        <w:t>公开招标数额标准以上的采购项目，投标截止后</w:t>
      </w:r>
      <w:r>
        <w:rPr>
          <w:rFonts w:hint="eastAsia" w:ascii="宋体" w:hAnsi="宋体" w:eastAsia="宋体" w:cs="宋体"/>
          <w:sz w:val="22"/>
          <w:szCs w:val="22"/>
          <w:highlight w:val="none"/>
          <w:lang w:val="en-US" w:eastAsia="zh-CN"/>
        </w:rPr>
        <w:t>供应商</w:t>
      </w:r>
      <w:r>
        <w:rPr>
          <w:rFonts w:hint="eastAsia" w:ascii="宋体" w:hAnsi="宋体" w:eastAsia="宋体" w:cs="宋体"/>
          <w:sz w:val="22"/>
          <w:szCs w:val="22"/>
          <w:highlight w:val="none"/>
        </w:rPr>
        <w:t>不足3家或者通过资格审查或符合性审查的投标人不足3家的，除采购任务取消情形外，按照以下方式处理：</w:t>
      </w:r>
    </w:p>
    <w:p w14:paraId="49CC0F5F">
      <w:pPr>
        <w:pStyle w:val="189"/>
        <w:pageBreakBefore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（1）招标文件存在不合理条款或者招标程序不符合规定的，采购人、采购代理机构改正后依法重新招标；</w:t>
      </w:r>
    </w:p>
    <w:p w14:paraId="5D8B2FC9">
      <w:pPr>
        <w:pStyle w:val="189"/>
        <w:pageBreakBefore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（2）招标文件没有不合理条款、招标程序符合规定，需要采用其他采购方式采购的，采购人依法报财政部门批准，经批准后，可变更为其他采购方式采购。</w:t>
      </w:r>
    </w:p>
    <w:p w14:paraId="1E64D706">
      <w:pPr>
        <w:pStyle w:val="189"/>
        <w:pageBreakBefore w:val="0"/>
        <w:spacing w:line="360" w:lineRule="auto"/>
        <w:ind w:firstLine="420"/>
        <w:rPr>
          <w:rFonts w:ascii="宋体" w:hAnsi="宋体" w:eastAsia="宋体" w:cs="宋体"/>
          <w:sz w:val="22"/>
          <w:szCs w:val="22"/>
          <w:highlight w:val="none"/>
        </w:rPr>
      </w:pPr>
      <w:r>
        <w:rPr>
          <w:rFonts w:hint="eastAsia" w:ascii="宋体" w:hAnsi="宋体" w:eastAsia="宋体" w:cs="宋体"/>
          <w:sz w:val="22"/>
          <w:szCs w:val="22"/>
          <w:highlight w:val="none"/>
        </w:rPr>
        <w:t>6</w:t>
      </w:r>
      <w:r>
        <w:rPr>
          <w:rFonts w:hint="eastAsia" w:ascii="宋体" w:hAnsi="宋体" w:eastAsia="宋体" w:cs="宋体"/>
          <w:sz w:val="22"/>
          <w:szCs w:val="22"/>
          <w:highlight w:val="none"/>
          <w:lang w:val="en-US" w:eastAsia="zh-CN"/>
        </w:rPr>
        <w:t>.供应商</w:t>
      </w:r>
      <w:r>
        <w:rPr>
          <w:rFonts w:hint="eastAsia" w:ascii="宋体" w:hAnsi="宋体" w:eastAsia="宋体" w:cs="宋体"/>
          <w:sz w:val="22"/>
          <w:szCs w:val="22"/>
          <w:highlight w:val="none"/>
        </w:rPr>
        <w:t>未参加开标的，视同认可开标结果。</w:t>
      </w:r>
    </w:p>
    <w:p w14:paraId="691FC5DA">
      <w:pPr>
        <w:pStyle w:val="189"/>
        <w:pageBreakBefore w:val="0"/>
        <w:spacing w:line="360" w:lineRule="auto"/>
        <w:ind w:firstLine="420"/>
        <w:rPr>
          <w:rFonts w:ascii="宋体" w:hAnsi="宋体" w:eastAsia="宋体" w:cs="宋体"/>
          <w:sz w:val="22"/>
          <w:szCs w:val="22"/>
          <w:highlight w:val="none"/>
          <w:lang w:val="zh-TW" w:eastAsia="zh-TW"/>
        </w:rPr>
      </w:pPr>
      <w:r>
        <w:rPr>
          <w:rFonts w:hint="eastAsia" w:ascii="宋体" w:hAnsi="宋体" w:eastAsia="宋体" w:cs="宋体"/>
          <w:sz w:val="22"/>
          <w:szCs w:val="22"/>
          <w:highlight w:val="none"/>
          <w:lang w:val="zh-TW" w:eastAsia="zh-TW"/>
        </w:rPr>
        <w:t>（二）评标</w:t>
      </w:r>
    </w:p>
    <w:p w14:paraId="368F0EBF">
      <w:pPr>
        <w:pStyle w:val="189"/>
        <w:pageBreakBefore w:val="0"/>
        <w:spacing w:line="360" w:lineRule="auto"/>
        <w:ind w:firstLine="420"/>
        <w:rPr>
          <w:rFonts w:ascii="宋体" w:hAnsi="宋体" w:eastAsia="宋体" w:cs="宋体"/>
          <w:sz w:val="22"/>
          <w:szCs w:val="22"/>
          <w:highlight w:val="none"/>
        </w:rPr>
      </w:pPr>
      <w:r>
        <w:rPr>
          <w:rFonts w:hint="eastAsia" w:ascii="宋体" w:hAnsi="宋体" w:eastAsia="宋体" w:cs="宋体"/>
          <w:sz w:val="22"/>
          <w:szCs w:val="22"/>
          <w:highlight w:val="none"/>
        </w:rPr>
        <w:t>1.</w:t>
      </w:r>
      <w:r>
        <w:rPr>
          <w:rFonts w:hint="eastAsia" w:ascii="宋体" w:hAnsi="宋体" w:eastAsia="宋体" w:cs="宋体"/>
          <w:sz w:val="22"/>
          <w:szCs w:val="22"/>
          <w:highlight w:val="none"/>
          <w:lang w:val="zh-TW" w:eastAsia="zh-TW"/>
        </w:rPr>
        <w:t>评标组织</w:t>
      </w:r>
    </w:p>
    <w:p w14:paraId="4BE98068">
      <w:pPr>
        <w:pStyle w:val="189"/>
        <w:pageBreakBefore w:val="0"/>
        <w:spacing w:line="360" w:lineRule="auto"/>
        <w:ind w:firstLine="210"/>
        <w:rPr>
          <w:rFonts w:ascii="宋体" w:hAnsi="宋体" w:eastAsia="宋体" w:cs="宋体"/>
          <w:sz w:val="22"/>
          <w:szCs w:val="22"/>
          <w:highlight w:val="none"/>
        </w:rPr>
      </w:pPr>
      <w:r>
        <w:rPr>
          <w:rFonts w:hint="eastAsia" w:ascii="宋体" w:hAnsi="宋体" w:eastAsia="宋体" w:cs="宋体"/>
          <w:sz w:val="22"/>
          <w:szCs w:val="22"/>
          <w:highlight w:val="none"/>
          <w:lang w:val="zh-TW" w:eastAsia="zh-TW"/>
        </w:rPr>
        <w:t>（</w:t>
      </w:r>
      <w:r>
        <w:rPr>
          <w:rFonts w:hint="eastAsia" w:ascii="宋体" w:hAnsi="宋体" w:eastAsia="宋体" w:cs="宋体"/>
          <w:sz w:val="22"/>
          <w:szCs w:val="22"/>
          <w:highlight w:val="none"/>
        </w:rPr>
        <w:t>1</w:t>
      </w:r>
      <w:r>
        <w:rPr>
          <w:rFonts w:hint="eastAsia" w:ascii="宋体" w:hAnsi="宋体" w:eastAsia="宋体" w:cs="宋体"/>
          <w:sz w:val="22"/>
          <w:szCs w:val="22"/>
          <w:highlight w:val="none"/>
          <w:lang w:val="zh-TW" w:eastAsia="zh-TW"/>
        </w:rPr>
        <w:t>）评标工作由招标代理负责组织，具体评标事务由依法组建的评标委员会负责，并独立履行下列职责：</w:t>
      </w:r>
    </w:p>
    <w:p w14:paraId="5042EDFA">
      <w:pPr>
        <w:pStyle w:val="189"/>
        <w:pageBreakBefore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①</w:t>
      </w:r>
      <w:r>
        <w:rPr>
          <w:rFonts w:hint="eastAsia" w:ascii="宋体" w:hAnsi="宋体" w:eastAsia="宋体" w:cs="宋体"/>
          <w:sz w:val="22"/>
          <w:szCs w:val="22"/>
          <w:highlight w:val="none"/>
          <w:lang w:val="zh-TW" w:eastAsia="zh-TW"/>
        </w:rPr>
        <w:t>审查、评价投标文件是否符合招标文件的商务、技术等实质性要求；</w:t>
      </w:r>
    </w:p>
    <w:p w14:paraId="0D0E04A9">
      <w:pPr>
        <w:pStyle w:val="189"/>
        <w:pageBreakBefore w:val="0"/>
        <w:spacing w:line="360" w:lineRule="auto"/>
        <w:ind w:firstLine="420"/>
        <w:rPr>
          <w:rFonts w:ascii="宋体" w:hAnsi="宋体" w:eastAsia="宋体" w:cs="宋体"/>
          <w:sz w:val="22"/>
          <w:szCs w:val="22"/>
          <w:highlight w:val="none"/>
        </w:rPr>
      </w:pPr>
      <w:r>
        <w:rPr>
          <w:rFonts w:hint="eastAsia" w:ascii="宋体" w:hAnsi="宋体" w:eastAsia="宋体" w:cs="宋体"/>
          <w:sz w:val="22"/>
          <w:szCs w:val="22"/>
          <w:highlight w:val="none"/>
        </w:rPr>
        <w:t>②</w:t>
      </w:r>
      <w:r>
        <w:rPr>
          <w:rFonts w:hint="eastAsia" w:ascii="宋体" w:hAnsi="宋体" w:eastAsia="宋体" w:cs="宋体"/>
          <w:sz w:val="22"/>
          <w:szCs w:val="22"/>
          <w:highlight w:val="none"/>
          <w:lang w:val="zh-TW" w:eastAsia="zh-TW"/>
        </w:rPr>
        <w:t>要求供应商对投标文件有关事项作出澄清或者说明；</w:t>
      </w:r>
    </w:p>
    <w:p w14:paraId="6870922D">
      <w:pPr>
        <w:pStyle w:val="189"/>
        <w:pageBreakBefore w:val="0"/>
        <w:spacing w:line="360" w:lineRule="auto"/>
        <w:ind w:firstLine="420"/>
        <w:rPr>
          <w:rFonts w:ascii="宋体" w:hAnsi="宋体" w:eastAsia="宋体" w:cs="宋体"/>
          <w:sz w:val="22"/>
          <w:szCs w:val="22"/>
          <w:highlight w:val="none"/>
        </w:rPr>
      </w:pPr>
      <w:r>
        <w:rPr>
          <w:rFonts w:hint="eastAsia" w:ascii="宋体" w:hAnsi="宋体" w:eastAsia="宋体" w:cs="宋体"/>
          <w:sz w:val="22"/>
          <w:szCs w:val="22"/>
          <w:highlight w:val="none"/>
        </w:rPr>
        <w:t>③</w:t>
      </w:r>
      <w:r>
        <w:rPr>
          <w:rFonts w:hint="eastAsia" w:ascii="宋体" w:hAnsi="宋体" w:eastAsia="宋体" w:cs="宋体"/>
          <w:sz w:val="22"/>
          <w:szCs w:val="22"/>
          <w:highlight w:val="none"/>
          <w:lang w:val="zh-TW" w:eastAsia="zh-TW"/>
        </w:rPr>
        <w:t>对投标文件进行比较和评价；</w:t>
      </w:r>
    </w:p>
    <w:p w14:paraId="4EA26AA2">
      <w:pPr>
        <w:pStyle w:val="189"/>
        <w:pageBreakBefore w:val="0"/>
        <w:spacing w:line="360" w:lineRule="auto"/>
        <w:ind w:firstLine="420"/>
        <w:rPr>
          <w:rFonts w:ascii="宋体" w:hAnsi="宋体" w:eastAsia="宋体" w:cs="宋体"/>
          <w:sz w:val="22"/>
          <w:szCs w:val="22"/>
          <w:highlight w:val="none"/>
        </w:rPr>
      </w:pPr>
      <w:r>
        <w:rPr>
          <w:rFonts w:hint="eastAsia" w:ascii="宋体" w:hAnsi="宋体" w:eastAsia="宋体" w:cs="宋体"/>
          <w:sz w:val="22"/>
          <w:szCs w:val="22"/>
          <w:highlight w:val="none"/>
        </w:rPr>
        <w:t>④</w:t>
      </w:r>
      <w:r>
        <w:rPr>
          <w:rFonts w:hint="eastAsia" w:ascii="宋体" w:hAnsi="宋体" w:eastAsia="宋体" w:cs="宋体"/>
          <w:sz w:val="22"/>
          <w:szCs w:val="22"/>
          <w:highlight w:val="none"/>
          <w:lang w:val="zh-TW" w:eastAsia="zh-TW"/>
        </w:rPr>
        <w:t>根据采购人委托协议直接确定中标人；</w:t>
      </w:r>
    </w:p>
    <w:p w14:paraId="60059D2E">
      <w:pPr>
        <w:pStyle w:val="189"/>
        <w:pageBreakBefore w:val="0"/>
        <w:spacing w:line="360" w:lineRule="auto"/>
        <w:ind w:firstLine="420"/>
        <w:rPr>
          <w:rFonts w:ascii="宋体" w:hAnsi="宋体" w:eastAsia="宋体" w:cs="宋体"/>
          <w:sz w:val="22"/>
          <w:szCs w:val="22"/>
          <w:highlight w:val="none"/>
          <w:lang w:val="zh-TW" w:eastAsia="zh-TW"/>
        </w:rPr>
      </w:pPr>
      <w:r>
        <w:rPr>
          <w:rFonts w:hint="eastAsia" w:ascii="宋体" w:hAnsi="宋体" w:eastAsia="宋体" w:cs="宋体"/>
          <w:sz w:val="22"/>
          <w:szCs w:val="22"/>
          <w:highlight w:val="none"/>
          <w:lang w:val="zh-TW" w:eastAsia="zh-TW"/>
        </w:rPr>
        <w:t>⑤向采购人、财政部门报告评标中发现的违法行为。</w:t>
      </w:r>
    </w:p>
    <w:p w14:paraId="35A611C0">
      <w:pPr>
        <w:pStyle w:val="189"/>
        <w:pageBreakBefore w:val="0"/>
        <w:spacing w:line="360" w:lineRule="auto"/>
        <w:ind w:firstLine="210"/>
        <w:rPr>
          <w:rFonts w:ascii="宋体" w:hAnsi="宋体" w:eastAsia="宋体" w:cs="宋体"/>
          <w:sz w:val="22"/>
          <w:szCs w:val="22"/>
          <w:highlight w:val="none"/>
        </w:rPr>
      </w:pPr>
      <w:r>
        <w:rPr>
          <w:rFonts w:hint="eastAsia" w:ascii="宋体" w:hAnsi="宋体" w:eastAsia="宋体" w:cs="宋体"/>
          <w:sz w:val="22"/>
          <w:szCs w:val="22"/>
          <w:highlight w:val="none"/>
          <w:lang w:val="zh-TW" w:eastAsia="zh-TW"/>
        </w:rPr>
        <w:t>（</w:t>
      </w:r>
      <w:r>
        <w:rPr>
          <w:rFonts w:hint="eastAsia" w:ascii="宋体" w:hAnsi="宋体" w:eastAsia="宋体" w:cs="宋体"/>
          <w:sz w:val="22"/>
          <w:szCs w:val="22"/>
          <w:highlight w:val="none"/>
        </w:rPr>
        <w:t>2</w:t>
      </w:r>
      <w:r>
        <w:rPr>
          <w:rFonts w:hint="eastAsia" w:ascii="宋体" w:hAnsi="宋体" w:eastAsia="宋体" w:cs="宋体"/>
          <w:sz w:val="22"/>
          <w:szCs w:val="22"/>
          <w:highlight w:val="none"/>
          <w:lang w:val="zh-TW" w:eastAsia="zh-TW"/>
        </w:rPr>
        <w:t>）评标委员会由采购人代表和有关技术、经济等方面的专家组成，独立开展评审工作。</w:t>
      </w:r>
    </w:p>
    <w:p w14:paraId="70E2BB10">
      <w:pPr>
        <w:pStyle w:val="189"/>
        <w:pageBreakBefore w:val="0"/>
        <w:spacing w:line="360" w:lineRule="auto"/>
        <w:ind w:firstLine="420"/>
        <w:rPr>
          <w:rFonts w:ascii="宋体" w:hAnsi="宋体" w:eastAsia="宋体" w:cs="宋体"/>
          <w:sz w:val="22"/>
          <w:szCs w:val="22"/>
          <w:highlight w:val="none"/>
        </w:rPr>
      </w:pPr>
      <w:r>
        <w:rPr>
          <w:rFonts w:hint="eastAsia" w:ascii="宋体" w:hAnsi="宋体" w:eastAsia="宋体" w:cs="宋体"/>
          <w:sz w:val="22"/>
          <w:szCs w:val="22"/>
          <w:highlight w:val="none"/>
        </w:rPr>
        <w:t>2.</w:t>
      </w:r>
      <w:r>
        <w:rPr>
          <w:rFonts w:hint="eastAsia" w:ascii="宋体" w:hAnsi="宋体" w:eastAsia="宋体" w:cs="宋体"/>
          <w:sz w:val="22"/>
          <w:szCs w:val="22"/>
          <w:highlight w:val="none"/>
          <w:lang w:val="zh-TW" w:eastAsia="zh-TW"/>
        </w:rPr>
        <w:t>评标程序</w:t>
      </w:r>
    </w:p>
    <w:p w14:paraId="61F8489D">
      <w:pPr>
        <w:pStyle w:val="189"/>
        <w:pageBreakBefore w:val="0"/>
        <w:spacing w:line="360" w:lineRule="auto"/>
        <w:ind w:firstLine="210"/>
        <w:rPr>
          <w:rFonts w:ascii="宋体" w:hAnsi="宋体" w:eastAsia="宋体" w:cs="宋体"/>
          <w:sz w:val="22"/>
          <w:szCs w:val="22"/>
          <w:highlight w:val="none"/>
        </w:rPr>
      </w:pPr>
      <w:r>
        <w:rPr>
          <w:rFonts w:hint="eastAsia" w:ascii="宋体" w:hAnsi="宋体" w:eastAsia="宋体" w:cs="宋体"/>
          <w:sz w:val="22"/>
          <w:szCs w:val="22"/>
          <w:highlight w:val="none"/>
          <w:lang w:val="zh-TW" w:eastAsia="zh-TW"/>
        </w:rPr>
        <w:t>（</w:t>
      </w:r>
      <w:r>
        <w:rPr>
          <w:rFonts w:hint="eastAsia" w:ascii="宋体" w:hAnsi="宋体" w:eastAsia="宋体" w:cs="宋体"/>
          <w:sz w:val="22"/>
          <w:szCs w:val="22"/>
          <w:highlight w:val="none"/>
        </w:rPr>
        <w:t>1</w:t>
      </w:r>
      <w:r>
        <w:rPr>
          <w:rFonts w:hint="eastAsia" w:ascii="宋体" w:hAnsi="宋体" w:eastAsia="宋体" w:cs="宋体"/>
          <w:sz w:val="22"/>
          <w:szCs w:val="22"/>
          <w:highlight w:val="none"/>
          <w:lang w:val="zh-TW" w:eastAsia="zh-TW"/>
        </w:rPr>
        <w:t>）投标文件的资格审查。</w:t>
      </w:r>
    </w:p>
    <w:p w14:paraId="35ACE30F">
      <w:pPr>
        <w:pStyle w:val="212"/>
        <w:pageBreakBefore w:val="0"/>
        <w:spacing w:line="360" w:lineRule="auto"/>
        <w:rPr>
          <w:rFonts w:hint="eastAsia" w:ascii="宋体" w:hAnsi="宋体" w:eastAsia="宋体" w:cs="宋体"/>
          <w:sz w:val="22"/>
          <w:szCs w:val="22"/>
          <w:highlight w:val="none"/>
          <w:lang w:val="zh-TW" w:eastAsia="zh-TW"/>
        </w:rPr>
      </w:pPr>
      <w:r>
        <w:rPr>
          <w:rFonts w:hint="eastAsia" w:ascii="宋体" w:hAnsi="宋体" w:eastAsia="宋体" w:cs="宋体"/>
          <w:sz w:val="22"/>
          <w:szCs w:val="22"/>
          <w:highlight w:val="none"/>
          <w:lang w:val="zh-TW" w:eastAsia="zh-TW"/>
        </w:rPr>
        <w:t>①采购人和采购代理机构代表将依法对供应商的资格进行审查。</w:t>
      </w:r>
    </w:p>
    <w:p w14:paraId="0D31E211">
      <w:pPr>
        <w:pStyle w:val="212"/>
        <w:pageBreakBefore w:val="0"/>
        <w:spacing w:line="360" w:lineRule="auto"/>
        <w:rPr>
          <w:rFonts w:ascii="宋体" w:hAnsi="宋体" w:eastAsia="宋体" w:cs="宋体"/>
          <w:sz w:val="22"/>
          <w:szCs w:val="22"/>
          <w:highlight w:val="none"/>
        </w:rPr>
      </w:pPr>
      <w:r>
        <w:rPr>
          <w:rFonts w:hint="eastAsia" w:ascii="宋体" w:hAnsi="宋体" w:eastAsia="宋体" w:cs="宋体"/>
          <w:sz w:val="22"/>
          <w:szCs w:val="22"/>
          <w:highlight w:val="none"/>
        </w:rPr>
        <w:t>②</w:t>
      </w:r>
      <w:r>
        <w:rPr>
          <w:rFonts w:hint="eastAsia" w:ascii="宋体" w:hAnsi="宋体" w:eastAsia="宋体" w:cs="宋体"/>
          <w:sz w:val="22"/>
          <w:szCs w:val="22"/>
          <w:highlight w:val="none"/>
          <w:lang w:val="zh-TW" w:eastAsia="zh-TW"/>
        </w:rPr>
        <w:t>资格性审查：依据法律法规和招标文件的规定，对投标文件中的资格证明文件等进行审查，以确定投标供应商是否具备投标资格。</w:t>
      </w:r>
    </w:p>
    <w:p w14:paraId="1E30B828">
      <w:pPr>
        <w:pStyle w:val="189"/>
        <w:pageBreakBefore w:val="0"/>
        <w:spacing w:line="360" w:lineRule="auto"/>
        <w:ind w:firstLine="420"/>
        <w:rPr>
          <w:rFonts w:ascii="宋体" w:hAnsi="宋体" w:eastAsia="宋体" w:cs="宋体"/>
          <w:sz w:val="22"/>
          <w:szCs w:val="22"/>
          <w:highlight w:val="none"/>
        </w:rPr>
      </w:pPr>
      <w:r>
        <w:rPr>
          <w:rFonts w:hint="eastAsia" w:ascii="宋体" w:hAnsi="宋体" w:eastAsia="宋体" w:cs="宋体"/>
          <w:sz w:val="22"/>
          <w:szCs w:val="22"/>
          <w:highlight w:val="none"/>
        </w:rPr>
        <w:t>③</w:t>
      </w:r>
      <w:r>
        <w:rPr>
          <w:rFonts w:hint="eastAsia" w:ascii="宋体" w:hAnsi="宋体" w:eastAsia="宋体" w:cs="宋体"/>
          <w:sz w:val="22"/>
          <w:szCs w:val="22"/>
          <w:highlight w:val="none"/>
          <w:lang w:val="zh-TW" w:eastAsia="zh-TW"/>
        </w:rPr>
        <w:t>在进行资格性审查的同时，将在“信用中国”网站（www</w:t>
      </w:r>
      <w:r>
        <w:rPr>
          <w:rFonts w:hint="eastAsia" w:ascii="宋体" w:hAnsi="宋体" w:eastAsia="宋体" w:cs="宋体"/>
          <w:sz w:val="22"/>
          <w:szCs w:val="22"/>
          <w:highlight w:val="none"/>
        </w:rPr>
        <w:t>.</w:t>
      </w:r>
      <w:r>
        <w:rPr>
          <w:rFonts w:hint="eastAsia" w:ascii="宋体" w:hAnsi="宋体" w:eastAsia="宋体" w:cs="宋体"/>
          <w:sz w:val="22"/>
          <w:szCs w:val="22"/>
          <w:highlight w:val="none"/>
          <w:lang w:val="zh-TW" w:eastAsia="zh-TW"/>
        </w:rPr>
        <w:t>creditchina</w:t>
      </w:r>
      <w:r>
        <w:rPr>
          <w:rFonts w:hint="eastAsia" w:ascii="宋体" w:hAnsi="宋体" w:eastAsia="宋体" w:cs="宋体"/>
          <w:sz w:val="22"/>
          <w:szCs w:val="22"/>
          <w:highlight w:val="none"/>
        </w:rPr>
        <w:t>.</w:t>
      </w:r>
      <w:r>
        <w:rPr>
          <w:rFonts w:hint="eastAsia" w:ascii="宋体" w:hAnsi="宋体" w:eastAsia="宋体" w:cs="宋体"/>
          <w:sz w:val="22"/>
          <w:szCs w:val="22"/>
          <w:highlight w:val="none"/>
          <w:lang w:val="zh-TW" w:eastAsia="zh-TW"/>
        </w:rPr>
        <w:t>gov</w:t>
      </w:r>
      <w:r>
        <w:rPr>
          <w:rFonts w:hint="eastAsia" w:ascii="宋体" w:hAnsi="宋体" w:eastAsia="宋体" w:cs="宋体"/>
          <w:sz w:val="22"/>
          <w:szCs w:val="22"/>
          <w:highlight w:val="none"/>
        </w:rPr>
        <w:t>.</w:t>
      </w:r>
      <w:r>
        <w:rPr>
          <w:rFonts w:hint="eastAsia" w:ascii="宋体" w:hAnsi="宋体" w:eastAsia="宋体" w:cs="宋体"/>
          <w:sz w:val="22"/>
          <w:szCs w:val="22"/>
          <w:highlight w:val="none"/>
          <w:lang w:val="zh-TW" w:eastAsia="zh-TW"/>
        </w:rPr>
        <w:t>cn）、“中国政府采购网"(www</w:t>
      </w:r>
      <w:r>
        <w:rPr>
          <w:rFonts w:hint="eastAsia" w:ascii="宋体" w:hAnsi="宋体" w:eastAsia="宋体" w:cs="宋体"/>
          <w:sz w:val="22"/>
          <w:szCs w:val="22"/>
          <w:highlight w:val="none"/>
        </w:rPr>
        <w:t>.</w:t>
      </w:r>
      <w:r>
        <w:rPr>
          <w:rFonts w:hint="eastAsia" w:ascii="宋体" w:hAnsi="宋体" w:eastAsia="宋体" w:cs="宋体"/>
          <w:sz w:val="22"/>
          <w:szCs w:val="22"/>
          <w:highlight w:val="none"/>
          <w:lang w:val="zh-TW" w:eastAsia="zh-TW"/>
        </w:rPr>
        <w:t>ccgp</w:t>
      </w:r>
      <w:r>
        <w:rPr>
          <w:rFonts w:hint="eastAsia" w:ascii="宋体" w:hAnsi="宋体" w:eastAsia="宋体" w:cs="宋体"/>
          <w:sz w:val="22"/>
          <w:szCs w:val="22"/>
          <w:highlight w:val="none"/>
        </w:rPr>
        <w:t>.</w:t>
      </w:r>
      <w:r>
        <w:rPr>
          <w:rFonts w:hint="eastAsia" w:ascii="宋体" w:hAnsi="宋体" w:eastAsia="宋体" w:cs="宋体"/>
          <w:sz w:val="22"/>
          <w:szCs w:val="22"/>
          <w:highlight w:val="none"/>
          <w:lang w:val="zh-TW" w:eastAsia="zh-TW"/>
        </w:rPr>
        <w:t>gov</w:t>
      </w:r>
      <w:r>
        <w:rPr>
          <w:rFonts w:hint="eastAsia" w:ascii="宋体" w:hAnsi="宋体" w:eastAsia="宋体" w:cs="宋体"/>
          <w:sz w:val="22"/>
          <w:szCs w:val="22"/>
          <w:highlight w:val="none"/>
        </w:rPr>
        <w:t>.</w:t>
      </w:r>
      <w:r>
        <w:rPr>
          <w:rFonts w:hint="eastAsia" w:ascii="宋体" w:hAnsi="宋体" w:eastAsia="宋体" w:cs="宋体"/>
          <w:sz w:val="22"/>
          <w:szCs w:val="22"/>
          <w:highlight w:val="none"/>
          <w:lang w:val="zh-TW" w:eastAsia="zh-TW"/>
        </w:rPr>
        <w:t>cn)</w:t>
      </w:r>
      <w:r>
        <w:rPr>
          <w:rFonts w:hint="eastAsia" w:ascii="宋体" w:hAnsi="宋体" w:eastAsia="宋体" w:cs="宋体"/>
          <w:sz w:val="22"/>
          <w:szCs w:val="22"/>
          <w:highlight w:val="none"/>
        </w:rPr>
        <w:t xml:space="preserve"> </w:t>
      </w:r>
      <w:r>
        <w:rPr>
          <w:rFonts w:hint="eastAsia" w:ascii="宋体" w:hAnsi="宋体" w:eastAsia="宋体" w:cs="宋体"/>
          <w:sz w:val="22"/>
          <w:szCs w:val="22"/>
          <w:highlight w:val="none"/>
          <w:lang w:val="zh-TW" w:eastAsia="zh-TW"/>
        </w:rPr>
        <w:t>对供应商是否被列入失信被执行人、</w:t>
      </w:r>
      <w:r>
        <w:rPr>
          <w:rFonts w:hint="eastAsia" w:ascii="宋体" w:hAnsi="宋体" w:eastAsia="宋体" w:cs="宋体"/>
          <w:sz w:val="22"/>
          <w:szCs w:val="22"/>
          <w:highlight w:val="none"/>
          <w:lang w:val="zh-TW"/>
        </w:rPr>
        <w:t>重大税收违法失信主体</w:t>
      </w:r>
      <w:r>
        <w:rPr>
          <w:rFonts w:hint="eastAsia" w:ascii="宋体" w:hAnsi="宋体" w:eastAsia="宋体" w:cs="宋体"/>
          <w:sz w:val="22"/>
          <w:szCs w:val="22"/>
          <w:highlight w:val="none"/>
          <w:lang w:val="zh-TW" w:eastAsia="zh-TW"/>
        </w:rPr>
        <w:t>、政府采购严重违法失信行为记录名单的情况进行查询，以确定投标供应商是否具备投标资格。查询结果将以网页打印的形式留存并归档。</w:t>
      </w:r>
    </w:p>
    <w:p w14:paraId="1C09A370">
      <w:pPr>
        <w:pStyle w:val="189"/>
        <w:pageBreakBefore w:val="0"/>
        <w:widowControl/>
        <w:spacing w:line="360" w:lineRule="auto"/>
        <w:ind w:firstLine="420"/>
        <w:rPr>
          <w:rFonts w:ascii="宋体" w:hAnsi="宋体" w:eastAsia="宋体" w:cs="宋体"/>
          <w:sz w:val="22"/>
          <w:szCs w:val="22"/>
          <w:highlight w:val="none"/>
        </w:rPr>
      </w:pPr>
      <w:r>
        <w:rPr>
          <w:rFonts w:hint="eastAsia" w:ascii="宋体" w:hAnsi="宋体" w:eastAsia="宋体" w:cs="宋体"/>
          <w:sz w:val="22"/>
          <w:szCs w:val="22"/>
          <w:highlight w:val="none"/>
        </w:rPr>
        <w:t>④</w:t>
      </w:r>
      <w:r>
        <w:rPr>
          <w:rFonts w:hint="eastAsia" w:ascii="宋体" w:hAnsi="宋体" w:eastAsia="宋体" w:cs="宋体"/>
          <w:sz w:val="22"/>
          <w:szCs w:val="22"/>
          <w:highlight w:val="none"/>
          <w:lang w:val="zh-TW" w:eastAsia="zh-TW"/>
        </w:rPr>
        <w:t>投标文件有下列情况之一的，在资格性审查时按照无效投标处理：</w:t>
      </w:r>
    </w:p>
    <w:p w14:paraId="646AE783">
      <w:pPr>
        <w:pStyle w:val="189"/>
        <w:pageBreakBefore w:val="0"/>
        <w:widowControl/>
        <w:spacing w:line="360" w:lineRule="auto"/>
        <w:ind w:firstLine="420"/>
        <w:jc w:val="left"/>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a</w:t>
      </w:r>
      <w:r>
        <w:rPr>
          <w:rFonts w:hint="eastAsia" w:ascii="宋体" w:hAnsi="宋体" w:eastAsia="宋体" w:cs="宋体"/>
          <w:sz w:val="22"/>
          <w:szCs w:val="22"/>
          <w:highlight w:val="none"/>
          <w:lang w:val="zh-TW" w:eastAsia="zh-TW"/>
        </w:rPr>
        <w:t>、不具备招标文件中规定资格条件的</w:t>
      </w:r>
      <w:r>
        <w:rPr>
          <w:rFonts w:hint="eastAsia" w:ascii="宋体" w:hAnsi="宋体" w:eastAsia="宋体" w:cs="宋体"/>
          <w:sz w:val="22"/>
          <w:szCs w:val="22"/>
          <w:highlight w:val="none"/>
          <w:lang w:val="zh-TW" w:eastAsia="zh-CN"/>
        </w:rPr>
        <w:t>。</w:t>
      </w:r>
    </w:p>
    <w:p w14:paraId="10CE5F88">
      <w:pPr>
        <w:pStyle w:val="189"/>
        <w:pageBreakBefore w:val="0"/>
        <w:widowControl/>
        <w:spacing w:line="360" w:lineRule="auto"/>
        <w:ind w:firstLine="420"/>
        <w:jc w:val="left"/>
        <w:rPr>
          <w:rFonts w:hint="eastAsia" w:ascii="宋体" w:hAnsi="宋体" w:eastAsia="宋体" w:cs="宋体"/>
          <w:sz w:val="22"/>
          <w:szCs w:val="22"/>
          <w:highlight w:val="none"/>
          <w:lang w:val="zh-TW" w:eastAsia="zh-TW"/>
        </w:rPr>
      </w:pPr>
      <w:r>
        <w:rPr>
          <w:rFonts w:hint="eastAsia" w:ascii="宋体" w:hAnsi="宋体" w:eastAsia="宋体" w:cs="宋体"/>
          <w:sz w:val="22"/>
          <w:szCs w:val="22"/>
          <w:highlight w:val="none"/>
        </w:rPr>
        <w:t>b</w:t>
      </w:r>
      <w:r>
        <w:rPr>
          <w:rFonts w:hint="eastAsia" w:ascii="宋体" w:hAnsi="宋体" w:eastAsia="宋体" w:cs="宋体"/>
          <w:sz w:val="22"/>
          <w:szCs w:val="22"/>
          <w:highlight w:val="none"/>
          <w:lang w:val="zh-TW" w:eastAsia="zh-TW"/>
        </w:rPr>
        <w:t>、供应商被“信用中国”网站（www</w:t>
      </w:r>
      <w:r>
        <w:rPr>
          <w:rFonts w:hint="eastAsia" w:ascii="宋体" w:hAnsi="宋体" w:eastAsia="宋体" w:cs="宋体"/>
          <w:sz w:val="22"/>
          <w:szCs w:val="22"/>
          <w:highlight w:val="none"/>
        </w:rPr>
        <w:t>.</w:t>
      </w:r>
      <w:r>
        <w:rPr>
          <w:rFonts w:hint="eastAsia" w:ascii="宋体" w:hAnsi="宋体" w:eastAsia="宋体" w:cs="宋体"/>
          <w:sz w:val="22"/>
          <w:szCs w:val="22"/>
          <w:highlight w:val="none"/>
          <w:lang w:val="zh-TW" w:eastAsia="zh-TW"/>
        </w:rPr>
        <w:t>creditchina</w:t>
      </w:r>
      <w:r>
        <w:rPr>
          <w:rFonts w:hint="eastAsia" w:ascii="宋体" w:hAnsi="宋体" w:eastAsia="宋体" w:cs="宋体"/>
          <w:sz w:val="22"/>
          <w:szCs w:val="22"/>
          <w:highlight w:val="none"/>
        </w:rPr>
        <w:t>.</w:t>
      </w:r>
      <w:r>
        <w:rPr>
          <w:rFonts w:hint="eastAsia" w:ascii="宋体" w:hAnsi="宋体" w:eastAsia="宋体" w:cs="宋体"/>
          <w:sz w:val="22"/>
          <w:szCs w:val="22"/>
          <w:highlight w:val="none"/>
          <w:lang w:val="zh-TW" w:eastAsia="zh-TW"/>
        </w:rPr>
        <w:t>gov</w:t>
      </w:r>
      <w:r>
        <w:rPr>
          <w:rFonts w:hint="eastAsia" w:ascii="宋体" w:hAnsi="宋体" w:eastAsia="宋体" w:cs="宋体"/>
          <w:sz w:val="22"/>
          <w:szCs w:val="22"/>
          <w:highlight w:val="none"/>
        </w:rPr>
        <w:t>.</w:t>
      </w:r>
      <w:r>
        <w:rPr>
          <w:rFonts w:hint="eastAsia" w:ascii="宋体" w:hAnsi="宋体" w:eastAsia="宋体" w:cs="宋体"/>
          <w:sz w:val="22"/>
          <w:szCs w:val="22"/>
          <w:highlight w:val="none"/>
          <w:lang w:val="zh-TW" w:eastAsia="zh-TW"/>
        </w:rPr>
        <w:t>cn）、“中国政府采购网"(www</w:t>
      </w:r>
      <w:r>
        <w:rPr>
          <w:rFonts w:hint="eastAsia" w:ascii="宋体" w:hAnsi="宋体" w:eastAsia="宋体" w:cs="宋体"/>
          <w:sz w:val="22"/>
          <w:szCs w:val="22"/>
          <w:highlight w:val="none"/>
        </w:rPr>
        <w:t>.</w:t>
      </w:r>
      <w:r>
        <w:rPr>
          <w:rFonts w:hint="eastAsia" w:ascii="宋体" w:hAnsi="宋体" w:eastAsia="宋体" w:cs="宋体"/>
          <w:sz w:val="22"/>
          <w:szCs w:val="22"/>
          <w:highlight w:val="none"/>
          <w:lang w:val="zh-TW" w:eastAsia="zh-TW"/>
        </w:rPr>
        <w:t>ccgp</w:t>
      </w:r>
      <w:r>
        <w:rPr>
          <w:rFonts w:hint="eastAsia" w:ascii="宋体" w:hAnsi="宋体" w:eastAsia="宋体" w:cs="宋体"/>
          <w:sz w:val="22"/>
          <w:szCs w:val="22"/>
          <w:highlight w:val="none"/>
        </w:rPr>
        <w:t>.</w:t>
      </w:r>
      <w:r>
        <w:rPr>
          <w:rFonts w:hint="eastAsia" w:ascii="宋体" w:hAnsi="宋体" w:eastAsia="宋体" w:cs="宋体"/>
          <w:sz w:val="22"/>
          <w:szCs w:val="22"/>
          <w:highlight w:val="none"/>
          <w:lang w:val="zh-TW" w:eastAsia="zh-TW"/>
        </w:rPr>
        <w:t>gov</w:t>
      </w:r>
      <w:r>
        <w:rPr>
          <w:rFonts w:hint="eastAsia" w:ascii="宋体" w:hAnsi="宋体" w:eastAsia="宋体" w:cs="宋体"/>
          <w:sz w:val="22"/>
          <w:szCs w:val="22"/>
          <w:highlight w:val="none"/>
        </w:rPr>
        <w:t>.</w:t>
      </w:r>
      <w:r>
        <w:rPr>
          <w:rFonts w:hint="eastAsia" w:ascii="宋体" w:hAnsi="宋体" w:eastAsia="宋体" w:cs="宋体"/>
          <w:sz w:val="22"/>
          <w:szCs w:val="22"/>
          <w:highlight w:val="none"/>
          <w:lang w:val="zh-TW" w:eastAsia="zh-TW"/>
        </w:rPr>
        <w:t>cn)列入失信被执行人、</w:t>
      </w:r>
      <w:r>
        <w:rPr>
          <w:rFonts w:hint="eastAsia" w:ascii="宋体" w:hAnsi="宋体" w:eastAsia="宋体" w:cs="宋体"/>
          <w:sz w:val="22"/>
          <w:szCs w:val="22"/>
          <w:highlight w:val="none"/>
          <w:lang w:val="zh-TW"/>
        </w:rPr>
        <w:t>重大税收违法失信主体</w:t>
      </w:r>
      <w:r>
        <w:rPr>
          <w:rFonts w:hint="eastAsia" w:ascii="宋体" w:hAnsi="宋体" w:eastAsia="宋体" w:cs="宋体"/>
          <w:sz w:val="22"/>
          <w:szCs w:val="22"/>
          <w:highlight w:val="none"/>
          <w:lang w:val="zh-TW" w:eastAsia="zh-TW"/>
        </w:rPr>
        <w:t>、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p>
    <w:p w14:paraId="5FDA37C9">
      <w:pPr>
        <w:pStyle w:val="190"/>
        <w:pageBreakBefore w:val="0"/>
        <w:spacing w:line="360" w:lineRule="auto"/>
        <w:ind w:firstLine="420"/>
        <w:rPr>
          <w:rFonts w:hint="eastAsia" w:ascii="宋体" w:hAnsi="宋体" w:eastAsia="宋体" w:cs="宋体"/>
          <w:color w:val="000000"/>
          <w:sz w:val="22"/>
          <w:szCs w:val="22"/>
          <w:highlight w:val="none"/>
          <w:lang w:val="zh-TW" w:eastAsia="zh-CN" w:bidi="ar-SA"/>
        </w:rPr>
      </w:pPr>
      <w:r>
        <w:rPr>
          <w:rFonts w:hint="eastAsia" w:ascii="宋体" w:hAnsi="宋体" w:eastAsia="宋体" w:cs="宋体"/>
          <w:color w:val="000000"/>
          <w:sz w:val="22"/>
          <w:szCs w:val="22"/>
          <w:highlight w:val="none"/>
          <w:lang w:val="en-US" w:eastAsia="zh-CN" w:bidi="ar-SA"/>
        </w:rPr>
        <w:t>c、供应商</w:t>
      </w:r>
      <w:r>
        <w:rPr>
          <w:rFonts w:hint="eastAsia" w:ascii="宋体" w:hAnsi="宋体" w:eastAsia="宋体" w:cs="宋体"/>
          <w:color w:val="000000"/>
          <w:sz w:val="22"/>
          <w:szCs w:val="22"/>
          <w:highlight w:val="none"/>
          <w:lang w:val="zh-TW" w:eastAsia="zh-TW" w:bidi="ar-SA"/>
        </w:rPr>
        <w:t>在“苏采云”系统规定的时间内未成功解密电子投标文件的</w:t>
      </w:r>
      <w:r>
        <w:rPr>
          <w:rFonts w:hint="eastAsia" w:ascii="宋体" w:hAnsi="宋体" w:eastAsia="宋体" w:cs="宋体"/>
          <w:color w:val="000000"/>
          <w:sz w:val="22"/>
          <w:szCs w:val="22"/>
          <w:highlight w:val="none"/>
          <w:lang w:val="zh-TW" w:eastAsia="zh-CN" w:bidi="ar-SA"/>
        </w:rPr>
        <w:t>。</w:t>
      </w:r>
    </w:p>
    <w:p w14:paraId="35ADEF0B">
      <w:pPr>
        <w:pStyle w:val="190"/>
        <w:pageBreakBefore w:val="0"/>
        <w:spacing w:line="360" w:lineRule="auto"/>
        <w:ind w:firstLine="420"/>
        <w:rPr>
          <w:rFonts w:hint="eastAsia" w:eastAsia="宋体"/>
          <w:sz w:val="22"/>
          <w:szCs w:val="22"/>
          <w:highlight w:val="none"/>
          <w:lang w:eastAsia="zh-CN"/>
        </w:rPr>
      </w:pPr>
      <w:r>
        <w:rPr>
          <w:rFonts w:hint="eastAsia" w:ascii="宋体" w:hAnsi="宋体" w:eastAsia="宋体" w:cs="宋体"/>
          <w:color w:val="000000"/>
          <w:sz w:val="22"/>
          <w:szCs w:val="22"/>
          <w:highlight w:val="none"/>
          <w:lang w:val="en-US" w:eastAsia="zh-CN" w:bidi="ar-SA"/>
        </w:rPr>
        <w:t>d、供应商</w:t>
      </w:r>
      <w:r>
        <w:rPr>
          <w:rFonts w:hint="eastAsia" w:ascii="宋体" w:hAnsi="宋体" w:eastAsia="宋体" w:cs="宋体"/>
          <w:color w:val="000000"/>
          <w:sz w:val="22"/>
          <w:szCs w:val="22"/>
          <w:highlight w:val="none"/>
          <w:lang w:val="zh-TW" w:eastAsia="zh-TW" w:bidi="ar-SA"/>
        </w:rPr>
        <w:t>未按照招标文件要求上传电子投标文件的</w:t>
      </w:r>
      <w:r>
        <w:rPr>
          <w:rFonts w:hint="eastAsia" w:ascii="宋体" w:hAnsi="宋体" w:eastAsia="宋体" w:cs="宋体"/>
          <w:color w:val="000000"/>
          <w:sz w:val="22"/>
          <w:szCs w:val="22"/>
          <w:highlight w:val="none"/>
          <w:lang w:val="zh-TW" w:eastAsia="zh-CN" w:bidi="ar-SA"/>
        </w:rPr>
        <w:t>。</w:t>
      </w:r>
    </w:p>
    <w:p w14:paraId="0A0670F7">
      <w:pPr>
        <w:pStyle w:val="189"/>
        <w:pageBreakBefore w:val="0"/>
        <w:spacing w:line="360" w:lineRule="auto"/>
        <w:ind w:firstLine="420"/>
        <w:rPr>
          <w:rFonts w:ascii="宋体" w:hAnsi="宋体" w:eastAsia="宋体" w:cs="宋体"/>
          <w:sz w:val="22"/>
          <w:szCs w:val="22"/>
          <w:highlight w:val="none"/>
        </w:rPr>
      </w:pPr>
      <w:r>
        <w:rPr>
          <w:rFonts w:hint="eastAsia" w:ascii="宋体" w:hAnsi="宋体" w:eastAsia="宋体" w:cs="宋体"/>
          <w:sz w:val="22"/>
          <w:szCs w:val="22"/>
          <w:highlight w:val="none"/>
          <w:lang w:val="zh-TW" w:eastAsia="zh-TW"/>
        </w:rPr>
        <w:t>（</w:t>
      </w:r>
      <w:r>
        <w:rPr>
          <w:rFonts w:hint="eastAsia" w:ascii="宋体" w:hAnsi="宋体" w:eastAsia="宋体" w:cs="宋体"/>
          <w:sz w:val="22"/>
          <w:szCs w:val="22"/>
          <w:highlight w:val="none"/>
        </w:rPr>
        <w:t>2</w:t>
      </w:r>
      <w:r>
        <w:rPr>
          <w:rFonts w:hint="eastAsia" w:ascii="宋体" w:hAnsi="宋体" w:eastAsia="宋体" w:cs="宋体"/>
          <w:sz w:val="22"/>
          <w:szCs w:val="22"/>
          <w:highlight w:val="none"/>
          <w:lang w:val="zh-TW" w:eastAsia="zh-TW"/>
        </w:rPr>
        <w:t>）投标文件的符合性审查。</w:t>
      </w:r>
    </w:p>
    <w:p w14:paraId="60A94CF3">
      <w:pPr>
        <w:pStyle w:val="189"/>
        <w:pageBreakBefore w:val="0"/>
        <w:spacing w:line="360" w:lineRule="auto"/>
        <w:ind w:firstLine="420"/>
        <w:rPr>
          <w:rFonts w:ascii="宋体" w:hAnsi="宋体" w:eastAsia="宋体" w:cs="宋体"/>
          <w:sz w:val="22"/>
          <w:szCs w:val="22"/>
          <w:highlight w:val="none"/>
          <w:lang w:val="zh-TW" w:eastAsia="zh-TW"/>
        </w:rPr>
      </w:pPr>
      <w:r>
        <w:rPr>
          <w:rFonts w:hint="eastAsia" w:ascii="宋体" w:hAnsi="宋体" w:eastAsia="宋体" w:cs="宋体"/>
          <w:sz w:val="22"/>
          <w:szCs w:val="22"/>
          <w:highlight w:val="none"/>
          <w:lang w:val="zh-TW" w:eastAsia="zh-TW"/>
        </w:rPr>
        <w:t>①评标委员会将依据法律法规和招标文件的规定，对投标文件的有效性、完整性和对招标文件的响应程度进行审查，以确定是否对招标文件的实质性要求作出响应。</w:t>
      </w:r>
    </w:p>
    <w:p w14:paraId="0FDA11E4">
      <w:pPr>
        <w:pStyle w:val="189"/>
        <w:pageBreakBefore w:val="0"/>
        <w:spacing w:line="360" w:lineRule="auto"/>
        <w:ind w:firstLine="420"/>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②</w:t>
      </w:r>
      <w:r>
        <w:rPr>
          <w:rFonts w:hint="eastAsia" w:ascii="宋体" w:hAnsi="宋体" w:eastAsia="宋体" w:cs="宋体"/>
          <w:sz w:val="22"/>
          <w:szCs w:val="22"/>
          <w:highlight w:val="none"/>
          <w:lang w:val="zh-TW" w:eastAsia="zh-TW"/>
        </w:rPr>
        <w:t>如果投标文件实质上没有响应招标文件的要求，评标委员会将予以拒绝，供应商不得通过修改或撤销不合要求的偏离或保留而使其投标成为实质性响应的投标。</w:t>
      </w:r>
      <w:r>
        <w:rPr>
          <w:rFonts w:hint="eastAsia" w:ascii="宋体" w:hAnsi="宋体" w:eastAsia="宋体" w:cs="宋体"/>
          <w:sz w:val="22"/>
          <w:szCs w:val="22"/>
          <w:highlight w:val="none"/>
          <w:lang w:val="zh-TW" w:eastAsia="zh-CN"/>
        </w:rPr>
        <w:t>（实质性要求是指本招标文件中带“★”以及招标文件中用“必须”或“应（应当）”等其他文字说明的商务和技术要求。）</w:t>
      </w:r>
    </w:p>
    <w:p w14:paraId="3165E7D8">
      <w:pPr>
        <w:pStyle w:val="189"/>
        <w:pageBreakBefore w:val="0"/>
        <w:spacing w:line="360" w:lineRule="auto"/>
        <w:ind w:firstLine="420"/>
        <w:rPr>
          <w:rFonts w:ascii="宋体" w:hAnsi="宋体" w:eastAsia="宋体" w:cs="宋体"/>
          <w:sz w:val="22"/>
          <w:szCs w:val="22"/>
          <w:highlight w:val="none"/>
        </w:rPr>
      </w:pPr>
      <w:r>
        <w:rPr>
          <w:rFonts w:hint="eastAsia" w:ascii="宋体" w:hAnsi="宋体" w:eastAsia="宋体" w:cs="宋体"/>
          <w:sz w:val="22"/>
          <w:szCs w:val="22"/>
          <w:highlight w:val="none"/>
        </w:rPr>
        <w:t>③</w:t>
      </w:r>
      <w:r>
        <w:rPr>
          <w:rFonts w:hint="eastAsia" w:ascii="宋体" w:hAnsi="宋体" w:eastAsia="宋体" w:cs="宋体"/>
          <w:sz w:val="22"/>
          <w:szCs w:val="22"/>
          <w:highlight w:val="none"/>
          <w:lang w:val="zh-TW" w:eastAsia="zh-TW"/>
        </w:rPr>
        <w:t>投标文件有下列情况之一的，在符合性审查时按照无效投标处理：</w:t>
      </w:r>
    </w:p>
    <w:p w14:paraId="14212088">
      <w:pPr>
        <w:pStyle w:val="189"/>
        <w:pageBreakBefore w:val="0"/>
        <w:widowControl/>
        <w:spacing w:line="360" w:lineRule="auto"/>
        <w:ind w:firstLine="420"/>
        <w:jc w:val="left"/>
        <w:rPr>
          <w:rFonts w:ascii="宋体" w:hAnsi="宋体" w:eastAsia="宋体" w:cs="宋体"/>
          <w:sz w:val="22"/>
          <w:szCs w:val="22"/>
          <w:highlight w:val="none"/>
        </w:rPr>
      </w:pPr>
      <w:r>
        <w:rPr>
          <w:rFonts w:hint="eastAsia" w:ascii="宋体" w:hAnsi="宋体" w:eastAsia="宋体" w:cs="宋体"/>
          <w:sz w:val="22"/>
          <w:szCs w:val="22"/>
          <w:highlight w:val="none"/>
        </w:rPr>
        <w:t>a</w:t>
      </w:r>
      <w:r>
        <w:rPr>
          <w:rFonts w:hint="eastAsia" w:ascii="宋体" w:hAnsi="宋体" w:eastAsia="宋体" w:cs="宋体"/>
          <w:sz w:val="22"/>
          <w:szCs w:val="22"/>
          <w:highlight w:val="none"/>
          <w:lang w:val="zh-TW" w:eastAsia="zh-TW"/>
        </w:rPr>
        <w:t>、</w:t>
      </w:r>
      <w:r>
        <w:rPr>
          <w:rFonts w:ascii="宋体" w:hAnsi="宋体" w:eastAsia="宋体" w:cs="宋体"/>
          <w:color w:val="000000"/>
          <w:sz w:val="22"/>
          <w:szCs w:val="22"/>
          <w:highlight w:val="none"/>
        </w:rPr>
        <w:t>未按照招标文件要求加盖电子公章的</w:t>
      </w:r>
      <w:r>
        <w:rPr>
          <w:rFonts w:hint="eastAsia" w:ascii="宋体" w:hAnsi="宋体" w:eastAsia="宋体" w:cs="宋体"/>
          <w:sz w:val="22"/>
          <w:szCs w:val="22"/>
          <w:highlight w:val="none"/>
          <w:lang w:val="zh-TW" w:eastAsia="zh-TW"/>
        </w:rPr>
        <w:t>；</w:t>
      </w:r>
    </w:p>
    <w:p w14:paraId="53F166C4">
      <w:pPr>
        <w:pStyle w:val="189"/>
        <w:pageBreakBefore w:val="0"/>
        <w:widowControl/>
        <w:spacing w:line="360" w:lineRule="auto"/>
        <w:ind w:firstLine="420"/>
        <w:jc w:val="left"/>
        <w:rPr>
          <w:rFonts w:ascii="宋体" w:hAnsi="宋体" w:eastAsia="宋体" w:cs="宋体"/>
          <w:sz w:val="22"/>
          <w:szCs w:val="22"/>
          <w:highlight w:val="none"/>
        </w:rPr>
      </w:pPr>
      <w:r>
        <w:rPr>
          <w:rFonts w:hint="eastAsia" w:ascii="宋体" w:hAnsi="宋体" w:eastAsia="宋体" w:cs="宋体"/>
          <w:sz w:val="22"/>
          <w:szCs w:val="22"/>
          <w:highlight w:val="none"/>
        </w:rPr>
        <w:t>b</w:t>
      </w:r>
      <w:r>
        <w:rPr>
          <w:rFonts w:hint="eastAsia" w:ascii="宋体" w:hAnsi="宋体" w:eastAsia="宋体" w:cs="宋体"/>
          <w:sz w:val="22"/>
          <w:szCs w:val="22"/>
          <w:highlight w:val="none"/>
          <w:lang w:val="zh-TW" w:eastAsia="zh-TW"/>
        </w:rPr>
        <w:t>、投标总</w:t>
      </w:r>
      <w:r>
        <w:rPr>
          <w:rFonts w:hint="eastAsia" w:eastAsia="宋体"/>
          <w:sz w:val="22"/>
          <w:szCs w:val="22"/>
          <w:highlight w:val="none"/>
          <w:lang w:val="zh-TW" w:eastAsia="zh-TW"/>
        </w:rPr>
        <w:t>价超出采购预算金额或者最高限价的</w:t>
      </w:r>
      <w:r>
        <w:rPr>
          <w:rFonts w:hint="eastAsia" w:eastAsia="宋体"/>
          <w:sz w:val="22"/>
          <w:szCs w:val="22"/>
          <w:highlight w:val="none"/>
          <w:lang w:val="zh-TW" w:eastAsia="zh-CN"/>
        </w:rPr>
        <w:t>，同一</w:t>
      </w:r>
      <w:r>
        <w:rPr>
          <w:rFonts w:hint="eastAsia" w:eastAsia="宋体"/>
          <w:sz w:val="22"/>
          <w:szCs w:val="22"/>
          <w:highlight w:val="none"/>
          <w:lang w:val="en-US" w:eastAsia="zh-CN"/>
        </w:rPr>
        <w:t>供应商</w:t>
      </w:r>
      <w:r>
        <w:rPr>
          <w:rFonts w:hint="eastAsia" w:eastAsia="宋体"/>
          <w:sz w:val="22"/>
          <w:szCs w:val="22"/>
          <w:highlight w:val="none"/>
          <w:lang w:val="zh-TW" w:eastAsia="zh-CN"/>
        </w:rPr>
        <w:t>提交两个（含两个）以上不同的投标报价的（招标文件规定允许递交备选方案的除外）</w:t>
      </w:r>
      <w:r>
        <w:rPr>
          <w:rFonts w:hint="eastAsia" w:eastAsia="宋体"/>
          <w:sz w:val="22"/>
          <w:szCs w:val="22"/>
          <w:highlight w:val="none"/>
          <w:lang w:val="zh-TW" w:eastAsia="zh-TW"/>
        </w:rPr>
        <w:t>；</w:t>
      </w:r>
    </w:p>
    <w:p w14:paraId="1AC687E5">
      <w:pPr>
        <w:pStyle w:val="189"/>
        <w:pageBreakBefore w:val="0"/>
        <w:spacing w:line="360" w:lineRule="auto"/>
        <w:ind w:firstLine="420"/>
        <w:rPr>
          <w:rFonts w:ascii="宋体" w:hAnsi="宋体" w:eastAsia="宋体" w:cs="宋体"/>
          <w:sz w:val="22"/>
          <w:szCs w:val="22"/>
          <w:highlight w:val="none"/>
        </w:rPr>
      </w:pPr>
      <w:r>
        <w:rPr>
          <w:rFonts w:ascii="宋体" w:hAnsi="宋体"/>
          <w:sz w:val="22"/>
          <w:szCs w:val="22"/>
          <w:highlight w:val="none"/>
        </w:rPr>
        <w:t>c</w:t>
      </w:r>
      <w:r>
        <w:rPr>
          <w:rFonts w:hint="eastAsia" w:eastAsia="宋体"/>
          <w:sz w:val="22"/>
          <w:szCs w:val="22"/>
          <w:highlight w:val="none"/>
          <w:lang w:val="zh-TW" w:eastAsia="zh-TW"/>
        </w:rPr>
        <w:t>、不同供应商的投标文件由同一单位或者个人编制；</w:t>
      </w:r>
    </w:p>
    <w:p w14:paraId="032F7550">
      <w:pPr>
        <w:pStyle w:val="189"/>
        <w:pageBreakBefore w:val="0"/>
        <w:spacing w:line="360" w:lineRule="auto"/>
        <w:ind w:firstLine="420"/>
        <w:rPr>
          <w:rFonts w:ascii="宋体" w:hAnsi="宋体" w:eastAsia="宋体" w:cs="宋体"/>
          <w:sz w:val="22"/>
          <w:szCs w:val="22"/>
          <w:highlight w:val="none"/>
        </w:rPr>
      </w:pPr>
      <w:r>
        <w:rPr>
          <w:rFonts w:ascii="宋体" w:hAnsi="宋体"/>
          <w:sz w:val="22"/>
          <w:szCs w:val="22"/>
          <w:highlight w:val="none"/>
        </w:rPr>
        <w:t>d</w:t>
      </w:r>
      <w:r>
        <w:rPr>
          <w:rFonts w:hint="eastAsia" w:eastAsia="宋体"/>
          <w:sz w:val="22"/>
          <w:szCs w:val="22"/>
          <w:highlight w:val="none"/>
          <w:lang w:val="zh-TW" w:eastAsia="zh-TW"/>
        </w:rPr>
        <w:t>、不同供应商委托同一单位或者个人办理投标事宜；</w:t>
      </w:r>
    </w:p>
    <w:p w14:paraId="6B0F57FA">
      <w:pPr>
        <w:pStyle w:val="189"/>
        <w:pageBreakBefore w:val="0"/>
        <w:spacing w:line="360" w:lineRule="auto"/>
        <w:ind w:firstLine="420"/>
        <w:rPr>
          <w:rFonts w:ascii="宋体" w:hAnsi="宋体" w:eastAsia="宋体" w:cs="宋体"/>
          <w:sz w:val="22"/>
          <w:szCs w:val="22"/>
          <w:highlight w:val="none"/>
        </w:rPr>
      </w:pPr>
      <w:r>
        <w:rPr>
          <w:rFonts w:ascii="宋体" w:hAnsi="宋体"/>
          <w:sz w:val="22"/>
          <w:szCs w:val="22"/>
          <w:highlight w:val="none"/>
        </w:rPr>
        <w:t>e</w:t>
      </w:r>
      <w:r>
        <w:rPr>
          <w:rFonts w:hint="eastAsia" w:eastAsia="宋体"/>
          <w:sz w:val="22"/>
          <w:szCs w:val="22"/>
          <w:highlight w:val="none"/>
          <w:lang w:val="zh-TW" w:eastAsia="zh-TW"/>
        </w:rPr>
        <w:t>、不同供应商的投标文件载明的项目管理成员或者联系人员为同一人；</w:t>
      </w:r>
    </w:p>
    <w:p w14:paraId="04E0BCCD">
      <w:pPr>
        <w:pStyle w:val="189"/>
        <w:pageBreakBefore w:val="0"/>
        <w:spacing w:line="360" w:lineRule="auto"/>
        <w:ind w:firstLine="420"/>
        <w:rPr>
          <w:rFonts w:ascii="宋体" w:hAnsi="宋体" w:eastAsia="宋体" w:cs="宋体"/>
          <w:sz w:val="22"/>
          <w:szCs w:val="22"/>
          <w:highlight w:val="none"/>
        </w:rPr>
      </w:pPr>
      <w:r>
        <w:rPr>
          <w:rFonts w:ascii="宋体" w:hAnsi="宋体"/>
          <w:sz w:val="22"/>
          <w:szCs w:val="22"/>
          <w:highlight w:val="none"/>
        </w:rPr>
        <w:t>f</w:t>
      </w:r>
      <w:r>
        <w:rPr>
          <w:rFonts w:hint="eastAsia" w:eastAsia="宋体"/>
          <w:sz w:val="22"/>
          <w:szCs w:val="22"/>
          <w:highlight w:val="none"/>
          <w:lang w:val="zh-TW" w:eastAsia="zh-TW"/>
        </w:rPr>
        <w:t>、不同供应商的投标文件异常一致或者投标报价呈规律性差异；</w:t>
      </w:r>
    </w:p>
    <w:p w14:paraId="6C0FD551">
      <w:pPr>
        <w:pStyle w:val="189"/>
        <w:pageBreakBefore w:val="0"/>
        <w:spacing w:line="360" w:lineRule="auto"/>
        <w:ind w:firstLine="420"/>
        <w:rPr>
          <w:rFonts w:ascii="宋体" w:hAnsi="宋体" w:eastAsia="宋体" w:cs="宋体"/>
          <w:sz w:val="22"/>
          <w:szCs w:val="22"/>
          <w:highlight w:val="none"/>
        </w:rPr>
      </w:pPr>
      <w:r>
        <w:rPr>
          <w:rFonts w:ascii="宋体" w:hAnsi="宋体"/>
          <w:sz w:val="22"/>
          <w:szCs w:val="22"/>
          <w:highlight w:val="none"/>
        </w:rPr>
        <w:t>g</w:t>
      </w:r>
      <w:r>
        <w:rPr>
          <w:rFonts w:hint="eastAsia" w:eastAsia="宋体"/>
          <w:sz w:val="22"/>
          <w:szCs w:val="22"/>
          <w:highlight w:val="none"/>
          <w:lang w:val="zh-TW" w:eastAsia="zh-TW"/>
        </w:rPr>
        <w:t>、不同供应商的投标文件相互混装；</w:t>
      </w:r>
    </w:p>
    <w:p w14:paraId="7FCEE656">
      <w:pPr>
        <w:pStyle w:val="189"/>
        <w:pageBreakBefore w:val="0"/>
        <w:spacing w:line="360" w:lineRule="auto"/>
        <w:ind w:firstLine="420"/>
        <w:rPr>
          <w:rFonts w:ascii="宋体" w:hAnsi="宋体" w:eastAsia="宋体" w:cs="宋体"/>
          <w:sz w:val="22"/>
          <w:szCs w:val="22"/>
          <w:highlight w:val="none"/>
        </w:rPr>
      </w:pPr>
      <w:r>
        <w:rPr>
          <w:rFonts w:ascii="宋体" w:hAnsi="宋体"/>
          <w:sz w:val="22"/>
          <w:szCs w:val="22"/>
          <w:highlight w:val="none"/>
        </w:rPr>
        <w:t>h</w:t>
      </w:r>
      <w:r>
        <w:rPr>
          <w:rFonts w:hint="eastAsia" w:eastAsia="宋体"/>
          <w:sz w:val="22"/>
          <w:szCs w:val="22"/>
          <w:highlight w:val="none"/>
          <w:lang w:val="zh-TW" w:eastAsia="zh-TW"/>
        </w:rPr>
        <w:t>、评标委员会认为供应商的报价低于完成本服务项目发生的所有含税费用、支付给员工的工资（不得低于供应商所在地最低工资标准）和国家强制缴纳的各种社会保障资金、公积金，以及供应商认为需要的其他费用等。或供应商的报价明显低于其他通过符合性审查供应商的报价，有可能影响服务质量或者不能诚信履约的，未在评标现场合理的时间内提供书面说明或相关证明材料，不能证明其报价合理的；</w:t>
      </w:r>
    </w:p>
    <w:p w14:paraId="72E4E3FD">
      <w:pPr>
        <w:pStyle w:val="189"/>
        <w:pageBreakBefore w:val="0"/>
        <w:spacing w:line="360" w:lineRule="auto"/>
        <w:ind w:firstLine="420"/>
        <w:rPr>
          <w:rFonts w:ascii="宋体" w:hAnsi="宋体" w:eastAsia="宋体" w:cs="宋体"/>
          <w:sz w:val="22"/>
          <w:szCs w:val="22"/>
          <w:highlight w:val="none"/>
        </w:rPr>
      </w:pPr>
      <w:r>
        <w:rPr>
          <w:rFonts w:ascii="宋体" w:hAnsi="宋体"/>
          <w:sz w:val="22"/>
          <w:szCs w:val="22"/>
          <w:highlight w:val="none"/>
        </w:rPr>
        <w:t>i</w:t>
      </w:r>
      <w:r>
        <w:rPr>
          <w:rFonts w:hint="eastAsia" w:eastAsia="宋体"/>
          <w:sz w:val="22"/>
          <w:szCs w:val="22"/>
          <w:highlight w:val="none"/>
          <w:lang w:val="zh-TW" w:eastAsia="zh-TW"/>
        </w:rPr>
        <w:t>、不同供应商的法定代表人或委托代理人有夫妻、直系血亲关系的；</w:t>
      </w:r>
    </w:p>
    <w:p w14:paraId="41FF5B18">
      <w:pPr>
        <w:pStyle w:val="189"/>
        <w:pageBreakBefore w:val="0"/>
        <w:spacing w:line="360" w:lineRule="auto"/>
        <w:ind w:firstLine="420"/>
        <w:rPr>
          <w:rFonts w:ascii="宋体" w:hAnsi="宋体" w:eastAsia="宋体" w:cs="宋体"/>
          <w:sz w:val="22"/>
          <w:szCs w:val="22"/>
          <w:highlight w:val="none"/>
        </w:rPr>
      </w:pPr>
      <w:r>
        <w:rPr>
          <w:rFonts w:ascii="宋体" w:hAnsi="宋体"/>
          <w:sz w:val="22"/>
          <w:szCs w:val="22"/>
          <w:highlight w:val="none"/>
        </w:rPr>
        <w:t>j</w:t>
      </w:r>
      <w:r>
        <w:rPr>
          <w:rFonts w:hint="eastAsia" w:eastAsia="宋体"/>
          <w:sz w:val="22"/>
          <w:szCs w:val="22"/>
          <w:highlight w:val="none"/>
          <w:lang w:val="zh-TW" w:eastAsia="zh-TW"/>
        </w:rPr>
        <w:t>、不同供应商的负责人为同一人或者存在控股、管理关系的；</w:t>
      </w:r>
    </w:p>
    <w:p w14:paraId="0990B177">
      <w:pPr>
        <w:pStyle w:val="189"/>
        <w:pageBreakBefore w:val="0"/>
        <w:spacing w:line="360" w:lineRule="auto"/>
        <w:ind w:firstLine="420"/>
        <w:rPr>
          <w:rFonts w:ascii="宋体" w:hAnsi="宋体" w:eastAsia="宋体" w:cs="宋体"/>
          <w:sz w:val="22"/>
          <w:szCs w:val="22"/>
          <w:highlight w:val="none"/>
        </w:rPr>
      </w:pPr>
      <w:r>
        <w:rPr>
          <w:rFonts w:ascii="宋体" w:hAnsi="宋体"/>
          <w:sz w:val="22"/>
          <w:szCs w:val="22"/>
          <w:highlight w:val="none"/>
        </w:rPr>
        <w:t>k</w:t>
      </w:r>
      <w:r>
        <w:rPr>
          <w:rFonts w:hint="eastAsia" w:eastAsia="宋体"/>
          <w:sz w:val="22"/>
          <w:szCs w:val="22"/>
          <w:highlight w:val="none"/>
          <w:lang w:val="zh-TW" w:eastAsia="zh-TW"/>
        </w:rPr>
        <w:t>、</w:t>
      </w:r>
      <w:r>
        <w:rPr>
          <w:rFonts w:ascii="宋体" w:hAnsi="宋体" w:eastAsia="宋体" w:cs="宋体"/>
          <w:color w:val="000000"/>
          <w:sz w:val="22"/>
          <w:szCs w:val="22"/>
          <w:highlight w:val="none"/>
        </w:rPr>
        <w:t>不满足招标文件加</w:t>
      </w:r>
      <w:r>
        <w:rPr>
          <w:rFonts w:ascii="宋体" w:hAnsi="宋体" w:eastAsia="宋体" w:cs="宋体"/>
          <w:b/>
          <w:color w:val="000000"/>
          <w:sz w:val="22"/>
          <w:szCs w:val="22"/>
          <w:highlight w:val="none"/>
        </w:rPr>
        <w:t>★</w:t>
      </w:r>
      <w:r>
        <w:rPr>
          <w:rFonts w:ascii="宋体" w:hAnsi="宋体" w:eastAsia="宋体" w:cs="宋体"/>
          <w:color w:val="000000"/>
          <w:sz w:val="22"/>
          <w:szCs w:val="22"/>
          <w:highlight w:val="none"/>
        </w:rPr>
        <w:t>条款的</w:t>
      </w:r>
      <w:r>
        <w:rPr>
          <w:rFonts w:hint="eastAsia" w:eastAsia="宋体"/>
          <w:sz w:val="22"/>
          <w:szCs w:val="22"/>
          <w:highlight w:val="none"/>
          <w:lang w:val="zh-TW" w:eastAsia="zh-TW"/>
        </w:rPr>
        <w:t>；</w:t>
      </w:r>
    </w:p>
    <w:p w14:paraId="62D79308">
      <w:pPr>
        <w:pStyle w:val="189"/>
        <w:pageBreakBefore w:val="0"/>
        <w:widowControl/>
        <w:spacing w:line="360" w:lineRule="auto"/>
        <w:ind w:firstLine="420"/>
        <w:jc w:val="left"/>
        <w:rPr>
          <w:rFonts w:ascii="宋体" w:hAnsi="宋体" w:eastAsia="宋体" w:cs="宋体"/>
          <w:sz w:val="22"/>
          <w:szCs w:val="22"/>
          <w:highlight w:val="none"/>
        </w:rPr>
      </w:pPr>
      <w:r>
        <w:rPr>
          <w:rFonts w:ascii="宋体" w:hAnsi="宋体"/>
          <w:sz w:val="22"/>
          <w:szCs w:val="22"/>
          <w:highlight w:val="none"/>
        </w:rPr>
        <w:t>l</w:t>
      </w:r>
      <w:r>
        <w:rPr>
          <w:rFonts w:hint="eastAsia" w:eastAsia="宋体"/>
          <w:sz w:val="22"/>
          <w:szCs w:val="22"/>
          <w:highlight w:val="none"/>
          <w:lang w:val="zh-TW" w:eastAsia="zh-TW"/>
        </w:rPr>
        <w:t>、不同供应商的委托代理人</w:t>
      </w:r>
      <w:r>
        <w:rPr>
          <w:rFonts w:ascii="宋体" w:hAnsi="宋体"/>
          <w:sz w:val="22"/>
          <w:szCs w:val="22"/>
          <w:highlight w:val="none"/>
        </w:rPr>
        <w:t>(</w:t>
      </w:r>
      <w:r>
        <w:rPr>
          <w:rFonts w:hint="eastAsia" w:eastAsia="宋体"/>
          <w:sz w:val="22"/>
          <w:szCs w:val="22"/>
          <w:highlight w:val="none"/>
          <w:lang w:val="zh-TW" w:eastAsia="zh-TW"/>
        </w:rPr>
        <w:t>或法定代表人、项目经理、项目总监、项目负责人等</w:t>
      </w:r>
      <w:r>
        <w:rPr>
          <w:rFonts w:ascii="宋体" w:hAnsi="宋体"/>
          <w:sz w:val="22"/>
          <w:szCs w:val="22"/>
          <w:highlight w:val="none"/>
        </w:rPr>
        <w:t>)</w:t>
      </w:r>
      <w:r>
        <w:rPr>
          <w:rFonts w:hint="eastAsia" w:eastAsia="宋体"/>
          <w:sz w:val="22"/>
          <w:szCs w:val="22"/>
          <w:highlight w:val="none"/>
          <w:lang w:val="zh-TW" w:eastAsia="zh-TW"/>
        </w:rPr>
        <w:t>在采购文件发布日上月至投标截止日当月在同一单位缴纳社会保险的；</w:t>
      </w:r>
    </w:p>
    <w:p w14:paraId="4C3DBE2E">
      <w:pPr>
        <w:pStyle w:val="189"/>
        <w:pageBreakBefore w:val="0"/>
        <w:spacing w:line="360" w:lineRule="auto"/>
        <w:ind w:firstLine="420"/>
        <w:rPr>
          <w:rFonts w:ascii="宋体" w:hAnsi="宋体" w:eastAsia="宋体" w:cs="宋体"/>
          <w:sz w:val="22"/>
          <w:szCs w:val="22"/>
          <w:highlight w:val="none"/>
        </w:rPr>
      </w:pPr>
      <w:r>
        <w:rPr>
          <w:rFonts w:ascii="宋体" w:hAnsi="宋体"/>
          <w:sz w:val="22"/>
          <w:szCs w:val="22"/>
          <w:highlight w:val="none"/>
        </w:rPr>
        <w:t>m</w:t>
      </w:r>
      <w:r>
        <w:rPr>
          <w:rFonts w:hint="eastAsia" w:eastAsia="宋体"/>
          <w:sz w:val="22"/>
          <w:szCs w:val="22"/>
          <w:highlight w:val="none"/>
          <w:lang w:val="zh-TW" w:eastAsia="zh-TW"/>
        </w:rPr>
        <w:t>、服务承诺和付款条件未响应招标要求的；</w:t>
      </w:r>
    </w:p>
    <w:p w14:paraId="319E5D87">
      <w:pPr>
        <w:pStyle w:val="189"/>
        <w:pageBreakBefore w:val="0"/>
        <w:spacing w:line="360" w:lineRule="auto"/>
        <w:ind w:firstLine="420"/>
        <w:rPr>
          <w:rFonts w:eastAsia="宋体"/>
          <w:sz w:val="22"/>
          <w:szCs w:val="22"/>
          <w:highlight w:val="none"/>
          <w:lang w:val="zh-TW" w:eastAsia="zh-TW"/>
        </w:rPr>
      </w:pPr>
      <w:r>
        <w:rPr>
          <w:rFonts w:ascii="宋体" w:hAnsi="宋体"/>
          <w:sz w:val="22"/>
          <w:szCs w:val="22"/>
          <w:highlight w:val="none"/>
        </w:rPr>
        <w:t>n</w:t>
      </w:r>
      <w:r>
        <w:rPr>
          <w:rFonts w:hint="eastAsia" w:eastAsia="宋体"/>
          <w:sz w:val="22"/>
          <w:szCs w:val="22"/>
          <w:highlight w:val="none"/>
          <w:lang w:val="zh-TW" w:eastAsia="zh-TW"/>
        </w:rPr>
        <w:t>、投标文件含有采购人不能接受的附加条件的；</w:t>
      </w:r>
    </w:p>
    <w:p w14:paraId="23DBA9E0">
      <w:pPr>
        <w:pStyle w:val="189"/>
        <w:pageBreakBefore w:val="0"/>
        <w:spacing w:line="360" w:lineRule="auto"/>
        <w:ind w:firstLine="420"/>
        <w:rPr>
          <w:rFonts w:eastAsia="宋体"/>
          <w:sz w:val="22"/>
          <w:szCs w:val="22"/>
          <w:highlight w:val="none"/>
          <w:lang w:val="zh-TW" w:eastAsia="zh-TW"/>
        </w:rPr>
      </w:pPr>
      <w:r>
        <w:rPr>
          <w:rFonts w:ascii="宋体" w:hAnsi="宋体"/>
          <w:sz w:val="22"/>
          <w:szCs w:val="22"/>
          <w:highlight w:val="none"/>
        </w:rPr>
        <w:t>o</w:t>
      </w:r>
      <w:r>
        <w:rPr>
          <w:rFonts w:hint="eastAsia" w:eastAsia="宋体"/>
          <w:sz w:val="22"/>
          <w:szCs w:val="22"/>
          <w:highlight w:val="none"/>
          <w:lang w:val="zh-TW" w:eastAsia="zh-TW"/>
        </w:rPr>
        <w:t>、</w:t>
      </w:r>
      <w:r>
        <w:rPr>
          <w:rFonts w:hint="eastAsia" w:eastAsia="宋体"/>
          <w:b/>
          <w:bCs/>
          <w:sz w:val="22"/>
          <w:szCs w:val="22"/>
          <w:highlight w:val="none"/>
          <w:lang w:val="zh-TW" w:eastAsia="zh-TW"/>
        </w:rPr>
        <w:t>招标文件《第五章：合同条款及格式》条款不允许任何一项负偏离，否则投标无效。</w:t>
      </w:r>
    </w:p>
    <w:p w14:paraId="3E44A42B">
      <w:pPr>
        <w:pStyle w:val="189"/>
        <w:pageBreakBefore w:val="0"/>
        <w:spacing w:line="360" w:lineRule="auto"/>
        <w:ind w:firstLine="420"/>
        <w:rPr>
          <w:rFonts w:hint="eastAsia" w:eastAsia="宋体"/>
          <w:sz w:val="22"/>
          <w:szCs w:val="22"/>
          <w:highlight w:val="none"/>
          <w:lang w:val="zh-TW" w:eastAsia="zh-CN"/>
        </w:rPr>
      </w:pPr>
      <w:r>
        <w:rPr>
          <w:rFonts w:hint="eastAsia" w:ascii="宋体" w:hAnsi="宋体" w:eastAsia="宋体"/>
          <w:sz w:val="22"/>
          <w:szCs w:val="22"/>
          <w:highlight w:val="none"/>
        </w:rPr>
        <w:t>p</w:t>
      </w:r>
      <w:r>
        <w:rPr>
          <w:rFonts w:hint="eastAsia" w:eastAsia="宋体"/>
          <w:sz w:val="22"/>
          <w:szCs w:val="22"/>
          <w:highlight w:val="none"/>
          <w:lang w:val="zh-TW" w:eastAsia="zh-TW"/>
        </w:rPr>
        <w:t>、投标人在“苏采云”系统规定的时间内未成功解密电子投标文件的</w:t>
      </w:r>
      <w:r>
        <w:rPr>
          <w:rFonts w:hint="eastAsia" w:eastAsia="宋体"/>
          <w:sz w:val="22"/>
          <w:szCs w:val="22"/>
          <w:highlight w:val="none"/>
          <w:lang w:val="zh-TW" w:eastAsia="zh-CN"/>
        </w:rPr>
        <w:t>；</w:t>
      </w:r>
    </w:p>
    <w:p w14:paraId="4B08E53E">
      <w:pPr>
        <w:pStyle w:val="189"/>
        <w:pageBreakBefore w:val="0"/>
        <w:spacing w:line="360" w:lineRule="auto"/>
        <w:ind w:firstLine="420"/>
        <w:rPr>
          <w:rFonts w:ascii="宋体" w:hAnsi="宋体" w:eastAsia="宋体" w:cs="宋体"/>
          <w:sz w:val="22"/>
          <w:szCs w:val="22"/>
          <w:highlight w:val="none"/>
        </w:rPr>
      </w:pPr>
      <w:r>
        <w:rPr>
          <w:rFonts w:hint="eastAsia" w:ascii="宋体" w:hAnsi="宋体" w:eastAsia="宋体"/>
          <w:sz w:val="22"/>
          <w:szCs w:val="22"/>
          <w:highlight w:val="none"/>
          <w:lang w:val="en-US" w:eastAsia="zh-CN"/>
        </w:rPr>
        <w:t>q、</w:t>
      </w:r>
      <w:r>
        <w:rPr>
          <w:rFonts w:hint="eastAsia" w:ascii="宋体" w:hAnsi="宋体" w:eastAsia="宋体"/>
          <w:sz w:val="22"/>
          <w:szCs w:val="22"/>
          <w:highlight w:val="none"/>
          <w:lang w:val="zh-TW" w:eastAsia="zh-TW"/>
        </w:rPr>
        <w:t>不</w:t>
      </w:r>
      <w:r>
        <w:rPr>
          <w:rFonts w:hint="eastAsia" w:eastAsia="宋体"/>
          <w:sz w:val="22"/>
          <w:szCs w:val="22"/>
          <w:highlight w:val="none"/>
          <w:lang w:val="zh-TW" w:eastAsia="zh-TW"/>
        </w:rPr>
        <w:t>符合法律、法规和招标文件规定的其他无效情形。</w:t>
      </w:r>
    </w:p>
    <w:p w14:paraId="4F56F133">
      <w:pPr>
        <w:pStyle w:val="189"/>
        <w:pageBreakBefore w:val="0"/>
        <w:spacing w:line="360" w:lineRule="auto"/>
        <w:ind w:firstLine="420"/>
        <w:rPr>
          <w:rFonts w:ascii="宋体" w:hAnsi="宋体" w:eastAsia="宋体" w:cs="宋体"/>
          <w:sz w:val="22"/>
          <w:szCs w:val="22"/>
          <w:highlight w:val="none"/>
        </w:rPr>
      </w:pPr>
      <w:r>
        <w:rPr>
          <w:rFonts w:ascii="宋体" w:hAnsi="宋体"/>
          <w:sz w:val="22"/>
          <w:szCs w:val="22"/>
          <w:highlight w:val="none"/>
        </w:rPr>
        <w:t>④</w:t>
      </w:r>
      <w:r>
        <w:rPr>
          <w:rFonts w:hint="eastAsia" w:eastAsia="宋体"/>
          <w:sz w:val="22"/>
          <w:szCs w:val="22"/>
          <w:highlight w:val="none"/>
          <w:lang w:val="zh-TW" w:eastAsia="zh-TW"/>
        </w:rPr>
        <w:t>在评标期间，出现符合专业条件的供应商或者对招标文件作出实质性响应的供应商不足三家情形的，比照</w:t>
      </w:r>
      <w:r>
        <w:rPr>
          <w:rFonts w:hint="eastAsia" w:ascii="宋体" w:hAnsi="宋体" w:eastAsia="宋体"/>
          <w:sz w:val="22"/>
          <w:szCs w:val="22"/>
          <w:highlight w:val="none"/>
          <w:lang w:val="en-US" w:eastAsia="zh-CN"/>
        </w:rPr>
        <w:t>招标文件</w:t>
      </w:r>
      <w:r>
        <w:rPr>
          <w:rFonts w:hint="eastAsia" w:eastAsia="宋体"/>
          <w:sz w:val="22"/>
          <w:szCs w:val="22"/>
          <w:highlight w:val="none"/>
          <w:lang w:val="zh-TW" w:eastAsia="zh-TW"/>
        </w:rPr>
        <w:t>执行。</w:t>
      </w:r>
    </w:p>
    <w:p w14:paraId="1F50F718">
      <w:pPr>
        <w:pStyle w:val="189"/>
        <w:pageBreakBefore w:val="0"/>
        <w:spacing w:line="360" w:lineRule="auto"/>
        <w:ind w:firstLine="420"/>
        <w:rPr>
          <w:rFonts w:ascii="宋体" w:hAnsi="宋体" w:eastAsia="宋体" w:cs="宋体"/>
          <w:sz w:val="22"/>
          <w:szCs w:val="22"/>
          <w:highlight w:val="none"/>
          <w:lang w:val="zh-TW" w:eastAsia="zh-TW"/>
        </w:rPr>
      </w:pPr>
      <w:r>
        <w:rPr>
          <w:rFonts w:ascii="宋体" w:hAnsi="宋体"/>
          <w:sz w:val="22"/>
          <w:szCs w:val="22"/>
          <w:highlight w:val="none"/>
          <w:lang w:val="zh-TW" w:eastAsia="zh-TW"/>
        </w:rPr>
        <w:t>⑤</w:t>
      </w:r>
      <w:r>
        <w:rPr>
          <w:rFonts w:hint="eastAsia" w:eastAsia="宋体"/>
          <w:sz w:val="22"/>
          <w:szCs w:val="22"/>
          <w:highlight w:val="none"/>
          <w:lang w:val="zh-TW" w:eastAsia="zh-TW"/>
        </w:rPr>
        <w:t>有下列情形之一的予以</w:t>
      </w:r>
      <w:r>
        <w:rPr>
          <w:rFonts w:hint="eastAsia" w:eastAsia="SimSong Bold"/>
          <w:sz w:val="22"/>
          <w:szCs w:val="22"/>
          <w:highlight w:val="none"/>
          <w:lang w:val="zh-TW" w:eastAsia="zh-TW"/>
        </w:rPr>
        <w:t>废标</w:t>
      </w:r>
      <w:r>
        <w:rPr>
          <w:rFonts w:hint="eastAsia" w:eastAsia="宋体"/>
          <w:sz w:val="22"/>
          <w:szCs w:val="22"/>
          <w:highlight w:val="none"/>
          <w:lang w:val="zh-TW" w:eastAsia="zh-TW"/>
        </w:rPr>
        <w:t>，同时将废标理由通知所有供应商：</w:t>
      </w:r>
    </w:p>
    <w:p w14:paraId="1FF39CC7">
      <w:pPr>
        <w:pStyle w:val="189"/>
        <w:pageBreakBefore w:val="0"/>
        <w:spacing w:line="360" w:lineRule="auto"/>
        <w:ind w:firstLine="420"/>
        <w:rPr>
          <w:rFonts w:ascii="宋体" w:hAnsi="宋体" w:eastAsia="宋体" w:cs="宋体"/>
          <w:sz w:val="22"/>
          <w:szCs w:val="22"/>
          <w:highlight w:val="none"/>
        </w:rPr>
      </w:pPr>
      <w:r>
        <w:rPr>
          <w:rFonts w:ascii="宋体" w:hAnsi="宋体"/>
          <w:sz w:val="22"/>
          <w:szCs w:val="22"/>
          <w:highlight w:val="none"/>
        </w:rPr>
        <w:t>a</w:t>
      </w:r>
      <w:r>
        <w:rPr>
          <w:rFonts w:hint="eastAsia" w:eastAsia="宋体"/>
          <w:sz w:val="22"/>
          <w:szCs w:val="22"/>
          <w:highlight w:val="none"/>
          <w:lang w:val="zh-TW" w:eastAsia="zh-TW"/>
        </w:rPr>
        <w:t>、符合专业条件的供应商或者对招标文件作实质性响应的供应商不足三家的；</w:t>
      </w:r>
    </w:p>
    <w:p w14:paraId="1241E707">
      <w:pPr>
        <w:pStyle w:val="189"/>
        <w:pageBreakBefore w:val="0"/>
        <w:spacing w:line="360" w:lineRule="auto"/>
        <w:ind w:firstLine="420"/>
        <w:rPr>
          <w:rFonts w:ascii="宋体" w:hAnsi="宋体" w:eastAsia="宋体" w:cs="宋体"/>
          <w:sz w:val="22"/>
          <w:szCs w:val="22"/>
          <w:highlight w:val="none"/>
        </w:rPr>
      </w:pPr>
      <w:r>
        <w:rPr>
          <w:rFonts w:hint="eastAsia" w:ascii="宋体" w:hAnsi="宋体" w:eastAsia="宋体" w:cs="宋体"/>
          <w:sz w:val="22"/>
          <w:szCs w:val="22"/>
          <w:highlight w:val="none"/>
        </w:rPr>
        <w:t>b</w:t>
      </w:r>
      <w:r>
        <w:rPr>
          <w:rFonts w:hint="eastAsia" w:ascii="宋体" w:hAnsi="宋体" w:eastAsia="宋体" w:cs="宋体"/>
          <w:sz w:val="22"/>
          <w:szCs w:val="22"/>
          <w:highlight w:val="none"/>
          <w:lang w:val="zh-TW" w:eastAsia="zh-TW"/>
        </w:rPr>
        <w:t>、出现影响采购公正的违法、违规行为的；</w:t>
      </w:r>
    </w:p>
    <w:p w14:paraId="25822196">
      <w:pPr>
        <w:pStyle w:val="189"/>
        <w:pageBreakBefore w:val="0"/>
        <w:spacing w:line="360" w:lineRule="auto"/>
        <w:ind w:firstLine="420"/>
        <w:rPr>
          <w:rFonts w:ascii="宋体" w:hAnsi="宋体" w:eastAsia="宋体" w:cs="宋体"/>
          <w:sz w:val="22"/>
          <w:szCs w:val="22"/>
          <w:highlight w:val="none"/>
        </w:rPr>
      </w:pPr>
      <w:r>
        <w:rPr>
          <w:rFonts w:hint="eastAsia" w:ascii="宋体" w:hAnsi="宋体" w:eastAsia="宋体" w:cs="宋体"/>
          <w:sz w:val="22"/>
          <w:szCs w:val="22"/>
          <w:highlight w:val="none"/>
        </w:rPr>
        <w:t>c</w:t>
      </w:r>
      <w:r>
        <w:rPr>
          <w:rFonts w:hint="eastAsia" w:ascii="宋体" w:hAnsi="宋体" w:eastAsia="宋体" w:cs="宋体"/>
          <w:sz w:val="22"/>
          <w:szCs w:val="22"/>
          <w:highlight w:val="none"/>
          <w:lang w:val="zh-TW" w:eastAsia="zh-TW"/>
        </w:rPr>
        <w:t>、供应商的报价均超过了采购预算或最高限价的，采购人不能支付的；</w:t>
      </w:r>
    </w:p>
    <w:p w14:paraId="23D41A96">
      <w:pPr>
        <w:pStyle w:val="189"/>
        <w:pageBreakBefore w:val="0"/>
        <w:widowControl/>
        <w:spacing w:line="360" w:lineRule="auto"/>
        <w:ind w:firstLine="420"/>
        <w:rPr>
          <w:rFonts w:ascii="宋体" w:hAnsi="宋体" w:eastAsia="宋体" w:cs="宋体"/>
          <w:sz w:val="22"/>
          <w:szCs w:val="22"/>
          <w:highlight w:val="none"/>
        </w:rPr>
      </w:pPr>
      <w:r>
        <w:rPr>
          <w:rFonts w:hint="eastAsia" w:ascii="宋体" w:hAnsi="宋体" w:eastAsia="宋体" w:cs="宋体"/>
          <w:sz w:val="22"/>
          <w:szCs w:val="22"/>
          <w:highlight w:val="none"/>
        </w:rPr>
        <w:t>d</w:t>
      </w:r>
      <w:r>
        <w:rPr>
          <w:rFonts w:hint="eastAsia" w:ascii="宋体" w:hAnsi="宋体" w:eastAsia="宋体" w:cs="宋体"/>
          <w:sz w:val="22"/>
          <w:szCs w:val="22"/>
          <w:highlight w:val="none"/>
          <w:lang w:val="zh-TW" w:eastAsia="zh-TW"/>
        </w:rPr>
        <w:t>、因重大变故，采购任务取消的；</w:t>
      </w:r>
    </w:p>
    <w:p w14:paraId="6C28D211">
      <w:pPr>
        <w:pStyle w:val="189"/>
        <w:pageBreakBefore w:val="0"/>
        <w:widowControl/>
        <w:spacing w:line="360" w:lineRule="auto"/>
        <w:ind w:firstLine="420"/>
        <w:rPr>
          <w:rFonts w:hint="eastAsia" w:ascii="宋体" w:hAnsi="宋体" w:eastAsia="宋体" w:cs="宋体"/>
          <w:sz w:val="22"/>
          <w:szCs w:val="22"/>
          <w:highlight w:val="none"/>
          <w:lang w:val="zh-TW" w:eastAsia="zh-CN"/>
        </w:rPr>
      </w:pPr>
      <w:r>
        <w:rPr>
          <w:rFonts w:hint="eastAsia" w:ascii="宋体" w:hAnsi="宋体" w:eastAsia="宋体" w:cs="宋体"/>
          <w:sz w:val="22"/>
          <w:szCs w:val="22"/>
          <w:highlight w:val="none"/>
        </w:rPr>
        <w:t>e</w:t>
      </w:r>
      <w:r>
        <w:rPr>
          <w:rFonts w:hint="eastAsia" w:ascii="宋体" w:hAnsi="宋体" w:eastAsia="宋体" w:cs="宋体"/>
          <w:sz w:val="22"/>
          <w:szCs w:val="22"/>
          <w:highlight w:val="none"/>
          <w:lang w:val="zh-TW" w:eastAsia="zh-TW"/>
        </w:rPr>
        <w:t>、投标文件存在歧义、重大缺陷，或者招标文件内容违反国家有关强制性规定的</w:t>
      </w:r>
      <w:r>
        <w:rPr>
          <w:rFonts w:hint="eastAsia" w:ascii="宋体" w:hAnsi="宋体" w:eastAsia="宋体" w:cs="宋体"/>
          <w:sz w:val="22"/>
          <w:szCs w:val="22"/>
          <w:highlight w:val="none"/>
          <w:lang w:val="zh-TW" w:eastAsia="zh-CN"/>
        </w:rPr>
        <w:t>；</w:t>
      </w:r>
    </w:p>
    <w:p w14:paraId="15198659">
      <w:pPr>
        <w:pStyle w:val="189"/>
        <w:pageBreakBefore w:val="0"/>
        <w:widowControl/>
        <w:spacing w:line="360" w:lineRule="auto"/>
        <w:ind w:firstLine="420"/>
        <w:rPr>
          <w:rFonts w:hint="eastAsia" w:ascii="宋体" w:hAnsi="宋体" w:eastAsia="宋体" w:cs="宋体"/>
          <w:color w:val="000000"/>
          <w:sz w:val="22"/>
          <w:szCs w:val="22"/>
          <w:highlight w:val="none"/>
          <w:lang w:eastAsia="zh-CN"/>
        </w:rPr>
      </w:pPr>
      <w:r>
        <w:rPr>
          <w:rFonts w:hint="eastAsia" w:ascii="宋体" w:hAnsi="宋体" w:eastAsia="宋体" w:cs="宋体"/>
          <w:sz w:val="22"/>
          <w:szCs w:val="22"/>
          <w:highlight w:val="none"/>
          <w:lang w:val="en-US" w:eastAsia="zh-CN"/>
        </w:rPr>
        <w:t>f、</w:t>
      </w:r>
      <w:r>
        <w:rPr>
          <w:rFonts w:ascii="宋体" w:hAnsi="宋体" w:eastAsia="宋体" w:cs="宋体"/>
          <w:color w:val="000000"/>
          <w:sz w:val="22"/>
          <w:szCs w:val="22"/>
          <w:highlight w:val="none"/>
        </w:rPr>
        <w:t>因苏采云系统故障造成开标不成功的</w:t>
      </w:r>
      <w:r>
        <w:rPr>
          <w:rFonts w:hint="eastAsia" w:ascii="宋体" w:hAnsi="宋体" w:eastAsia="宋体" w:cs="宋体"/>
          <w:color w:val="000000"/>
          <w:sz w:val="22"/>
          <w:szCs w:val="22"/>
          <w:highlight w:val="none"/>
          <w:lang w:eastAsia="zh-CN"/>
        </w:rPr>
        <w:t>；</w:t>
      </w:r>
    </w:p>
    <w:p w14:paraId="7F76145A">
      <w:pPr>
        <w:pStyle w:val="190"/>
        <w:pageBreakBefore w:val="0"/>
        <w:spacing w:line="360" w:lineRule="auto"/>
        <w:ind w:firstLine="420"/>
        <w:rPr>
          <w:rFonts w:hint="eastAsia" w:ascii="宋体" w:hAnsi="宋体" w:eastAsia="宋体" w:cs="宋体"/>
          <w:color w:val="000000"/>
          <w:sz w:val="22"/>
          <w:szCs w:val="22"/>
          <w:highlight w:val="none"/>
          <w:lang w:val="en-US" w:eastAsia="zh-CN" w:bidi="ar-SA"/>
        </w:rPr>
      </w:pPr>
      <w:r>
        <w:rPr>
          <w:rFonts w:ascii="宋体" w:hAnsi="宋体" w:eastAsia="宋体" w:cs="宋体"/>
          <w:color w:val="000000"/>
          <w:sz w:val="22"/>
          <w:szCs w:val="22"/>
          <w:highlight w:val="none"/>
          <w:lang w:val="en-US" w:eastAsia="zh-CN" w:bidi="ar-SA"/>
        </w:rPr>
        <w:t>g</w:t>
      </w:r>
      <w:r>
        <w:rPr>
          <w:rFonts w:hint="eastAsia" w:ascii="宋体" w:hAnsi="宋体" w:eastAsia="宋体" w:cs="宋体"/>
          <w:color w:val="000000"/>
          <w:sz w:val="22"/>
          <w:szCs w:val="22"/>
          <w:highlight w:val="none"/>
          <w:lang w:val="zh-TW" w:eastAsia="zh-TW" w:bidi="ar-SA"/>
        </w:rPr>
        <w:t>、</w:t>
      </w:r>
      <w:r>
        <w:rPr>
          <w:rFonts w:hint="eastAsia" w:ascii="宋体" w:hAnsi="宋体" w:eastAsia="宋体" w:cs="宋体"/>
          <w:color w:val="000000"/>
          <w:sz w:val="22"/>
          <w:szCs w:val="22"/>
          <w:highlight w:val="none"/>
          <w:lang w:val="en-US" w:eastAsia="zh-CN" w:bidi="ar-SA"/>
        </w:rPr>
        <w:t>投标人以明显低于其他通过符合性审查投标人的报价，有可能影响产品质量或者不能诚信履约的，且不能证明其报价合理性的。</w:t>
      </w:r>
    </w:p>
    <w:p w14:paraId="591D86B9">
      <w:pPr>
        <w:pStyle w:val="189"/>
        <w:pageBreakBefore w:val="0"/>
        <w:spacing w:line="360" w:lineRule="auto"/>
        <w:ind w:firstLine="420"/>
        <w:rPr>
          <w:rFonts w:ascii="宋体" w:hAnsi="宋体" w:eastAsia="宋体" w:cs="宋体"/>
          <w:sz w:val="22"/>
          <w:szCs w:val="22"/>
          <w:highlight w:val="none"/>
        </w:rPr>
      </w:pPr>
      <w:r>
        <w:rPr>
          <w:rFonts w:hint="eastAsia" w:ascii="宋体" w:hAnsi="宋体" w:eastAsia="宋体" w:cs="宋体"/>
          <w:sz w:val="22"/>
          <w:szCs w:val="22"/>
          <w:highlight w:val="none"/>
        </w:rPr>
        <w:t>(3)</w:t>
      </w:r>
      <w:r>
        <w:rPr>
          <w:rFonts w:hint="eastAsia" w:ascii="宋体" w:hAnsi="宋体" w:eastAsia="宋体" w:cs="宋体"/>
          <w:sz w:val="22"/>
          <w:szCs w:val="22"/>
          <w:highlight w:val="none"/>
          <w:lang w:val="zh-TW" w:eastAsia="zh-TW"/>
        </w:rPr>
        <w:t>投标文件的进一步评审。</w:t>
      </w:r>
    </w:p>
    <w:p w14:paraId="5F25A39E">
      <w:pPr>
        <w:pStyle w:val="189"/>
        <w:pageBreakBefore w:val="0"/>
        <w:spacing w:line="360" w:lineRule="auto"/>
        <w:ind w:firstLine="420"/>
        <w:rPr>
          <w:rFonts w:ascii="宋体" w:hAnsi="宋体" w:eastAsia="宋体" w:cs="宋体"/>
          <w:sz w:val="22"/>
          <w:szCs w:val="22"/>
          <w:highlight w:val="none"/>
          <w:lang w:val="zh-TW" w:eastAsia="zh-TW"/>
        </w:rPr>
      </w:pPr>
      <w:r>
        <w:rPr>
          <w:rFonts w:hint="eastAsia" w:ascii="宋体" w:hAnsi="宋体" w:eastAsia="宋体" w:cs="宋体"/>
          <w:sz w:val="22"/>
          <w:szCs w:val="22"/>
          <w:highlight w:val="none"/>
          <w:lang w:val="zh-TW" w:eastAsia="zh-TW"/>
        </w:rPr>
        <w:t>①评标委员会将对确定为实质性响应的投标文件进行进一步评审，看其是否有计算上或累加上的算术错误，修正错误的原则如下：</w:t>
      </w:r>
    </w:p>
    <w:p w14:paraId="6E5511E9">
      <w:pPr>
        <w:pStyle w:val="189"/>
        <w:pageBreakBefore w:val="0"/>
        <w:spacing w:line="360" w:lineRule="auto"/>
        <w:ind w:firstLine="420"/>
        <w:rPr>
          <w:rFonts w:ascii="宋体" w:hAnsi="宋体" w:eastAsia="宋体" w:cs="宋体"/>
          <w:sz w:val="22"/>
          <w:szCs w:val="22"/>
          <w:highlight w:val="none"/>
        </w:rPr>
      </w:pPr>
      <w:r>
        <w:rPr>
          <w:rFonts w:hint="eastAsia" w:ascii="宋体" w:hAnsi="宋体" w:eastAsia="宋体" w:cs="宋体"/>
          <w:sz w:val="22"/>
          <w:szCs w:val="22"/>
          <w:highlight w:val="none"/>
        </w:rPr>
        <w:t>a</w:t>
      </w:r>
      <w:r>
        <w:rPr>
          <w:rFonts w:hint="eastAsia" w:ascii="宋体" w:hAnsi="宋体" w:eastAsia="宋体" w:cs="宋体"/>
          <w:sz w:val="22"/>
          <w:szCs w:val="22"/>
          <w:highlight w:val="none"/>
          <w:lang w:val="zh-TW" w:eastAsia="zh-TW"/>
        </w:rPr>
        <w:t>、如果用数字表示的金额和用文字表示的金额不一致时，应以文字表示的金额为准进行修正；</w:t>
      </w:r>
    </w:p>
    <w:p w14:paraId="5A3587D3">
      <w:pPr>
        <w:pStyle w:val="189"/>
        <w:pageBreakBefore w:val="0"/>
        <w:spacing w:line="360" w:lineRule="auto"/>
        <w:ind w:firstLine="420"/>
        <w:rPr>
          <w:rFonts w:hint="eastAsia" w:ascii="宋体" w:hAnsi="宋体" w:eastAsia="宋体" w:cs="宋体"/>
          <w:sz w:val="22"/>
          <w:szCs w:val="22"/>
          <w:highlight w:val="none"/>
          <w:lang w:val="zh-TW" w:eastAsia="zh-TW"/>
        </w:rPr>
      </w:pPr>
      <w:r>
        <w:rPr>
          <w:rFonts w:hint="eastAsia" w:ascii="宋体" w:hAnsi="宋体" w:eastAsia="宋体" w:cs="宋体"/>
          <w:sz w:val="22"/>
          <w:szCs w:val="22"/>
          <w:highlight w:val="none"/>
          <w:lang w:val="zh-TW" w:eastAsia="zh-TW"/>
        </w:rPr>
        <w:t>b、当单价与数量的乘积和总价不一致时，以单价为准进行修正。只有在评委会认为单价有明显的小数点错误时，才能以标出的总价为准，并修改单价。</w:t>
      </w:r>
    </w:p>
    <w:p w14:paraId="37118B10">
      <w:pPr>
        <w:pStyle w:val="189"/>
        <w:pageBreakBefore w:val="0"/>
        <w:spacing w:line="360" w:lineRule="auto"/>
        <w:ind w:firstLine="420"/>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c、</w:t>
      </w:r>
      <w:r>
        <w:rPr>
          <w:rFonts w:hint="eastAsia" w:ascii="宋体" w:hAnsi="宋体" w:eastAsia="宋体" w:cs="宋体"/>
          <w:sz w:val="22"/>
          <w:szCs w:val="22"/>
          <w:highlight w:val="none"/>
          <w:lang w:val="zh-TW" w:eastAsia="zh-TW"/>
        </w:rPr>
        <w:t>对不同文字文本投标文件的解释发生异议的，以中文文本为准。</w:t>
      </w:r>
    </w:p>
    <w:p w14:paraId="77734951">
      <w:pPr>
        <w:pStyle w:val="189"/>
        <w:pageBreakBefore w:val="0"/>
        <w:spacing w:line="360" w:lineRule="auto"/>
        <w:ind w:firstLine="420"/>
        <w:rPr>
          <w:rFonts w:ascii="宋体" w:hAnsi="宋体" w:eastAsia="宋体" w:cs="宋体"/>
          <w:sz w:val="22"/>
          <w:szCs w:val="22"/>
          <w:highlight w:val="none"/>
        </w:rPr>
      </w:pPr>
      <w:r>
        <w:rPr>
          <w:rFonts w:hint="eastAsia" w:ascii="宋体" w:hAnsi="宋体" w:eastAsia="宋体" w:cs="宋体"/>
          <w:sz w:val="22"/>
          <w:szCs w:val="22"/>
          <w:highlight w:val="none"/>
        </w:rPr>
        <w:t>②</w:t>
      </w:r>
      <w:r>
        <w:rPr>
          <w:rFonts w:hint="eastAsia" w:ascii="宋体" w:hAnsi="宋体" w:eastAsia="宋体" w:cs="宋体"/>
          <w:sz w:val="22"/>
          <w:szCs w:val="22"/>
          <w:highlight w:val="none"/>
          <w:lang w:val="zh-TW" w:eastAsia="zh-TW"/>
        </w:rPr>
        <w:t>评标委员会将按上述修正错误的方法调整投标文件中的投标价，调整后的价格应对供应商具有约束力。如果供应商不接受修正后的价格，则其投标将被拒绝。</w:t>
      </w:r>
    </w:p>
    <w:p w14:paraId="18AFE5CF">
      <w:pPr>
        <w:pStyle w:val="189"/>
        <w:pageBreakBefore w:val="0"/>
        <w:spacing w:line="360" w:lineRule="auto"/>
        <w:ind w:firstLine="420"/>
        <w:rPr>
          <w:rFonts w:ascii="宋体" w:hAnsi="宋体" w:eastAsia="宋体" w:cs="宋体"/>
          <w:sz w:val="22"/>
          <w:szCs w:val="22"/>
          <w:highlight w:val="none"/>
        </w:rPr>
      </w:pPr>
      <w:r>
        <w:rPr>
          <w:rFonts w:hint="eastAsia" w:ascii="宋体" w:hAnsi="宋体" w:eastAsia="宋体" w:cs="宋体"/>
          <w:sz w:val="22"/>
          <w:szCs w:val="22"/>
          <w:highlight w:val="none"/>
        </w:rPr>
        <w:t>③</w:t>
      </w:r>
      <w:r>
        <w:rPr>
          <w:rFonts w:hint="eastAsia" w:ascii="宋体" w:hAnsi="宋体" w:eastAsia="宋体" w:cs="宋体"/>
          <w:sz w:val="22"/>
          <w:szCs w:val="22"/>
          <w:highlight w:val="none"/>
          <w:lang w:val="zh-TW" w:eastAsia="zh-TW"/>
        </w:rPr>
        <w:t>评委会将允许修正投标文件中不构成重大偏离的、微小的、非正规的、不一致的或不规则的地方，但这些修改不能影响任何供应商相应的名次排列。</w:t>
      </w:r>
    </w:p>
    <w:p w14:paraId="595963ED">
      <w:pPr>
        <w:pStyle w:val="189"/>
        <w:pageBreakBefore w:val="0"/>
        <w:widowControl/>
        <w:spacing w:line="360" w:lineRule="auto"/>
        <w:ind w:firstLine="420"/>
        <w:rPr>
          <w:rFonts w:ascii="宋体" w:hAnsi="宋体" w:eastAsia="宋体" w:cs="宋体"/>
          <w:sz w:val="22"/>
          <w:szCs w:val="22"/>
          <w:highlight w:val="none"/>
        </w:rPr>
      </w:pPr>
      <w:r>
        <w:rPr>
          <w:rFonts w:hint="eastAsia" w:ascii="宋体" w:hAnsi="宋体" w:eastAsia="宋体" w:cs="宋体"/>
          <w:sz w:val="22"/>
          <w:szCs w:val="22"/>
          <w:highlight w:val="none"/>
        </w:rPr>
        <w:t>④</w:t>
      </w:r>
      <w:r>
        <w:rPr>
          <w:rFonts w:hint="eastAsia" w:ascii="宋体" w:hAnsi="宋体" w:eastAsia="宋体" w:cs="宋体"/>
          <w:sz w:val="22"/>
          <w:szCs w:val="22"/>
          <w:highlight w:val="none"/>
          <w:lang w:val="zh-TW" w:eastAsia="zh-TW"/>
        </w:rPr>
        <w:t>澄清有关问题。对投标文件中含义不明确、同类问题表述不一致或者明显文字错误的内容，评标委员会可以要求供应商作出必要的澄清、说明或者补正。供应商的澄清、说明、补正应当采用书面形式，由其授权代表签字，但不得超出投标文件的范围或者改变投标文件的实质性内容。</w:t>
      </w:r>
    </w:p>
    <w:p w14:paraId="0F57168D">
      <w:pPr>
        <w:pStyle w:val="189"/>
        <w:pageBreakBefore w:val="0"/>
        <w:widowControl/>
        <w:spacing w:line="360" w:lineRule="auto"/>
        <w:ind w:firstLine="420"/>
        <w:rPr>
          <w:rFonts w:hint="eastAsia" w:ascii="宋体" w:hAnsi="宋体" w:eastAsia="宋体" w:cs="宋体"/>
          <w:sz w:val="22"/>
          <w:szCs w:val="22"/>
          <w:highlight w:val="none"/>
          <w:lang w:val="zh-TW" w:eastAsia="zh-TW"/>
        </w:rPr>
      </w:pPr>
      <w:r>
        <w:rPr>
          <w:rFonts w:hint="eastAsia" w:ascii="宋体" w:hAnsi="宋体" w:eastAsia="宋体" w:cs="宋体"/>
          <w:sz w:val="22"/>
          <w:szCs w:val="22"/>
          <w:highlight w:val="none"/>
        </w:rPr>
        <w:t>⑤</w:t>
      </w:r>
      <w:r>
        <w:rPr>
          <w:rFonts w:hint="eastAsia" w:ascii="宋体" w:hAnsi="宋体" w:eastAsia="宋体" w:cs="宋体"/>
          <w:sz w:val="22"/>
          <w:szCs w:val="22"/>
          <w:highlight w:val="none"/>
          <w:lang w:val="zh-TW" w:eastAsia="zh-TW"/>
        </w:rPr>
        <w:t>比较与评价。按照招标文件中规定的评标方法和标准，对资格性检查和符合性检查合格的投标文件进行商务和技术评估，综合比较与评价。</w:t>
      </w:r>
    </w:p>
    <w:p w14:paraId="34F60F79">
      <w:pPr>
        <w:pStyle w:val="189"/>
        <w:widowControl/>
        <w:spacing w:line="360" w:lineRule="auto"/>
        <w:ind w:firstLine="420"/>
        <w:rPr>
          <w:rFonts w:hint="eastAsia" w:ascii="宋体" w:hAnsi="宋体" w:eastAsia="宋体" w:cs="宋体"/>
          <w:sz w:val="22"/>
          <w:szCs w:val="22"/>
          <w:highlight w:val="none"/>
          <w:lang w:val="zh-TW" w:eastAsia="zh-TW"/>
        </w:rPr>
      </w:pPr>
      <w:r>
        <w:rPr>
          <w:rFonts w:hint="eastAsia" w:ascii="宋体" w:hAnsi="宋体" w:eastAsia="宋体" w:cs="宋体"/>
          <w:sz w:val="22"/>
          <w:szCs w:val="22"/>
          <w:highlight w:val="none"/>
          <w:lang w:val="zh-TW" w:eastAsia="zh-TW"/>
        </w:rPr>
        <w:t>⑥异常低价审查</w:t>
      </w:r>
    </w:p>
    <w:p w14:paraId="4E594D7D">
      <w:pPr>
        <w:pStyle w:val="189"/>
        <w:widowControl/>
        <w:spacing w:line="360" w:lineRule="auto"/>
        <w:ind w:firstLine="420"/>
        <w:rPr>
          <w:rFonts w:hint="eastAsia" w:ascii="宋体" w:hAnsi="宋体" w:eastAsia="宋体" w:cs="宋体"/>
          <w:sz w:val="22"/>
          <w:szCs w:val="22"/>
          <w:highlight w:val="none"/>
          <w:lang w:val="zh-TW" w:eastAsia="zh-TW"/>
        </w:rPr>
      </w:pPr>
      <w:r>
        <w:rPr>
          <w:rFonts w:hint="eastAsia" w:ascii="宋体" w:hAnsi="宋体" w:eastAsia="宋体" w:cs="宋体"/>
          <w:sz w:val="22"/>
          <w:szCs w:val="22"/>
          <w:highlight w:val="none"/>
          <w:lang w:val="zh-TW" w:eastAsia="zh-TW"/>
        </w:rPr>
        <w:t>根据苏财购〔2025〕62号《关于推动解决政府采购异常低价问题相关工作的通知》，供应商的投标报价出现以下情形的，评审委员会将启动异常低价投标（响应）审查。</w:t>
      </w:r>
    </w:p>
    <w:p w14:paraId="4534000B">
      <w:pPr>
        <w:pStyle w:val="189"/>
        <w:widowControl/>
        <w:spacing w:line="360" w:lineRule="auto"/>
        <w:ind w:firstLine="420"/>
        <w:rPr>
          <w:rFonts w:hint="eastAsia" w:ascii="宋体" w:hAnsi="宋体" w:eastAsia="宋体" w:cs="宋体"/>
          <w:sz w:val="22"/>
          <w:szCs w:val="22"/>
          <w:highlight w:val="none"/>
          <w:lang w:val="zh-TW" w:eastAsia="zh-TW"/>
        </w:rPr>
      </w:pPr>
      <w:r>
        <w:rPr>
          <w:rFonts w:hint="eastAsia" w:ascii="宋体" w:hAnsi="宋体" w:eastAsia="宋体" w:cs="宋体"/>
          <w:sz w:val="22"/>
          <w:szCs w:val="22"/>
          <w:highlight w:val="none"/>
          <w:lang w:val="en-US" w:eastAsia="zh-CN"/>
        </w:rPr>
        <w:t>a、</w:t>
      </w:r>
      <w:r>
        <w:rPr>
          <w:rFonts w:hint="eastAsia" w:ascii="宋体" w:hAnsi="宋体" w:eastAsia="宋体" w:cs="宋体"/>
          <w:sz w:val="22"/>
          <w:szCs w:val="22"/>
          <w:highlight w:val="none"/>
          <w:lang w:val="zh-TW" w:eastAsia="zh-TW"/>
        </w:rPr>
        <w:t>投标(响应)报价低于采购项目预算 50%的，即投标(响应)报价&lt;采购项目预算x50%;</w:t>
      </w:r>
    </w:p>
    <w:p w14:paraId="5DDF038C">
      <w:pPr>
        <w:pStyle w:val="189"/>
        <w:widowControl/>
        <w:spacing w:line="360" w:lineRule="auto"/>
        <w:ind w:firstLine="420"/>
        <w:rPr>
          <w:rFonts w:hint="eastAsia" w:ascii="宋体" w:hAnsi="宋体" w:eastAsia="宋体" w:cs="宋体"/>
          <w:sz w:val="22"/>
          <w:szCs w:val="22"/>
          <w:highlight w:val="none"/>
          <w:lang w:val="zh-TW" w:eastAsia="zh-TW"/>
        </w:rPr>
      </w:pPr>
      <w:r>
        <w:rPr>
          <w:rFonts w:hint="eastAsia" w:ascii="宋体" w:hAnsi="宋体" w:eastAsia="宋体" w:cs="宋体"/>
          <w:sz w:val="22"/>
          <w:szCs w:val="22"/>
          <w:highlight w:val="none"/>
          <w:lang w:val="zh-TW" w:eastAsia="zh-TW"/>
        </w:rPr>
        <w:t>b、投标(响应)报价低于采购项目最高限价45%的，即投标(响应)报价&lt;采购项目最高限价x45%;</w:t>
      </w:r>
    </w:p>
    <w:p w14:paraId="7CB90618">
      <w:pPr>
        <w:pStyle w:val="189"/>
        <w:widowControl/>
        <w:spacing w:line="360" w:lineRule="auto"/>
        <w:ind w:firstLine="420"/>
        <w:rPr>
          <w:rFonts w:hint="eastAsia" w:ascii="宋体" w:hAnsi="宋体" w:eastAsia="宋体" w:cs="宋体"/>
          <w:sz w:val="22"/>
          <w:szCs w:val="22"/>
          <w:highlight w:val="none"/>
          <w:lang w:val="zh-TW" w:eastAsia="zh-TW"/>
        </w:rPr>
      </w:pPr>
      <w:r>
        <w:rPr>
          <w:rFonts w:hint="eastAsia" w:ascii="宋体" w:hAnsi="宋体" w:eastAsia="宋体" w:cs="宋体"/>
          <w:sz w:val="22"/>
          <w:szCs w:val="22"/>
          <w:highlight w:val="none"/>
          <w:lang w:val="en-US" w:eastAsia="zh-CN"/>
        </w:rPr>
        <w:t>c</w:t>
      </w:r>
      <w:r>
        <w:rPr>
          <w:rFonts w:hint="eastAsia" w:ascii="宋体" w:hAnsi="宋体" w:eastAsia="宋体" w:cs="宋体"/>
          <w:sz w:val="22"/>
          <w:szCs w:val="22"/>
          <w:highlight w:val="none"/>
          <w:lang w:val="zh-TW" w:eastAsia="zh-TW"/>
        </w:rPr>
        <w:t>、评审委员会认定的供应商报价过低、有可能影响产品质量或者不能诚信履约的其他情形。</w:t>
      </w:r>
    </w:p>
    <w:p w14:paraId="49FC463B">
      <w:pPr>
        <w:pStyle w:val="189"/>
        <w:widowControl/>
        <w:spacing w:line="360" w:lineRule="auto"/>
        <w:ind w:firstLine="420"/>
        <w:rPr>
          <w:rFonts w:hint="eastAsia" w:ascii="宋体" w:hAnsi="宋体" w:eastAsia="宋体" w:cs="宋体"/>
          <w:sz w:val="22"/>
          <w:szCs w:val="22"/>
          <w:highlight w:val="none"/>
          <w:lang w:val="zh-TW" w:eastAsia="zh-TW"/>
        </w:rPr>
      </w:pPr>
      <w:r>
        <w:rPr>
          <w:rFonts w:hint="eastAsia" w:ascii="宋体" w:hAnsi="宋体" w:eastAsia="宋体" w:cs="宋体"/>
          <w:sz w:val="22"/>
          <w:szCs w:val="22"/>
          <w:highlight w:val="none"/>
          <w:lang w:val="zh-TW" w:eastAsia="zh-TW"/>
        </w:rPr>
        <w:t>启动异常低价投标（响应）审查后，评审委员会将要求相关供应商在评标现场合理的时间内，提供项目具体成本测算等与报价合理性相关的书面说明及相关证明材料，对投标（响应）价格作出解释，</w:t>
      </w:r>
    </w:p>
    <w:p w14:paraId="3BCD1E90">
      <w:pPr>
        <w:pStyle w:val="189"/>
        <w:widowControl/>
        <w:spacing w:line="360" w:lineRule="auto"/>
        <w:ind w:firstLine="420"/>
        <w:rPr>
          <w:rFonts w:hint="eastAsia" w:ascii="宋体" w:hAnsi="宋体" w:eastAsia="宋体" w:cs="宋体"/>
          <w:sz w:val="22"/>
          <w:szCs w:val="22"/>
          <w:highlight w:val="none"/>
          <w:lang w:val="zh-TW" w:eastAsia="zh-TW"/>
        </w:rPr>
      </w:pPr>
      <w:r>
        <w:rPr>
          <w:rFonts w:hint="eastAsia" w:ascii="宋体" w:hAnsi="宋体" w:eastAsia="宋体" w:cs="宋体"/>
          <w:sz w:val="22"/>
          <w:szCs w:val="22"/>
          <w:highlight w:val="none"/>
          <w:lang w:val="zh-TW" w:eastAsia="zh-TW"/>
        </w:rPr>
        <w:t>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将其作为无效投标（响应）处理。并将相关审查情况记录在评标报告中。</w:t>
      </w:r>
    </w:p>
    <w:p w14:paraId="3E15F84A">
      <w:pPr>
        <w:pStyle w:val="189"/>
        <w:pageBreakBefore w:val="0"/>
        <w:widowControl/>
        <w:spacing w:line="360" w:lineRule="auto"/>
        <w:ind w:firstLine="420"/>
        <w:rPr>
          <w:rFonts w:ascii="SimSong Bold" w:hAnsi="SimSong Bold" w:eastAsia="SimSong Bold" w:cs="SimSong Bold"/>
          <w:sz w:val="22"/>
          <w:szCs w:val="22"/>
          <w:highlight w:val="none"/>
        </w:rPr>
      </w:pPr>
      <w:r>
        <w:rPr>
          <w:rFonts w:hint="eastAsia" w:ascii="宋体" w:hAnsi="宋体" w:eastAsia="宋体" w:cs="宋体"/>
          <w:sz w:val="22"/>
          <w:szCs w:val="22"/>
          <w:highlight w:val="none"/>
        </w:rPr>
        <w:t>(4)</w:t>
      </w:r>
      <w:r>
        <w:rPr>
          <w:rFonts w:hint="eastAsia" w:ascii="宋体" w:hAnsi="宋体" w:eastAsia="宋体" w:cs="宋体"/>
          <w:sz w:val="22"/>
          <w:szCs w:val="22"/>
          <w:highlight w:val="none"/>
          <w:lang w:val="zh-TW" w:eastAsia="zh-TW"/>
        </w:rPr>
        <w:t>评标方法和</w:t>
      </w:r>
      <w:r>
        <w:rPr>
          <w:rFonts w:hint="eastAsia" w:eastAsia="SimSong Bold"/>
          <w:sz w:val="22"/>
          <w:szCs w:val="22"/>
          <w:highlight w:val="none"/>
          <w:lang w:val="zh-TW" w:eastAsia="zh-TW"/>
        </w:rPr>
        <w:t>标准</w:t>
      </w:r>
    </w:p>
    <w:p w14:paraId="2A0DF2A1">
      <w:pPr>
        <w:pStyle w:val="189"/>
        <w:pageBreakBefore w:val="0"/>
        <w:widowControl/>
        <w:spacing w:line="360" w:lineRule="auto"/>
        <w:ind w:firstLine="420"/>
        <w:rPr>
          <w:rFonts w:ascii="宋体" w:hAnsi="宋体" w:eastAsia="宋体" w:cs="宋体"/>
          <w:sz w:val="22"/>
          <w:szCs w:val="22"/>
          <w:highlight w:val="none"/>
        </w:rPr>
      </w:pPr>
      <w:r>
        <w:rPr>
          <w:rFonts w:hint="eastAsia" w:ascii="宋体" w:hAnsi="宋体" w:eastAsia="宋体" w:cs="宋体"/>
          <w:sz w:val="22"/>
          <w:szCs w:val="22"/>
          <w:highlight w:val="none"/>
        </w:rPr>
        <w:t>①</w:t>
      </w:r>
      <w:r>
        <w:rPr>
          <w:rFonts w:hint="eastAsia" w:ascii="宋体" w:hAnsi="宋体" w:eastAsia="宋体" w:cs="宋体"/>
          <w:sz w:val="22"/>
          <w:szCs w:val="22"/>
          <w:highlight w:val="none"/>
          <w:lang w:val="zh-TW" w:eastAsia="zh-TW"/>
        </w:rPr>
        <w:t>采用综合评分法。即在投标文件满足招标文件全部实质性要求前提下，且按照评审因素的量化指标评审得分最高的供应商为中标人的评标方法。</w:t>
      </w:r>
    </w:p>
    <w:p w14:paraId="562CFC90">
      <w:pPr>
        <w:pStyle w:val="189"/>
        <w:pageBreakBefore w:val="0"/>
        <w:spacing w:line="360" w:lineRule="auto"/>
        <w:ind w:firstLine="420"/>
        <w:rPr>
          <w:rFonts w:ascii="宋体" w:hAnsi="宋体" w:eastAsia="宋体" w:cs="宋体"/>
          <w:sz w:val="22"/>
          <w:szCs w:val="22"/>
          <w:highlight w:val="none"/>
        </w:rPr>
      </w:pPr>
      <w:r>
        <w:rPr>
          <w:rFonts w:hint="eastAsia" w:ascii="宋体" w:hAnsi="宋体" w:eastAsia="宋体" w:cs="宋体"/>
          <w:sz w:val="22"/>
          <w:szCs w:val="22"/>
          <w:highlight w:val="none"/>
        </w:rPr>
        <w:t>②</w:t>
      </w:r>
      <w:r>
        <w:rPr>
          <w:rFonts w:hint="eastAsia" w:ascii="宋体" w:hAnsi="宋体" w:eastAsia="宋体" w:cs="宋体"/>
          <w:sz w:val="22"/>
          <w:szCs w:val="22"/>
          <w:highlight w:val="none"/>
          <w:lang w:val="zh-TW" w:eastAsia="zh-TW"/>
        </w:rPr>
        <w:t>综合评分的主要因素是</w:t>
      </w:r>
      <w:r>
        <w:rPr>
          <w:rFonts w:hint="eastAsia" w:ascii="宋体" w:hAnsi="宋体" w:eastAsia="宋体" w:cs="宋体"/>
          <w:sz w:val="22"/>
          <w:szCs w:val="22"/>
          <w:highlight w:val="none"/>
          <w:lang w:val="zh-TW" w:eastAsia="zh-CN"/>
        </w:rPr>
        <w:t>：</w:t>
      </w:r>
      <w:r>
        <w:rPr>
          <w:rFonts w:hint="eastAsia" w:ascii="宋体" w:hAnsi="宋体" w:eastAsia="宋体" w:cs="宋体"/>
          <w:sz w:val="22"/>
          <w:szCs w:val="22"/>
          <w:highlight w:val="none"/>
          <w:lang w:val="en-US" w:eastAsia="zh-CN"/>
        </w:rPr>
        <w:t>详见评分标准</w:t>
      </w:r>
      <w:r>
        <w:rPr>
          <w:rFonts w:hint="eastAsia" w:ascii="宋体" w:hAnsi="宋体" w:eastAsia="宋体" w:cs="宋体"/>
          <w:sz w:val="22"/>
          <w:szCs w:val="22"/>
          <w:highlight w:val="none"/>
          <w:lang w:val="zh-TW" w:eastAsia="zh-TW"/>
        </w:rPr>
        <w:t>。</w:t>
      </w:r>
    </w:p>
    <w:p w14:paraId="6E6669F3">
      <w:pPr>
        <w:pStyle w:val="189"/>
        <w:pageBreakBefore w:val="0"/>
        <w:spacing w:line="360" w:lineRule="auto"/>
        <w:ind w:firstLine="420"/>
        <w:rPr>
          <w:rFonts w:ascii="宋体" w:hAnsi="宋体" w:eastAsia="宋体" w:cs="宋体"/>
          <w:sz w:val="22"/>
          <w:szCs w:val="22"/>
          <w:highlight w:val="none"/>
        </w:rPr>
      </w:pPr>
      <w:r>
        <w:rPr>
          <w:rFonts w:hint="eastAsia" w:ascii="宋体" w:hAnsi="宋体" w:eastAsia="宋体" w:cs="宋体"/>
          <w:sz w:val="22"/>
          <w:szCs w:val="22"/>
          <w:highlight w:val="none"/>
        </w:rPr>
        <w:t>③</w:t>
      </w:r>
      <w:r>
        <w:rPr>
          <w:rFonts w:hint="eastAsia" w:ascii="宋体" w:hAnsi="宋体" w:eastAsia="宋体" w:cs="宋体"/>
          <w:sz w:val="22"/>
          <w:szCs w:val="22"/>
          <w:highlight w:val="none"/>
          <w:lang w:val="zh-TW" w:eastAsia="zh-TW"/>
        </w:rPr>
        <w:t>评分标准详见文件第三章。</w:t>
      </w:r>
    </w:p>
    <w:p w14:paraId="7A652C74">
      <w:pPr>
        <w:pStyle w:val="189"/>
        <w:pageBreakBefore w:val="0"/>
        <w:spacing w:line="360" w:lineRule="auto"/>
        <w:ind w:firstLine="420"/>
        <w:rPr>
          <w:rFonts w:ascii="宋体" w:hAnsi="宋体" w:eastAsia="宋体" w:cs="宋体"/>
          <w:sz w:val="22"/>
          <w:szCs w:val="22"/>
          <w:highlight w:val="none"/>
          <w:lang w:val="zh-TW" w:eastAsia="zh-TW"/>
        </w:rPr>
      </w:pPr>
      <w:r>
        <w:rPr>
          <w:rFonts w:hint="eastAsia" w:ascii="宋体" w:hAnsi="宋体" w:eastAsia="宋体" w:cs="宋体"/>
          <w:sz w:val="22"/>
          <w:szCs w:val="22"/>
          <w:highlight w:val="none"/>
          <w:lang w:val="zh-TW" w:eastAsia="zh-TW"/>
        </w:rPr>
        <w:t>（三）确定中标供应商</w:t>
      </w:r>
    </w:p>
    <w:p w14:paraId="01983C6E">
      <w:pPr>
        <w:pStyle w:val="189"/>
        <w:pageBreakBefore w:val="0"/>
        <w:spacing w:line="360" w:lineRule="auto"/>
        <w:ind w:firstLine="420"/>
        <w:rPr>
          <w:rFonts w:ascii="宋体" w:hAnsi="宋体" w:eastAsia="宋体" w:cs="宋体"/>
          <w:sz w:val="22"/>
          <w:szCs w:val="22"/>
          <w:highlight w:val="none"/>
        </w:rPr>
      </w:pPr>
      <w:r>
        <w:rPr>
          <w:rFonts w:hint="eastAsia" w:ascii="宋体" w:hAnsi="宋体" w:eastAsia="宋体" w:cs="宋体"/>
          <w:sz w:val="22"/>
          <w:szCs w:val="22"/>
          <w:highlight w:val="none"/>
        </w:rPr>
        <w:t>1.</w:t>
      </w:r>
      <w:r>
        <w:rPr>
          <w:rFonts w:hint="eastAsia" w:ascii="宋体" w:hAnsi="宋体" w:eastAsia="宋体" w:cs="宋体"/>
          <w:sz w:val="22"/>
          <w:szCs w:val="22"/>
          <w:highlight w:val="none"/>
          <w:lang w:val="zh-TW" w:eastAsia="zh-TW"/>
        </w:rPr>
        <w:t>在综合比较与评价后按照得分由高到低顺序对供应商进行排列。得分相同的，按投标报价由低到高顺</w:t>
      </w:r>
      <w:r>
        <w:rPr>
          <w:rFonts w:hint="eastAsia" w:eastAsia="宋体"/>
          <w:sz w:val="22"/>
          <w:szCs w:val="22"/>
          <w:highlight w:val="none"/>
          <w:lang w:val="zh-TW" w:eastAsia="zh-TW"/>
        </w:rPr>
        <w:t>序排列。评标委员会将综合排名第一的供应商确定为中标供应商。</w:t>
      </w:r>
    </w:p>
    <w:p w14:paraId="4B7FFB1E">
      <w:pPr>
        <w:pStyle w:val="189"/>
        <w:pageBreakBefore w:val="0"/>
        <w:spacing w:line="360" w:lineRule="auto"/>
        <w:ind w:firstLine="420"/>
        <w:rPr>
          <w:rFonts w:ascii="宋体" w:hAnsi="宋体" w:eastAsia="宋体" w:cs="宋体"/>
          <w:sz w:val="22"/>
          <w:szCs w:val="22"/>
          <w:highlight w:val="none"/>
        </w:rPr>
      </w:pPr>
      <w:r>
        <w:rPr>
          <w:rFonts w:ascii="宋体" w:hAnsi="宋体"/>
          <w:sz w:val="22"/>
          <w:szCs w:val="22"/>
          <w:highlight w:val="none"/>
        </w:rPr>
        <w:t>2.</w:t>
      </w:r>
      <w:r>
        <w:rPr>
          <w:rFonts w:hint="eastAsia" w:eastAsia="宋体"/>
          <w:sz w:val="22"/>
          <w:szCs w:val="22"/>
          <w:highlight w:val="none"/>
          <w:lang w:val="zh-TW" w:eastAsia="zh-TW"/>
        </w:rPr>
        <w:t>中标供应商确定之日起</w:t>
      </w:r>
      <w:r>
        <w:rPr>
          <w:rFonts w:ascii="宋体" w:hAnsi="宋体"/>
          <w:sz w:val="22"/>
          <w:szCs w:val="22"/>
          <w:highlight w:val="none"/>
          <w:lang w:val="zh-TW" w:eastAsia="zh-TW"/>
        </w:rPr>
        <w:t>7</w:t>
      </w:r>
      <w:r>
        <w:rPr>
          <w:rFonts w:hint="eastAsia" w:eastAsia="宋体"/>
          <w:sz w:val="22"/>
          <w:szCs w:val="22"/>
          <w:highlight w:val="none"/>
          <w:lang w:val="zh-TW" w:eastAsia="zh-TW"/>
        </w:rPr>
        <w:t>个工作日内，将在财政部门指定的政府采购信息发布媒体上公告，中标供应商及时到代理机构领取《中标通知书》。</w:t>
      </w:r>
    </w:p>
    <w:p w14:paraId="2BE37853">
      <w:pPr>
        <w:pStyle w:val="189"/>
        <w:pageBreakBefore w:val="0"/>
        <w:spacing w:line="360" w:lineRule="auto"/>
        <w:ind w:firstLine="420"/>
        <w:rPr>
          <w:rFonts w:ascii="宋体" w:hAnsi="宋体" w:eastAsia="宋体" w:cs="宋体"/>
          <w:sz w:val="22"/>
          <w:szCs w:val="22"/>
          <w:highlight w:val="none"/>
        </w:rPr>
      </w:pPr>
      <w:r>
        <w:rPr>
          <w:rFonts w:ascii="宋体" w:hAnsi="宋体"/>
          <w:sz w:val="22"/>
          <w:szCs w:val="22"/>
          <w:highlight w:val="none"/>
        </w:rPr>
        <w:t>3.</w:t>
      </w:r>
      <w:r>
        <w:rPr>
          <w:rFonts w:hint="eastAsia" w:eastAsia="宋体"/>
          <w:sz w:val="22"/>
          <w:szCs w:val="22"/>
          <w:highlight w:val="none"/>
          <w:lang w:val="zh-TW" w:eastAsia="zh-TW"/>
        </w:rPr>
        <w:t>中标通知书对采购人和中标供应商具有同等法律效力。</w:t>
      </w:r>
    </w:p>
    <w:p w14:paraId="54E0862B">
      <w:pPr>
        <w:pStyle w:val="189"/>
        <w:pageBreakBefore w:val="0"/>
        <w:spacing w:line="360" w:lineRule="auto"/>
        <w:ind w:firstLine="420"/>
        <w:rPr>
          <w:rFonts w:ascii="宋体" w:hAnsi="宋体" w:eastAsia="宋体" w:cs="宋体"/>
          <w:sz w:val="22"/>
          <w:szCs w:val="22"/>
          <w:highlight w:val="none"/>
        </w:rPr>
      </w:pPr>
      <w:r>
        <w:rPr>
          <w:rFonts w:ascii="宋体" w:hAnsi="宋体"/>
          <w:sz w:val="22"/>
          <w:szCs w:val="22"/>
          <w:highlight w:val="none"/>
        </w:rPr>
        <w:t>4.</w:t>
      </w:r>
      <w:r>
        <w:rPr>
          <w:rFonts w:hint="eastAsia" w:eastAsia="宋体"/>
          <w:sz w:val="22"/>
          <w:szCs w:val="22"/>
          <w:highlight w:val="none"/>
          <w:lang w:val="zh-TW" w:eastAsia="zh-TW"/>
        </w:rPr>
        <w:t>中标通知书发出后，中标供应商无正当理由不与采购人签订合同的；情节严重的，由财政部门将其列入不良行为记录名单，在一至三年内禁止参加南京市政府采购活动，并予以通报。</w:t>
      </w:r>
    </w:p>
    <w:p w14:paraId="15BDDDF9">
      <w:pPr>
        <w:pStyle w:val="189"/>
        <w:pageBreakBefore w:val="0"/>
        <w:tabs>
          <w:tab w:val="left" w:pos="1260"/>
        </w:tabs>
        <w:spacing w:line="360" w:lineRule="auto"/>
        <w:ind w:firstLine="420"/>
        <w:rPr>
          <w:rFonts w:ascii="宋体" w:hAnsi="宋体" w:eastAsia="宋体" w:cs="宋体"/>
          <w:sz w:val="22"/>
          <w:szCs w:val="22"/>
          <w:highlight w:val="none"/>
        </w:rPr>
      </w:pPr>
      <w:r>
        <w:rPr>
          <w:rFonts w:ascii="宋体" w:hAnsi="宋体"/>
          <w:sz w:val="22"/>
          <w:szCs w:val="22"/>
          <w:highlight w:val="none"/>
        </w:rPr>
        <w:t>5.</w:t>
      </w:r>
      <w:r>
        <w:rPr>
          <w:rFonts w:hint="eastAsia" w:eastAsia="宋体"/>
          <w:sz w:val="22"/>
          <w:szCs w:val="22"/>
          <w:highlight w:val="none"/>
          <w:lang w:val="zh-TW" w:eastAsia="zh-TW"/>
        </w:rPr>
        <w:t>招标代理和评标委员会对未中标的供应商不作未中标原因的解释。</w:t>
      </w:r>
    </w:p>
    <w:p w14:paraId="312BDE95">
      <w:pPr>
        <w:pStyle w:val="189"/>
        <w:pageBreakBefore w:val="0"/>
        <w:spacing w:line="360" w:lineRule="auto"/>
        <w:ind w:firstLine="420"/>
        <w:rPr>
          <w:rFonts w:hint="eastAsia" w:eastAsia="宋体"/>
          <w:sz w:val="22"/>
          <w:szCs w:val="22"/>
          <w:highlight w:val="none"/>
          <w:lang w:val="zh-TW" w:eastAsia="zh-TW"/>
        </w:rPr>
      </w:pPr>
      <w:r>
        <w:rPr>
          <w:rFonts w:ascii="宋体" w:hAnsi="宋体"/>
          <w:sz w:val="22"/>
          <w:szCs w:val="22"/>
          <w:highlight w:val="none"/>
        </w:rPr>
        <w:t>6.</w:t>
      </w:r>
      <w:r>
        <w:rPr>
          <w:rFonts w:hint="eastAsia" w:eastAsia="宋体"/>
          <w:sz w:val="22"/>
          <w:szCs w:val="22"/>
          <w:highlight w:val="none"/>
          <w:lang w:val="zh-TW" w:eastAsia="zh-TW"/>
        </w:rPr>
        <w:t>所有投标文件都将作为档案保存，不论中标与否，招标代理均不退回。</w:t>
      </w:r>
    </w:p>
    <w:p w14:paraId="3C505043">
      <w:pPr>
        <w:pStyle w:val="189"/>
        <w:pageBreakBefore w:val="0"/>
        <w:spacing w:line="360" w:lineRule="auto"/>
        <w:ind w:firstLine="420"/>
        <w:rPr>
          <w:rFonts w:hint="eastAsia" w:ascii="宋体" w:hAnsi="宋体" w:eastAsia="宋体" w:cs="宋体"/>
          <w:b/>
          <w:bCs/>
          <w:sz w:val="22"/>
          <w:szCs w:val="22"/>
          <w:highlight w:val="none"/>
          <w:lang w:val="en-US" w:eastAsia="zh-CN"/>
        </w:rPr>
      </w:pPr>
      <w:r>
        <w:rPr>
          <w:rFonts w:hint="eastAsia" w:ascii="宋体" w:hAnsi="宋体" w:eastAsia="宋体" w:cs="宋体"/>
          <w:b/>
          <w:bCs/>
          <w:sz w:val="22"/>
          <w:szCs w:val="22"/>
          <w:highlight w:val="none"/>
          <w:lang w:val="en-US" w:eastAsia="zh-CN"/>
        </w:rPr>
        <w:t>7.</w:t>
      </w:r>
      <w:r>
        <w:rPr>
          <w:rFonts w:hint="eastAsia" w:ascii="宋体" w:hAnsi="宋体" w:eastAsia="宋体" w:cs="宋体"/>
          <w:b/>
          <w:bCs/>
          <w:sz w:val="22"/>
          <w:szCs w:val="22"/>
          <w:highlight w:val="none"/>
          <w:lang w:val="zh-TW" w:eastAsia="zh-TW"/>
        </w:rPr>
        <w:t>中标人确定后，在省级以上财政部门指定的媒体上公告中标结果，中标公告期为1个工作日，公告的同时向中标人发出中标通知书。</w:t>
      </w:r>
    </w:p>
    <w:p w14:paraId="322C9FF8">
      <w:pPr>
        <w:pStyle w:val="189"/>
        <w:pageBreakBefore w:val="0"/>
        <w:spacing w:line="360" w:lineRule="auto"/>
        <w:ind w:firstLine="420"/>
        <w:rPr>
          <w:rFonts w:ascii="SimSong Bold" w:hAnsi="SimSong Bold" w:eastAsia="SimSong Bold" w:cs="SimSong Bold"/>
          <w:sz w:val="22"/>
          <w:szCs w:val="22"/>
          <w:highlight w:val="none"/>
          <w:lang w:val="zh-TW" w:eastAsia="zh-TW"/>
        </w:rPr>
      </w:pPr>
      <w:r>
        <w:rPr>
          <w:rFonts w:hint="eastAsia" w:eastAsia="SimSong Bold"/>
          <w:sz w:val="22"/>
          <w:szCs w:val="22"/>
          <w:highlight w:val="none"/>
          <w:lang w:val="zh-TW" w:eastAsia="zh-TW"/>
        </w:rPr>
        <w:t>（四）编写评标报告</w:t>
      </w:r>
    </w:p>
    <w:p w14:paraId="3105AC07">
      <w:pPr>
        <w:pStyle w:val="189"/>
        <w:pageBreakBefore w:val="0"/>
        <w:spacing w:line="360" w:lineRule="auto"/>
        <w:ind w:firstLine="420"/>
        <w:rPr>
          <w:rFonts w:ascii="宋体" w:hAnsi="宋体" w:eastAsia="宋体" w:cs="宋体"/>
          <w:sz w:val="22"/>
          <w:szCs w:val="22"/>
          <w:highlight w:val="none"/>
        </w:rPr>
      </w:pPr>
      <w:r>
        <w:rPr>
          <w:rFonts w:ascii="宋体" w:hAnsi="宋体"/>
          <w:sz w:val="22"/>
          <w:szCs w:val="22"/>
          <w:highlight w:val="none"/>
        </w:rPr>
        <w:t>1.</w:t>
      </w:r>
      <w:r>
        <w:rPr>
          <w:rFonts w:hint="eastAsia" w:eastAsia="宋体"/>
          <w:sz w:val="22"/>
          <w:szCs w:val="22"/>
          <w:highlight w:val="none"/>
          <w:lang w:val="zh-TW" w:eastAsia="zh-TW"/>
        </w:rPr>
        <w:t>评标委员会根据全体评标成员签字的原始评标记录和评标结果编写评标报告。</w:t>
      </w:r>
    </w:p>
    <w:p w14:paraId="53B44163">
      <w:pPr>
        <w:pStyle w:val="189"/>
        <w:pageBreakBefore w:val="0"/>
        <w:spacing w:line="360" w:lineRule="auto"/>
        <w:ind w:firstLine="420"/>
        <w:rPr>
          <w:rFonts w:ascii="SimSong Bold" w:hAnsi="SimSong Bold" w:eastAsia="SimSong Bold" w:cs="SimSong Bold"/>
          <w:sz w:val="22"/>
          <w:szCs w:val="22"/>
          <w:highlight w:val="none"/>
          <w:lang w:val="zh-TW" w:eastAsia="zh-TW"/>
        </w:rPr>
      </w:pPr>
      <w:r>
        <w:rPr>
          <w:rFonts w:hint="eastAsia" w:eastAsia="SimSong Bold"/>
          <w:sz w:val="22"/>
          <w:szCs w:val="22"/>
          <w:highlight w:val="none"/>
          <w:lang w:val="zh-TW" w:eastAsia="zh-TW"/>
        </w:rPr>
        <w:t>（五）评标过程的保密性</w:t>
      </w:r>
    </w:p>
    <w:p w14:paraId="70C6E597">
      <w:pPr>
        <w:pStyle w:val="189"/>
        <w:pageBreakBefore w:val="0"/>
        <w:spacing w:line="360" w:lineRule="auto"/>
        <w:ind w:firstLine="420"/>
        <w:rPr>
          <w:rFonts w:ascii="宋体" w:hAnsi="宋体" w:eastAsia="宋体" w:cs="宋体"/>
          <w:sz w:val="22"/>
          <w:szCs w:val="22"/>
          <w:highlight w:val="none"/>
        </w:rPr>
      </w:pPr>
      <w:r>
        <w:rPr>
          <w:rFonts w:ascii="宋体" w:hAnsi="宋体"/>
          <w:sz w:val="22"/>
          <w:szCs w:val="22"/>
          <w:highlight w:val="none"/>
        </w:rPr>
        <w:t>1.</w:t>
      </w:r>
      <w:r>
        <w:rPr>
          <w:rFonts w:hint="eastAsia" w:eastAsia="宋体"/>
          <w:sz w:val="22"/>
          <w:szCs w:val="22"/>
          <w:highlight w:val="none"/>
          <w:lang w:val="zh-TW" w:eastAsia="zh-TW"/>
        </w:rPr>
        <w:t>招标代理将采取必要措施，保证评标在严格保密的情况下进行。</w:t>
      </w:r>
    </w:p>
    <w:p w14:paraId="20F44541">
      <w:pPr>
        <w:pStyle w:val="189"/>
        <w:pageBreakBefore w:val="0"/>
        <w:spacing w:line="360" w:lineRule="auto"/>
        <w:ind w:firstLine="420"/>
        <w:rPr>
          <w:rFonts w:ascii="宋体" w:hAnsi="宋体" w:eastAsia="宋体" w:cs="宋体"/>
          <w:sz w:val="22"/>
          <w:szCs w:val="22"/>
          <w:highlight w:val="none"/>
        </w:rPr>
      </w:pPr>
      <w:r>
        <w:rPr>
          <w:rFonts w:ascii="宋体" w:hAnsi="宋体"/>
          <w:sz w:val="22"/>
          <w:szCs w:val="22"/>
          <w:highlight w:val="none"/>
        </w:rPr>
        <w:t>2.</w:t>
      </w:r>
      <w:r>
        <w:rPr>
          <w:rFonts w:hint="eastAsia" w:eastAsia="宋体"/>
          <w:sz w:val="22"/>
          <w:szCs w:val="22"/>
          <w:highlight w:val="none"/>
          <w:lang w:val="zh-TW" w:eastAsia="zh-TW"/>
        </w:rPr>
        <w:t>任何单位和个人不得非法干预、影响评标办法的确定，以及评标过程和结果。</w:t>
      </w:r>
    </w:p>
    <w:p w14:paraId="74F60F64">
      <w:pPr>
        <w:pStyle w:val="189"/>
        <w:pageBreakBefore w:val="0"/>
        <w:spacing w:line="360" w:lineRule="auto"/>
        <w:ind w:firstLine="420"/>
        <w:rPr>
          <w:rFonts w:ascii="SimSong Bold" w:hAnsi="SimSong Bold" w:eastAsia="SimSong Bold" w:cs="SimSong Bold"/>
          <w:sz w:val="22"/>
          <w:szCs w:val="22"/>
          <w:highlight w:val="none"/>
        </w:rPr>
      </w:pPr>
      <w:r>
        <w:rPr>
          <w:rFonts w:ascii="宋体" w:hAnsi="宋体"/>
          <w:sz w:val="22"/>
          <w:szCs w:val="22"/>
          <w:highlight w:val="none"/>
        </w:rPr>
        <w:t>3.</w:t>
      </w:r>
      <w:r>
        <w:rPr>
          <w:rFonts w:hint="eastAsia" w:eastAsia="宋体"/>
          <w:sz w:val="22"/>
          <w:szCs w:val="22"/>
          <w:highlight w:val="none"/>
          <w:lang w:val="zh-TW" w:eastAsia="zh-TW"/>
        </w:rPr>
        <w:t>凡是与审查、澄清、评价和比较投标的有关资料等，均不向供应商及与评标无关的其他人员透露。</w:t>
      </w:r>
    </w:p>
    <w:p w14:paraId="767629D0">
      <w:pPr>
        <w:pageBreakBefore w:val="0"/>
        <w:widowControl/>
        <w:spacing w:after="0" w:line="360" w:lineRule="auto"/>
        <w:ind w:firstLine="422"/>
        <w:jc w:val="left"/>
        <w:outlineLvl w:val="1"/>
        <w:rPr>
          <w:rFonts w:hint="eastAsia" w:ascii="宋体" w:hAnsi="宋体" w:eastAsia="宋体" w:cs="Times New Roman"/>
          <w:b/>
          <w:sz w:val="22"/>
          <w:szCs w:val="22"/>
          <w:lang w:val="zh-TW" w:eastAsia="zh-TW" w:bidi="en-US"/>
        </w:rPr>
      </w:pPr>
      <w:r>
        <w:rPr>
          <w:rFonts w:hint="eastAsia" w:ascii="宋体" w:hAnsi="宋体" w:eastAsia="宋体" w:cs="Times New Roman"/>
          <w:b/>
          <w:sz w:val="22"/>
          <w:szCs w:val="22"/>
          <w:lang w:val="zh-TW" w:eastAsia="zh-TW" w:bidi="en-US"/>
        </w:rPr>
        <w:t>五、签订合同</w:t>
      </w:r>
    </w:p>
    <w:p w14:paraId="526A75DC">
      <w:pPr>
        <w:pStyle w:val="189"/>
        <w:pageBreakBefore w:val="0"/>
        <w:spacing w:line="360" w:lineRule="auto"/>
        <w:ind w:firstLine="420"/>
        <w:rPr>
          <w:rFonts w:ascii="SimSong Bold" w:hAnsi="SimSong Bold" w:eastAsia="SimSong Bold" w:cs="SimSong Bold"/>
          <w:sz w:val="22"/>
          <w:szCs w:val="22"/>
          <w:highlight w:val="none"/>
          <w:lang w:val="zh-TW" w:eastAsia="zh-TW"/>
        </w:rPr>
      </w:pPr>
      <w:r>
        <w:rPr>
          <w:rFonts w:hint="eastAsia" w:eastAsia="SimSong Bold"/>
          <w:sz w:val="22"/>
          <w:szCs w:val="22"/>
          <w:highlight w:val="none"/>
          <w:lang w:val="zh-TW" w:eastAsia="zh-TW"/>
        </w:rPr>
        <w:t>（一）签订合同</w:t>
      </w:r>
    </w:p>
    <w:p w14:paraId="68F19E8D">
      <w:pPr>
        <w:pStyle w:val="189"/>
        <w:pageBreakBefore w:val="0"/>
        <w:spacing w:line="360" w:lineRule="auto"/>
        <w:ind w:firstLine="420"/>
        <w:rPr>
          <w:rFonts w:ascii="宋体" w:hAnsi="宋体" w:eastAsia="宋体" w:cs="宋体"/>
          <w:sz w:val="22"/>
          <w:szCs w:val="22"/>
          <w:highlight w:val="none"/>
        </w:rPr>
      </w:pPr>
      <w:r>
        <w:rPr>
          <w:rFonts w:ascii="宋体" w:hAnsi="宋体"/>
          <w:sz w:val="22"/>
          <w:szCs w:val="22"/>
          <w:highlight w:val="none"/>
        </w:rPr>
        <w:t>1.</w:t>
      </w:r>
      <w:r>
        <w:rPr>
          <w:rFonts w:hint="eastAsia" w:eastAsia="宋体"/>
          <w:sz w:val="22"/>
          <w:szCs w:val="22"/>
          <w:highlight w:val="none"/>
          <w:lang w:val="zh-TW" w:eastAsia="zh-TW"/>
        </w:rPr>
        <w:t>采购人应当自中标通知书发出之日起</w:t>
      </w:r>
      <w:r>
        <w:rPr>
          <w:rFonts w:hint="eastAsia" w:ascii="SimSong Bold" w:hAnsi="SimSong Bold" w:eastAsia="宋体"/>
          <w:sz w:val="22"/>
          <w:szCs w:val="22"/>
          <w:highlight w:val="none"/>
          <w:lang w:val="en-US" w:eastAsia="zh-CN"/>
        </w:rPr>
        <w:t>30</w:t>
      </w:r>
      <w:r>
        <w:rPr>
          <w:rFonts w:hint="eastAsia" w:eastAsia="宋体"/>
          <w:sz w:val="22"/>
          <w:szCs w:val="22"/>
          <w:highlight w:val="none"/>
          <w:lang w:val="zh-TW" w:eastAsia="zh-TW"/>
        </w:rPr>
        <w:t>日内，按照招标文件和中标人投标文件的规定与中标人签订书面合同。所签订的合同不得对招标文件确定事项和中标人投标文件作实质性修改。</w:t>
      </w:r>
    </w:p>
    <w:p w14:paraId="4D465352">
      <w:pPr>
        <w:pStyle w:val="189"/>
        <w:pageBreakBefore w:val="0"/>
        <w:spacing w:line="360" w:lineRule="auto"/>
        <w:ind w:firstLine="420"/>
        <w:rPr>
          <w:rFonts w:ascii="宋体" w:hAnsi="宋体" w:eastAsia="宋体" w:cs="宋体"/>
          <w:sz w:val="22"/>
          <w:szCs w:val="22"/>
          <w:highlight w:val="none"/>
        </w:rPr>
      </w:pPr>
      <w:r>
        <w:rPr>
          <w:rFonts w:ascii="宋体" w:hAnsi="宋体"/>
          <w:sz w:val="22"/>
          <w:szCs w:val="22"/>
          <w:highlight w:val="none"/>
        </w:rPr>
        <w:t>2.</w:t>
      </w:r>
      <w:r>
        <w:rPr>
          <w:rFonts w:hint="eastAsia" w:eastAsia="宋体"/>
          <w:sz w:val="22"/>
          <w:szCs w:val="22"/>
          <w:highlight w:val="none"/>
          <w:lang w:val="zh-TW" w:eastAsia="zh-TW"/>
        </w:rPr>
        <w:t>采购人不得向中标人提出任何不合理的要求作为签订合同的条件，不得与中标人私下订立背离合同实质性内容的协议。</w:t>
      </w:r>
    </w:p>
    <w:p w14:paraId="1B1F4DE6">
      <w:pPr>
        <w:pStyle w:val="189"/>
        <w:pageBreakBefore w:val="0"/>
        <w:spacing w:line="360" w:lineRule="auto"/>
        <w:ind w:firstLine="420"/>
        <w:rPr>
          <w:rFonts w:hint="eastAsia" w:eastAsia="宋体"/>
          <w:sz w:val="22"/>
          <w:szCs w:val="22"/>
          <w:highlight w:val="none"/>
          <w:lang w:val="zh-TW" w:eastAsia="zh-TW"/>
        </w:rPr>
      </w:pPr>
      <w:r>
        <w:rPr>
          <w:rFonts w:ascii="宋体" w:hAnsi="宋体"/>
          <w:sz w:val="22"/>
          <w:szCs w:val="22"/>
          <w:highlight w:val="none"/>
        </w:rPr>
        <w:t>3.</w:t>
      </w:r>
      <w:r>
        <w:rPr>
          <w:rFonts w:hint="eastAsia" w:eastAsia="宋体"/>
          <w:sz w:val="22"/>
          <w:szCs w:val="22"/>
          <w:highlight w:val="none"/>
          <w:lang w:val="zh-TW" w:eastAsia="zh-TW"/>
        </w:rPr>
        <w:t>中标人拒绝与采购人签订合同，或因不可抗力或者自身原因不能履行政府采购合同的，采购人可以按照评审报告中的得分高低顺序，确定下一顺序供应商为中标人，也可以重新开展政府采购活动。</w:t>
      </w:r>
    </w:p>
    <w:p w14:paraId="79C9A9B9">
      <w:pPr>
        <w:pStyle w:val="189"/>
        <w:pageBreakBefore w:val="0"/>
        <w:spacing w:line="360" w:lineRule="auto"/>
        <w:ind w:firstLine="420"/>
        <w:rPr>
          <w:rFonts w:hint="eastAsia" w:ascii="宋体" w:hAnsi="宋体" w:eastAsia="宋体" w:cs="宋体"/>
          <w:b/>
          <w:bCs/>
          <w:sz w:val="22"/>
          <w:szCs w:val="22"/>
          <w:highlight w:val="none"/>
          <w:lang w:val="en-US" w:eastAsia="zh-CN"/>
        </w:rPr>
      </w:pPr>
      <w:r>
        <w:rPr>
          <w:rFonts w:hint="eastAsia" w:ascii="宋体" w:hAnsi="宋体" w:eastAsia="宋体" w:cs="宋体"/>
          <w:b/>
          <w:bCs/>
          <w:sz w:val="22"/>
          <w:szCs w:val="22"/>
          <w:highlight w:val="none"/>
          <w:lang w:val="en-US" w:eastAsia="zh-CN"/>
        </w:rPr>
        <w:t>4.政府采购合同履行中，采购人需追加与合同标的相同的服务的，在不改变合同其他条款的前提下，可以与供应商协商签订补充合同，但所有补充合同的采购金额不得超过原合同采购金额的百分之十。</w:t>
      </w:r>
    </w:p>
    <w:p w14:paraId="5AEC5F88">
      <w:pPr>
        <w:pageBreakBefore w:val="0"/>
        <w:widowControl/>
        <w:spacing w:after="0" w:line="360" w:lineRule="auto"/>
        <w:ind w:firstLine="422"/>
        <w:jc w:val="left"/>
        <w:outlineLvl w:val="1"/>
        <w:rPr>
          <w:rFonts w:hint="eastAsia" w:ascii="宋体" w:hAnsi="宋体" w:eastAsia="宋体" w:cs="Times New Roman"/>
          <w:b/>
          <w:sz w:val="22"/>
          <w:szCs w:val="22"/>
          <w:lang w:val="zh-TW" w:eastAsia="zh-TW" w:bidi="en-US"/>
        </w:rPr>
      </w:pPr>
      <w:r>
        <w:rPr>
          <w:rFonts w:hint="eastAsia" w:ascii="宋体" w:hAnsi="宋体" w:eastAsia="宋体" w:cs="Times New Roman"/>
          <w:b/>
          <w:sz w:val="22"/>
          <w:szCs w:val="22"/>
          <w:lang w:val="zh-TW" w:eastAsia="zh-TW" w:bidi="en-US"/>
        </w:rPr>
        <w:t>六、询问、质疑、投诉和诚实信用</w:t>
      </w:r>
    </w:p>
    <w:p w14:paraId="5685AD3C">
      <w:pPr>
        <w:pStyle w:val="189"/>
        <w:pageBreakBefore w:val="0"/>
        <w:spacing w:line="360" w:lineRule="auto"/>
        <w:ind w:firstLine="420"/>
        <w:rPr>
          <w:rFonts w:ascii="SimSong Bold" w:hAnsi="SimSong Bold" w:eastAsia="SimSong Bold" w:cs="SimSong Bold"/>
          <w:sz w:val="22"/>
          <w:szCs w:val="22"/>
          <w:highlight w:val="none"/>
          <w:lang w:val="zh-TW" w:eastAsia="zh-TW"/>
        </w:rPr>
      </w:pPr>
      <w:r>
        <w:rPr>
          <w:rFonts w:hint="eastAsia" w:eastAsia="SimSong Bold"/>
          <w:sz w:val="22"/>
          <w:szCs w:val="22"/>
          <w:highlight w:val="none"/>
          <w:lang w:val="zh-TW" w:eastAsia="zh-TW"/>
        </w:rPr>
        <w:t>（一）询问</w:t>
      </w:r>
    </w:p>
    <w:p w14:paraId="1EAFDCCD">
      <w:pPr>
        <w:pStyle w:val="189"/>
        <w:pageBreakBefore w:val="0"/>
        <w:spacing w:line="360" w:lineRule="auto"/>
        <w:ind w:firstLine="420"/>
        <w:rPr>
          <w:rFonts w:ascii="SimSong Bold" w:hAnsi="SimSong Bold" w:eastAsia="SimSong Bold" w:cs="SimSong Bold"/>
          <w:sz w:val="22"/>
          <w:szCs w:val="22"/>
          <w:highlight w:val="none"/>
        </w:rPr>
      </w:pPr>
      <w:r>
        <w:rPr>
          <w:rFonts w:ascii="宋体" w:hAnsi="宋体"/>
          <w:sz w:val="22"/>
          <w:szCs w:val="22"/>
          <w:highlight w:val="none"/>
        </w:rPr>
        <w:t>1.</w:t>
      </w:r>
      <w:r>
        <w:rPr>
          <w:rFonts w:hint="eastAsia" w:eastAsia="宋体"/>
          <w:sz w:val="22"/>
          <w:szCs w:val="22"/>
          <w:highlight w:val="none"/>
          <w:lang w:val="zh-TW" w:eastAsia="zh-TW"/>
        </w:rPr>
        <w:t>供应商对招标活动事项有疑问的，可以向招标代理或采购人提出询问，招标代理或采购人将在两个工作日内作出答复，但答复的内容不涉及商业秘密</w:t>
      </w:r>
      <w:r>
        <w:rPr>
          <w:rFonts w:hint="eastAsia" w:eastAsia="SimSong Bold"/>
          <w:sz w:val="22"/>
          <w:szCs w:val="22"/>
          <w:highlight w:val="none"/>
          <w:lang w:val="zh-TW" w:eastAsia="zh-TW"/>
        </w:rPr>
        <w:t>。</w:t>
      </w:r>
    </w:p>
    <w:p w14:paraId="6A56A8D7">
      <w:pPr>
        <w:pStyle w:val="189"/>
        <w:pageBreakBefore w:val="0"/>
        <w:spacing w:line="360" w:lineRule="auto"/>
        <w:ind w:firstLine="420"/>
        <w:rPr>
          <w:rFonts w:ascii="SimSong Bold" w:hAnsi="SimSong Bold" w:eastAsia="SimSong Bold" w:cs="SimSong Bold"/>
          <w:sz w:val="22"/>
          <w:szCs w:val="22"/>
          <w:highlight w:val="none"/>
          <w:lang w:val="zh-TW" w:eastAsia="zh-TW"/>
        </w:rPr>
      </w:pPr>
      <w:r>
        <w:rPr>
          <w:rFonts w:hint="eastAsia" w:eastAsia="SimSong Bold"/>
          <w:sz w:val="22"/>
          <w:szCs w:val="22"/>
          <w:highlight w:val="none"/>
          <w:lang w:val="zh-TW" w:eastAsia="zh-TW"/>
        </w:rPr>
        <w:t>（二）质疑</w:t>
      </w:r>
    </w:p>
    <w:p w14:paraId="5B3826F4">
      <w:pPr>
        <w:pStyle w:val="189"/>
        <w:pageBreakBefore w:val="0"/>
        <w:spacing w:line="360" w:lineRule="auto"/>
        <w:ind w:firstLine="420"/>
        <w:rPr>
          <w:rFonts w:ascii="宋体" w:hAnsi="宋体" w:eastAsia="宋体" w:cs="宋体"/>
          <w:sz w:val="22"/>
          <w:szCs w:val="22"/>
          <w:highlight w:val="none"/>
        </w:rPr>
      </w:pPr>
      <w:r>
        <w:rPr>
          <w:rFonts w:ascii="宋体" w:hAnsi="宋体"/>
          <w:sz w:val="22"/>
          <w:szCs w:val="22"/>
          <w:highlight w:val="none"/>
        </w:rPr>
        <w:t>1.</w:t>
      </w:r>
      <w:r>
        <w:rPr>
          <w:rFonts w:hint="eastAsia" w:eastAsia="宋体"/>
          <w:sz w:val="22"/>
          <w:szCs w:val="22"/>
          <w:highlight w:val="none"/>
          <w:lang w:val="zh-TW" w:eastAsia="zh-TW"/>
        </w:rPr>
        <w:t>供应商认为采购文件、采购过程和中标结果使自己的合法权益受到损害的，可以在知道或者应当知道其权益受到损害之日起七个工作日内，将质疑文件原件以书面形式送达招标代理。</w:t>
      </w:r>
    </w:p>
    <w:p w14:paraId="7ACBDB75">
      <w:pPr>
        <w:pStyle w:val="189"/>
        <w:pageBreakBefore w:val="0"/>
        <w:spacing w:line="360" w:lineRule="auto"/>
        <w:ind w:firstLine="420"/>
        <w:rPr>
          <w:rFonts w:ascii="宋体" w:hAnsi="宋体" w:eastAsia="宋体" w:cs="宋体"/>
          <w:sz w:val="22"/>
          <w:szCs w:val="22"/>
          <w:highlight w:val="none"/>
        </w:rPr>
      </w:pPr>
      <w:r>
        <w:rPr>
          <w:rFonts w:ascii="宋体" w:hAnsi="宋体"/>
          <w:sz w:val="22"/>
          <w:szCs w:val="22"/>
          <w:highlight w:val="none"/>
        </w:rPr>
        <w:t>2.</w:t>
      </w:r>
      <w:r>
        <w:rPr>
          <w:rFonts w:hint="eastAsia" w:eastAsia="宋体"/>
          <w:sz w:val="22"/>
          <w:szCs w:val="22"/>
          <w:highlight w:val="none"/>
          <w:lang w:val="zh-TW" w:eastAsia="zh-TW"/>
        </w:rPr>
        <w:t>质疑供应商是指直接参加本次投标活动的供应商，未参加投标活动的供应商或在投标活动中自身权益未受到损害的供应商所提出的质疑不予受理。</w:t>
      </w:r>
    </w:p>
    <w:p w14:paraId="56157918">
      <w:pPr>
        <w:pStyle w:val="189"/>
        <w:pageBreakBefore w:val="0"/>
        <w:spacing w:line="360" w:lineRule="auto"/>
        <w:ind w:firstLine="420"/>
        <w:rPr>
          <w:rFonts w:ascii="宋体" w:hAnsi="宋体" w:eastAsia="宋体" w:cs="宋体"/>
          <w:sz w:val="22"/>
          <w:szCs w:val="22"/>
          <w:highlight w:val="none"/>
        </w:rPr>
      </w:pPr>
      <w:r>
        <w:rPr>
          <w:rFonts w:ascii="宋体" w:hAnsi="宋体"/>
          <w:sz w:val="22"/>
          <w:szCs w:val="22"/>
          <w:highlight w:val="none"/>
        </w:rPr>
        <w:t>3.</w:t>
      </w:r>
      <w:r>
        <w:rPr>
          <w:rFonts w:hint="eastAsia" w:eastAsia="宋体"/>
          <w:sz w:val="22"/>
          <w:szCs w:val="22"/>
          <w:highlight w:val="none"/>
          <w:lang w:val="zh-TW" w:eastAsia="zh-TW"/>
        </w:rPr>
        <w:t>质疑必须以参加投标供应商法定代表人或授权代表（投标文件中所确定的）原件送达的方式提交，否则，招标代理有权不予受理。</w:t>
      </w:r>
    </w:p>
    <w:p w14:paraId="075E8F53">
      <w:pPr>
        <w:pStyle w:val="189"/>
        <w:pageBreakBefore w:val="0"/>
        <w:spacing w:line="360" w:lineRule="auto"/>
        <w:ind w:firstLine="420"/>
        <w:rPr>
          <w:rFonts w:ascii="宋体" w:hAnsi="宋体" w:eastAsia="宋体" w:cs="宋体"/>
          <w:sz w:val="22"/>
          <w:szCs w:val="22"/>
          <w:highlight w:val="none"/>
        </w:rPr>
      </w:pPr>
      <w:r>
        <w:rPr>
          <w:rFonts w:ascii="宋体" w:hAnsi="宋体"/>
          <w:sz w:val="22"/>
          <w:szCs w:val="22"/>
          <w:highlight w:val="none"/>
        </w:rPr>
        <w:t>4.</w:t>
      </w:r>
      <w:r>
        <w:rPr>
          <w:rFonts w:hint="eastAsia" w:eastAsia="宋体"/>
          <w:sz w:val="22"/>
          <w:szCs w:val="22"/>
          <w:highlight w:val="none"/>
          <w:lang w:val="zh-TW" w:eastAsia="zh-TW"/>
        </w:rPr>
        <w:t>上述应知其权益受到损害之日是指：</w:t>
      </w:r>
    </w:p>
    <w:p w14:paraId="61B72FA3">
      <w:pPr>
        <w:pStyle w:val="189"/>
        <w:pageBreakBefore w:val="0"/>
        <w:spacing w:line="360" w:lineRule="auto"/>
        <w:ind w:firstLine="210"/>
        <w:rPr>
          <w:rFonts w:ascii="宋体" w:hAnsi="宋体" w:eastAsia="宋体" w:cs="宋体"/>
          <w:sz w:val="22"/>
          <w:szCs w:val="22"/>
          <w:highlight w:val="none"/>
        </w:rPr>
      </w:pPr>
      <w:r>
        <w:rPr>
          <w:rFonts w:hint="eastAsia" w:eastAsia="宋体"/>
          <w:sz w:val="22"/>
          <w:szCs w:val="22"/>
          <w:highlight w:val="none"/>
          <w:lang w:val="zh-TW" w:eastAsia="zh-TW"/>
        </w:rPr>
        <w:t>（</w:t>
      </w:r>
      <w:r>
        <w:rPr>
          <w:rFonts w:ascii="宋体" w:hAnsi="宋体"/>
          <w:sz w:val="22"/>
          <w:szCs w:val="22"/>
          <w:highlight w:val="none"/>
        </w:rPr>
        <w:t>1</w:t>
      </w:r>
      <w:r>
        <w:rPr>
          <w:rFonts w:hint="eastAsia" w:eastAsia="宋体"/>
          <w:sz w:val="22"/>
          <w:szCs w:val="22"/>
          <w:highlight w:val="none"/>
          <w:lang w:val="zh-TW" w:eastAsia="zh-TW"/>
        </w:rPr>
        <w:t>）对招标文件提出质疑的，为投标文件公告期限届满之日起计算；</w:t>
      </w:r>
    </w:p>
    <w:p w14:paraId="3136A87E">
      <w:pPr>
        <w:pStyle w:val="189"/>
        <w:pageBreakBefore w:val="0"/>
        <w:spacing w:line="360" w:lineRule="auto"/>
        <w:ind w:firstLine="210"/>
        <w:rPr>
          <w:rFonts w:ascii="宋体" w:hAnsi="宋体" w:eastAsia="宋体" w:cs="宋体"/>
          <w:sz w:val="22"/>
          <w:szCs w:val="22"/>
          <w:highlight w:val="none"/>
        </w:rPr>
      </w:pPr>
      <w:r>
        <w:rPr>
          <w:rFonts w:hint="eastAsia" w:eastAsia="宋体"/>
          <w:sz w:val="22"/>
          <w:szCs w:val="22"/>
          <w:highlight w:val="none"/>
          <w:lang w:val="zh-TW" w:eastAsia="zh-TW"/>
        </w:rPr>
        <w:t>（</w:t>
      </w:r>
      <w:r>
        <w:rPr>
          <w:rFonts w:ascii="宋体" w:hAnsi="宋体"/>
          <w:sz w:val="22"/>
          <w:szCs w:val="22"/>
          <w:highlight w:val="none"/>
        </w:rPr>
        <w:t>2</w:t>
      </w:r>
      <w:r>
        <w:rPr>
          <w:rFonts w:hint="eastAsia" w:eastAsia="宋体"/>
          <w:sz w:val="22"/>
          <w:szCs w:val="22"/>
          <w:highlight w:val="none"/>
          <w:lang w:val="zh-TW" w:eastAsia="zh-TW"/>
        </w:rPr>
        <w:t>）对采购过程提出质疑的，自采购程序环节结束之日起计算；</w:t>
      </w:r>
    </w:p>
    <w:p w14:paraId="7880ED17">
      <w:pPr>
        <w:pStyle w:val="189"/>
        <w:pageBreakBefore w:val="0"/>
        <w:spacing w:line="360" w:lineRule="auto"/>
        <w:ind w:firstLine="210"/>
        <w:rPr>
          <w:rFonts w:ascii="宋体" w:hAnsi="宋体" w:eastAsia="宋体" w:cs="宋体"/>
          <w:sz w:val="22"/>
          <w:szCs w:val="22"/>
          <w:highlight w:val="none"/>
        </w:rPr>
      </w:pPr>
      <w:r>
        <w:rPr>
          <w:rFonts w:hint="eastAsia" w:eastAsia="宋体"/>
          <w:sz w:val="22"/>
          <w:szCs w:val="22"/>
          <w:highlight w:val="none"/>
          <w:lang w:val="zh-TW" w:eastAsia="zh-TW"/>
        </w:rPr>
        <w:t>（</w:t>
      </w:r>
      <w:r>
        <w:rPr>
          <w:rFonts w:ascii="宋体" w:hAnsi="宋体"/>
          <w:sz w:val="22"/>
          <w:szCs w:val="22"/>
          <w:highlight w:val="none"/>
        </w:rPr>
        <w:t>3</w:t>
      </w:r>
      <w:r>
        <w:rPr>
          <w:rFonts w:hint="eastAsia" w:eastAsia="宋体"/>
          <w:sz w:val="22"/>
          <w:szCs w:val="22"/>
          <w:highlight w:val="none"/>
          <w:lang w:val="zh-TW" w:eastAsia="zh-TW"/>
        </w:rPr>
        <w:t>）对中标结果提出质疑的，自中标结果公告期限届满之日起计算。</w:t>
      </w:r>
    </w:p>
    <w:p w14:paraId="23D65B98">
      <w:pPr>
        <w:pStyle w:val="189"/>
        <w:pageBreakBefore w:val="0"/>
        <w:spacing w:line="360" w:lineRule="auto"/>
        <w:ind w:firstLine="420"/>
        <w:rPr>
          <w:rFonts w:ascii="宋体" w:hAnsi="宋体" w:eastAsia="宋体" w:cs="宋体"/>
          <w:sz w:val="22"/>
          <w:szCs w:val="22"/>
          <w:highlight w:val="none"/>
        </w:rPr>
      </w:pPr>
      <w:r>
        <w:rPr>
          <w:rFonts w:ascii="宋体" w:hAnsi="宋体"/>
          <w:sz w:val="22"/>
          <w:szCs w:val="22"/>
          <w:highlight w:val="none"/>
        </w:rPr>
        <w:t>5.</w:t>
      </w:r>
      <w:r>
        <w:rPr>
          <w:rFonts w:hint="eastAsia" w:eastAsia="宋体"/>
          <w:sz w:val="22"/>
          <w:szCs w:val="22"/>
          <w:highlight w:val="none"/>
          <w:lang w:val="zh-TW" w:eastAsia="zh-TW"/>
        </w:rPr>
        <w:t>质疑文件应包括以下主要内容，并按照</w:t>
      </w:r>
      <w:r>
        <w:rPr>
          <w:rFonts w:ascii="宋体" w:hAnsi="宋体"/>
          <w:sz w:val="22"/>
          <w:szCs w:val="22"/>
          <w:highlight w:val="none"/>
          <w:lang w:val="zh-TW" w:eastAsia="zh-TW"/>
        </w:rPr>
        <w:t>“</w:t>
      </w:r>
      <w:r>
        <w:rPr>
          <w:rFonts w:hint="eastAsia" w:eastAsia="宋体"/>
          <w:sz w:val="22"/>
          <w:szCs w:val="22"/>
          <w:highlight w:val="none"/>
          <w:lang w:val="zh-TW" w:eastAsia="zh-TW"/>
        </w:rPr>
        <w:t>谁主张、谁举证</w:t>
      </w:r>
      <w:r>
        <w:rPr>
          <w:rFonts w:ascii="宋体" w:hAnsi="宋体"/>
          <w:sz w:val="22"/>
          <w:szCs w:val="22"/>
          <w:highlight w:val="none"/>
          <w:lang w:val="zh-TW" w:eastAsia="zh-TW"/>
        </w:rPr>
        <w:t>”</w:t>
      </w:r>
      <w:r>
        <w:rPr>
          <w:rFonts w:hint="eastAsia" w:eastAsia="宋体"/>
          <w:sz w:val="22"/>
          <w:szCs w:val="22"/>
          <w:highlight w:val="none"/>
          <w:lang w:val="zh-TW" w:eastAsia="zh-TW"/>
        </w:rPr>
        <w:t>的原则，附上相关证明材料。否则，招标代理或采购人不予受理：</w:t>
      </w:r>
    </w:p>
    <w:p w14:paraId="5545838F">
      <w:pPr>
        <w:pStyle w:val="189"/>
        <w:pageBreakBefore w:val="0"/>
        <w:spacing w:line="360" w:lineRule="auto"/>
        <w:ind w:firstLine="210"/>
        <w:rPr>
          <w:rFonts w:ascii="宋体" w:hAnsi="宋体" w:eastAsia="宋体" w:cs="宋体"/>
          <w:sz w:val="22"/>
          <w:szCs w:val="22"/>
          <w:highlight w:val="none"/>
        </w:rPr>
      </w:pPr>
      <w:r>
        <w:rPr>
          <w:rFonts w:hint="eastAsia" w:eastAsia="宋体"/>
          <w:sz w:val="22"/>
          <w:szCs w:val="22"/>
          <w:highlight w:val="none"/>
          <w:lang w:val="zh-TW" w:eastAsia="zh-TW"/>
        </w:rPr>
        <w:t>（</w:t>
      </w:r>
      <w:r>
        <w:rPr>
          <w:rFonts w:ascii="宋体" w:hAnsi="宋体"/>
          <w:sz w:val="22"/>
          <w:szCs w:val="22"/>
          <w:highlight w:val="none"/>
        </w:rPr>
        <w:t>1</w:t>
      </w:r>
      <w:r>
        <w:rPr>
          <w:rFonts w:hint="eastAsia" w:eastAsia="宋体"/>
          <w:sz w:val="22"/>
          <w:szCs w:val="22"/>
          <w:highlight w:val="none"/>
          <w:lang w:val="zh-TW" w:eastAsia="zh-TW"/>
        </w:rPr>
        <w:t>）质疑项目名称、项目编号、包号、招标公告发布时间、开标时间；</w:t>
      </w:r>
    </w:p>
    <w:p w14:paraId="7961C0DF">
      <w:pPr>
        <w:pStyle w:val="189"/>
        <w:pageBreakBefore w:val="0"/>
        <w:spacing w:line="360" w:lineRule="auto"/>
        <w:ind w:firstLine="210"/>
        <w:rPr>
          <w:rFonts w:ascii="宋体" w:hAnsi="宋体" w:eastAsia="宋体" w:cs="宋体"/>
          <w:sz w:val="22"/>
          <w:szCs w:val="22"/>
          <w:highlight w:val="none"/>
        </w:rPr>
      </w:pPr>
      <w:r>
        <w:rPr>
          <w:rFonts w:hint="eastAsia" w:eastAsia="宋体"/>
          <w:sz w:val="22"/>
          <w:szCs w:val="22"/>
          <w:highlight w:val="none"/>
          <w:lang w:val="zh-TW" w:eastAsia="zh-TW"/>
        </w:rPr>
        <w:t>（</w:t>
      </w:r>
      <w:r>
        <w:rPr>
          <w:rFonts w:ascii="宋体" w:hAnsi="宋体"/>
          <w:sz w:val="22"/>
          <w:szCs w:val="22"/>
          <w:highlight w:val="none"/>
        </w:rPr>
        <w:t>2</w:t>
      </w:r>
      <w:r>
        <w:rPr>
          <w:rFonts w:hint="eastAsia" w:eastAsia="宋体"/>
          <w:sz w:val="22"/>
          <w:szCs w:val="22"/>
          <w:highlight w:val="none"/>
          <w:lang w:val="zh-TW" w:eastAsia="zh-TW"/>
        </w:rPr>
        <w:t>）提起质疑的日期、具体的质疑事项及事实根据（具体条款）；</w:t>
      </w:r>
    </w:p>
    <w:p w14:paraId="2AF008B6">
      <w:pPr>
        <w:pStyle w:val="189"/>
        <w:pageBreakBefore w:val="0"/>
        <w:spacing w:line="360" w:lineRule="auto"/>
        <w:ind w:firstLine="210"/>
        <w:rPr>
          <w:rFonts w:ascii="宋体" w:hAnsi="宋体" w:eastAsia="宋体" w:cs="宋体"/>
          <w:sz w:val="22"/>
          <w:szCs w:val="22"/>
          <w:highlight w:val="none"/>
        </w:rPr>
      </w:pPr>
      <w:r>
        <w:rPr>
          <w:rFonts w:hint="eastAsia" w:eastAsia="宋体"/>
          <w:sz w:val="22"/>
          <w:szCs w:val="22"/>
          <w:highlight w:val="none"/>
          <w:lang w:val="zh-TW" w:eastAsia="zh-TW"/>
        </w:rPr>
        <w:t>（</w:t>
      </w:r>
      <w:r>
        <w:rPr>
          <w:rFonts w:ascii="宋体" w:hAnsi="宋体"/>
          <w:sz w:val="22"/>
          <w:szCs w:val="22"/>
          <w:highlight w:val="none"/>
        </w:rPr>
        <w:t>3</w:t>
      </w:r>
      <w:r>
        <w:rPr>
          <w:rFonts w:hint="eastAsia" w:eastAsia="宋体"/>
          <w:sz w:val="22"/>
          <w:szCs w:val="22"/>
          <w:highlight w:val="none"/>
          <w:lang w:val="zh-TW" w:eastAsia="zh-TW"/>
        </w:rPr>
        <w:t>）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p>
    <w:p w14:paraId="541870B9">
      <w:pPr>
        <w:pStyle w:val="189"/>
        <w:pageBreakBefore w:val="0"/>
        <w:spacing w:line="360" w:lineRule="auto"/>
        <w:ind w:firstLine="210"/>
        <w:rPr>
          <w:rFonts w:ascii="宋体" w:hAnsi="宋体" w:eastAsia="宋体" w:cs="宋体"/>
          <w:sz w:val="22"/>
          <w:szCs w:val="22"/>
          <w:highlight w:val="none"/>
        </w:rPr>
      </w:pPr>
      <w:r>
        <w:rPr>
          <w:rFonts w:hint="eastAsia" w:eastAsia="宋体"/>
          <w:sz w:val="22"/>
          <w:szCs w:val="22"/>
          <w:highlight w:val="none"/>
          <w:lang w:val="zh-TW" w:eastAsia="zh-TW"/>
        </w:rPr>
        <w:t>（</w:t>
      </w:r>
      <w:r>
        <w:rPr>
          <w:rFonts w:ascii="宋体" w:hAnsi="宋体"/>
          <w:sz w:val="22"/>
          <w:szCs w:val="22"/>
          <w:highlight w:val="none"/>
        </w:rPr>
        <w:t>4</w:t>
      </w:r>
      <w:r>
        <w:rPr>
          <w:rFonts w:hint="eastAsia" w:eastAsia="宋体"/>
          <w:sz w:val="22"/>
          <w:szCs w:val="22"/>
          <w:highlight w:val="none"/>
          <w:lang w:val="zh-TW" w:eastAsia="zh-TW"/>
        </w:rPr>
        <w:t>）质疑供应商名称、地址、邮编、联系人、联系电话（包括座机、手机、传真号码等）；</w:t>
      </w:r>
    </w:p>
    <w:p w14:paraId="17F92C46">
      <w:pPr>
        <w:pStyle w:val="189"/>
        <w:pageBreakBefore w:val="0"/>
        <w:spacing w:line="360" w:lineRule="auto"/>
        <w:ind w:firstLine="210"/>
        <w:rPr>
          <w:rFonts w:ascii="宋体" w:hAnsi="宋体" w:eastAsia="宋体" w:cs="宋体"/>
          <w:sz w:val="22"/>
          <w:szCs w:val="22"/>
          <w:highlight w:val="none"/>
        </w:rPr>
      </w:pPr>
      <w:r>
        <w:rPr>
          <w:rFonts w:hint="eastAsia" w:eastAsia="宋体"/>
          <w:sz w:val="22"/>
          <w:szCs w:val="22"/>
          <w:highlight w:val="none"/>
          <w:lang w:val="zh-TW" w:eastAsia="zh-TW"/>
        </w:rPr>
        <w:t>（</w:t>
      </w:r>
      <w:r>
        <w:rPr>
          <w:rFonts w:ascii="宋体" w:hAnsi="宋体"/>
          <w:sz w:val="22"/>
          <w:szCs w:val="22"/>
          <w:highlight w:val="none"/>
        </w:rPr>
        <w:t>5</w:t>
      </w:r>
      <w:r>
        <w:rPr>
          <w:rFonts w:hint="eastAsia" w:eastAsia="宋体"/>
          <w:sz w:val="22"/>
          <w:szCs w:val="22"/>
          <w:highlight w:val="none"/>
          <w:lang w:val="zh-TW" w:eastAsia="zh-TW"/>
        </w:rPr>
        <w:t>）质疑文件应当署名，质疑人为自然人的，应当由本人签字并附有效身份证明；质疑人为法人或其他组织的，应当由法定代表人签字并加盖单位公章。</w:t>
      </w:r>
    </w:p>
    <w:p w14:paraId="32F6C0B6">
      <w:pPr>
        <w:pStyle w:val="189"/>
        <w:pageBreakBefore w:val="0"/>
        <w:spacing w:line="360" w:lineRule="auto"/>
        <w:ind w:firstLine="210"/>
        <w:rPr>
          <w:rFonts w:ascii="宋体" w:hAnsi="宋体" w:eastAsia="宋体" w:cs="宋体"/>
          <w:sz w:val="22"/>
          <w:szCs w:val="22"/>
          <w:highlight w:val="none"/>
        </w:rPr>
      </w:pPr>
      <w:r>
        <w:rPr>
          <w:rFonts w:hint="eastAsia" w:eastAsia="宋体"/>
          <w:sz w:val="22"/>
          <w:szCs w:val="22"/>
          <w:highlight w:val="none"/>
          <w:lang w:val="zh-TW" w:eastAsia="zh-TW"/>
        </w:rPr>
        <w:t>（</w:t>
      </w:r>
      <w:r>
        <w:rPr>
          <w:rFonts w:ascii="宋体" w:hAnsi="宋体"/>
          <w:sz w:val="22"/>
          <w:szCs w:val="22"/>
          <w:highlight w:val="none"/>
        </w:rPr>
        <w:t>6</w:t>
      </w:r>
      <w:r>
        <w:rPr>
          <w:rFonts w:hint="eastAsia" w:eastAsia="宋体"/>
          <w:sz w:val="22"/>
          <w:szCs w:val="22"/>
          <w:highlight w:val="none"/>
          <w:lang w:val="zh-TW" w:eastAsia="zh-TW"/>
        </w:rPr>
        <w:t>）供应商委托代理质疑的，应当向被质疑人提交授权委托书，并载明委托代理的具体权限和事项。</w:t>
      </w:r>
    </w:p>
    <w:p w14:paraId="4B2A64CA">
      <w:pPr>
        <w:pStyle w:val="189"/>
        <w:pageBreakBefore w:val="0"/>
        <w:spacing w:line="360" w:lineRule="auto"/>
        <w:ind w:firstLine="210"/>
        <w:rPr>
          <w:rFonts w:ascii="宋体" w:hAnsi="宋体" w:eastAsia="宋体" w:cs="宋体"/>
          <w:sz w:val="22"/>
          <w:szCs w:val="22"/>
          <w:highlight w:val="none"/>
        </w:rPr>
      </w:pPr>
      <w:r>
        <w:rPr>
          <w:rFonts w:hint="eastAsia" w:eastAsia="宋体"/>
          <w:sz w:val="22"/>
          <w:szCs w:val="22"/>
          <w:highlight w:val="none"/>
          <w:lang w:val="zh-TW" w:eastAsia="zh-TW"/>
        </w:rPr>
        <w:t>（</w:t>
      </w:r>
      <w:r>
        <w:rPr>
          <w:rFonts w:ascii="宋体" w:hAnsi="宋体"/>
          <w:sz w:val="22"/>
          <w:szCs w:val="22"/>
          <w:highlight w:val="none"/>
        </w:rPr>
        <w:t>7</w:t>
      </w:r>
      <w:r>
        <w:rPr>
          <w:rFonts w:hint="eastAsia" w:eastAsia="宋体"/>
          <w:sz w:val="22"/>
          <w:szCs w:val="22"/>
          <w:highlight w:val="none"/>
          <w:lang w:val="zh-TW" w:eastAsia="zh-TW"/>
        </w:rPr>
        <w:t>）招标代理在收到供应商的书面质疑后将及时组织调查核实，在七个工作日内作出答复，并以书面或在网站公告形式通知质疑供应商和其他有关供应商，答复的内容不涉及商业秘密。招标代理遵循</w:t>
      </w:r>
      <w:r>
        <w:rPr>
          <w:rFonts w:ascii="宋体" w:hAnsi="宋体"/>
          <w:sz w:val="22"/>
          <w:szCs w:val="22"/>
          <w:highlight w:val="none"/>
          <w:lang w:val="zh-TW" w:eastAsia="zh-TW"/>
        </w:rPr>
        <w:t>“</w:t>
      </w:r>
      <w:r>
        <w:rPr>
          <w:rFonts w:hint="eastAsia" w:eastAsia="宋体"/>
          <w:sz w:val="22"/>
          <w:szCs w:val="22"/>
          <w:highlight w:val="none"/>
          <w:lang w:val="zh-TW" w:eastAsia="zh-TW"/>
        </w:rPr>
        <w:t>谁过错谁负担</w:t>
      </w:r>
      <w:r>
        <w:rPr>
          <w:rFonts w:ascii="宋体" w:hAnsi="宋体"/>
          <w:sz w:val="22"/>
          <w:szCs w:val="22"/>
          <w:highlight w:val="none"/>
          <w:lang w:val="zh-TW" w:eastAsia="zh-TW"/>
        </w:rPr>
        <w:t>”</w:t>
      </w:r>
      <w:r>
        <w:rPr>
          <w:rFonts w:hint="eastAsia" w:eastAsia="宋体"/>
          <w:sz w:val="22"/>
          <w:szCs w:val="22"/>
          <w:highlight w:val="none"/>
          <w:lang w:val="zh-TW" w:eastAsia="zh-TW"/>
        </w:rPr>
        <w:t>的原则，有过错的一方承担调查论证费用。</w:t>
      </w:r>
    </w:p>
    <w:p w14:paraId="72E66A60">
      <w:pPr>
        <w:pStyle w:val="189"/>
        <w:pageBreakBefore w:val="0"/>
        <w:spacing w:line="360" w:lineRule="auto"/>
        <w:ind w:firstLine="420"/>
        <w:rPr>
          <w:rFonts w:ascii="宋体" w:hAnsi="宋体" w:eastAsia="宋体" w:cs="宋体"/>
          <w:sz w:val="22"/>
          <w:szCs w:val="22"/>
          <w:highlight w:val="none"/>
          <w:lang w:val="zh-TW" w:eastAsia="zh-TW"/>
        </w:rPr>
      </w:pPr>
      <w:r>
        <w:rPr>
          <w:rFonts w:hint="eastAsia" w:eastAsia="SimSong Bold"/>
          <w:sz w:val="22"/>
          <w:szCs w:val="22"/>
          <w:highlight w:val="none"/>
          <w:lang w:val="zh-TW" w:eastAsia="zh-TW"/>
        </w:rPr>
        <w:t>（三）投诉</w:t>
      </w:r>
    </w:p>
    <w:p w14:paraId="5F3608DF">
      <w:pPr>
        <w:pStyle w:val="189"/>
        <w:pageBreakBefore w:val="0"/>
        <w:spacing w:line="360" w:lineRule="auto"/>
        <w:ind w:firstLine="420"/>
        <w:rPr>
          <w:rFonts w:ascii="宋体" w:hAnsi="宋体" w:eastAsia="宋体" w:cs="宋体"/>
          <w:sz w:val="22"/>
          <w:szCs w:val="22"/>
          <w:highlight w:val="none"/>
        </w:rPr>
      </w:pPr>
      <w:r>
        <w:rPr>
          <w:rFonts w:ascii="宋体" w:hAnsi="宋体"/>
          <w:sz w:val="22"/>
          <w:szCs w:val="22"/>
          <w:highlight w:val="none"/>
        </w:rPr>
        <w:t>1.</w:t>
      </w:r>
      <w:r>
        <w:rPr>
          <w:rFonts w:hint="eastAsia" w:eastAsia="宋体"/>
          <w:sz w:val="22"/>
          <w:szCs w:val="22"/>
          <w:highlight w:val="none"/>
          <w:lang w:val="zh-TW" w:eastAsia="zh-TW"/>
        </w:rPr>
        <w:t>质疑供应商对招标代理的答复不满意，或招标代理未在规定的时间内作出答复的，可以在答复期满后</w:t>
      </w:r>
      <w:r>
        <w:rPr>
          <w:rFonts w:hint="eastAsia" w:eastAsia="SimSong Bold"/>
          <w:sz w:val="22"/>
          <w:szCs w:val="22"/>
          <w:highlight w:val="none"/>
          <w:lang w:val="zh-TW" w:eastAsia="zh-TW"/>
        </w:rPr>
        <w:t>十五个工作日内</w:t>
      </w:r>
      <w:r>
        <w:rPr>
          <w:rFonts w:hint="eastAsia" w:eastAsia="宋体"/>
          <w:sz w:val="22"/>
          <w:szCs w:val="22"/>
          <w:highlight w:val="none"/>
          <w:lang w:val="zh-TW" w:eastAsia="zh-TW"/>
        </w:rPr>
        <w:t>向采购项目同级财政部门投诉。</w:t>
      </w:r>
    </w:p>
    <w:p w14:paraId="1E8826A4">
      <w:pPr>
        <w:pStyle w:val="189"/>
        <w:pageBreakBefore w:val="0"/>
        <w:spacing w:line="360" w:lineRule="auto"/>
        <w:ind w:firstLine="420"/>
        <w:rPr>
          <w:rFonts w:ascii="SimSong Bold" w:hAnsi="SimSong Bold" w:eastAsia="SimSong Bold" w:cs="SimSong Bold"/>
          <w:sz w:val="22"/>
          <w:szCs w:val="22"/>
          <w:highlight w:val="none"/>
          <w:lang w:val="zh-TW" w:eastAsia="zh-TW"/>
        </w:rPr>
      </w:pPr>
      <w:r>
        <w:rPr>
          <w:rFonts w:hint="eastAsia" w:eastAsia="SimSong Bold"/>
          <w:sz w:val="22"/>
          <w:szCs w:val="22"/>
          <w:highlight w:val="none"/>
          <w:lang w:val="zh-TW" w:eastAsia="zh-TW"/>
        </w:rPr>
        <w:t>（四）诚实信用</w:t>
      </w:r>
    </w:p>
    <w:p w14:paraId="61F6F78A">
      <w:pPr>
        <w:pStyle w:val="189"/>
        <w:pageBreakBefore w:val="0"/>
        <w:spacing w:line="360" w:lineRule="auto"/>
        <w:ind w:firstLine="420"/>
        <w:rPr>
          <w:rFonts w:ascii="宋体" w:hAnsi="宋体" w:eastAsia="宋体" w:cs="宋体"/>
          <w:sz w:val="22"/>
          <w:szCs w:val="22"/>
          <w:highlight w:val="none"/>
        </w:rPr>
      </w:pPr>
      <w:r>
        <w:rPr>
          <w:rFonts w:ascii="宋体" w:hAnsi="宋体"/>
          <w:sz w:val="22"/>
          <w:szCs w:val="22"/>
          <w:highlight w:val="none"/>
        </w:rPr>
        <w:t>1.</w:t>
      </w:r>
      <w:r>
        <w:rPr>
          <w:rFonts w:hint="eastAsia" w:eastAsia="宋体"/>
          <w:sz w:val="22"/>
          <w:szCs w:val="22"/>
          <w:highlight w:val="none"/>
          <w:lang w:val="zh-TW" w:eastAsia="zh-TW"/>
        </w:rPr>
        <w:t>供应商之间不得相互串通投标报价，不得妨碍其他供应商的公平竞争，不得损害采购人和其他供应商的合法权益。</w:t>
      </w:r>
    </w:p>
    <w:p w14:paraId="4EA0494B">
      <w:pPr>
        <w:pStyle w:val="189"/>
        <w:pageBreakBefore w:val="0"/>
        <w:spacing w:line="360" w:lineRule="auto"/>
        <w:ind w:firstLine="420"/>
        <w:rPr>
          <w:rFonts w:ascii="宋体" w:hAnsi="宋体" w:eastAsia="宋体" w:cs="宋体"/>
          <w:sz w:val="22"/>
          <w:szCs w:val="22"/>
          <w:highlight w:val="none"/>
        </w:rPr>
      </w:pPr>
      <w:r>
        <w:rPr>
          <w:rFonts w:ascii="宋体" w:hAnsi="宋体"/>
          <w:sz w:val="22"/>
          <w:szCs w:val="22"/>
          <w:highlight w:val="none"/>
        </w:rPr>
        <w:t>2.</w:t>
      </w:r>
      <w:r>
        <w:rPr>
          <w:rFonts w:hint="eastAsia" w:eastAsia="宋体"/>
          <w:sz w:val="22"/>
          <w:szCs w:val="22"/>
          <w:highlight w:val="none"/>
          <w:lang w:val="zh-TW" w:eastAsia="zh-TW"/>
        </w:rPr>
        <w:t>供应商不得以向招标代理工作人员、评标委员会成员行贿或者采取其他不正当手段谋取中标。经查实供应商有此行为的，政府采购管理部门将供应商列入不良行为记录名单，按照《政府采购法》有关规定处理。</w:t>
      </w:r>
    </w:p>
    <w:p w14:paraId="270DE643">
      <w:pPr>
        <w:pStyle w:val="189"/>
        <w:pageBreakBefore w:val="0"/>
        <w:spacing w:line="360" w:lineRule="auto"/>
        <w:ind w:firstLine="420"/>
        <w:rPr>
          <w:rFonts w:ascii="宋体" w:hAnsi="宋体" w:eastAsia="宋体" w:cs="宋体"/>
          <w:sz w:val="22"/>
          <w:szCs w:val="22"/>
          <w:highlight w:val="none"/>
        </w:rPr>
      </w:pPr>
      <w:r>
        <w:rPr>
          <w:rFonts w:ascii="宋体" w:hAnsi="宋体"/>
          <w:sz w:val="22"/>
          <w:szCs w:val="22"/>
          <w:highlight w:val="none"/>
        </w:rPr>
        <w:t>3.</w:t>
      </w:r>
      <w:r>
        <w:rPr>
          <w:rFonts w:hint="eastAsia" w:eastAsia="宋体"/>
          <w:sz w:val="22"/>
          <w:szCs w:val="22"/>
          <w:highlight w:val="none"/>
          <w:lang w:val="zh-TW" w:eastAsia="zh-TW"/>
        </w:rPr>
        <w:t>供应商提出书面质疑必须有理、有据，不得虚假质疑和恶意质疑，并对质疑内容的真实性承担责任。一经查实，招标代理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招标代理将提请财政部门将其列入不良行为记录名单，并依法予以处罚。</w:t>
      </w:r>
    </w:p>
    <w:p w14:paraId="0BE3332A">
      <w:pPr>
        <w:pStyle w:val="189"/>
        <w:pageBreakBefore w:val="0"/>
        <w:spacing w:line="360" w:lineRule="auto"/>
        <w:ind w:firstLine="420"/>
        <w:rPr>
          <w:rFonts w:ascii="宋体" w:hAnsi="宋体" w:eastAsia="宋体" w:cs="宋体"/>
          <w:sz w:val="22"/>
          <w:szCs w:val="22"/>
          <w:highlight w:val="none"/>
        </w:rPr>
      </w:pPr>
      <w:r>
        <w:rPr>
          <w:rFonts w:ascii="宋体" w:hAnsi="宋体"/>
          <w:sz w:val="22"/>
          <w:szCs w:val="22"/>
          <w:highlight w:val="none"/>
        </w:rPr>
        <w:t>4.</w:t>
      </w:r>
      <w:r>
        <w:rPr>
          <w:rFonts w:hint="eastAsia" w:eastAsia="宋体"/>
          <w:sz w:val="22"/>
          <w:szCs w:val="22"/>
          <w:highlight w:val="none"/>
          <w:lang w:val="zh-TW" w:eastAsia="zh-TW"/>
        </w:rPr>
        <w:t>供应商不得虚假承诺，否则，按照提供虚假材料谋取中标成交处理。</w:t>
      </w:r>
    </w:p>
    <w:p w14:paraId="453961B0">
      <w:pPr>
        <w:pStyle w:val="189"/>
        <w:pageBreakBefore w:val="0"/>
        <w:spacing w:line="360" w:lineRule="auto"/>
        <w:ind w:firstLine="420"/>
        <w:rPr>
          <w:rFonts w:ascii="宋体" w:hAnsi="宋体" w:eastAsia="宋体" w:cs="宋体"/>
          <w:sz w:val="22"/>
          <w:szCs w:val="22"/>
          <w:highlight w:val="none"/>
        </w:rPr>
      </w:pPr>
      <w:r>
        <w:rPr>
          <w:rFonts w:ascii="宋体" w:hAnsi="宋体"/>
          <w:sz w:val="22"/>
          <w:szCs w:val="22"/>
          <w:highlight w:val="none"/>
        </w:rPr>
        <w:t>5.</w:t>
      </w:r>
      <w:r>
        <w:rPr>
          <w:rFonts w:hint="eastAsia" w:eastAsia="宋体"/>
          <w:sz w:val="22"/>
          <w:szCs w:val="22"/>
          <w:highlight w:val="none"/>
          <w:lang w:val="zh-TW" w:eastAsia="zh-TW"/>
        </w:rPr>
        <w:t>供应商应自觉遵守开标、评标纪律，扰乱开标评标现场秩序的，属于失信行为，根据《江苏省政府采购供应商监督管理暂行办法》，失信行为将被记入供应商诚信档案。</w:t>
      </w:r>
    </w:p>
    <w:p w14:paraId="373147F1">
      <w:pPr>
        <w:pageBreakBefore w:val="0"/>
        <w:spacing w:line="360" w:lineRule="auto"/>
        <w:ind w:left="1807" w:hanging="1807"/>
        <w:jc w:val="center"/>
        <w:rPr>
          <w:rFonts w:hint="eastAsia" w:ascii="宋体" w:hAnsi="宋体" w:cs="宋体"/>
          <w:b/>
          <w:bCs/>
          <w:color w:val="000000"/>
          <w:sz w:val="22"/>
          <w:szCs w:val="22"/>
          <w:lang w:val="zh-CN"/>
        </w:rPr>
      </w:pPr>
    </w:p>
    <w:p w14:paraId="3100F3EB">
      <w:pPr>
        <w:pStyle w:val="42"/>
        <w:pageBreakBefore w:val="0"/>
        <w:spacing w:line="360" w:lineRule="auto"/>
        <w:rPr>
          <w:rFonts w:hint="eastAsia" w:ascii="宋体" w:hAnsi="宋体" w:cs="宋体"/>
          <w:b/>
          <w:bCs/>
          <w:color w:val="000000"/>
          <w:sz w:val="22"/>
          <w:szCs w:val="22"/>
          <w:lang w:val="zh-CN"/>
        </w:rPr>
      </w:pPr>
    </w:p>
    <w:p w14:paraId="4A366932">
      <w:pPr>
        <w:pageBreakBefore w:val="0"/>
        <w:spacing w:line="360" w:lineRule="auto"/>
        <w:rPr>
          <w:rFonts w:hint="eastAsia" w:ascii="宋体" w:hAnsi="宋体" w:cs="宋体"/>
          <w:b/>
          <w:bCs/>
          <w:color w:val="000000"/>
          <w:sz w:val="22"/>
          <w:szCs w:val="22"/>
          <w:lang w:val="zh-CN"/>
        </w:rPr>
      </w:pPr>
      <w:r>
        <w:rPr>
          <w:rFonts w:hint="eastAsia" w:ascii="宋体" w:hAnsi="宋体" w:cs="宋体"/>
          <w:b/>
          <w:bCs/>
          <w:color w:val="000000"/>
          <w:sz w:val="22"/>
          <w:szCs w:val="22"/>
          <w:lang w:val="zh-CN"/>
        </w:rPr>
        <w:br w:type="page" w:clear="all"/>
      </w:r>
    </w:p>
    <w:p w14:paraId="229BF893">
      <w:pPr>
        <w:pStyle w:val="41"/>
        <w:widowControl/>
        <w:spacing w:before="156" w:after="156" w:line="460" w:lineRule="exact"/>
        <w:ind w:left="1455" w:hanging="1455"/>
        <w:contextualSpacing/>
        <w:jc w:val="center"/>
        <w:outlineLvl w:val="0"/>
        <w:rPr>
          <w:rFonts w:hint="eastAsia" w:ascii="宋体" w:hAnsi="宋体" w:eastAsia="宋体" w:cs="Times New Roman"/>
          <w:b/>
          <w:sz w:val="36"/>
          <w:szCs w:val="30"/>
          <w:highlight w:val="yellow"/>
          <w:lang w:val="zh-CN" w:eastAsia="zh-CN" w:bidi="en-US"/>
        </w:rPr>
      </w:pPr>
      <w:r>
        <w:rPr>
          <w:rFonts w:hint="eastAsia" w:ascii="宋体" w:hAnsi="宋体" w:eastAsia="宋体" w:cs="Times New Roman"/>
          <w:b/>
          <w:sz w:val="36"/>
          <w:szCs w:val="30"/>
          <w:highlight w:val="none"/>
          <w:lang w:val="zh-CN" w:eastAsia="zh-CN" w:bidi="en-US"/>
        </w:rPr>
        <w:t xml:space="preserve">第三章 </w:t>
      </w:r>
      <w:r>
        <w:rPr>
          <w:rFonts w:hint="eastAsia" w:ascii="宋体" w:hAnsi="宋体" w:cs="Times New Roman"/>
          <w:b/>
          <w:sz w:val="36"/>
          <w:szCs w:val="30"/>
          <w:highlight w:val="none"/>
          <w:lang w:val="en-US" w:eastAsia="zh-CN" w:bidi="en-US"/>
        </w:rPr>
        <w:t xml:space="preserve"> </w:t>
      </w:r>
      <w:r>
        <w:rPr>
          <w:rFonts w:hint="eastAsia" w:ascii="宋体" w:hAnsi="宋体" w:eastAsia="宋体" w:cs="Times New Roman"/>
          <w:b/>
          <w:sz w:val="36"/>
          <w:szCs w:val="30"/>
          <w:highlight w:val="none"/>
          <w:lang w:val="zh-CN" w:eastAsia="zh-CN" w:bidi="en-US"/>
        </w:rPr>
        <w:t>评标标准</w:t>
      </w:r>
    </w:p>
    <w:p w14:paraId="0CF2971B">
      <w:pPr>
        <w:pageBreakBefore w:val="0"/>
        <w:widowControl/>
        <w:spacing w:after="0" w:line="360" w:lineRule="auto"/>
        <w:ind w:firstLine="422"/>
        <w:jc w:val="left"/>
        <w:outlineLvl w:val="1"/>
        <w:rPr>
          <w:rFonts w:hint="eastAsia" w:ascii="宋体" w:hAnsi="宋体" w:eastAsia="宋体" w:cs="Times New Roman"/>
          <w:b/>
          <w:sz w:val="22"/>
          <w:szCs w:val="22"/>
          <w:lang w:val="zh-CN" w:eastAsia="zh-CN" w:bidi="en-US"/>
        </w:rPr>
      </w:pPr>
      <w:r>
        <w:rPr>
          <w:rFonts w:hint="eastAsia" w:ascii="宋体" w:hAnsi="宋体" w:eastAsia="宋体" w:cs="Times New Roman"/>
          <w:b/>
          <w:sz w:val="22"/>
          <w:szCs w:val="22"/>
          <w:lang w:val="zh-CN" w:eastAsia="zh-CN" w:bidi="en-US"/>
        </w:rPr>
        <w:t>一、评标方法与定标原则</w:t>
      </w:r>
    </w:p>
    <w:p w14:paraId="58F9A24B">
      <w:pPr>
        <w:spacing w:line="360" w:lineRule="auto"/>
        <w:ind w:firstLine="420"/>
        <w:rPr>
          <w:rFonts w:hint="eastAsia" w:ascii="宋体" w:hAnsi="宋体" w:cs="宋体"/>
          <w:color w:val="000000"/>
          <w:sz w:val="22"/>
          <w:szCs w:val="22"/>
        </w:rPr>
      </w:pPr>
      <w:r>
        <w:rPr>
          <w:rFonts w:hint="eastAsia" w:ascii="宋体" w:hAnsi="宋体" w:cs="宋体"/>
          <w:color w:val="000000"/>
          <w:sz w:val="22"/>
          <w:szCs w:val="22"/>
        </w:rPr>
        <w:t>1、评标委员会将对确定为实质性响应招标文件要求的投标文件进行评价和比较，评标采用综合评分法。</w:t>
      </w:r>
    </w:p>
    <w:p w14:paraId="54BDC8B4">
      <w:pPr>
        <w:spacing w:line="360" w:lineRule="auto"/>
        <w:ind w:firstLine="420"/>
        <w:rPr>
          <w:rFonts w:hint="eastAsia" w:ascii="宋体" w:hAnsi="宋体" w:cs="宋体"/>
          <w:color w:val="000000"/>
          <w:sz w:val="22"/>
          <w:szCs w:val="22"/>
        </w:rPr>
      </w:pPr>
      <w:r>
        <w:rPr>
          <w:rFonts w:hint="eastAsia" w:ascii="宋体" w:hAnsi="宋体" w:cs="宋体"/>
          <w:color w:val="000000"/>
          <w:sz w:val="22"/>
          <w:szCs w:val="22"/>
        </w:rPr>
        <w:t>2、评标委员会根据供应商综合评审得分，从高到低排序，依次推荐不超过三名中标候选人。</w:t>
      </w:r>
    </w:p>
    <w:p w14:paraId="06F811F0">
      <w:pPr>
        <w:widowControl/>
        <w:spacing w:line="360" w:lineRule="auto"/>
        <w:ind w:firstLine="420"/>
        <w:jc w:val="left"/>
        <w:rPr>
          <w:rFonts w:hint="eastAsia" w:ascii="宋体" w:hAnsi="宋体" w:cs="宋体"/>
          <w:color w:val="000000"/>
          <w:sz w:val="22"/>
          <w:szCs w:val="22"/>
        </w:rPr>
      </w:pPr>
      <w:r>
        <w:rPr>
          <w:rFonts w:hint="eastAsia" w:ascii="宋体" w:hAnsi="宋体" w:cs="宋体"/>
          <w:color w:val="000000"/>
          <w:sz w:val="22"/>
          <w:szCs w:val="22"/>
        </w:rPr>
        <w:t>3、若出现总分相同不能依序推荐中标候选人时，则以供应商技术方案评分高者为先。</w:t>
      </w:r>
    </w:p>
    <w:p w14:paraId="48921361">
      <w:pPr>
        <w:spacing w:line="360" w:lineRule="auto"/>
        <w:ind w:firstLine="420"/>
        <w:rPr>
          <w:rFonts w:hint="eastAsia" w:ascii="宋体" w:hAnsi="宋体" w:cs="宋体"/>
          <w:color w:val="000000"/>
          <w:sz w:val="22"/>
          <w:szCs w:val="22"/>
        </w:rPr>
      </w:pPr>
      <w:r>
        <w:rPr>
          <w:rFonts w:hint="eastAsia" w:ascii="宋体" w:hAnsi="宋体" w:cs="宋体"/>
          <w:color w:val="000000"/>
          <w:sz w:val="22"/>
          <w:szCs w:val="22"/>
        </w:rPr>
        <w:t>4、采购人按照评标委员会的推荐确定第一中标候选人为中标人，若确定中标的中标候选人放弃中标或者因不可抗力提出不能履行合同的，采购人可以依序确定其他中标候选人为中标人，签订合同或者组织重新招标。</w:t>
      </w:r>
    </w:p>
    <w:p w14:paraId="11750201">
      <w:pPr>
        <w:pageBreakBefore w:val="0"/>
        <w:widowControl/>
        <w:spacing w:after="0" w:line="360" w:lineRule="auto"/>
        <w:ind w:firstLine="422"/>
        <w:jc w:val="left"/>
        <w:outlineLvl w:val="1"/>
        <w:rPr>
          <w:rFonts w:hint="eastAsia" w:ascii="宋体" w:hAnsi="宋体" w:eastAsia="宋体" w:cs="Times New Roman"/>
          <w:b/>
          <w:sz w:val="22"/>
          <w:szCs w:val="22"/>
          <w:lang w:val="zh-CN" w:eastAsia="zh-CN" w:bidi="en-US"/>
        </w:rPr>
      </w:pPr>
      <w:r>
        <w:rPr>
          <w:rFonts w:hint="eastAsia" w:ascii="宋体" w:hAnsi="宋体" w:eastAsia="宋体" w:cs="Times New Roman"/>
          <w:b/>
          <w:sz w:val="22"/>
          <w:szCs w:val="22"/>
          <w:lang w:val="zh-CN" w:eastAsia="zh-CN" w:bidi="en-US"/>
        </w:rPr>
        <w:t>二、评标标准</w:t>
      </w:r>
    </w:p>
    <w:p w14:paraId="6C8065DD">
      <w:pPr>
        <w:spacing w:line="360" w:lineRule="auto"/>
        <w:ind w:firstLine="420"/>
        <w:rPr>
          <w:rFonts w:hint="eastAsia" w:ascii="宋体" w:hAnsi="宋体" w:cs="宋体"/>
          <w:color w:val="000000"/>
          <w:sz w:val="22"/>
          <w:szCs w:val="22"/>
        </w:rPr>
      </w:pPr>
      <w:r>
        <w:rPr>
          <w:rFonts w:hint="eastAsia" w:ascii="宋体" w:hAnsi="宋体" w:cs="宋体"/>
          <w:color w:val="000000"/>
          <w:sz w:val="22"/>
          <w:szCs w:val="22"/>
        </w:rPr>
        <w:t>本项目采用综合评分法确定中标候选人，评标委员会将按下列评分办法和标准进行评分。（按四舍五入取至小数点后二位）</w:t>
      </w:r>
    </w:p>
    <w:tbl>
      <w:tblPr>
        <w:tblStyle w:val="35"/>
        <w:tblW w:w="95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2"/>
        <w:gridCol w:w="1113"/>
        <w:gridCol w:w="6893"/>
        <w:gridCol w:w="776"/>
      </w:tblGrid>
      <w:tr w14:paraId="2A373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dxa"/>
            <w:noWrap w:val="0"/>
            <w:vAlign w:val="center"/>
          </w:tcPr>
          <w:p w14:paraId="6E8F9C29">
            <w:pPr>
              <w:widowControl/>
              <w:spacing w:line="360" w:lineRule="auto"/>
              <w:jc w:val="center"/>
              <w:rPr>
                <w:rFonts w:hint="eastAsia" w:ascii="宋体" w:hAnsi="宋体" w:cs="宋体"/>
                <w:b/>
                <w:szCs w:val="21"/>
              </w:rPr>
            </w:pPr>
            <w:r>
              <w:rPr>
                <w:rFonts w:hint="eastAsia" w:ascii="宋体" w:hAnsi="宋体" w:cs="宋体"/>
                <w:b/>
                <w:szCs w:val="21"/>
              </w:rPr>
              <w:t>序号</w:t>
            </w:r>
          </w:p>
        </w:tc>
        <w:tc>
          <w:tcPr>
            <w:tcW w:w="1113" w:type="dxa"/>
            <w:noWrap w:val="0"/>
            <w:vAlign w:val="center"/>
          </w:tcPr>
          <w:p w14:paraId="0F6FC844">
            <w:pPr>
              <w:widowControl/>
              <w:spacing w:line="360" w:lineRule="auto"/>
              <w:jc w:val="center"/>
              <w:rPr>
                <w:rFonts w:hint="eastAsia" w:ascii="宋体" w:hAnsi="宋体" w:cs="宋体"/>
                <w:b/>
                <w:szCs w:val="21"/>
              </w:rPr>
            </w:pPr>
            <w:r>
              <w:rPr>
                <w:rFonts w:hint="eastAsia" w:ascii="宋体" w:hAnsi="宋体" w:cs="宋体"/>
                <w:b/>
                <w:szCs w:val="21"/>
              </w:rPr>
              <w:t>评审</w:t>
            </w:r>
          </w:p>
          <w:p w14:paraId="33CA1E78">
            <w:pPr>
              <w:widowControl/>
              <w:spacing w:line="360" w:lineRule="auto"/>
              <w:jc w:val="center"/>
              <w:rPr>
                <w:rFonts w:hint="eastAsia" w:ascii="宋体" w:hAnsi="宋体" w:cs="宋体"/>
                <w:b/>
                <w:szCs w:val="21"/>
              </w:rPr>
            </w:pPr>
            <w:r>
              <w:rPr>
                <w:rFonts w:hint="eastAsia" w:ascii="宋体" w:hAnsi="宋体" w:cs="宋体"/>
                <w:b/>
                <w:szCs w:val="21"/>
              </w:rPr>
              <w:t>因素</w:t>
            </w:r>
          </w:p>
        </w:tc>
        <w:tc>
          <w:tcPr>
            <w:tcW w:w="6893" w:type="dxa"/>
            <w:noWrap w:val="0"/>
            <w:vAlign w:val="center"/>
          </w:tcPr>
          <w:p w14:paraId="1A6DCF3D">
            <w:pPr>
              <w:widowControl/>
              <w:spacing w:line="360" w:lineRule="auto"/>
              <w:jc w:val="center"/>
              <w:rPr>
                <w:rFonts w:hint="eastAsia" w:ascii="宋体" w:hAnsi="宋体" w:cs="宋体"/>
                <w:b/>
                <w:szCs w:val="21"/>
              </w:rPr>
            </w:pPr>
            <w:r>
              <w:rPr>
                <w:rFonts w:hint="eastAsia" w:ascii="宋体" w:hAnsi="宋体" w:cs="宋体"/>
                <w:b/>
                <w:szCs w:val="21"/>
                <w:highlight w:val="none"/>
              </w:rPr>
              <w:t>评审标准</w:t>
            </w:r>
          </w:p>
        </w:tc>
        <w:tc>
          <w:tcPr>
            <w:tcW w:w="776" w:type="dxa"/>
            <w:noWrap w:val="0"/>
            <w:vAlign w:val="center"/>
          </w:tcPr>
          <w:p w14:paraId="2F681589">
            <w:pPr>
              <w:widowControl/>
              <w:spacing w:line="360" w:lineRule="auto"/>
              <w:jc w:val="center"/>
              <w:rPr>
                <w:rFonts w:hint="eastAsia" w:ascii="宋体" w:hAnsi="宋体" w:cs="宋体"/>
                <w:b/>
                <w:szCs w:val="21"/>
              </w:rPr>
            </w:pPr>
            <w:r>
              <w:rPr>
                <w:rFonts w:hint="eastAsia" w:ascii="宋体" w:hAnsi="宋体" w:cs="宋体"/>
                <w:b/>
                <w:szCs w:val="21"/>
              </w:rPr>
              <w:t>分值</w:t>
            </w:r>
          </w:p>
        </w:tc>
      </w:tr>
      <w:tr w14:paraId="608F2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dxa"/>
            <w:noWrap w:val="0"/>
            <w:vAlign w:val="center"/>
          </w:tcPr>
          <w:p w14:paraId="709ADF94">
            <w:pPr>
              <w:widowControl/>
              <w:spacing w:line="360" w:lineRule="auto"/>
              <w:jc w:val="center"/>
              <w:rPr>
                <w:rFonts w:hint="eastAsia" w:ascii="宋体" w:hAnsi="宋体" w:cs="宋体"/>
                <w:b/>
                <w:szCs w:val="21"/>
              </w:rPr>
            </w:pPr>
            <w:r>
              <w:rPr>
                <w:rFonts w:hint="eastAsia" w:ascii="宋体" w:hAnsi="宋体" w:cs="宋体"/>
                <w:b/>
                <w:szCs w:val="21"/>
              </w:rPr>
              <w:t>1</w:t>
            </w:r>
          </w:p>
        </w:tc>
        <w:tc>
          <w:tcPr>
            <w:tcW w:w="1113" w:type="dxa"/>
            <w:noWrap w:val="0"/>
            <w:vAlign w:val="center"/>
          </w:tcPr>
          <w:p w14:paraId="4D1ED8A8">
            <w:pPr>
              <w:widowControl/>
              <w:spacing w:line="360" w:lineRule="auto"/>
              <w:jc w:val="center"/>
              <w:rPr>
                <w:rFonts w:hint="eastAsia" w:ascii="宋体" w:hAnsi="宋体" w:cs="宋体"/>
                <w:b/>
                <w:color w:val="auto"/>
                <w:szCs w:val="21"/>
              </w:rPr>
            </w:pPr>
            <w:r>
              <w:rPr>
                <w:rFonts w:hint="eastAsia" w:ascii="宋体" w:hAnsi="宋体" w:cs="宋体"/>
                <w:b/>
                <w:color w:val="auto"/>
                <w:szCs w:val="21"/>
              </w:rPr>
              <w:t>价格</w:t>
            </w:r>
          </w:p>
          <w:p w14:paraId="1345BB67">
            <w:pPr>
              <w:widowControl/>
              <w:spacing w:line="360" w:lineRule="auto"/>
              <w:jc w:val="center"/>
              <w:rPr>
                <w:rFonts w:hint="eastAsia" w:ascii="宋体" w:hAnsi="宋体" w:cs="宋体"/>
                <w:b/>
                <w:color w:val="auto"/>
                <w:szCs w:val="21"/>
              </w:rPr>
            </w:pPr>
            <w:r>
              <w:rPr>
                <w:rFonts w:hint="eastAsia" w:ascii="宋体" w:hAnsi="宋体" w:cs="宋体"/>
                <w:b/>
                <w:color w:val="auto"/>
                <w:szCs w:val="21"/>
              </w:rPr>
              <w:t>（</w:t>
            </w:r>
            <w:r>
              <w:rPr>
                <w:rFonts w:hint="eastAsia" w:ascii="宋体" w:hAnsi="宋体" w:cs="宋体"/>
                <w:b/>
                <w:color w:val="auto"/>
                <w:szCs w:val="21"/>
                <w:lang w:val="en-US" w:eastAsia="zh-CN"/>
              </w:rPr>
              <w:t>15</w:t>
            </w:r>
            <w:r>
              <w:rPr>
                <w:rFonts w:hint="eastAsia" w:ascii="宋体" w:hAnsi="宋体" w:cs="宋体"/>
                <w:b/>
                <w:color w:val="auto"/>
                <w:szCs w:val="21"/>
              </w:rPr>
              <w:t>分）</w:t>
            </w:r>
          </w:p>
        </w:tc>
        <w:tc>
          <w:tcPr>
            <w:tcW w:w="6893" w:type="dxa"/>
            <w:noWrap w:val="0"/>
            <w:vAlign w:val="center"/>
          </w:tcPr>
          <w:p w14:paraId="70CE3340">
            <w:pPr>
              <w:spacing w:line="360" w:lineRule="auto"/>
              <w:rPr>
                <w:rFonts w:hint="eastAsia" w:ascii="宋体" w:hAnsi="宋体" w:cs="宋体"/>
                <w:color w:val="auto"/>
                <w:szCs w:val="21"/>
              </w:rPr>
            </w:pPr>
            <w:r>
              <w:rPr>
                <w:rFonts w:hint="eastAsia" w:ascii="宋体" w:hAnsi="宋体" w:cs="宋体"/>
                <w:color w:val="auto"/>
                <w:szCs w:val="21"/>
              </w:rPr>
              <w:t>采用低价优先法计算，即满足招标文件要求且投标价格最低的投标报价为评标基准价，其价格分为满分。</w:t>
            </w:r>
          </w:p>
          <w:p w14:paraId="53D7D721">
            <w:pPr>
              <w:spacing w:line="360" w:lineRule="auto"/>
              <w:rPr>
                <w:rFonts w:hint="eastAsia" w:ascii="宋体" w:hAnsi="宋体" w:cs="宋体"/>
                <w:color w:val="auto"/>
                <w:szCs w:val="21"/>
              </w:rPr>
            </w:pPr>
            <w:r>
              <w:rPr>
                <w:rFonts w:hint="eastAsia" w:ascii="宋体" w:hAnsi="宋体" w:cs="宋体"/>
                <w:color w:val="auto"/>
                <w:szCs w:val="21"/>
              </w:rPr>
              <w:t>其他供应商的价格分统一按照下列公式计算（小数点保留两位）：</w:t>
            </w:r>
          </w:p>
          <w:p w14:paraId="2346BA4F">
            <w:pPr>
              <w:spacing w:line="360" w:lineRule="auto"/>
              <w:rPr>
                <w:rFonts w:hint="eastAsia" w:ascii="宋体" w:hAnsi="宋体" w:cs="宋体"/>
                <w:color w:val="auto"/>
                <w:szCs w:val="21"/>
              </w:rPr>
            </w:pPr>
            <w:r>
              <w:rPr>
                <w:rFonts w:hint="eastAsia" w:ascii="宋体" w:hAnsi="宋体" w:cs="宋体"/>
                <w:color w:val="auto"/>
                <w:szCs w:val="21"/>
              </w:rPr>
              <w:t>投标报价得分=(评标基准价／投标报价)×</w:t>
            </w:r>
            <w:r>
              <w:rPr>
                <w:rFonts w:hint="eastAsia" w:ascii="宋体" w:hAnsi="宋体" w:cs="宋体"/>
                <w:color w:val="auto"/>
                <w:szCs w:val="21"/>
                <w:lang w:val="en-US" w:eastAsia="zh-CN"/>
              </w:rPr>
              <w:t>15</w:t>
            </w:r>
            <w:r>
              <w:rPr>
                <w:rFonts w:hint="eastAsia" w:ascii="宋体" w:hAnsi="宋体" w:cs="宋体"/>
                <w:color w:val="auto"/>
                <w:szCs w:val="21"/>
              </w:rPr>
              <w:t>分*100%。</w:t>
            </w:r>
          </w:p>
        </w:tc>
        <w:tc>
          <w:tcPr>
            <w:tcW w:w="776" w:type="dxa"/>
            <w:noWrap w:val="0"/>
            <w:vAlign w:val="center"/>
          </w:tcPr>
          <w:p w14:paraId="3FAF8C28">
            <w:pPr>
              <w:widowControl/>
              <w:spacing w:line="360" w:lineRule="auto"/>
              <w:jc w:val="center"/>
              <w:rPr>
                <w:rFonts w:hint="default" w:ascii="宋体" w:hAnsi="宋体" w:eastAsia="宋体" w:cs="宋体"/>
                <w:b/>
                <w:bCs/>
                <w:szCs w:val="21"/>
                <w:lang w:val="en-US" w:eastAsia="zh-CN"/>
              </w:rPr>
            </w:pPr>
            <w:r>
              <w:rPr>
                <w:rFonts w:hint="eastAsia" w:ascii="宋体" w:hAnsi="宋体" w:cs="宋体"/>
                <w:b/>
                <w:bCs/>
                <w:szCs w:val="21"/>
                <w:lang w:val="en-US" w:eastAsia="zh-CN"/>
              </w:rPr>
              <w:t>15</w:t>
            </w:r>
          </w:p>
        </w:tc>
      </w:tr>
      <w:tr w14:paraId="3CD5A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dxa"/>
            <w:noWrap w:val="0"/>
            <w:vAlign w:val="center"/>
          </w:tcPr>
          <w:p w14:paraId="0C599803">
            <w:pPr>
              <w:widowControl/>
              <w:spacing w:line="360" w:lineRule="auto"/>
              <w:jc w:val="center"/>
              <w:rPr>
                <w:rFonts w:hint="eastAsia" w:ascii="宋体" w:hAnsi="宋体" w:eastAsia="宋体" w:cs="宋体"/>
                <w:b/>
                <w:szCs w:val="21"/>
                <w:lang w:eastAsia="zh-CN"/>
              </w:rPr>
            </w:pPr>
            <w:r>
              <w:rPr>
                <w:rFonts w:hint="eastAsia" w:ascii="宋体" w:hAnsi="宋体" w:cs="宋体"/>
                <w:b/>
                <w:szCs w:val="21"/>
                <w:lang w:val="en-US" w:eastAsia="zh-CN"/>
              </w:rPr>
              <w:t>2</w:t>
            </w:r>
          </w:p>
        </w:tc>
        <w:tc>
          <w:tcPr>
            <w:tcW w:w="1113" w:type="dxa"/>
            <w:noWrap w:val="0"/>
            <w:vAlign w:val="center"/>
          </w:tcPr>
          <w:p w14:paraId="16BF031C">
            <w:pPr>
              <w:spacing w:line="300" w:lineRule="auto"/>
              <w:jc w:val="center"/>
              <w:rPr>
                <w:rFonts w:hint="eastAsia" w:ascii="宋体" w:hAnsi="宋体" w:cs="宋体"/>
                <w:szCs w:val="21"/>
                <w:highlight w:val="none"/>
              </w:rPr>
            </w:pPr>
            <w:r>
              <w:rPr>
                <w:rFonts w:hint="eastAsia" w:ascii="宋体" w:hAnsi="宋体" w:eastAsia="宋体" w:cs="宋体"/>
                <w:b/>
                <w:bCs/>
                <w:sz w:val="21"/>
                <w:szCs w:val="21"/>
                <w:lang w:val="en-US" w:eastAsia="zh-CN"/>
              </w:rPr>
              <w:t>主要设备仪器</w:t>
            </w:r>
            <w:r>
              <w:rPr>
                <w:rFonts w:hint="eastAsia" w:ascii="宋体" w:hAnsi="宋体" w:cs="宋体"/>
                <w:b/>
                <w:szCs w:val="21"/>
              </w:rPr>
              <w:t>（</w:t>
            </w:r>
            <w:r>
              <w:rPr>
                <w:rFonts w:hint="eastAsia" w:ascii="宋体" w:hAnsi="宋体" w:cs="宋体"/>
                <w:b/>
                <w:szCs w:val="21"/>
                <w:highlight w:val="none"/>
                <w:lang w:val="en-US" w:eastAsia="zh-CN"/>
              </w:rPr>
              <w:t>5</w:t>
            </w:r>
            <w:r>
              <w:rPr>
                <w:rFonts w:hint="eastAsia" w:ascii="宋体" w:hAnsi="宋体" w:cs="宋体"/>
                <w:b/>
                <w:szCs w:val="21"/>
                <w:highlight w:val="none"/>
              </w:rPr>
              <w:t>分）</w:t>
            </w:r>
          </w:p>
          <w:p w14:paraId="76C9FFF4">
            <w:pPr>
              <w:spacing w:line="360" w:lineRule="auto"/>
              <w:jc w:val="center"/>
              <w:rPr>
                <w:rFonts w:hint="eastAsia" w:ascii="宋体" w:hAnsi="宋体" w:cs="宋体"/>
                <w:szCs w:val="21"/>
              </w:rPr>
            </w:pPr>
          </w:p>
        </w:tc>
        <w:tc>
          <w:tcPr>
            <w:tcW w:w="6893" w:type="dxa"/>
            <w:noWrap w:val="0"/>
            <w:vAlign w:val="center"/>
          </w:tcPr>
          <w:p w14:paraId="165DC7EE">
            <w:pPr>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根据项目特点，对投标人填报的拟投入本工程的机械、设备的种类、数量等方面进行评审：</w:t>
            </w:r>
          </w:p>
          <w:p w14:paraId="49CCE2CC">
            <w:pPr>
              <w:spacing w:line="360" w:lineRule="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机械、设备的种类齐全，数量充足，</w:t>
            </w:r>
            <w:r>
              <w:rPr>
                <w:rFonts w:hint="eastAsia" w:ascii="宋体" w:hAnsi="宋体" w:eastAsia="宋体" w:cs="宋体"/>
                <w:b w:val="0"/>
                <w:bCs w:val="0"/>
                <w:sz w:val="21"/>
                <w:szCs w:val="21"/>
                <w:lang w:val="zh-CN" w:eastAsia="zh-CN" w:bidi="ar-SA"/>
              </w:rPr>
              <w:t>完整全面、可行、有针对性</w:t>
            </w:r>
            <w:r>
              <w:rPr>
                <w:rFonts w:hint="eastAsia" w:ascii="宋体" w:hAnsi="宋体" w:eastAsia="宋体" w:cs="宋体"/>
                <w:b w:val="0"/>
                <w:bCs w:val="0"/>
                <w:sz w:val="21"/>
                <w:szCs w:val="21"/>
                <w:lang w:val="en-US" w:eastAsia="zh-CN"/>
              </w:rPr>
              <w:t>优于项目要求的，得5分。</w:t>
            </w:r>
          </w:p>
          <w:p w14:paraId="66EEF404">
            <w:pPr>
              <w:spacing w:line="360" w:lineRule="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机械、设备的种类、数量多，</w:t>
            </w:r>
            <w:r>
              <w:rPr>
                <w:rFonts w:hint="eastAsia" w:ascii="宋体" w:hAnsi="宋体" w:eastAsia="宋体" w:cs="宋体"/>
                <w:b w:val="0"/>
                <w:bCs w:val="0"/>
                <w:sz w:val="21"/>
                <w:szCs w:val="21"/>
                <w:lang w:val="zh-CN" w:eastAsia="zh-CN" w:bidi="ar-SA"/>
              </w:rPr>
              <w:t>较完整、较可行、较有针对性</w:t>
            </w:r>
            <w:r>
              <w:rPr>
                <w:rFonts w:hint="eastAsia" w:ascii="宋体" w:hAnsi="宋体" w:eastAsia="宋体" w:cs="宋体"/>
                <w:b w:val="0"/>
                <w:bCs w:val="0"/>
                <w:sz w:val="21"/>
                <w:szCs w:val="21"/>
                <w:lang w:val="en-US" w:eastAsia="zh-CN"/>
              </w:rPr>
              <w:t>满足本项目要求的，得4分；</w:t>
            </w:r>
          </w:p>
          <w:p w14:paraId="40B53088">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lang w:val="en-US" w:eastAsia="zh-CN"/>
              </w:rPr>
              <w:t>机械、设备的种类、数量基本满足本项目要求的，得3分；</w:t>
            </w:r>
          </w:p>
          <w:p w14:paraId="602EB073">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未提供或有重大偏差不得分。</w:t>
            </w:r>
          </w:p>
        </w:tc>
        <w:tc>
          <w:tcPr>
            <w:tcW w:w="776" w:type="dxa"/>
            <w:noWrap w:val="0"/>
            <w:vAlign w:val="center"/>
          </w:tcPr>
          <w:p w14:paraId="39D1AB63">
            <w:pPr>
              <w:widowControl/>
              <w:spacing w:line="360" w:lineRule="auto"/>
              <w:jc w:val="center"/>
              <w:rPr>
                <w:rFonts w:hint="default" w:ascii="宋体" w:hAnsi="宋体" w:eastAsia="宋体" w:cs="宋体"/>
                <w:b/>
                <w:bCs/>
                <w:szCs w:val="21"/>
                <w:lang w:val="en-US" w:eastAsia="zh-CN"/>
              </w:rPr>
            </w:pPr>
            <w:r>
              <w:rPr>
                <w:rFonts w:hint="eastAsia" w:ascii="宋体" w:hAnsi="宋体" w:cs="宋体"/>
                <w:b/>
                <w:bCs/>
                <w:szCs w:val="21"/>
                <w:lang w:val="en-US" w:eastAsia="zh-CN"/>
              </w:rPr>
              <w:t>5</w:t>
            </w:r>
          </w:p>
        </w:tc>
      </w:tr>
      <w:tr w14:paraId="4F96B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dxa"/>
            <w:noWrap w:val="0"/>
            <w:vAlign w:val="center"/>
          </w:tcPr>
          <w:p w14:paraId="1754C292">
            <w:pPr>
              <w:widowControl/>
              <w:spacing w:line="360" w:lineRule="auto"/>
              <w:jc w:val="center"/>
              <w:rPr>
                <w:rFonts w:hint="eastAsia" w:ascii="宋体" w:hAnsi="宋体" w:eastAsia="宋体" w:cs="宋体"/>
                <w:b/>
                <w:szCs w:val="21"/>
                <w:lang w:eastAsia="zh-CN"/>
              </w:rPr>
            </w:pPr>
            <w:r>
              <w:rPr>
                <w:rFonts w:hint="eastAsia" w:ascii="宋体" w:hAnsi="宋体" w:cs="宋体"/>
                <w:b/>
                <w:szCs w:val="21"/>
                <w:lang w:val="en-US" w:eastAsia="zh-CN"/>
              </w:rPr>
              <w:t>3</w:t>
            </w:r>
          </w:p>
        </w:tc>
        <w:tc>
          <w:tcPr>
            <w:tcW w:w="1113" w:type="dxa"/>
            <w:noWrap w:val="0"/>
            <w:vAlign w:val="center"/>
          </w:tcPr>
          <w:p w14:paraId="58A9C9D0">
            <w:pPr>
              <w:spacing w:line="360" w:lineRule="auto"/>
              <w:jc w:val="center"/>
              <w:rPr>
                <w:rFonts w:hint="eastAsia" w:ascii="宋体" w:hAnsi="宋体" w:cs="宋体"/>
                <w:b/>
                <w:szCs w:val="21"/>
              </w:rPr>
            </w:pPr>
            <w:r>
              <w:rPr>
                <w:rFonts w:hint="eastAsia" w:ascii="宋体" w:hAnsi="宋体" w:cs="宋体"/>
                <w:b/>
                <w:szCs w:val="21"/>
              </w:rPr>
              <w:t>工作实施方案</w:t>
            </w:r>
          </w:p>
          <w:p w14:paraId="33E929C9">
            <w:pPr>
              <w:spacing w:line="360" w:lineRule="auto"/>
              <w:jc w:val="center"/>
              <w:rPr>
                <w:rFonts w:hint="eastAsia" w:ascii="宋体" w:hAnsi="宋体" w:cs="宋体"/>
                <w:b/>
                <w:szCs w:val="21"/>
              </w:rPr>
            </w:pPr>
            <w:r>
              <w:rPr>
                <w:rFonts w:hint="eastAsia" w:ascii="宋体" w:hAnsi="宋体" w:cs="宋体"/>
                <w:b/>
                <w:szCs w:val="21"/>
              </w:rPr>
              <w:t>（</w:t>
            </w:r>
            <w:r>
              <w:rPr>
                <w:rFonts w:hint="eastAsia" w:ascii="宋体" w:hAnsi="宋体" w:cs="宋体"/>
                <w:b/>
                <w:szCs w:val="21"/>
                <w:lang w:val="en-US" w:eastAsia="zh-CN"/>
              </w:rPr>
              <w:t>55</w:t>
            </w:r>
            <w:r>
              <w:rPr>
                <w:rFonts w:hint="eastAsia" w:ascii="宋体" w:hAnsi="宋体" w:cs="宋体"/>
                <w:b/>
                <w:szCs w:val="21"/>
              </w:rPr>
              <w:t>分）</w:t>
            </w:r>
          </w:p>
        </w:tc>
        <w:tc>
          <w:tcPr>
            <w:tcW w:w="6893" w:type="dxa"/>
            <w:noWrap w:val="0"/>
            <w:vAlign w:val="center"/>
          </w:tcPr>
          <w:p w14:paraId="0E549D3F">
            <w:pPr>
              <w:pStyle w:val="42"/>
              <w:spacing w:line="360" w:lineRule="auto"/>
              <w:ind w:firstLine="0"/>
              <w:rPr>
                <w:rFonts w:hint="eastAsia" w:ascii="宋体" w:hAnsi="宋体" w:eastAsia="宋体"/>
                <w:b/>
                <w:bCs/>
                <w:sz w:val="21"/>
                <w:szCs w:val="21"/>
              </w:rPr>
            </w:pPr>
            <w:r>
              <w:rPr>
                <w:rFonts w:hint="eastAsia" w:ascii="宋体" w:hAnsi="宋体" w:eastAsia="宋体"/>
                <w:b/>
                <w:bCs/>
                <w:sz w:val="21"/>
                <w:szCs w:val="21"/>
              </w:rPr>
              <w:t>（1）评委根据投标人提交的总体工作布置及规划、各分项养护及维修工序计划安排等方面进行评分：</w:t>
            </w:r>
          </w:p>
          <w:p w14:paraId="6AD8DE8C">
            <w:pPr>
              <w:pStyle w:val="42"/>
              <w:spacing w:line="360" w:lineRule="auto"/>
              <w:ind w:firstLine="0"/>
              <w:rPr>
                <w:rFonts w:hint="eastAsia" w:ascii="宋体" w:hAnsi="宋体" w:eastAsia="宋体"/>
                <w:b w:val="0"/>
                <w:bCs w:val="0"/>
                <w:sz w:val="21"/>
                <w:szCs w:val="21"/>
              </w:rPr>
            </w:pPr>
            <w:r>
              <w:rPr>
                <w:rFonts w:hint="eastAsia" w:ascii="宋体" w:hAnsi="宋体" w:eastAsia="宋体"/>
                <w:b w:val="0"/>
                <w:bCs w:val="0"/>
                <w:sz w:val="21"/>
                <w:szCs w:val="21"/>
              </w:rPr>
              <w:t>①总体工作布置及规划、各分项养护及维修工序计划安排合理细致、优于项目需求的得</w:t>
            </w:r>
            <w:r>
              <w:rPr>
                <w:rFonts w:hint="eastAsia" w:ascii="宋体" w:hAnsi="宋体" w:eastAsia="宋体"/>
                <w:b w:val="0"/>
                <w:bCs w:val="0"/>
                <w:sz w:val="21"/>
                <w:szCs w:val="21"/>
                <w:lang w:val="en-US" w:eastAsia="zh-CN"/>
              </w:rPr>
              <w:t>10</w:t>
            </w:r>
            <w:r>
              <w:rPr>
                <w:rFonts w:hint="eastAsia" w:ascii="宋体" w:hAnsi="宋体" w:eastAsia="宋体"/>
                <w:b w:val="0"/>
                <w:bCs w:val="0"/>
                <w:sz w:val="21"/>
                <w:szCs w:val="21"/>
              </w:rPr>
              <w:t>分；</w:t>
            </w:r>
          </w:p>
          <w:p w14:paraId="6E58D625">
            <w:pPr>
              <w:pStyle w:val="42"/>
              <w:spacing w:line="360" w:lineRule="auto"/>
              <w:ind w:firstLine="0"/>
              <w:rPr>
                <w:rFonts w:hint="eastAsia" w:ascii="宋体" w:hAnsi="宋体" w:eastAsia="宋体"/>
                <w:b w:val="0"/>
                <w:bCs w:val="0"/>
                <w:sz w:val="21"/>
                <w:szCs w:val="21"/>
              </w:rPr>
            </w:pPr>
            <w:r>
              <w:rPr>
                <w:rFonts w:hint="eastAsia" w:ascii="宋体" w:hAnsi="宋体" w:eastAsia="宋体"/>
                <w:b w:val="0"/>
                <w:bCs w:val="0"/>
                <w:sz w:val="21"/>
                <w:szCs w:val="21"/>
              </w:rPr>
              <w:t>②总体工作布置及规划、各分项养护及维修工序计划安排基本符合项目需求的得</w:t>
            </w:r>
            <w:r>
              <w:rPr>
                <w:rFonts w:hint="eastAsia" w:ascii="宋体" w:hAnsi="宋体" w:eastAsia="宋体"/>
                <w:b w:val="0"/>
                <w:bCs w:val="0"/>
                <w:sz w:val="21"/>
                <w:szCs w:val="21"/>
                <w:lang w:val="en-US" w:eastAsia="zh-CN"/>
              </w:rPr>
              <w:t>7</w:t>
            </w:r>
            <w:r>
              <w:rPr>
                <w:rFonts w:hint="eastAsia" w:ascii="宋体" w:hAnsi="宋体" w:eastAsia="宋体"/>
                <w:b w:val="0"/>
                <w:bCs w:val="0"/>
                <w:sz w:val="21"/>
                <w:szCs w:val="21"/>
              </w:rPr>
              <w:t>分；</w:t>
            </w:r>
          </w:p>
          <w:p w14:paraId="32F4C603">
            <w:pPr>
              <w:pStyle w:val="42"/>
              <w:spacing w:line="360" w:lineRule="auto"/>
              <w:ind w:firstLine="0"/>
              <w:rPr>
                <w:rFonts w:hint="eastAsia" w:ascii="宋体" w:hAnsi="宋体" w:eastAsia="宋体"/>
                <w:b w:val="0"/>
                <w:bCs w:val="0"/>
                <w:sz w:val="21"/>
                <w:szCs w:val="21"/>
              </w:rPr>
            </w:pPr>
            <w:r>
              <w:rPr>
                <w:rFonts w:hint="eastAsia" w:ascii="宋体" w:hAnsi="宋体" w:eastAsia="宋体"/>
                <w:b w:val="0"/>
                <w:bCs w:val="0"/>
                <w:sz w:val="21"/>
                <w:szCs w:val="21"/>
              </w:rPr>
              <w:t>③总体工作布置及规划、各分项养护及维修工序计划安排条理不清晰，有缺项的得4分；</w:t>
            </w:r>
          </w:p>
          <w:p w14:paraId="57FA8075">
            <w:pPr>
              <w:pStyle w:val="42"/>
              <w:spacing w:line="360" w:lineRule="auto"/>
              <w:ind w:firstLine="0"/>
              <w:rPr>
                <w:rFonts w:hint="eastAsia" w:ascii="宋体" w:hAnsi="宋体" w:eastAsia="宋体"/>
                <w:b w:val="0"/>
                <w:bCs w:val="0"/>
                <w:sz w:val="21"/>
                <w:szCs w:val="21"/>
              </w:rPr>
            </w:pPr>
            <w:r>
              <w:rPr>
                <w:rFonts w:hint="eastAsia" w:ascii="宋体" w:hAnsi="宋体" w:eastAsia="宋体"/>
                <w:b w:val="0"/>
                <w:bCs w:val="0"/>
                <w:sz w:val="21"/>
                <w:szCs w:val="21"/>
              </w:rPr>
              <w:t>④未提供或有重大偏差不得分。</w:t>
            </w:r>
          </w:p>
          <w:p w14:paraId="0DBED1F3">
            <w:pPr>
              <w:pStyle w:val="42"/>
              <w:spacing w:line="360" w:lineRule="auto"/>
              <w:ind w:firstLine="0"/>
              <w:rPr>
                <w:rFonts w:hint="eastAsia" w:ascii="宋体" w:hAnsi="宋体" w:eastAsia="宋体"/>
                <w:b/>
                <w:bCs/>
                <w:sz w:val="21"/>
                <w:szCs w:val="21"/>
              </w:rPr>
            </w:pPr>
            <w:r>
              <w:rPr>
                <w:rFonts w:hint="eastAsia" w:ascii="宋体" w:hAnsi="宋体" w:eastAsia="宋体"/>
                <w:b/>
                <w:bCs/>
                <w:sz w:val="21"/>
                <w:szCs w:val="21"/>
              </w:rPr>
              <w:t>（2）评委根据投标人制定的日常养护、维修及应急处置实施方案</w:t>
            </w:r>
            <w:r>
              <w:rPr>
                <w:rFonts w:hint="eastAsia" w:ascii="宋体" w:hAnsi="宋体" w:eastAsia="宋体"/>
                <w:b/>
                <w:bCs/>
                <w:sz w:val="21"/>
                <w:szCs w:val="21"/>
                <w:lang w:val="en-US" w:eastAsia="zh-CN"/>
              </w:rPr>
              <w:t>的</w:t>
            </w:r>
            <w:r>
              <w:rPr>
                <w:rFonts w:hint="eastAsia" w:ascii="宋体" w:hAnsi="宋体" w:eastAsia="宋体"/>
                <w:b/>
                <w:bCs/>
                <w:sz w:val="21"/>
                <w:szCs w:val="21"/>
              </w:rPr>
              <w:t>可行性、先进性、合理性、针对性等方面进行评分：</w:t>
            </w:r>
          </w:p>
          <w:p w14:paraId="6A99D2AB">
            <w:pPr>
              <w:pStyle w:val="42"/>
              <w:spacing w:line="360" w:lineRule="auto"/>
              <w:ind w:firstLine="0"/>
              <w:rPr>
                <w:rFonts w:hint="eastAsia" w:ascii="宋体" w:hAnsi="宋体" w:eastAsia="宋体"/>
                <w:b w:val="0"/>
                <w:bCs w:val="0"/>
                <w:sz w:val="21"/>
                <w:szCs w:val="21"/>
              </w:rPr>
            </w:pPr>
            <w:r>
              <w:rPr>
                <w:rFonts w:hint="eastAsia" w:ascii="宋体" w:hAnsi="宋体" w:eastAsia="宋体"/>
                <w:b w:val="0"/>
                <w:bCs w:val="0"/>
                <w:sz w:val="21"/>
                <w:szCs w:val="21"/>
              </w:rPr>
              <w:t>①投标人制定的日常养护、维修及应急处置实施方案科学全面，能够针对本项目需求出具深度细化的养护服务内容，养护服务流程科学可行有针对性，具有合理的巡检及问题处理机制的得</w:t>
            </w:r>
            <w:r>
              <w:rPr>
                <w:rFonts w:hint="eastAsia" w:ascii="宋体" w:hAnsi="宋体" w:eastAsia="宋体"/>
                <w:b w:val="0"/>
                <w:bCs w:val="0"/>
                <w:sz w:val="21"/>
                <w:szCs w:val="21"/>
                <w:lang w:val="en-US" w:eastAsia="zh-CN"/>
              </w:rPr>
              <w:t>10</w:t>
            </w:r>
            <w:r>
              <w:rPr>
                <w:rFonts w:hint="eastAsia" w:ascii="宋体" w:hAnsi="宋体" w:eastAsia="宋体"/>
                <w:b w:val="0"/>
                <w:bCs w:val="0"/>
                <w:sz w:val="21"/>
                <w:szCs w:val="21"/>
              </w:rPr>
              <w:t>分；</w:t>
            </w:r>
          </w:p>
          <w:p w14:paraId="0B2BA587">
            <w:pPr>
              <w:pStyle w:val="42"/>
              <w:spacing w:line="360" w:lineRule="auto"/>
              <w:ind w:firstLine="0"/>
              <w:rPr>
                <w:rFonts w:hint="eastAsia" w:ascii="宋体" w:hAnsi="宋体" w:eastAsia="宋体"/>
                <w:b w:val="0"/>
                <w:bCs w:val="0"/>
                <w:sz w:val="21"/>
                <w:szCs w:val="21"/>
              </w:rPr>
            </w:pPr>
            <w:r>
              <w:rPr>
                <w:rFonts w:hint="eastAsia" w:ascii="宋体" w:hAnsi="宋体" w:eastAsia="宋体"/>
                <w:b w:val="0"/>
                <w:bCs w:val="0"/>
                <w:sz w:val="21"/>
                <w:szCs w:val="21"/>
              </w:rPr>
              <w:t>②投标人制定的日常养护、维修及应急处置实施方案基本能够阐述方案的操作流程、措施等内容的得</w:t>
            </w:r>
            <w:r>
              <w:rPr>
                <w:rFonts w:hint="eastAsia" w:ascii="宋体" w:hAnsi="宋体" w:eastAsia="宋体"/>
                <w:b w:val="0"/>
                <w:bCs w:val="0"/>
                <w:sz w:val="21"/>
                <w:szCs w:val="21"/>
                <w:lang w:val="en-US" w:eastAsia="zh-CN"/>
              </w:rPr>
              <w:t>7</w:t>
            </w:r>
            <w:r>
              <w:rPr>
                <w:rFonts w:hint="eastAsia" w:ascii="宋体" w:hAnsi="宋体" w:eastAsia="宋体"/>
                <w:b w:val="0"/>
                <w:bCs w:val="0"/>
                <w:sz w:val="21"/>
                <w:szCs w:val="21"/>
              </w:rPr>
              <w:t>分；</w:t>
            </w:r>
          </w:p>
          <w:p w14:paraId="174F6182">
            <w:pPr>
              <w:pStyle w:val="42"/>
              <w:spacing w:line="360" w:lineRule="auto"/>
              <w:ind w:firstLine="0"/>
              <w:rPr>
                <w:rFonts w:hint="eastAsia" w:ascii="宋体" w:hAnsi="宋体" w:eastAsia="宋体"/>
                <w:b w:val="0"/>
                <w:bCs w:val="0"/>
                <w:sz w:val="21"/>
                <w:szCs w:val="21"/>
              </w:rPr>
            </w:pPr>
            <w:r>
              <w:rPr>
                <w:rFonts w:hint="eastAsia" w:ascii="宋体" w:hAnsi="宋体" w:eastAsia="宋体"/>
                <w:b w:val="0"/>
                <w:bCs w:val="0"/>
                <w:sz w:val="21"/>
                <w:szCs w:val="21"/>
              </w:rPr>
              <w:t>③投标人制定的日常养护、维修及应急处置实施方案内容简单的得</w:t>
            </w:r>
            <w:r>
              <w:rPr>
                <w:rFonts w:hint="eastAsia" w:ascii="宋体" w:hAnsi="宋体" w:eastAsia="宋体"/>
                <w:b w:val="0"/>
                <w:bCs w:val="0"/>
                <w:sz w:val="21"/>
                <w:szCs w:val="21"/>
                <w:lang w:val="en-US" w:eastAsia="zh-CN"/>
              </w:rPr>
              <w:t>4</w:t>
            </w:r>
            <w:r>
              <w:rPr>
                <w:rFonts w:hint="eastAsia" w:ascii="宋体" w:hAnsi="宋体" w:eastAsia="宋体"/>
                <w:b w:val="0"/>
                <w:bCs w:val="0"/>
                <w:sz w:val="21"/>
                <w:szCs w:val="21"/>
              </w:rPr>
              <w:t>分；</w:t>
            </w:r>
          </w:p>
          <w:p w14:paraId="2224EB7E">
            <w:pPr>
              <w:pStyle w:val="42"/>
              <w:spacing w:line="360" w:lineRule="auto"/>
              <w:ind w:firstLine="0"/>
              <w:rPr>
                <w:rFonts w:hint="eastAsia" w:ascii="宋体" w:hAnsi="宋体" w:eastAsia="宋体"/>
                <w:b w:val="0"/>
                <w:bCs w:val="0"/>
                <w:sz w:val="21"/>
                <w:szCs w:val="21"/>
              </w:rPr>
            </w:pPr>
            <w:r>
              <w:rPr>
                <w:rFonts w:hint="eastAsia" w:ascii="宋体" w:hAnsi="宋体" w:eastAsia="宋体"/>
                <w:b w:val="0"/>
                <w:bCs w:val="0"/>
                <w:sz w:val="21"/>
                <w:szCs w:val="21"/>
              </w:rPr>
              <w:t>④方案表述不清或内容有缺项的或未提供或与项目严重不符的不得分。</w:t>
            </w:r>
          </w:p>
          <w:p w14:paraId="7FC09B6D">
            <w:pPr>
              <w:pStyle w:val="42"/>
              <w:spacing w:line="360" w:lineRule="auto"/>
              <w:ind w:firstLine="0"/>
              <w:rPr>
                <w:rFonts w:hint="eastAsia" w:ascii="宋体" w:hAnsi="宋体" w:eastAsia="宋体"/>
                <w:b/>
                <w:bCs/>
                <w:sz w:val="21"/>
                <w:szCs w:val="21"/>
              </w:rPr>
            </w:pPr>
            <w:r>
              <w:rPr>
                <w:rFonts w:hint="eastAsia" w:ascii="宋体" w:hAnsi="宋体" w:eastAsia="宋体"/>
                <w:b/>
                <w:bCs/>
                <w:sz w:val="21"/>
                <w:szCs w:val="21"/>
              </w:rPr>
              <w:t>（3）评委根据投标人提供的应急保障措施、安全保障措施、质量保障措施等方面进行评分：</w:t>
            </w:r>
          </w:p>
          <w:p w14:paraId="738D85F0">
            <w:pPr>
              <w:pStyle w:val="42"/>
              <w:spacing w:line="360" w:lineRule="auto"/>
              <w:ind w:firstLine="0"/>
              <w:rPr>
                <w:rFonts w:hint="eastAsia" w:ascii="宋体" w:hAnsi="宋体" w:eastAsia="宋体"/>
                <w:b w:val="0"/>
                <w:bCs w:val="0"/>
                <w:sz w:val="21"/>
                <w:szCs w:val="21"/>
              </w:rPr>
            </w:pPr>
            <w:r>
              <w:rPr>
                <w:rFonts w:hint="eastAsia" w:ascii="宋体" w:hAnsi="宋体" w:eastAsia="宋体"/>
                <w:b w:val="0"/>
                <w:bCs w:val="0"/>
                <w:sz w:val="21"/>
                <w:szCs w:val="21"/>
              </w:rPr>
              <w:t>①投标人制定的应急保障措施、安全保障措施、质量保障措施科学完整，能够详细阐述每一项操作流程、措施等内容的得</w:t>
            </w:r>
            <w:r>
              <w:rPr>
                <w:rFonts w:hint="eastAsia" w:ascii="宋体" w:hAnsi="宋体" w:eastAsia="宋体"/>
                <w:b w:val="0"/>
                <w:bCs w:val="0"/>
                <w:sz w:val="21"/>
                <w:szCs w:val="21"/>
                <w:lang w:val="en-US" w:eastAsia="zh-CN"/>
              </w:rPr>
              <w:t>10</w:t>
            </w:r>
            <w:r>
              <w:rPr>
                <w:rFonts w:hint="eastAsia" w:ascii="宋体" w:hAnsi="宋体" w:eastAsia="宋体"/>
                <w:b w:val="0"/>
                <w:bCs w:val="0"/>
                <w:sz w:val="21"/>
                <w:szCs w:val="21"/>
              </w:rPr>
              <w:t>分；</w:t>
            </w:r>
          </w:p>
          <w:p w14:paraId="1B0428B7">
            <w:pPr>
              <w:pStyle w:val="42"/>
              <w:spacing w:line="360" w:lineRule="auto"/>
              <w:ind w:firstLine="0"/>
              <w:rPr>
                <w:rFonts w:hint="eastAsia" w:ascii="宋体" w:hAnsi="宋体" w:eastAsia="宋体"/>
                <w:b w:val="0"/>
                <w:bCs w:val="0"/>
                <w:sz w:val="21"/>
                <w:szCs w:val="21"/>
              </w:rPr>
            </w:pPr>
            <w:r>
              <w:rPr>
                <w:rFonts w:hint="eastAsia" w:ascii="宋体" w:hAnsi="宋体" w:eastAsia="宋体"/>
                <w:b w:val="0"/>
                <w:bCs w:val="0"/>
                <w:sz w:val="21"/>
                <w:szCs w:val="21"/>
              </w:rPr>
              <w:t>②投标人制定的应急保障措施、安全保障措施、质量保障措施基本能够阐述操作流程、措施等内容的得</w:t>
            </w:r>
            <w:r>
              <w:rPr>
                <w:rFonts w:hint="eastAsia" w:ascii="宋体" w:hAnsi="宋体" w:eastAsia="宋体"/>
                <w:b w:val="0"/>
                <w:bCs w:val="0"/>
                <w:sz w:val="21"/>
                <w:szCs w:val="21"/>
                <w:lang w:val="en-US" w:eastAsia="zh-CN"/>
              </w:rPr>
              <w:t>7</w:t>
            </w:r>
            <w:r>
              <w:rPr>
                <w:rFonts w:hint="eastAsia" w:ascii="宋体" w:hAnsi="宋体" w:eastAsia="宋体"/>
                <w:b w:val="0"/>
                <w:bCs w:val="0"/>
                <w:sz w:val="21"/>
                <w:szCs w:val="21"/>
              </w:rPr>
              <w:t>分；</w:t>
            </w:r>
          </w:p>
          <w:p w14:paraId="6ABBF34A">
            <w:pPr>
              <w:pStyle w:val="42"/>
              <w:spacing w:line="360" w:lineRule="auto"/>
              <w:ind w:firstLine="0"/>
              <w:rPr>
                <w:rFonts w:hint="eastAsia" w:ascii="宋体" w:hAnsi="宋体" w:eastAsia="宋体"/>
                <w:b w:val="0"/>
                <w:bCs w:val="0"/>
                <w:sz w:val="21"/>
                <w:szCs w:val="21"/>
              </w:rPr>
            </w:pPr>
            <w:r>
              <w:rPr>
                <w:rFonts w:hint="eastAsia" w:ascii="宋体" w:hAnsi="宋体" w:eastAsia="宋体"/>
                <w:b w:val="0"/>
                <w:bCs w:val="0"/>
                <w:sz w:val="21"/>
                <w:szCs w:val="21"/>
              </w:rPr>
              <w:t>③投标人制定的应急保障措施、安全保障措施、质量保障措施内容简单的得</w:t>
            </w:r>
            <w:r>
              <w:rPr>
                <w:rFonts w:hint="eastAsia" w:ascii="宋体" w:hAnsi="宋体" w:eastAsia="宋体"/>
                <w:b w:val="0"/>
                <w:bCs w:val="0"/>
                <w:sz w:val="21"/>
                <w:szCs w:val="21"/>
                <w:lang w:val="en-US" w:eastAsia="zh-CN"/>
              </w:rPr>
              <w:t>4</w:t>
            </w:r>
            <w:r>
              <w:rPr>
                <w:rFonts w:hint="eastAsia" w:ascii="宋体" w:hAnsi="宋体" w:eastAsia="宋体"/>
                <w:b w:val="0"/>
                <w:bCs w:val="0"/>
                <w:sz w:val="21"/>
                <w:szCs w:val="21"/>
              </w:rPr>
              <w:t>分；</w:t>
            </w:r>
          </w:p>
          <w:p w14:paraId="38DD8F8C">
            <w:pPr>
              <w:pStyle w:val="42"/>
              <w:spacing w:line="360" w:lineRule="auto"/>
              <w:ind w:firstLine="0"/>
              <w:rPr>
                <w:rFonts w:hint="eastAsia" w:ascii="宋体" w:hAnsi="宋体" w:eastAsia="宋体"/>
                <w:b w:val="0"/>
                <w:bCs w:val="0"/>
                <w:sz w:val="21"/>
                <w:szCs w:val="21"/>
              </w:rPr>
            </w:pPr>
            <w:r>
              <w:rPr>
                <w:rFonts w:hint="eastAsia" w:ascii="宋体" w:hAnsi="宋体" w:eastAsia="宋体"/>
                <w:b w:val="0"/>
                <w:bCs w:val="0"/>
                <w:sz w:val="21"/>
                <w:szCs w:val="21"/>
              </w:rPr>
              <w:t>④投标人制定的应急保障措施、安全保障措施、质量保障措施表述不清或内容有缺项的或未提供或与项目严重不符的不得分。</w:t>
            </w:r>
          </w:p>
          <w:p w14:paraId="4D082FAF">
            <w:pPr>
              <w:pStyle w:val="42"/>
              <w:spacing w:line="360" w:lineRule="auto"/>
              <w:ind w:firstLine="0"/>
              <w:rPr>
                <w:rFonts w:hint="eastAsia" w:ascii="宋体" w:hAnsi="宋体" w:eastAsia="宋体"/>
                <w:b w:val="0"/>
                <w:bCs w:val="0"/>
                <w:sz w:val="21"/>
                <w:szCs w:val="21"/>
              </w:rPr>
            </w:pPr>
            <w:r>
              <w:rPr>
                <w:rFonts w:hint="eastAsia" w:ascii="宋体" w:hAnsi="宋体" w:eastAsia="宋体"/>
                <w:b/>
                <w:bCs/>
                <w:sz w:val="21"/>
                <w:szCs w:val="21"/>
              </w:rPr>
              <w:t>（4）评委根据投标人提供的本项目的方案，对其重点、难点问题的认识及对策进行阐述分析等方面进行评分：</w:t>
            </w:r>
          </w:p>
          <w:p w14:paraId="18898800">
            <w:pPr>
              <w:pStyle w:val="42"/>
              <w:spacing w:line="360" w:lineRule="auto"/>
              <w:ind w:firstLine="0"/>
              <w:rPr>
                <w:rFonts w:hint="eastAsia" w:ascii="宋体" w:hAnsi="宋体" w:eastAsia="宋体"/>
                <w:b w:val="0"/>
                <w:bCs w:val="0"/>
                <w:sz w:val="21"/>
                <w:szCs w:val="21"/>
              </w:rPr>
            </w:pPr>
            <w:r>
              <w:rPr>
                <w:rFonts w:hint="eastAsia" w:ascii="宋体" w:hAnsi="宋体" w:eastAsia="宋体"/>
                <w:b w:val="0"/>
                <w:bCs w:val="0"/>
                <w:sz w:val="21"/>
                <w:szCs w:val="21"/>
              </w:rPr>
              <w:t>①对采购项目的特点、关键技术问题、重难点的认识深刻全面，相应对策措施合理可行，得</w:t>
            </w:r>
            <w:r>
              <w:rPr>
                <w:rFonts w:hint="eastAsia" w:ascii="宋体" w:hAnsi="宋体" w:eastAsia="宋体"/>
                <w:b w:val="0"/>
                <w:bCs w:val="0"/>
                <w:sz w:val="21"/>
                <w:szCs w:val="21"/>
                <w:lang w:val="en-US" w:eastAsia="zh-CN"/>
              </w:rPr>
              <w:t>10</w:t>
            </w:r>
            <w:r>
              <w:rPr>
                <w:rFonts w:hint="eastAsia" w:ascii="宋体" w:hAnsi="宋体" w:eastAsia="宋体"/>
                <w:b w:val="0"/>
                <w:bCs w:val="0"/>
                <w:sz w:val="21"/>
                <w:szCs w:val="21"/>
              </w:rPr>
              <w:t>分；</w:t>
            </w:r>
          </w:p>
          <w:p w14:paraId="14F94676">
            <w:pPr>
              <w:pStyle w:val="42"/>
              <w:spacing w:line="360" w:lineRule="auto"/>
              <w:ind w:firstLine="0"/>
              <w:rPr>
                <w:rFonts w:hint="eastAsia" w:ascii="宋体" w:hAnsi="宋体" w:eastAsia="宋体"/>
                <w:b w:val="0"/>
                <w:bCs w:val="0"/>
                <w:sz w:val="21"/>
                <w:szCs w:val="21"/>
              </w:rPr>
            </w:pPr>
            <w:r>
              <w:rPr>
                <w:rFonts w:hint="eastAsia" w:ascii="宋体" w:hAnsi="宋体" w:eastAsia="宋体"/>
                <w:b w:val="0"/>
                <w:bCs w:val="0"/>
                <w:sz w:val="21"/>
                <w:szCs w:val="21"/>
              </w:rPr>
              <w:t>②对采购项目的特点、关键技术问题、重难点的认识全面，相应对策措施较为合理可行，得</w:t>
            </w:r>
            <w:r>
              <w:rPr>
                <w:rFonts w:hint="eastAsia" w:ascii="宋体" w:hAnsi="宋体" w:eastAsia="宋体"/>
                <w:b w:val="0"/>
                <w:bCs w:val="0"/>
                <w:sz w:val="21"/>
                <w:szCs w:val="21"/>
                <w:lang w:val="en-US" w:eastAsia="zh-CN"/>
              </w:rPr>
              <w:t>7</w:t>
            </w:r>
            <w:r>
              <w:rPr>
                <w:rFonts w:hint="eastAsia" w:ascii="宋体" w:hAnsi="宋体" w:eastAsia="宋体"/>
                <w:b w:val="0"/>
                <w:bCs w:val="0"/>
                <w:sz w:val="21"/>
                <w:szCs w:val="21"/>
              </w:rPr>
              <w:t>分；</w:t>
            </w:r>
          </w:p>
          <w:p w14:paraId="08C8DD8F">
            <w:pPr>
              <w:pStyle w:val="42"/>
              <w:spacing w:line="360" w:lineRule="auto"/>
              <w:ind w:firstLine="0"/>
              <w:rPr>
                <w:rFonts w:hint="eastAsia" w:ascii="宋体" w:hAnsi="宋体" w:eastAsia="宋体"/>
                <w:b w:val="0"/>
                <w:bCs w:val="0"/>
                <w:sz w:val="21"/>
                <w:szCs w:val="21"/>
              </w:rPr>
            </w:pPr>
            <w:r>
              <w:rPr>
                <w:rFonts w:hint="eastAsia" w:ascii="宋体" w:hAnsi="宋体" w:eastAsia="宋体"/>
                <w:b w:val="0"/>
                <w:bCs w:val="0"/>
                <w:sz w:val="21"/>
                <w:szCs w:val="21"/>
              </w:rPr>
              <w:t>③方案简单有瑕疵得</w:t>
            </w:r>
            <w:r>
              <w:rPr>
                <w:rFonts w:hint="eastAsia" w:ascii="宋体" w:hAnsi="宋体" w:eastAsia="宋体"/>
                <w:b w:val="0"/>
                <w:bCs w:val="0"/>
                <w:sz w:val="21"/>
                <w:szCs w:val="21"/>
                <w:lang w:val="en-US" w:eastAsia="zh-CN"/>
              </w:rPr>
              <w:t>4</w:t>
            </w:r>
            <w:r>
              <w:rPr>
                <w:rFonts w:hint="eastAsia" w:ascii="宋体" w:hAnsi="宋体" w:eastAsia="宋体"/>
                <w:b w:val="0"/>
                <w:bCs w:val="0"/>
                <w:sz w:val="21"/>
                <w:szCs w:val="21"/>
              </w:rPr>
              <w:t>分；</w:t>
            </w:r>
          </w:p>
          <w:p w14:paraId="04B8C868">
            <w:pPr>
              <w:pStyle w:val="42"/>
              <w:spacing w:line="360" w:lineRule="auto"/>
              <w:ind w:firstLine="0"/>
              <w:rPr>
                <w:rFonts w:hint="eastAsia" w:ascii="宋体" w:hAnsi="宋体" w:eastAsia="宋体"/>
                <w:b w:val="0"/>
                <w:bCs w:val="0"/>
                <w:sz w:val="21"/>
                <w:szCs w:val="21"/>
              </w:rPr>
            </w:pPr>
            <w:r>
              <w:rPr>
                <w:rFonts w:hint="eastAsia" w:ascii="宋体" w:hAnsi="宋体" w:eastAsia="宋体"/>
                <w:b w:val="0"/>
                <w:bCs w:val="0"/>
                <w:sz w:val="21"/>
                <w:szCs w:val="21"/>
              </w:rPr>
              <w:t>④未提供或有重大偏差不得分。</w:t>
            </w:r>
          </w:p>
          <w:p w14:paraId="51E6ECA2">
            <w:pPr>
              <w:pStyle w:val="42"/>
              <w:spacing w:line="360" w:lineRule="auto"/>
              <w:ind w:firstLine="0"/>
              <w:rPr>
                <w:rFonts w:hint="eastAsia" w:ascii="宋体" w:hAnsi="宋体" w:eastAsia="宋体"/>
                <w:b/>
                <w:bCs/>
                <w:sz w:val="21"/>
                <w:szCs w:val="21"/>
              </w:rPr>
            </w:pPr>
            <w:r>
              <w:rPr>
                <w:rFonts w:hint="eastAsia" w:ascii="宋体" w:hAnsi="宋体" w:eastAsia="宋体"/>
                <w:b/>
                <w:bCs/>
                <w:sz w:val="21"/>
                <w:szCs w:val="21"/>
              </w:rPr>
              <w:t>（5）评委根据投标人对养护维修响应时间及保证措施的承诺等方面进行评分：</w:t>
            </w:r>
          </w:p>
          <w:p w14:paraId="56D6FCFC">
            <w:pPr>
              <w:pStyle w:val="42"/>
              <w:spacing w:line="360" w:lineRule="auto"/>
              <w:ind w:firstLine="0"/>
              <w:rPr>
                <w:rFonts w:hint="eastAsia" w:ascii="宋体" w:hAnsi="宋体" w:eastAsia="宋体"/>
                <w:b w:val="0"/>
                <w:bCs w:val="0"/>
                <w:sz w:val="21"/>
                <w:szCs w:val="21"/>
              </w:rPr>
            </w:pPr>
            <w:r>
              <w:rPr>
                <w:rFonts w:hint="eastAsia" w:ascii="宋体" w:hAnsi="宋体" w:eastAsia="宋体"/>
                <w:b w:val="0"/>
                <w:bCs w:val="0"/>
                <w:sz w:val="21"/>
                <w:szCs w:val="21"/>
              </w:rPr>
              <w:t>①养护维修响应时间及保证措施的承诺完整全面、可行、有针对性得</w:t>
            </w:r>
            <w:r>
              <w:rPr>
                <w:rFonts w:hint="eastAsia" w:ascii="宋体" w:hAnsi="宋体" w:eastAsia="宋体"/>
                <w:b w:val="0"/>
                <w:bCs w:val="0"/>
                <w:sz w:val="21"/>
                <w:szCs w:val="21"/>
                <w:lang w:val="en-US" w:eastAsia="zh-CN"/>
              </w:rPr>
              <w:t>10</w:t>
            </w:r>
            <w:r>
              <w:rPr>
                <w:rFonts w:hint="eastAsia" w:ascii="宋体" w:hAnsi="宋体" w:eastAsia="宋体"/>
                <w:b w:val="0"/>
                <w:bCs w:val="0"/>
                <w:sz w:val="21"/>
                <w:szCs w:val="21"/>
              </w:rPr>
              <w:t>分；</w:t>
            </w:r>
          </w:p>
          <w:p w14:paraId="66C960C3">
            <w:pPr>
              <w:pStyle w:val="42"/>
              <w:spacing w:line="360" w:lineRule="auto"/>
              <w:ind w:firstLine="0"/>
              <w:rPr>
                <w:rFonts w:hint="eastAsia" w:ascii="宋体" w:hAnsi="宋体" w:eastAsia="宋体"/>
                <w:b w:val="0"/>
                <w:bCs w:val="0"/>
                <w:sz w:val="21"/>
                <w:szCs w:val="21"/>
              </w:rPr>
            </w:pPr>
            <w:r>
              <w:rPr>
                <w:rFonts w:hint="eastAsia" w:ascii="宋体" w:hAnsi="宋体" w:eastAsia="宋体"/>
                <w:b w:val="0"/>
                <w:bCs w:val="0"/>
                <w:sz w:val="21"/>
                <w:szCs w:val="21"/>
              </w:rPr>
              <w:t>②养护维修响应时间及保证措施的承诺较完整、较可行、较有针对性得</w:t>
            </w:r>
            <w:r>
              <w:rPr>
                <w:rFonts w:hint="eastAsia" w:ascii="宋体" w:hAnsi="宋体" w:eastAsia="宋体"/>
                <w:b w:val="0"/>
                <w:bCs w:val="0"/>
                <w:sz w:val="21"/>
                <w:szCs w:val="21"/>
                <w:lang w:val="en-US" w:eastAsia="zh-CN"/>
              </w:rPr>
              <w:t>7</w:t>
            </w:r>
            <w:r>
              <w:rPr>
                <w:rFonts w:hint="eastAsia" w:ascii="宋体" w:hAnsi="宋体" w:eastAsia="宋体"/>
                <w:b w:val="0"/>
                <w:bCs w:val="0"/>
                <w:sz w:val="21"/>
                <w:szCs w:val="21"/>
              </w:rPr>
              <w:t>分；</w:t>
            </w:r>
          </w:p>
          <w:p w14:paraId="2CA3FCE5">
            <w:pPr>
              <w:pStyle w:val="42"/>
              <w:spacing w:line="360" w:lineRule="auto"/>
              <w:ind w:firstLine="0"/>
              <w:rPr>
                <w:rFonts w:hint="eastAsia" w:ascii="宋体" w:hAnsi="宋体" w:eastAsia="宋体"/>
                <w:b w:val="0"/>
                <w:bCs w:val="0"/>
                <w:sz w:val="21"/>
                <w:szCs w:val="21"/>
              </w:rPr>
            </w:pPr>
            <w:r>
              <w:rPr>
                <w:rFonts w:hint="eastAsia" w:ascii="宋体" w:hAnsi="宋体" w:eastAsia="宋体"/>
                <w:b w:val="0"/>
                <w:bCs w:val="0"/>
                <w:sz w:val="21"/>
                <w:szCs w:val="21"/>
              </w:rPr>
              <w:t>③养护维修响应时间及保证措施的承诺较简单得</w:t>
            </w:r>
            <w:r>
              <w:rPr>
                <w:rFonts w:hint="eastAsia" w:ascii="宋体" w:hAnsi="宋体" w:eastAsia="宋体"/>
                <w:b w:val="0"/>
                <w:bCs w:val="0"/>
                <w:sz w:val="21"/>
                <w:szCs w:val="21"/>
                <w:lang w:val="en-US" w:eastAsia="zh-CN"/>
              </w:rPr>
              <w:t>4</w:t>
            </w:r>
            <w:r>
              <w:rPr>
                <w:rFonts w:hint="eastAsia" w:ascii="宋体" w:hAnsi="宋体" w:eastAsia="宋体"/>
                <w:b w:val="0"/>
                <w:bCs w:val="0"/>
                <w:sz w:val="21"/>
                <w:szCs w:val="21"/>
              </w:rPr>
              <w:t>分；</w:t>
            </w:r>
          </w:p>
          <w:p w14:paraId="40572C5C">
            <w:pPr>
              <w:pStyle w:val="42"/>
              <w:spacing w:line="360" w:lineRule="auto"/>
              <w:ind w:firstLine="0"/>
              <w:rPr>
                <w:rFonts w:hint="eastAsia" w:ascii="宋体" w:hAnsi="宋体" w:eastAsia="宋体"/>
                <w:b w:val="0"/>
                <w:bCs w:val="0"/>
                <w:sz w:val="21"/>
                <w:szCs w:val="21"/>
              </w:rPr>
            </w:pPr>
            <w:r>
              <w:rPr>
                <w:rFonts w:hint="eastAsia" w:ascii="宋体" w:hAnsi="宋体" w:eastAsia="宋体"/>
                <w:b w:val="0"/>
                <w:bCs w:val="0"/>
                <w:sz w:val="21"/>
                <w:szCs w:val="21"/>
              </w:rPr>
              <w:t>④未提供或有重大偏差不得分。</w:t>
            </w:r>
          </w:p>
          <w:p w14:paraId="19A934A0">
            <w:pPr>
              <w:pStyle w:val="42"/>
              <w:spacing w:line="360" w:lineRule="auto"/>
              <w:ind w:firstLine="0"/>
              <w:rPr>
                <w:rFonts w:hint="eastAsia" w:ascii="宋体" w:hAnsi="宋体" w:eastAsia="宋体"/>
                <w:b/>
                <w:bCs/>
                <w:sz w:val="21"/>
                <w:szCs w:val="21"/>
              </w:rPr>
            </w:pPr>
            <w:r>
              <w:rPr>
                <w:rFonts w:hint="eastAsia" w:ascii="宋体" w:hAnsi="宋体" w:eastAsia="宋体"/>
                <w:b/>
                <w:bCs/>
                <w:sz w:val="21"/>
                <w:szCs w:val="21"/>
              </w:rPr>
              <w:t>（6）评委根据投标人提供的后续服务安排及保证措施等方面进行评分：</w:t>
            </w:r>
          </w:p>
          <w:p w14:paraId="2A132B8B">
            <w:pPr>
              <w:pStyle w:val="42"/>
              <w:spacing w:line="360" w:lineRule="auto"/>
              <w:ind w:firstLine="0"/>
              <w:rPr>
                <w:rFonts w:hint="eastAsia" w:ascii="宋体" w:hAnsi="宋体" w:eastAsia="宋体"/>
                <w:b w:val="0"/>
                <w:bCs w:val="0"/>
                <w:sz w:val="21"/>
                <w:szCs w:val="21"/>
              </w:rPr>
            </w:pPr>
            <w:r>
              <w:rPr>
                <w:rFonts w:hint="eastAsia" w:ascii="宋体" w:hAnsi="宋体" w:eastAsia="宋体"/>
                <w:b w:val="0"/>
                <w:bCs w:val="0"/>
                <w:sz w:val="21"/>
                <w:szCs w:val="21"/>
              </w:rPr>
              <w:t>①后续服务安排及措施得当、具有针对性且满足项目要求得5分；</w:t>
            </w:r>
          </w:p>
          <w:p w14:paraId="1906F03C">
            <w:pPr>
              <w:pStyle w:val="42"/>
              <w:spacing w:line="360" w:lineRule="auto"/>
              <w:ind w:firstLine="0"/>
              <w:rPr>
                <w:rFonts w:hint="eastAsia" w:ascii="宋体" w:hAnsi="宋体" w:eastAsia="宋体"/>
                <w:b w:val="0"/>
                <w:bCs w:val="0"/>
                <w:sz w:val="21"/>
                <w:szCs w:val="21"/>
              </w:rPr>
            </w:pPr>
            <w:r>
              <w:rPr>
                <w:rFonts w:hint="eastAsia" w:ascii="宋体" w:hAnsi="宋体" w:eastAsia="宋体"/>
                <w:b w:val="0"/>
                <w:bCs w:val="0"/>
                <w:sz w:val="21"/>
                <w:szCs w:val="21"/>
              </w:rPr>
              <w:t>②后续服务安排及措施较得当，较满足项目要求得3分；</w:t>
            </w:r>
          </w:p>
          <w:p w14:paraId="5B6E3EB8">
            <w:pPr>
              <w:pStyle w:val="42"/>
              <w:spacing w:line="360" w:lineRule="auto"/>
              <w:ind w:firstLine="0"/>
              <w:rPr>
                <w:rFonts w:hint="eastAsia" w:ascii="宋体" w:hAnsi="宋体" w:eastAsia="宋体"/>
                <w:b w:val="0"/>
                <w:bCs w:val="0"/>
                <w:sz w:val="21"/>
                <w:szCs w:val="21"/>
              </w:rPr>
            </w:pPr>
            <w:r>
              <w:rPr>
                <w:rFonts w:hint="eastAsia" w:ascii="宋体" w:hAnsi="宋体" w:eastAsia="宋体"/>
                <w:b w:val="0"/>
                <w:bCs w:val="0"/>
                <w:sz w:val="21"/>
                <w:szCs w:val="21"/>
              </w:rPr>
              <w:t>③后续服务安排及措施有瑕疵得1分；</w:t>
            </w:r>
          </w:p>
          <w:p w14:paraId="7CB08412">
            <w:pPr>
              <w:pStyle w:val="42"/>
              <w:spacing w:line="360" w:lineRule="auto"/>
              <w:ind w:firstLine="0"/>
              <w:rPr>
                <w:rFonts w:hint="default" w:ascii="宋体" w:hAnsi="宋体" w:eastAsia="宋体"/>
                <w:color w:val="auto"/>
                <w:sz w:val="21"/>
                <w:szCs w:val="21"/>
                <w:lang w:val="en-US" w:eastAsia="zh-CN"/>
              </w:rPr>
            </w:pPr>
            <w:r>
              <w:rPr>
                <w:rFonts w:hint="eastAsia" w:ascii="宋体" w:hAnsi="宋体" w:eastAsia="宋体"/>
                <w:b w:val="0"/>
                <w:bCs w:val="0"/>
                <w:sz w:val="21"/>
                <w:szCs w:val="21"/>
              </w:rPr>
              <w:t>④有重大偏差、未提供不得分。</w:t>
            </w:r>
          </w:p>
        </w:tc>
        <w:tc>
          <w:tcPr>
            <w:tcW w:w="776" w:type="dxa"/>
            <w:noWrap w:val="0"/>
            <w:vAlign w:val="center"/>
          </w:tcPr>
          <w:p w14:paraId="7C34BEB6">
            <w:pPr>
              <w:spacing w:line="360" w:lineRule="auto"/>
              <w:jc w:val="center"/>
              <w:rPr>
                <w:rFonts w:hint="default" w:ascii="宋体" w:hAnsi="宋体" w:eastAsia="宋体" w:cs="宋体"/>
                <w:b/>
                <w:bCs/>
                <w:szCs w:val="21"/>
                <w:lang w:val="en-US" w:eastAsia="zh-CN"/>
              </w:rPr>
            </w:pPr>
            <w:r>
              <w:rPr>
                <w:rFonts w:hint="eastAsia" w:ascii="宋体" w:hAnsi="宋体" w:cs="宋体"/>
                <w:b/>
                <w:bCs/>
                <w:szCs w:val="21"/>
                <w:lang w:val="en-US" w:eastAsia="zh-CN"/>
              </w:rPr>
              <w:t>55</w:t>
            </w:r>
          </w:p>
        </w:tc>
      </w:tr>
      <w:tr w14:paraId="5EC11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dxa"/>
            <w:noWrap w:val="0"/>
            <w:vAlign w:val="center"/>
          </w:tcPr>
          <w:p w14:paraId="028B935F">
            <w:pPr>
              <w:spacing w:line="360" w:lineRule="auto"/>
              <w:jc w:val="center"/>
              <w:rPr>
                <w:rFonts w:hint="eastAsia" w:ascii="宋体" w:hAnsi="宋体" w:cs="宋体"/>
                <w:b/>
                <w:szCs w:val="21"/>
                <w:lang w:val="en-US" w:eastAsia="zh-CN"/>
              </w:rPr>
            </w:pPr>
            <w:r>
              <w:rPr>
                <w:rFonts w:hint="eastAsia" w:ascii="宋体" w:hAnsi="宋体" w:cs="宋体"/>
                <w:b/>
                <w:szCs w:val="21"/>
                <w:lang w:val="en-US" w:eastAsia="zh-CN"/>
              </w:rPr>
              <w:t>4</w:t>
            </w:r>
          </w:p>
        </w:tc>
        <w:tc>
          <w:tcPr>
            <w:tcW w:w="1113" w:type="dxa"/>
            <w:noWrap w:val="0"/>
            <w:vAlign w:val="center"/>
          </w:tcPr>
          <w:p w14:paraId="72F17C04">
            <w:pPr>
              <w:spacing w:line="360" w:lineRule="auto"/>
              <w:ind w:firstLine="211"/>
              <w:rPr>
                <w:rFonts w:hint="eastAsia" w:ascii="宋体" w:hAnsi="宋体" w:cs="宋体"/>
                <w:b/>
                <w:bCs/>
                <w:szCs w:val="21"/>
                <w:lang w:val="en-US" w:eastAsia="zh-CN"/>
              </w:rPr>
            </w:pPr>
            <w:r>
              <w:rPr>
                <w:rFonts w:hint="eastAsia" w:ascii="宋体" w:hAnsi="宋体" w:cs="宋体"/>
                <w:b/>
                <w:bCs/>
                <w:szCs w:val="21"/>
                <w:lang w:val="en-US" w:eastAsia="zh-CN"/>
              </w:rPr>
              <w:t>企业</w:t>
            </w:r>
          </w:p>
          <w:p w14:paraId="40AADE13">
            <w:pPr>
              <w:spacing w:line="360" w:lineRule="auto"/>
              <w:ind w:firstLine="211"/>
              <w:rPr>
                <w:rFonts w:hint="eastAsia" w:ascii="宋体" w:hAnsi="宋体" w:cs="宋体"/>
                <w:b/>
                <w:bCs/>
                <w:szCs w:val="21"/>
              </w:rPr>
            </w:pPr>
            <w:r>
              <w:rPr>
                <w:rFonts w:hint="eastAsia" w:ascii="宋体" w:hAnsi="宋体" w:cs="宋体"/>
                <w:b/>
                <w:bCs/>
                <w:szCs w:val="21"/>
              </w:rPr>
              <w:t>业绩</w:t>
            </w:r>
          </w:p>
          <w:p w14:paraId="6D4063C5">
            <w:pPr>
              <w:spacing w:line="360" w:lineRule="auto"/>
              <w:rPr>
                <w:rFonts w:hint="eastAsia" w:ascii="宋体" w:hAnsi="宋体" w:cs="宋体"/>
                <w:b/>
                <w:szCs w:val="21"/>
              </w:rPr>
            </w:pPr>
            <w:r>
              <w:rPr>
                <w:rFonts w:hint="eastAsia" w:ascii="宋体" w:hAnsi="宋体" w:cs="宋体"/>
                <w:b/>
                <w:bCs/>
                <w:szCs w:val="21"/>
              </w:rPr>
              <w:t>（</w:t>
            </w:r>
            <w:r>
              <w:rPr>
                <w:rFonts w:hint="eastAsia" w:ascii="宋体" w:hAnsi="宋体" w:cs="宋体"/>
                <w:b/>
                <w:bCs/>
                <w:szCs w:val="21"/>
                <w:lang w:val="en-US" w:eastAsia="zh-CN"/>
              </w:rPr>
              <w:t>15</w:t>
            </w:r>
            <w:r>
              <w:rPr>
                <w:rFonts w:hint="eastAsia" w:ascii="宋体" w:hAnsi="宋体" w:cs="宋体"/>
                <w:b/>
                <w:bCs/>
                <w:szCs w:val="21"/>
              </w:rPr>
              <w:t>分）</w:t>
            </w:r>
          </w:p>
        </w:tc>
        <w:tc>
          <w:tcPr>
            <w:tcW w:w="6893" w:type="dxa"/>
            <w:noWrap w:val="0"/>
            <w:vAlign w:val="center"/>
          </w:tcPr>
          <w:p w14:paraId="11630EAA">
            <w:pPr>
              <w:numPr>
                <w:ilvl w:val="0"/>
                <w:numId w:val="0"/>
              </w:numPr>
              <w:spacing w:line="360" w:lineRule="auto"/>
              <w:ind w:left="0" w:firstLine="0"/>
              <w:rPr>
                <w:rFonts w:hint="eastAsia" w:ascii="宋体" w:hAnsi="宋体" w:eastAsia="宋体"/>
                <w:color w:val="auto"/>
                <w:sz w:val="21"/>
                <w:szCs w:val="21"/>
              </w:rPr>
            </w:pPr>
            <w:r>
              <w:rPr>
                <w:rFonts w:hint="eastAsia" w:ascii="宋体" w:hAnsi="宋体" w:cs="宋体"/>
                <w:color w:val="auto"/>
                <w:szCs w:val="21"/>
              </w:rPr>
              <w:t>供应商</w:t>
            </w:r>
            <w:r>
              <w:rPr>
                <w:rFonts w:hint="eastAsia" w:ascii="宋体" w:hAnsi="宋体" w:cs="宋体"/>
                <w:color w:val="auto"/>
                <w:szCs w:val="21"/>
                <w:highlight w:val="none"/>
              </w:rPr>
              <w:t>自2</w:t>
            </w:r>
            <w:r>
              <w:rPr>
                <w:rFonts w:ascii="宋体" w:hAnsi="宋体" w:cs="宋体"/>
                <w:color w:val="auto"/>
                <w:szCs w:val="21"/>
                <w:highlight w:val="none"/>
              </w:rPr>
              <w:t>0</w:t>
            </w:r>
            <w:r>
              <w:rPr>
                <w:rFonts w:hint="eastAsia" w:ascii="宋体" w:hAnsi="宋体" w:cs="宋体"/>
                <w:color w:val="auto"/>
                <w:szCs w:val="21"/>
                <w:highlight w:val="none"/>
                <w:lang w:val="en-US" w:eastAsia="zh-CN"/>
              </w:rPr>
              <w:t>21</w:t>
            </w:r>
            <w:r>
              <w:rPr>
                <w:rFonts w:hint="eastAsia" w:ascii="宋体" w:hAnsi="宋体" w:cs="宋体"/>
                <w:color w:val="auto"/>
                <w:szCs w:val="21"/>
                <w:highlight w:val="none"/>
              </w:rPr>
              <w:t>年</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月1日（含）</w:t>
            </w:r>
            <w:r>
              <w:rPr>
                <w:rFonts w:hint="eastAsia" w:ascii="宋体" w:hAnsi="宋体" w:cs="宋体"/>
                <w:color w:val="auto"/>
                <w:szCs w:val="21"/>
              </w:rPr>
              <w:t>以来（时间以合同签订时间为准）承担过本项目类似</w:t>
            </w:r>
            <w:r>
              <w:rPr>
                <w:rFonts w:hint="eastAsia"/>
                <w:lang w:val="en-US" w:eastAsia="zh-CN"/>
              </w:rPr>
              <w:t>综合养护或者日常养护</w:t>
            </w:r>
            <w:r>
              <w:rPr>
                <w:rFonts w:hint="eastAsia" w:ascii="宋体" w:hAnsi="宋体" w:cs="宋体"/>
                <w:color w:val="auto"/>
                <w:szCs w:val="21"/>
              </w:rPr>
              <w:t>业绩，每提供一个得</w:t>
            </w:r>
            <w:r>
              <w:rPr>
                <w:rFonts w:hint="eastAsia" w:ascii="宋体" w:hAnsi="宋体" w:cs="宋体"/>
                <w:color w:val="auto"/>
                <w:szCs w:val="21"/>
                <w:lang w:val="en-US" w:eastAsia="zh-CN"/>
              </w:rPr>
              <w:t>5</w:t>
            </w:r>
            <w:r>
              <w:rPr>
                <w:rFonts w:hint="eastAsia" w:ascii="宋体" w:hAnsi="宋体" w:cs="宋体"/>
                <w:color w:val="auto"/>
                <w:szCs w:val="21"/>
              </w:rPr>
              <w:t>分，满分</w:t>
            </w:r>
            <w:r>
              <w:rPr>
                <w:rFonts w:hint="eastAsia" w:ascii="宋体" w:hAnsi="宋体" w:cs="宋体"/>
                <w:color w:val="auto"/>
                <w:szCs w:val="21"/>
                <w:lang w:val="en-US" w:eastAsia="zh-CN"/>
              </w:rPr>
              <w:t>15</w:t>
            </w:r>
            <w:r>
              <w:rPr>
                <w:rFonts w:hint="eastAsia" w:ascii="宋体" w:hAnsi="宋体" w:cs="宋体"/>
                <w:color w:val="auto"/>
                <w:szCs w:val="21"/>
              </w:rPr>
              <w:t>分。（提供合同和中标通知书（或成交通知书）</w:t>
            </w:r>
            <w:r>
              <w:rPr>
                <w:rFonts w:hint="eastAsia" w:ascii="宋体" w:hAnsi="宋体" w:cs="宋体"/>
                <w:color w:val="auto"/>
                <w:szCs w:val="21"/>
                <w:lang w:eastAsia="zh-CN"/>
              </w:rPr>
              <w:t>扫描件</w:t>
            </w:r>
            <w:r>
              <w:rPr>
                <w:rFonts w:hint="eastAsia" w:ascii="宋体" w:hAnsi="宋体" w:cs="宋体"/>
                <w:color w:val="auto"/>
                <w:szCs w:val="21"/>
              </w:rPr>
              <w:t>并加盖</w:t>
            </w:r>
            <w:r>
              <w:rPr>
                <w:rFonts w:hint="eastAsia" w:ascii="宋体" w:hAnsi="宋体" w:cs="宋体"/>
                <w:color w:val="auto"/>
                <w:szCs w:val="21"/>
                <w:highlight w:val="none"/>
                <w:lang w:eastAsia="zh-CN"/>
              </w:rPr>
              <w:t>公</w:t>
            </w:r>
            <w:r>
              <w:rPr>
                <w:rFonts w:hint="eastAsia" w:ascii="宋体" w:hAnsi="宋体" w:cs="宋体"/>
                <w:color w:val="auto"/>
                <w:szCs w:val="21"/>
                <w:lang w:eastAsia="zh-CN"/>
              </w:rPr>
              <w:t>章。</w:t>
            </w:r>
            <w:r>
              <w:rPr>
                <w:rFonts w:hint="eastAsia" w:ascii="宋体" w:hAnsi="宋体" w:cs="宋体"/>
                <w:color w:val="auto"/>
                <w:szCs w:val="21"/>
                <w:lang w:val="en-US" w:eastAsia="zh-CN"/>
              </w:rPr>
              <w:t>提供的证明材料须能清楚的反应相关数据和内容，否则视为未提供不得分，同一业绩不重复计分</w:t>
            </w:r>
            <w:r>
              <w:rPr>
                <w:rFonts w:hint="eastAsia" w:ascii="宋体" w:hAnsi="宋体" w:cs="宋体"/>
                <w:color w:val="auto"/>
                <w:szCs w:val="21"/>
              </w:rPr>
              <w:t>）</w:t>
            </w:r>
          </w:p>
        </w:tc>
        <w:tc>
          <w:tcPr>
            <w:tcW w:w="776" w:type="dxa"/>
            <w:noWrap w:val="0"/>
            <w:vAlign w:val="center"/>
          </w:tcPr>
          <w:p w14:paraId="530B7D2C">
            <w:pPr>
              <w:widowControl/>
              <w:spacing w:line="360" w:lineRule="auto"/>
              <w:jc w:val="center"/>
              <w:rPr>
                <w:rFonts w:hint="default" w:ascii="宋体" w:hAnsi="宋体" w:cs="宋体"/>
                <w:b/>
                <w:bCs/>
                <w:szCs w:val="21"/>
                <w:shd w:val="clear" w:color="auto" w:fill="FFFFFF"/>
                <w:lang w:val="en-US" w:eastAsia="zh-CN"/>
              </w:rPr>
            </w:pPr>
            <w:r>
              <w:rPr>
                <w:rFonts w:hint="eastAsia" w:ascii="宋体" w:hAnsi="宋体" w:cs="宋体"/>
                <w:b/>
                <w:bCs/>
                <w:szCs w:val="21"/>
                <w:shd w:val="clear" w:color="auto" w:fill="FFFFFF"/>
                <w:lang w:val="en-US" w:eastAsia="zh-CN"/>
              </w:rPr>
              <w:t>15</w:t>
            </w:r>
          </w:p>
        </w:tc>
      </w:tr>
      <w:tr w14:paraId="46360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dxa"/>
            <w:noWrap w:val="0"/>
            <w:vAlign w:val="center"/>
          </w:tcPr>
          <w:p w14:paraId="2F7460D5">
            <w:pPr>
              <w:spacing w:line="360" w:lineRule="auto"/>
              <w:jc w:val="center"/>
              <w:rPr>
                <w:rFonts w:hint="default" w:ascii="宋体" w:hAnsi="宋体" w:cs="宋体"/>
                <w:b/>
                <w:szCs w:val="21"/>
                <w:lang w:val="en-US" w:eastAsia="zh-CN"/>
              </w:rPr>
            </w:pPr>
            <w:r>
              <w:rPr>
                <w:rFonts w:hint="eastAsia" w:ascii="宋体" w:hAnsi="宋体" w:cs="宋体"/>
                <w:b/>
                <w:szCs w:val="21"/>
                <w:lang w:val="en-US" w:eastAsia="zh-CN"/>
              </w:rPr>
              <w:t>5</w:t>
            </w:r>
          </w:p>
        </w:tc>
        <w:tc>
          <w:tcPr>
            <w:tcW w:w="1113" w:type="dxa"/>
            <w:noWrap w:val="0"/>
            <w:vAlign w:val="center"/>
          </w:tcPr>
          <w:p w14:paraId="55FD3E6F">
            <w:pPr>
              <w:spacing w:line="360" w:lineRule="auto"/>
              <w:jc w:val="center"/>
              <w:rPr>
                <w:rFonts w:hint="eastAsia" w:ascii="宋体" w:hAnsi="宋体" w:cs="宋体"/>
                <w:b/>
                <w:bCs/>
                <w:szCs w:val="21"/>
              </w:rPr>
            </w:pPr>
            <w:r>
              <w:rPr>
                <w:rFonts w:hint="eastAsia" w:ascii="宋体" w:hAnsi="宋体" w:cs="宋体"/>
                <w:b/>
                <w:bCs/>
                <w:szCs w:val="21"/>
              </w:rPr>
              <w:t>项目</w:t>
            </w:r>
          </w:p>
          <w:p w14:paraId="513D1D10">
            <w:pPr>
              <w:spacing w:line="360" w:lineRule="auto"/>
              <w:jc w:val="center"/>
              <w:rPr>
                <w:rFonts w:hint="eastAsia" w:ascii="宋体" w:hAnsi="宋体" w:cs="宋体"/>
                <w:b/>
                <w:bCs/>
                <w:szCs w:val="21"/>
              </w:rPr>
            </w:pPr>
            <w:r>
              <w:rPr>
                <w:rFonts w:hint="eastAsia" w:ascii="宋体" w:hAnsi="宋体" w:cs="宋体"/>
                <w:b/>
                <w:bCs/>
                <w:szCs w:val="21"/>
              </w:rPr>
              <w:t>负责人</w:t>
            </w:r>
          </w:p>
          <w:p w14:paraId="32C995E8">
            <w:pPr>
              <w:spacing w:line="360" w:lineRule="auto"/>
              <w:rPr>
                <w:rFonts w:hint="eastAsia" w:ascii="宋体" w:hAnsi="宋体" w:cs="宋体"/>
                <w:b/>
                <w:bCs/>
                <w:szCs w:val="21"/>
              </w:rPr>
            </w:pPr>
            <w:r>
              <w:rPr>
                <w:rFonts w:hint="eastAsia" w:ascii="宋体" w:hAnsi="宋体" w:cs="宋体"/>
                <w:b/>
                <w:szCs w:val="21"/>
              </w:rPr>
              <w:t>（</w:t>
            </w:r>
            <w:r>
              <w:rPr>
                <w:rFonts w:hint="eastAsia" w:ascii="宋体" w:hAnsi="宋体" w:cs="宋体"/>
                <w:b/>
                <w:szCs w:val="21"/>
                <w:lang w:val="en-US" w:eastAsia="zh-CN"/>
              </w:rPr>
              <w:t>5</w:t>
            </w:r>
            <w:r>
              <w:rPr>
                <w:rFonts w:hint="eastAsia" w:ascii="宋体" w:hAnsi="宋体" w:cs="宋体"/>
                <w:b/>
                <w:szCs w:val="21"/>
              </w:rPr>
              <w:t>分）</w:t>
            </w:r>
          </w:p>
        </w:tc>
        <w:tc>
          <w:tcPr>
            <w:tcW w:w="6893" w:type="dxa"/>
            <w:noWrap w:val="0"/>
            <w:vAlign w:val="top"/>
          </w:tcPr>
          <w:p w14:paraId="4931A228">
            <w:pPr>
              <w:pStyle w:val="42"/>
              <w:spacing w:line="360" w:lineRule="auto"/>
              <w:ind w:firstLine="0"/>
              <w:rPr>
                <w:rFonts w:hint="eastAsia" w:ascii="宋体" w:hAnsi="宋体" w:cs="宋体"/>
                <w:color w:val="auto"/>
                <w:szCs w:val="21"/>
              </w:rPr>
            </w:pPr>
            <w:r>
              <w:rPr>
                <w:rFonts w:hint="eastAsia" w:ascii="宋体" w:hAnsi="宋体" w:cs="宋体"/>
                <w:color w:val="auto"/>
                <w:szCs w:val="21"/>
              </w:rPr>
              <w:t>（1）项目负责人</w:t>
            </w:r>
          </w:p>
          <w:p w14:paraId="5BE6B4CD">
            <w:pPr>
              <w:pStyle w:val="42"/>
              <w:spacing w:line="360" w:lineRule="auto"/>
              <w:ind w:firstLine="0"/>
              <w:rPr>
                <w:rFonts w:hint="eastAsia" w:ascii="宋体" w:hAnsi="宋体" w:cs="宋体"/>
                <w:color w:val="auto"/>
                <w:szCs w:val="21"/>
              </w:rPr>
            </w:pPr>
            <w:r>
              <w:rPr>
                <w:rFonts w:hint="eastAsia" w:ascii="宋体" w:hAnsi="宋体" w:cs="宋体"/>
                <w:color w:val="auto"/>
                <w:szCs w:val="21"/>
              </w:rPr>
              <w:t>拟投入本项目的项目负责人同时具有①中级</w:t>
            </w:r>
            <w:r>
              <w:rPr>
                <w:rFonts w:hint="eastAsia" w:ascii="宋体" w:hAnsi="宋体" w:eastAsia="宋体" w:cs="宋体"/>
                <w:color w:val="auto"/>
                <w:szCs w:val="21"/>
                <w:lang w:val="en-US" w:eastAsia="zh-CN"/>
              </w:rPr>
              <w:t>及</w:t>
            </w:r>
            <w:r>
              <w:rPr>
                <w:rFonts w:hint="eastAsia" w:ascii="宋体" w:hAnsi="宋体" w:cs="宋体"/>
                <w:color w:val="auto"/>
                <w:szCs w:val="21"/>
              </w:rPr>
              <w:t>以上技术职称；②二级</w:t>
            </w:r>
            <w:r>
              <w:rPr>
                <w:rFonts w:hint="eastAsia" w:ascii="宋体" w:hAnsi="宋体" w:eastAsia="宋体" w:cs="宋体"/>
                <w:color w:val="auto"/>
                <w:szCs w:val="21"/>
                <w:lang w:val="en-US" w:eastAsia="zh-CN"/>
              </w:rPr>
              <w:t>及</w:t>
            </w:r>
            <w:r>
              <w:rPr>
                <w:rFonts w:hint="eastAsia" w:ascii="宋体" w:hAnsi="宋体" w:cs="宋体"/>
                <w:color w:val="auto"/>
                <w:szCs w:val="21"/>
              </w:rPr>
              <w:t>以上注册建造师得</w:t>
            </w:r>
            <w:r>
              <w:rPr>
                <w:rFonts w:hint="eastAsia" w:ascii="宋体" w:hAnsi="宋体" w:cs="宋体"/>
                <w:color w:val="auto"/>
                <w:szCs w:val="21"/>
                <w:lang w:val="en-US" w:eastAsia="zh-CN"/>
              </w:rPr>
              <w:t>5</w:t>
            </w:r>
            <w:r>
              <w:rPr>
                <w:rFonts w:hint="eastAsia" w:ascii="宋体" w:hAnsi="宋体" w:cs="宋体"/>
                <w:color w:val="auto"/>
                <w:szCs w:val="21"/>
              </w:rPr>
              <w:t>分，缺一项不得分，本项最多得</w:t>
            </w:r>
            <w:r>
              <w:rPr>
                <w:rFonts w:hint="eastAsia" w:ascii="宋体" w:hAnsi="宋体" w:cs="宋体"/>
                <w:color w:val="auto"/>
                <w:szCs w:val="21"/>
                <w:lang w:val="en-US" w:eastAsia="zh-CN"/>
              </w:rPr>
              <w:t>5</w:t>
            </w:r>
            <w:r>
              <w:rPr>
                <w:rFonts w:hint="eastAsia" w:ascii="宋体" w:hAnsi="宋体" w:cs="宋体"/>
                <w:color w:val="auto"/>
                <w:szCs w:val="21"/>
              </w:rPr>
              <w:t>分。（提供相关证书的原件扫描件并加盖</w:t>
            </w:r>
            <w:r>
              <w:rPr>
                <w:rFonts w:hint="eastAsia" w:ascii="宋体" w:hAnsi="宋体" w:cs="宋体"/>
                <w:color w:val="auto"/>
                <w:szCs w:val="21"/>
                <w:highlight w:val="none"/>
                <w:lang w:eastAsia="zh-CN"/>
              </w:rPr>
              <w:t>公</w:t>
            </w:r>
            <w:r>
              <w:rPr>
                <w:rFonts w:hint="eastAsia" w:ascii="宋体" w:hAnsi="宋体" w:cs="宋体"/>
                <w:color w:val="auto"/>
                <w:szCs w:val="21"/>
                <w:lang w:eastAsia="zh-CN"/>
              </w:rPr>
              <w:t>章</w:t>
            </w:r>
            <w:r>
              <w:rPr>
                <w:rFonts w:hint="eastAsia" w:ascii="宋体" w:hAnsi="宋体" w:cs="宋体"/>
                <w:color w:val="auto"/>
                <w:szCs w:val="21"/>
              </w:rPr>
              <w:t>）</w:t>
            </w:r>
          </w:p>
        </w:tc>
        <w:tc>
          <w:tcPr>
            <w:tcW w:w="776" w:type="dxa"/>
            <w:noWrap w:val="0"/>
            <w:vAlign w:val="center"/>
          </w:tcPr>
          <w:p w14:paraId="58B99FBE">
            <w:pPr>
              <w:widowControl/>
              <w:spacing w:line="360" w:lineRule="auto"/>
              <w:jc w:val="center"/>
              <w:rPr>
                <w:rFonts w:hint="default" w:ascii="宋体" w:hAnsi="宋体" w:cs="宋体"/>
                <w:b/>
                <w:bCs/>
                <w:szCs w:val="21"/>
                <w:shd w:val="clear" w:color="auto" w:fill="FFFFFF"/>
                <w:lang w:val="en-US" w:eastAsia="zh-CN"/>
              </w:rPr>
            </w:pPr>
            <w:r>
              <w:rPr>
                <w:rFonts w:hint="eastAsia" w:ascii="宋体" w:hAnsi="宋体" w:cs="宋体"/>
                <w:b/>
                <w:bCs/>
                <w:szCs w:val="21"/>
                <w:shd w:val="clear" w:color="auto" w:fill="FFFFFF"/>
                <w:lang w:val="en-US" w:eastAsia="zh-CN"/>
              </w:rPr>
              <w:t>5</w:t>
            </w:r>
          </w:p>
        </w:tc>
      </w:tr>
      <w:tr w14:paraId="3E2E9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dxa"/>
            <w:noWrap w:val="0"/>
            <w:vAlign w:val="center"/>
          </w:tcPr>
          <w:p w14:paraId="59A19958">
            <w:pPr>
              <w:spacing w:line="360" w:lineRule="auto"/>
              <w:jc w:val="center"/>
              <w:rPr>
                <w:rFonts w:hint="default" w:ascii="宋体" w:hAnsi="宋体" w:cs="宋体"/>
                <w:b/>
                <w:szCs w:val="21"/>
                <w:lang w:val="en-US" w:eastAsia="zh-CN"/>
              </w:rPr>
            </w:pPr>
            <w:r>
              <w:rPr>
                <w:rFonts w:hint="eastAsia" w:ascii="宋体" w:hAnsi="宋体" w:cs="宋体"/>
                <w:b/>
                <w:szCs w:val="21"/>
                <w:lang w:val="en-US" w:eastAsia="zh-CN"/>
              </w:rPr>
              <w:t>6</w:t>
            </w:r>
          </w:p>
        </w:tc>
        <w:tc>
          <w:tcPr>
            <w:tcW w:w="1113" w:type="dxa"/>
            <w:noWrap w:val="0"/>
            <w:vAlign w:val="center"/>
          </w:tcPr>
          <w:p w14:paraId="552E8573">
            <w:pPr>
              <w:spacing w:line="360" w:lineRule="auto"/>
              <w:jc w:val="center"/>
              <w:rPr>
                <w:rFonts w:hint="eastAsia" w:ascii="宋体" w:hAnsi="宋体" w:cs="宋体"/>
                <w:b/>
                <w:bCs/>
                <w:szCs w:val="21"/>
                <w:lang w:val="en-US" w:eastAsia="zh-CN"/>
              </w:rPr>
            </w:pPr>
            <w:r>
              <w:rPr>
                <w:rFonts w:hint="eastAsia" w:ascii="宋体" w:hAnsi="宋体" w:cs="宋体"/>
                <w:b/>
                <w:bCs/>
                <w:szCs w:val="21"/>
                <w:lang w:val="en-US" w:eastAsia="zh-CN"/>
              </w:rPr>
              <w:t>项目组</w:t>
            </w:r>
          </w:p>
          <w:p w14:paraId="6E99C95F">
            <w:pPr>
              <w:spacing w:line="360" w:lineRule="auto"/>
              <w:jc w:val="center"/>
              <w:rPr>
                <w:rFonts w:hint="eastAsia" w:ascii="宋体" w:hAnsi="宋体" w:cs="宋体"/>
                <w:b/>
                <w:bCs/>
                <w:szCs w:val="21"/>
                <w:lang w:val="en-US" w:eastAsia="zh-CN"/>
              </w:rPr>
            </w:pPr>
            <w:r>
              <w:rPr>
                <w:rFonts w:hint="eastAsia" w:ascii="宋体" w:hAnsi="宋体" w:cs="宋体"/>
                <w:b/>
                <w:bCs/>
                <w:szCs w:val="21"/>
                <w:lang w:val="en-US" w:eastAsia="zh-CN"/>
              </w:rPr>
              <w:t>成员</w:t>
            </w:r>
          </w:p>
          <w:p w14:paraId="133B39BE">
            <w:pPr>
              <w:pStyle w:val="42"/>
              <w:ind w:left="0" w:firstLine="0"/>
              <w:rPr>
                <w:rFonts w:hint="default"/>
                <w:lang w:val="en-US" w:eastAsia="zh-CN"/>
              </w:rPr>
            </w:pPr>
            <w:r>
              <w:rPr>
                <w:rFonts w:hint="eastAsia"/>
                <w:b/>
                <w:bCs/>
                <w:lang w:val="en-US" w:eastAsia="zh-CN"/>
              </w:rPr>
              <w:t>（5分）</w:t>
            </w:r>
          </w:p>
        </w:tc>
        <w:tc>
          <w:tcPr>
            <w:tcW w:w="6893" w:type="dxa"/>
            <w:noWrap w:val="0"/>
            <w:vAlign w:val="top"/>
          </w:tcPr>
          <w:p w14:paraId="4615EA40">
            <w:pPr>
              <w:pStyle w:val="42"/>
              <w:spacing w:line="360" w:lineRule="auto"/>
              <w:ind w:firstLine="0"/>
              <w:rPr>
                <w:rFonts w:hint="eastAsia" w:ascii="宋体" w:hAnsi="宋体" w:cs="宋体"/>
                <w:color w:val="auto"/>
                <w:szCs w:val="21"/>
                <w:lang w:val="en-US" w:eastAsia="zh-CN"/>
              </w:rPr>
            </w:pPr>
            <w:r>
              <w:rPr>
                <w:rFonts w:hint="eastAsia" w:ascii="宋体" w:hAnsi="宋体" w:cs="宋体"/>
                <w:color w:val="auto"/>
                <w:szCs w:val="21"/>
                <w:lang w:val="zh-CN" w:eastAsia="zh-CN"/>
              </w:rPr>
              <w:t>拟投入本项目的</w:t>
            </w:r>
            <w:r>
              <w:rPr>
                <w:rFonts w:hint="eastAsia" w:ascii="宋体" w:hAnsi="宋体" w:cs="宋体"/>
                <w:color w:val="auto"/>
                <w:szCs w:val="21"/>
                <w:lang w:val="en-US" w:eastAsia="zh-CN"/>
              </w:rPr>
              <w:t>项目组成员</w:t>
            </w:r>
            <w:r>
              <w:rPr>
                <w:rFonts w:hint="eastAsia" w:ascii="宋体" w:hAnsi="宋体" w:cs="宋体"/>
                <w:color w:val="auto"/>
                <w:szCs w:val="21"/>
                <w:lang w:val="zh-CN" w:eastAsia="zh-CN"/>
              </w:rPr>
              <w:t>具有中级</w:t>
            </w:r>
            <w:r>
              <w:rPr>
                <w:rFonts w:hint="eastAsia" w:ascii="宋体" w:hAnsi="宋体" w:cs="宋体"/>
                <w:color w:val="auto"/>
                <w:szCs w:val="21"/>
                <w:lang w:val="en-US" w:eastAsia="zh-CN"/>
              </w:rPr>
              <w:t>及以上</w:t>
            </w:r>
            <w:r>
              <w:rPr>
                <w:rFonts w:hint="eastAsia" w:ascii="宋体" w:hAnsi="宋体" w:cs="宋体"/>
                <w:color w:val="auto"/>
                <w:szCs w:val="21"/>
                <w:lang w:val="zh-CN" w:eastAsia="zh-CN"/>
              </w:rPr>
              <w:t>技术职称的，得</w:t>
            </w:r>
            <w:r>
              <w:rPr>
                <w:rFonts w:hint="eastAsia" w:ascii="宋体" w:hAnsi="宋体" w:cs="宋体"/>
                <w:color w:val="auto"/>
                <w:szCs w:val="21"/>
                <w:lang w:val="en-US" w:eastAsia="zh-CN"/>
              </w:rPr>
              <w:t>1</w:t>
            </w:r>
            <w:r>
              <w:rPr>
                <w:rFonts w:hint="eastAsia" w:ascii="宋体" w:hAnsi="宋体" w:cs="宋体"/>
                <w:color w:val="auto"/>
                <w:szCs w:val="21"/>
                <w:lang w:val="zh-CN" w:eastAsia="zh-CN"/>
              </w:rPr>
              <w:t>分；</w:t>
            </w:r>
            <w:r>
              <w:rPr>
                <w:rFonts w:hint="eastAsia" w:ascii="宋体" w:hAnsi="宋体" w:cs="宋体"/>
                <w:color w:val="auto"/>
                <w:szCs w:val="21"/>
                <w:lang w:val="en-US" w:eastAsia="zh-CN"/>
              </w:rPr>
              <w:t>本项最高得4分。</w:t>
            </w:r>
          </w:p>
          <w:p w14:paraId="3AC3E821">
            <w:pPr>
              <w:pStyle w:val="42"/>
              <w:spacing w:line="360" w:lineRule="auto"/>
              <w:ind w:firstLine="0"/>
              <w:rPr>
                <w:rFonts w:hint="eastAsia" w:ascii="宋体" w:hAnsi="宋体" w:cs="宋体"/>
                <w:color w:val="auto"/>
                <w:szCs w:val="21"/>
                <w:lang w:val="zh-CN" w:eastAsia="zh-CN"/>
              </w:rPr>
            </w:pPr>
            <w:r>
              <w:rPr>
                <w:rFonts w:hint="eastAsia" w:ascii="宋体" w:hAnsi="宋体" w:cs="宋体"/>
                <w:color w:val="auto"/>
                <w:szCs w:val="21"/>
                <w:lang w:val="zh-CN" w:eastAsia="zh-CN"/>
              </w:rPr>
              <w:t>专职安全员：具有省级及以上交通运输主管部门核发的《公路水运工程施工企业主要负责人和安全生产管理人员安全生产考核合格证书》（C证）或省级及以上建设行政主管部门核发的《建筑施工企业专职安全生产管理人员安全生产考核合格证书》（C证）</w:t>
            </w:r>
            <w:r>
              <w:rPr>
                <w:rFonts w:hint="eastAsia" w:ascii="宋体" w:hAnsi="宋体" w:cs="宋体"/>
                <w:color w:val="auto"/>
                <w:szCs w:val="21"/>
                <w:lang w:val="en-US" w:eastAsia="zh-CN"/>
              </w:rPr>
              <w:t>得1分，本项最高得1分。</w:t>
            </w:r>
          </w:p>
          <w:p w14:paraId="667FC8C1">
            <w:pPr>
              <w:pStyle w:val="42"/>
              <w:spacing w:line="360" w:lineRule="auto"/>
              <w:ind w:firstLine="0"/>
              <w:rPr>
                <w:rFonts w:hint="eastAsia" w:ascii="宋体" w:hAnsi="宋体" w:cs="宋体"/>
                <w:color w:val="auto"/>
                <w:szCs w:val="21"/>
                <w:lang w:val="zh-CN" w:eastAsia="zh-CN"/>
              </w:rPr>
            </w:pPr>
            <w:r>
              <w:rPr>
                <w:rFonts w:hint="eastAsia" w:ascii="宋体" w:hAnsi="宋体" w:cs="宋体"/>
                <w:color w:val="auto"/>
                <w:szCs w:val="21"/>
                <w:lang w:val="zh-CN" w:eastAsia="zh-CN"/>
              </w:rPr>
              <w:t>（</w:t>
            </w:r>
            <w:r>
              <w:rPr>
                <w:rFonts w:hint="eastAsia" w:ascii="宋体" w:hAnsi="宋体" w:cs="宋体"/>
                <w:color w:val="auto"/>
                <w:szCs w:val="21"/>
                <w:lang w:val="en-US" w:eastAsia="zh-CN"/>
              </w:rPr>
              <w:t>以上</w:t>
            </w:r>
            <w:r>
              <w:rPr>
                <w:rFonts w:hint="eastAsia" w:ascii="宋体" w:hAnsi="宋体" w:cs="宋体"/>
                <w:color w:val="auto"/>
                <w:szCs w:val="21"/>
                <w:lang w:val="zh-CN" w:eastAsia="zh-CN"/>
              </w:rPr>
              <w:t>提供职称证书的原件扫描件；</w:t>
            </w:r>
            <w:r>
              <w:rPr>
                <w:rFonts w:hint="eastAsia" w:ascii="宋体" w:hAnsi="宋体" w:cs="宋体"/>
                <w:color w:val="auto"/>
                <w:szCs w:val="21"/>
                <w:lang w:val="en-US" w:eastAsia="zh-CN"/>
              </w:rPr>
              <w:t>安全人员</w:t>
            </w:r>
            <w:r>
              <w:rPr>
                <w:rFonts w:hint="eastAsia" w:ascii="宋体" w:hAnsi="宋体" w:cs="宋体"/>
                <w:color w:val="auto"/>
                <w:szCs w:val="21"/>
                <w:lang w:val="zh-CN" w:eastAsia="zh-CN"/>
              </w:rPr>
              <w:t>提供</w:t>
            </w:r>
            <w:r>
              <w:rPr>
                <w:rFonts w:hint="eastAsia" w:ascii="宋体" w:hAnsi="宋体" w:cs="宋体"/>
                <w:color w:val="auto"/>
                <w:szCs w:val="21"/>
                <w:lang w:val="en-US" w:eastAsia="zh-CN"/>
              </w:rPr>
              <w:t>相应证书</w:t>
            </w:r>
            <w:r>
              <w:rPr>
                <w:rFonts w:hint="eastAsia" w:ascii="宋体" w:hAnsi="宋体" w:cs="宋体"/>
                <w:color w:val="auto"/>
                <w:szCs w:val="21"/>
              </w:rPr>
              <w:t>并加盖</w:t>
            </w:r>
            <w:r>
              <w:rPr>
                <w:rFonts w:hint="eastAsia" w:ascii="宋体" w:hAnsi="宋体" w:cs="宋体"/>
                <w:color w:val="auto"/>
                <w:szCs w:val="21"/>
                <w:lang w:eastAsia="zh-CN"/>
              </w:rPr>
              <w:t>公章</w:t>
            </w:r>
            <w:r>
              <w:rPr>
                <w:rFonts w:hint="eastAsia" w:ascii="宋体" w:hAnsi="宋体" w:cs="宋体"/>
                <w:color w:val="auto"/>
                <w:szCs w:val="21"/>
                <w:lang w:val="zh-CN" w:eastAsia="zh-CN"/>
              </w:rPr>
              <w:t>，以本单位注册证书为准）</w:t>
            </w:r>
          </w:p>
        </w:tc>
        <w:tc>
          <w:tcPr>
            <w:tcW w:w="776" w:type="dxa"/>
            <w:noWrap w:val="0"/>
            <w:vAlign w:val="center"/>
          </w:tcPr>
          <w:p w14:paraId="17E30FBC">
            <w:pPr>
              <w:widowControl/>
              <w:spacing w:line="360" w:lineRule="auto"/>
              <w:jc w:val="center"/>
              <w:rPr>
                <w:rFonts w:hint="default" w:ascii="宋体" w:hAnsi="宋体" w:cs="宋体"/>
                <w:b/>
                <w:bCs/>
                <w:szCs w:val="21"/>
                <w:shd w:val="clear" w:color="auto" w:fill="FFFFFF"/>
                <w:lang w:val="en-US" w:eastAsia="zh-CN"/>
              </w:rPr>
            </w:pPr>
            <w:r>
              <w:rPr>
                <w:rFonts w:hint="eastAsia" w:ascii="宋体" w:hAnsi="宋体" w:cs="宋体"/>
                <w:b/>
                <w:bCs/>
                <w:szCs w:val="21"/>
                <w:shd w:val="clear" w:color="auto" w:fill="FFFFFF"/>
                <w:lang w:val="en-US" w:eastAsia="zh-CN"/>
              </w:rPr>
              <w:t>5</w:t>
            </w:r>
          </w:p>
        </w:tc>
      </w:tr>
      <w:tr w14:paraId="4B51B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98" w:type="dxa"/>
            <w:gridSpan w:val="3"/>
            <w:noWrap w:val="0"/>
            <w:vAlign w:val="center"/>
          </w:tcPr>
          <w:p w14:paraId="6CD989C4">
            <w:pPr>
              <w:widowControl/>
              <w:spacing w:line="360" w:lineRule="auto"/>
              <w:jc w:val="center"/>
              <w:rPr>
                <w:rFonts w:hint="eastAsia" w:ascii="宋体" w:hAnsi="宋体" w:cs="宋体"/>
                <w:szCs w:val="21"/>
              </w:rPr>
            </w:pPr>
            <w:r>
              <w:rPr>
                <w:rFonts w:hint="eastAsia" w:ascii="宋体" w:hAnsi="宋体" w:cs="宋体"/>
                <w:b/>
                <w:bCs/>
                <w:szCs w:val="21"/>
              </w:rPr>
              <w:t>合计</w:t>
            </w:r>
          </w:p>
        </w:tc>
        <w:tc>
          <w:tcPr>
            <w:tcW w:w="776" w:type="dxa"/>
            <w:noWrap w:val="0"/>
            <w:vAlign w:val="center"/>
          </w:tcPr>
          <w:p w14:paraId="0089EF35">
            <w:pPr>
              <w:widowControl/>
              <w:spacing w:line="360" w:lineRule="auto"/>
              <w:jc w:val="center"/>
              <w:rPr>
                <w:rFonts w:hint="eastAsia" w:ascii="宋体" w:hAnsi="宋体" w:cs="宋体"/>
                <w:b/>
                <w:bCs/>
                <w:szCs w:val="21"/>
              </w:rPr>
            </w:pPr>
            <w:r>
              <w:rPr>
                <w:rFonts w:hint="eastAsia" w:ascii="宋体" w:hAnsi="宋体" w:cs="宋体"/>
                <w:b/>
                <w:bCs/>
                <w:szCs w:val="21"/>
              </w:rPr>
              <w:t>100</w:t>
            </w:r>
          </w:p>
        </w:tc>
      </w:tr>
    </w:tbl>
    <w:p w14:paraId="4CCD9ECF">
      <w:pPr>
        <w:spacing w:line="360" w:lineRule="auto"/>
        <w:ind w:firstLine="422"/>
        <w:rPr>
          <w:rFonts w:hint="eastAsia"/>
          <w:sz w:val="22"/>
          <w:szCs w:val="22"/>
        </w:rPr>
      </w:pPr>
      <w:r>
        <w:rPr>
          <w:rFonts w:hint="eastAsia" w:ascii="宋体" w:hAnsi="宋体" w:cs="宋体"/>
          <w:b/>
          <w:color w:val="000000"/>
          <w:sz w:val="22"/>
          <w:szCs w:val="22"/>
          <w:lang w:bidi="ar"/>
        </w:rPr>
        <w:t>说明：</w:t>
      </w:r>
    </w:p>
    <w:p w14:paraId="2C55CB2F">
      <w:pPr>
        <w:spacing w:line="360" w:lineRule="auto"/>
        <w:ind w:right="-10" w:firstLine="482"/>
        <w:rPr>
          <w:rFonts w:hint="eastAsia" w:ascii="宋体" w:hAnsi="宋体" w:cs="宋体"/>
          <w:sz w:val="22"/>
          <w:szCs w:val="22"/>
          <w:highlight w:val="none"/>
        </w:rPr>
      </w:pPr>
      <w:r>
        <w:rPr>
          <w:rFonts w:hint="eastAsia" w:ascii="宋体" w:hAnsi="宋体" w:cs="宋体"/>
          <w:sz w:val="22"/>
          <w:szCs w:val="22"/>
          <w:highlight w:val="none"/>
        </w:rPr>
        <w:t>1、评审评分标准涉及的所有证书、认证、证明和业绩等材料均以有效的证明文件的复印件（加盖公章）为依据，需按要求提供相应的证明材料在响应文件中。提供的证明材料必须真实可靠，如发现弄虚作假者，将向政府采购管理部门汇报，将供应商列入不良行为记录名单，并依法予以处罚。</w:t>
      </w:r>
    </w:p>
    <w:p w14:paraId="5B904E6D">
      <w:pPr>
        <w:spacing w:line="360" w:lineRule="auto"/>
        <w:ind w:right="-10" w:firstLine="482"/>
        <w:rPr>
          <w:rFonts w:hint="eastAsia" w:ascii="宋体" w:hAnsi="宋体" w:cs="宋体"/>
          <w:sz w:val="22"/>
          <w:szCs w:val="22"/>
          <w:highlight w:val="none"/>
        </w:rPr>
      </w:pPr>
      <w:r>
        <w:rPr>
          <w:rFonts w:hint="eastAsia" w:ascii="宋体" w:hAnsi="宋体" w:cs="宋体"/>
          <w:sz w:val="22"/>
          <w:szCs w:val="22"/>
          <w:highlight w:val="none"/>
        </w:rPr>
        <w:t>2、政策功能：价格部分优惠政策如下：</w:t>
      </w:r>
    </w:p>
    <w:p w14:paraId="4846EBFD">
      <w:pPr>
        <w:spacing w:line="360" w:lineRule="auto"/>
        <w:ind w:right="-10" w:firstLine="482"/>
        <w:rPr>
          <w:rFonts w:hint="eastAsia" w:ascii="宋体" w:hAnsi="宋体" w:cs="宋体"/>
          <w:sz w:val="22"/>
          <w:szCs w:val="22"/>
          <w:highlight w:val="none"/>
        </w:rPr>
      </w:pPr>
      <w:r>
        <w:rPr>
          <w:rFonts w:hint="eastAsia" w:ascii="宋体" w:hAnsi="宋体" w:cs="宋体"/>
          <w:sz w:val="22"/>
          <w:szCs w:val="22"/>
          <w:highlight w:val="none"/>
        </w:rPr>
        <w:t>（1）中小企业划型标准按照《关于印发中小企业划型标准规定的通知（工信部联企业〔2011〕300号）》文件的相关规定认定。</w:t>
      </w:r>
    </w:p>
    <w:p w14:paraId="2C4D88B6">
      <w:pPr>
        <w:spacing w:line="360" w:lineRule="auto"/>
        <w:ind w:right="-10" w:firstLine="482"/>
        <w:rPr>
          <w:rFonts w:hint="eastAsia" w:ascii="宋体" w:hAnsi="宋体" w:cs="宋体"/>
          <w:sz w:val="22"/>
          <w:szCs w:val="22"/>
          <w:highlight w:val="none"/>
        </w:rPr>
      </w:pPr>
      <w:r>
        <w:rPr>
          <w:rFonts w:hint="eastAsia" w:ascii="宋体" w:hAnsi="宋体" w:cs="宋体"/>
          <w:sz w:val="22"/>
          <w:szCs w:val="22"/>
          <w:highlight w:val="none"/>
        </w:rPr>
        <w:t>（2）根据《政府采购促进中小企业发展暂行办法》的相关规定，本项目对小型和微型企业产品的价格给予10%的扣除，大中型企业与小微企业组成联合体或者大中型企业向小微企业分包的，对联合协议或者分包意向协议约定小微企业合同份额占到合同总金额30%以上的，对联合体或者大中型企业的报价给予5%的扣除，以扣除后的价格作为评审价格。</w:t>
      </w:r>
    </w:p>
    <w:p w14:paraId="058C465F">
      <w:pPr>
        <w:spacing w:line="360" w:lineRule="auto"/>
        <w:ind w:right="-10" w:firstLine="482"/>
        <w:rPr>
          <w:rFonts w:hint="eastAsia" w:ascii="宋体" w:hAnsi="宋体" w:cs="宋体"/>
          <w:sz w:val="22"/>
          <w:szCs w:val="22"/>
          <w:highlight w:val="none"/>
        </w:rPr>
      </w:pPr>
      <w:r>
        <w:rPr>
          <w:rFonts w:hint="eastAsia" w:ascii="宋体" w:hAnsi="宋体" w:cs="宋体"/>
          <w:sz w:val="22"/>
          <w:szCs w:val="22"/>
          <w:highlight w:val="none"/>
        </w:rPr>
        <w:t>（3）根据《财库〔2014〕68号》监狱企业视同小型、微型企业，享受中小企业发展的政府采购政策（监狱企业参加政府采购活动时，应当提供由省级以上监狱管理局、戒毒管理局（含新疆生产建设兵团）出具的属于监狱企业的证明文件）。</w:t>
      </w:r>
    </w:p>
    <w:p w14:paraId="3A940ACE">
      <w:pPr>
        <w:spacing w:line="360" w:lineRule="auto"/>
        <w:ind w:right="-10" w:firstLine="482"/>
        <w:rPr>
          <w:rFonts w:hint="eastAsia" w:ascii="宋体" w:hAnsi="宋体" w:cs="宋体"/>
          <w:sz w:val="22"/>
          <w:szCs w:val="22"/>
          <w:highlight w:val="none"/>
        </w:rPr>
      </w:pPr>
      <w:r>
        <w:rPr>
          <w:rFonts w:hint="eastAsia" w:ascii="宋体" w:hAnsi="宋体" w:cs="宋体"/>
          <w:sz w:val="22"/>
          <w:szCs w:val="22"/>
          <w:highlight w:val="none"/>
        </w:rPr>
        <w:t>（4）根据《财库〔2017〕141号》符合条件的残疾人福利性单位视同小型、微型企业，享受中小企业发展的政府采购政策。残疾人福利性单位属于小型、微型企业的，不重复享受政策。</w:t>
      </w:r>
    </w:p>
    <w:p w14:paraId="26D76E92">
      <w:pPr>
        <w:spacing w:line="360" w:lineRule="auto"/>
        <w:ind w:right="-10" w:firstLine="482"/>
        <w:rPr>
          <w:rFonts w:hint="eastAsia" w:ascii="宋体" w:hAnsi="宋体" w:cs="宋体"/>
          <w:sz w:val="22"/>
          <w:szCs w:val="22"/>
          <w:highlight w:val="none"/>
        </w:rPr>
      </w:pPr>
      <w:r>
        <w:rPr>
          <w:rFonts w:hint="eastAsia" w:ascii="宋体" w:hAnsi="宋体" w:cs="宋体"/>
          <w:sz w:val="22"/>
          <w:szCs w:val="22"/>
          <w:highlight w:val="none"/>
        </w:rPr>
        <w:t>（5）小型、微型企业提供中型或大型企业制造的货物的，视同为中型或大型企业。</w:t>
      </w:r>
    </w:p>
    <w:p w14:paraId="09B2B75A">
      <w:pPr>
        <w:spacing w:line="360" w:lineRule="auto"/>
        <w:ind w:right="-10" w:firstLine="482"/>
        <w:rPr>
          <w:rFonts w:hint="eastAsia" w:ascii="宋体" w:hAnsi="宋体" w:cs="宋体"/>
          <w:sz w:val="22"/>
          <w:szCs w:val="22"/>
          <w:highlight w:val="none"/>
        </w:rPr>
      </w:pPr>
      <w:r>
        <w:rPr>
          <w:rFonts w:hint="eastAsia" w:ascii="宋体" w:hAnsi="宋体" w:cs="宋体"/>
          <w:sz w:val="22"/>
          <w:szCs w:val="22"/>
          <w:highlight w:val="none"/>
        </w:rPr>
        <w:t>（6）参加政府采购活动的中小企业应当按“关于印发《政府采购促进中小企业发展暂行办法》的通知《财库〔2011〕181号》”和《财库〔2017〕141号》规定提供《中小企业声明函》《残疾人福利性单位声明函》和《属于监狱企业的证明文件》。未提供上述资料的报价，其价格不予扣除。</w:t>
      </w:r>
    </w:p>
    <w:p w14:paraId="1E9C429D">
      <w:pPr>
        <w:spacing w:line="360" w:lineRule="auto"/>
        <w:ind w:right="-10" w:firstLine="482"/>
        <w:rPr>
          <w:rFonts w:hint="eastAsia" w:ascii="宋体" w:hAnsi="宋体" w:cs="宋体"/>
          <w:sz w:val="22"/>
          <w:szCs w:val="22"/>
          <w:highlight w:val="none"/>
        </w:rPr>
      </w:pPr>
      <w:r>
        <w:rPr>
          <w:rFonts w:hint="eastAsia" w:ascii="宋体" w:hAnsi="宋体" w:cs="宋体"/>
          <w:sz w:val="22"/>
          <w:szCs w:val="22"/>
          <w:highlight w:val="none"/>
        </w:rPr>
        <w:t>（7）节能环保产品（如有）：1）在满足采购需求、质量和服务相等的情况下，对属于国家认定的节能和环保产品在评审时分别给予其对应的投标产品报价5%、5%的价格扣除。2）节能和环保产品必须纳入“中国政府采购网http://www.ccgp.gov.cn”等官方网站“节能、环保产品查询系统”，且以提供的相应页面截图或相关认证证明材料为准。</w:t>
      </w:r>
    </w:p>
    <w:p w14:paraId="5A0BBF8D">
      <w:pPr>
        <w:spacing w:line="360" w:lineRule="auto"/>
        <w:ind w:right="-10" w:firstLine="482"/>
        <w:rPr>
          <w:rFonts w:hint="eastAsia" w:ascii="宋体" w:hAnsi="宋体" w:cs="宋体"/>
          <w:sz w:val="22"/>
          <w:szCs w:val="22"/>
          <w:highlight w:val="none"/>
        </w:rPr>
      </w:pPr>
      <w:r>
        <w:rPr>
          <w:rFonts w:hint="eastAsia" w:ascii="宋体" w:hAnsi="宋体" w:cs="宋体"/>
          <w:sz w:val="22"/>
          <w:szCs w:val="22"/>
          <w:highlight w:val="none"/>
        </w:rPr>
        <w:t>（8）根据《苏财购〔2021〕34号》，符合条件的小微企业参与工程项目给予5%的价格扣除，以扣除后的价格作为评审价格。</w:t>
      </w:r>
    </w:p>
    <w:p w14:paraId="382FC847">
      <w:pPr>
        <w:spacing w:line="360" w:lineRule="auto"/>
        <w:ind w:right="-10" w:firstLine="482"/>
        <w:rPr>
          <w:rFonts w:hint="eastAsia" w:ascii="宋体" w:hAnsi="宋体" w:cs="宋体"/>
          <w:sz w:val="22"/>
          <w:szCs w:val="22"/>
          <w:highlight w:val="none"/>
        </w:rPr>
      </w:pPr>
      <w:r>
        <w:rPr>
          <w:rFonts w:hint="eastAsia" w:ascii="宋体" w:hAnsi="宋体" w:cs="宋体"/>
          <w:sz w:val="22"/>
          <w:szCs w:val="22"/>
          <w:highlight w:val="none"/>
        </w:rPr>
        <w:t>3、评标结果保留两位小数。</w:t>
      </w:r>
    </w:p>
    <w:p w14:paraId="5D68710C">
      <w:pPr>
        <w:spacing w:line="360" w:lineRule="auto"/>
        <w:ind w:right="-10" w:firstLine="482"/>
        <w:rPr>
          <w:rFonts w:hint="eastAsia" w:ascii="宋体" w:hAnsi="宋体" w:cs="宋体"/>
          <w:sz w:val="22"/>
          <w:szCs w:val="22"/>
          <w:highlight w:val="none"/>
        </w:rPr>
      </w:pPr>
      <w:r>
        <w:rPr>
          <w:rFonts w:hint="eastAsia" w:ascii="宋体" w:hAnsi="宋体" w:cs="宋体"/>
          <w:sz w:val="22"/>
          <w:szCs w:val="22"/>
          <w:highlight w:val="none"/>
        </w:rPr>
        <w:t>4、评审小组不保证有效报价最低的供应商中标。</w:t>
      </w:r>
    </w:p>
    <w:p w14:paraId="6A21D101">
      <w:pPr>
        <w:rPr>
          <w:rFonts w:hint="eastAsia"/>
          <w:lang w:val="zh-CN" w:eastAsia="zh-CN"/>
        </w:rPr>
      </w:pPr>
      <w:r>
        <w:rPr>
          <w:rFonts w:hint="eastAsia"/>
          <w:lang w:val="zh-CN" w:eastAsia="zh-CN"/>
        </w:rPr>
        <w:br w:type="page" w:clear="all"/>
      </w:r>
    </w:p>
    <w:p w14:paraId="52348CCE">
      <w:pPr>
        <w:pStyle w:val="41"/>
        <w:widowControl/>
        <w:spacing w:before="156" w:after="156" w:line="460" w:lineRule="exact"/>
        <w:ind w:left="1455" w:hanging="1455"/>
        <w:contextualSpacing/>
        <w:jc w:val="center"/>
        <w:outlineLvl w:val="0"/>
        <w:rPr>
          <w:rFonts w:hint="eastAsia" w:ascii="宋体" w:hAnsi="宋体" w:cs="宋体"/>
          <w:b/>
          <w:bCs/>
          <w:color w:val="000000"/>
          <w:sz w:val="36"/>
          <w:szCs w:val="36"/>
          <w:highlight w:val="none"/>
          <w:lang w:val="zh-CN"/>
        </w:rPr>
      </w:pPr>
      <w:r>
        <w:rPr>
          <w:rFonts w:hint="eastAsia" w:ascii="宋体" w:hAnsi="宋体" w:eastAsia="宋体" w:cs="Times New Roman"/>
          <w:b/>
          <w:sz w:val="36"/>
          <w:szCs w:val="30"/>
          <w:highlight w:val="none"/>
          <w:lang w:val="zh-CN" w:eastAsia="zh-CN" w:bidi="en-US"/>
        </w:rPr>
        <w:t>第</w:t>
      </w:r>
      <w:r>
        <w:rPr>
          <w:rFonts w:hint="eastAsia" w:ascii="宋体" w:hAnsi="宋体" w:cs="Times New Roman"/>
          <w:b/>
          <w:sz w:val="36"/>
          <w:szCs w:val="30"/>
          <w:highlight w:val="none"/>
          <w:lang w:val="en-US" w:eastAsia="zh-CN" w:bidi="en-US"/>
        </w:rPr>
        <w:t>四</w:t>
      </w:r>
      <w:r>
        <w:rPr>
          <w:rFonts w:hint="eastAsia" w:ascii="宋体" w:hAnsi="宋体" w:eastAsia="宋体" w:cs="Times New Roman"/>
          <w:b/>
          <w:sz w:val="36"/>
          <w:szCs w:val="30"/>
          <w:highlight w:val="none"/>
          <w:lang w:val="zh-CN" w:eastAsia="zh-CN" w:bidi="en-US"/>
        </w:rPr>
        <w:t>章</w:t>
      </w:r>
      <w:r>
        <w:rPr>
          <w:rFonts w:hint="eastAsia" w:ascii="宋体" w:hAnsi="宋体" w:cs="Times New Roman"/>
          <w:b/>
          <w:sz w:val="36"/>
          <w:szCs w:val="30"/>
          <w:highlight w:val="none"/>
          <w:lang w:val="en-US" w:eastAsia="zh-CN" w:bidi="en-US"/>
        </w:rPr>
        <w:t xml:space="preserve">  </w:t>
      </w:r>
      <w:r>
        <w:rPr>
          <w:rFonts w:hint="eastAsia" w:ascii="宋体" w:hAnsi="宋体" w:cs="宋体"/>
          <w:b/>
          <w:bCs/>
          <w:color w:val="000000"/>
          <w:sz w:val="36"/>
          <w:szCs w:val="36"/>
          <w:highlight w:val="none"/>
          <w:lang w:val="zh-CN"/>
        </w:rPr>
        <w:t>项目服务</w:t>
      </w:r>
      <w:r>
        <w:rPr>
          <w:rFonts w:hint="eastAsia" w:ascii="宋体" w:hAnsi="宋体" w:cs="宋体"/>
          <w:b/>
          <w:bCs/>
          <w:color w:val="000000"/>
          <w:sz w:val="36"/>
          <w:szCs w:val="36"/>
          <w:highlight w:val="none"/>
        </w:rPr>
        <w:t>相关标准和</w:t>
      </w:r>
      <w:r>
        <w:rPr>
          <w:rFonts w:hint="eastAsia" w:ascii="宋体" w:hAnsi="宋体" w:cs="宋体"/>
          <w:b/>
          <w:bCs/>
          <w:color w:val="000000"/>
          <w:sz w:val="36"/>
          <w:szCs w:val="36"/>
          <w:highlight w:val="none"/>
          <w:lang w:val="zh-CN"/>
        </w:rPr>
        <w:t>要求</w:t>
      </w:r>
    </w:p>
    <w:p w14:paraId="0E3E6E96">
      <w:pPr>
        <w:keepNext w:val="0"/>
        <w:keepLines w:val="0"/>
        <w:pageBreakBefore w:val="0"/>
        <w:widowControl/>
        <w:spacing w:after="0" w:line="360" w:lineRule="auto"/>
        <w:ind w:firstLine="422"/>
        <w:jc w:val="left"/>
        <w:outlineLvl w:val="1"/>
        <w:rPr>
          <w:rFonts w:hint="eastAsia" w:ascii="宋体" w:hAnsi="宋体" w:eastAsia="宋体" w:cs="Times New Roman"/>
          <w:b/>
          <w:sz w:val="22"/>
          <w:szCs w:val="22"/>
          <w:lang w:val="zh-CN" w:eastAsia="zh-CN" w:bidi="en-US"/>
        </w:rPr>
      </w:pPr>
      <w:r>
        <w:rPr>
          <w:rFonts w:hint="eastAsia" w:ascii="宋体" w:hAnsi="宋体" w:eastAsia="宋体" w:cs="Times New Roman"/>
          <w:b/>
          <w:sz w:val="22"/>
          <w:szCs w:val="22"/>
          <w:lang w:val="zh-CN" w:eastAsia="zh-CN" w:bidi="en-US"/>
        </w:rPr>
        <w:t>一、采购需求：</w:t>
      </w:r>
    </w:p>
    <w:p w14:paraId="6636C427">
      <w:pPr>
        <w:keepNext w:val="0"/>
        <w:keepLines w:val="0"/>
        <w:pageBreakBefore w:val="0"/>
        <w:spacing w:line="360" w:lineRule="auto"/>
        <w:ind w:firstLine="721"/>
        <w:rPr>
          <w:rFonts w:hint="eastAsia" w:ascii="宋体" w:hAnsi="宋体" w:eastAsia="宋体"/>
          <w:sz w:val="22"/>
          <w:szCs w:val="22"/>
          <w:highlight w:val="none"/>
          <w:lang w:val="en-US" w:eastAsia="zh-CN"/>
        </w:rPr>
      </w:pPr>
      <w:r>
        <w:rPr>
          <w:rFonts w:hint="eastAsia" w:ascii="宋体" w:hAnsi="宋体" w:eastAsia="宋体"/>
          <w:sz w:val="22"/>
          <w:szCs w:val="22"/>
          <w:highlight w:val="none"/>
          <w:lang w:val="en-US" w:eastAsia="zh-CN"/>
        </w:rPr>
        <w:t>1.招标范围为：</w:t>
      </w:r>
      <w:r>
        <w:rPr>
          <w:rFonts w:hint="eastAsia" w:ascii="宋体" w:hAnsi="宋体" w:eastAsia="宋体"/>
          <w:sz w:val="22"/>
          <w:szCs w:val="22"/>
          <w:highlight w:val="none"/>
          <w:lang w:val="zh-CN" w:eastAsia="zh-CN"/>
        </w:rPr>
        <w:t>2026年江宁区林荫大道示范管护带养护服务</w:t>
      </w:r>
      <w:r>
        <w:rPr>
          <w:rFonts w:hint="eastAsia" w:ascii="宋体" w:hAnsi="宋体" w:eastAsia="宋体"/>
          <w:sz w:val="22"/>
          <w:szCs w:val="22"/>
          <w:highlight w:val="none"/>
          <w:lang w:val="en-US" w:eastAsia="zh-CN"/>
        </w:rPr>
        <w:t>，江宁区林荫大道集中管护项目分布在江宁、秣陵、横溪、谷里、湖熟五个街道，共计15条乡村道路，路面宽度为6~7m，合计里程88.93km。要求供应商（养护单位）高质量补植树种，标准不低于原树种比例；每年需打造出部分林荫大道精品示范路；供应商（养护单位）需落实绿化管</w:t>
      </w:r>
      <w:r>
        <w:rPr>
          <w:rFonts w:hint="eastAsia" w:ascii="宋体" w:hAnsi="宋体"/>
          <w:sz w:val="22"/>
          <w:szCs w:val="22"/>
          <w:highlight w:val="none"/>
          <w:lang w:val="en-US" w:eastAsia="zh-CN"/>
        </w:rPr>
        <w:t>养</w:t>
      </w:r>
      <w:r>
        <w:rPr>
          <w:rFonts w:hint="eastAsia" w:ascii="宋体" w:hAnsi="宋体" w:eastAsia="宋体"/>
          <w:sz w:val="22"/>
          <w:szCs w:val="22"/>
          <w:highlight w:val="none"/>
          <w:lang w:val="en-US" w:eastAsia="zh-CN"/>
        </w:rPr>
        <w:t>智慧化应用。 并接受月度检查季度考核。具体详见《</w:t>
      </w:r>
      <w:r>
        <w:rPr>
          <w:rFonts w:hint="eastAsia" w:ascii="宋体" w:hAnsi="宋体" w:eastAsia="宋体"/>
          <w:sz w:val="22"/>
          <w:szCs w:val="22"/>
          <w:highlight w:val="none"/>
          <w:lang w:val="zh-CN" w:eastAsia="zh-CN"/>
        </w:rPr>
        <w:t>202</w:t>
      </w:r>
      <w:r>
        <w:rPr>
          <w:rFonts w:hint="eastAsia" w:ascii="宋体" w:hAnsi="宋体" w:eastAsia="宋体"/>
          <w:sz w:val="22"/>
          <w:szCs w:val="22"/>
          <w:highlight w:val="none"/>
          <w:lang w:val="en-US" w:eastAsia="zh-CN"/>
        </w:rPr>
        <w:t>6</w:t>
      </w:r>
      <w:r>
        <w:rPr>
          <w:rFonts w:hint="eastAsia" w:ascii="宋体" w:hAnsi="宋体" w:eastAsia="宋体"/>
          <w:sz w:val="22"/>
          <w:szCs w:val="22"/>
          <w:highlight w:val="none"/>
          <w:lang w:val="zh-CN" w:eastAsia="zh-CN"/>
        </w:rPr>
        <w:t>年江宁区林荫大道示范管护带养护服务</w:t>
      </w:r>
      <w:r>
        <w:rPr>
          <w:rFonts w:hint="eastAsia" w:ascii="宋体" w:hAnsi="宋体" w:eastAsia="宋体"/>
          <w:sz w:val="22"/>
          <w:szCs w:val="22"/>
          <w:highlight w:val="none"/>
          <w:lang w:val="en-US" w:eastAsia="zh-CN"/>
        </w:rPr>
        <w:t>质量外业检查千分制评分标准》、</w:t>
      </w:r>
    </w:p>
    <w:p w14:paraId="4FA03945">
      <w:pPr>
        <w:keepNext w:val="0"/>
        <w:keepLines w:val="0"/>
        <w:pageBreakBefore w:val="0"/>
        <w:spacing w:line="360" w:lineRule="auto"/>
        <w:rPr>
          <w:rFonts w:hint="eastAsia" w:ascii="宋体" w:hAnsi="宋体" w:eastAsia="宋体"/>
          <w:sz w:val="22"/>
          <w:szCs w:val="22"/>
          <w:highlight w:val="none"/>
          <w:lang w:val="en-US" w:eastAsia="zh-CN"/>
        </w:rPr>
      </w:pPr>
      <w:r>
        <w:rPr>
          <w:rFonts w:hint="eastAsia" w:ascii="宋体" w:hAnsi="宋体" w:eastAsia="宋体"/>
          <w:sz w:val="22"/>
          <w:szCs w:val="22"/>
          <w:highlight w:val="none"/>
          <w:lang w:val="en-US" w:eastAsia="zh-CN"/>
        </w:rPr>
        <w:t>《</w:t>
      </w:r>
      <w:r>
        <w:rPr>
          <w:rFonts w:hint="eastAsia" w:ascii="宋体" w:hAnsi="宋体" w:eastAsia="宋体"/>
          <w:sz w:val="22"/>
          <w:szCs w:val="22"/>
          <w:highlight w:val="none"/>
          <w:lang w:val="zh-CN" w:eastAsia="zh-CN"/>
        </w:rPr>
        <w:t>2026年江宁区林荫大道示范管护带养护服务</w:t>
      </w:r>
      <w:r>
        <w:rPr>
          <w:rFonts w:hint="eastAsia" w:ascii="宋体" w:hAnsi="宋体" w:eastAsia="宋体"/>
          <w:sz w:val="22"/>
          <w:szCs w:val="22"/>
          <w:highlight w:val="none"/>
          <w:lang w:val="en-US" w:eastAsia="zh-CN"/>
        </w:rPr>
        <w:t>质量内业检查评分标准》。</w:t>
      </w:r>
    </w:p>
    <w:p w14:paraId="3255CB7B">
      <w:pPr>
        <w:keepNext w:val="0"/>
        <w:keepLines w:val="0"/>
        <w:pageBreakBefore w:val="0"/>
        <w:spacing w:line="360" w:lineRule="auto"/>
        <w:ind w:firstLine="480"/>
        <w:rPr>
          <w:rFonts w:hint="eastAsia" w:ascii="宋体" w:hAnsi="宋体"/>
          <w:sz w:val="22"/>
          <w:szCs w:val="22"/>
          <w:highlight w:val="none"/>
          <w:lang w:val="en-US" w:eastAsia="zh-CN"/>
        </w:rPr>
      </w:pPr>
      <w:r>
        <w:rPr>
          <w:rFonts w:hint="eastAsia" w:ascii="宋体" w:hAnsi="宋体" w:eastAsia="宋体"/>
          <w:sz w:val="22"/>
          <w:szCs w:val="22"/>
          <w:highlight w:val="none"/>
          <w:lang w:val="en-US" w:eastAsia="zh-CN"/>
        </w:rPr>
        <w:t>2.招标内容为：主要内容包括林荫大道日常巡查、道路日常养护、桥梁</w:t>
      </w:r>
      <w:r>
        <w:rPr>
          <w:rFonts w:hint="eastAsia" w:ascii="宋体" w:hAnsi="宋体"/>
          <w:sz w:val="22"/>
          <w:szCs w:val="22"/>
          <w:highlight w:val="none"/>
          <w:lang w:val="en-US" w:eastAsia="zh-CN"/>
        </w:rPr>
        <w:t>日常养护、路面保洁（人员配合机械保洁类）、林荫大道苗木绿化一级养护，修剪、绿化补植、桥涵构造物维修维护及经常性检查、标志标线等安全设施的清洗，维修，维护、边沟清理、边坡清理、排水系统疏通等以及采购人指令的其它工作内容（以工程量清单为准）。具体详见养护清单。</w:t>
      </w:r>
    </w:p>
    <w:p w14:paraId="17BB353E">
      <w:pPr>
        <w:keepNext w:val="0"/>
        <w:keepLines w:val="0"/>
        <w:pageBreakBefore w:val="0"/>
        <w:spacing w:line="360" w:lineRule="auto"/>
        <w:ind w:firstLine="480"/>
        <w:rPr>
          <w:rFonts w:hint="eastAsia" w:ascii="宋体" w:hAnsi="宋体"/>
          <w:sz w:val="22"/>
          <w:szCs w:val="22"/>
          <w:highlight w:val="none"/>
          <w:lang w:val="en-US" w:eastAsia="zh-CN"/>
        </w:rPr>
      </w:pPr>
      <w:r>
        <w:rPr>
          <w:rFonts w:hint="eastAsia" w:ascii="宋体" w:hAnsi="宋体"/>
          <w:sz w:val="22"/>
          <w:szCs w:val="22"/>
          <w:highlight w:val="none"/>
          <w:lang w:val="en-US" w:eastAsia="zh-CN"/>
        </w:rPr>
        <w:t>3.合同履行期限：自合同签订之日起一年</w:t>
      </w:r>
    </w:p>
    <w:p w14:paraId="743FB79C">
      <w:pPr>
        <w:keepNext w:val="0"/>
        <w:keepLines w:val="0"/>
        <w:pageBreakBefore w:val="0"/>
        <w:spacing w:line="360" w:lineRule="auto"/>
        <w:ind w:firstLine="480"/>
        <w:rPr>
          <w:rFonts w:hint="eastAsia" w:ascii="宋体" w:hAnsi="宋体"/>
          <w:sz w:val="22"/>
          <w:szCs w:val="22"/>
          <w:highlight w:val="none"/>
        </w:rPr>
      </w:pPr>
      <w:r>
        <w:rPr>
          <w:rFonts w:hint="eastAsia" w:ascii="宋体" w:hAnsi="宋体"/>
          <w:sz w:val="22"/>
          <w:szCs w:val="22"/>
          <w:highlight w:val="none"/>
          <w:lang w:val="en-US" w:eastAsia="zh-CN"/>
        </w:rPr>
        <w:t>4.</w:t>
      </w:r>
      <w:r>
        <w:rPr>
          <w:rFonts w:hint="eastAsia" w:ascii="宋体" w:hAnsi="宋体"/>
          <w:sz w:val="22"/>
          <w:szCs w:val="22"/>
          <w:highlight w:val="none"/>
        </w:rPr>
        <w:t>本项目（是/否）接受联合体投标：</w:t>
      </w:r>
      <w:r>
        <w:rPr>
          <w:rFonts w:hint="eastAsia" w:ascii="宋体" w:hAnsi="宋体"/>
          <w:sz w:val="22"/>
          <w:szCs w:val="22"/>
          <w:highlight w:val="none"/>
          <w:lang w:val="en-US" w:eastAsia="zh-CN"/>
        </w:rPr>
        <w:t>否</w:t>
      </w:r>
    </w:p>
    <w:p w14:paraId="14716294">
      <w:pPr>
        <w:keepNext w:val="0"/>
        <w:keepLines w:val="0"/>
        <w:pageBreakBefore w:val="0"/>
        <w:widowControl/>
        <w:spacing w:after="0" w:line="360" w:lineRule="auto"/>
        <w:ind w:firstLine="422"/>
        <w:jc w:val="left"/>
        <w:outlineLvl w:val="1"/>
        <w:rPr>
          <w:rFonts w:hint="eastAsia" w:ascii="宋体" w:hAnsi="宋体" w:eastAsia="宋体" w:cs="Times New Roman"/>
          <w:b/>
          <w:sz w:val="22"/>
          <w:szCs w:val="22"/>
          <w:lang w:val="zh-CN" w:eastAsia="zh-CN" w:bidi="en-US"/>
        </w:rPr>
      </w:pPr>
      <w:r>
        <w:rPr>
          <w:rFonts w:hint="eastAsia" w:ascii="宋体" w:hAnsi="宋体" w:eastAsia="宋体" w:cs="Times New Roman"/>
          <w:b/>
          <w:sz w:val="22"/>
          <w:szCs w:val="22"/>
          <w:lang w:val="zh-CN" w:eastAsia="zh-CN" w:bidi="en-US"/>
        </w:rPr>
        <w:t>二、养护清单</w:t>
      </w:r>
    </w:p>
    <w:p w14:paraId="41BEC676">
      <w:pPr>
        <w:keepNext w:val="0"/>
        <w:keepLines w:val="0"/>
        <w:pageBreakBefore w:val="0"/>
        <w:spacing w:line="360" w:lineRule="auto"/>
        <w:ind w:firstLine="480"/>
        <w:rPr>
          <w:rFonts w:hint="default" w:ascii="宋体" w:hAnsi="宋体" w:eastAsia="宋体" w:cs="Times New Roman"/>
          <w:b/>
          <w:sz w:val="22"/>
          <w:szCs w:val="22"/>
          <w:lang w:val="en-US" w:eastAsia="zh-CN" w:bidi="en-US"/>
        </w:rPr>
      </w:pPr>
      <w:r>
        <w:rPr>
          <w:rFonts w:hint="eastAsia" w:ascii="宋体" w:hAnsi="宋体" w:eastAsia="宋体" w:cs="Times New Roman"/>
          <w:sz w:val="22"/>
          <w:szCs w:val="22"/>
          <w:highlight w:val="none"/>
        </w:rPr>
        <w:t>投标人应按照采购人提供的养护</w:t>
      </w:r>
      <w:r>
        <w:rPr>
          <w:rFonts w:hint="eastAsia" w:ascii="宋体" w:hAnsi="宋体" w:eastAsia="宋体" w:cs="Times New Roman"/>
          <w:sz w:val="22"/>
          <w:szCs w:val="22"/>
          <w:highlight w:val="none"/>
          <w:lang w:eastAsia="zh-CN"/>
        </w:rPr>
        <w:t>工作量</w:t>
      </w:r>
      <w:r>
        <w:rPr>
          <w:rFonts w:hint="eastAsia" w:ascii="宋体" w:hAnsi="宋体" w:eastAsia="宋体" w:cs="Times New Roman"/>
          <w:sz w:val="22"/>
          <w:szCs w:val="22"/>
          <w:highlight w:val="none"/>
        </w:rPr>
        <w:t>清单填写</w:t>
      </w:r>
      <w:r>
        <w:rPr>
          <w:rFonts w:hint="eastAsia" w:ascii="宋体" w:hAnsi="宋体" w:eastAsia="宋体" w:cs="Times New Roman"/>
          <w:sz w:val="22"/>
          <w:szCs w:val="22"/>
          <w:highlight w:val="none"/>
          <w:lang w:eastAsia="zh-CN"/>
        </w:rPr>
        <w:t>。</w:t>
      </w:r>
      <w:r>
        <w:rPr>
          <w:rFonts w:hint="eastAsia" w:ascii="宋体" w:hAnsi="宋体" w:cs="Times New Roman"/>
          <w:sz w:val="22"/>
          <w:szCs w:val="22"/>
          <w:highlight w:val="none"/>
          <w:lang w:val="en-US" w:eastAsia="zh-CN"/>
        </w:rPr>
        <w:t>详见</w:t>
      </w:r>
      <w:r>
        <w:rPr>
          <w:rFonts w:hint="eastAsia" w:ascii="宋体" w:hAnsi="宋体" w:eastAsia="宋体" w:cs="Times New Roman"/>
          <w:sz w:val="22"/>
          <w:szCs w:val="22"/>
          <w:highlight w:val="none"/>
          <w:lang w:val="zh-CN" w:eastAsia="zh-CN"/>
        </w:rPr>
        <w:t>目录四、分项报价表</w:t>
      </w:r>
      <w:r>
        <w:rPr>
          <w:rFonts w:hint="eastAsia" w:ascii="宋体" w:hAnsi="宋体" w:cs="Times New Roman"/>
          <w:sz w:val="22"/>
          <w:szCs w:val="22"/>
          <w:highlight w:val="none"/>
          <w:lang w:val="zh-CN" w:eastAsia="zh-CN"/>
        </w:rPr>
        <w:t>。</w:t>
      </w:r>
    </w:p>
    <w:p w14:paraId="3433A18E">
      <w:pPr>
        <w:keepNext w:val="0"/>
        <w:keepLines w:val="0"/>
        <w:pageBreakBefore w:val="0"/>
        <w:widowControl/>
        <w:spacing w:after="0" w:line="360" w:lineRule="auto"/>
        <w:ind w:firstLine="422"/>
        <w:jc w:val="left"/>
        <w:outlineLvl w:val="1"/>
        <w:rPr>
          <w:rFonts w:hint="eastAsia" w:ascii="宋体" w:hAnsi="宋体" w:eastAsia="宋体" w:cs="Times New Roman"/>
          <w:b/>
          <w:sz w:val="22"/>
          <w:szCs w:val="22"/>
          <w:lang w:val="zh-CN" w:eastAsia="zh-CN" w:bidi="en-US"/>
        </w:rPr>
      </w:pPr>
      <w:r>
        <w:rPr>
          <w:rFonts w:hint="eastAsia" w:ascii="宋体" w:hAnsi="宋体" w:eastAsia="宋体" w:cs="Times New Roman"/>
          <w:b/>
          <w:sz w:val="22"/>
          <w:szCs w:val="22"/>
          <w:lang w:val="zh-CN" w:eastAsia="zh-CN" w:bidi="en-US"/>
        </w:rPr>
        <w:t>三、技术规范</w:t>
      </w:r>
    </w:p>
    <w:p w14:paraId="5FDC54FA">
      <w:pPr>
        <w:keepNext w:val="0"/>
        <w:keepLines w:val="0"/>
        <w:pageBreakBefore w:val="0"/>
        <w:spacing w:line="360" w:lineRule="auto"/>
        <w:ind w:left="791" w:hanging="161"/>
        <w:rPr>
          <w:rFonts w:hint="eastAsia" w:ascii="宋体" w:hAnsi="宋体" w:eastAsia="宋体" w:cs="宋体"/>
          <w:b/>
          <w:bCs/>
          <w:sz w:val="22"/>
          <w:szCs w:val="22"/>
          <w:highlight w:val="none"/>
          <w:lang w:val="zh-CN"/>
        </w:rPr>
      </w:pPr>
      <w:r>
        <w:rPr>
          <w:rFonts w:hint="eastAsia" w:ascii="宋体" w:hAnsi="宋体" w:eastAsia="宋体" w:cs="宋体"/>
          <w:b/>
          <w:bCs/>
          <w:sz w:val="22"/>
          <w:szCs w:val="22"/>
          <w:highlight w:val="none"/>
          <w:lang w:val="zh-CN" w:eastAsia="zh-CN"/>
        </w:rPr>
        <w:t>（</w:t>
      </w:r>
      <w:r>
        <w:rPr>
          <w:rFonts w:hint="eastAsia" w:ascii="宋体" w:hAnsi="宋体" w:eastAsia="宋体" w:cs="宋体"/>
          <w:b/>
          <w:bCs/>
          <w:sz w:val="22"/>
          <w:szCs w:val="22"/>
          <w:highlight w:val="none"/>
          <w:lang w:val="en-US" w:eastAsia="zh-CN"/>
        </w:rPr>
        <w:t>一</w:t>
      </w:r>
      <w:r>
        <w:rPr>
          <w:rFonts w:hint="eastAsia" w:ascii="宋体" w:hAnsi="宋体" w:eastAsia="宋体" w:cs="宋体"/>
          <w:b/>
          <w:bCs/>
          <w:sz w:val="22"/>
          <w:szCs w:val="22"/>
          <w:highlight w:val="none"/>
          <w:lang w:val="zh-CN" w:eastAsia="zh-CN"/>
        </w:rPr>
        <w:t>）</w:t>
      </w:r>
      <w:r>
        <w:rPr>
          <w:rFonts w:hint="eastAsia" w:ascii="宋体" w:hAnsi="宋体" w:cs="宋体"/>
          <w:b/>
          <w:bCs/>
          <w:sz w:val="22"/>
          <w:szCs w:val="22"/>
          <w:highlight w:val="none"/>
          <w:lang w:val="zh-CN" w:eastAsia="zh-CN"/>
        </w:rPr>
        <w:t>、</w:t>
      </w:r>
      <w:r>
        <w:rPr>
          <w:rFonts w:hint="eastAsia" w:ascii="宋体" w:hAnsi="宋体" w:eastAsia="宋体" w:cs="宋体"/>
          <w:b/>
          <w:bCs/>
          <w:sz w:val="22"/>
          <w:szCs w:val="22"/>
          <w:highlight w:val="none"/>
          <w:lang w:val="en-US" w:eastAsia="zh-CN"/>
        </w:rPr>
        <w:t>《江宁区乡村林荫大道管护方案》、</w:t>
      </w:r>
      <w:r>
        <w:rPr>
          <w:rFonts w:hint="eastAsia" w:ascii="宋体" w:hAnsi="宋体" w:eastAsia="宋体" w:cs="宋体"/>
          <w:b/>
          <w:bCs/>
          <w:sz w:val="22"/>
          <w:szCs w:val="22"/>
          <w:highlight w:val="none"/>
          <w:lang w:val="zh-CN"/>
        </w:rPr>
        <w:t xml:space="preserve">《道路养护技术规范》（详见下列主要条文）： </w:t>
      </w:r>
    </w:p>
    <w:p w14:paraId="1F761D1C">
      <w:pPr>
        <w:keepNext w:val="0"/>
        <w:keepLines w:val="0"/>
        <w:pageBreakBefore w:val="0"/>
        <w:widowControl/>
        <w:spacing w:line="360" w:lineRule="auto"/>
        <w:ind w:firstLine="442"/>
        <w:jc w:val="left"/>
        <w:rPr>
          <w:sz w:val="22"/>
          <w:szCs w:val="22"/>
        </w:rPr>
      </w:pPr>
      <w:r>
        <w:rPr>
          <w:rFonts w:ascii="宋体" w:hAnsi="宋体" w:cs="宋体"/>
          <w:b/>
          <w:bCs/>
          <w:color w:val="000000"/>
          <w:sz w:val="22"/>
          <w:szCs w:val="22"/>
          <w:lang w:bidi="ar"/>
        </w:rPr>
        <w:t xml:space="preserve">1. 总 则 </w:t>
      </w:r>
    </w:p>
    <w:p w14:paraId="0392F3DB">
      <w:pPr>
        <w:keepNext w:val="0"/>
        <w:keepLines w:val="0"/>
        <w:pageBreakBefore w:val="0"/>
        <w:widowControl/>
        <w:spacing w:line="360" w:lineRule="auto"/>
        <w:ind w:firstLine="442"/>
        <w:jc w:val="left"/>
        <w:rPr>
          <w:sz w:val="22"/>
          <w:szCs w:val="22"/>
        </w:rPr>
      </w:pPr>
      <w:r>
        <w:rPr>
          <w:rFonts w:ascii="宋体" w:hAnsi="宋体" w:cs="宋体"/>
          <w:b/>
          <w:bCs/>
          <w:color w:val="000000"/>
          <w:sz w:val="22"/>
          <w:szCs w:val="22"/>
          <w:lang w:bidi="ar"/>
        </w:rPr>
        <w:t xml:space="preserve">1. 1 适用范围 </w:t>
      </w:r>
    </w:p>
    <w:p w14:paraId="68594F71">
      <w:pPr>
        <w:keepNext w:val="0"/>
        <w:keepLines w:val="0"/>
        <w:pageBreakBefore w:val="0"/>
        <w:spacing w:line="360" w:lineRule="auto"/>
        <w:ind w:left="791" w:hanging="161"/>
        <w:rPr>
          <w:rFonts w:hint="eastAsia" w:ascii="宋体" w:hAnsi="宋体" w:eastAsia="宋体" w:cs="宋体"/>
          <w:b/>
          <w:bCs/>
          <w:sz w:val="22"/>
          <w:szCs w:val="22"/>
          <w:highlight w:val="none"/>
          <w:lang w:val="en-US" w:eastAsia="zh-CN"/>
        </w:rPr>
      </w:pPr>
      <w:r>
        <w:rPr>
          <w:rFonts w:hint="eastAsia" w:ascii="宋体" w:hAnsi="宋体" w:eastAsia="宋体" w:cs="宋体"/>
          <w:b/>
          <w:bCs/>
          <w:sz w:val="22"/>
          <w:szCs w:val="22"/>
          <w:highlight w:val="none"/>
          <w:lang w:val="en-US" w:eastAsia="zh-CN"/>
        </w:rPr>
        <w:t xml:space="preserve">适用于江宁区林荫大道绿化养护、路基、路面的施工和管理。 </w:t>
      </w:r>
    </w:p>
    <w:p w14:paraId="0502C118">
      <w:pPr>
        <w:keepNext w:val="0"/>
        <w:keepLines w:val="0"/>
        <w:pageBreakBefore w:val="0"/>
        <w:widowControl/>
        <w:spacing w:line="360" w:lineRule="auto"/>
        <w:ind w:firstLine="442"/>
        <w:jc w:val="left"/>
        <w:rPr>
          <w:sz w:val="22"/>
          <w:szCs w:val="22"/>
        </w:rPr>
      </w:pPr>
      <w:r>
        <w:rPr>
          <w:rFonts w:ascii="宋体" w:hAnsi="宋体" w:cs="宋体"/>
          <w:b/>
          <w:bCs/>
          <w:color w:val="000000"/>
          <w:sz w:val="22"/>
          <w:szCs w:val="22"/>
          <w:lang w:bidi="ar"/>
        </w:rPr>
        <w:t xml:space="preserve">1. 2 目的、任务 </w:t>
      </w:r>
    </w:p>
    <w:p w14:paraId="118ED193">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为确保江宁区</w:t>
      </w:r>
      <w:r>
        <w:rPr>
          <w:rFonts w:hint="eastAsia" w:ascii="宋体" w:hAnsi="宋体" w:cs="宋体"/>
          <w:color w:val="000000"/>
          <w:sz w:val="22"/>
          <w:szCs w:val="22"/>
          <w:lang w:val="en-US" w:eastAsia="zh-CN" w:bidi="ar"/>
        </w:rPr>
        <w:t>林荫大道绿化、</w:t>
      </w:r>
      <w:r>
        <w:rPr>
          <w:rFonts w:hint="eastAsia" w:ascii="宋体" w:hAnsi="宋体" w:cs="宋体"/>
          <w:color w:val="000000"/>
          <w:sz w:val="22"/>
          <w:szCs w:val="22"/>
          <w:lang w:bidi="ar"/>
        </w:rPr>
        <w:t>公路交通安全、畅通功能的正常发挥，必须对</w:t>
      </w:r>
      <w:r>
        <w:rPr>
          <w:rFonts w:hint="eastAsia" w:ascii="宋体" w:hAnsi="宋体" w:cs="宋体"/>
          <w:color w:val="000000"/>
          <w:sz w:val="22"/>
          <w:szCs w:val="22"/>
          <w:lang w:val="en-US" w:eastAsia="zh-CN" w:bidi="ar"/>
        </w:rPr>
        <w:t>林荫大道</w:t>
      </w:r>
      <w:r>
        <w:rPr>
          <w:rFonts w:hint="eastAsia" w:ascii="宋体" w:hAnsi="宋体" w:cs="宋体"/>
          <w:color w:val="000000"/>
          <w:sz w:val="22"/>
          <w:szCs w:val="22"/>
          <w:lang w:bidi="ar"/>
        </w:rPr>
        <w:t xml:space="preserve">及其附属设施进行经常性、及时性、周期性和预防性的养护与维修，并对公路上因突发事件所引起的路障迅速排除，交通阻塞及时疏通。 </w:t>
      </w:r>
    </w:p>
    <w:p w14:paraId="3EDDD696">
      <w:pPr>
        <w:keepNext w:val="0"/>
        <w:keepLines w:val="0"/>
        <w:pageBreakBefore w:val="0"/>
        <w:widowControl/>
        <w:spacing w:line="360" w:lineRule="auto"/>
        <w:ind w:firstLine="442"/>
        <w:jc w:val="left"/>
        <w:rPr>
          <w:sz w:val="22"/>
          <w:szCs w:val="22"/>
        </w:rPr>
      </w:pPr>
      <w:r>
        <w:rPr>
          <w:rFonts w:ascii="宋体" w:hAnsi="宋体" w:cs="宋体"/>
          <w:b/>
          <w:bCs/>
          <w:color w:val="000000"/>
          <w:sz w:val="22"/>
          <w:szCs w:val="22"/>
          <w:lang w:bidi="ar"/>
        </w:rPr>
        <w:t xml:space="preserve">1. 3 工作特点 </w:t>
      </w:r>
    </w:p>
    <w:p w14:paraId="6BAB172B">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(1)对</w:t>
      </w:r>
      <w:r>
        <w:rPr>
          <w:rFonts w:hint="eastAsia" w:ascii="宋体" w:hAnsi="宋体" w:cs="宋体"/>
          <w:color w:val="000000"/>
          <w:sz w:val="22"/>
          <w:szCs w:val="22"/>
          <w:lang w:val="en-US" w:eastAsia="zh-CN" w:bidi="ar"/>
        </w:rPr>
        <w:t>林荫大道</w:t>
      </w:r>
      <w:r>
        <w:rPr>
          <w:rFonts w:hint="eastAsia" w:ascii="宋体" w:hAnsi="宋体" w:cs="宋体"/>
          <w:color w:val="000000"/>
          <w:sz w:val="22"/>
          <w:szCs w:val="22"/>
          <w:lang w:bidi="ar"/>
        </w:rPr>
        <w:t>道路本身和附属设施的使用情况要随时掌握，使之处于受控状态。必须要进行经常性的沿线实地巡视，必要时要进行定期的检测，掌握确切的路况第一手资料。即公路的养护应做到“预防为主”。</w:t>
      </w:r>
    </w:p>
    <w:p w14:paraId="66B77AFA">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(2)日常的维修工作应该有计划地分段、分线进行，尽量做到不中断交通，不跨幅占用逆向车道行驶。</w:t>
      </w:r>
    </w:p>
    <w:p w14:paraId="08EC666C">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(3)为确保公路的畅通，尽量减少因养护而有碍或封闭交通的时间，公路的养护工作应以机械作业为主。 </w:t>
      </w:r>
    </w:p>
    <w:p w14:paraId="3F9D90B8">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(4)确保安全，作业人员的着装颜色和作业机械的涂饰必须十分明显、醒目，并有夜间反光功能。作业区前后的交通控制区必须要有足够的长度，并设置各类提醒、限速的警示标志。 </w:t>
      </w:r>
    </w:p>
    <w:p w14:paraId="3851F522">
      <w:pPr>
        <w:keepNext w:val="0"/>
        <w:keepLines w:val="0"/>
        <w:pageBreakBefore w:val="0"/>
        <w:widowControl/>
        <w:spacing w:line="360" w:lineRule="auto"/>
        <w:ind w:firstLine="442"/>
        <w:jc w:val="left"/>
        <w:rPr>
          <w:rFonts w:ascii="宋体" w:hAnsi="宋体" w:cs="宋体"/>
          <w:b/>
          <w:bCs/>
          <w:color w:val="000000"/>
          <w:sz w:val="22"/>
          <w:szCs w:val="22"/>
          <w:lang w:bidi="ar"/>
        </w:rPr>
      </w:pPr>
      <w:r>
        <w:rPr>
          <w:rFonts w:ascii="宋体" w:hAnsi="宋体" w:cs="宋体"/>
          <w:b/>
          <w:bCs/>
          <w:color w:val="000000"/>
          <w:sz w:val="22"/>
          <w:szCs w:val="22"/>
          <w:lang w:bidi="ar"/>
        </w:rPr>
        <w:t xml:space="preserve">1. 4 作业分类 </w:t>
      </w:r>
    </w:p>
    <w:p w14:paraId="2E1E2A0C">
      <w:pPr>
        <w:keepNext w:val="0"/>
        <w:keepLines w:val="0"/>
        <w:pageBreakBefore w:val="0"/>
        <w:widowControl/>
        <w:spacing w:line="360" w:lineRule="auto"/>
        <w:jc w:val="left"/>
        <w:rPr>
          <w:sz w:val="22"/>
          <w:szCs w:val="22"/>
          <w:highlight w:val="none"/>
        </w:rPr>
      </w:pPr>
      <w:r>
        <w:rPr>
          <w:rFonts w:hint="eastAsia" w:ascii="宋体" w:hAnsi="宋体" w:cs="宋体"/>
          <w:b/>
          <w:bCs/>
          <w:color w:val="000000"/>
          <w:sz w:val="22"/>
          <w:szCs w:val="22"/>
          <w:highlight w:val="none"/>
          <w:lang w:eastAsia="zh-CN" w:bidi="ar"/>
        </w:rPr>
        <w:t>（</w:t>
      </w:r>
      <w:r>
        <w:rPr>
          <w:rFonts w:hint="eastAsia" w:ascii="宋体" w:hAnsi="宋体" w:cs="宋体"/>
          <w:b/>
          <w:bCs/>
          <w:color w:val="000000"/>
          <w:sz w:val="22"/>
          <w:szCs w:val="22"/>
          <w:highlight w:val="none"/>
          <w:lang w:val="en-US" w:eastAsia="zh-CN" w:bidi="ar"/>
        </w:rPr>
        <w:t>一</w:t>
      </w:r>
      <w:r>
        <w:rPr>
          <w:rFonts w:hint="eastAsia" w:ascii="宋体" w:hAnsi="宋体" w:cs="宋体"/>
          <w:b/>
          <w:bCs/>
          <w:color w:val="000000"/>
          <w:sz w:val="22"/>
          <w:szCs w:val="22"/>
          <w:highlight w:val="none"/>
          <w:lang w:eastAsia="zh-CN" w:bidi="ar"/>
        </w:rPr>
        <w:t>）、</w:t>
      </w:r>
      <w:r>
        <w:rPr>
          <w:rFonts w:ascii="宋体" w:hAnsi="宋体" w:cs="宋体"/>
          <w:b/>
          <w:bCs/>
          <w:color w:val="000000"/>
          <w:sz w:val="22"/>
          <w:szCs w:val="22"/>
          <w:highlight w:val="none"/>
          <w:lang w:bidi="ar"/>
        </w:rPr>
        <w:t xml:space="preserve">《公路绿化养护技术规范》（详见下列主要条文）： </w:t>
      </w:r>
    </w:p>
    <w:p w14:paraId="44ADDBAB">
      <w:pPr>
        <w:keepNext w:val="0"/>
        <w:keepLines w:val="0"/>
        <w:pageBreakBefore w:val="0"/>
        <w:widowControl/>
        <w:spacing w:line="360" w:lineRule="auto"/>
        <w:ind w:firstLine="442"/>
        <w:jc w:val="left"/>
        <w:rPr>
          <w:rFonts w:hint="eastAsia" w:ascii="宋体" w:hAnsi="宋体" w:cs="宋体"/>
          <w:b/>
          <w:bCs/>
          <w:color w:val="000000"/>
          <w:sz w:val="22"/>
          <w:szCs w:val="22"/>
          <w:highlight w:val="none"/>
          <w:lang w:val="en-US" w:eastAsia="zh-CN" w:bidi="ar"/>
        </w:rPr>
      </w:pPr>
      <w:r>
        <w:rPr>
          <w:rFonts w:hint="eastAsia" w:ascii="宋体" w:hAnsi="宋体" w:cs="宋体"/>
          <w:b/>
          <w:bCs/>
          <w:color w:val="000000"/>
          <w:sz w:val="22"/>
          <w:szCs w:val="22"/>
          <w:highlight w:val="none"/>
          <w:lang w:val="en-US" w:eastAsia="zh-CN" w:bidi="ar"/>
        </w:rPr>
        <w:t>依据《南京市乡村林荫道行道树栽植与养护管理技术规定》（宁园林〔2017〕223 号）相关要求，示范管护带按照《苗木绿化养护一级标准》（如下）进行管护。</w:t>
      </w:r>
    </w:p>
    <w:p w14:paraId="046FF137">
      <w:pPr>
        <w:keepNext w:val="0"/>
        <w:keepLines w:val="0"/>
        <w:pageBreakBefore w:val="0"/>
        <w:widowControl/>
        <w:spacing w:line="360" w:lineRule="auto"/>
        <w:ind w:firstLine="442"/>
        <w:jc w:val="center"/>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t>苗木绿化养护一级标准</w:t>
      </w:r>
    </w:p>
    <w:p w14:paraId="3ED00080">
      <w:pPr>
        <w:keepNext w:val="0"/>
        <w:keepLines w:val="0"/>
        <w:pageBreakBefore w:val="0"/>
        <w:widowControl/>
        <w:spacing w:line="360" w:lineRule="auto"/>
        <w:ind w:firstLine="440"/>
        <w:jc w:val="left"/>
        <w:rPr>
          <w:rFonts w:hint="eastAsia" w:ascii="宋体" w:hAnsi="宋体" w:cs="宋体"/>
          <w:color w:val="000000"/>
          <w:sz w:val="22"/>
          <w:szCs w:val="22"/>
          <w:lang w:bidi="ar"/>
        </w:rPr>
      </w:pPr>
      <w:r>
        <w:rPr>
          <w:rFonts w:hint="eastAsia" w:ascii="宋体" w:hAnsi="宋体" w:cs="宋体"/>
          <w:color w:val="000000"/>
          <w:sz w:val="22"/>
          <w:szCs w:val="22"/>
          <w:lang w:bidi="ar"/>
        </w:rPr>
        <w:t>1.绿化充分，植物配置合理，达到黄土不露天。</w:t>
      </w:r>
    </w:p>
    <w:p w14:paraId="1AC100D8">
      <w:pPr>
        <w:keepNext w:val="0"/>
        <w:keepLines w:val="0"/>
        <w:pageBreakBefore w:val="0"/>
        <w:widowControl/>
        <w:spacing w:line="360" w:lineRule="auto"/>
        <w:ind w:firstLine="440"/>
        <w:jc w:val="left"/>
        <w:rPr>
          <w:rFonts w:hint="eastAsia" w:ascii="宋体" w:hAnsi="宋体" w:cs="宋体"/>
          <w:color w:val="000000"/>
          <w:sz w:val="22"/>
          <w:szCs w:val="22"/>
          <w:lang w:bidi="ar"/>
        </w:rPr>
      </w:pPr>
      <w:r>
        <w:rPr>
          <w:rFonts w:hint="eastAsia" w:ascii="宋体" w:hAnsi="宋体" w:cs="宋体"/>
          <w:color w:val="000000"/>
          <w:sz w:val="22"/>
          <w:szCs w:val="22"/>
          <w:lang w:bidi="ar"/>
        </w:rPr>
        <w:t>2.园林植物达到：</w:t>
      </w:r>
    </w:p>
    <w:p w14:paraId="5AFA8C3B">
      <w:pPr>
        <w:keepNext w:val="0"/>
        <w:keepLines w:val="0"/>
        <w:pageBreakBefore w:val="0"/>
        <w:widowControl/>
        <w:spacing w:line="360" w:lineRule="auto"/>
        <w:ind w:firstLine="440"/>
        <w:jc w:val="left"/>
        <w:rPr>
          <w:rFonts w:hint="eastAsia" w:ascii="宋体" w:hAnsi="宋体" w:cs="宋体"/>
          <w:color w:val="000000"/>
          <w:sz w:val="22"/>
          <w:szCs w:val="22"/>
          <w:lang w:bidi="ar"/>
        </w:rPr>
      </w:pPr>
      <w:r>
        <w:rPr>
          <w:rFonts w:hint="eastAsia" w:ascii="宋体" w:hAnsi="宋体" w:cs="宋体"/>
          <w:color w:val="000000"/>
          <w:sz w:val="22"/>
          <w:szCs w:val="22"/>
          <w:lang w:bidi="ar"/>
        </w:rPr>
        <w:t>（1）生长势：好。生长超过该树种该规格的平均生长量（平均生长量待以后调查确定）。</w:t>
      </w:r>
    </w:p>
    <w:p w14:paraId="019B6703">
      <w:pPr>
        <w:keepNext w:val="0"/>
        <w:keepLines w:val="0"/>
        <w:pageBreakBefore w:val="0"/>
        <w:widowControl/>
        <w:spacing w:line="360" w:lineRule="auto"/>
        <w:ind w:firstLine="440"/>
        <w:jc w:val="left"/>
        <w:rPr>
          <w:rFonts w:hint="eastAsia" w:ascii="宋体" w:hAnsi="宋体" w:cs="宋体"/>
          <w:color w:val="000000"/>
          <w:sz w:val="22"/>
          <w:szCs w:val="22"/>
          <w:lang w:bidi="ar"/>
        </w:rPr>
      </w:pPr>
      <w:r>
        <w:rPr>
          <w:rFonts w:hint="eastAsia" w:ascii="宋体" w:hAnsi="宋体" w:cs="宋体"/>
          <w:color w:val="000000"/>
          <w:sz w:val="22"/>
          <w:szCs w:val="22"/>
          <w:lang w:bidi="ar"/>
        </w:rPr>
        <w:t>（2）叶子健壮：①叶色正常，叶大而肥厚、在正常的条件下不黄叶，不焦叶、不卷叶、不落叶，叶上无虫尿虫网灰尘；②被啃咬的叶片最严重的每株在5%以下（包括5%，以下同）。</w:t>
      </w:r>
    </w:p>
    <w:p w14:paraId="7B0B6259">
      <w:pPr>
        <w:keepNext w:val="0"/>
        <w:keepLines w:val="0"/>
        <w:pageBreakBefore w:val="0"/>
        <w:widowControl/>
        <w:spacing w:line="360" w:lineRule="auto"/>
        <w:ind w:firstLine="440"/>
        <w:jc w:val="left"/>
        <w:rPr>
          <w:rFonts w:hint="eastAsia" w:ascii="宋体" w:hAnsi="宋体" w:cs="宋体"/>
          <w:color w:val="000000"/>
          <w:sz w:val="22"/>
          <w:szCs w:val="22"/>
          <w:lang w:bidi="ar"/>
        </w:rPr>
      </w:pPr>
      <w:r>
        <w:rPr>
          <w:rFonts w:hint="eastAsia" w:ascii="宋体" w:hAnsi="宋体" w:cs="宋体"/>
          <w:color w:val="000000"/>
          <w:sz w:val="22"/>
          <w:szCs w:val="22"/>
          <w:lang w:bidi="ar"/>
        </w:rPr>
        <w:t>（3）枝、干健壮：①无明显枯枝、死杈、枝条粗壮，过冬前新梢木质化；②无蛀干害虫的活卵活虫；③介壳虫最严重处主枝干上100平方厘米1头活虫以下（包括1头，以下同），较细的枝条每尺长的一段上在5头活虫以下（包括5头，以下同）；株数都在2%以下（包括2%，以下同）；④树冠完整：分支点合适，主侧枝分布均称和数量适宜、内膛不乱、通风透光。</w:t>
      </w:r>
    </w:p>
    <w:p w14:paraId="50D0D6DC">
      <w:pPr>
        <w:keepNext w:val="0"/>
        <w:keepLines w:val="0"/>
        <w:pageBreakBefore w:val="0"/>
        <w:widowControl/>
        <w:spacing w:line="360" w:lineRule="auto"/>
        <w:ind w:firstLine="440"/>
        <w:jc w:val="left"/>
        <w:rPr>
          <w:rFonts w:hint="eastAsia" w:ascii="宋体" w:hAnsi="宋体" w:cs="宋体"/>
          <w:color w:val="000000"/>
          <w:sz w:val="22"/>
          <w:szCs w:val="22"/>
          <w:lang w:bidi="ar"/>
        </w:rPr>
      </w:pPr>
      <w:r>
        <w:rPr>
          <w:rFonts w:hint="eastAsia" w:ascii="宋体" w:hAnsi="宋体" w:cs="宋体"/>
          <w:color w:val="000000"/>
          <w:sz w:val="22"/>
          <w:szCs w:val="22"/>
          <w:lang w:bidi="ar"/>
        </w:rPr>
        <w:t>（4）措施好：按一级技术措施要求认真进行养护。</w:t>
      </w:r>
    </w:p>
    <w:p w14:paraId="5BD249E8">
      <w:pPr>
        <w:keepNext w:val="0"/>
        <w:keepLines w:val="0"/>
        <w:pageBreakBefore w:val="0"/>
        <w:widowControl/>
        <w:spacing w:line="360" w:lineRule="auto"/>
        <w:ind w:firstLine="440"/>
        <w:jc w:val="left"/>
        <w:rPr>
          <w:rFonts w:hint="eastAsia" w:ascii="宋体" w:hAnsi="宋体" w:cs="宋体"/>
          <w:color w:val="000000"/>
          <w:sz w:val="22"/>
          <w:szCs w:val="22"/>
          <w:lang w:bidi="ar"/>
        </w:rPr>
      </w:pPr>
      <w:r>
        <w:rPr>
          <w:rFonts w:hint="eastAsia" w:ascii="宋体" w:hAnsi="宋体" w:cs="宋体"/>
          <w:color w:val="000000"/>
          <w:sz w:val="22"/>
          <w:szCs w:val="22"/>
          <w:lang w:bidi="ar"/>
        </w:rPr>
        <w:t>（5）行道树基本无缺株。</w:t>
      </w:r>
    </w:p>
    <w:p w14:paraId="7FDFECB3">
      <w:pPr>
        <w:keepNext w:val="0"/>
        <w:keepLines w:val="0"/>
        <w:pageBreakBefore w:val="0"/>
        <w:widowControl/>
        <w:spacing w:line="360" w:lineRule="auto"/>
        <w:ind w:firstLine="440"/>
        <w:jc w:val="left"/>
        <w:rPr>
          <w:rFonts w:hint="eastAsia" w:ascii="宋体" w:hAnsi="宋体" w:cs="宋体"/>
          <w:color w:val="000000"/>
          <w:sz w:val="22"/>
          <w:szCs w:val="22"/>
          <w:lang w:bidi="ar"/>
        </w:rPr>
      </w:pPr>
      <w:r>
        <w:rPr>
          <w:rFonts w:hint="eastAsia" w:ascii="宋体" w:hAnsi="宋体" w:cs="宋体"/>
          <w:color w:val="000000"/>
          <w:sz w:val="22"/>
          <w:szCs w:val="22"/>
          <w:lang w:bidi="ar"/>
        </w:rPr>
        <w:t>（6）路肩绿地覆盖率应基本达到100%；生长茂盛颜色正常，不枯黄；每年修剪15次以上；草高不超过15cm，无病虫害。</w:t>
      </w:r>
    </w:p>
    <w:p w14:paraId="4A0E2CD0">
      <w:pPr>
        <w:keepNext w:val="0"/>
        <w:keepLines w:val="0"/>
        <w:pageBreakBefore w:val="0"/>
        <w:widowControl/>
        <w:spacing w:line="360" w:lineRule="auto"/>
        <w:ind w:firstLine="440"/>
        <w:jc w:val="left"/>
        <w:rPr>
          <w:rFonts w:hint="eastAsia" w:ascii="宋体" w:hAnsi="宋体" w:cs="宋体"/>
          <w:color w:val="000000"/>
          <w:sz w:val="22"/>
          <w:szCs w:val="22"/>
          <w:lang w:bidi="ar"/>
        </w:rPr>
      </w:pPr>
      <w:r>
        <w:rPr>
          <w:rFonts w:hint="eastAsia" w:ascii="宋体" w:hAnsi="宋体" w:cs="宋体"/>
          <w:color w:val="000000"/>
          <w:sz w:val="22"/>
          <w:szCs w:val="22"/>
          <w:lang w:bidi="ar"/>
        </w:rPr>
        <w:t>3.行道树和绿地内无死树，树木修剪合理，树形美观，能及时很好地解决树木与电线、建筑物、交通等之间的矛盾。</w:t>
      </w:r>
    </w:p>
    <w:p w14:paraId="046E36CD">
      <w:pPr>
        <w:keepNext w:val="0"/>
        <w:keepLines w:val="0"/>
        <w:pageBreakBefore w:val="0"/>
        <w:widowControl/>
        <w:spacing w:line="360" w:lineRule="auto"/>
        <w:ind w:firstLine="440"/>
        <w:jc w:val="left"/>
        <w:rPr>
          <w:rFonts w:hint="eastAsia" w:ascii="宋体" w:hAnsi="宋体" w:cs="宋体"/>
          <w:color w:val="000000"/>
          <w:sz w:val="22"/>
          <w:szCs w:val="22"/>
          <w:lang w:bidi="ar"/>
        </w:rPr>
      </w:pPr>
      <w:r>
        <w:rPr>
          <w:rFonts w:hint="eastAsia" w:ascii="宋体" w:hAnsi="宋体" w:cs="宋体"/>
          <w:color w:val="000000"/>
          <w:sz w:val="22"/>
          <w:szCs w:val="22"/>
          <w:lang w:bidi="ar"/>
        </w:rPr>
        <w:t>4.绿化生产垃圾（如树枝、树叶、草沫等）重点地区路段能做到随产随清，其它地区和路段做到日产日清；绿地整洁，无砖石瓦块、筐和塑料袋等废弃物，并做到经常保洁。</w:t>
      </w:r>
    </w:p>
    <w:p w14:paraId="215A60A1">
      <w:pPr>
        <w:keepNext w:val="0"/>
        <w:keepLines w:val="0"/>
        <w:pageBreakBefore w:val="0"/>
        <w:widowControl/>
        <w:spacing w:line="360" w:lineRule="auto"/>
        <w:ind w:firstLine="440"/>
        <w:jc w:val="left"/>
        <w:rPr>
          <w:rFonts w:hint="eastAsia" w:ascii="宋体" w:hAnsi="宋体" w:cs="宋体"/>
          <w:color w:val="000000"/>
          <w:sz w:val="22"/>
          <w:szCs w:val="22"/>
          <w:lang w:bidi="ar"/>
        </w:rPr>
      </w:pPr>
      <w:r>
        <w:rPr>
          <w:rFonts w:hint="eastAsia" w:ascii="宋体" w:hAnsi="宋体" w:cs="宋体"/>
          <w:color w:val="000000"/>
          <w:sz w:val="22"/>
          <w:szCs w:val="22"/>
          <w:lang w:bidi="ar"/>
        </w:rPr>
        <w:t>5.栏杆、园路、桌椅、井盖和牌饰等园林设施完整，做到及时维护和油饰。</w:t>
      </w:r>
    </w:p>
    <w:p w14:paraId="04E77A73">
      <w:pPr>
        <w:keepNext w:val="0"/>
        <w:keepLines w:val="0"/>
        <w:pageBreakBefore w:val="0"/>
        <w:widowControl/>
        <w:spacing w:line="360" w:lineRule="auto"/>
        <w:ind w:firstLine="440"/>
        <w:jc w:val="left"/>
        <w:rPr>
          <w:rFonts w:hint="eastAsia" w:ascii="宋体" w:hAnsi="宋体" w:cs="宋体"/>
          <w:color w:val="000000"/>
          <w:sz w:val="22"/>
          <w:szCs w:val="22"/>
          <w:lang w:bidi="ar"/>
        </w:rPr>
      </w:pPr>
      <w:r>
        <w:rPr>
          <w:rFonts w:hint="eastAsia" w:ascii="宋体" w:hAnsi="宋体" w:cs="宋体"/>
          <w:color w:val="000000"/>
          <w:sz w:val="22"/>
          <w:szCs w:val="22"/>
          <w:lang w:bidi="ar"/>
        </w:rPr>
        <w:t>6.无明显的人为损坏，绿地草坪内无堆物堆料、搭棚或侵占等；行道树干上无钉栓刻画的现象，树下距树干2米范围内无堆物堆料、搭棚设摊、圈栏等影响树木养护管理和生长的现象，2米以内如有应有保护措施。</w:t>
      </w:r>
    </w:p>
    <w:p w14:paraId="2B849333">
      <w:pPr>
        <w:keepNext w:val="0"/>
        <w:keepLines w:val="0"/>
        <w:pageBreakBefore w:val="0"/>
        <w:widowControl/>
        <w:spacing w:line="360" w:lineRule="auto"/>
        <w:ind w:firstLine="442"/>
        <w:jc w:val="left"/>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t xml:space="preserve">1.绿化养护作业要求及标准 </w:t>
      </w:r>
    </w:p>
    <w:p w14:paraId="6DECC198">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1.1 施肥 </w:t>
      </w:r>
    </w:p>
    <w:p w14:paraId="776C233F">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1.1.1 肥料品种：优质磷酸二铵或有机肥。 </w:t>
      </w:r>
    </w:p>
    <w:p w14:paraId="536348BB">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1.1.2 施肥时间和方法：乔木、灌木、绿篱于冬春季松土施肥，一次性穴施；生长期、花期施追肥两次。竹林、地被、草坪于生长期施肥两次，地被植物于花期进行一次追肥。 </w:t>
      </w:r>
    </w:p>
    <w:p w14:paraId="07E4BF36">
      <w:pPr>
        <w:keepNext w:val="0"/>
        <w:keepLines w:val="0"/>
        <w:pageBreakBefore w:val="0"/>
        <w:widowControl/>
        <w:spacing w:line="360" w:lineRule="auto"/>
        <w:jc w:val="left"/>
        <w:rPr>
          <w:rFonts w:ascii="宋体" w:hAnsi="宋体" w:cs="宋体"/>
          <w:b/>
          <w:bCs/>
          <w:color w:val="000000"/>
          <w:sz w:val="22"/>
          <w:szCs w:val="22"/>
          <w:highlight w:val="none"/>
          <w:lang w:bidi="ar"/>
        </w:rPr>
      </w:pPr>
      <w:r>
        <w:rPr>
          <w:rFonts w:hint="eastAsia" w:ascii="宋体" w:hAnsi="宋体" w:cs="宋体"/>
          <w:b/>
          <w:bCs/>
          <w:color w:val="000000"/>
          <w:sz w:val="22"/>
          <w:szCs w:val="22"/>
          <w:highlight w:val="none"/>
          <w:lang w:bidi="ar"/>
        </w:rPr>
        <w:t xml:space="preserve">1.2 修剪 </w:t>
      </w:r>
    </w:p>
    <w:p w14:paraId="499F69E4">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修剪标准 </w:t>
      </w:r>
    </w:p>
    <w:p w14:paraId="51BCC25A">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①乔木：修去枯死枝、病虫危害枝、叠压枝、细弱枝及竞争枝，达到树膛疏密适度，通风透光，树体均匀，树冠圆满； </w:t>
      </w:r>
    </w:p>
    <w:p w14:paraId="096A89BF">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②灌木：修去过密枝、病虫危害枝，使花木生长均匀，球类圆满光洁，树相整齐； </w:t>
      </w:r>
    </w:p>
    <w:p w14:paraId="58B50017">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③绿篱：修剪高度一致，表面、侧面都要平整光洁，棱线要清晰通直； </w:t>
      </w:r>
    </w:p>
    <w:p w14:paraId="48E123D7">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1.3 病虫害防治 </w:t>
      </w:r>
    </w:p>
    <w:p w14:paraId="0D367E97">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病虫害防治应贯彻“预防为主、综合防治”的方针，采用高效、低毒、无污染的药剂。 </w:t>
      </w:r>
    </w:p>
    <w:p w14:paraId="2B16E502">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1.3.1 防治次数： </w:t>
      </w:r>
    </w:p>
    <w:p w14:paraId="708E0B81">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木本植物每年防治次数不低于 7 次，即从 4 月至 10 月每月一次，草本植物年防治不低于 5 次，竹类根据植株情况进行防治。 </w:t>
      </w:r>
    </w:p>
    <w:p w14:paraId="47A32887">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1.3.2 每天专人检查，对植株的病情、虫情建卡记录，在发生病虫害时进行针对性防治。 病虫害防治质量标准： </w:t>
      </w:r>
    </w:p>
    <w:p w14:paraId="65D8D24D">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①病虫危害率小于 5%； </w:t>
      </w:r>
    </w:p>
    <w:p w14:paraId="679F38E3">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②生长季节不得出现大面积的萎蔫、枯萎或黄叶； </w:t>
      </w:r>
    </w:p>
    <w:p w14:paraId="1D52180B">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③木本植物不得有蛀干性害虫越冬； </w:t>
      </w:r>
    </w:p>
    <w:p w14:paraId="1EF668CB">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1.4 中耕、除草保洁 </w:t>
      </w:r>
    </w:p>
    <w:p w14:paraId="72BFFC98">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1.4.1 春、夏苗木生长旺盛季节，要进行经常性的松土，保持土壤疏松，为花卉根系的生长和养分吸收创造良好条件； </w:t>
      </w:r>
    </w:p>
    <w:p w14:paraId="70D83C48">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1.4.2 及时拔除杂草（包含加拿大一支黄花清除），杂草高度不得超过草坪和草本地被的高度； </w:t>
      </w:r>
    </w:p>
    <w:p w14:paraId="09352201">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1.4.3 所有拔除的杂草、修剪下的残枝碎叶及其它垃圾一律及时清除出场。 </w:t>
      </w:r>
    </w:p>
    <w:p w14:paraId="56E93F6E">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1.5 排灌 </w:t>
      </w:r>
    </w:p>
    <w:p w14:paraId="78B49A6B">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根据植物生长需求，及时适量地进行浇水或排水，保证绿化植物不受旱灾或涝灾。 </w:t>
      </w:r>
    </w:p>
    <w:p w14:paraId="3742AD2F">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1.6“一支黄花”的清除方法及防治技术 </w:t>
      </w:r>
    </w:p>
    <w:p w14:paraId="36C49B3B">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由于该草属于多年生植物，根状茎发达，经冬复萌而防治困难，单用人工或除草剂防治，效果均不够理想。因此对这种恶性杂草宜采用人工拔除结合化学除草进行防治。单独的植株可以采取发现一株拔除一株的方法，关键在于清除根状茎。成片的植株可以用草甘磷、克无踪等除草剂杀灭，残余植株再人工拔除。 </w:t>
      </w:r>
    </w:p>
    <w:p w14:paraId="6F352E86">
      <w:pPr>
        <w:keepNext w:val="0"/>
        <w:keepLines w:val="0"/>
        <w:pageBreakBefore w:val="0"/>
        <w:widowControl/>
        <w:spacing w:line="360" w:lineRule="auto"/>
        <w:ind w:firstLine="442"/>
        <w:jc w:val="left"/>
        <w:rPr>
          <w:sz w:val="22"/>
          <w:szCs w:val="22"/>
          <w:highlight w:val="none"/>
        </w:rPr>
      </w:pPr>
      <w:r>
        <w:rPr>
          <w:rFonts w:ascii="宋体" w:hAnsi="宋体" w:cs="宋体"/>
          <w:b/>
          <w:bCs/>
          <w:color w:val="000000"/>
          <w:sz w:val="22"/>
          <w:szCs w:val="22"/>
          <w:highlight w:val="none"/>
          <w:lang w:bidi="ar"/>
        </w:rPr>
        <w:t xml:space="preserve">2.各类绿化区域要求 </w:t>
      </w:r>
    </w:p>
    <w:p w14:paraId="27CC8EDE">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2.1 中央分隔带 </w:t>
      </w:r>
    </w:p>
    <w:p w14:paraId="5FCB90A8">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2.1.1 中央分隔带保洁每旬一次。 </w:t>
      </w:r>
    </w:p>
    <w:p w14:paraId="71E4C566">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2.1.2 中央分隔带除草每月一次，草坪高度≤10CM。 </w:t>
      </w:r>
    </w:p>
    <w:p w14:paraId="6DD1820C">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2.1.3 中央分隔带球状植物、柱状植物应经常修剪，每年不少于 6 次，应分别保持球对称、柱对称。 </w:t>
      </w:r>
    </w:p>
    <w:p w14:paraId="7AC1E4E4">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2.1.4 中央分隔带总体效果应呈现“三面两线”和“三无”要求，即：三面：顶部等高且在一个平面上；两侧面不超越护栏板内侧且应控制在护栏板内侧平面附近。两线：两条路缘石清晰可见。“三无”即：无杂草、无杂物、无枯死树。 </w:t>
      </w:r>
    </w:p>
    <w:p w14:paraId="1C737A4C">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2.2 路基边坡、边沟及路肩 </w:t>
      </w:r>
    </w:p>
    <w:p w14:paraId="03769E4F">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2.2.1 杂草整齐，不超过路基水平面，每年除草不少于 4 次。 </w:t>
      </w:r>
    </w:p>
    <w:p w14:paraId="6D750ACB">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2.2.2 边沟不得被杂物、杂草掩盖。 </w:t>
      </w:r>
    </w:p>
    <w:p w14:paraId="61E39AF9">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2.2.3 乔、灌木长势旺盛，无枯死。 </w:t>
      </w:r>
    </w:p>
    <w:p w14:paraId="49AAACE8">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2.2.4 路肩垃圾清理、高草清除（行车时边坡草不露头）、隔离栅杂藤清理 </w:t>
      </w:r>
    </w:p>
    <w:p w14:paraId="7C89F69C">
      <w:pPr>
        <w:keepNext w:val="0"/>
        <w:keepLines w:val="0"/>
        <w:pageBreakBefore w:val="0"/>
        <w:widowControl/>
        <w:spacing w:line="360" w:lineRule="auto"/>
        <w:ind w:firstLine="442"/>
        <w:jc w:val="left"/>
        <w:rPr>
          <w:sz w:val="22"/>
          <w:szCs w:val="22"/>
          <w:highlight w:val="none"/>
        </w:rPr>
      </w:pPr>
      <w:r>
        <w:rPr>
          <w:rFonts w:ascii="宋体" w:hAnsi="宋体" w:cs="宋体"/>
          <w:b/>
          <w:bCs/>
          <w:color w:val="000000"/>
          <w:sz w:val="22"/>
          <w:szCs w:val="22"/>
          <w:highlight w:val="none"/>
          <w:lang w:bidi="ar"/>
        </w:rPr>
        <w:t xml:space="preserve">3.总养护质量要求 </w:t>
      </w:r>
    </w:p>
    <w:p w14:paraId="1FE7250E">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3.1 乔木：生长期整株长势茂盛，树冠完整丰满，主侧枝分布均匀；无枯枝、伤残枝，无交叉枝、过密枝、并生枝、萌蘖枝，无影响公路行车安全的植株；观花乔木在盛开期开花密度在 50%以上；植株无明显病虫危害迹象，树干无腐洞；树体无缠绕、钉挂物，树穴无杂草、杂物；无死株、缺株、严重倾斜株；落叶乔木于 12 月下旬开始用石硫合剂刷白一次，高度 1.2 米。根据相关要求，做好古树名木的保护及养护工作。 </w:t>
      </w:r>
    </w:p>
    <w:p w14:paraId="24311713">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3.2 灌木：植株生长旺盛，枝叶健壮，分布均匀，造型美观；无枯枝残叶、交叉枝、徒长枝、并生枝、萌蘖枝；无明显病虫害危害迹象；观花灌木盛花期开花密度在 85%以上，造型灌木形状保持完好；植株下无杂草、杂物，枝干上无缠绕、钉挂物。 </w:t>
      </w:r>
    </w:p>
    <w:p w14:paraId="6A3DF8C3">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3.3 绿篱：枝条茂盛，生长旺盛；修剪成型，面平边齐，线条流畅；无死株、缺株、断档现象；无枯枝、断枝、残叶，无脱脚现象；无明显病虫害危害迹象；无寄生藤，基部无杂草、杂物；枝条、篱面无缠挂、晾晒物；中分带镶边无遮挡轮廓表现象。 </w:t>
      </w:r>
    </w:p>
    <w:p w14:paraId="6DA689A5">
      <w:pPr>
        <w:keepNext w:val="0"/>
        <w:keepLines w:val="0"/>
        <w:pageBreakBefore w:val="0"/>
        <w:widowControl/>
        <w:spacing w:line="360" w:lineRule="auto"/>
        <w:ind w:firstLine="442"/>
        <w:jc w:val="left"/>
        <w:rPr>
          <w:sz w:val="22"/>
          <w:szCs w:val="22"/>
          <w:highlight w:val="none"/>
        </w:rPr>
      </w:pPr>
      <w:r>
        <w:rPr>
          <w:rFonts w:ascii="宋体" w:hAnsi="宋体" w:cs="宋体"/>
          <w:b/>
          <w:bCs/>
          <w:color w:val="000000"/>
          <w:sz w:val="22"/>
          <w:szCs w:val="22"/>
          <w:highlight w:val="none"/>
          <w:lang w:bidi="ar"/>
        </w:rPr>
        <w:t xml:space="preserve">4.环保要求 </w:t>
      </w:r>
    </w:p>
    <w:p w14:paraId="216CDA27">
      <w:pPr>
        <w:keepNext w:val="0"/>
        <w:keepLines w:val="0"/>
        <w:pageBreakBefore w:val="0"/>
        <w:widowControl/>
        <w:spacing w:line="360" w:lineRule="auto"/>
        <w:ind w:firstLine="440"/>
        <w:jc w:val="left"/>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4.1 绿化养护及道路清扫的垃圾均应运至符合环保要求的垃圾场，地点自行解决，不得随意焚烧和堆放在边沟、桥梁、通道下面。</w:t>
      </w:r>
    </w:p>
    <w:p w14:paraId="43DA3ED5">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4.2 不允许使用违禁农药。 </w:t>
      </w:r>
    </w:p>
    <w:p w14:paraId="4D77CD92">
      <w:pPr>
        <w:keepNext w:val="0"/>
        <w:keepLines w:val="0"/>
        <w:pageBreakBefore w:val="0"/>
        <w:widowControl/>
        <w:spacing w:line="360" w:lineRule="auto"/>
        <w:ind w:firstLine="442"/>
        <w:jc w:val="left"/>
        <w:rPr>
          <w:rFonts w:hint="default" w:ascii="宋体" w:hAnsi="宋体" w:cs="宋体"/>
          <w:b/>
          <w:bCs/>
          <w:color w:val="000000"/>
          <w:sz w:val="22"/>
          <w:szCs w:val="22"/>
          <w:lang w:val="en-US" w:eastAsia="zh-CN" w:bidi="ar"/>
        </w:rPr>
      </w:pPr>
      <w:r>
        <w:rPr>
          <w:rFonts w:hint="eastAsia" w:ascii="宋体" w:hAnsi="宋体" w:cs="宋体"/>
          <w:b/>
          <w:bCs/>
          <w:color w:val="000000"/>
          <w:sz w:val="22"/>
          <w:szCs w:val="22"/>
          <w:lang w:val="en-US" w:eastAsia="zh-CN" w:bidi="ar"/>
        </w:rPr>
        <w:t>(二）日常巡视与检查</w:t>
      </w:r>
    </w:p>
    <w:p w14:paraId="4F2D98EA">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1、 日常巡视与检查：</w:t>
      </w:r>
    </w:p>
    <w:p w14:paraId="263C6325">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1） 检查路面上是否有明显的坑槽、裂缝、冻胀、麻面、翻浆等病害，检查其危害程度及趋势，查清原因，采取适当措施。 </w:t>
      </w:r>
    </w:p>
    <w:p w14:paraId="273C73B4">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2） 路面上是否有可能损坏路面或妨碍交通的堆积物和障碍物等。 </w:t>
      </w:r>
    </w:p>
    <w:p w14:paraId="55161DCB">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2、 小修保养 </w:t>
      </w:r>
    </w:p>
    <w:p w14:paraId="582C3A19">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在公路正常使用条件下，对道路和附属设施所安排的经常性保养及轻微损坏的修补工作，可分为日常保养和小修两项工作内容。 </w:t>
      </w:r>
    </w:p>
    <w:p w14:paraId="039665C6">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1） 日常保养包括：清扫路面泥土、杂物，修剪路肩杂草，清除接缝内杂物，排除路面积水、积雪、积砂、铺防滑料等，拦水带（路缘石）的刷白、修理，清理边沟、维护边坡、培土等，清理路基塌方； </w:t>
      </w:r>
    </w:p>
    <w:p w14:paraId="3B868980">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2） 小修的内容：修补路面的泛油、拥包、轻微裂缝、横向裂缝、坑槽、沉陷、波浪、局部网裂、松散、麻面、啃边、接缝碎裂、唧泥和板底脱空等病害；填补局部缺损；花草补植和管理等。 </w:t>
      </w:r>
    </w:p>
    <w:p w14:paraId="55252C01">
      <w:pPr>
        <w:keepNext w:val="0"/>
        <w:keepLines w:val="0"/>
        <w:pageBreakBefore w:val="0"/>
        <w:widowControl/>
        <w:spacing w:line="360" w:lineRule="auto"/>
        <w:ind w:firstLine="440"/>
        <w:jc w:val="left"/>
        <w:rPr>
          <w:rFonts w:hint="eastAsia" w:ascii="宋体" w:hAnsi="宋体" w:cs="宋体"/>
          <w:color w:val="000000"/>
          <w:sz w:val="22"/>
          <w:szCs w:val="22"/>
          <w:lang w:bidi="ar"/>
        </w:rPr>
      </w:pPr>
      <w:r>
        <w:rPr>
          <w:rFonts w:hint="eastAsia" w:ascii="宋体" w:hAnsi="宋体" w:cs="宋体"/>
          <w:color w:val="000000"/>
          <w:sz w:val="22"/>
          <w:szCs w:val="22"/>
          <w:lang w:bidi="ar"/>
        </w:rPr>
        <w:t>3、 偶发作业：由突发性的交通事故所引发的路障排除和交通疏导；因天气原因所导致的除雪、除冰等作业。本次招标范围值包括日常巡视检查、小修保养工作及偶发作业。</w:t>
      </w:r>
    </w:p>
    <w:p w14:paraId="68ECEDF1">
      <w:pPr>
        <w:keepNext w:val="0"/>
        <w:keepLines w:val="0"/>
        <w:pageBreakBefore w:val="0"/>
        <w:widowControl/>
        <w:spacing w:line="360" w:lineRule="auto"/>
        <w:ind w:firstLine="442"/>
        <w:jc w:val="left"/>
        <w:rPr>
          <w:sz w:val="22"/>
          <w:szCs w:val="22"/>
        </w:rPr>
      </w:pPr>
      <w:r>
        <w:rPr>
          <w:rFonts w:ascii="宋体" w:hAnsi="宋体" w:cs="宋体"/>
          <w:b/>
          <w:bCs/>
          <w:color w:val="000000"/>
          <w:sz w:val="22"/>
          <w:szCs w:val="22"/>
          <w:lang w:bidi="ar"/>
        </w:rPr>
        <w:t xml:space="preserve">2. 常见道路病害和缺陷的定义 </w:t>
      </w:r>
    </w:p>
    <w:p w14:paraId="1B356AB7">
      <w:pPr>
        <w:keepNext w:val="0"/>
        <w:keepLines w:val="0"/>
        <w:pageBreakBefore w:val="0"/>
        <w:widowControl/>
        <w:spacing w:line="360" w:lineRule="auto"/>
        <w:ind w:firstLine="442"/>
        <w:jc w:val="left"/>
        <w:rPr>
          <w:sz w:val="22"/>
          <w:szCs w:val="22"/>
          <w:highlight w:val="none"/>
        </w:rPr>
      </w:pPr>
      <w:r>
        <w:rPr>
          <w:rFonts w:ascii="宋体" w:hAnsi="宋体" w:cs="宋体"/>
          <w:b/>
          <w:bCs/>
          <w:color w:val="000000"/>
          <w:sz w:val="22"/>
          <w:szCs w:val="22"/>
          <w:lang w:bidi="ar"/>
        </w:rPr>
        <w:t xml:space="preserve">2.1 沥青路面 </w:t>
      </w:r>
    </w:p>
    <w:p w14:paraId="07A79693">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1. 坑槽：路面破坏成坑洼深度大于 2cm，面积在 0.04</w:t>
      </w:r>
      <w:r>
        <w:rPr>
          <w:rFonts w:hint="eastAsia" w:ascii="宋体" w:hAnsi="宋体" w:cs="宋体"/>
          <w:color w:val="000000"/>
          <w:sz w:val="22"/>
          <w:szCs w:val="22"/>
          <w:highlight w:val="none"/>
          <w:lang w:val="en-US" w:eastAsia="zh-CN" w:bidi="ar"/>
        </w:rPr>
        <w:t>㎡</w:t>
      </w:r>
      <w:r>
        <w:rPr>
          <w:rFonts w:hint="eastAsia" w:ascii="宋体" w:hAnsi="宋体" w:cs="宋体"/>
          <w:color w:val="000000"/>
          <w:sz w:val="22"/>
          <w:szCs w:val="22"/>
          <w:highlight w:val="none"/>
          <w:lang w:bidi="ar"/>
        </w:rPr>
        <w:t xml:space="preserve">以上。如小面积坑槽较多有相距很近（20cm 以内），应合在一起丈量。 </w:t>
      </w:r>
    </w:p>
    <w:p w14:paraId="6BCB314B">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2. 松散：路面结合料失去粘结力、集料松动，面积 0.1 </w:t>
      </w:r>
      <w:r>
        <w:rPr>
          <w:rFonts w:hint="eastAsia" w:ascii="宋体" w:hAnsi="宋体" w:cs="宋体"/>
          <w:color w:val="000000"/>
          <w:sz w:val="22"/>
          <w:szCs w:val="22"/>
          <w:highlight w:val="none"/>
          <w:lang w:val="en-US" w:eastAsia="zh-CN" w:bidi="ar"/>
        </w:rPr>
        <w:t>㎡</w:t>
      </w:r>
      <w:r>
        <w:rPr>
          <w:rFonts w:hint="eastAsia" w:ascii="宋体" w:hAnsi="宋体" w:cs="宋体"/>
          <w:color w:val="000000"/>
          <w:sz w:val="22"/>
          <w:szCs w:val="22"/>
          <w:highlight w:val="none"/>
          <w:lang w:bidi="ar"/>
        </w:rPr>
        <w:t xml:space="preserve">以上。 </w:t>
      </w:r>
    </w:p>
    <w:p w14:paraId="23F1A8C9">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3. 拥包：路面局部隆起，高度 1.5cm 以上。 </w:t>
      </w:r>
    </w:p>
    <w:p w14:paraId="7E9350C5">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4. 翻浆：路面、路基湿软出现弹簧、破裂、冒泥浆现象。 </w:t>
      </w:r>
    </w:p>
    <w:p w14:paraId="09617D42">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5. 沉陷：路面、路基有竖向变形，路面下凹，深度 3cm 以上。 </w:t>
      </w:r>
    </w:p>
    <w:p w14:paraId="15576B37">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6. 脱皮：路面面层层状脱落，面积 0.1 </w:t>
      </w:r>
      <w:r>
        <w:rPr>
          <w:rFonts w:hint="eastAsia" w:ascii="宋体" w:hAnsi="宋体" w:cs="宋体"/>
          <w:color w:val="000000"/>
          <w:sz w:val="22"/>
          <w:szCs w:val="22"/>
          <w:highlight w:val="none"/>
          <w:lang w:val="en-US" w:eastAsia="zh-CN" w:bidi="ar"/>
        </w:rPr>
        <w:t>㎡</w:t>
      </w:r>
      <w:r>
        <w:rPr>
          <w:rFonts w:hint="eastAsia" w:ascii="宋体" w:hAnsi="宋体" w:cs="宋体"/>
          <w:color w:val="000000"/>
          <w:sz w:val="22"/>
          <w:szCs w:val="22"/>
          <w:highlight w:val="none"/>
          <w:lang w:bidi="ar"/>
        </w:rPr>
        <w:t xml:space="preserve">以上。 </w:t>
      </w:r>
    </w:p>
    <w:p w14:paraId="22CDB92E">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7. 啃边：路面边缘破碎脱落，宽度 10cm 以上，数量按单侧长度累加乘以平均宽度。 </w:t>
      </w:r>
    </w:p>
    <w:p w14:paraId="2DCFB4D6">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8. 泛油：高温季节沥青蓓基础，表面形成薄油层，行车出现轮迹。 </w:t>
      </w:r>
    </w:p>
    <w:p w14:paraId="5D987AFC">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9. 车辙：路面上沿行车轮迹产生的纵向凹槽，深度 1.5cm 以上，数量按实有长度乘以变</w:t>
      </w:r>
    </w:p>
    <w:p w14:paraId="13E69024">
      <w:pPr>
        <w:keepNext w:val="0"/>
        <w:keepLines w:val="0"/>
        <w:pageBreakBefore w:val="0"/>
        <w:widowControl/>
        <w:spacing w:line="360" w:lineRule="auto"/>
        <w:jc w:val="left"/>
        <w:rPr>
          <w:sz w:val="22"/>
          <w:szCs w:val="22"/>
          <w:highlight w:val="none"/>
        </w:rPr>
      </w:pPr>
      <w:r>
        <w:rPr>
          <w:rFonts w:hint="eastAsia" w:ascii="宋体" w:hAnsi="宋体" w:cs="宋体"/>
          <w:color w:val="000000"/>
          <w:sz w:val="22"/>
          <w:szCs w:val="22"/>
          <w:highlight w:val="none"/>
          <w:lang w:bidi="ar"/>
        </w:rPr>
        <w:t xml:space="preserve">形部分的平均宽度 </w:t>
      </w:r>
    </w:p>
    <w:p w14:paraId="5040BDDB">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10. 龟裂：缝宽 3mm 以上，且多数缝距 10cm 以下，面积在 1 </w:t>
      </w:r>
      <w:r>
        <w:rPr>
          <w:rFonts w:hint="eastAsia" w:ascii="宋体" w:hAnsi="宋体" w:cs="宋体"/>
          <w:color w:val="000000"/>
          <w:sz w:val="22"/>
          <w:szCs w:val="22"/>
          <w:highlight w:val="none"/>
          <w:lang w:val="en-US" w:eastAsia="zh-CN" w:bidi="ar"/>
        </w:rPr>
        <w:t>㎡</w:t>
      </w:r>
      <w:r>
        <w:rPr>
          <w:rFonts w:hint="eastAsia" w:ascii="宋体" w:hAnsi="宋体" w:cs="宋体"/>
          <w:color w:val="000000"/>
          <w:sz w:val="22"/>
          <w:szCs w:val="22"/>
          <w:highlight w:val="none"/>
          <w:lang w:bidi="ar"/>
        </w:rPr>
        <w:t xml:space="preserve">以上的块状不规则裂缝。 </w:t>
      </w:r>
    </w:p>
    <w:p w14:paraId="22868ED6">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highlight w:val="none"/>
          <w:lang w:bidi="ar"/>
        </w:rPr>
        <w:t xml:space="preserve">11. 网裂：缝宽 1mm 以上或缝距 40cm 以下，面积在 1 </w:t>
      </w:r>
      <w:r>
        <w:rPr>
          <w:rFonts w:hint="eastAsia" w:ascii="宋体" w:hAnsi="宋体" w:cs="宋体"/>
          <w:color w:val="000000"/>
          <w:sz w:val="22"/>
          <w:szCs w:val="22"/>
          <w:highlight w:val="none"/>
          <w:lang w:val="en-US" w:eastAsia="zh-CN" w:bidi="ar"/>
        </w:rPr>
        <w:t>㎡</w:t>
      </w:r>
      <w:r>
        <w:rPr>
          <w:rFonts w:hint="eastAsia" w:ascii="宋体" w:hAnsi="宋体" w:cs="宋体"/>
          <w:color w:val="000000"/>
          <w:sz w:val="22"/>
          <w:szCs w:val="22"/>
          <w:highlight w:val="none"/>
          <w:lang w:bidi="ar"/>
        </w:rPr>
        <w:t xml:space="preserve">以上的网状裂缝。路面上出现的长度 1m 以上、缝宽 1mm 以上的单条裂缝或深度在 </w:t>
      </w:r>
      <w:r>
        <w:rPr>
          <w:rFonts w:hint="eastAsia" w:ascii="宋体" w:hAnsi="宋体" w:cs="宋体"/>
          <w:color w:val="000000"/>
          <w:sz w:val="22"/>
          <w:szCs w:val="22"/>
          <w:lang w:bidi="ar"/>
        </w:rPr>
        <w:t xml:space="preserve">5mm 以上的划横也纳入网裂病害中，其数量按单缝累计长度乘以 0.2m 计。 </w:t>
      </w:r>
    </w:p>
    <w:p w14:paraId="13E51C9A">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12. 波浪与搓板：路面纵向产生连续起伏，有似搓板状缝谷高差大于 1.5cm 的变形。 </w:t>
      </w:r>
    </w:p>
    <w:p w14:paraId="52E0733A">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13. 横坡不适：路面横坡小于 1%或大于 3%，或中线偏移，以及应设超高而无超高或出现返超高的。 </w:t>
      </w:r>
    </w:p>
    <w:p w14:paraId="1E39D9DE">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14. 平整度差：用 3m 直尺沿路面纵向每 100m 至少量三尺。尺底间隙：沥青表面处治路面1.2cm 以上，沥青贯入式路面 1cm 以上，沥青混凝土及沥青碎石路面 0.8cm 以上的，按整尺（3m）长度计算病害。也可用连续式平整度仪检测的均方差值与规定标准值（见表 2-1）比较，大于标准值按病害计。同一横断面内质量最严重的一处。 </w:t>
      </w:r>
    </w:p>
    <w:p w14:paraId="6B1609A2">
      <w:pPr>
        <w:widowControl/>
        <w:ind w:firstLine="440"/>
        <w:jc w:val="center"/>
        <w:rPr>
          <w:rFonts w:hint="eastAsia" w:ascii="宋体" w:hAnsi="宋体" w:cs="宋体"/>
          <w:color w:val="000000"/>
          <w:sz w:val="22"/>
          <w:szCs w:val="22"/>
          <w:lang w:bidi="ar"/>
        </w:rPr>
      </w:pPr>
      <w:r>
        <w:rPr>
          <w:rFonts w:hint="eastAsia" w:ascii="宋体" w:hAnsi="宋体" w:cs="宋体"/>
          <w:color w:val="000000"/>
          <w:sz w:val="22"/>
          <w:szCs w:val="22"/>
          <w:lang w:bidi="ar"/>
        </w:rPr>
        <w:t>各种路面平整度养护标准规定值表 表 2-1</w:t>
      </w:r>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9"/>
        <w:gridCol w:w="2491"/>
        <w:gridCol w:w="2491"/>
        <w:gridCol w:w="2841"/>
      </w:tblGrid>
      <w:tr w14:paraId="6AEC6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jc w:val="center"/>
        </w:trPr>
        <w:tc>
          <w:tcPr>
            <w:tcW w:w="699" w:type="dxa"/>
            <w:vMerge w:val="restart"/>
            <w:noWrap w:val="0"/>
            <w:vAlign w:val="center"/>
          </w:tcPr>
          <w:p w14:paraId="2B3CF427">
            <w:pPr>
              <w:widowControl/>
              <w:rPr>
                <w:rFonts w:hint="eastAsia" w:ascii="宋体" w:hAnsi="宋体" w:cs="宋体"/>
                <w:color w:val="000000"/>
                <w:szCs w:val="21"/>
                <w:lang w:bidi="ar"/>
              </w:rPr>
            </w:pPr>
            <w:r>
              <w:rPr>
                <w:rFonts w:hint="eastAsia" w:ascii="宋体" w:hAnsi="宋体" w:cs="宋体"/>
                <w:color w:val="000000"/>
                <w:szCs w:val="21"/>
                <w:lang w:bidi="ar"/>
              </w:rPr>
              <w:t>序号</w:t>
            </w:r>
          </w:p>
        </w:tc>
        <w:tc>
          <w:tcPr>
            <w:tcW w:w="4982" w:type="dxa"/>
            <w:gridSpan w:val="2"/>
            <w:vMerge w:val="restart"/>
            <w:noWrap w:val="0"/>
            <w:vAlign w:val="center"/>
          </w:tcPr>
          <w:p w14:paraId="50596A54">
            <w:pPr>
              <w:widowControl/>
              <w:ind w:firstLine="420"/>
              <w:jc w:val="center"/>
              <w:rPr>
                <w:rFonts w:hint="eastAsia" w:ascii="宋体" w:hAnsi="宋体" w:cs="宋体"/>
                <w:color w:val="000000"/>
                <w:szCs w:val="21"/>
                <w:lang w:bidi="ar"/>
              </w:rPr>
            </w:pPr>
            <w:r>
              <w:rPr>
                <w:rFonts w:hint="eastAsia" w:ascii="宋体" w:hAnsi="宋体" w:cs="宋体"/>
                <w:color w:val="000000"/>
                <w:szCs w:val="21"/>
                <w:lang w:bidi="ar"/>
              </w:rPr>
              <w:t>路面种类</w:t>
            </w:r>
          </w:p>
        </w:tc>
        <w:tc>
          <w:tcPr>
            <w:tcW w:w="2841" w:type="dxa"/>
            <w:noWrap w:val="0"/>
            <w:vAlign w:val="center"/>
          </w:tcPr>
          <w:p w14:paraId="05C8CBB0">
            <w:pPr>
              <w:widowControl/>
              <w:ind w:firstLine="420"/>
              <w:jc w:val="center"/>
              <w:rPr>
                <w:rFonts w:hint="eastAsia" w:ascii="宋体" w:hAnsi="宋体" w:cs="宋体"/>
                <w:color w:val="000000"/>
                <w:szCs w:val="21"/>
                <w:lang w:bidi="ar"/>
              </w:rPr>
            </w:pPr>
            <w:r>
              <w:rPr>
                <w:rFonts w:hint="eastAsia" w:ascii="宋体" w:hAnsi="宋体" w:cs="宋体"/>
                <w:color w:val="000000"/>
                <w:szCs w:val="21"/>
                <w:lang w:bidi="ar"/>
              </w:rPr>
              <w:t>允许偏差（mm）</w:t>
            </w:r>
          </w:p>
        </w:tc>
      </w:tr>
      <w:tr w14:paraId="67190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jc w:val="center"/>
        </w:trPr>
        <w:tc>
          <w:tcPr>
            <w:tcW w:w="699" w:type="dxa"/>
            <w:vMerge w:val="continue"/>
            <w:noWrap w:val="0"/>
            <w:vAlign w:val="center"/>
          </w:tcPr>
          <w:p w14:paraId="235C6329">
            <w:pPr>
              <w:widowControl/>
              <w:ind w:firstLine="420"/>
              <w:jc w:val="center"/>
            </w:pPr>
          </w:p>
        </w:tc>
        <w:tc>
          <w:tcPr>
            <w:tcW w:w="4982" w:type="dxa"/>
            <w:gridSpan w:val="2"/>
            <w:vMerge w:val="continue"/>
            <w:noWrap w:val="0"/>
            <w:vAlign w:val="center"/>
          </w:tcPr>
          <w:p w14:paraId="26574DFB">
            <w:pPr>
              <w:widowControl/>
              <w:ind w:firstLine="420"/>
              <w:jc w:val="center"/>
            </w:pPr>
          </w:p>
        </w:tc>
        <w:tc>
          <w:tcPr>
            <w:tcW w:w="2841" w:type="dxa"/>
            <w:noWrap w:val="0"/>
            <w:vAlign w:val="center"/>
          </w:tcPr>
          <w:p w14:paraId="4DBC9CC2">
            <w:pPr>
              <w:widowControl/>
              <w:ind w:firstLine="420"/>
              <w:jc w:val="center"/>
              <w:rPr>
                <w:rFonts w:hint="eastAsia" w:ascii="宋体" w:hAnsi="宋体" w:cs="宋体"/>
                <w:color w:val="000000"/>
                <w:szCs w:val="21"/>
                <w:lang w:bidi="ar"/>
              </w:rPr>
            </w:pPr>
            <w:r>
              <w:rPr>
                <w:rFonts w:hint="eastAsia" w:ascii="宋体" w:hAnsi="宋体" w:cs="宋体"/>
                <w:color w:val="000000"/>
                <w:szCs w:val="21"/>
                <w:lang w:bidi="ar"/>
              </w:rPr>
              <w:t>平整度仪（σ</w:t>
            </w:r>
            <w:r>
              <w:rPr>
                <w:rFonts w:hint="eastAsia" w:ascii="宋体" w:hAnsi="宋体" w:cs="宋体"/>
                <w:color w:val="000000"/>
                <w:sz w:val="14"/>
                <w:szCs w:val="14"/>
                <w:lang w:bidi="ar"/>
              </w:rPr>
              <w:t>0</w:t>
            </w:r>
            <w:r>
              <w:rPr>
                <w:rFonts w:hint="eastAsia" w:ascii="宋体" w:hAnsi="宋体" w:cs="宋体"/>
                <w:color w:val="000000"/>
                <w:szCs w:val="21"/>
                <w:lang w:bidi="ar"/>
              </w:rPr>
              <w:t>）</w:t>
            </w:r>
          </w:p>
        </w:tc>
      </w:tr>
      <w:tr w14:paraId="36357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14:paraId="05469EEC">
            <w:pPr>
              <w:widowControl/>
              <w:jc w:val="center"/>
              <w:rPr>
                <w:rFonts w:ascii="宋体" w:hAnsi="宋体" w:cs="宋体"/>
                <w:color w:val="000000"/>
                <w:szCs w:val="21"/>
                <w:lang w:bidi="ar"/>
              </w:rPr>
            </w:pPr>
            <w:r>
              <w:rPr>
                <w:rFonts w:hint="eastAsia" w:ascii="宋体" w:hAnsi="宋体" w:cs="宋体"/>
                <w:color w:val="000000"/>
                <w:szCs w:val="21"/>
                <w:lang w:bidi="ar"/>
              </w:rPr>
              <w:t>1</w:t>
            </w:r>
          </w:p>
        </w:tc>
        <w:tc>
          <w:tcPr>
            <w:tcW w:w="4982" w:type="dxa"/>
            <w:gridSpan w:val="2"/>
            <w:noWrap w:val="0"/>
            <w:vAlign w:val="center"/>
          </w:tcPr>
          <w:p w14:paraId="6D3F4A28">
            <w:pPr>
              <w:widowControl/>
              <w:ind w:firstLine="420"/>
              <w:jc w:val="center"/>
              <w:rPr>
                <w:rFonts w:hint="eastAsia" w:ascii="宋体" w:hAnsi="宋体" w:cs="宋体"/>
                <w:color w:val="000000"/>
                <w:szCs w:val="21"/>
                <w:lang w:bidi="ar"/>
              </w:rPr>
            </w:pPr>
            <w:r>
              <w:rPr>
                <w:rFonts w:hint="eastAsia" w:ascii="宋体" w:hAnsi="宋体" w:cs="宋体"/>
                <w:color w:val="000000"/>
                <w:szCs w:val="21"/>
                <w:lang w:bidi="ar"/>
              </w:rPr>
              <w:t>沥青混凝土路面</w:t>
            </w:r>
          </w:p>
        </w:tc>
        <w:tc>
          <w:tcPr>
            <w:tcW w:w="2841" w:type="dxa"/>
            <w:vMerge w:val="restart"/>
            <w:noWrap w:val="0"/>
            <w:vAlign w:val="center"/>
          </w:tcPr>
          <w:p w14:paraId="5576ABCA">
            <w:pPr>
              <w:widowControl/>
              <w:ind w:firstLine="420"/>
              <w:jc w:val="center"/>
              <w:rPr>
                <w:rFonts w:hint="eastAsia" w:ascii="宋体" w:hAnsi="宋体" w:cs="宋体"/>
                <w:color w:val="000000"/>
                <w:szCs w:val="21"/>
                <w:lang w:bidi="ar"/>
              </w:rPr>
            </w:pPr>
            <w:r>
              <w:rPr>
                <w:rFonts w:hint="eastAsia" w:ascii="宋体" w:hAnsi="宋体" w:cs="宋体"/>
                <w:color w:val="000000"/>
                <w:szCs w:val="21"/>
                <w:lang w:bidi="ar"/>
              </w:rPr>
              <w:t>3.5</w:t>
            </w:r>
          </w:p>
        </w:tc>
      </w:tr>
      <w:tr w14:paraId="072B5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14:paraId="2B176EA9">
            <w:pPr>
              <w:widowControl/>
              <w:jc w:val="center"/>
              <w:rPr>
                <w:rFonts w:ascii="宋体" w:hAnsi="宋体" w:cs="宋体"/>
                <w:color w:val="000000"/>
                <w:szCs w:val="21"/>
                <w:lang w:bidi="ar"/>
              </w:rPr>
            </w:pPr>
            <w:r>
              <w:rPr>
                <w:rFonts w:hint="eastAsia" w:ascii="宋体" w:hAnsi="宋体" w:cs="宋体"/>
                <w:color w:val="000000"/>
                <w:szCs w:val="21"/>
                <w:lang w:bidi="ar"/>
              </w:rPr>
              <w:t>2</w:t>
            </w:r>
          </w:p>
        </w:tc>
        <w:tc>
          <w:tcPr>
            <w:tcW w:w="4982" w:type="dxa"/>
            <w:gridSpan w:val="2"/>
            <w:noWrap w:val="0"/>
            <w:vAlign w:val="center"/>
          </w:tcPr>
          <w:p w14:paraId="5FAD16DF">
            <w:pPr>
              <w:widowControl/>
              <w:ind w:firstLine="420"/>
              <w:jc w:val="center"/>
              <w:rPr>
                <w:rFonts w:hint="eastAsia" w:ascii="宋体" w:hAnsi="宋体" w:cs="宋体"/>
                <w:color w:val="000000"/>
                <w:szCs w:val="21"/>
                <w:lang w:bidi="ar"/>
              </w:rPr>
            </w:pPr>
            <w:r>
              <w:rPr>
                <w:rFonts w:hint="eastAsia" w:ascii="宋体" w:hAnsi="宋体" w:cs="宋体"/>
                <w:color w:val="000000"/>
                <w:szCs w:val="21"/>
                <w:lang w:bidi="ar"/>
              </w:rPr>
              <w:t>沥青碎石路面</w:t>
            </w:r>
          </w:p>
        </w:tc>
        <w:tc>
          <w:tcPr>
            <w:tcW w:w="2841" w:type="dxa"/>
            <w:vMerge w:val="continue"/>
            <w:noWrap w:val="0"/>
            <w:vAlign w:val="center"/>
          </w:tcPr>
          <w:p w14:paraId="793ECD2F">
            <w:pPr>
              <w:widowControl/>
              <w:ind w:firstLine="420"/>
              <w:jc w:val="center"/>
              <w:rPr>
                <w:rFonts w:hint="eastAsia" w:ascii="宋体" w:hAnsi="宋体" w:cs="宋体"/>
                <w:color w:val="000000"/>
                <w:szCs w:val="21"/>
                <w:lang w:bidi="ar"/>
              </w:rPr>
            </w:pPr>
          </w:p>
        </w:tc>
      </w:tr>
      <w:tr w14:paraId="3013A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14:paraId="7DD7C964">
            <w:pPr>
              <w:widowControl/>
              <w:jc w:val="center"/>
              <w:rPr>
                <w:rFonts w:ascii="宋体" w:hAnsi="宋体" w:cs="宋体"/>
                <w:color w:val="000000"/>
                <w:szCs w:val="21"/>
                <w:lang w:bidi="ar"/>
              </w:rPr>
            </w:pPr>
            <w:r>
              <w:rPr>
                <w:rFonts w:hint="eastAsia" w:ascii="宋体" w:hAnsi="宋体" w:cs="宋体"/>
                <w:color w:val="000000"/>
                <w:szCs w:val="21"/>
                <w:lang w:bidi="ar"/>
              </w:rPr>
              <w:t>3</w:t>
            </w:r>
          </w:p>
        </w:tc>
        <w:tc>
          <w:tcPr>
            <w:tcW w:w="4982" w:type="dxa"/>
            <w:gridSpan w:val="2"/>
            <w:noWrap w:val="0"/>
            <w:vAlign w:val="center"/>
          </w:tcPr>
          <w:p w14:paraId="30EFA318">
            <w:pPr>
              <w:widowControl/>
              <w:ind w:firstLine="420"/>
              <w:jc w:val="center"/>
              <w:rPr>
                <w:rFonts w:hint="eastAsia" w:ascii="宋体" w:hAnsi="宋体" w:cs="宋体"/>
                <w:color w:val="000000"/>
                <w:szCs w:val="21"/>
                <w:lang w:bidi="ar"/>
              </w:rPr>
            </w:pPr>
            <w:r>
              <w:rPr>
                <w:rFonts w:hint="eastAsia" w:ascii="宋体" w:hAnsi="宋体" w:cs="宋体"/>
                <w:color w:val="000000"/>
                <w:szCs w:val="21"/>
                <w:lang w:bidi="ar"/>
              </w:rPr>
              <w:t>沥青贯入式路面</w:t>
            </w:r>
          </w:p>
        </w:tc>
        <w:tc>
          <w:tcPr>
            <w:tcW w:w="2841" w:type="dxa"/>
            <w:noWrap w:val="0"/>
            <w:vAlign w:val="center"/>
          </w:tcPr>
          <w:p w14:paraId="77192D17">
            <w:pPr>
              <w:widowControl/>
              <w:ind w:firstLine="420"/>
              <w:jc w:val="center"/>
              <w:rPr>
                <w:rFonts w:hint="eastAsia" w:ascii="宋体" w:hAnsi="宋体" w:cs="宋体"/>
                <w:color w:val="000000"/>
                <w:szCs w:val="21"/>
                <w:lang w:bidi="ar"/>
              </w:rPr>
            </w:pPr>
            <w:r>
              <w:rPr>
                <w:rFonts w:hint="eastAsia" w:ascii="宋体" w:hAnsi="宋体" w:cs="宋体"/>
                <w:color w:val="000000"/>
                <w:szCs w:val="21"/>
                <w:lang w:bidi="ar"/>
              </w:rPr>
              <w:t>4.5</w:t>
            </w:r>
          </w:p>
        </w:tc>
      </w:tr>
      <w:tr w14:paraId="04873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14:paraId="01A0CBD3">
            <w:pPr>
              <w:widowControl/>
              <w:jc w:val="center"/>
              <w:rPr>
                <w:rFonts w:ascii="宋体" w:hAnsi="宋体" w:cs="宋体"/>
                <w:color w:val="000000"/>
                <w:szCs w:val="21"/>
                <w:lang w:bidi="ar"/>
              </w:rPr>
            </w:pPr>
            <w:r>
              <w:rPr>
                <w:rFonts w:hint="eastAsia" w:ascii="宋体" w:hAnsi="宋体" w:cs="宋体"/>
                <w:color w:val="000000"/>
                <w:szCs w:val="21"/>
                <w:lang w:bidi="ar"/>
              </w:rPr>
              <w:t>4</w:t>
            </w:r>
          </w:p>
        </w:tc>
        <w:tc>
          <w:tcPr>
            <w:tcW w:w="4982" w:type="dxa"/>
            <w:gridSpan w:val="2"/>
            <w:noWrap w:val="0"/>
            <w:vAlign w:val="center"/>
          </w:tcPr>
          <w:p w14:paraId="0840C165">
            <w:pPr>
              <w:widowControl/>
              <w:ind w:firstLine="420"/>
              <w:jc w:val="center"/>
              <w:rPr>
                <w:rFonts w:hint="eastAsia" w:ascii="宋体" w:hAnsi="宋体" w:cs="宋体"/>
                <w:color w:val="000000"/>
                <w:szCs w:val="21"/>
                <w:lang w:bidi="ar"/>
              </w:rPr>
            </w:pPr>
            <w:r>
              <w:rPr>
                <w:rFonts w:hint="eastAsia" w:ascii="宋体" w:hAnsi="宋体" w:cs="宋体"/>
                <w:color w:val="000000"/>
                <w:szCs w:val="21"/>
                <w:lang w:bidi="ar"/>
              </w:rPr>
              <w:t>沥青上拌下贯路面</w:t>
            </w:r>
          </w:p>
        </w:tc>
        <w:tc>
          <w:tcPr>
            <w:tcW w:w="2841" w:type="dxa"/>
            <w:noWrap w:val="0"/>
            <w:vAlign w:val="center"/>
          </w:tcPr>
          <w:p w14:paraId="4EA5F5D4">
            <w:pPr>
              <w:widowControl/>
              <w:ind w:firstLine="420"/>
              <w:jc w:val="center"/>
              <w:rPr>
                <w:rFonts w:hint="eastAsia" w:ascii="宋体" w:hAnsi="宋体" w:cs="宋体"/>
                <w:color w:val="000000"/>
                <w:szCs w:val="21"/>
                <w:lang w:bidi="ar"/>
              </w:rPr>
            </w:pPr>
            <w:r>
              <w:rPr>
                <w:rFonts w:hint="eastAsia" w:ascii="宋体" w:hAnsi="宋体" w:cs="宋体"/>
                <w:color w:val="000000"/>
                <w:szCs w:val="21"/>
                <w:lang w:bidi="ar"/>
              </w:rPr>
              <w:t>4.5</w:t>
            </w:r>
          </w:p>
        </w:tc>
      </w:tr>
      <w:tr w14:paraId="34397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jc w:val="center"/>
        </w:trPr>
        <w:tc>
          <w:tcPr>
            <w:tcW w:w="699" w:type="dxa"/>
            <w:vMerge w:val="restart"/>
            <w:noWrap w:val="0"/>
            <w:vAlign w:val="center"/>
          </w:tcPr>
          <w:p w14:paraId="2601B441">
            <w:pPr>
              <w:widowControl/>
              <w:jc w:val="center"/>
              <w:rPr>
                <w:rFonts w:ascii="宋体" w:hAnsi="宋体" w:cs="宋体"/>
                <w:color w:val="000000"/>
                <w:szCs w:val="21"/>
                <w:lang w:bidi="ar"/>
              </w:rPr>
            </w:pPr>
            <w:r>
              <w:rPr>
                <w:rFonts w:hint="eastAsia" w:ascii="宋体" w:hAnsi="宋体" w:cs="宋体"/>
                <w:color w:val="000000"/>
                <w:szCs w:val="21"/>
                <w:lang w:bidi="ar"/>
              </w:rPr>
              <w:t>5</w:t>
            </w:r>
          </w:p>
        </w:tc>
        <w:tc>
          <w:tcPr>
            <w:tcW w:w="2491" w:type="dxa"/>
            <w:vMerge w:val="restart"/>
            <w:noWrap w:val="0"/>
            <w:vAlign w:val="center"/>
          </w:tcPr>
          <w:p w14:paraId="0EF42B3D">
            <w:pPr>
              <w:widowControl/>
              <w:ind w:firstLine="420"/>
              <w:jc w:val="center"/>
              <w:rPr>
                <w:rFonts w:hint="eastAsia" w:ascii="宋体" w:hAnsi="宋体" w:cs="宋体"/>
                <w:color w:val="000000"/>
                <w:szCs w:val="21"/>
                <w:lang w:bidi="ar"/>
              </w:rPr>
            </w:pPr>
            <w:r>
              <w:rPr>
                <w:rFonts w:hint="eastAsia" w:ascii="宋体" w:hAnsi="宋体" w:cs="宋体"/>
                <w:color w:val="000000"/>
                <w:szCs w:val="21"/>
                <w:lang w:bidi="ar"/>
              </w:rPr>
              <w:t>表面处治路面</w:t>
            </w:r>
          </w:p>
        </w:tc>
        <w:tc>
          <w:tcPr>
            <w:tcW w:w="2491" w:type="dxa"/>
            <w:noWrap w:val="0"/>
            <w:vAlign w:val="center"/>
          </w:tcPr>
          <w:p w14:paraId="3BBC555E">
            <w:pPr>
              <w:widowControl/>
              <w:ind w:firstLine="420"/>
              <w:jc w:val="center"/>
              <w:rPr>
                <w:rFonts w:hint="eastAsia" w:ascii="宋体" w:hAnsi="宋体" w:cs="宋体"/>
                <w:color w:val="000000"/>
                <w:szCs w:val="21"/>
                <w:lang w:bidi="ar"/>
              </w:rPr>
            </w:pPr>
            <w:r>
              <w:rPr>
                <w:rFonts w:hint="eastAsia" w:ascii="宋体" w:hAnsi="宋体" w:cs="宋体"/>
                <w:color w:val="000000"/>
                <w:szCs w:val="21"/>
                <w:lang w:bidi="ar"/>
              </w:rPr>
              <w:t>沥青</w:t>
            </w:r>
          </w:p>
        </w:tc>
        <w:tc>
          <w:tcPr>
            <w:tcW w:w="2841" w:type="dxa"/>
            <w:noWrap w:val="0"/>
            <w:vAlign w:val="center"/>
          </w:tcPr>
          <w:p w14:paraId="54D3C0B8">
            <w:pPr>
              <w:widowControl/>
              <w:ind w:firstLine="420"/>
              <w:jc w:val="center"/>
              <w:rPr>
                <w:rFonts w:ascii="宋体" w:hAnsi="宋体" w:cs="宋体"/>
                <w:color w:val="000000"/>
                <w:szCs w:val="21"/>
                <w:lang w:bidi="ar"/>
              </w:rPr>
            </w:pPr>
            <w:r>
              <w:rPr>
                <w:rFonts w:hint="eastAsia" w:ascii="宋体" w:hAnsi="宋体" w:cs="宋体"/>
                <w:color w:val="000000"/>
                <w:szCs w:val="21"/>
                <w:lang w:bidi="ar"/>
              </w:rPr>
              <w:t>5.8</w:t>
            </w:r>
          </w:p>
        </w:tc>
      </w:tr>
      <w:tr w14:paraId="398A7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jc w:val="center"/>
        </w:trPr>
        <w:tc>
          <w:tcPr>
            <w:tcW w:w="699" w:type="dxa"/>
            <w:vMerge w:val="continue"/>
            <w:noWrap w:val="0"/>
            <w:vAlign w:val="center"/>
          </w:tcPr>
          <w:p w14:paraId="597CC06B">
            <w:pPr>
              <w:widowControl/>
              <w:jc w:val="center"/>
            </w:pPr>
          </w:p>
        </w:tc>
        <w:tc>
          <w:tcPr>
            <w:tcW w:w="2491" w:type="dxa"/>
            <w:vMerge w:val="continue"/>
            <w:noWrap w:val="0"/>
            <w:vAlign w:val="center"/>
          </w:tcPr>
          <w:p w14:paraId="1B62EEF0">
            <w:pPr>
              <w:widowControl/>
              <w:ind w:firstLine="420"/>
              <w:jc w:val="center"/>
            </w:pPr>
          </w:p>
        </w:tc>
        <w:tc>
          <w:tcPr>
            <w:tcW w:w="2491" w:type="dxa"/>
            <w:noWrap w:val="0"/>
            <w:vAlign w:val="center"/>
          </w:tcPr>
          <w:p w14:paraId="2F77B5AE">
            <w:pPr>
              <w:widowControl/>
              <w:ind w:firstLine="420"/>
              <w:jc w:val="center"/>
              <w:rPr>
                <w:rFonts w:hint="eastAsia" w:ascii="宋体" w:hAnsi="宋体" w:cs="宋体"/>
                <w:color w:val="000000"/>
                <w:szCs w:val="21"/>
                <w:lang w:bidi="ar"/>
              </w:rPr>
            </w:pPr>
            <w:r>
              <w:rPr>
                <w:rFonts w:hint="eastAsia" w:ascii="宋体" w:hAnsi="宋体" w:cs="宋体"/>
                <w:color w:val="000000"/>
                <w:szCs w:val="21"/>
                <w:lang w:bidi="ar"/>
              </w:rPr>
              <w:t>渣油</w:t>
            </w:r>
          </w:p>
        </w:tc>
        <w:tc>
          <w:tcPr>
            <w:tcW w:w="2841" w:type="dxa"/>
            <w:noWrap w:val="0"/>
            <w:vAlign w:val="center"/>
          </w:tcPr>
          <w:p w14:paraId="08BE7EA4">
            <w:pPr>
              <w:widowControl/>
              <w:ind w:firstLine="420"/>
              <w:jc w:val="center"/>
              <w:rPr>
                <w:rFonts w:ascii="宋体" w:hAnsi="宋体" w:cs="宋体"/>
                <w:color w:val="000000"/>
                <w:szCs w:val="21"/>
                <w:lang w:bidi="ar"/>
              </w:rPr>
            </w:pPr>
            <w:r>
              <w:rPr>
                <w:rFonts w:hint="eastAsia" w:ascii="宋体" w:hAnsi="宋体" w:cs="宋体"/>
                <w:color w:val="000000"/>
                <w:szCs w:val="21"/>
                <w:lang w:bidi="ar"/>
              </w:rPr>
              <w:t>5.8</w:t>
            </w:r>
          </w:p>
        </w:tc>
      </w:tr>
      <w:tr w14:paraId="47504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14:paraId="3266268B">
            <w:pPr>
              <w:widowControl/>
              <w:jc w:val="center"/>
              <w:rPr>
                <w:rFonts w:ascii="宋体" w:hAnsi="宋体" w:cs="宋体"/>
                <w:color w:val="000000"/>
                <w:szCs w:val="21"/>
                <w:lang w:bidi="ar"/>
              </w:rPr>
            </w:pPr>
            <w:r>
              <w:rPr>
                <w:rFonts w:hint="eastAsia" w:ascii="宋体" w:hAnsi="宋体" w:cs="宋体"/>
                <w:color w:val="000000"/>
                <w:szCs w:val="21"/>
                <w:lang w:bidi="ar"/>
              </w:rPr>
              <w:t>6</w:t>
            </w:r>
          </w:p>
        </w:tc>
        <w:tc>
          <w:tcPr>
            <w:tcW w:w="4982" w:type="dxa"/>
            <w:gridSpan w:val="2"/>
            <w:noWrap w:val="0"/>
            <w:vAlign w:val="center"/>
          </w:tcPr>
          <w:p w14:paraId="692277F1">
            <w:pPr>
              <w:widowControl/>
              <w:ind w:firstLine="420"/>
              <w:jc w:val="center"/>
              <w:rPr>
                <w:rFonts w:hint="eastAsia" w:ascii="宋体" w:hAnsi="宋体" w:cs="宋体"/>
                <w:color w:val="000000"/>
                <w:szCs w:val="21"/>
                <w:lang w:bidi="ar"/>
              </w:rPr>
            </w:pPr>
            <w:r>
              <w:rPr>
                <w:rFonts w:hint="eastAsia" w:ascii="宋体" w:hAnsi="宋体" w:cs="宋体"/>
                <w:color w:val="000000"/>
                <w:szCs w:val="21"/>
                <w:lang w:bidi="ar"/>
              </w:rPr>
              <w:t>水泥混凝土路面</w:t>
            </w:r>
          </w:p>
        </w:tc>
        <w:tc>
          <w:tcPr>
            <w:tcW w:w="2841" w:type="dxa"/>
            <w:noWrap w:val="0"/>
            <w:vAlign w:val="center"/>
          </w:tcPr>
          <w:p w14:paraId="5A1890AF">
            <w:pPr>
              <w:widowControl/>
              <w:ind w:firstLine="420"/>
              <w:jc w:val="center"/>
              <w:rPr>
                <w:rFonts w:hint="eastAsia" w:ascii="宋体" w:hAnsi="宋体" w:cs="宋体"/>
                <w:color w:val="000000"/>
                <w:szCs w:val="21"/>
                <w:lang w:bidi="ar"/>
              </w:rPr>
            </w:pPr>
            <w:r>
              <w:rPr>
                <w:rFonts w:hint="eastAsia" w:ascii="宋体" w:hAnsi="宋体" w:cs="宋体"/>
                <w:color w:val="000000"/>
                <w:szCs w:val="21"/>
                <w:lang w:bidi="ar"/>
              </w:rPr>
              <w:t>2.5</w:t>
            </w:r>
          </w:p>
        </w:tc>
      </w:tr>
      <w:tr w14:paraId="75B9B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 w:hRule="atLeast"/>
          <w:jc w:val="center"/>
        </w:trPr>
        <w:tc>
          <w:tcPr>
            <w:tcW w:w="699" w:type="dxa"/>
            <w:vMerge w:val="restart"/>
            <w:noWrap w:val="0"/>
            <w:vAlign w:val="center"/>
          </w:tcPr>
          <w:p w14:paraId="178BC47D">
            <w:pPr>
              <w:widowControl/>
              <w:jc w:val="center"/>
              <w:rPr>
                <w:rFonts w:ascii="宋体" w:hAnsi="宋体" w:cs="宋体"/>
                <w:color w:val="000000"/>
                <w:szCs w:val="21"/>
                <w:lang w:bidi="ar"/>
              </w:rPr>
            </w:pPr>
            <w:r>
              <w:rPr>
                <w:rFonts w:hint="eastAsia" w:ascii="宋体" w:hAnsi="宋体" w:cs="宋体"/>
                <w:color w:val="000000"/>
                <w:szCs w:val="21"/>
                <w:lang w:bidi="ar"/>
              </w:rPr>
              <w:t>7</w:t>
            </w:r>
          </w:p>
        </w:tc>
        <w:tc>
          <w:tcPr>
            <w:tcW w:w="2491" w:type="dxa"/>
            <w:vMerge w:val="restart"/>
            <w:noWrap w:val="0"/>
            <w:vAlign w:val="center"/>
          </w:tcPr>
          <w:p w14:paraId="24D89995">
            <w:pPr>
              <w:widowControl/>
              <w:ind w:firstLine="420"/>
              <w:jc w:val="center"/>
              <w:rPr>
                <w:rFonts w:hint="eastAsia" w:ascii="宋体" w:hAnsi="宋体" w:cs="宋体"/>
                <w:color w:val="000000"/>
                <w:szCs w:val="21"/>
                <w:lang w:bidi="ar"/>
              </w:rPr>
            </w:pPr>
            <w:r>
              <w:rPr>
                <w:rFonts w:hint="eastAsia" w:ascii="宋体" w:hAnsi="宋体" w:cs="宋体"/>
                <w:color w:val="000000"/>
                <w:szCs w:val="21"/>
                <w:lang w:bidi="ar"/>
              </w:rPr>
              <w:t>块石路面</w:t>
            </w:r>
          </w:p>
        </w:tc>
        <w:tc>
          <w:tcPr>
            <w:tcW w:w="2491" w:type="dxa"/>
            <w:noWrap w:val="0"/>
            <w:vAlign w:val="center"/>
          </w:tcPr>
          <w:p w14:paraId="25BE4B15">
            <w:pPr>
              <w:widowControl/>
              <w:ind w:firstLine="420"/>
              <w:jc w:val="center"/>
              <w:rPr>
                <w:rFonts w:hint="eastAsia" w:ascii="宋体" w:hAnsi="宋体" w:cs="宋体"/>
                <w:color w:val="000000"/>
                <w:szCs w:val="21"/>
                <w:lang w:bidi="ar"/>
              </w:rPr>
            </w:pPr>
            <w:r>
              <w:rPr>
                <w:rFonts w:hint="eastAsia" w:ascii="宋体" w:hAnsi="宋体" w:cs="宋体"/>
                <w:color w:val="000000"/>
                <w:szCs w:val="21"/>
                <w:lang w:bidi="ar"/>
              </w:rPr>
              <w:t>整齐块石</w:t>
            </w:r>
          </w:p>
        </w:tc>
        <w:tc>
          <w:tcPr>
            <w:tcW w:w="2841" w:type="dxa"/>
            <w:noWrap w:val="0"/>
            <w:vAlign w:val="center"/>
          </w:tcPr>
          <w:p w14:paraId="40E19704">
            <w:pPr>
              <w:widowControl/>
              <w:ind w:firstLine="420"/>
              <w:jc w:val="center"/>
              <w:rPr>
                <w:rFonts w:hint="eastAsia" w:ascii="宋体" w:hAnsi="宋体" w:cs="宋体"/>
                <w:color w:val="000000"/>
                <w:szCs w:val="21"/>
                <w:lang w:bidi="ar"/>
              </w:rPr>
            </w:pPr>
            <w:r>
              <w:rPr>
                <w:rFonts w:hint="eastAsia" w:ascii="宋体" w:hAnsi="宋体" w:cs="宋体"/>
                <w:color w:val="000000"/>
                <w:szCs w:val="21"/>
                <w:lang w:bidi="ar"/>
              </w:rPr>
              <w:t>4.5</w:t>
            </w:r>
          </w:p>
        </w:tc>
      </w:tr>
      <w:tr w14:paraId="6EF53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 w:hRule="atLeast"/>
          <w:jc w:val="center"/>
        </w:trPr>
        <w:tc>
          <w:tcPr>
            <w:tcW w:w="699" w:type="dxa"/>
            <w:vMerge w:val="continue"/>
            <w:noWrap w:val="0"/>
            <w:vAlign w:val="center"/>
          </w:tcPr>
          <w:p w14:paraId="3160ECB0">
            <w:pPr>
              <w:widowControl/>
              <w:jc w:val="center"/>
            </w:pPr>
          </w:p>
        </w:tc>
        <w:tc>
          <w:tcPr>
            <w:tcW w:w="2491" w:type="dxa"/>
            <w:vMerge w:val="continue"/>
            <w:noWrap w:val="0"/>
            <w:vAlign w:val="center"/>
          </w:tcPr>
          <w:p w14:paraId="4986F661">
            <w:pPr>
              <w:widowControl/>
              <w:ind w:firstLine="420"/>
              <w:jc w:val="center"/>
            </w:pPr>
          </w:p>
        </w:tc>
        <w:tc>
          <w:tcPr>
            <w:tcW w:w="2491" w:type="dxa"/>
            <w:noWrap w:val="0"/>
            <w:vAlign w:val="center"/>
          </w:tcPr>
          <w:p w14:paraId="0B10619D">
            <w:pPr>
              <w:widowControl/>
              <w:ind w:firstLine="420"/>
              <w:jc w:val="center"/>
              <w:rPr>
                <w:rFonts w:hint="eastAsia" w:ascii="宋体" w:hAnsi="宋体" w:cs="宋体"/>
                <w:color w:val="000000"/>
                <w:szCs w:val="21"/>
                <w:lang w:bidi="ar"/>
              </w:rPr>
            </w:pPr>
            <w:r>
              <w:rPr>
                <w:rFonts w:hint="eastAsia" w:ascii="宋体" w:hAnsi="宋体" w:cs="宋体"/>
                <w:color w:val="000000"/>
                <w:szCs w:val="21"/>
                <w:lang w:bidi="ar"/>
              </w:rPr>
              <w:t>半整齐块石</w:t>
            </w:r>
          </w:p>
        </w:tc>
        <w:tc>
          <w:tcPr>
            <w:tcW w:w="2841" w:type="dxa"/>
            <w:noWrap w:val="0"/>
            <w:vAlign w:val="center"/>
          </w:tcPr>
          <w:p w14:paraId="3D5FB8BC">
            <w:pPr>
              <w:widowControl/>
              <w:ind w:firstLine="420"/>
              <w:jc w:val="center"/>
              <w:rPr>
                <w:rFonts w:hint="eastAsia" w:ascii="宋体" w:hAnsi="宋体" w:cs="宋体"/>
                <w:color w:val="000000"/>
                <w:szCs w:val="21"/>
                <w:lang w:bidi="ar"/>
              </w:rPr>
            </w:pPr>
            <w:r>
              <w:rPr>
                <w:rFonts w:hint="eastAsia" w:ascii="宋体" w:hAnsi="宋体" w:cs="宋体"/>
                <w:color w:val="000000"/>
                <w:szCs w:val="21"/>
                <w:lang w:bidi="ar"/>
              </w:rPr>
              <w:t>7.1</w:t>
            </w:r>
          </w:p>
        </w:tc>
      </w:tr>
      <w:tr w14:paraId="79A3F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 w:hRule="atLeast"/>
          <w:jc w:val="center"/>
        </w:trPr>
        <w:tc>
          <w:tcPr>
            <w:tcW w:w="699" w:type="dxa"/>
            <w:vMerge w:val="continue"/>
            <w:noWrap w:val="0"/>
            <w:vAlign w:val="center"/>
          </w:tcPr>
          <w:p w14:paraId="699B7C23">
            <w:pPr>
              <w:widowControl/>
              <w:jc w:val="center"/>
              <w:rPr>
                <w:rFonts w:hint="eastAsia" w:ascii="宋体" w:hAnsi="宋体" w:cs="宋体"/>
                <w:color w:val="000000"/>
                <w:szCs w:val="21"/>
                <w:lang w:bidi="ar"/>
              </w:rPr>
            </w:pPr>
          </w:p>
        </w:tc>
        <w:tc>
          <w:tcPr>
            <w:tcW w:w="2491" w:type="dxa"/>
            <w:vMerge w:val="continue"/>
            <w:noWrap w:val="0"/>
            <w:vAlign w:val="center"/>
          </w:tcPr>
          <w:p w14:paraId="04EAB536">
            <w:pPr>
              <w:widowControl/>
              <w:ind w:firstLine="420"/>
              <w:jc w:val="center"/>
              <w:rPr>
                <w:rFonts w:hint="eastAsia" w:ascii="宋体" w:hAnsi="宋体" w:cs="宋体"/>
                <w:color w:val="000000"/>
                <w:szCs w:val="21"/>
                <w:lang w:bidi="ar"/>
              </w:rPr>
            </w:pPr>
          </w:p>
        </w:tc>
        <w:tc>
          <w:tcPr>
            <w:tcW w:w="2491" w:type="dxa"/>
            <w:noWrap w:val="0"/>
            <w:vAlign w:val="center"/>
          </w:tcPr>
          <w:p w14:paraId="6FE60C05">
            <w:pPr>
              <w:widowControl/>
              <w:ind w:firstLine="420"/>
              <w:jc w:val="center"/>
              <w:rPr>
                <w:rFonts w:hint="eastAsia" w:ascii="宋体" w:hAnsi="宋体" w:cs="宋体"/>
                <w:color w:val="000000"/>
                <w:szCs w:val="21"/>
                <w:lang w:bidi="ar"/>
              </w:rPr>
            </w:pPr>
            <w:r>
              <w:rPr>
                <w:rFonts w:hint="eastAsia" w:ascii="宋体" w:hAnsi="宋体" w:cs="宋体"/>
                <w:color w:val="000000"/>
                <w:szCs w:val="21"/>
                <w:lang w:bidi="ar"/>
              </w:rPr>
              <w:t>不整齐块石</w:t>
            </w:r>
          </w:p>
        </w:tc>
        <w:tc>
          <w:tcPr>
            <w:tcW w:w="2841" w:type="dxa"/>
            <w:noWrap w:val="0"/>
            <w:vAlign w:val="center"/>
          </w:tcPr>
          <w:p w14:paraId="26C217F7">
            <w:pPr>
              <w:widowControl/>
              <w:ind w:firstLine="420"/>
              <w:jc w:val="center"/>
              <w:rPr>
                <w:rFonts w:hint="eastAsia" w:ascii="宋体" w:hAnsi="宋体" w:cs="宋体"/>
                <w:color w:val="000000"/>
                <w:szCs w:val="21"/>
                <w:lang w:bidi="ar"/>
              </w:rPr>
            </w:pPr>
            <w:r>
              <w:rPr>
                <w:rFonts w:hint="eastAsia" w:ascii="宋体" w:hAnsi="宋体" w:cs="宋体"/>
                <w:color w:val="000000"/>
                <w:szCs w:val="21"/>
                <w:lang w:bidi="ar"/>
              </w:rPr>
              <w:t>9.0</w:t>
            </w:r>
          </w:p>
        </w:tc>
      </w:tr>
      <w:tr w14:paraId="03BF4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14:paraId="511C1371">
            <w:pPr>
              <w:widowControl/>
              <w:jc w:val="center"/>
              <w:rPr>
                <w:rFonts w:ascii="宋体" w:hAnsi="宋体" w:cs="宋体"/>
                <w:color w:val="000000"/>
                <w:szCs w:val="21"/>
                <w:lang w:bidi="ar"/>
              </w:rPr>
            </w:pPr>
            <w:r>
              <w:rPr>
                <w:rFonts w:hint="eastAsia" w:ascii="宋体" w:hAnsi="宋体" w:cs="宋体"/>
                <w:color w:val="000000"/>
                <w:szCs w:val="21"/>
                <w:lang w:bidi="ar"/>
              </w:rPr>
              <w:t>8</w:t>
            </w:r>
          </w:p>
        </w:tc>
        <w:tc>
          <w:tcPr>
            <w:tcW w:w="4982" w:type="dxa"/>
            <w:gridSpan w:val="2"/>
            <w:noWrap w:val="0"/>
            <w:vAlign w:val="center"/>
          </w:tcPr>
          <w:p w14:paraId="0C3D9267">
            <w:pPr>
              <w:widowControl/>
              <w:ind w:firstLine="420"/>
              <w:jc w:val="center"/>
              <w:rPr>
                <w:rFonts w:hint="eastAsia" w:ascii="宋体" w:hAnsi="宋体" w:cs="宋体"/>
                <w:color w:val="000000"/>
                <w:szCs w:val="21"/>
                <w:lang w:bidi="ar"/>
              </w:rPr>
            </w:pPr>
            <w:r>
              <w:rPr>
                <w:rFonts w:hint="eastAsia" w:ascii="宋体" w:hAnsi="宋体" w:cs="宋体"/>
                <w:color w:val="000000"/>
                <w:szCs w:val="21"/>
                <w:lang w:bidi="ar"/>
              </w:rPr>
              <w:t>碎砾石及其它粒料路面</w:t>
            </w:r>
          </w:p>
        </w:tc>
        <w:tc>
          <w:tcPr>
            <w:tcW w:w="2841" w:type="dxa"/>
            <w:noWrap w:val="0"/>
            <w:vAlign w:val="center"/>
          </w:tcPr>
          <w:p w14:paraId="6AC6C39C">
            <w:pPr>
              <w:widowControl/>
              <w:ind w:firstLine="420"/>
              <w:jc w:val="center"/>
              <w:rPr>
                <w:rFonts w:hint="eastAsia" w:ascii="宋体" w:hAnsi="宋体" w:cs="宋体"/>
                <w:color w:val="000000"/>
                <w:szCs w:val="21"/>
                <w:lang w:bidi="ar"/>
              </w:rPr>
            </w:pPr>
            <w:r>
              <w:rPr>
                <w:rFonts w:hint="eastAsia" w:ascii="宋体" w:hAnsi="宋体" w:cs="宋体"/>
                <w:color w:val="000000"/>
                <w:szCs w:val="21"/>
                <w:lang w:bidi="ar"/>
              </w:rPr>
              <w:t>7.1</w:t>
            </w:r>
          </w:p>
        </w:tc>
      </w:tr>
      <w:tr w14:paraId="1E196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14:paraId="06862C1F">
            <w:pPr>
              <w:widowControl/>
              <w:jc w:val="center"/>
              <w:rPr>
                <w:rFonts w:ascii="宋体" w:hAnsi="宋体" w:cs="宋体"/>
                <w:color w:val="000000"/>
                <w:szCs w:val="21"/>
                <w:lang w:bidi="ar"/>
              </w:rPr>
            </w:pPr>
            <w:r>
              <w:rPr>
                <w:rFonts w:hint="eastAsia" w:ascii="宋体" w:hAnsi="宋体" w:cs="宋体"/>
                <w:color w:val="000000"/>
                <w:szCs w:val="21"/>
                <w:lang w:bidi="ar"/>
              </w:rPr>
              <w:t>9</w:t>
            </w:r>
          </w:p>
        </w:tc>
        <w:tc>
          <w:tcPr>
            <w:tcW w:w="4982" w:type="dxa"/>
            <w:gridSpan w:val="2"/>
            <w:noWrap w:val="0"/>
            <w:vAlign w:val="center"/>
          </w:tcPr>
          <w:p w14:paraId="42193850">
            <w:pPr>
              <w:widowControl/>
              <w:ind w:firstLine="420"/>
              <w:jc w:val="center"/>
              <w:rPr>
                <w:rFonts w:hint="eastAsia" w:ascii="宋体" w:hAnsi="宋体" w:cs="宋体"/>
                <w:color w:val="000000"/>
                <w:szCs w:val="21"/>
                <w:lang w:bidi="ar"/>
              </w:rPr>
            </w:pPr>
            <w:r>
              <w:rPr>
                <w:rFonts w:hint="eastAsia" w:ascii="宋体" w:hAnsi="宋体" w:cs="宋体"/>
                <w:color w:val="000000"/>
                <w:szCs w:val="21"/>
                <w:lang w:bidi="ar"/>
              </w:rPr>
              <w:t>改善及稳定土路面</w:t>
            </w:r>
          </w:p>
        </w:tc>
        <w:tc>
          <w:tcPr>
            <w:tcW w:w="2841" w:type="dxa"/>
            <w:noWrap w:val="0"/>
            <w:vAlign w:val="center"/>
          </w:tcPr>
          <w:p w14:paraId="39E384A1">
            <w:pPr>
              <w:widowControl/>
              <w:ind w:firstLine="420"/>
              <w:jc w:val="center"/>
              <w:rPr>
                <w:rFonts w:hint="eastAsia" w:ascii="宋体" w:hAnsi="宋体" w:cs="宋体"/>
                <w:color w:val="000000"/>
                <w:szCs w:val="21"/>
                <w:lang w:bidi="ar"/>
              </w:rPr>
            </w:pPr>
            <w:r>
              <w:rPr>
                <w:rFonts w:hint="eastAsia" w:ascii="宋体" w:hAnsi="宋体" w:cs="宋体"/>
                <w:color w:val="000000"/>
                <w:szCs w:val="21"/>
                <w:lang w:bidi="ar"/>
              </w:rPr>
              <w:t>7.1</w:t>
            </w:r>
          </w:p>
        </w:tc>
      </w:tr>
    </w:tbl>
    <w:p w14:paraId="4459633C">
      <w:pPr>
        <w:keepNext w:val="0"/>
        <w:keepLines w:val="0"/>
        <w:pageBreakBefore w:val="0"/>
        <w:widowControl/>
        <w:spacing w:line="360" w:lineRule="auto"/>
        <w:ind w:firstLine="442"/>
        <w:jc w:val="left"/>
        <w:rPr>
          <w:sz w:val="22"/>
          <w:szCs w:val="28"/>
        </w:rPr>
      </w:pPr>
      <w:r>
        <w:rPr>
          <w:rFonts w:ascii="宋体" w:hAnsi="宋体" w:cs="宋体"/>
          <w:b/>
          <w:bCs/>
          <w:color w:val="000000"/>
          <w:sz w:val="22"/>
          <w:szCs w:val="22"/>
          <w:lang w:bidi="ar"/>
        </w:rPr>
        <w:t xml:space="preserve">2.3 路基构造物 </w:t>
      </w:r>
    </w:p>
    <w:p w14:paraId="594BD44E">
      <w:pPr>
        <w:keepNext w:val="0"/>
        <w:keepLines w:val="0"/>
        <w:pageBreakBefore w:val="0"/>
        <w:widowControl/>
        <w:spacing w:line="360" w:lineRule="auto"/>
        <w:ind w:firstLine="440"/>
        <w:jc w:val="left"/>
        <w:rPr>
          <w:sz w:val="22"/>
          <w:szCs w:val="28"/>
        </w:rPr>
      </w:pPr>
      <w:r>
        <w:rPr>
          <w:rFonts w:hint="eastAsia" w:ascii="宋体" w:hAnsi="宋体" w:cs="宋体"/>
          <w:color w:val="000000"/>
          <w:sz w:val="22"/>
          <w:szCs w:val="22"/>
          <w:lang w:bidi="ar"/>
        </w:rPr>
        <w:t xml:space="preserve">1. 路肩不清洁：路肩上有杂物、垃圾、堆积物及 15cm 以上的高草。 </w:t>
      </w:r>
    </w:p>
    <w:p w14:paraId="5ABD07BB">
      <w:pPr>
        <w:keepNext w:val="0"/>
        <w:keepLines w:val="0"/>
        <w:pageBreakBefore w:val="0"/>
        <w:widowControl/>
        <w:spacing w:line="360" w:lineRule="auto"/>
        <w:ind w:firstLine="440"/>
        <w:jc w:val="left"/>
        <w:rPr>
          <w:sz w:val="22"/>
          <w:szCs w:val="28"/>
        </w:rPr>
      </w:pPr>
      <w:r>
        <w:rPr>
          <w:rFonts w:hint="eastAsia" w:ascii="宋体" w:hAnsi="宋体" w:cs="宋体"/>
          <w:color w:val="000000"/>
          <w:sz w:val="22"/>
          <w:szCs w:val="22"/>
          <w:lang w:bidi="ar"/>
        </w:rPr>
        <w:t xml:space="preserve">2. 路肩不整齐：路肩与路面衔接不平顺，低于路面 2cm 以上（黑色硬化路肩低于 1cm）或高于路面；横坡小于路面横坡；不平整、不密实影响横向排水；路肩宽度小于设计宽度；路肩外缘不顺适，宽度差有 20cm 以上突变者。 </w:t>
      </w:r>
    </w:p>
    <w:p w14:paraId="70A10C72">
      <w:pPr>
        <w:keepNext w:val="0"/>
        <w:keepLines w:val="0"/>
        <w:pageBreakBefore w:val="0"/>
        <w:widowControl/>
        <w:spacing w:line="360" w:lineRule="auto"/>
        <w:ind w:firstLine="440"/>
        <w:jc w:val="left"/>
        <w:rPr>
          <w:sz w:val="22"/>
          <w:szCs w:val="28"/>
          <w:highlight w:val="none"/>
        </w:rPr>
      </w:pPr>
      <w:r>
        <w:rPr>
          <w:rFonts w:hint="eastAsia" w:ascii="宋体" w:hAnsi="宋体" w:cs="宋体"/>
          <w:color w:val="000000"/>
          <w:sz w:val="22"/>
          <w:szCs w:val="22"/>
          <w:lang w:bidi="ar"/>
        </w:rPr>
        <w:t>3. 水沟淤塞：边沟、</w:t>
      </w:r>
      <w:r>
        <w:rPr>
          <w:rFonts w:hint="eastAsia" w:ascii="宋体" w:hAnsi="宋体" w:cs="宋体"/>
          <w:color w:val="000000"/>
          <w:sz w:val="22"/>
          <w:szCs w:val="22"/>
          <w:highlight w:val="none"/>
          <w:lang w:bidi="ar"/>
        </w:rPr>
        <w:t xml:space="preserve">截水沟、排水沟有淤积影响排水者，以及应有边沟路段而无边沟者。 </w:t>
      </w:r>
    </w:p>
    <w:p w14:paraId="64F6597D">
      <w:pPr>
        <w:keepNext w:val="0"/>
        <w:keepLines w:val="0"/>
        <w:pageBreakBefore w:val="0"/>
        <w:widowControl/>
        <w:spacing w:line="360" w:lineRule="auto"/>
        <w:ind w:firstLine="440"/>
        <w:jc w:val="left"/>
        <w:rPr>
          <w:sz w:val="22"/>
          <w:szCs w:val="28"/>
          <w:highlight w:val="none"/>
        </w:rPr>
      </w:pPr>
      <w:r>
        <w:rPr>
          <w:rFonts w:hint="eastAsia" w:ascii="宋体" w:hAnsi="宋体" w:cs="宋体"/>
          <w:color w:val="000000"/>
          <w:sz w:val="22"/>
          <w:szCs w:val="22"/>
          <w:highlight w:val="none"/>
          <w:lang w:bidi="ar"/>
        </w:rPr>
        <w:t>4. 边坡坍塌：挖方边坡塌方 3</w:t>
      </w:r>
      <w:r>
        <w:rPr>
          <w:rFonts w:hint="eastAsia" w:ascii="宋体" w:hAnsi="宋体" w:cs="宋体"/>
          <w:color w:val="000000"/>
          <w:sz w:val="22"/>
          <w:szCs w:val="22"/>
          <w:highlight w:val="none"/>
          <w:lang w:val="en-US" w:eastAsia="zh-CN" w:bidi="ar"/>
        </w:rPr>
        <w:t>m³</w:t>
      </w:r>
      <w:r>
        <w:rPr>
          <w:rFonts w:hint="eastAsia" w:ascii="宋体" w:hAnsi="宋体" w:cs="宋体"/>
          <w:color w:val="000000"/>
          <w:sz w:val="22"/>
          <w:szCs w:val="22"/>
          <w:highlight w:val="none"/>
          <w:lang w:bidi="ar"/>
        </w:rPr>
        <w:t xml:space="preserve">以上，填方边坡有冲沟、缺口宽 30cm 以上；边坡坡度陡于设计坡度。 </w:t>
      </w:r>
    </w:p>
    <w:p w14:paraId="7233794A">
      <w:pPr>
        <w:keepNext w:val="0"/>
        <w:keepLines w:val="0"/>
        <w:pageBreakBefore w:val="0"/>
        <w:widowControl/>
        <w:spacing w:line="360" w:lineRule="auto"/>
        <w:ind w:firstLine="440"/>
        <w:jc w:val="left"/>
        <w:rPr>
          <w:sz w:val="22"/>
          <w:szCs w:val="28"/>
        </w:rPr>
      </w:pPr>
      <w:r>
        <w:rPr>
          <w:rFonts w:hint="eastAsia" w:ascii="宋体" w:hAnsi="宋体" w:cs="宋体"/>
          <w:color w:val="000000"/>
          <w:sz w:val="22"/>
          <w:szCs w:val="22"/>
          <w:lang w:bidi="ar"/>
        </w:rPr>
        <w:t xml:space="preserve">5. 构造物损坏：挡墙等圬工体断裂、沉陷、倾斜、局部塌陷、松动，较大面积沟缝脱落者。 </w:t>
      </w:r>
    </w:p>
    <w:p w14:paraId="604F2EAE">
      <w:pPr>
        <w:keepNext w:val="0"/>
        <w:keepLines w:val="0"/>
        <w:pageBreakBefore w:val="0"/>
        <w:widowControl/>
        <w:spacing w:line="360" w:lineRule="auto"/>
        <w:ind w:firstLine="442"/>
        <w:jc w:val="left"/>
        <w:rPr>
          <w:sz w:val="22"/>
          <w:szCs w:val="28"/>
        </w:rPr>
      </w:pPr>
      <w:r>
        <w:rPr>
          <w:rFonts w:ascii="宋体" w:hAnsi="宋体" w:cs="宋体"/>
          <w:b/>
          <w:bCs/>
          <w:color w:val="000000"/>
          <w:sz w:val="22"/>
          <w:szCs w:val="22"/>
          <w:lang w:bidi="ar"/>
        </w:rPr>
        <w:t xml:space="preserve">2.4 桥涵 </w:t>
      </w:r>
    </w:p>
    <w:p w14:paraId="2AA7A68B">
      <w:pPr>
        <w:keepNext w:val="0"/>
        <w:keepLines w:val="0"/>
        <w:pageBreakBefore w:val="0"/>
        <w:widowControl/>
        <w:spacing w:line="360" w:lineRule="auto"/>
        <w:ind w:firstLine="440"/>
        <w:jc w:val="left"/>
        <w:rPr>
          <w:sz w:val="22"/>
          <w:szCs w:val="28"/>
        </w:rPr>
      </w:pPr>
      <w:r>
        <w:rPr>
          <w:rFonts w:hint="eastAsia" w:ascii="宋体" w:hAnsi="宋体" w:cs="宋体"/>
          <w:color w:val="000000"/>
          <w:sz w:val="22"/>
          <w:szCs w:val="22"/>
          <w:lang w:bidi="ar"/>
        </w:rPr>
        <w:t xml:space="preserve">1. 桥头（涵顶）跳车：桥梁、过水路面衔接处不平及涵洞顶纵坡不适；桥梁伸缩缝养护不良，引起行车颠簸者，每跳车一次计病害一处。 </w:t>
      </w:r>
    </w:p>
    <w:p w14:paraId="02E76893">
      <w:pPr>
        <w:keepNext w:val="0"/>
        <w:keepLines w:val="0"/>
        <w:pageBreakBefore w:val="0"/>
        <w:widowControl/>
        <w:spacing w:line="360" w:lineRule="auto"/>
        <w:ind w:firstLine="440"/>
        <w:jc w:val="left"/>
        <w:rPr>
          <w:sz w:val="22"/>
          <w:szCs w:val="28"/>
        </w:rPr>
      </w:pPr>
      <w:r>
        <w:rPr>
          <w:rFonts w:hint="eastAsia" w:ascii="宋体" w:hAnsi="宋体" w:cs="宋体"/>
          <w:color w:val="000000"/>
          <w:sz w:val="22"/>
          <w:szCs w:val="22"/>
          <w:lang w:bidi="ar"/>
        </w:rPr>
        <w:t xml:space="preserve">2. 桥涵排水不良：桥面不整洁、泄水孔堵塞，影响桥面排水；涵洞（管）淤塞超过孔径 1/4 者。 </w:t>
      </w:r>
    </w:p>
    <w:p w14:paraId="18767087">
      <w:pPr>
        <w:keepNext w:val="0"/>
        <w:keepLines w:val="0"/>
        <w:pageBreakBefore w:val="0"/>
        <w:widowControl/>
        <w:spacing w:line="360" w:lineRule="auto"/>
        <w:ind w:firstLine="440"/>
        <w:jc w:val="left"/>
        <w:rPr>
          <w:sz w:val="22"/>
          <w:szCs w:val="28"/>
        </w:rPr>
      </w:pPr>
      <w:r>
        <w:rPr>
          <w:rFonts w:hint="eastAsia" w:ascii="宋体" w:hAnsi="宋体" w:cs="宋体"/>
          <w:color w:val="000000"/>
          <w:sz w:val="22"/>
          <w:szCs w:val="22"/>
          <w:lang w:bidi="ar"/>
        </w:rPr>
        <w:t xml:space="preserve">3. 构部件破损：人行道、栏杆、帽石、锥坡、端墙、墩台有缺件、断裂、破损及露筋等；伸缩缝、支座被杂物卡主或出现松动、锈蚀、老化现象。 </w:t>
      </w:r>
    </w:p>
    <w:p w14:paraId="451C152A">
      <w:pPr>
        <w:keepNext w:val="0"/>
        <w:keepLines w:val="0"/>
        <w:pageBreakBefore w:val="0"/>
        <w:widowControl/>
        <w:spacing w:line="360" w:lineRule="auto"/>
        <w:ind w:firstLine="442"/>
        <w:jc w:val="left"/>
        <w:rPr>
          <w:sz w:val="22"/>
          <w:szCs w:val="28"/>
        </w:rPr>
      </w:pPr>
      <w:r>
        <w:rPr>
          <w:rFonts w:ascii="宋体" w:hAnsi="宋体" w:cs="宋体"/>
          <w:b/>
          <w:bCs/>
          <w:color w:val="000000"/>
          <w:sz w:val="22"/>
          <w:szCs w:val="22"/>
          <w:lang w:bidi="ar"/>
        </w:rPr>
        <w:t xml:space="preserve">3. 沥青混凝土路面的养护 </w:t>
      </w:r>
    </w:p>
    <w:p w14:paraId="0A48D7D1">
      <w:pPr>
        <w:keepNext w:val="0"/>
        <w:keepLines w:val="0"/>
        <w:pageBreakBefore w:val="0"/>
        <w:widowControl/>
        <w:spacing w:line="360" w:lineRule="auto"/>
        <w:ind w:firstLine="442"/>
        <w:jc w:val="left"/>
        <w:rPr>
          <w:sz w:val="22"/>
          <w:szCs w:val="28"/>
        </w:rPr>
      </w:pPr>
      <w:r>
        <w:rPr>
          <w:rFonts w:ascii="宋体" w:hAnsi="宋体" w:cs="宋体"/>
          <w:b/>
          <w:bCs/>
          <w:color w:val="000000"/>
          <w:sz w:val="22"/>
          <w:szCs w:val="22"/>
          <w:lang w:bidi="ar"/>
        </w:rPr>
        <w:t xml:space="preserve">3.1 养护内容与质量标准 </w:t>
      </w:r>
    </w:p>
    <w:p w14:paraId="2C8DEC14">
      <w:pPr>
        <w:keepNext w:val="0"/>
        <w:keepLines w:val="0"/>
        <w:pageBreakBefore w:val="0"/>
        <w:widowControl/>
        <w:spacing w:line="360" w:lineRule="auto"/>
        <w:ind w:firstLine="442"/>
        <w:jc w:val="left"/>
        <w:rPr>
          <w:sz w:val="22"/>
          <w:szCs w:val="28"/>
        </w:rPr>
      </w:pPr>
      <w:r>
        <w:rPr>
          <w:rFonts w:ascii="宋体" w:hAnsi="宋体" w:cs="宋体"/>
          <w:b/>
          <w:bCs/>
          <w:color w:val="000000"/>
          <w:sz w:val="22"/>
          <w:szCs w:val="22"/>
          <w:lang w:bidi="ar"/>
        </w:rPr>
        <w:t xml:space="preserve">3.1.1 工作内容与要求 </w:t>
      </w:r>
    </w:p>
    <w:p w14:paraId="104789B2">
      <w:pPr>
        <w:keepNext w:val="0"/>
        <w:keepLines w:val="0"/>
        <w:pageBreakBefore w:val="0"/>
        <w:widowControl/>
        <w:spacing w:line="360" w:lineRule="auto"/>
        <w:ind w:firstLine="440"/>
        <w:jc w:val="left"/>
        <w:rPr>
          <w:sz w:val="22"/>
          <w:szCs w:val="28"/>
        </w:rPr>
      </w:pPr>
      <w:r>
        <w:rPr>
          <w:rFonts w:hint="eastAsia" w:ascii="宋体" w:hAnsi="宋体" w:cs="宋体"/>
          <w:color w:val="000000"/>
          <w:sz w:val="22"/>
          <w:szCs w:val="22"/>
          <w:lang w:bidi="ar"/>
        </w:rPr>
        <w:t xml:space="preserve">1. 沥青路面的养护工作可分为日常巡视与检查、小修保养，其具体内容有： </w:t>
      </w:r>
    </w:p>
    <w:p w14:paraId="4C0B8F67">
      <w:pPr>
        <w:keepNext w:val="0"/>
        <w:keepLines w:val="0"/>
        <w:pageBreakBefore w:val="0"/>
        <w:widowControl/>
        <w:spacing w:line="360" w:lineRule="auto"/>
        <w:ind w:firstLine="440"/>
        <w:jc w:val="left"/>
        <w:rPr>
          <w:sz w:val="22"/>
          <w:szCs w:val="28"/>
        </w:rPr>
      </w:pPr>
      <w:r>
        <w:rPr>
          <w:rFonts w:hint="eastAsia" w:ascii="宋体" w:hAnsi="宋体" w:cs="宋体"/>
          <w:color w:val="000000"/>
          <w:sz w:val="22"/>
          <w:szCs w:val="22"/>
          <w:lang w:bidi="ar"/>
        </w:rPr>
        <w:t xml:space="preserve">1) 日常巡视与检查 </w:t>
      </w:r>
    </w:p>
    <w:p w14:paraId="354870C3">
      <w:pPr>
        <w:keepNext w:val="0"/>
        <w:keepLines w:val="0"/>
        <w:pageBreakBefore w:val="0"/>
        <w:widowControl/>
        <w:spacing w:line="360" w:lineRule="auto"/>
        <w:ind w:firstLine="440"/>
        <w:jc w:val="left"/>
        <w:rPr>
          <w:sz w:val="22"/>
          <w:szCs w:val="28"/>
        </w:rPr>
      </w:pPr>
      <w:r>
        <w:rPr>
          <w:rFonts w:hint="eastAsia" w:ascii="宋体" w:hAnsi="宋体" w:cs="宋体"/>
          <w:color w:val="000000"/>
          <w:sz w:val="22"/>
          <w:szCs w:val="22"/>
          <w:lang w:bidi="ar"/>
        </w:rPr>
        <w:t xml:space="preserve">日常巡视与检查内容包括： </w:t>
      </w:r>
    </w:p>
    <w:p w14:paraId="0FBC15F0">
      <w:pPr>
        <w:keepNext w:val="0"/>
        <w:keepLines w:val="0"/>
        <w:pageBreakBefore w:val="0"/>
        <w:widowControl/>
        <w:spacing w:line="360" w:lineRule="auto"/>
        <w:ind w:firstLine="440"/>
        <w:jc w:val="left"/>
        <w:rPr>
          <w:sz w:val="22"/>
          <w:szCs w:val="28"/>
        </w:rPr>
      </w:pPr>
      <w:r>
        <w:rPr>
          <w:rFonts w:hint="eastAsia" w:ascii="宋体" w:hAnsi="宋体" w:cs="宋体"/>
          <w:color w:val="000000"/>
          <w:sz w:val="22"/>
          <w:szCs w:val="22"/>
          <w:lang w:bidi="ar"/>
        </w:rPr>
        <w:t xml:space="preserve">a. 路面上是否有可明显的坑槽、裂缝、拥包、沉陷、松散、车辙、泛油、波浪、麻面、冻胀、翻浆等病害，其危害程度及趋势； </w:t>
      </w:r>
    </w:p>
    <w:p w14:paraId="1B3BC61F">
      <w:pPr>
        <w:keepNext w:val="0"/>
        <w:keepLines w:val="0"/>
        <w:pageBreakBefore w:val="0"/>
        <w:widowControl/>
        <w:spacing w:line="360" w:lineRule="auto"/>
        <w:ind w:firstLine="440"/>
        <w:jc w:val="left"/>
        <w:rPr>
          <w:sz w:val="22"/>
          <w:szCs w:val="28"/>
        </w:rPr>
      </w:pPr>
      <w:r>
        <w:rPr>
          <w:rFonts w:hint="eastAsia" w:ascii="宋体" w:hAnsi="宋体" w:cs="宋体"/>
          <w:color w:val="000000"/>
          <w:sz w:val="22"/>
          <w:szCs w:val="22"/>
          <w:lang w:bidi="ar"/>
        </w:rPr>
        <w:t xml:space="preserve">b. 路面上是否有可能损坏路面或妨碍交通的堆积物等。 </w:t>
      </w:r>
    </w:p>
    <w:p w14:paraId="51388155">
      <w:pPr>
        <w:keepNext w:val="0"/>
        <w:keepLines w:val="0"/>
        <w:pageBreakBefore w:val="0"/>
        <w:widowControl/>
        <w:spacing w:line="360" w:lineRule="auto"/>
        <w:ind w:firstLine="440"/>
        <w:jc w:val="left"/>
        <w:rPr>
          <w:sz w:val="22"/>
          <w:szCs w:val="28"/>
        </w:rPr>
      </w:pPr>
      <w:r>
        <w:rPr>
          <w:rFonts w:hint="eastAsia" w:ascii="宋体" w:hAnsi="宋体" w:cs="宋体"/>
          <w:color w:val="000000"/>
          <w:sz w:val="22"/>
          <w:szCs w:val="22"/>
          <w:lang w:bidi="ar"/>
        </w:rPr>
        <w:t xml:space="preserve">2) 小修保养 </w:t>
      </w:r>
    </w:p>
    <w:p w14:paraId="69E491AF">
      <w:pPr>
        <w:keepNext w:val="0"/>
        <w:keepLines w:val="0"/>
        <w:pageBreakBefore w:val="0"/>
        <w:widowControl/>
        <w:spacing w:line="360" w:lineRule="auto"/>
        <w:ind w:firstLine="440"/>
        <w:jc w:val="left"/>
        <w:rPr>
          <w:sz w:val="22"/>
          <w:szCs w:val="28"/>
        </w:rPr>
      </w:pPr>
      <w:r>
        <w:rPr>
          <w:rFonts w:hint="eastAsia" w:ascii="宋体" w:hAnsi="宋体" w:cs="宋体"/>
          <w:color w:val="000000"/>
          <w:sz w:val="22"/>
          <w:szCs w:val="22"/>
          <w:lang w:bidi="ar"/>
        </w:rPr>
        <w:t xml:space="preserve">小修保养可分为日常保养和小修二项工作内容。 </w:t>
      </w:r>
    </w:p>
    <w:p w14:paraId="3D762DC4">
      <w:pPr>
        <w:keepNext w:val="0"/>
        <w:keepLines w:val="0"/>
        <w:pageBreakBefore w:val="0"/>
        <w:widowControl/>
        <w:spacing w:line="360" w:lineRule="auto"/>
        <w:ind w:firstLine="440"/>
        <w:jc w:val="left"/>
        <w:rPr>
          <w:sz w:val="22"/>
          <w:szCs w:val="28"/>
        </w:rPr>
      </w:pPr>
      <w:r>
        <w:rPr>
          <w:rFonts w:hint="eastAsia" w:ascii="宋体" w:hAnsi="宋体" w:cs="宋体"/>
          <w:color w:val="000000"/>
          <w:sz w:val="22"/>
          <w:szCs w:val="22"/>
          <w:lang w:bidi="ar"/>
        </w:rPr>
        <w:t xml:space="preserve">a. 日常保养的内容有： </w:t>
      </w:r>
    </w:p>
    <w:p w14:paraId="3482F983">
      <w:pPr>
        <w:keepNext w:val="0"/>
        <w:keepLines w:val="0"/>
        <w:pageBreakBefore w:val="0"/>
        <w:widowControl/>
        <w:spacing w:line="360" w:lineRule="auto"/>
        <w:ind w:firstLine="440"/>
        <w:jc w:val="left"/>
        <w:rPr>
          <w:sz w:val="22"/>
          <w:szCs w:val="28"/>
        </w:rPr>
      </w:pPr>
      <w:r>
        <w:rPr>
          <w:rFonts w:ascii="Wingdings" w:hAnsi="Wingdings" w:cs="Wingdings"/>
          <w:color w:val="000000"/>
          <w:sz w:val="22"/>
          <w:szCs w:val="22"/>
          <w:lang w:bidi="ar"/>
        </w:rPr>
        <w:t xml:space="preserve"> </w:t>
      </w:r>
      <w:r>
        <w:rPr>
          <w:rFonts w:hint="eastAsia" w:ascii="宋体" w:hAnsi="宋体" w:cs="宋体"/>
          <w:color w:val="000000"/>
          <w:sz w:val="22"/>
          <w:szCs w:val="22"/>
          <w:lang w:bidi="ar"/>
        </w:rPr>
        <w:t xml:space="preserve">清扫路面泥土、杂物； </w:t>
      </w:r>
    </w:p>
    <w:p w14:paraId="1AACF937">
      <w:pPr>
        <w:keepNext w:val="0"/>
        <w:keepLines w:val="0"/>
        <w:pageBreakBefore w:val="0"/>
        <w:widowControl/>
        <w:spacing w:line="360" w:lineRule="auto"/>
        <w:ind w:firstLine="440"/>
        <w:jc w:val="left"/>
        <w:rPr>
          <w:sz w:val="22"/>
          <w:szCs w:val="28"/>
        </w:rPr>
      </w:pPr>
      <w:r>
        <w:rPr>
          <w:rFonts w:ascii="Wingdings" w:hAnsi="Wingdings" w:cs="Wingdings"/>
          <w:color w:val="000000"/>
          <w:sz w:val="22"/>
          <w:szCs w:val="22"/>
          <w:lang w:bidi="ar"/>
        </w:rPr>
        <w:t xml:space="preserve"> </w:t>
      </w:r>
      <w:r>
        <w:rPr>
          <w:rFonts w:hint="eastAsia" w:ascii="宋体" w:hAnsi="宋体" w:cs="宋体"/>
          <w:color w:val="000000"/>
          <w:sz w:val="22"/>
          <w:szCs w:val="22"/>
          <w:lang w:bidi="ar"/>
        </w:rPr>
        <w:t xml:space="preserve">排除路面积水、积雪、积冰、积砂、铺防滑料等； </w:t>
      </w:r>
    </w:p>
    <w:p w14:paraId="2CE4D7B0">
      <w:pPr>
        <w:keepNext w:val="0"/>
        <w:keepLines w:val="0"/>
        <w:pageBreakBefore w:val="0"/>
        <w:widowControl/>
        <w:spacing w:line="360" w:lineRule="auto"/>
        <w:ind w:firstLine="440"/>
        <w:jc w:val="left"/>
        <w:rPr>
          <w:sz w:val="22"/>
          <w:szCs w:val="28"/>
        </w:rPr>
      </w:pPr>
      <w:r>
        <w:rPr>
          <w:rFonts w:ascii="Wingdings" w:hAnsi="Wingdings" w:cs="Wingdings"/>
          <w:color w:val="000000"/>
          <w:sz w:val="22"/>
          <w:szCs w:val="22"/>
          <w:lang w:bidi="ar"/>
        </w:rPr>
        <w:t xml:space="preserve"> </w:t>
      </w:r>
      <w:r>
        <w:rPr>
          <w:rFonts w:hint="eastAsia" w:ascii="宋体" w:hAnsi="宋体" w:cs="宋体"/>
          <w:color w:val="000000"/>
          <w:sz w:val="22"/>
          <w:szCs w:val="22"/>
          <w:lang w:bidi="ar"/>
        </w:rPr>
        <w:t xml:space="preserve">拦水带（路缘石）的刷白、修理； </w:t>
      </w:r>
    </w:p>
    <w:p w14:paraId="2531ED9A">
      <w:pPr>
        <w:keepNext w:val="0"/>
        <w:keepLines w:val="0"/>
        <w:pageBreakBefore w:val="0"/>
        <w:widowControl/>
        <w:spacing w:line="360" w:lineRule="auto"/>
        <w:ind w:firstLine="440"/>
        <w:jc w:val="left"/>
        <w:rPr>
          <w:sz w:val="22"/>
          <w:szCs w:val="28"/>
        </w:rPr>
      </w:pPr>
      <w:r>
        <w:rPr>
          <w:rFonts w:ascii="Wingdings" w:hAnsi="Wingdings" w:cs="Wingdings"/>
          <w:color w:val="000000"/>
          <w:sz w:val="22"/>
          <w:szCs w:val="22"/>
          <w:lang w:bidi="ar"/>
        </w:rPr>
        <w:t xml:space="preserve"> </w:t>
      </w:r>
      <w:r>
        <w:rPr>
          <w:rFonts w:hint="eastAsia" w:ascii="宋体" w:hAnsi="宋体" w:cs="宋体"/>
          <w:color w:val="000000"/>
          <w:sz w:val="22"/>
          <w:szCs w:val="22"/>
          <w:lang w:bidi="ar"/>
        </w:rPr>
        <w:t xml:space="preserve">清理边沟、维修护坡道、培土等。 </w:t>
      </w:r>
    </w:p>
    <w:p w14:paraId="35252BC8">
      <w:pPr>
        <w:keepNext w:val="0"/>
        <w:keepLines w:val="0"/>
        <w:pageBreakBefore w:val="0"/>
        <w:widowControl/>
        <w:spacing w:line="360" w:lineRule="auto"/>
        <w:ind w:firstLine="440"/>
        <w:jc w:val="left"/>
        <w:rPr>
          <w:sz w:val="22"/>
          <w:szCs w:val="28"/>
        </w:rPr>
      </w:pPr>
      <w:r>
        <w:rPr>
          <w:rFonts w:hint="eastAsia" w:ascii="宋体" w:hAnsi="宋体" w:cs="宋体"/>
          <w:color w:val="000000"/>
          <w:sz w:val="22"/>
          <w:szCs w:val="22"/>
          <w:lang w:bidi="ar"/>
        </w:rPr>
        <w:t xml:space="preserve">b. 小修的内容有： </w:t>
      </w:r>
    </w:p>
    <w:p w14:paraId="31BC2744">
      <w:pPr>
        <w:keepNext w:val="0"/>
        <w:keepLines w:val="0"/>
        <w:pageBreakBefore w:val="0"/>
        <w:widowControl/>
        <w:spacing w:line="360" w:lineRule="auto"/>
        <w:ind w:firstLine="440"/>
        <w:jc w:val="left"/>
        <w:rPr>
          <w:sz w:val="22"/>
          <w:szCs w:val="28"/>
        </w:rPr>
      </w:pPr>
      <w:r>
        <w:rPr>
          <w:rFonts w:ascii="Wingdings" w:hAnsi="Wingdings" w:cs="Wingdings"/>
          <w:color w:val="000000"/>
          <w:sz w:val="22"/>
          <w:szCs w:val="22"/>
          <w:lang w:bidi="ar"/>
        </w:rPr>
        <w:t xml:space="preserve"> </w:t>
      </w:r>
      <w:r>
        <w:rPr>
          <w:rFonts w:hint="eastAsia" w:ascii="宋体" w:hAnsi="宋体" w:cs="宋体"/>
          <w:color w:val="000000"/>
          <w:sz w:val="22"/>
          <w:szCs w:val="22"/>
          <w:lang w:bidi="ar"/>
        </w:rPr>
        <w:t xml:space="preserve">修补路面的泛油、拥包、轻微裂缝、横向裂缝、坑槽、沉陷、波浪、局部网裂、车辙、麻面、啃边等病害。 </w:t>
      </w:r>
    </w:p>
    <w:p w14:paraId="583D0726">
      <w:pPr>
        <w:keepNext w:val="0"/>
        <w:keepLines w:val="0"/>
        <w:pageBreakBefore w:val="0"/>
        <w:widowControl/>
        <w:spacing w:line="360" w:lineRule="auto"/>
        <w:ind w:firstLine="440"/>
        <w:jc w:val="left"/>
        <w:rPr>
          <w:sz w:val="22"/>
          <w:szCs w:val="28"/>
        </w:rPr>
      </w:pPr>
      <w:r>
        <w:rPr>
          <w:rFonts w:hint="eastAsia" w:ascii="宋体" w:hAnsi="宋体" w:cs="宋体"/>
          <w:color w:val="000000"/>
          <w:sz w:val="22"/>
          <w:szCs w:val="22"/>
          <w:lang w:bidi="ar"/>
        </w:rPr>
        <w:t xml:space="preserve">2. 沥青路面的小修保养应符合下列要求： </w:t>
      </w:r>
    </w:p>
    <w:p w14:paraId="6AA3CBD4">
      <w:pPr>
        <w:keepNext w:val="0"/>
        <w:keepLines w:val="0"/>
        <w:pageBreakBefore w:val="0"/>
        <w:widowControl/>
        <w:spacing w:line="360" w:lineRule="auto"/>
        <w:ind w:firstLine="440"/>
        <w:jc w:val="left"/>
        <w:rPr>
          <w:sz w:val="22"/>
          <w:szCs w:val="28"/>
        </w:rPr>
      </w:pPr>
      <w:r>
        <w:rPr>
          <w:rFonts w:hint="eastAsia" w:ascii="宋体" w:hAnsi="宋体" w:cs="宋体"/>
          <w:color w:val="000000"/>
          <w:sz w:val="22"/>
          <w:szCs w:val="22"/>
          <w:lang w:bidi="ar"/>
        </w:rPr>
        <w:t xml:space="preserve">1) 保证路面平整、横坡适度、线形顺直、清扫整洁、排水良好； </w:t>
      </w:r>
    </w:p>
    <w:p w14:paraId="2FAC4B79">
      <w:pPr>
        <w:keepNext w:val="0"/>
        <w:keepLines w:val="0"/>
        <w:pageBreakBefore w:val="0"/>
        <w:widowControl/>
        <w:spacing w:line="360" w:lineRule="auto"/>
        <w:ind w:firstLine="440"/>
        <w:jc w:val="left"/>
        <w:rPr>
          <w:sz w:val="22"/>
          <w:szCs w:val="28"/>
        </w:rPr>
      </w:pPr>
      <w:r>
        <w:rPr>
          <w:rFonts w:hint="eastAsia" w:ascii="宋体" w:hAnsi="宋体" w:cs="宋体"/>
          <w:color w:val="000000"/>
          <w:sz w:val="22"/>
          <w:szCs w:val="22"/>
          <w:lang w:bidi="ar"/>
        </w:rPr>
        <w:t xml:space="preserve">2) 加强巡路检查，掌握路面情况，及时排除有损路面的各种不良因素，发现路面初期病害及早维修。 </w:t>
      </w:r>
    </w:p>
    <w:p w14:paraId="60C6D110">
      <w:pPr>
        <w:keepNext w:val="0"/>
        <w:keepLines w:val="0"/>
        <w:pageBreakBefore w:val="0"/>
        <w:widowControl/>
        <w:spacing w:line="360" w:lineRule="auto"/>
        <w:ind w:firstLine="440"/>
        <w:jc w:val="left"/>
        <w:rPr>
          <w:sz w:val="22"/>
          <w:szCs w:val="28"/>
        </w:rPr>
      </w:pPr>
      <w:r>
        <w:rPr>
          <w:rFonts w:hint="eastAsia" w:ascii="宋体" w:hAnsi="宋体" w:cs="宋体"/>
          <w:color w:val="000000"/>
          <w:sz w:val="22"/>
          <w:szCs w:val="22"/>
          <w:lang w:bidi="ar"/>
        </w:rPr>
        <w:t xml:space="preserve">3. 应重视路面排水。及时修补沥青路面的坑槽和裂缝，防止地表水渗入基层；对已渗入基层的积水，应设纵横向盲沟排水，地下水位较高的在排水沟下面设置腹式盲沟排水，地下水位较高的在排水沟下面设置腹式盲沟；应加强路面排水设施的维修养护，保持良好的排水功能。 </w:t>
      </w:r>
    </w:p>
    <w:p w14:paraId="644486F8">
      <w:pPr>
        <w:keepNext w:val="0"/>
        <w:keepLines w:val="0"/>
        <w:pageBreakBefore w:val="0"/>
        <w:widowControl/>
        <w:spacing w:line="360" w:lineRule="auto"/>
        <w:ind w:firstLine="442"/>
        <w:jc w:val="left"/>
        <w:rPr>
          <w:sz w:val="22"/>
          <w:szCs w:val="28"/>
        </w:rPr>
      </w:pPr>
      <w:r>
        <w:rPr>
          <w:rFonts w:ascii="宋体" w:hAnsi="宋体" w:cs="宋体"/>
          <w:b/>
          <w:bCs/>
          <w:color w:val="000000"/>
          <w:sz w:val="22"/>
          <w:szCs w:val="22"/>
          <w:lang w:bidi="ar"/>
        </w:rPr>
        <w:t xml:space="preserve">3.1.2 养护质量标准 </w:t>
      </w:r>
    </w:p>
    <w:p w14:paraId="3C80D8D0">
      <w:pPr>
        <w:keepNext w:val="0"/>
        <w:keepLines w:val="0"/>
        <w:pageBreakBefore w:val="0"/>
        <w:widowControl/>
        <w:spacing w:line="360" w:lineRule="auto"/>
        <w:ind w:firstLine="440"/>
        <w:jc w:val="left"/>
        <w:rPr>
          <w:sz w:val="22"/>
          <w:szCs w:val="28"/>
        </w:rPr>
      </w:pPr>
      <w:r>
        <w:rPr>
          <w:rFonts w:hint="eastAsia" w:ascii="宋体" w:hAnsi="宋体" w:cs="宋体"/>
          <w:color w:val="000000"/>
          <w:sz w:val="22"/>
          <w:szCs w:val="22"/>
          <w:lang w:bidi="ar"/>
        </w:rPr>
        <w:t xml:space="preserve">1. 沥青路面养护质量标准 </w:t>
      </w:r>
    </w:p>
    <w:p w14:paraId="6FC2DAB1">
      <w:pPr>
        <w:keepNext w:val="0"/>
        <w:keepLines w:val="0"/>
        <w:pageBreakBefore w:val="0"/>
        <w:widowControl/>
        <w:spacing w:line="360" w:lineRule="auto"/>
        <w:ind w:firstLine="440"/>
        <w:jc w:val="left"/>
        <w:rPr>
          <w:sz w:val="22"/>
          <w:szCs w:val="28"/>
        </w:rPr>
      </w:pPr>
      <w:r>
        <w:rPr>
          <w:rFonts w:hint="eastAsia" w:ascii="宋体" w:hAnsi="宋体" w:cs="宋体"/>
          <w:color w:val="000000"/>
          <w:sz w:val="22"/>
          <w:szCs w:val="22"/>
          <w:lang w:bidi="ar"/>
        </w:rPr>
        <w:t>1. 沥青路面平整度、抗滑性能及路面状况的养护质量标准应符合表 3-1 的规定</w:t>
      </w:r>
    </w:p>
    <w:p w14:paraId="5EEE54CC">
      <w:pPr>
        <w:jc w:val="center"/>
        <w:rPr>
          <w:rFonts w:hint="eastAsia" w:ascii="宋体" w:hAnsi="宋体" w:cs="宋体"/>
          <w:color w:val="000000"/>
          <w:szCs w:val="21"/>
          <w:lang w:bidi="ar"/>
        </w:rPr>
      </w:pPr>
      <w:r>
        <w:rPr>
          <w:rFonts w:hint="eastAsia" w:ascii="宋体" w:hAnsi="宋体" w:cs="宋体"/>
          <w:color w:val="000000"/>
          <w:szCs w:val="21"/>
          <w:lang w:bidi="ar"/>
        </w:rPr>
        <w:t>平整度、抗滑性能及破损状况的养护质量标准 表 3-1</w:t>
      </w:r>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
        <w:gridCol w:w="1516"/>
        <w:gridCol w:w="1881"/>
        <w:gridCol w:w="2131"/>
        <w:gridCol w:w="2131"/>
      </w:tblGrid>
      <w:tr w14:paraId="18E57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3" w:type="dxa"/>
            <w:noWrap w:val="0"/>
            <w:vAlign w:val="center"/>
          </w:tcPr>
          <w:p w14:paraId="109BE9F0">
            <w:pPr>
              <w:keepNext w:val="0"/>
              <w:keepLines w:val="0"/>
              <w:pageBreakBefore w:val="0"/>
              <w:widowControl/>
              <w:spacing w:line="360" w:lineRule="auto"/>
              <w:jc w:val="center"/>
              <w:rPr>
                <w:rFonts w:hint="eastAsia" w:ascii="宋体" w:hAnsi="宋体" w:cs="宋体"/>
                <w:color w:val="000000"/>
                <w:szCs w:val="21"/>
                <w:lang w:bidi="ar"/>
              </w:rPr>
            </w:pPr>
            <w:r>
              <w:rPr>
                <w:rFonts w:hint="eastAsia" w:ascii="宋体" w:hAnsi="宋体" w:cs="宋体"/>
                <w:color w:val="000000"/>
                <w:szCs w:val="21"/>
                <w:lang w:bidi="ar"/>
              </w:rPr>
              <w:t>序号</w:t>
            </w:r>
          </w:p>
        </w:tc>
        <w:tc>
          <w:tcPr>
            <w:tcW w:w="3397" w:type="dxa"/>
            <w:gridSpan w:val="2"/>
            <w:noWrap w:val="0"/>
            <w:vAlign w:val="center"/>
          </w:tcPr>
          <w:p w14:paraId="5311A091">
            <w:pPr>
              <w:keepNext w:val="0"/>
              <w:keepLines w:val="0"/>
              <w:pageBreakBefore w:val="0"/>
              <w:widowControl/>
              <w:spacing w:line="360" w:lineRule="auto"/>
              <w:jc w:val="center"/>
              <w:rPr>
                <w:rFonts w:hint="eastAsia" w:ascii="宋体" w:hAnsi="宋体" w:cs="宋体"/>
                <w:color w:val="000000"/>
                <w:szCs w:val="21"/>
                <w:lang w:bidi="ar"/>
              </w:rPr>
            </w:pPr>
            <w:r>
              <w:rPr>
                <w:rFonts w:hint="eastAsia" w:ascii="宋体" w:hAnsi="宋体" w:cs="宋体"/>
                <w:color w:val="000000"/>
                <w:szCs w:val="21"/>
                <w:lang w:bidi="ar"/>
              </w:rPr>
              <w:t>项目</w:t>
            </w:r>
          </w:p>
        </w:tc>
        <w:tc>
          <w:tcPr>
            <w:tcW w:w="2131" w:type="dxa"/>
            <w:noWrap w:val="0"/>
            <w:vAlign w:val="center"/>
          </w:tcPr>
          <w:p w14:paraId="74AE5915">
            <w:pPr>
              <w:keepNext w:val="0"/>
              <w:keepLines w:val="0"/>
              <w:pageBreakBefore w:val="0"/>
              <w:widowControl/>
              <w:spacing w:line="360" w:lineRule="auto"/>
              <w:jc w:val="center"/>
              <w:rPr>
                <w:rFonts w:hint="eastAsia" w:ascii="宋体" w:hAnsi="宋体" w:cs="宋体"/>
                <w:color w:val="000000"/>
                <w:szCs w:val="21"/>
                <w:lang w:bidi="ar"/>
              </w:rPr>
            </w:pPr>
            <w:r>
              <w:rPr>
                <w:rFonts w:hint="eastAsia" w:ascii="宋体" w:hAnsi="宋体" w:cs="宋体"/>
                <w:color w:val="000000"/>
                <w:szCs w:val="21"/>
                <w:lang w:bidi="ar"/>
              </w:rPr>
              <w:t>高速公路、一级公路</w:t>
            </w:r>
          </w:p>
        </w:tc>
        <w:tc>
          <w:tcPr>
            <w:tcW w:w="2131" w:type="dxa"/>
            <w:noWrap w:val="0"/>
            <w:vAlign w:val="center"/>
          </w:tcPr>
          <w:p w14:paraId="5CEB65EF">
            <w:pPr>
              <w:keepNext w:val="0"/>
              <w:keepLines w:val="0"/>
              <w:pageBreakBefore w:val="0"/>
              <w:widowControl/>
              <w:spacing w:line="360" w:lineRule="auto"/>
              <w:jc w:val="center"/>
              <w:rPr>
                <w:rFonts w:hint="eastAsia" w:ascii="宋体" w:hAnsi="宋体" w:cs="宋体"/>
                <w:color w:val="000000"/>
                <w:szCs w:val="21"/>
                <w:lang w:bidi="ar"/>
              </w:rPr>
            </w:pPr>
            <w:r>
              <w:rPr>
                <w:rFonts w:hint="eastAsia" w:ascii="宋体" w:hAnsi="宋体" w:cs="宋体"/>
                <w:color w:val="000000"/>
                <w:szCs w:val="21"/>
                <w:lang w:bidi="ar"/>
              </w:rPr>
              <w:t>其它等级公路</w:t>
            </w:r>
          </w:p>
        </w:tc>
      </w:tr>
      <w:tr w14:paraId="14F2D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 w:hRule="atLeast"/>
          <w:jc w:val="center"/>
        </w:trPr>
        <w:tc>
          <w:tcPr>
            <w:tcW w:w="863" w:type="dxa"/>
            <w:vMerge w:val="restart"/>
            <w:noWrap w:val="0"/>
            <w:vAlign w:val="center"/>
          </w:tcPr>
          <w:p w14:paraId="673F433A">
            <w:pPr>
              <w:widowControl/>
              <w:jc w:val="center"/>
              <w:rPr>
                <w:rFonts w:ascii="宋体" w:hAnsi="宋体" w:cs="宋体"/>
                <w:color w:val="000000"/>
                <w:szCs w:val="21"/>
                <w:lang w:bidi="ar"/>
              </w:rPr>
            </w:pPr>
            <w:r>
              <w:rPr>
                <w:rFonts w:hint="eastAsia" w:ascii="宋体" w:hAnsi="宋体" w:cs="宋体"/>
                <w:color w:val="000000"/>
                <w:szCs w:val="21"/>
                <w:lang w:bidi="ar"/>
              </w:rPr>
              <w:t>1</w:t>
            </w:r>
          </w:p>
        </w:tc>
        <w:tc>
          <w:tcPr>
            <w:tcW w:w="1516" w:type="dxa"/>
            <w:vMerge w:val="restart"/>
            <w:noWrap w:val="0"/>
            <w:vAlign w:val="center"/>
          </w:tcPr>
          <w:p w14:paraId="34635929">
            <w:pPr>
              <w:widowControl/>
              <w:jc w:val="center"/>
              <w:rPr>
                <w:rFonts w:hint="eastAsia" w:ascii="宋体" w:hAnsi="宋体" w:cs="宋体"/>
                <w:color w:val="000000"/>
                <w:szCs w:val="21"/>
                <w:lang w:bidi="ar"/>
              </w:rPr>
            </w:pPr>
            <w:r>
              <w:rPr>
                <w:rFonts w:hint="eastAsia" w:ascii="宋体" w:hAnsi="宋体" w:cs="宋体"/>
                <w:color w:val="000000"/>
                <w:szCs w:val="21"/>
                <w:lang w:bidi="ar"/>
              </w:rPr>
              <w:t>平整度（mm）</w:t>
            </w:r>
          </w:p>
        </w:tc>
        <w:tc>
          <w:tcPr>
            <w:tcW w:w="1881" w:type="dxa"/>
            <w:noWrap w:val="0"/>
            <w:vAlign w:val="center"/>
          </w:tcPr>
          <w:p w14:paraId="2C1C187B">
            <w:pPr>
              <w:widowControl/>
              <w:jc w:val="center"/>
              <w:rPr>
                <w:rFonts w:hint="eastAsia" w:ascii="宋体" w:hAnsi="宋体" w:cs="宋体"/>
                <w:color w:val="000000"/>
                <w:szCs w:val="21"/>
                <w:lang w:bidi="ar"/>
              </w:rPr>
            </w:pPr>
            <w:r>
              <w:rPr>
                <w:rFonts w:hint="eastAsia" w:ascii="宋体" w:hAnsi="宋体" w:cs="宋体"/>
                <w:color w:val="000000"/>
                <w:szCs w:val="21"/>
                <w:lang w:bidi="ar"/>
              </w:rPr>
              <w:t>平整度仪（σ）</w:t>
            </w:r>
          </w:p>
        </w:tc>
        <w:tc>
          <w:tcPr>
            <w:tcW w:w="2131" w:type="dxa"/>
            <w:noWrap w:val="0"/>
            <w:vAlign w:val="center"/>
          </w:tcPr>
          <w:p w14:paraId="075C78D5">
            <w:pPr>
              <w:widowControl/>
              <w:jc w:val="center"/>
              <w:rPr>
                <w:rFonts w:hint="eastAsia" w:ascii="宋体" w:hAnsi="宋体" w:cs="宋体"/>
                <w:color w:val="000000"/>
                <w:szCs w:val="21"/>
                <w:lang w:bidi="ar"/>
              </w:rPr>
            </w:pPr>
            <w:r>
              <w:rPr>
                <w:rFonts w:hint="eastAsia" w:ascii="宋体" w:hAnsi="宋体" w:cs="宋体"/>
                <w:color w:val="000000"/>
                <w:szCs w:val="21"/>
                <w:lang w:bidi="ar"/>
              </w:rPr>
              <w:t>≤3.5</w:t>
            </w:r>
          </w:p>
        </w:tc>
        <w:tc>
          <w:tcPr>
            <w:tcW w:w="2131" w:type="dxa"/>
            <w:noWrap w:val="0"/>
            <w:vAlign w:val="center"/>
          </w:tcPr>
          <w:p w14:paraId="585799F2">
            <w:pPr>
              <w:widowControl/>
              <w:jc w:val="center"/>
              <w:rPr>
                <w:rFonts w:hint="eastAsia" w:ascii="宋体" w:hAnsi="宋体" w:cs="宋体"/>
                <w:color w:val="000000"/>
                <w:szCs w:val="21"/>
                <w:lang w:bidi="ar"/>
              </w:rPr>
            </w:pPr>
            <w:r>
              <w:rPr>
                <w:rFonts w:hint="eastAsia" w:ascii="宋体" w:hAnsi="宋体" w:cs="宋体"/>
                <w:color w:val="000000"/>
                <w:szCs w:val="21"/>
                <w:lang w:bidi="ar"/>
              </w:rPr>
              <w:t>≤4.5</w:t>
            </w:r>
          </w:p>
        </w:tc>
      </w:tr>
      <w:tr w14:paraId="3E670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 w:hRule="atLeast"/>
          <w:jc w:val="center"/>
        </w:trPr>
        <w:tc>
          <w:tcPr>
            <w:tcW w:w="863" w:type="dxa"/>
            <w:vMerge w:val="continue"/>
            <w:noWrap w:val="0"/>
            <w:vAlign w:val="center"/>
          </w:tcPr>
          <w:p w14:paraId="345156D9">
            <w:pPr>
              <w:widowControl/>
              <w:jc w:val="center"/>
            </w:pPr>
          </w:p>
        </w:tc>
        <w:tc>
          <w:tcPr>
            <w:tcW w:w="1516" w:type="dxa"/>
            <w:vMerge w:val="continue"/>
            <w:noWrap w:val="0"/>
            <w:vAlign w:val="center"/>
          </w:tcPr>
          <w:p w14:paraId="2147023C">
            <w:pPr>
              <w:widowControl/>
              <w:jc w:val="center"/>
            </w:pPr>
          </w:p>
        </w:tc>
        <w:tc>
          <w:tcPr>
            <w:tcW w:w="1881" w:type="dxa"/>
            <w:noWrap w:val="0"/>
            <w:vAlign w:val="center"/>
          </w:tcPr>
          <w:p w14:paraId="3B36680D">
            <w:pPr>
              <w:widowControl/>
              <w:jc w:val="center"/>
              <w:rPr>
                <w:rFonts w:hint="eastAsia" w:ascii="宋体" w:hAnsi="宋体" w:cs="宋体"/>
                <w:color w:val="000000"/>
                <w:szCs w:val="21"/>
                <w:lang w:bidi="ar"/>
              </w:rPr>
            </w:pPr>
            <w:r>
              <w:rPr>
                <w:rFonts w:hint="eastAsia" w:ascii="宋体" w:hAnsi="宋体" w:cs="宋体"/>
                <w:color w:val="000000"/>
                <w:szCs w:val="21"/>
                <w:lang w:bidi="ar"/>
              </w:rPr>
              <w:t>三米直尺（h）</w:t>
            </w:r>
          </w:p>
        </w:tc>
        <w:tc>
          <w:tcPr>
            <w:tcW w:w="2131" w:type="dxa"/>
            <w:noWrap w:val="0"/>
            <w:vAlign w:val="center"/>
          </w:tcPr>
          <w:p w14:paraId="3BB86BCF">
            <w:pPr>
              <w:widowControl/>
              <w:jc w:val="center"/>
              <w:rPr>
                <w:rFonts w:hint="eastAsia" w:ascii="宋体" w:hAnsi="宋体" w:cs="宋体"/>
                <w:color w:val="000000"/>
                <w:szCs w:val="21"/>
                <w:lang w:bidi="ar"/>
              </w:rPr>
            </w:pPr>
            <w:r>
              <w:rPr>
                <w:rFonts w:hint="eastAsia" w:ascii="宋体" w:hAnsi="宋体" w:cs="宋体"/>
                <w:color w:val="000000"/>
                <w:szCs w:val="21"/>
                <w:lang w:bidi="ar"/>
              </w:rPr>
              <w:t>≤7</w:t>
            </w:r>
          </w:p>
        </w:tc>
        <w:tc>
          <w:tcPr>
            <w:tcW w:w="2131" w:type="dxa"/>
            <w:noWrap w:val="0"/>
            <w:vAlign w:val="center"/>
          </w:tcPr>
          <w:p w14:paraId="0D3ADAED">
            <w:pPr>
              <w:widowControl/>
              <w:jc w:val="center"/>
              <w:rPr>
                <w:rFonts w:hint="eastAsia" w:ascii="宋体" w:hAnsi="宋体" w:cs="宋体"/>
                <w:color w:val="000000"/>
                <w:szCs w:val="21"/>
                <w:lang w:bidi="ar"/>
              </w:rPr>
            </w:pPr>
            <w:r>
              <w:rPr>
                <w:rFonts w:hint="eastAsia" w:ascii="宋体" w:hAnsi="宋体" w:cs="宋体"/>
                <w:color w:val="000000"/>
                <w:szCs w:val="21"/>
                <w:lang w:bidi="ar"/>
              </w:rPr>
              <w:t>≤10</w:t>
            </w:r>
          </w:p>
        </w:tc>
      </w:tr>
      <w:tr w14:paraId="22D0B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 w:hRule="atLeast"/>
          <w:jc w:val="center"/>
        </w:trPr>
        <w:tc>
          <w:tcPr>
            <w:tcW w:w="863" w:type="dxa"/>
            <w:vMerge w:val="continue"/>
            <w:noWrap w:val="0"/>
            <w:vAlign w:val="center"/>
          </w:tcPr>
          <w:p w14:paraId="20AEC5F8">
            <w:pPr>
              <w:widowControl/>
              <w:jc w:val="center"/>
              <w:rPr>
                <w:rFonts w:hint="eastAsia" w:ascii="宋体" w:hAnsi="宋体" w:cs="宋体"/>
                <w:color w:val="000000"/>
                <w:szCs w:val="21"/>
                <w:lang w:bidi="ar"/>
              </w:rPr>
            </w:pPr>
          </w:p>
        </w:tc>
        <w:tc>
          <w:tcPr>
            <w:tcW w:w="1516" w:type="dxa"/>
            <w:vMerge w:val="continue"/>
            <w:noWrap w:val="0"/>
            <w:vAlign w:val="center"/>
          </w:tcPr>
          <w:p w14:paraId="5BFDB96B">
            <w:pPr>
              <w:widowControl/>
              <w:jc w:val="center"/>
              <w:rPr>
                <w:rFonts w:hint="eastAsia" w:ascii="宋体" w:hAnsi="宋体" w:cs="宋体"/>
                <w:color w:val="000000"/>
                <w:szCs w:val="21"/>
                <w:lang w:bidi="ar"/>
              </w:rPr>
            </w:pPr>
          </w:p>
        </w:tc>
        <w:tc>
          <w:tcPr>
            <w:tcW w:w="1881" w:type="dxa"/>
            <w:noWrap w:val="0"/>
            <w:vAlign w:val="center"/>
          </w:tcPr>
          <w:p w14:paraId="57E8CAE7">
            <w:pPr>
              <w:widowControl/>
              <w:jc w:val="center"/>
              <w:rPr>
                <w:rFonts w:hint="eastAsia" w:ascii="宋体" w:hAnsi="宋体" w:cs="宋体"/>
                <w:color w:val="000000"/>
                <w:szCs w:val="21"/>
                <w:lang w:bidi="ar"/>
              </w:rPr>
            </w:pPr>
            <w:r>
              <w:rPr>
                <w:rFonts w:hint="eastAsia" w:ascii="宋体" w:hAnsi="宋体" w:cs="宋体"/>
                <w:color w:val="000000"/>
                <w:szCs w:val="21"/>
                <w:lang w:bidi="ar"/>
              </w:rPr>
              <w:t>Irl（mkm）</w:t>
            </w:r>
          </w:p>
        </w:tc>
        <w:tc>
          <w:tcPr>
            <w:tcW w:w="2131" w:type="dxa"/>
            <w:noWrap w:val="0"/>
            <w:vAlign w:val="center"/>
          </w:tcPr>
          <w:p w14:paraId="7865F1D5">
            <w:pPr>
              <w:widowControl/>
              <w:jc w:val="center"/>
              <w:rPr>
                <w:rFonts w:hint="eastAsia" w:ascii="宋体" w:hAnsi="宋体" w:cs="宋体"/>
                <w:color w:val="000000"/>
                <w:szCs w:val="21"/>
                <w:lang w:bidi="ar"/>
              </w:rPr>
            </w:pPr>
            <w:r>
              <w:rPr>
                <w:rFonts w:hint="eastAsia" w:ascii="宋体" w:hAnsi="宋体" w:cs="宋体"/>
                <w:color w:val="000000"/>
                <w:szCs w:val="21"/>
                <w:lang w:bidi="ar"/>
              </w:rPr>
              <w:t>≤6</w:t>
            </w:r>
          </w:p>
        </w:tc>
        <w:tc>
          <w:tcPr>
            <w:tcW w:w="2131" w:type="dxa"/>
            <w:noWrap w:val="0"/>
            <w:vAlign w:val="center"/>
          </w:tcPr>
          <w:p w14:paraId="3F795308">
            <w:pPr>
              <w:widowControl/>
              <w:jc w:val="center"/>
              <w:rPr>
                <w:rFonts w:hint="eastAsia" w:ascii="宋体" w:hAnsi="宋体" w:cs="宋体"/>
                <w:color w:val="000000"/>
                <w:szCs w:val="21"/>
                <w:lang w:bidi="ar"/>
              </w:rPr>
            </w:pPr>
            <w:r>
              <w:rPr>
                <w:rFonts w:hint="eastAsia" w:ascii="宋体" w:hAnsi="宋体" w:cs="宋体"/>
                <w:color w:val="000000"/>
                <w:szCs w:val="21"/>
                <w:lang w:bidi="ar"/>
              </w:rPr>
              <w:t>≤8</w:t>
            </w:r>
          </w:p>
        </w:tc>
      </w:tr>
      <w:tr w14:paraId="28380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863" w:type="dxa"/>
            <w:vMerge w:val="restart"/>
            <w:noWrap w:val="0"/>
            <w:vAlign w:val="center"/>
          </w:tcPr>
          <w:p w14:paraId="571B3963">
            <w:pPr>
              <w:widowControl/>
              <w:jc w:val="center"/>
              <w:rPr>
                <w:rFonts w:ascii="宋体" w:hAnsi="宋体" w:cs="宋体"/>
                <w:color w:val="000000"/>
                <w:szCs w:val="21"/>
                <w:lang w:bidi="ar"/>
              </w:rPr>
            </w:pPr>
            <w:r>
              <w:rPr>
                <w:rFonts w:hint="eastAsia" w:ascii="宋体" w:hAnsi="宋体" w:cs="宋体"/>
                <w:color w:val="000000"/>
                <w:szCs w:val="21"/>
                <w:lang w:bidi="ar"/>
              </w:rPr>
              <w:t>2</w:t>
            </w:r>
          </w:p>
        </w:tc>
        <w:tc>
          <w:tcPr>
            <w:tcW w:w="1516" w:type="dxa"/>
            <w:vMerge w:val="restart"/>
            <w:noWrap w:val="0"/>
            <w:vAlign w:val="center"/>
          </w:tcPr>
          <w:p w14:paraId="235CABC5">
            <w:pPr>
              <w:widowControl/>
              <w:jc w:val="center"/>
              <w:rPr>
                <w:rFonts w:hint="eastAsia" w:ascii="宋体" w:hAnsi="宋体" w:cs="宋体"/>
                <w:color w:val="000000"/>
                <w:szCs w:val="21"/>
                <w:lang w:bidi="ar"/>
              </w:rPr>
            </w:pPr>
            <w:r>
              <w:rPr>
                <w:rFonts w:hint="eastAsia" w:ascii="宋体" w:hAnsi="宋体" w:cs="宋体"/>
                <w:color w:val="000000"/>
                <w:szCs w:val="21"/>
                <w:lang w:bidi="ar"/>
              </w:rPr>
              <w:t>抗滑性能</w:t>
            </w:r>
          </w:p>
        </w:tc>
        <w:tc>
          <w:tcPr>
            <w:tcW w:w="1881" w:type="dxa"/>
            <w:noWrap w:val="0"/>
            <w:vAlign w:val="center"/>
          </w:tcPr>
          <w:p w14:paraId="7D3B72C4">
            <w:pPr>
              <w:widowControl/>
              <w:jc w:val="center"/>
              <w:rPr>
                <w:rFonts w:hint="eastAsia" w:ascii="宋体" w:hAnsi="宋体" w:cs="宋体"/>
                <w:color w:val="000000"/>
                <w:szCs w:val="21"/>
                <w:lang w:bidi="ar"/>
              </w:rPr>
            </w:pPr>
            <w:r>
              <w:rPr>
                <w:rFonts w:hint="eastAsia" w:ascii="宋体" w:hAnsi="宋体" w:cs="宋体"/>
                <w:color w:val="000000"/>
                <w:szCs w:val="21"/>
                <w:lang w:bidi="ar"/>
              </w:rPr>
              <w:t>横向力系数 SFC</w:t>
            </w:r>
          </w:p>
        </w:tc>
        <w:tc>
          <w:tcPr>
            <w:tcW w:w="2131" w:type="dxa"/>
            <w:noWrap w:val="0"/>
            <w:vAlign w:val="center"/>
          </w:tcPr>
          <w:p w14:paraId="19F777C9">
            <w:pPr>
              <w:widowControl/>
              <w:jc w:val="center"/>
              <w:rPr>
                <w:rFonts w:hint="eastAsia" w:ascii="宋体" w:hAnsi="宋体" w:cs="宋体"/>
                <w:color w:val="000000"/>
                <w:szCs w:val="21"/>
                <w:lang w:bidi="ar"/>
              </w:rPr>
            </w:pPr>
            <w:r>
              <w:rPr>
                <w:rFonts w:hint="eastAsia" w:ascii="宋体" w:hAnsi="宋体" w:cs="宋体"/>
                <w:color w:val="000000"/>
                <w:szCs w:val="21"/>
                <w:lang w:bidi="ar"/>
              </w:rPr>
              <w:t>≥40</w:t>
            </w:r>
          </w:p>
        </w:tc>
        <w:tc>
          <w:tcPr>
            <w:tcW w:w="2131" w:type="dxa"/>
            <w:noWrap w:val="0"/>
            <w:vAlign w:val="center"/>
          </w:tcPr>
          <w:p w14:paraId="40F1F091">
            <w:pPr>
              <w:widowControl/>
              <w:jc w:val="center"/>
              <w:rPr>
                <w:rFonts w:hint="eastAsia" w:ascii="宋体" w:hAnsi="宋体" w:cs="宋体"/>
                <w:color w:val="000000"/>
                <w:szCs w:val="21"/>
                <w:lang w:bidi="ar"/>
              </w:rPr>
            </w:pPr>
            <w:r>
              <w:rPr>
                <w:rFonts w:hint="eastAsia" w:ascii="宋体" w:hAnsi="宋体" w:cs="宋体"/>
                <w:color w:val="000000"/>
                <w:szCs w:val="21"/>
                <w:lang w:bidi="ar"/>
              </w:rPr>
              <w:t>≥30</w:t>
            </w:r>
          </w:p>
        </w:tc>
      </w:tr>
      <w:tr w14:paraId="2391C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863" w:type="dxa"/>
            <w:vMerge w:val="continue"/>
            <w:noWrap w:val="0"/>
            <w:vAlign w:val="center"/>
          </w:tcPr>
          <w:p w14:paraId="2F07AA65">
            <w:pPr>
              <w:widowControl/>
              <w:jc w:val="center"/>
            </w:pPr>
          </w:p>
        </w:tc>
        <w:tc>
          <w:tcPr>
            <w:tcW w:w="1516" w:type="dxa"/>
            <w:vMerge w:val="continue"/>
            <w:noWrap w:val="0"/>
            <w:vAlign w:val="center"/>
          </w:tcPr>
          <w:p w14:paraId="569A7FBA">
            <w:pPr>
              <w:widowControl/>
              <w:jc w:val="center"/>
            </w:pPr>
          </w:p>
        </w:tc>
        <w:tc>
          <w:tcPr>
            <w:tcW w:w="1881" w:type="dxa"/>
            <w:noWrap w:val="0"/>
            <w:vAlign w:val="center"/>
          </w:tcPr>
          <w:p w14:paraId="2B6CBBBE">
            <w:pPr>
              <w:widowControl/>
              <w:jc w:val="center"/>
              <w:rPr>
                <w:rFonts w:hint="eastAsia" w:ascii="宋体" w:hAnsi="宋体" w:cs="宋体"/>
                <w:color w:val="000000"/>
                <w:szCs w:val="21"/>
                <w:lang w:bidi="ar"/>
              </w:rPr>
            </w:pPr>
            <w:r>
              <w:rPr>
                <w:rFonts w:hint="eastAsia" w:ascii="宋体" w:hAnsi="宋体" w:cs="宋体"/>
                <w:color w:val="000000"/>
                <w:szCs w:val="21"/>
                <w:lang w:bidi="ar"/>
              </w:rPr>
              <w:t>摆式仪摆值 BPN</w:t>
            </w:r>
          </w:p>
        </w:tc>
        <w:tc>
          <w:tcPr>
            <w:tcW w:w="2131" w:type="dxa"/>
            <w:noWrap w:val="0"/>
            <w:vAlign w:val="center"/>
          </w:tcPr>
          <w:p w14:paraId="46B8A9D2">
            <w:pPr>
              <w:widowControl/>
              <w:jc w:val="center"/>
              <w:rPr>
                <w:rFonts w:hint="eastAsia" w:ascii="宋体" w:hAnsi="宋体" w:cs="宋体"/>
                <w:color w:val="000000"/>
                <w:szCs w:val="21"/>
                <w:lang w:bidi="ar"/>
              </w:rPr>
            </w:pPr>
            <w:r>
              <w:rPr>
                <w:rFonts w:hint="eastAsia" w:ascii="宋体" w:hAnsi="宋体" w:cs="宋体"/>
                <w:color w:val="000000"/>
                <w:szCs w:val="21"/>
                <w:lang w:bidi="ar"/>
              </w:rPr>
              <w:t>-</w:t>
            </w:r>
          </w:p>
        </w:tc>
        <w:tc>
          <w:tcPr>
            <w:tcW w:w="2131" w:type="dxa"/>
            <w:noWrap w:val="0"/>
            <w:vAlign w:val="center"/>
          </w:tcPr>
          <w:p w14:paraId="67D4D04E">
            <w:pPr>
              <w:widowControl/>
              <w:jc w:val="center"/>
              <w:rPr>
                <w:rFonts w:hint="eastAsia" w:ascii="宋体" w:hAnsi="宋体" w:cs="宋体"/>
                <w:color w:val="000000"/>
                <w:szCs w:val="21"/>
                <w:lang w:bidi="ar"/>
              </w:rPr>
            </w:pPr>
            <w:r>
              <w:rPr>
                <w:rFonts w:hint="eastAsia" w:ascii="宋体" w:hAnsi="宋体" w:cs="宋体"/>
                <w:color w:val="000000"/>
                <w:szCs w:val="21"/>
                <w:lang w:bidi="ar"/>
              </w:rPr>
              <w:t>≥32</w:t>
            </w:r>
          </w:p>
        </w:tc>
      </w:tr>
      <w:tr w14:paraId="5A57E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3" w:type="dxa"/>
            <w:noWrap w:val="0"/>
            <w:vAlign w:val="center"/>
          </w:tcPr>
          <w:p w14:paraId="5CBC6175">
            <w:pPr>
              <w:widowControl/>
              <w:jc w:val="center"/>
              <w:rPr>
                <w:rFonts w:ascii="宋体" w:hAnsi="宋体" w:cs="宋体"/>
                <w:color w:val="000000"/>
                <w:szCs w:val="21"/>
                <w:lang w:bidi="ar"/>
              </w:rPr>
            </w:pPr>
            <w:r>
              <w:rPr>
                <w:rFonts w:hint="eastAsia" w:ascii="宋体" w:hAnsi="宋体" w:cs="宋体"/>
                <w:color w:val="000000"/>
                <w:szCs w:val="21"/>
                <w:lang w:bidi="ar"/>
              </w:rPr>
              <w:t>3</w:t>
            </w:r>
          </w:p>
        </w:tc>
        <w:tc>
          <w:tcPr>
            <w:tcW w:w="3397" w:type="dxa"/>
            <w:gridSpan w:val="2"/>
            <w:noWrap w:val="0"/>
            <w:vAlign w:val="center"/>
          </w:tcPr>
          <w:p w14:paraId="3D707863">
            <w:pPr>
              <w:widowControl/>
              <w:jc w:val="center"/>
              <w:rPr>
                <w:rFonts w:hint="eastAsia" w:ascii="宋体" w:hAnsi="宋体" w:cs="宋体"/>
                <w:color w:val="000000"/>
                <w:szCs w:val="21"/>
                <w:lang w:bidi="ar"/>
              </w:rPr>
            </w:pPr>
            <w:r>
              <w:rPr>
                <w:rFonts w:hint="eastAsia" w:ascii="宋体" w:hAnsi="宋体" w:cs="宋体"/>
                <w:color w:val="000000"/>
                <w:szCs w:val="21"/>
                <w:lang w:bidi="ar"/>
              </w:rPr>
              <w:t>路面状况指数 PCI</w:t>
            </w:r>
          </w:p>
        </w:tc>
        <w:tc>
          <w:tcPr>
            <w:tcW w:w="2131" w:type="dxa"/>
            <w:noWrap w:val="0"/>
            <w:vAlign w:val="center"/>
          </w:tcPr>
          <w:p w14:paraId="5D1E8808">
            <w:pPr>
              <w:widowControl/>
              <w:jc w:val="center"/>
              <w:rPr>
                <w:rFonts w:hint="eastAsia" w:ascii="宋体" w:hAnsi="宋体" w:cs="宋体"/>
                <w:color w:val="000000"/>
                <w:szCs w:val="21"/>
                <w:lang w:bidi="ar"/>
              </w:rPr>
            </w:pPr>
            <w:r>
              <w:rPr>
                <w:rFonts w:hint="eastAsia" w:ascii="宋体" w:hAnsi="宋体" w:cs="宋体"/>
                <w:color w:val="000000"/>
                <w:szCs w:val="21"/>
                <w:lang w:bidi="ar"/>
              </w:rPr>
              <w:t>≥70</w:t>
            </w:r>
          </w:p>
        </w:tc>
        <w:tc>
          <w:tcPr>
            <w:tcW w:w="2131" w:type="dxa"/>
            <w:noWrap w:val="0"/>
            <w:vAlign w:val="center"/>
          </w:tcPr>
          <w:p w14:paraId="1E60B5B6">
            <w:pPr>
              <w:widowControl/>
              <w:jc w:val="center"/>
              <w:rPr>
                <w:rFonts w:ascii="宋体" w:hAnsi="宋体" w:cs="宋体"/>
                <w:color w:val="000000"/>
                <w:szCs w:val="21"/>
                <w:lang w:bidi="ar"/>
              </w:rPr>
            </w:pPr>
            <w:r>
              <w:rPr>
                <w:rFonts w:hint="eastAsia" w:ascii="宋体" w:hAnsi="宋体" w:cs="宋体"/>
                <w:color w:val="000000"/>
                <w:szCs w:val="21"/>
                <w:lang w:bidi="ar"/>
              </w:rPr>
              <w:t>52</w:t>
            </w:r>
          </w:p>
        </w:tc>
      </w:tr>
    </w:tbl>
    <w:p w14:paraId="7F63D358">
      <w:pPr>
        <w:widowControl/>
        <w:ind w:firstLine="420"/>
        <w:jc w:val="center"/>
        <w:rPr>
          <w:rFonts w:hint="eastAsia" w:ascii="宋体" w:hAnsi="宋体" w:cs="宋体"/>
          <w:color w:val="000000"/>
          <w:szCs w:val="21"/>
          <w:lang w:bidi="ar"/>
        </w:rPr>
      </w:pPr>
    </w:p>
    <w:p w14:paraId="52A5387E">
      <w:pPr>
        <w:keepNext w:val="0"/>
        <w:keepLines w:val="0"/>
        <w:pageBreakBefore w:val="0"/>
        <w:widowControl/>
        <w:spacing w:line="360" w:lineRule="auto"/>
        <w:ind w:firstLine="442"/>
        <w:jc w:val="left"/>
        <w:rPr>
          <w:sz w:val="22"/>
          <w:szCs w:val="22"/>
        </w:rPr>
      </w:pPr>
      <w:r>
        <w:rPr>
          <w:rFonts w:ascii="宋体" w:hAnsi="宋体" w:cs="宋体"/>
          <w:b/>
          <w:bCs/>
          <w:color w:val="000000"/>
          <w:sz w:val="22"/>
          <w:szCs w:val="22"/>
          <w:lang w:bidi="ar"/>
        </w:rPr>
        <w:t xml:space="preserve">3.1.3 养护材料要求 </w:t>
      </w:r>
    </w:p>
    <w:p w14:paraId="02616476">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1. 基本要求 </w:t>
      </w:r>
    </w:p>
    <w:p w14:paraId="6D3B4A95">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沥青路面的养护维修材料主要有道路石油沥青、乳化石油沥青、液体石油沥青、改性沥青等沥青材料、各种规格的粗细集料、填料等砂石材料，以及由这些材料组成的混合料。各种维修养护材料都必须进行必要的试验，不符合要求的，不得使用。 </w:t>
      </w:r>
    </w:p>
    <w:p w14:paraId="52392030">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2. 技术要求 </w:t>
      </w:r>
    </w:p>
    <w:p w14:paraId="58F29953">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沥青路面养护维修材料的技术要求应符合《公路沥青路面设计规范》</w:t>
      </w:r>
      <w:r>
        <w:rPr>
          <w:rFonts w:hint="eastAsia" w:ascii="宋体" w:hAnsi="宋体" w:cs="宋体"/>
          <w:color w:val="000000"/>
          <w:sz w:val="22"/>
          <w:szCs w:val="22"/>
          <w:lang w:eastAsia="zh-CN" w:bidi="ar"/>
        </w:rPr>
        <w:t>（</w:t>
      </w:r>
      <w:r>
        <w:rPr>
          <w:rFonts w:hint="eastAsia" w:ascii="宋体" w:hAnsi="宋体" w:cs="宋体"/>
          <w:color w:val="000000"/>
          <w:sz w:val="22"/>
          <w:szCs w:val="22"/>
          <w:lang w:bidi="ar"/>
        </w:rPr>
        <w:t>JTG D50-2017</w:t>
      </w:r>
      <w:r>
        <w:rPr>
          <w:rFonts w:hint="eastAsia" w:ascii="宋体" w:hAnsi="宋体" w:cs="宋体"/>
          <w:color w:val="000000"/>
          <w:sz w:val="22"/>
          <w:szCs w:val="22"/>
          <w:lang w:eastAsia="zh-CN" w:bidi="ar"/>
        </w:rPr>
        <w:t>）</w:t>
      </w:r>
      <w:r>
        <w:rPr>
          <w:rFonts w:hint="eastAsia" w:ascii="宋体" w:hAnsi="宋体" w:cs="宋体"/>
          <w:color w:val="000000"/>
          <w:sz w:val="22"/>
          <w:szCs w:val="22"/>
          <w:lang w:bidi="ar"/>
        </w:rPr>
        <w:t>、《公路沥青路面施工技术规范》</w:t>
      </w:r>
      <w:r>
        <w:rPr>
          <w:rFonts w:hint="eastAsia" w:ascii="宋体" w:hAnsi="宋体" w:cs="宋体"/>
          <w:color w:val="000000"/>
          <w:sz w:val="22"/>
          <w:szCs w:val="22"/>
          <w:lang w:eastAsia="zh-CN" w:bidi="ar"/>
        </w:rPr>
        <w:t>（</w:t>
      </w:r>
      <w:r>
        <w:rPr>
          <w:rFonts w:hint="eastAsia" w:ascii="宋体" w:hAnsi="宋体" w:cs="宋体"/>
          <w:color w:val="000000"/>
          <w:sz w:val="22"/>
          <w:szCs w:val="22"/>
          <w:lang w:bidi="ar"/>
        </w:rPr>
        <w:t>JTG F40-2023</w:t>
      </w:r>
      <w:r>
        <w:rPr>
          <w:rFonts w:hint="eastAsia" w:ascii="宋体" w:hAnsi="宋体" w:cs="宋体"/>
          <w:color w:val="000000"/>
          <w:sz w:val="22"/>
          <w:szCs w:val="22"/>
          <w:lang w:eastAsia="zh-CN" w:bidi="ar"/>
        </w:rPr>
        <w:t>）</w:t>
      </w:r>
      <w:r>
        <w:rPr>
          <w:rFonts w:hint="eastAsia" w:ascii="宋体" w:hAnsi="宋体" w:cs="宋体"/>
          <w:color w:val="000000"/>
          <w:sz w:val="22"/>
          <w:szCs w:val="22"/>
          <w:lang w:bidi="ar"/>
        </w:rPr>
        <w:t>的规定。材料试验应遵照</w:t>
      </w:r>
      <w:r>
        <w:rPr>
          <w:rFonts w:hint="eastAsia" w:ascii="宋体" w:hAnsi="宋体" w:cs="宋体"/>
          <w:color w:val="000000"/>
          <w:sz w:val="22"/>
          <w:szCs w:val="22"/>
          <w:highlight w:val="none"/>
          <w:lang w:bidi="ar"/>
        </w:rPr>
        <w:t>《公路工程沥青及沥青混合料试验规程》（JTG 3410—2025）</w:t>
      </w:r>
      <w:r>
        <w:rPr>
          <w:rFonts w:hint="eastAsia" w:ascii="宋体" w:hAnsi="宋体" w:eastAsia="宋体" w:cs="宋体"/>
          <w:color w:val="000000"/>
          <w:sz w:val="22"/>
          <w:szCs w:val="22"/>
          <w:highlight w:val="none"/>
          <w:lang w:eastAsia="zh-CN" w:bidi="ar"/>
        </w:rPr>
        <w:t>、</w:t>
      </w:r>
      <w:r>
        <w:rPr>
          <w:rFonts w:hint="eastAsia" w:ascii="宋体" w:hAnsi="宋体" w:eastAsia="宋体" w:cs="宋体"/>
          <w:color w:val="000000"/>
          <w:sz w:val="22"/>
          <w:szCs w:val="22"/>
          <w:lang w:bidi="ar"/>
        </w:rPr>
        <w:t>《公路工程集料试验规程》（JTG 3432</w:t>
      </w:r>
      <w:r>
        <w:rPr>
          <w:rFonts w:hint="eastAsia" w:ascii="宋体" w:hAnsi="宋体" w:cs="宋体"/>
          <w:color w:val="000000"/>
          <w:sz w:val="22"/>
          <w:szCs w:val="22"/>
          <w:lang w:bidi="ar"/>
        </w:rPr>
        <w:t>-</w:t>
      </w:r>
      <w:r>
        <w:rPr>
          <w:rFonts w:hint="eastAsia" w:ascii="宋体" w:hAnsi="宋体" w:eastAsia="宋体" w:cs="宋体"/>
          <w:color w:val="000000"/>
          <w:sz w:val="22"/>
          <w:szCs w:val="22"/>
          <w:lang w:bidi="ar"/>
        </w:rPr>
        <w:t>2024）等现行</w:t>
      </w:r>
      <w:r>
        <w:rPr>
          <w:rFonts w:hint="eastAsia" w:ascii="宋体" w:hAnsi="宋体" w:cs="宋体"/>
          <w:color w:val="000000"/>
          <w:sz w:val="22"/>
          <w:szCs w:val="22"/>
          <w:lang w:bidi="ar"/>
        </w:rPr>
        <w:t xml:space="preserve">规定执行。 </w:t>
      </w:r>
    </w:p>
    <w:p w14:paraId="35762C20">
      <w:pPr>
        <w:keepNext w:val="0"/>
        <w:keepLines w:val="0"/>
        <w:pageBreakBefore w:val="0"/>
        <w:widowControl/>
        <w:spacing w:line="360" w:lineRule="auto"/>
        <w:ind w:firstLine="442"/>
        <w:jc w:val="left"/>
        <w:rPr>
          <w:sz w:val="22"/>
          <w:szCs w:val="22"/>
        </w:rPr>
      </w:pPr>
      <w:r>
        <w:rPr>
          <w:rFonts w:ascii="宋体" w:hAnsi="宋体" w:cs="宋体"/>
          <w:b/>
          <w:bCs/>
          <w:color w:val="000000"/>
          <w:sz w:val="22"/>
          <w:szCs w:val="22"/>
          <w:lang w:bidi="ar"/>
        </w:rPr>
        <w:t xml:space="preserve">3.1.4 养护机具配备 </w:t>
      </w:r>
    </w:p>
    <w:p w14:paraId="40341903">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1. 沥青路面的养护维修应根据实际要求和各地实际情况配备各种机具设备，其种类及规格，可参照《公路水泥混凝土路面养护技术规范》（JTJ073.1）附录 A。 </w:t>
      </w:r>
    </w:p>
    <w:p w14:paraId="05D9904E">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lang w:bidi="ar"/>
        </w:rPr>
        <w:t>2. 养护机械应配备具有上岗证书的技术工人，并注意做好机械的保养维修工作，确保安全使用，</w:t>
      </w:r>
      <w:r>
        <w:rPr>
          <w:rFonts w:hint="eastAsia" w:ascii="宋体" w:hAnsi="宋体" w:cs="宋体"/>
          <w:color w:val="000000"/>
          <w:sz w:val="22"/>
          <w:szCs w:val="22"/>
          <w:highlight w:val="none"/>
          <w:lang w:bidi="ar"/>
        </w:rPr>
        <w:t xml:space="preserve">提高机械设备的完好率和使用率。 </w:t>
      </w:r>
    </w:p>
    <w:p w14:paraId="64FE8A35">
      <w:pPr>
        <w:keepNext w:val="0"/>
        <w:keepLines w:val="0"/>
        <w:pageBreakBefore w:val="0"/>
        <w:widowControl/>
        <w:spacing w:line="360" w:lineRule="auto"/>
        <w:jc w:val="left"/>
        <w:rPr>
          <w:sz w:val="22"/>
          <w:szCs w:val="22"/>
          <w:highlight w:val="none"/>
        </w:rPr>
      </w:pPr>
      <w:r>
        <w:rPr>
          <w:rFonts w:ascii="宋体" w:hAnsi="宋体" w:cs="宋体"/>
          <w:b/>
          <w:bCs/>
          <w:color w:val="000000"/>
          <w:sz w:val="22"/>
          <w:szCs w:val="22"/>
          <w:highlight w:val="none"/>
          <w:lang w:bidi="ar"/>
        </w:rPr>
        <w:t xml:space="preserve">3.2 </w:t>
      </w:r>
      <w:r>
        <w:rPr>
          <w:rFonts w:hint="eastAsia" w:ascii="宋体" w:hAnsi="宋体" w:cs="宋体"/>
          <w:b/>
          <w:bCs/>
          <w:color w:val="000000"/>
          <w:sz w:val="22"/>
          <w:szCs w:val="22"/>
          <w:highlight w:val="none"/>
          <w:lang w:bidi="ar"/>
        </w:rPr>
        <w:t>道路</w:t>
      </w:r>
      <w:r>
        <w:rPr>
          <w:rFonts w:ascii="宋体" w:hAnsi="宋体" w:cs="宋体"/>
          <w:b/>
          <w:bCs/>
          <w:color w:val="000000"/>
          <w:sz w:val="22"/>
          <w:szCs w:val="22"/>
          <w:highlight w:val="none"/>
          <w:lang w:bidi="ar"/>
        </w:rPr>
        <w:t xml:space="preserve">养护 </w:t>
      </w:r>
    </w:p>
    <w:p w14:paraId="65BB840B">
      <w:pPr>
        <w:keepNext w:val="0"/>
        <w:keepLines w:val="0"/>
        <w:pageBreakBefore w:val="0"/>
        <w:widowControl/>
        <w:spacing w:line="360" w:lineRule="auto"/>
        <w:ind w:firstLine="442"/>
        <w:jc w:val="left"/>
        <w:rPr>
          <w:sz w:val="22"/>
          <w:szCs w:val="22"/>
          <w:highlight w:val="none"/>
        </w:rPr>
      </w:pPr>
      <w:r>
        <w:rPr>
          <w:rFonts w:ascii="宋体" w:hAnsi="宋体" w:cs="宋体"/>
          <w:b/>
          <w:bCs/>
          <w:color w:val="000000"/>
          <w:sz w:val="22"/>
          <w:szCs w:val="22"/>
          <w:highlight w:val="none"/>
          <w:lang w:bidi="ar"/>
        </w:rPr>
        <w:t xml:space="preserve">3.2.1 沥青路面养护应按下列规定执行。 </w:t>
      </w:r>
    </w:p>
    <w:p w14:paraId="5D1CE713">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highlight w:val="none"/>
          <w:lang w:bidi="ar"/>
        </w:rPr>
        <w:t>1. 加强路况巡查，及时发</w:t>
      </w:r>
      <w:r>
        <w:rPr>
          <w:rFonts w:hint="eastAsia" w:ascii="宋体" w:hAnsi="宋体" w:cs="宋体"/>
          <w:color w:val="000000"/>
          <w:sz w:val="22"/>
          <w:szCs w:val="22"/>
          <w:lang w:bidi="ar"/>
        </w:rPr>
        <w:t xml:space="preserve">现病害，研究分析病害产生的原因，并有针对性及时对病害进行维修处理。 </w:t>
      </w:r>
    </w:p>
    <w:p w14:paraId="0D7A4141">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2. 路面清扫应按如下规定进行： </w:t>
      </w:r>
    </w:p>
    <w:p w14:paraId="7F49EA3B">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1) 巡查过程中，发现路面上有杂物，要及时清扫，保持路面清洁。 </w:t>
      </w:r>
    </w:p>
    <w:p w14:paraId="2E2CD88C">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2) 沥青路面的日常清扫，应根据实际情况，采用机械或人工的方法进行清扫。 </w:t>
      </w:r>
    </w:p>
    <w:p w14:paraId="540790FA">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3) 沥青路面的清扫作业频率应根据路面污染程度、交通量的大小及其组成、气候及环境条件等因素而定；长大隧道内、桥梁上沥青路面的清扫频率应适当增加。 </w:t>
      </w:r>
    </w:p>
    <w:p w14:paraId="31ACAFD5">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4) 为了防止清扫路面时产生扬尘而污染环境，危及行车安全，机械清扫时宜配备洒水装置，并根据路面的扬尘程度，确定适当的洒水量。 </w:t>
      </w:r>
    </w:p>
    <w:p w14:paraId="33E3C1FC">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3. 严禁履带车和铁轮车在沥青路面上直接行驶，如必须行驶，应采取相应措施。 </w:t>
      </w:r>
    </w:p>
    <w:p w14:paraId="6BD68B52">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4. 雨后路面有积水的地方要及时排除。 </w:t>
      </w:r>
    </w:p>
    <w:p w14:paraId="3FB84566">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5. 排水设施的养护 </w:t>
      </w:r>
    </w:p>
    <w:p w14:paraId="01C67E24">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在春融期，特别是汛前，应对排水设施进行全面检查并疏通。雨天必须上路巡查，及时排除堵塞并疏通。防止水流直接冲刷路基、路面及路肩。暴雨过后应重点检查，如有冲刷、损坏，应及时修补。 </w:t>
      </w:r>
    </w:p>
    <w:p w14:paraId="1E1594BB">
      <w:pPr>
        <w:keepNext w:val="0"/>
        <w:keepLines w:val="0"/>
        <w:pageBreakBefore w:val="0"/>
        <w:widowControl/>
        <w:spacing w:line="360" w:lineRule="auto"/>
        <w:ind w:firstLine="440"/>
        <w:jc w:val="left"/>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6. 除雪防滑</w:t>
      </w:r>
    </w:p>
    <w:p w14:paraId="175E78AF">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highlight w:val="none"/>
          <w:lang w:bidi="ar"/>
        </w:rPr>
        <w:t>1) 当降雪影响正常通行时，应组织人员与机械清除路面积雪，对重要道路要争取地方政府组织沿线人员</w:t>
      </w:r>
      <w:r>
        <w:rPr>
          <w:rFonts w:hint="eastAsia" w:ascii="宋体" w:hAnsi="宋体" w:cs="宋体"/>
          <w:color w:val="000000"/>
          <w:sz w:val="22"/>
          <w:szCs w:val="22"/>
          <w:lang w:bidi="ar"/>
        </w:rPr>
        <w:t xml:space="preserve">、设备除雪。 </w:t>
      </w:r>
    </w:p>
    <w:p w14:paraId="51A76F10">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2) 在冬季降雪或下雨后，路面出现结冰时，应在桥面、陡坡、急弯、桥头引道撒铺一层防滑料。在环保允许情况下，也可撒布融雪材料（氯化钙、氯化钠等）。 </w:t>
      </w:r>
    </w:p>
    <w:p w14:paraId="18786FEE">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7. 路肩养护 </w:t>
      </w:r>
    </w:p>
    <w:p w14:paraId="44800841">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1) 路肩上应保持适当的横坡，坡度应平整舒适，硬路肩横坡可与路面横坡相同或略大，植草路肩应比路面横坡度大 1%</w:t>
      </w:r>
      <w:r>
        <w:rPr>
          <w:rFonts w:hint="eastAsia" w:ascii="宋体" w:hAnsi="宋体" w:cs="宋体"/>
          <w:color w:val="000000"/>
          <w:sz w:val="22"/>
          <w:szCs w:val="22"/>
          <w:lang w:val="en-US" w:eastAsia="zh-CN" w:bidi="ar"/>
        </w:rPr>
        <w:t>-</w:t>
      </w:r>
      <w:r>
        <w:rPr>
          <w:rFonts w:hint="eastAsia" w:ascii="宋体" w:hAnsi="宋体" w:cs="宋体"/>
          <w:color w:val="000000"/>
          <w:sz w:val="22"/>
          <w:szCs w:val="22"/>
          <w:lang w:bidi="ar"/>
        </w:rPr>
        <w:t xml:space="preserve">2%。当路肩的横坡过大或过小时，应及时整修。 </w:t>
      </w:r>
    </w:p>
    <w:p w14:paraId="469BA93E">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2) 堆料台应设置在路肩以外，堆料应距离适当、排列规整。 </w:t>
      </w:r>
    </w:p>
    <w:p w14:paraId="3959D756">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3) 路肩应经常保持平整坚实，对出现的坑槽、车辙、缺口应及时修补。 </w:t>
      </w:r>
    </w:p>
    <w:p w14:paraId="2FA06729">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4) 对雨天积水、淤泥应及时排除和清理，铲除的淤泥土石及杂物，不得堆放在边沟内或边坡上。 </w:t>
      </w:r>
    </w:p>
    <w:p w14:paraId="0AA8EFE8">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5) 宜结合 GBM 工程，用块石、水泥混凝土预制块铺砌路肩外侧边缘带。对边缘带应加强养护，由于路表水冲刷及车辆碾压造成的松动、破损应及时修复或更换。 </w:t>
      </w:r>
    </w:p>
    <w:p w14:paraId="1D545B7F">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6) 可在路肩上种植（或保留）草皮，并要经常休整，草高不宜超过 15cm，并以不影响路面排水为原则，保证路肩不被冲刷。 </w:t>
      </w:r>
    </w:p>
    <w:p w14:paraId="70B41E27">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8. 边坡养护 </w:t>
      </w:r>
    </w:p>
    <w:p w14:paraId="01699963">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1) 路肩边坡的坡面应保持平顺、坚实无冲沟，其坡度应符合设计规定。应经常检查路堑，特别是深路堑边坡的稳定情况。如发现有危岩、浮石等，应及时清除，避免坍落危及行车、行人安全和堵塞边沟。当土路堑边坡出现冲沟时，应及时用粘土填塞捣实；如出现潜流涌水，可开集水沟，将水引向路基以外。 </w:t>
      </w:r>
    </w:p>
    <w:p w14:paraId="12FEFA72">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2) 填土路堤边坡因雨水冲刷，易出现冲沟和缺口，应及时用粘性良好的土修补拍实。对较大的冲沟和缺口，修理时应按原边坡开挖成台阶形，然后分层填筑夯实，并注意与原坡面衔接平顺，并增加植被防护。 </w:t>
      </w:r>
    </w:p>
    <w:p w14:paraId="4E4BB766">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3) 边坡、碎落台、护坡道、沿河路堤等，受水流冲刷及浸淹，出现缺口、冲沟、沉陷、塌落滑坡时，应根据水流、地质、边坡坡度等情况，选用种草、铺草皮、栽灌木丛、投放石笼、干砌或浆砌片石护坡等防治措施。 </w:t>
      </w:r>
    </w:p>
    <w:p w14:paraId="6176CC21">
      <w:pPr>
        <w:keepNext w:val="0"/>
        <w:keepLines w:val="0"/>
        <w:pageBreakBefore w:val="0"/>
        <w:widowControl/>
        <w:spacing w:line="360" w:lineRule="auto"/>
        <w:ind w:firstLine="442"/>
        <w:jc w:val="left"/>
        <w:rPr>
          <w:sz w:val="22"/>
          <w:szCs w:val="22"/>
        </w:rPr>
      </w:pPr>
      <w:r>
        <w:rPr>
          <w:rFonts w:ascii="宋体" w:hAnsi="宋体" w:cs="宋体"/>
          <w:b/>
          <w:bCs/>
          <w:color w:val="000000"/>
          <w:sz w:val="22"/>
          <w:szCs w:val="22"/>
          <w:lang w:bidi="ar"/>
        </w:rPr>
        <w:t xml:space="preserve">3.2.2 季节性预防养护 </w:t>
      </w:r>
    </w:p>
    <w:p w14:paraId="2C06BFEC">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沥青路面对气温比较敏感,应根据各地不同季节的气候特点、水和温度变化规律，按照“预防为主、防治结合”的原则，结合本地区成功经验，针对如下所列不同季节病害根源，因地制宜，采取有效的技术措施，做好预防性季节性养护工作。 </w:t>
      </w:r>
    </w:p>
    <w:p w14:paraId="350574EB">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1. 春季 </w:t>
      </w:r>
    </w:p>
    <w:p w14:paraId="18D74F35">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春季气温较暖，路基内的水分开始转移，是各种病害集中暴露的季节。养护中应抓住时机，及时防治路面病害。 </w:t>
      </w:r>
    </w:p>
    <w:p w14:paraId="62085B6F">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1) 路基含水量较大的路段，随着解冻路基强度减弱，在行车作用下面层容易出现裂缝病害；含水量已达饱和、强度和稳定性差的路段，经车辆碾压容易出现翻浆。 </w:t>
      </w:r>
    </w:p>
    <w:p w14:paraId="0C64C21C">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2) 施工质量差的路面，在气温回升时容易变软，矿料经碾压产生松动，油层不稳定，容易出现油包、波浪等。 </w:t>
      </w:r>
    </w:p>
    <w:p w14:paraId="203B7CD0">
      <w:pPr>
        <w:keepNext w:val="0"/>
        <w:keepLines w:val="0"/>
        <w:pageBreakBefore w:val="0"/>
        <w:widowControl/>
        <w:spacing w:line="360" w:lineRule="auto"/>
        <w:ind w:firstLine="440"/>
        <w:jc w:val="left"/>
        <w:rPr>
          <w:rFonts w:hint="eastAsia" w:ascii="宋体" w:hAnsi="宋体" w:cs="宋体"/>
          <w:color w:val="000000"/>
          <w:sz w:val="22"/>
          <w:szCs w:val="22"/>
          <w:lang w:bidi="ar"/>
        </w:rPr>
      </w:pPr>
      <w:r>
        <w:rPr>
          <w:rFonts w:hint="eastAsia" w:ascii="宋体" w:hAnsi="宋体" w:cs="宋体"/>
          <w:color w:val="000000"/>
          <w:sz w:val="22"/>
          <w:szCs w:val="22"/>
          <w:lang w:bidi="ar"/>
        </w:rPr>
        <w:t>3) 秋末冬初低温施工路段，随着温度的上升，容易出现泛油。</w:t>
      </w:r>
    </w:p>
    <w:p w14:paraId="26558D98">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4) 春融季节路面出现网裂后，如不及时处理，容易发展为坑槽。 </w:t>
      </w:r>
    </w:p>
    <w:p w14:paraId="7E1AAE21">
      <w:pPr>
        <w:keepNext w:val="0"/>
        <w:keepLines w:val="0"/>
        <w:pageBreakBefore w:val="0"/>
        <w:widowControl/>
        <w:spacing w:line="360" w:lineRule="auto"/>
        <w:jc w:val="left"/>
        <w:rPr>
          <w:sz w:val="22"/>
          <w:szCs w:val="22"/>
        </w:rPr>
      </w:pPr>
      <w:r>
        <w:rPr>
          <w:rFonts w:hint="eastAsia" w:ascii="宋体" w:hAnsi="宋体" w:cs="宋体"/>
          <w:color w:val="000000"/>
          <w:sz w:val="22"/>
          <w:szCs w:val="22"/>
          <w:lang w:bidi="ar"/>
        </w:rPr>
        <w:t xml:space="preserve">2. 夏季 </w:t>
      </w:r>
    </w:p>
    <w:p w14:paraId="341A820B">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夏季气候炎热，地面水分蒸发快，是沥青路面各种病害全面发展的季节。养护中要充分利用夏季气温高、操作方便的条件，及时消灭病害。 </w:t>
      </w:r>
    </w:p>
    <w:p w14:paraId="77CB6C7F">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1) 新铺的沥青路面在高温作用下容易出现泛油。 </w:t>
      </w:r>
    </w:p>
    <w:p w14:paraId="2333B450">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2) 基层含水量较大或质量差的路段，在行车作用下容易造成路面发软产生车辙。 </w:t>
      </w:r>
    </w:p>
    <w:p w14:paraId="25B44253">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3) 沥青用量过多，矿料过细或沥青粘度差的沥青路面容易出现拥包、波浪、发软等病害。 </w:t>
      </w:r>
    </w:p>
    <w:p w14:paraId="317E77E6">
      <w:pPr>
        <w:keepNext w:val="0"/>
        <w:keepLines w:val="0"/>
        <w:pageBreakBefore w:val="0"/>
        <w:widowControl/>
        <w:spacing w:line="360" w:lineRule="auto"/>
        <w:jc w:val="left"/>
        <w:rPr>
          <w:sz w:val="22"/>
          <w:szCs w:val="22"/>
        </w:rPr>
      </w:pPr>
      <w:r>
        <w:rPr>
          <w:rFonts w:hint="eastAsia" w:ascii="宋体" w:hAnsi="宋体" w:cs="宋体"/>
          <w:color w:val="000000"/>
          <w:sz w:val="22"/>
          <w:szCs w:val="22"/>
          <w:lang w:bidi="ar"/>
        </w:rPr>
        <w:t xml:space="preserve">3. 秋季 </w:t>
      </w:r>
    </w:p>
    <w:p w14:paraId="607E005D">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秋季气温逐渐降低，而雨水较多。应及时处理病害，为冬季沥青路面的正常使用打下基础。 </w:t>
      </w:r>
    </w:p>
    <w:p w14:paraId="108080AB">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1) 秋季雨水较多，容易积水的路面，如果有裂缝和基层不密实，易出现坑槽。 </w:t>
      </w:r>
    </w:p>
    <w:p w14:paraId="0FE77E4C">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2) 强度不够的路肩受雨水侵蚀或积水影响，在行车碾压下，易产生啃边。 </w:t>
      </w:r>
    </w:p>
    <w:p w14:paraId="5ED0B521">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3) 基层含水量较大、强度不够，或地基受水泡发软的路段，路面稳定受到影响，在行车碾压下易出现网裂。 </w:t>
      </w:r>
    </w:p>
    <w:p w14:paraId="39B084E2">
      <w:pPr>
        <w:keepNext w:val="0"/>
        <w:keepLines w:val="0"/>
        <w:pageBreakBefore w:val="0"/>
        <w:widowControl/>
        <w:spacing w:line="360" w:lineRule="auto"/>
        <w:jc w:val="left"/>
        <w:rPr>
          <w:sz w:val="22"/>
          <w:szCs w:val="22"/>
        </w:rPr>
      </w:pPr>
      <w:r>
        <w:rPr>
          <w:rFonts w:hint="eastAsia" w:ascii="宋体" w:hAnsi="宋体" w:cs="宋体"/>
          <w:color w:val="000000"/>
          <w:sz w:val="22"/>
          <w:szCs w:val="22"/>
          <w:lang w:bidi="ar"/>
        </w:rPr>
        <w:t xml:space="preserve">4. 冬季 </w:t>
      </w:r>
    </w:p>
    <w:p w14:paraId="5072140A">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冬季气候寒冷，路基路面冻结，是沥青路面比较稳定的季节，但是也要注意沥青路面的养护。 </w:t>
      </w:r>
    </w:p>
    <w:p w14:paraId="44CC53D7">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1) 路面在低温下发生不同方向的收缩，容易产生横向、纵向裂缝。 </w:t>
      </w:r>
    </w:p>
    <w:p w14:paraId="1CAE8DB1">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2) 积雪地区做好除雪防滑。 </w:t>
      </w:r>
    </w:p>
    <w:p w14:paraId="5251DC7A">
      <w:pPr>
        <w:keepNext w:val="0"/>
        <w:keepLines w:val="0"/>
        <w:pageBreakBefore w:val="0"/>
        <w:widowControl/>
        <w:spacing w:line="360" w:lineRule="auto"/>
        <w:ind w:firstLine="442"/>
        <w:jc w:val="left"/>
        <w:rPr>
          <w:sz w:val="22"/>
          <w:szCs w:val="22"/>
        </w:rPr>
      </w:pPr>
      <w:r>
        <w:rPr>
          <w:rFonts w:ascii="宋体" w:hAnsi="宋体" w:cs="宋体"/>
          <w:b/>
          <w:bCs/>
          <w:color w:val="000000"/>
          <w:sz w:val="22"/>
          <w:szCs w:val="22"/>
          <w:lang w:bidi="ar"/>
        </w:rPr>
        <w:t xml:space="preserve">3.2.3 不同季节处理各种病害，应按 3.3 条有关规定及时维修。 </w:t>
      </w:r>
    </w:p>
    <w:p w14:paraId="56EB5867">
      <w:pPr>
        <w:keepNext w:val="0"/>
        <w:keepLines w:val="0"/>
        <w:pageBreakBefore w:val="0"/>
        <w:widowControl/>
        <w:spacing w:line="360" w:lineRule="auto"/>
        <w:ind w:firstLine="442"/>
        <w:jc w:val="left"/>
        <w:rPr>
          <w:sz w:val="22"/>
          <w:szCs w:val="22"/>
        </w:rPr>
      </w:pPr>
      <w:r>
        <w:rPr>
          <w:rFonts w:ascii="宋体" w:hAnsi="宋体" w:cs="宋体"/>
          <w:b/>
          <w:bCs/>
          <w:color w:val="000000"/>
          <w:sz w:val="22"/>
          <w:szCs w:val="22"/>
          <w:lang w:bidi="ar"/>
        </w:rPr>
        <w:t xml:space="preserve">3.3 常见病害的维修 </w:t>
      </w:r>
    </w:p>
    <w:p w14:paraId="7511D3F7">
      <w:pPr>
        <w:keepNext w:val="0"/>
        <w:keepLines w:val="0"/>
        <w:pageBreakBefore w:val="0"/>
        <w:widowControl/>
        <w:spacing w:line="360" w:lineRule="auto"/>
        <w:ind w:firstLine="442"/>
        <w:jc w:val="left"/>
        <w:rPr>
          <w:sz w:val="22"/>
          <w:szCs w:val="22"/>
        </w:rPr>
      </w:pPr>
      <w:r>
        <w:rPr>
          <w:rFonts w:ascii="宋体" w:hAnsi="宋体" w:cs="宋体"/>
          <w:b/>
          <w:bCs/>
          <w:color w:val="000000"/>
          <w:sz w:val="22"/>
          <w:szCs w:val="22"/>
          <w:lang w:bidi="ar"/>
        </w:rPr>
        <w:t xml:space="preserve">3.3.1 一般要求 </w:t>
      </w:r>
    </w:p>
    <w:p w14:paraId="55878858">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1. 对各种路面病害应分析其产生的原因,并根据路面的结构类型、设计使用年限、维修季节、气温等实际情况，采取相应维修措施。 </w:t>
      </w:r>
    </w:p>
    <w:p w14:paraId="0C4F8DCC">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2. 为防止病害发展和破损面积的扩大，对病害应及时进行处治。 </w:t>
      </w:r>
    </w:p>
    <w:p w14:paraId="06693F0B">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3. 高速公路和一级公路路面病害的维修应采用机械作用，所使用的沥青混合料应集中厂拌，并采取保温措施。其它等级的公路也应逐步提高维修作业的机械化水平。 </w:t>
      </w:r>
    </w:p>
    <w:p w14:paraId="3232A8B2">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4. 对病害的维修事先应有周密的计划，作好材料准备，保证工序之间的衔接，对坑槽、沉陷等需将原路面面层挖除后进行机械修补作业的病害，宜当日开挖当日修补，并设置警示标志以保证行车安全。 </w:t>
      </w:r>
    </w:p>
    <w:p w14:paraId="2F267BAB">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5. 修补面积应大于病害的实际面积，修补范围的轮廓线应与路面中心线平行或垂直并在病害面积范围以外10</w:t>
      </w:r>
      <w:r>
        <w:rPr>
          <w:rFonts w:hint="eastAsia" w:ascii="宋体" w:hAnsi="宋体" w:cs="宋体"/>
          <w:color w:val="000000"/>
          <w:sz w:val="22"/>
          <w:szCs w:val="22"/>
          <w:lang w:val="en-US" w:eastAsia="zh-CN" w:bidi="ar"/>
        </w:rPr>
        <w:t>-</w:t>
      </w:r>
      <w:r>
        <w:rPr>
          <w:rFonts w:hint="eastAsia" w:ascii="宋体" w:hAnsi="宋体" w:cs="宋体"/>
          <w:color w:val="000000"/>
          <w:sz w:val="22"/>
          <w:szCs w:val="22"/>
          <w:lang w:bidi="ar"/>
        </w:rPr>
        <w:t xml:space="preserve">15cm。应采取措施使修补部分与原路面联接紧密。 </w:t>
      </w:r>
    </w:p>
    <w:p w14:paraId="25BCCC6C">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6. 在病害的防治中，凡需重新作面层的，其技术要求应符合现行《公路沥青路面施工技术规范》（JTJ032）的规定；凡需重作基层的，其技术要求应符合现行《公路路面基层施工技术规范》（JTJ034）的规定。 </w:t>
      </w:r>
    </w:p>
    <w:p w14:paraId="76F965BB">
      <w:pPr>
        <w:keepNext w:val="0"/>
        <w:keepLines w:val="0"/>
        <w:pageBreakBefore w:val="0"/>
        <w:widowControl/>
        <w:spacing w:line="360" w:lineRule="auto"/>
        <w:ind w:firstLine="442"/>
        <w:jc w:val="left"/>
        <w:rPr>
          <w:sz w:val="22"/>
          <w:szCs w:val="22"/>
        </w:rPr>
      </w:pPr>
      <w:r>
        <w:rPr>
          <w:rFonts w:ascii="宋体" w:hAnsi="宋体" w:cs="宋体"/>
          <w:b/>
          <w:bCs/>
          <w:color w:val="000000"/>
          <w:sz w:val="22"/>
          <w:szCs w:val="22"/>
          <w:lang w:bidi="ar"/>
        </w:rPr>
        <w:t xml:space="preserve">3.3.2 裂缝的维修 </w:t>
      </w:r>
    </w:p>
    <w:p w14:paraId="15D6AC2A">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1. 在高温季节全部或大部分可愈合的轻微裂缝，可不加处理。在高温季节不能愈合的轻微裂缝，可采用以下两种方法进行处治： </w:t>
      </w:r>
    </w:p>
    <w:p w14:paraId="2DFC8077">
      <w:pPr>
        <w:keepNext w:val="0"/>
        <w:keepLines w:val="0"/>
        <w:pageBreakBefore w:val="0"/>
        <w:widowControl/>
        <w:spacing w:line="360" w:lineRule="auto"/>
        <w:ind w:firstLine="440"/>
        <w:jc w:val="left"/>
        <w:rPr>
          <w:rFonts w:hint="eastAsia" w:ascii="宋体" w:hAnsi="宋体" w:cs="宋体"/>
          <w:color w:val="000000"/>
          <w:sz w:val="22"/>
          <w:szCs w:val="22"/>
          <w:lang w:bidi="ar"/>
        </w:rPr>
      </w:pPr>
      <w:r>
        <w:rPr>
          <w:rFonts w:hint="eastAsia" w:ascii="宋体" w:hAnsi="宋体" w:cs="宋体"/>
          <w:color w:val="000000"/>
          <w:sz w:val="22"/>
          <w:szCs w:val="22"/>
          <w:lang w:bidi="ar"/>
        </w:rPr>
        <w:t>1) 将有裂缝的路段清扫干净并均匀喷洒少量沥青（在低温、潮湿季节宜喷洒乳化沥青），再匀撒一层 2~5mm 的干燥洁净石屑或粗砂，最后用轻型压路机将矿料碾压。</w:t>
      </w:r>
    </w:p>
    <w:p w14:paraId="6F3881B5">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2) 沿裂缝涂刷少量稠度较低的沥青。 </w:t>
      </w:r>
    </w:p>
    <w:p w14:paraId="4865AC71">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2. 对于路面的纵向或横向的裂缝，应按裂缝的宽度按以下步骤分别予以处治： </w:t>
      </w:r>
    </w:p>
    <w:p w14:paraId="28BB79D8">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1) 缝宽在 5mm 以上： </w:t>
      </w:r>
    </w:p>
    <w:p w14:paraId="1049107F">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a. 清除缝中杂物及尘土。 </w:t>
      </w:r>
    </w:p>
    <w:p w14:paraId="589375D6">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b. 将稠度较低的热沥青（缝内潮湿时应采用乳化沥青）灌入缝内，灌入深度约为缝深的 2/3。 </w:t>
      </w:r>
    </w:p>
    <w:p w14:paraId="4DFAA537">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c. 填入干净石屑或粗砂，并捣实。 </w:t>
      </w:r>
    </w:p>
    <w:p w14:paraId="0AD126DC">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d. 将溢出缝外的沥青及石屑、砂清除。 </w:t>
      </w:r>
    </w:p>
    <w:p w14:paraId="2AD8453F">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2) 缝宽在 5mm 以内： </w:t>
      </w:r>
    </w:p>
    <w:p w14:paraId="113B1174">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a. 除去已松动的裂缝边缘。 </w:t>
      </w:r>
    </w:p>
    <w:p w14:paraId="4E19DD6F">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b. 用热拌沥青混合料填入缝中，捣实。缝内潮湿时应采用乳化沥青混合料。 </w:t>
      </w:r>
    </w:p>
    <w:p w14:paraId="5CDFFA0F">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3. 由于土基、基层强度不足或路基翻浆等引起的严重龟裂，应先处治好基层后再重作面层。 </w:t>
      </w:r>
    </w:p>
    <w:p w14:paraId="15C7ADBF">
      <w:pPr>
        <w:keepNext w:val="0"/>
        <w:keepLines w:val="0"/>
        <w:pageBreakBefore w:val="0"/>
        <w:widowControl/>
        <w:spacing w:line="360" w:lineRule="auto"/>
        <w:ind w:firstLine="442"/>
        <w:jc w:val="left"/>
        <w:rPr>
          <w:sz w:val="22"/>
          <w:szCs w:val="22"/>
        </w:rPr>
      </w:pPr>
      <w:r>
        <w:rPr>
          <w:rFonts w:ascii="宋体" w:hAnsi="宋体" w:cs="宋体"/>
          <w:b/>
          <w:bCs/>
          <w:color w:val="000000"/>
          <w:sz w:val="22"/>
          <w:szCs w:val="22"/>
          <w:lang w:bidi="ar"/>
        </w:rPr>
        <w:t xml:space="preserve">3.3.3 拥包的维修 </w:t>
      </w:r>
    </w:p>
    <w:p w14:paraId="081CA52E">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1. 属于施工时操作不慎将沥青漏洒在路面上形成的拥包,将拥包除去即可。 </w:t>
      </w:r>
    </w:p>
    <w:p w14:paraId="7D766D41">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2. 已趋于稳定的轻微拥包，应将拥抱用机械刨削或人工挖出。如果除去拥包后，路表不够平整，应予以处治。 </w:t>
      </w:r>
    </w:p>
    <w:p w14:paraId="270E2B5A">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3. 因层面沥青用量过多或细料集中而产生较严重拥包，或路面连续多次出现拥包切面积较大，但路面基层仍属稳定，则应用机械或人工将拥包全部除去，并低于路表面约 10mm。扫尽碎屑、杂物及粉尘后用热沥青混合料重做面层。 </w:t>
      </w:r>
    </w:p>
    <w:p w14:paraId="69A5C8B1">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4. 因基层局部含水量过大，使面层与基层间结合不良而被推移变形造成的拥包，应把拥包连同面层挖除，将水分晾晒干，或用水稳定性较好的材料更换已变形的基层，再重作面层。 </w:t>
      </w:r>
    </w:p>
    <w:p w14:paraId="5981A99E">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5. 由于基层局部强度不足或水稳性不好，使基层松软而导致的拥包，应将面层和基层完全挖除。如土基中含有淤泥，还应将淤泥彻底挖除，换填新料并夯实。在地下水位较高的潮湿路段，应采取措施引出地下水并在基层下面加铺一层水稳性好的材料，最后重作面层。 </w:t>
      </w:r>
    </w:p>
    <w:p w14:paraId="2EFD2ADB">
      <w:pPr>
        <w:keepNext w:val="0"/>
        <w:keepLines w:val="0"/>
        <w:pageBreakBefore w:val="0"/>
        <w:widowControl/>
        <w:spacing w:line="360" w:lineRule="auto"/>
        <w:ind w:firstLine="442"/>
        <w:jc w:val="left"/>
        <w:rPr>
          <w:sz w:val="22"/>
          <w:szCs w:val="22"/>
        </w:rPr>
      </w:pPr>
      <w:r>
        <w:rPr>
          <w:rFonts w:ascii="宋体" w:hAnsi="宋体" w:cs="宋体"/>
          <w:b/>
          <w:bCs/>
          <w:color w:val="000000"/>
          <w:sz w:val="22"/>
          <w:szCs w:val="22"/>
          <w:lang w:bidi="ar"/>
        </w:rPr>
        <w:t xml:space="preserve">3.3.4 沉陷的维修 </w:t>
      </w:r>
    </w:p>
    <w:p w14:paraId="3D92C64F">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1. 因路基不均匀沉降而引起的局部路面沉陷，若土基和基层已经密实稳定，不再继续下沉，可只修补面层。并根据路面的破损状况分别采取下列处治措施。 </w:t>
      </w:r>
    </w:p>
    <w:p w14:paraId="5F47DEDC">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1) 路面略有下沉，无破损或仅有少量轻微裂缝，可在沉陷处喷洒或涂刷粘层沥青，再用沥青混合料将沉陷部分填补，并压实平整。 </w:t>
      </w:r>
    </w:p>
    <w:p w14:paraId="51F93038">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2) 因路基沉陷导致路面破损严重，矿料已松动、脱落形成坑槽的，应按照 3.3.8 条坑槽的维修方法予以处治。 </w:t>
      </w:r>
    </w:p>
    <w:p w14:paraId="282FBBBC">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2. 因土基或基层结构遭到破坏而引起路面沉陷，应参照上述第 3.3.3 条第 5 款的要求处治好基层后再重作面层。 </w:t>
      </w:r>
    </w:p>
    <w:p w14:paraId="7C931F07">
      <w:pPr>
        <w:keepNext w:val="0"/>
        <w:keepLines w:val="0"/>
        <w:pageBreakBefore w:val="0"/>
        <w:widowControl/>
        <w:spacing w:line="360" w:lineRule="auto"/>
        <w:ind w:firstLine="442"/>
        <w:jc w:val="left"/>
        <w:rPr>
          <w:sz w:val="22"/>
          <w:szCs w:val="22"/>
        </w:rPr>
      </w:pPr>
      <w:r>
        <w:rPr>
          <w:rFonts w:ascii="宋体" w:hAnsi="宋体" w:cs="宋体"/>
          <w:b/>
          <w:bCs/>
          <w:color w:val="000000"/>
          <w:sz w:val="22"/>
          <w:szCs w:val="22"/>
          <w:lang w:bidi="ar"/>
        </w:rPr>
        <w:t xml:space="preserve">3.3.8 坑槽的维修 </w:t>
      </w:r>
    </w:p>
    <w:p w14:paraId="1CA2AC9F">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1</w:t>
      </w:r>
      <w:r>
        <w:rPr>
          <w:rFonts w:hint="eastAsia" w:ascii="宋体" w:hAnsi="宋体" w:cs="宋体"/>
          <w:color w:val="000000"/>
          <w:sz w:val="22"/>
          <w:szCs w:val="22"/>
          <w:lang w:eastAsia="zh-CN" w:bidi="ar"/>
        </w:rPr>
        <w:t>）</w:t>
      </w:r>
      <w:r>
        <w:rPr>
          <w:rFonts w:hint="eastAsia" w:ascii="宋体" w:hAnsi="宋体" w:cs="宋体"/>
          <w:color w:val="000000"/>
          <w:sz w:val="22"/>
          <w:szCs w:val="22"/>
          <w:lang w:bidi="ar"/>
        </w:rPr>
        <w:t xml:space="preserve"> 路面基层完好，仅面层有坑槽时的维修：1) 按照“圆洞方补、斜洞正补”的原则，划出所需要修补坑槽的轮廓线。 </w:t>
      </w:r>
    </w:p>
    <w:p w14:paraId="358D91A8">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2) 沿所划轮廓线开凿至坑底稳定部分，其深度不得小于原坑槽的最大深度。 </w:t>
      </w:r>
    </w:p>
    <w:p w14:paraId="74C33EE2">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3) 清除槽底、槽壁的松动部分及粉尘、杂物，并涂刷粘层沥青。 </w:t>
      </w:r>
    </w:p>
    <w:p w14:paraId="7AEB29C8">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4) 填入沥青混合料（在潮湿或低温季节，宜采用乳化粘层沥青拌制的混合料）并整平。 </w:t>
      </w:r>
    </w:p>
    <w:p w14:paraId="2203DC62">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5) 用小型压实积聚或铁制手夯将填补好的部分压（夯）实。新填补的部分应略高于原路面。如果坑槽较深（7cm 以上），应将沥青混合料分两次或三次摊铺和压实。 </w:t>
      </w:r>
    </w:p>
    <w:p w14:paraId="5BBF4B4D">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6) 热补法修补。采用热修补养护车，将加热板加热坑槽处路面，翻松被加热软化铺装层，喷洒乳化沥青，加入新的沥青混合料，然后搅拌摊铺，压路机压实成型。 </w:t>
      </w:r>
    </w:p>
    <w:p w14:paraId="46204744">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2. 对交通量较小的路段在低温寒冷或阴雨连绵的季节，无法采用常规方法，也无条件采用合适的材料修补坑槽时，为防止坑槽面积的扩大，可采取临时性的措施对坑槽予以处治，待天气好转后再按规范要求重新修补。 </w:t>
      </w:r>
    </w:p>
    <w:p w14:paraId="528AC669">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3. 若因基层局部强度不足等使基层破坏而形成坑槽，应按照 6.3.5 条的要求先处治基层，再修复面层。 </w:t>
      </w:r>
    </w:p>
    <w:p w14:paraId="343F7860">
      <w:pPr>
        <w:keepNext w:val="0"/>
        <w:keepLines w:val="0"/>
        <w:pageBreakBefore w:val="0"/>
        <w:widowControl/>
        <w:spacing w:line="360" w:lineRule="auto"/>
        <w:ind w:firstLine="442"/>
        <w:jc w:val="left"/>
        <w:rPr>
          <w:sz w:val="22"/>
          <w:szCs w:val="22"/>
        </w:rPr>
      </w:pPr>
      <w:r>
        <w:rPr>
          <w:rFonts w:ascii="宋体" w:hAnsi="宋体" w:cs="宋体"/>
          <w:b/>
          <w:bCs/>
          <w:color w:val="000000"/>
          <w:sz w:val="22"/>
          <w:szCs w:val="22"/>
          <w:lang w:bidi="ar"/>
        </w:rPr>
        <w:t xml:space="preserve">3.3.9 麻面、松散、泛油、脱皮、磨光的维修 </w:t>
      </w:r>
    </w:p>
    <w:p w14:paraId="2CD02F38">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1、小面积病害可参照坑槽处治方法，只处理上面层。 </w:t>
      </w:r>
    </w:p>
    <w:p w14:paraId="434100AF">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2、大面积的病害由业主采用专项维修方式另行委托。 </w:t>
      </w:r>
    </w:p>
    <w:p w14:paraId="4C8E0A05">
      <w:pPr>
        <w:keepNext w:val="0"/>
        <w:keepLines w:val="0"/>
        <w:pageBreakBefore w:val="0"/>
        <w:widowControl/>
        <w:spacing w:line="360" w:lineRule="auto"/>
        <w:ind w:firstLine="442"/>
        <w:jc w:val="left"/>
        <w:rPr>
          <w:sz w:val="22"/>
          <w:szCs w:val="22"/>
        </w:rPr>
      </w:pPr>
      <w:r>
        <w:rPr>
          <w:rFonts w:ascii="宋体" w:hAnsi="宋体" w:cs="宋体"/>
          <w:b/>
          <w:bCs/>
          <w:color w:val="000000"/>
          <w:sz w:val="22"/>
          <w:szCs w:val="22"/>
          <w:lang w:bidi="ar"/>
        </w:rPr>
        <w:t xml:space="preserve">3.3.14 桥面沥青铺装的养护与维修 </w:t>
      </w:r>
    </w:p>
    <w:p w14:paraId="5DC9B815">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1. 经常保持桥面的清洁，及时清除各种污物、积水、积雪和冰块，疏通桥面泄水孔。冬季必要时应撒铺防冻、防滑材料。 </w:t>
      </w:r>
    </w:p>
    <w:p w14:paraId="7662D897">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2. 桥面沥青铺装出现的各种病害，经检查确系不是由桥梁结构破坏而引起的沥青面层损坏，应按上述有关病害的处治方法进行。病害规模较大时，由业主另行安排专项维修。 </w:t>
      </w:r>
    </w:p>
    <w:p w14:paraId="0221CA28">
      <w:pPr>
        <w:keepNext w:val="0"/>
        <w:keepLines w:val="0"/>
        <w:pageBreakBefore w:val="0"/>
        <w:widowControl/>
        <w:spacing w:line="360" w:lineRule="auto"/>
        <w:jc w:val="left"/>
        <w:rPr>
          <w:sz w:val="22"/>
          <w:szCs w:val="22"/>
        </w:rPr>
      </w:pPr>
      <w:r>
        <w:rPr>
          <w:rFonts w:hint="eastAsia" w:ascii="宋体" w:hAnsi="宋体" w:cs="宋体"/>
          <w:b/>
          <w:bCs/>
          <w:color w:val="000000"/>
          <w:sz w:val="22"/>
          <w:szCs w:val="22"/>
          <w:lang w:eastAsia="zh-CN" w:bidi="ar"/>
        </w:rPr>
        <w:t>（</w:t>
      </w:r>
      <w:r>
        <w:rPr>
          <w:rFonts w:ascii="宋体" w:hAnsi="宋体" w:cs="宋体"/>
          <w:b/>
          <w:bCs/>
          <w:color w:val="000000"/>
          <w:sz w:val="22"/>
          <w:szCs w:val="22"/>
          <w:lang w:bidi="ar"/>
        </w:rPr>
        <w:t>三</w:t>
      </w:r>
      <w:r>
        <w:rPr>
          <w:rFonts w:hint="eastAsia" w:ascii="宋体" w:hAnsi="宋体" w:cs="宋体"/>
          <w:b/>
          <w:bCs/>
          <w:color w:val="000000"/>
          <w:sz w:val="22"/>
          <w:szCs w:val="22"/>
          <w:lang w:eastAsia="zh-CN" w:bidi="ar"/>
        </w:rPr>
        <w:t>）</w:t>
      </w:r>
      <w:r>
        <w:rPr>
          <w:rFonts w:ascii="宋体" w:hAnsi="宋体" w:cs="宋体"/>
          <w:b/>
          <w:bCs/>
          <w:color w:val="000000"/>
          <w:sz w:val="22"/>
          <w:szCs w:val="22"/>
          <w:lang w:bidi="ar"/>
        </w:rPr>
        <w:t xml:space="preserve">、相关技术规范 </w:t>
      </w:r>
    </w:p>
    <w:p w14:paraId="2B3B1830">
      <w:pPr>
        <w:keepNext w:val="0"/>
        <w:keepLines w:val="0"/>
        <w:pageBreakBefore w:val="0"/>
        <w:widowControl/>
        <w:spacing w:line="360" w:lineRule="auto"/>
        <w:ind w:firstLine="440"/>
        <w:jc w:val="left"/>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《公路沥青路面养护技术规范》（JTG 5142-2019）</w:t>
      </w:r>
    </w:p>
    <w:p w14:paraId="0EDCBF5F">
      <w:pPr>
        <w:keepNext w:val="0"/>
        <w:keepLines w:val="0"/>
        <w:pageBreakBefore w:val="0"/>
        <w:widowControl/>
        <w:spacing w:line="360" w:lineRule="auto"/>
        <w:ind w:firstLine="440"/>
        <w:jc w:val="left"/>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《公路养护工程质量检验评定标准》（JTG 5220—2020）</w:t>
      </w:r>
    </w:p>
    <w:p w14:paraId="2E6624C2">
      <w:pPr>
        <w:keepNext w:val="0"/>
        <w:keepLines w:val="0"/>
        <w:pageBreakBefore w:val="0"/>
        <w:widowControl/>
        <w:spacing w:line="360" w:lineRule="auto"/>
        <w:ind w:firstLine="440"/>
        <w:jc w:val="left"/>
        <w:rPr>
          <w:rFonts w:hint="eastAsia" w:ascii="宋体" w:hAnsi="宋体" w:eastAsia="宋体" w:cs="宋体"/>
          <w:color w:val="000000"/>
          <w:sz w:val="22"/>
          <w:szCs w:val="22"/>
          <w:highlight w:val="none"/>
          <w:lang w:bidi="ar"/>
        </w:rPr>
      </w:pPr>
      <w:r>
        <w:rPr>
          <w:rFonts w:hint="eastAsia" w:ascii="宋体" w:hAnsi="宋体" w:cs="宋体"/>
          <w:color w:val="000000"/>
          <w:sz w:val="22"/>
          <w:szCs w:val="22"/>
          <w:highlight w:val="none"/>
          <w:lang w:bidi="ar"/>
        </w:rPr>
        <w:t>《公路工程沥青及沥青混合料试验规程》（JTG 3410—2025）</w:t>
      </w:r>
    </w:p>
    <w:p w14:paraId="6C00B0F3">
      <w:pPr>
        <w:keepNext w:val="0"/>
        <w:keepLines w:val="0"/>
        <w:pageBreakBefore w:val="0"/>
        <w:widowControl/>
        <w:spacing w:line="360" w:lineRule="auto"/>
        <w:ind w:firstLine="440"/>
        <w:jc w:val="left"/>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《公路工程石料试验规程》（JTJ054-94）</w:t>
      </w:r>
    </w:p>
    <w:p w14:paraId="32A4DBBD">
      <w:pPr>
        <w:keepNext w:val="0"/>
        <w:keepLines w:val="0"/>
        <w:pageBreakBefore w:val="0"/>
        <w:widowControl/>
        <w:spacing w:line="360" w:lineRule="auto"/>
        <w:ind w:firstLine="440"/>
        <w:jc w:val="left"/>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《公路工程集料试验规程》（JTG E42-2005）</w:t>
      </w:r>
    </w:p>
    <w:p w14:paraId="4466B40A">
      <w:pPr>
        <w:keepNext w:val="0"/>
        <w:keepLines w:val="0"/>
        <w:pageBreakBefore w:val="0"/>
        <w:widowControl/>
        <w:spacing w:line="360" w:lineRule="auto"/>
        <w:ind w:firstLine="440"/>
        <w:jc w:val="left"/>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《公路养护技术标准》（JTG 5110—2023）</w:t>
      </w:r>
    </w:p>
    <w:p w14:paraId="10B67718">
      <w:pPr>
        <w:keepNext w:val="0"/>
        <w:keepLines w:val="0"/>
        <w:pageBreakBefore w:val="0"/>
        <w:widowControl/>
        <w:spacing w:line="360" w:lineRule="auto"/>
        <w:ind w:firstLine="440"/>
        <w:jc w:val="left"/>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《公路工程质量检验评定标准》(JTG F80/1－2017）</w:t>
      </w:r>
    </w:p>
    <w:p w14:paraId="16E3B2A7">
      <w:pPr>
        <w:keepNext w:val="0"/>
        <w:keepLines w:val="0"/>
        <w:pageBreakBefore w:val="0"/>
        <w:widowControl/>
        <w:spacing w:line="360" w:lineRule="auto"/>
        <w:ind w:firstLine="440"/>
        <w:jc w:val="left"/>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《公路桥涵养护技术规范》（JTG5120-2021）</w:t>
      </w:r>
    </w:p>
    <w:p w14:paraId="5006F130">
      <w:pPr>
        <w:keepNext w:val="0"/>
        <w:keepLines w:val="0"/>
        <w:pageBreakBefore w:val="0"/>
        <w:widowControl/>
        <w:spacing w:line="360" w:lineRule="auto"/>
        <w:ind w:firstLine="440"/>
        <w:jc w:val="left"/>
        <w:rPr>
          <w:rFonts w:hint="eastAsia" w:ascii="宋体" w:hAnsi="宋体" w:cs="宋体"/>
          <w:color w:val="000000"/>
          <w:sz w:val="22"/>
          <w:szCs w:val="22"/>
          <w:lang w:bidi="ar"/>
        </w:rPr>
      </w:pPr>
      <w:r>
        <w:rPr>
          <w:rFonts w:hint="eastAsia" w:ascii="宋体" w:hAnsi="宋体" w:eastAsia="宋体" w:cs="宋体"/>
          <w:color w:val="000000"/>
          <w:sz w:val="22"/>
          <w:szCs w:val="22"/>
          <w:lang w:bidi="ar"/>
        </w:rPr>
        <w:t>《公路养护安全作业规程》（JTG H30-2015</w:t>
      </w:r>
      <w:r>
        <w:rPr>
          <w:rFonts w:hint="eastAsia" w:ascii="宋体" w:hAnsi="宋体" w:cs="宋体"/>
          <w:color w:val="000000"/>
          <w:sz w:val="22"/>
          <w:szCs w:val="22"/>
          <w:lang w:bidi="ar"/>
        </w:rPr>
        <w:t>）</w:t>
      </w:r>
    </w:p>
    <w:p w14:paraId="2FA3058C">
      <w:pPr>
        <w:keepNext w:val="0"/>
        <w:keepLines w:val="0"/>
        <w:pageBreakBefore w:val="0"/>
        <w:widowControl/>
        <w:spacing w:line="360" w:lineRule="auto"/>
        <w:ind w:firstLine="241"/>
        <w:jc w:val="left"/>
      </w:pPr>
      <w:r>
        <w:rPr>
          <w:rFonts w:ascii="宋体" w:hAnsi="宋体" w:cs="宋体"/>
          <w:b/>
          <w:bCs/>
          <w:color w:val="000000"/>
          <w:sz w:val="24"/>
          <w:lang w:bidi="ar"/>
        </w:rPr>
        <w:t xml:space="preserve">注： </w:t>
      </w:r>
    </w:p>
    <w:p w14:paraId="450DD25A">
      <w:pPr>
        <w:keepNext w:val="0"/>
        <w:keepLines w:val="0"/>
        <w:pageBreakBefore w:val="0"/>
        <w:widowControl/>
        <w:spacing w:line="360" w:lineRule="auto"/>
        <w:ind w:firstLine="482"/>
        <w:jc w:val="left"/>
      </w:pPr>
      <w:r>
        <w:rPr>
          <w:rFonts w:ascii="宋体" w:hAnsi="宋体" w:cs="宋体"/>
          <w:b/>
          <w:bCs/>
          <w:color w:val="000000"/>
          <w:sz w:val="24"/>
          <w:lang w:bidi="ar"/>
        </w:rPr>
        <w:t>以上所列规范，只是涉及本项目所需要的部分规范，如果上面没有列出的规范与标准，中标人仍需按规定执行。所有已被废止或停止使用的，各投标人应以现行规范为准。在施工过程中和合同执行期间，如果国家或省市有关部门颁布了新的技术标准或规范，则中标人应采用新的标准或规范进行施工。</w:t>
      </w:r>
    </w:p>
    <w:p w14:paraId="60CD849F">
      <w:pPr>
        <w:keepNext w:val="0"/>
        <w:keepLines w:val="0"/>
        <w:pageBreakBefore w:val="0"/>
        <w:widowControl/>
        <w:spacing w:after="0" w:line="360" w:lineRule="auto"/>
        <w:ind w:firstLine="422"/>
        <w:jc w:val="left"/>
        <w:outlineLvl w:val="1"/>
        <w:rPr>
          <w:rFonts w:hint="eastAsia" w:ascii="宋体" w:hAnsi="宋体" w:eastAsia="宋体" w:cs="Times New Roman"/>
          <w:b/>
          <w:sz w:val="21"/>
          <w:szCs w:val="21"/>
          <w:lang w:val="en-US" w:eastAsia="zh-CN" w:bidi="en-US"/>
        </w:rPr>
      </w:pPr>
      <w:r>
        <w:rPr>
          <w:rFonts w:hint="eastAsia" w:ascii="宋体" w:hAnsi="宋体" w:eastAsia="宋体" w:cs="Times New Roman"/>
          <w:b/>
          <w:sz w:val="21"/>
          <w:szCs w:val="21"/>
          <w:lang w:val="en-US" w:eastAsia="zh-CN" w:bidi="en-US"/>
        </w:rPr>
        <w:t>四、</w:t>
      </w:r>
      <w:r>
        <w:rPr>
          <w:rFonts w:hint="eastAsia" w:ascii="宋体" w:hAnsi="宋体" w:eastAsia="宋体" w:cs="Times New Roman"/>
          <w:b/>
          <w:sz w:val="21"/>
          <w:szCs w:val="21"/>
          <w:lang w:val="zh-CN" w:eastAsia="zh-CN" w:bidi="en-US"/>
        </w:rPr>
        <w:t>养护管理考核办法</w:t>
      </w:r>
    </w:p>
    <w:p w14:paraId="60EF4E9C">
      <w:pPr>
        <w:keepNext w:val="0"/>
        <w:keepLines w:val="0"/>
        <w:pageBreakBefore w:val="0"/>
        <w:widowControl w:val="0"/>
        <w:spacing w:line="360" w:lineRule="auto"/>
        <w:ind w:firstLine="420"/>
        <w:rPr>
          <w:rFonts w:hint="eastAsia" w:ascii="宋体" w:hAnsi="宋体" w:eastAsia="宋体" w:cs="宋体"/>
          <w:b/>
          <w:bCs/>
          <w:sz w:val="22"/>
          <w:szCs w:val="22"/>
          <w:highlight w:val="none"/>
        </w:rPr>
      </w:pPr>
      <w:r>
        <w:rPr>
          <w:rFonts w:hint="eastAsia" w:ascii="宋体" w:hAnsi="宋体" w:cs="宋体"/>
          <w:b/>
          <w:bCs/>
          <w:sz w:val="22"/>
          <w:szCs w:val="22"/>
          <w:highlight w:val="none"/>
          <w:lang w:eastAsia="zh-CN"/>
        </w:rPr>
        <w:t>（</w:t>
      </w:r>
      <w:r>
        <w:rPr>
          <w:rFonts w:hint="eastAsia" w:ascii="宋体" w:hAnsi="宋体" w:cs="宋体"/>
          <w:b/>
          <w:bCs/>
          <w:sz w:val="22"/>
          <w:szCs w:val="22"/>
          <w:highlight w:val="none"/>
          <w:lang w:val="en-US" w:eastAsia="zh-CN"/>
        </w:rPr>
        <w:t>一</w:t>
      </w:r>
      <w:r>
        <w:rPr>
          <w:rFonts w:hint="eastAsia" w:ascii="宋体" w:hAnsi="宋体" w:cs="宋体"/>
          <w:b/>
          <w:bCs/>
          <w:sz w:val="22"/>
          <w:szCs w:val="22"/>
          <w:highlight w:val="none"/>
          <w:lang w:eastAsia="zh-CN"/>
        </w:rPr>
        <w:t>）</w:t>
      </w:r>
      <w:r>
        <w:rPr>
          <w:rFonts w:hint="eastAsia" w:ascii="宋体" w:hAnsi="宋体" w:eastAsia="宋体" w:cs="宋体"/>
          <w:b/>
          <w:bCs/>
          <w:sz w:val="22"/>
          <w:szCs w:val="22"/>
          <w:highlight w:val="none"/>
        </w:rPr>
        <w:t>、考核依据</w:t>
      </w:r>
    </w:p>
    <w:p w14:paraId="50786863">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1.</w:t>
      </w:r>
      <w:r>
        <w:rPr>
          <w:rFonts w:hint="eastAsia" w:ascii="宋体" w:hAnsi="宋体" w:eastAsia="宋体" w:cs="宋体"/>
          <w:b w:val="0"/>
          <w:bCs w:val="0"/>
          <w:sz w:val="22"/>
          <w:szCs w:val="22"/>
          <w:highlight w:val="none"/>
          <w:lang w:val="en-US" w:eastAsia="zh-CN"/>
        </w:rPr>
        <w:t>《江宁区乡村林荫大道管护方案》、</w:t>
      </w:r>
      <w:r>
        <w:rPr>
          <w:rFonts w:hint="eastAsia" w:ascii="宋体" w:hAnsi="宋体" w:eastAsia="宋体" w:cs="宋体"/>
          <w:b w:val="0"/>
          <w:bCs w:val="0"/>
          <w:sz w:val="22"/>
          <w:szCs w:val="22"/>
          <w:highlight w:val="none"/>
          <w:lang w:val="zh-CN"/>
        </w:rPr>
        <w:t>《道路养护技术规范》</w:t>
      </w:r>
      <w:r>
        <w:rPr>
          <w:rFonts w:hint="eastAsia" w:ascii="宋体" w:hAnsi="宋体" w:cs="宋体"/>
          <w:b w:val="0"/>
          <w:bCs w:val="0"/>
          <w:sz w:val="22"/>
          <w:szCs w:val="22"/>
          <w:highlight w:val="none"/>
          <w:lang w:val="zh-CN"/>
        </w:rPr>
        <w:t>、</w:t>
      </w:r>
      <w:r>
        <w:rPr>
          <w:rFonts w:hint="eastAsia" w:ascii="宋体" w:hAnsi="宋体" w:eastAsia="宋体" w:cs="宋体"/>
          <w:b w:val="0"/>
          <w:bCs w:val="0"/>
          <w:sz w:val="22"/>
          <w:szCs w:val="22"/>
          <w:highlight w:val="none"/>
        </w:rPr>
        <w:t>《公路</w:t>
      </w:r>
      <w:r>
        <w:rPr>
          <w:rFonts w:hint="eastAsia" w:ascii="宋体" w:hAnsi="宋体" w:eastAsia="宋体" w:cs="宋体"/>
          <w:sz w:val="22"/>
          <w:szCs w:val="22"/>
          <w:highlight w:val="none"/>
        </w:rPr>
        <w:t>养护技术标准》（JTG 5110—2023）、《公路沥青路面养护技术规范》（JTG 5142-2019）、《公路桥涵养护技术规范》（JTG5 120-2021）、《公路养护安全作业规程》（JTG H30-2015）、《江苏省农村公路条例》、《省交通运输厅省财政厅关于印发江苏省交通养护（农村公路养护）项目管理办法的通知》（苏交公路〔2021〕4号）以及《农村公路养护规范》（DB 3201/T 1017—2020）等相关规范、标准。</w:t>
      </w:r>
    </w:p>
    <w:p w14:paraId="2D75F69D">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2.省、市、区公路行业主管部门颁布的养护考核办法、养护管理办法及相关规定。</w:t>
      </w:r>
    </w:p>
    <w:p w14:paraId="73EFED98">
      <w:pPr>
        <w:keepNext w:val="0"/>
        <w:keepLines w:val="0"/>
        <w:pageBreakBefore w:val="0"/>
        <w:widowControl w:val="0"/>
        <w:spacing w:line="360" w:lineRule="auto"/>
        <w:ind w:firstLine="420"/>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3.</w:t>
      </w:r>
      <w:r>
        <w:rPr>
          <w:rFonts w:hint="eastAsia" w:ascii="宋体" w:hAnsi="宋体" w:eastAsia="宋体" w:cs="宋体"/>
          <w:sz w:val="22"/>
          <w:szCs w:val="22"/>
          <w:highlight w:val="none"/>
          <w:lang w:val="en-US" w:eastAsia="zh-CN"/>
        </w:rPr>
        <w:t>区政府印发的</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lang w:val="en-US" w:eastAsia="zh-CN"/>
        </w:rPr>
        <w:t>江宁区乡村道林荫大道管护方案</w:t>
      </w:r>
      <w:r>
        <w:rPr>
          <w:rFonts w:hint="eastAsia" w:ascii="宋体" w:hAnsi="宋体" w:eastAsia="宋体" w:cs="宋体"/>
          <w:sz w:val="22"/>
          <w:szCs w:val="22"/>
          <w:highlight w:val="none"/>
          <w:lang w:eastAsia="zh-CN"/>
        </w:rPr>
        <w:t>》</w:t>
      </w:r>
    </w:p>
    <w:p w14:paraId="1647CAAB">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4、</w:t>
      </w:r>
      <w:r>
        <w:rPr>
          <w:rFonts w:hint="eastAsia" w:ascii="宋体" w:hAnsi="宋体" w:eastAsia="宋体" w:cs="宋体"/>
          <w:sz w:val="22"/>
          <w:szCs w:val="22"/>
          <w:highlight w:val="none"/>
        </w:rPr>
        <w:t>江宁区交通运输局下发的有关文件、规定等.</w:t>
      </w:r>
    </w:p>
    <w:p w14:paraId="138D7E90">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cs="宋体"/>
          <w:sz w:val="22"/>
          <w:szCs w:val="22"/>
          <w:highlight w:val="none"/>
          <w:lang w:val="en-US" w:eastAsia="zh-CN"/>
        </w:rPr>
        <w:t>5</w:t>
      </w:r>
      <w:r>
        <w:rPr>
          <w:rFonts w:hint="eastAsia" w:ascii="宋体" w:hAnsi="宋体" w:eastAsia="宋体" w:cs="宋体"/>
          <w:sz w:val="22"/>
          <w:szCs w:val="22"/>
          <w:highlight w:val="none"/>
        </w:rPr>
        <w:t>.各类专项行动的要求。</w:t>
      </w:r>
    </w:p>
    <w:p w14:paraId="0D3E4A46">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cs="宋体"/>
          <w:sz w:val="22"/>
          <w:szCs w:val="22"/>
          <w:highlight w:val="none"/>
          <w:lang w:val="en-US" w:eastAsia="zh-CN"/>
        </w:rPr>
        <w:t>6</w:t>
      </w:r>
      <w:r>
        <w:rPr>
          <w:rFonts w:hint="eastAsia" w:ascii="宋体" w:hAnsi="宋体" w:eastAsia="宋体" w:cs="宋体"/>
          <w:sz w:val="22"/>
          <w:szCs w:val="22"/>
          <w:highlight w:val="none"/>
        </w:rPr>
        <w:t>.江宁区交通运输局与养护单位签订的合同。</w:t>
      </w:r>
    </w:p>
    <w:p w14:paraId="6D793C55">
      <w:pPr>
        <w:keepNext w:val="0"/>
        <w:keepLines w:val="0"/>
        <w:pageBreakBefore w:val="0"/>
        <w:widowControl w:val="0"/>
        <w:spacing w:line="360" w:lineRule="auto"/>
        <w:ind w:firstLine="420"/>
        <w:rPr>
          <w:rFonts w:hint="eastAsia" w:ascii="宋体" w:hAnsi="宋体" w:eastAsia="宋体" w:cs="宋体"/>
          <w:b/>
          <w:bCs/>
          <w:sz w:val="22"/>
          <w:szCs w:val="22"/>
          <w:highlight w:val="none"/>
        </w:rPr>
      </w:pPr>
      <w:r>
        <w:rPr>
          <w:rFonts w:hint="eastAsia" w:ascii="宋体" w:hAnsi="宋体" w:cs="宋体"/>
          <w:b/>
          <w:bCs/>
          <w:sz w:val="22"/>
          <w:szCs w:val="22"/>
          <w:highlight w:val="none"/>
          <w:lang w:eastAsia="zh-CN"/>
        </w:rPr>
        <w:t>（</w:t>
      </w:r>
      <w:r>
        <w:rPr>
          <w:rFonts w:hint="eastAsia" w:ascii="宋体" w:hAnsi="宋体" w:cs="宋体"/>
          <w:b/>
          <w:bCs/>
          <w:sz w:val="22"/>
          <w:szCs w:val="22"/>
          <w:highlight w:val="none"/>
          <w:lang w:val="en-US" w:eastAsia="zh-CN"/>
        </w:rPr>
        <w:t>二</w:t>
      </w:r>
      <w:r>
        <w:rPr>
          <w:rFonts w:hint="eastAsia" w:ascii="宋体" w:hAnsi="宋体" w:cs="宋体"/>
          <w:b/>
          <w:bCs/>
          <w:sz w:val="22"/>
          <w:szCs w:val="22"/>
          <w:highlight w:val="none"/>
          <w:lang w:eastAsia="zh-CN"/>
        </w:rPr>
        <w:t>）</w:t>
      </w:r>
      <w:r>
        <w:rPr>
          <w:rFonts w:hint="eastAsia" w:ascii="宋体" w:hAnsi="宋体" w:eastAsia="宋体" w:cs="宋体"/>
          <w:b/>
          <w:bCs/>
          <w:sz w:val="22"/>
          <w:szCs w:val="22"/>
          <w:highlight w:val="none"/>
        </w:rPr>
        <w:t>、考核方式</w:t>
      </w:r>
    </w:p>
    <w:p w14:paraId="22188A38">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1.考核小组：局领导及相关部门人员组成领导小组，实施养护考核工作。</w:t>
      </w:r>
    </w:p>
    <w:p w14:paraId="0C1935C1">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2.考核原则：</w:t>
      </w:r>
    </w:p>
    <w:p w14:paraId="6BCB5CB4">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“强化措施、完善管理、经费调控、奖优罚差”，通过定期检查考核，全面有效掌握</w:t>
      </w:r>
      <w:r>
        <w:rPr>
          <w:rFonts w:hint="eastAsia" w:ascii="宋体" w:hAnsi="宋体" w:eastAsia="宋体" w:cs="宋体"/>
          <w:sz w:val="22"/>
          <w:szCs w:val="22"/>
          <w:highlight w:val="none"/>
          <w:lang w:val="en-US" w:eastAsia="zh-CN"/>
        </w:rPr>
        <w:t>林荫大道管护质量</w:t>
      </w:r>
      <w:r>
        <w:rPr>
          <w:rFonts w:hint="eastAsia" w:ascii="宋体" w:hAnsi="宋体" w:eastAsia="宋体" w:cs="宋体"/>
          <w:sz w:val="22"/>
          <w:szCs w:val="22"/>
          <w:highlight w:val="none"/>
        </w:rPr>
        <w:t>，提升养护管理水平，营造畅安舒美的公路通行环境。</w:t>
      </w:r>
    </w:p>
    <w:p w14:paraId="44264663">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3.考核内容：</w:t>
      </w:r>
      <w:r>
        <w:rPr>
          <w:rFonts w:hint="eastAsia" w:ascii="宋体" w:hAnsi="宋体" w:eastAsia="宋体" w:cs="宋体"/>
          <w:sz w:val="22"/>
          <w:szCs w:val="22"/>
          <w:highlight w:val="none"/>
          <w:lang w:val="en-US" w:eastAsia="zh-CN"/>
        </w:rPr>
        <w:t>林荫大道</w:t>
      </w:r>
      <w:r>
        <w:rPr>
          <w:rFonts w:hint="eastAsia" w:ascii="宋体" w:hAnsi="宋体" w:eastAsia="宋体" w:cs="宋体"/>
          <w:sz w:val="22"/>
          <w:szCs w:val="22"/>
          <w:highlight w:val="none"/>
        </w:rPr>
        <w:t>养护质量考核主要包括外业检查和内业检查两个方面。</w:t>
      </w:r>
    </w:p>
    <w:p w14:paraId="62430217">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4.考核方式：</w:t>
      </w:r>
      <w:bookmarkStart w:id="2" w:name="OLE_LINK3"/>
      <w:r>
        <w:rPr>
          <w:rFonts w:hint="eastAsia" w:ascii="宋体" w:hAnsi="宋体" w:cs="宋体"/>
          <w:sz w:val="22"/>
          <w:szCs w:val="22"/>
          <w:highlight w:val="none"/>
          <w:lang w:eastAsia="zh-CN"/>
        </w:rPr>
        <w:t>按考核办法每月检查，季度考核。</w:t>
      </w:r>
      <w:bookmarkEnd w:id="2"/>
    </w:p>
    <w:p w14:paraId="7BF2393B">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其中月度考核主要对养护外业情况进行检查，下发月度考核通报；季度考核将对养护外业、内业共同进行检查，并下发季度考核通报。</w:t>
      </w:r>
    </w:p>
    <w:p w14:paraId="7757EDFF">
      <w:pPr>
        <w:keepNext w:val="0"/>
        <w:keepLines w:val="0"/>
        <w:pageBreakBefore w:val="0"/>
        <w:widowControl w:val="0"/>
        <w:spacing w:line="360" w:lineRule="auto"/>
        <w:ind w:firstLine="420"/>
        <w:rPr>
          <w:rFonts w:hint="eastAsia" w:ascii="宋体" w:hAnsi="宋体" w:eastAsia="宋体" w:cs="宋体"/>
          <w:b/>
          <w:bCs/>
          <w:sz w:val="22"/>
          <w:szCs w:val="22"/>
          <w:highlight w:val="none"/>
        </w:rPr>
      </w:pPr>
      <w:r>
        <w:rPr>
          <w:rFonts w:hint="eastAsia" w:ascii="宋体" w:hAnsi="宋体" w:eastAsia="宋体" w:cs="宋体"/>
          <w:sz w:val="22"/>
          <w:szCs w:val="22"/>
          <w:highlight w:val="none"/>
        </w:rPr>
        <w:t>月度检查情况通报盖章下发，内容主要反映发现的问题及落实整改情况，并提出进一步养护要求，检查发现问题均采用照片形式发布，养护单位及时进行整改则不予扣分，不及时整改的问题进行扣分；对于月度检查中出现以下情况纳入季度考核中加倍扣分：一是虽及时整改但屡次出现的问题，二是对于省</w:t>
      </w:r>
      <w:r>
        <w:rPr>
          <w:rFonts w:hint="eastAsia" w:ascii="宋体" w:hAnsi="宋体" w:eastAsia="宋体" w:cs="宋体"/>
          <w:b w:val="0"/>
          <w:bCs w:val="0"/>
          <w:sz w:val="22"/>
          <w:szCs w:val="22"/>
          <w:highlight w:val="none"/>
        </w:rPr>
        <w:t>市区检查中屡次扣分的同一问题，三是发现养护工人使用钢钎、撬棍等尖锐物体清理桥梁伸缩缝</w:t>
      </w:r>
      <w:r>
        <w:rPr>
          <w:rFonts w:hint="eastAsia" w:ascii="宋体" w:hAnsi="宋体" w:eastAsia="宋体" w:cs="宋体"/>
          <w:b/>
          <w:bCs/>
          <w:sz w:val="22"/>
          <w:szCs w:val="22"/>
          <w:highlight w:val="none"/>
        </w:rPr>
        <w:t>。</w:t>
      </w:r>
    </w:p>
    <w:p w14:paraId="33480BCC">
      <w:pPr>
        <w:keepNext w:val="0"/>
        <w:keepLines w:val="0"/>
        <w:pageBreakBefore w:val="0"/>
        <w:widowControl w:val="0"/>
        <w:spacing w:line="360" w:lineRule="auto"/>
        <w:ind w:firstLine="420"/>
        <w:rPr>
          <w:rFonts w:hint="eastAsia" w:ascii="宋体" w:hAnsi="宋体" w:eastAsia="宋体" w:cs="宋体"/>
          <w:b/>
          <w:bCs/>
          <w:color w:val="000000" w:themeColor="text1"/>
          <w:sz w:val="22"/>
          <w:szCs w:val="22"/>
          <w:highlight w:val="none"/>
          <w:lang w:eastAsia="zh-CN"/>
          <w14:textFill>
            <w14:solidFill>
              <w14:schemeClr w14:val="tx1"/>
            </w14:solidFill>
          </w14:textFill>
        </w:rPr>
      </w:pPr>
      <w:r>
        <w:rPr>
          <w:rFonts w:hint="eastAsia" w:ascii="宋体" w:hAnsi="宋体" w:eastAsia="宋体" w:cs="宋体"/>
          <w:b/>
          <w:bCs/>
          <w:color w:val="000000" w:themeColor="text1"/>
          <w:sz w:val="22"/>
          <w:szCs w:val="22"/>
          <w:highlight w:val="none"/>
          <w14:textFill>
            <w14:solidFill>
              <w14:schemeClr w14:val="tx1"/>
            </w14:solidFill>
          </w14:textFill>
        </w:rPr>
        <w:t>季度检查考核情况通报由相关领导签字，采用红头文下发，内容主要反映一个季度以来各级部门检查突出的养护问题及整改落实情况、扣分及处罚情况。</w:t>
      </w:r>
    </w:p>
    <w:p w14:paraId="2AC4E94E">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5.考核得分：</w:t>
      </w:r>
    </w:p>
    <w:p w14:paraId="7F22EA64">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（1）每月（除3,6,9,12月）月度考核，得分计算方法为：</w:t>
      </w:r>
      <w:r>
        <w:rPr>
          <w:rFonts w:hint="eastAsia" w:ascii="宋体" w:hAnsi="宋体" w:eastAsia="宋体" w:cs="宋体"/>
          <w:sz w:val="22"/>
          <w:szCs w:val="22"/>
          <w:highlight w:val="none"/>
          <w:lang w:val="en-US" w:eastAsia="zh-CN"/>
        </w:rPr>
        <w:t>林荫大道</w:t>
      </w:r>
      <w:r>
        <w:rPr>
          <w:rFonts w:hint="eastAsia" w:ascii="宋体" w:hAnsi="宋体" w:eastAsia="宋体" w:cs="宋体"/>
          <w:sz w:val="22"/>
          <w:szCs w:val="22"/>
          <w:highlight w:val="none"/>
        </w:rPr>
        <w:t>养护质量月度考核得分=1000-</w:t>
      </w:r>
      <w:r>
        <w:rPr>
          <w:rFonts w:hint="eastAsia" w:ascii="宋体" w:hAnsi="宋体" w:eastAsia="宋体" w:cs="宋体"/>
          <w:sz w:val="22"/>
          <w:szCs w:val="22"/>
          <w:highlight w:val="none"/>
          <w:lang w:val="en-US" w:eastAsia="zh-CN"/>
        </w:rPr>
        <w:t>林荫大道</w:t>
      </w:r>
      <w:r>
        <w:rPr>
          <w:rFonts w:hint="eastAsia" w:ascii="宋体" w:hAnsi="宋体" w:eastAsia="宋体" w:cs="宋体"/>
          <w:sz w:val="22"/>
          <w:szCs w:val="22"/>
          <w:highlight w:val="none"/>
        </w:rPr>
        <w:t>养护质量外业检查累计扣分值。</w:t>
      </w:r>
    </w:p>
    <w:p w14:paraId="51F19955">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（2）每季度（3,6,9,12月）</w:t>
      </w:r>
      <w:r>
        <w:rPr>
          <w:rFonts w:hint="eastAsia" w:ascii="宋体" w:hAnsi="宋体" w:eastAsia="宋体" w:cs="宋体"/>
          <w:sz w:val="22"/>
          <w:szCs w:val="22"/>
          <w:highlight w:val="none"/>
          <w:lang w:val="en-US" w:eastAsia="zh-CN"/>
        </w:rPr>
        <w:t>林荫大道</w:t>
      </w:r>
      <w:r>
        <w:rPr>
          <w:rFonts w:hint="eastAsia" w:ascii="宋体" w:hAnsi="宋体" w:eastAsia="宋体" w:cs="宋体"/>
          <w:sz w:val="22"/>
          <w:szCs w:val="22"/>
          <w:highlight w:val="none"/>
        </w:rPr>
        <w:t>养护质量考核包含养护外业和内业检查考核，得分计算方法为：</w:t>
      </w:r>
      <w:r>
        <w:rPr>
          <w:rFonts w:hint="eastAsia" w:ascii="宋体" w:hAnsi="宋体" w:eastAsia="宋体" w:cs="宋体"/>
          <w:sz w:val="22"/>
          <w:szCs w:val="22"/>
          <w:highlight w:val="none"/>
          <w:lang w:val="en-US" w:eastAsia="zh-CN"/>
        </w:rPr>
        <w:t>林荫大道</w:t>
      </w:r>
      <w:r>
        <w:rPr>
          <w:rFonts w:hint="eastAsia" w:ascii="宋体" w:hAnsi="宋体" w:eastAsia="宋体" w:cs="宋体"/>
          <w:sz w:val="22"/>
          <w:szCs w:val="22"/>
          <w:highlight w:val="none"/>
        </w:rPr>
        <w:t>养护质量季度考核得分=（月度考核得分+季度养护质量外业检查得分）/3*0.9+养护质量内业检查考核得分。</w:t>
      </w:r>
    </w:p>
    <w:p w14:paraId="1A9B6776">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6.考核标准：</w:t>
      </w:r>
      <w:r>
        <w:rPr>
          <w:rFonts w:hint="eastAsia" w:ascii="宋体" w:hAnsi="宋体" w:eastAsia="宋体" w:cs="宋体"/>
          <w:sz w:val="22"/>
          <w:szCs w:val="22"/>
          <w:highlight w:val="none"/>
          <w:lang w:val="en-US" w:eastAsia="zh-CN"/>
        </w:rPr>
        <w:t>林荫大道</w:t>
      </w:r>
      <w:r>
        <w:rPr>
          <w:rFonts w:hint="eastAsia" w:ascii="宋体" w:hAnsi="宋体" w:eastAsia="宋体" w:cs="宋体"/>
          <w:sz w:val="22"/>
          <w:szCs w:val="22"/>
          <w:highlight w:val="none"/>
        </w:rPr>
        <w:t>养护质量外业检查实行“千分制养护缺陷扣减法”，（评分细则见附件1）。养护质量内业检查按六项内容进行考核，总分为100分（评分细则见附件2）。养护质量内业检查得分=100分-累计扣分值。</w:t>
      </w:r>
    </w:p>
    <w:p w14:paraId="7AC0A6A5">
      <w:pPr>
        <w:keepNext w:val="0"/>
        <w:keepLines w:val="0"/>
        <w:pageBreakBefore w:val="0"/>
        <w:widowControl w:val="0"/>
        <w:spacing w:line="360" w:lineRule="auto"/>
        <w:ind w:firstLine="420"/>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三、考核的具体内容和养护要求</w:t>
      </w:r>
    </w:p>
    <w:p w14:paraId="40E13C51">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1.养护质量外业检查考核：</w:t>
      </w:r>
    </w:p>
    <w:p w14:paraId="2094ED4C">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内容主要包括路基、路面、桥涵、沿线设施、绿化、交安、保洁、路域环境等方面，要求如下：</w:t>
      </w:r>
    </w:p>
    <w:p w14:paraId="3BC181B3">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（1）路基</w:t>
      </w:r>
    </w:p>
    <w:p w14:paraId="65114B87">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①路基养护和病害处治及时、规范、有效，技术状况达到优等。</w:t>
      </w:r>
    </w:p>
    <w:p w14:paraId="247F5F01">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②路基稳定坚实，无缺口、冲沟，边缘整齐平顺。</w:t>
      </w:r>
    </w:p>
    <w:p w14:paraId="25B7F7B8">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③排水系统完善，排水设施齐全、完好。</w:t>
      </w:r>
    </w:p>
    <w:p w14:paraId="3CD0786D">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④路基防护完好有效并与自然环境协调一致。</w:t>
      </w:r>
    </w:p>
    <w:p w14:paraId="439DFED2">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（2）路面</w:t>
      </w:r>
    </w:p>
    <w:p w14:paraId="6FF311F2">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①路面养护和病害处治及时、规范、有效。县道优良率路达到93%以上。</w:t>
      </w:r>
    </w:p>
    <w:p w14:paraId="38D7DED7">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②路面平整坚实，无积水，行驶舒适。</w:t>
      </w:r>
    </w:p>
    <w:p w14:paraId="00FCCCF9">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③及时发现并处治路面病害，及时清理路面障碍物。路面无影响行车舒适性、安全性和视觉效果的严重病害。</w:t>
      </w:r>
    </w:p>
    <w:p w14:paraId="6D6D8DB4">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④路面局部病害修复应平整、美观，与原路面接合的界面应顺直、耐久。</w:t>
      </w:r>
    </w:p>
    <w:p w14:paraId="45878B55">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（3）桥涵</w:t>
      </w:r>
    </w:p>
    <w:p w14:paraId="13059638">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①桥涵养护规范、有效。桥梁技术状况水平达到三类及以上，涵洞技术状况水平达到较好及以上。</w:t>
      </w:r>
    </w:p>
    <w:p w14:paraId="491DEC0A">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②桥梁外观整洁，桥面铺装平整无跳车、排水顺畅，伸缩缝完好、清洁。桥梁基础无冲刷、淘空，支座无断裂、错位，墩台无滑动、倾斜或下沉，台背填土无沉降、隆起，锥坡、翼墙等保持完好，无开裂、沉陷、勾缝脱落。</w:t>
      </w:r>
    </w:p>
    <w:p w14:paraId="2DE222AF">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③涵洞应与路基同宽，涵洞的铺砌、翼墙、护坡等应完好，涵体侧墙及拱顶无开裂、变形，涵洞上下游排水顺畅，洞口清洁，无杂物堆积，洞内无淤塞。</w:t>
      </w:r>
    </w:p>
    <w:p w14:paraId="28323DF7">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④隧道洞口边坡无落石、积水、积雪等，洞门结构无开裂、倾斜、沉陷、错台等病害，衬砌完整无明显开裂和剥落，装饰板材安装牢固，无松动和脱落。隧道路面平整，排水系统良好。</w:t>
      </w:r>
    </w:p>
    <w:p w14:paraId="7628695F">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（4）沿线设施</w:t>
      </w:r>
    </w:p>
    <w:p w14:paraId="0B123347">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①沿线设施养护规范有效，技术状况达到优等。</w:t>
      </w:r>
    </w:p>
    <w:p w14:paraId="7ADB81F0">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②沿线防护设施、隔离栅、标志、标线符合规范及路政部门要求。</w:t>
      </w:r>
    </w:p>
    <w:p w14:paraId="51A56CC6">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③沿线里程碑（牌）、百米桩（牌）设置（尺寸、颜色、字体、样式等）符合标准要求，做到位置适当、准确、齐全、完好、醒目、美观。</w:t>
      </w:r>
    </w:p>
    <w:p w14:paraId="2D504AB7">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（5）绿化</w:t>
      </w:r>
    </w:p>
    <w:p w14:paraId="5E65BCA2">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①公路沿线可绿化路段绿化率应达到100%，达到公路绿色通道要求，做到三季有花、四季有绿。</w:t>
      </w:r>
    </w:p>
    <w:p w14:paraId="39380F56">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②沿线绿化要定期修剪，绿化形状美观，无死株、无倒伏、无明显缺株断带、无病虫害，刷白美观。每年冬季统一刷白，刷白高度不低于1.2米。</w:t>
      </w:r>
    </w:p>
    <w:p w14:paraId="6D1BED93">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③道路两侧灌木、花草等景观绿化定期修剪，灌木成型、色块精致美观，草坪每月修剪一次（4月至11月底），绿化带内杂草、杂物、生活垃圾及时清理。</w:t>
      </w:r>
    </w:p>
    <w:p w14:paraId="19D4A3D9">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④路肩边坡无15cm以上高草。</w:t>
      </w:r>
    </w:p>
    <w:p w14:paraId="0D66982E">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（6）交通安全设施</w:t>
      </w:r>
    </w:p>
    <w:p w14:paraId="66DEF2FA">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①公路交通安全设施齐全，沿线标志、标线、标牌、护栏等设施按国家标准和行业标准设置，无缺损。</w:t>
      </w:r>
    </w:p>
    <w:p w14:paraId="49F3A1CA">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②公路交通安全设施保持干净整洁。</w:t>
      </w:r>
    </w:p>
    <w:p w14:paraId="33262DDF">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（7）保洁</w:t>
      </w:r>
    </w:p>
    <w:p w14:paraId="5395B91B">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①保洁要采取机械保洁与人工保洁相结合方式，以机械清扫为主，努力做到路面无积尘、见本色，干净、整洁。</w:t>
      </w:r>
    </w:p>
    <w:p w14:paraId="09DB3B05">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②中分带、路肩、边坡、边沟等路域范围内无建筑垃圾、白色垃圾、生活垃圾、杂草、淤泥等杂物。</w:t>
      </w:r>
    </w:p>
    <w:p w14:paraId="63E4B5AE">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③里程碑（牌）、百米桩（牌）、护栏等沿线设施无污染，外观干净、整洁、醒目。</w:t>
      </w:r>
    </w:p>
    <w:p w14:paraId="5BB3DC60">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2.养护质量内业检查考核：</w:t>
      </w:r>
    </w:p>
    <w:p w14:paraId="11078C28">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（1）养护管理制度</w:t>
      </w:r>
    </w:p>
    <w:p w14:paraId="670547A1">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养护单位根据养护实际需求，建立有效的养护管理组织机构，并制定相应的养护管理制度。</w:t>
      </w:r>
    </w:p>
    <w:p w14:paraId="7F97B5E9">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（3）养护基本保障</w:t>
      </w:r>
    </w:p>
    <w:p w14:paraId="6A167688">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养护单位人员、机械设备、材料等配置合理充足，满足养护及应急处置需求；人员安全、技术培训到位；机械设备维修保养到位。</w:t>
      </w:r>
    </w:p>
    <w:p w14:paraId="2E5C1001">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（4）安全管理</w:t>
      </w:r>
    </w:p>
    <w:p w14:paraId="710D055F">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养护单位结合管养实际，建立有效的安全管理制度，施工作业中能严格遵守有关安全规程以及采取维持通车和施工作业的安全措施，开展安全检查，落实安全责任。</w:t>
      </w:r>
    </w:p>
    <w:p w14:paraId="1C1E48FE">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（5）巡查检查计划及纪录</w:t>
      </w:r>
    </w:p>
    <w:p w14:paraId="77A5FB41">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养护单位能制定年度、季度、月度巡查检查计划，相应检查台账，日常巡查、定期检查和专项检查记录真实齐全且签名齐全。</w:t>
      </w:r>
    </w:p>
    <w:p w14:paraId="5CBF4BE4">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（6）应急管理</w:t>
      </w:r>
    </w:p>
    <w:p w14:paraId="180E3FE4">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按照要求建立各类应急预案，在遇到特大暴雨、洪水、冰雪、地震等恶劣天气和突发事件时，公路养护应急方案和措施到位，处置得当，未造成不良社会影响等。应急物资配备齐全，针对性强，进出库记录完整真实。</w:t>
      </w:r>
    </w:p>
    <w:p w14:paraId="0C3DE9D0">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（7）管理闭合</w:t>
      </w:r>
    </w:p>
    <w:p w14:paraId="1C777EF5">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养护内业资料全面性、真实性、准确性、关联性等得到充分体现，真实反映路况和养护生产作业实际，实现管理闭合。</w:t>
      </w:r>
    </w:p>
    <w:p w14:paraId="63985EDC">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（8）江宁区交通运输局安排的其它工作完成情况。</w:t>
      </w:r>
    </w:p>
    <w:p w14:paraId="1B8E8226">
      <w:pPr>
        <w:keepNext w:val="0"/>
        <w:keepLines w:val="0"/>
        <w:pageBreakBefore w:val="0"/>
        <w:widowControl w:val="0"/>
        <w:spacing w:line="360" w:lineRule="auto"/>
        <w:ind w:firstLine="420"/>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四、经费拨付</w:t>
      </w:r>
    </w:p>
    <w:p w14:paraId="7826A339">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1.按照省市区相关行业标准、管理办法、合同、下发的有关文件、规定等进行经费拨付。</w:t>
      </w:r>
    </w:p>
    <w:p w14:paraId="5ED5A64B">
      <w:pPr>
        <w:keepNext w:val="0"/>
        <w:keepLines w:val="0"/>
        <w:pageBreakBefore w:val="0"/>
        <w:widowControl w:val="0"/>
        <w:spacing w:line="360" w:lineRule="auto"/>
        <w:ind w:firstLine="420"/>
        <w:rPr>
          <w:rFonts w:hint="default" w:ascii="宋体" w:hAnsi="宋体" w:eastAsia="宋体" w:cs="宋体"/>
          <w:sz w:val="22"/>
          <w:szCs w:val="22"/>
          <w:highlight w:val="none"/>
          <w:lang w:val="en-US" w:eastAsia="zh-CN"/>
        </w:rPr>
      </w:pPr>
      <w:r>
        <w:rPr>
          <w:rFonts w:hint="eastAsia" w:ascii="宋体" w:hAnsi="宋体" w:eastAsia="宋体" w:cs="宋体"/>
          <w:sz w:val="22"/>
          <w:szCs w:val="22"/>
          <w:highlight w:val="none"/>
        </w:rPr>
        <w:t>2.</w:t>
      </w:r>
      <w:r>
        <w:rPr>
          <w:rFonts w:hint="eastAsia" w:ascii="宋体" w:hAnsi="宋体" w:cs="宋体"/>
          <w:sz w:val="22"/>
          <w:szCs w:val="22"/>
          <w:highlight w:val="none"/>
          <w:lang w:val="en-US" w:eastAsia="zh-CN"/>
        </w:rPr>
        <w:t>采用基价类和单价类结合的方式，按月计量，季度支付。</w:t>
      </w:r>
    </w:p>
    <w:p w14:paraId="40ADAD47">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3.养护单位根据要求，编制年度、月度工作计划，每月25日前上报，经审核后组织实施。如财政部门另有规定的从其规定。</w:t>
      </w:r>
    </w:p>
    <w:p w14:paraId="4CEFEDA5">
      <w:pPr>
        <w:keepNext w:val="0"/>
        <w:keepLines w:val="0"/>
        <w:pageBreakBefore w:val="0"/>
        <w:widowControl w:val="0"/>
        <w:spacing w:line="360" w:lineRule="auto"/>
        <w:ind w:firstLine="420"/>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养护单位按月于月末提出经费支付申请，监理审核</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报区局</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lang w:val="en-US" w:eastAsia="zh-CN"/>
        </w:rPr>
        <w:t>监理</w:t>
      </w:r>
      <w:r>
        <w:rPr>
          <w:rFonts w:hint="eastAsia" w:ascii="宋体" w:hAnsi="宋体" w:eastAsia="宋体" w:cs="宋体"/>
          <w:sz w:val="22"/>
          <w:szCs w:val="22"/>
          <w:highlight w:val="none"/>
        </w:rPr>
        <w:t>在收到申报材料后，在两周内完成审定，</w:t>
      </w:r>
      <w:r>
        <w:rPr>
          <w:rFonts w:hint="eastAsia" w:ascii="宋体" w:hAnsi="宋体" w:eastAsia="宋体" w:cs="宋体"/>
          <w:sz w:val="22"/>
          <w:szCs w:val="22"/>
          <w:highlight w:val="none"/>
          <w:lang w:val="en-US" w:eastAsia="zh-CN"/>
        </w:rPr>
        <w:t>报区局并按季度</w:t>
      </w:r>
      <w:r>
        <w:rPr>
          <w:rFonts w:hint="eastAsia" w:ascii="宋体" w:hAnsi="宋体" w:eastAsia="宋体" w:cs="宋体"/>
          <w:sz w:val="22"/>
          <w:szCs w:val="22"/>
          <w:highlight w:val="none"/>
        </w:rPr>
        <w:t>拨付给养护单位</w:t>
      </w:r>
      <w:r>
        <w:rPr>
          <w:rFonts w:hint="eastAsia" w:ascii="宋体" w:hAnsi="宋体" w:eastAsia="宋体" w:cs="宋体"/>
          <w:sz w:val="22"/>
          <w:szCs w:val="22"/>
          <w:highlight w:val="none"/>
          <w:lang w:eastAsia="zh-CN"/>
        </w:rPr>
        <w:t>。</w:t>
      </w:r>
    </w:p>
    <w:p w14:paraId="0F0FA356">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cs="宋体"/>
          <w:sz w:val="22"/>
          <w:szCs w:val="22"/>
          <w:highlight w:val="none"/>
          <w:lang w:val="en-US" w:eastAsia="zh-CN"/>
        </w:rPr>
        <w:t>4</w:t>
      </w:r>
      <w:r>
        <w:rPr>
          <w:rFonts w:hint="eastAsia" w:ascii="宋体" w:hAnsi="宋体" w:eastAsia="宋体" w:cs="宋体"/>
          <w:sz w:val="22"/>
          <w:szCs w:val="22"/>
          <w:highlight w:val="none"/>
        </w:rPr>
        <w:t>.</w:t>
      </w:r>
      <w:r>
        <w:rPr>
          <w:rFonts w:hint="eastAsia" w:ascii="宋体" w:hAnsi="宋体" w:eastAsia="宋体" w:cs="宋体"/>
          <w:sz w:val="22"/>
          <w:szCs w:val="22"/>
          <w:highlight w:val="none"/>
          <w:lang w:val="en-US" w:eastAsia="zh-CN"/>
        </w:rPr>
        <w:t>按月度计量，季度支付。</w:t>
      </w:r>
      <w:r>
        <w:rPr>
          <w:rFonts w:hint="eastAsia" w:ascii="宋体" w:hAnsi="宋体" w:eastAsia="宋体" w:cs="宋体"/>
          <w:sz w:val="22"/>
          <w:szCs w:val="22"/>
          <w:highlight w:val="none"/>
        </w:rPr>
        <w:t>区局结合季度考核得分情况拨付经费。考核得分在900-930分，全额拨付季度经费；考核得分在850-900分（不含900分），按（899-季度考核得分）*1000元标准扣除养护经费；考核得分在800-850分（不含850分），按（899-季度考核得分）*2000元标准扣除养护经费；考核得分在800分及以下的，扣除（899-季度考核得分）*5000元标准扣除养护经费。扣除的养护经费在季度拨付当月计量经费中扣除。</w:t>
      </w:r>
    </w:p>
    <w:p w14:paraId="68A9064A">
      <w:pPr>
        <w:keepNext w:val="0"/>
        <w:keepLines w:val="0"/>
        <w:pageBreakBefore w:val="0"/>
        <w:widowControl w:val="0"/>
        <w:spacing w:line="360" w:lineRule="auto"/>
        <w:ind w:firstLine="420"/>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五、附则</w:t>
      </w:r>
    </w:p>
    <w:p w14:paraId="607D4975">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1.如有其它未尽事宜，按省市区制定的相关办法执行。</w:t>
      </w:r>
    </w:p>
    <w:p w14:paraId="39B073A7">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2.本办法由江宁区交通运输局负责解释。</w:t>
      </w:r>
    </w:p>
    <w:p w14:paraId="30932371">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3.本办法自下发之日起施行。</w:t>
      </w:r>
    </w:p>
    <w:p w14:paraId="33B16220">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32"/>
          <w:highlight w:val="none"/>
        </w:rPr>
        <w:t>附件 1：</w:t>
      </w:r>
      <w:r>
        <w:rPr>
          <w:rFonts w:hint="eastAsia" w:ascii="宋体" w:hAnsi="宋体"/>
          <w:sz w:val="24"/>
          <w:szCs w:val="24"/>
          <w:highlight w:val="none"/>
          <w:lang w:val="zh-CN" w:eastAsia="zh-CN"/>
        </w:rPr>
        <w:t>2026年江宁区林荫大道示范管护带养护服务</w:t>
      </w:r>
      <w:r>
        <w:rPr>
          <w:rFonts w:hint="eastAsia" w:ascii="宋体" w:hAnsi="宋体"/>
          <w:sz w:val="24"/>
          <w:szCs w:val="24"/>
          <w:highlight w:val="none"/>
          <w:lang w:val="en-US" w:eastAsia="zh-CN"/>
        </w:rPr>
        <w:t>质量</w:t>
      </w:r>
      <w:r>
        <w:rPr>
          <w:rFonts w:hint="eastAsia" w:ascii="宋体" w:hAnsi="宋体" w:eastAsia="宋体" w:cs="宋体"/>
          <w:sz w:val="24"/>
          <w:szCs w:val="24"/>
          <w:highlight w:val="none"/>
        </w:rPr>
        <w:t>外业检查千分制评分标准</w:t>
      </w:r>
    </w:p>
    <w:p w14:paraId="4CE8C72A">
      <w:pPr>
        <w:keepNext w:val="0"/>
        <w:keepLines w:val="0"/>
        <w:pageBreakBefore w:val="0"/>
        <w:widowControl w:val="0"/>
        <w:spacing w:line="360" w:lineRule="auto"/>
        <w:ind w:firstLine="480"/>
        <w:rPr>
          <w:rFonts w:hint="eastAsia" w:ascii="宋体" w:hAnsi="宋体" w:eastAsia="宋体" w:cs="宋体"/>
          <w:highlight w:val="none"/>
          <w:lang w:val="zh-CN"/>
        </w:rPr>
      </w:pPr>
      <w:r>
        <w:rPr>
          <w:rFonts w:hint="eastAsia" w:ascii="宋体" w:hAnsi="宋体" w:eastAsia="宋体" w:cs="宋体"/>
          <w:sz w:val="24"/>
          <w:szCs w:val="24"/>
          <w:highlight w:val="none"/>
        </w:rPr>
        <w:t>附件 2：</w:t>
      </w:r>
      <w:r>
        <w:rPr>
          <w:rFonts w:hint="eastAsia" w:ascii="宋体" w:hAnsi="宋体"/>
          <w:sz w:val="24"/>
          <w:szCs w:val="24"/>
          <w:highlight w:val="none"/>
          <w:lang w:val="zh-CN" w:eastAsia="zh-CN"/>
        </w:rPr>
        <w:t>2026年江宁区林荫大道示范管护带养护服务</w:t>
      </w:r>
      <w:r>
        <w:rPr>
          <w:rFonts w:hint="eastAsia" w:ascii="宋体" w:hAnsi="宋体"/>
          <w:sz w:val="24"/>
          <w:szCs w:val="24"/>
          <w:highlight w:val="none"/>
          <w:lang w:val="en-US" w:eastAsia="zh-CN"/>
        </w:rPr>
        <w:t>质量</w:t>
      </w:r>
      <w:r>
        <w:rPr>
          <w:rFonts w:hint="eastAsia" w:ascii="宋体" w:hAnsi="宋体" w:eastAsia="宋体" w:cs="宋体"/>
          <w:sz w:val="24"/>
          <w:szCs w:val="24"/>
          <w:highlight w:val="none"/>
        </w:rPr>
        <w:t>内业</w:t>
      </w:r>
      <w:r>
        <w:rPr>
          <w:rFonts w:hint="eastAsia" w:ascii="宋体" w:hAnsi="宋体" w:eastAsia="宋体" w:cs="宋体"/>
          <w:sz w:val="24"/>
          <w:szCs w:val="32"/>
          <w:highlight w:val="none"/>
        </w:rPr>
        <w:t>检查评分标准</w:t>
      </w:r>
    </w:p>
    <w:p w14:paraId="5D0F4013">
      <w:pPr>
        <w:keepNext w:val="0"/>
        <w:keepLines w:val="0"/>
        <w:pageBreakBefore w:val="0"/>
        <w:spacing w:line="360" w:lineRule="auto"/>
        <w:jc w:val="center"/>
        <w:rPr>
          <w:rFonts w:hint="eastAsia" w:ascii="宋体" w:hAnsi="宋体" w:cs="宋体"/>
          <w:b/>
          <w:bCs/>
          <w:color w:val="000000"/>
          <w:sz w:val="24"/>
          <w:highlight w:val="yellow"/>
          <w:lang w:bidi="ar"/>
        </w:rPr>
      </w:pPr>
    </w:p>
    <w:p w14:paraId="73A79E50">
      <w:pPr>
        <w:jc w:val="center"/>
        <w:rPr>
          <w:rFonts w:hint="eastAsia" w:ascii="宋体" w:hAnsi="宋体" w:cs="宋体"/>
          <w:b/>
          <w:bCs/>
          <w:color w:val="000000"/>
          <w:sz w:val="24"/>
          <w:lang w:bidi="ar"/>
        </w:rPr>
      </w:pPr>
    </w:p>
    <w:p w14:paraId="213D4BF9">
      <w:pPr>
        <w:jc w:val="center"/>
        <w:rPr>
          <w:rFonts w:hint="eastAsia" w:ascii="宋体" w:hAnsi="宋体" w:cs="宋体"/>
          <w:b/>
          <w:bCs/>
          <w:color w:val="000000"/>
          <w:sz w:val="24"/>
          <w:lang w:bidi="ar"/>
        </w:rPr>
      </w:pPr>
    </w:p>
    <w:p w14:paraId="19BD7B4E">
      <w:pPr>
        <w:rPr>
          <w:rFonts w:hint="eastAsia" w:ascii="宋体" w:hAnsi="宋体" w:cs="宋体"/>
          <w:b/>
          <w:bCs/>
          <w:color w:val="000000"/>
          <w:sz w:val="24"/>
          <w:lang w:bidi="ar"/>
        </w:rPr>
      </w:pPr>
      <w:r>
        <w:rPr>
          <w:rFonts w:hint="eastAsia" w:ascii="宋体" w:hAnsi="宋体" w:cs="宋体"/>
          <w:b/>
          <w:bCs/>
          <w:color w:val="000000"/>
          <w:sz w:val="24"/>
          <w:lang w:bidi="ar"/>
        </w:rPr>
        <w:br w:type="page" w:clear="all"/>
      </w:r>
    </w:p>
    <w:p w14:paraId="6A84F7F9">
      <w:pPr>
        <w:jc w:val="center"/>
        <w:rPr>
          <w:rFonts w:hint="eastAsia" w:ascii="宋体" w:hAnsi="宋体" w:eastAsia="宋体" w:cs="宋体"/>
          <w:b/>
          <w:bCs/>
          <w:color w:val="000000"/>
          <w:sz w:val="24"/>
          <w:highlight w:val="none"/>
          <w:lang w:eastAsia="zh-CN" w:bidi="ar"/>
        </w:rPr>
      </w:pPr>
      <w:r>
        <w:rPr>
          <w:rFonts w:hint="eastAsia" w:ascii="宋体" w:hAnsi="宋体" w:cs="宋体"/>
          <w:b/>
          <w:bCs/>
          <w:color w:val="000000"/>
          <w:sz w:val="24"/>
          <w:highlight w:val="none"/>
          <w:lang w:bidi="ar"/>
        </w:rPr>
        <w:t>附件 1：</w:t>
      </w:r>
      <w:r>
        <w:rPr>
          <w:rFonts w:hint="eastAsia" w:ascii="宋体" w:hAnsi="宋体" w:cs="宋体"/>
          <w:b/>
          <w:bCs/>
          <w:color w:val="000000"/>
          <w:sz w:val="24"/>
          <w:highlight w:val="none"/>
          <w:lang w:val="zh-CN" w:eastAsia="zh-CN" w:bidi="ar"/>
        </w:rPr>
        <w:t>2026年江宁区林荫大道示范管护带养护服务</w:t>
      </w:r>
      <w:r>
        <w:rPr>
          <w:rFonts w:hint="eastAsia" w:ascii="宋体" w:hAnsi="宋体" w:cs="宋体"/>
          <w:b/>
          <w:bCs/>
          <w:color w:val="000000"/>
          <w:sz w:val="24"/>
          <w:highlight w:val="none"/>
          <w:lang w:val="en-US" w:eastAsia="zh-CN" w:bidi="ar"/>
        </w:rPr>
        <w:t>质量</w:t>
      </w:r>
      <w:r>
        <w:rPr>
          <w:rFonts w:hint="eastAsia" w:ascii="宋体" w:hAnsi="宋体" w:cs="宋体"/>
          <w:b/>
          <w:bCs/>
          <w:color w:val="000000"/>
          <w:sz w:val="24"/>
          <w:highlight w:val="none"/>
          <w:lang w:bidi="ar"/>
        </w:rPr>
        <w:t>外业检查千分制评分标准</w:t>
      </w:r>
    </w:p>
    <w:p w14:paraId="41875BA1">
      <w:pPr>
        <w:jc w:val="center"/>
        <w:rPr>
          <w:rFonts w:hint="eastAsia" w:ascii="Times New Roman" w:hAnsi="Times New Roman" w:eastAsia="宋体" w:cs="Times New Roman"/>
          <w:szCs w:val="24"/>
          <w:lang w:eastAsia="zh-CN"/>
        </w:rPr>
      </w:pPr>
      <w:r>
        <w:rPr>
          <w:rFonts w:hint="eastAsia" w:ascii="Times New Roman" w:hAnsi="Times New Roman" w:eastAsia="宋体" w:cs="Times New Roman"/>
          <w:szCs w:val="24"/>
          <w:lang w:eastAsia="zh-CN"/>
        </w:rPr>
        <w:drawing>
          <wp:inline distT="0" distB="0" distL="0" distR="0">
            <wp:extent cx="6777355" cy="4790440"/>
            <wp:effectExtent l="0" t="0" r="10160" b="4445"/>
            <wp:docPr id="4" name="图片 9" descr="修  2025年江宁区林荫大道示范管护带养护服务质量外业检查千分制评分标准（25.2.17）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9" descr="修  2025年江宁区林荫大道示范管护带养护服务质量外业检查千分制评分标准（25.2.17）_01"/>
                    <pic:cNvPicPr>
                      <a:picLocks noChangeAspect="1"/>
                    </pic:cNvPicPr>
                  </pic:nvPicPr>
                  <pic:blipFill>
                    <a:blip r:embed="rId9"/>
                    <a:stretch>
                      <a:fillRect/>
                    </a:stretch>
                  </pic:blipFill>
                  <pic:spPr>
                    <a:xfrm rot="16199999">
                      <a:off x="0" y="0"/>
                      <a:ext cx="6777355" cy="4790440"/>
                    </a:xfrm>
                    <a:prstGeom prst="rect">
                      <a:avLst/>
                    </a:prstGeom>
                  </pic:spPr>
                </pic:pic>
              </a:graphicData>
            </a:graphic>
          </wp:inline>
        </w:drawing>
      </w:r>
      <w:r>
        <w:rPr>
          <w:rFonts w:hint="eastAsia" w:ascii="Times New Roman" w:hAnsi="Times New Roman" w:eastAsia="宋体" w:cs="Times New Roman"/>
          <w:szCs w:val="24"/>
          <w:lang w:eastAsia="zh-CN"/>
        </w:rPr>
        <w:drawing>
          <wp:inline distT="0" distB="0" distL="0" distR="0">
            <wp:extent cx="6969125" cy="4925695"/>
            <wp:effectExtent l="0" t="0" r="8255" b="3175"/>
            <wp:docPr id="5" name="图片 8" descr="修  2025年江宁区林荫大道示范管护带养护服务质量外业检查千分制评分标准（25.2.17）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8" descr="修  2025年江宁区林荫大道示范管护带养护服务质量外业检查千分制评分标准（25.2.17）_02"/>
                    <pic:cNvPicPr>
                      <a:picLocks noChangeAspect="1"/>
                    </pic:cNvPicPr>
                  </pic:nvPicPr>
                  <pic:blipFill>
                    <a:blip r:embed="rId10"/>
                    <a:stretch>
                      <a:fillRect/>
                    </a:stretch>
                  </pic:blipFill>
                  <pic:spPr>
                    <a:xfrm rot="16199999">
                      <a:off x="0" y="0"/>
                      <a:ext cx="6969125" cy="4925695"/>
                    </a:xfrm>
                    <a:prstGeom prst="rect">
                      <a:avLst/>
                    </a:prstGeom>
                  </pic:spPr>
                </pic:pic>
              </a:graphicData>
            </a:graphic>
          </wp:inline>
        </w:drawing>
      </w:r>
    </w:p>
    <w:p w14:paraId="07F3B275">
      <w:pPr>
        <w:jc w:val="center"/>
      </w:pPr>
    </w:p>
    <w:p w14:paraId="46C86C2C">
      <w:pPr>
        <w:jc w:val="center"/>
        <w:sectPr>
          <w:footerReference r:id="rId4" w:type="default"/>
          <w:pgSz w:w="11906" w:h="16838"/>
          <w:pgMar w:top="1440" w:right="1134" w:bottom="1440" w:left="1134" w:header="851" w:footer="992" w:gutter="0"/>
          <w:pgNumType w:start="1"/>
          <w:cols w:space="720" w:num="1"/>
          <w:docGrid w:linePitch="360" w:charSpace="0"/>
        </w:sectPr>
      </w:pPr>
    </w:p>
    <w:p w14:paraId="728D13E0">
      <w:pPr>
        <w:jc w:val="center"/>
        <w:rPr>
          <w:rFonts w:hint="eastAsia" w:ascii="宋体" w:hAnsi="宋体" w:cs="宋体"/>
          <w:b/>
          <w:bCs/>
          <w:color w:val="000000"/>
          <w:sz w:val="24"/>
          <w:lang w:bidi="ar"/>
        </w:rPr>
      </w:pPr>
      <w:r>
        <w:rPr>
          <w:rFonts w:hint="eastAsia" w:ascii="宋体" w:hAnsi="宋体" w:cs="宋体"/>
          <w:b/>
          <w:bCs/>
          <w:color w:val="000000"/>
          <w:sz w:val="24"/>
          <w:lang w:bidi="ar"/>
        </w:rPr>
        <w:t>附件 2：</w:t>
      </w:r>
      <w:r>
        <w:rPr>
          <w:rFonts w:hint="eastAsia" w:ascii="宋体" w:hAnsi="宋体" w:cs="宋体"/>
          <w:b/>
          <w:bCs/>
          <w:color w:val="000000"/>
          <w:sz w:val="24"/>
          <w:lang w:val="zh-CN" w:eastAsia="zh-CN" w:bidi="ar"/>
        </w:rPr>
        <w:t>2026年江宁区林荫大道示范管护带养护服务</w:t>
      </w:r>
      <w:r>
        <w:rPr>
          <w:rFonts w:hint="eastAsia" w:ascii="宋体" w:hAnsi="宋体" w:cs="宋体"/>
          <w:b/>
          <w:bCs/>
          <w:color w:val="000000"/>
          <w:sz w:val="24"/>
          <w:lang w:bidi="ar"/>
        </w:rPr>
        <w:t>质量内业检查评分标准</w:t>
      </w:r>
    </w:p>
    <w:p w14:paraId="5A6D7654"/>
    <w:tbl>
      <w:tblPr>
        <w:tblStyle w:val="35"/>
        <w:tblW w:w="97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9"/>
        <w:gridCol w:w="840"/>
        <w:gridCol w:w="4137"/>
        <w:gridCol w:w="3081"/>
      </w:tblGrid>
      <w:tr w14:paraId="18065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1689" w:type="dxa"/>
            <w:noWrap w:val="0"/>
            <w:vAlign w:val="center"/>
          </w:tcPr>
          <w:p w14:paraId="66959926">
            <w:pPr>
              <w:widowControl/>
              <w:jc w:val="center"/>
              <w:rPr>
                <w:sz w:val="24"/>
              </w:rPr>
            </w:pPr>
            <w:r>
              <w:rPr>
                <w:rFonts w:hint="eastAsia" w:ascii="宋体" w:hAnsi="宋体" w:cs="宋体"/>
                <w:color w:val="000000"/>
                <w:sz w:val="24"/>
                <w:lang w:bidi="ar"/>
              </w:rPr>
              <w:t>评分项目</w:t>
            </w:r>
          </w:p>
        </w:tc>
        <w:tc>
          <w:tcPr>
            <w:tcW w:w="840" w:type="dxa"/>
            <w:noWrap w:val="0"/>
            <w:vAlign w:val="center"/>
          </w:tcPr>
          <w:p w14:paraId="077D82F9">
            <w:pPr>
              <w:widowControl/>
              <w:jc w:val="center"/>
              <w:rPr>
                <w:sz w:val="24"/>
              </w:rPr>
            </w:pPr>
            <w:r>
              <w:rPr>
                <w:rFonts w:hint="eastAsia"/>
                <w:sz w:val="24"/>
              </w:rPr>
              <w:t>满分</w:t>
            </w:r>
          </w:p>
        </w:tc>
        <w:tc>
          <w:tcPr>
            <w:tcW w:w="4137" w:type="dxa"/>
            <w:noWrap w:val="0"/>
            <w:vAlign w:val="center"/>
          </w:tcPr>
          <w:p w14:paraId="4454D3A7">
            <w:pPr>
              <w:widowControl/>
              <w:jc w:val="center"/>
              <w:rPr>
                <w:sz w:val="24"/>
              </w:rPr>
            </w:pPr>
            <w:r>
              <w:rPr>
                <w:rFonts w:hint="eastAsia" w:ascii="宋体" w:hAnsi="宋体" w:cs="宋体"/>
                <w:color w:val="000000"/>
                <w:sz w:val="24"/>
                <w:lang w:bidi="ar"/>
              </w:rPr>
              <w:t>评分内容</w:t>
            </w:r>
          </w:p>
        </w:tc>
        <w:tc>
          <w:tcPr>
            <w:tcW w:w="3081" w:type="dxa"/>
            <w:noWrap w:val="0"/>
            <w:vAlign w:val="center"/>
          </w:tcPr>
          <w:p w14:paraId="34E8873B">
            <w:pPr>
              <w:widowControl/>
              <w:jc w:val="center"/>
              <w:rPr>
                <w:sz w:val="24"/>
              </w:rPr>
            </w:pPr>
            <w:r>
              <w:rPr>
                <w:rFonts w:hint="eastAsia" w:ascii="宋体" w:hAnsi="宋体" w:cs="宋体"/>
                <w:color w:val="000000"/>
                <w:sz w:val="24"/>
                <w:lang w:bidi="ar"/>
              </w:rPr>
              <w:t>评分标准及细则</w:t>
            </w:r>
          </w:p>
        </w:tc>
      </w:tr>
      <w:tr w14:paraId="20E86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 w:hRule="atLeast"/>
          <w:jc w:val="center"/>
        </w:trPr>
        <w:tc>
          <w:tcPr>
            <w:tcW w:w="1689" w:type="dxa"/>
            <w:noWrap w:val="0"/>
            <w:vAlign w:val="center"/>
          </w:tcPr>
          <w:p w14:paraId="16D48167">
            <w:pPr>
              <w:widowControl/>
              <w:jc w:val="center"/>
              <w:rPr>
                <w:sz w:val="24"/>
              </w:rPr>
            </w:pPr>
            <w:r>
              <w:rPr>
                <w:rFonts w:hint="eastAsia" w:ascii="宋体" w:hAnsi="宋体" w:cs="宋体"/>
                <w:color w:val="000000"/>
                <w:sz w:val="24"/>
                <w:lang w:bidi="ar"/>
              </w:rPr>
              <w:t>养护管理机</w:t>
            </w:r>
          </w:p>
          <w:p w14:paraId="5A298F05">
            <w:pPr>
              <w:widowControl/>
              <w:jc w:val="center"/>
              <w:rPr>
                <w:sz w:val="24"/>
              </w:rPr>
            </w:pPr>
            <w:r>
              <w:rPr>
                <w:rFonts w:hint="eastAsia" w:ascii="宋体" w:hAnsi="宋体" w:cs="宋体"/>
                <w:color w:val="000000"/>
                <w:sz w:val="24"/>
                <w:lang w:bidi="ar"/>
              </w:rPr>
              <w:t>构设置</w:t>
            </w:r>
          </w:p>
        </w:tc>
        <w:tc>
          <w:tcPr>
            <w:tcW w:w="840" w:type="dxa"/>
            <w:noWrap w:val="0"/>
            <w:vAlign w:val="center"/>
          </w:tcPr>
          <w:p w14:paraId="0FDAC807">
            <w:pPr>
              <w:widowControl/>
              <w:jc w:val="center"/>
              <w:rPr>
                <w:sz w:val="24"/>
              </w:rPr>
            </w:pPr>
            <w:r>
              <w:rPr>
                <w:rFonts w:hint="eastAsia" w:ascii="宋体" w:hAnsi="宋体" w:cs="宋体"/>
                <w:color w:val="000000"/>
                <w:sz w:val="24"/>
                <w:lang w:bidi="ar"/>
              </w:rPr>
              <w:t>25分</w:t>
            </w:r>
          </w:p>
        </w:tc>
        <w:tc>
          <w:tcPr>
            <w:tcW w:w="4137" w:type="dxa"/>
            <w:noWrap w:val="0"/>
            <w:vAlign w:val="center"/>
          </w:tcPr>
          <w:p w14:paraId="2420BD5C">
            <w:pPr>
              <w:widowControl/>
              <w:jc w:val="center"/>
              <w:rPr>
                <w:sz w:val="24"/>
              </w:rPr>
            </w:pPr>
            <w:r>
              <w:rPr>
                <w:rFonts w:hint="eastAsia" w:ascii="宋体" w:hAnsi="宋体" w:cs="宋体"/>
                <w:color w:val="000000"/>
                <w:sz w:val="24"/>
                <w:lang w:bidi="ar"/>
              </w:rPr>
              <w:t>根据养护实际需求，配备相应的养护人员、桥梁工程师和巡查车辆。</w:t>
            </w:r>
          </w:p>
        </w:tc>
        <w:tc>
          <w:tcPr>
            <w:tcW w:w="3081" w:type="dxa"/>
            <w:noWrap w:val="0"/>
            <w:vAlign w:val="center"/>
          </w:tcPr>
          <w:p w14:paraId="7E0C414A">
            <w:pPr>
              <w:widowControl/>
              <w:jc w:val="center"/>
              <w:rPr>
                <w:sz w:val="24"/>
              </w:rPr>
            </w:pPr>
            <w:r>
              <w:rPr>
                <w:rFonts w:hint="eastAsia" w:ascii="宋体" w:hAnsi="宋体" w:cs="宋体"/>
                <w:color w:val="000000"/>
                <w:sz w:val="24"/>
                <w:lang w:bidi="ar"/>
              </w:rPr>
              <w:t>人员、车辆、设备等配备和机构设置不满足要求一项扣2.5分。</w:t>
            </w:r>
          </w:p>
        </w:tc>
      </w:tr>
      <w:tr w14:paraId="0865A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jc w:val="center"/>
        </w:trPr>
        <w:tc>
          <w:tcPr>
            <w:tcW w:w="1689" w:type="dxa"/>
            <w:noWrap w:val="0"/>
            <w:vAlign w:val="center"/>
          </w:tcPr>
          <w:p w14:paraId="0F7259A8">
            <w:pPr>
              <w:widowControl/>
              <w:jc w:val="center"/>
              <w:rPr>
                <w:sz w:val="24"/>
              </w:rPr>
            </w:pPr>
            <w:r>
              <w:rPr>
                <w:rFonts w:hint="eastAsia" w:ascii="宋体" w:hAnsi="宋体" w:cs="宋体"/>
                <w:color w:val="000000"/>
                <w:sz w:val="24"/>
                <w:lang w:bidi="ar"/>
              </w:rPr>
              <w:t>内业资料管</w:t>
            </w:r>
          </w:p>
          <w:p w14:paraId="52B341B5">
            <w:pPr>
              <w:widowControl/>
              <w:jc w:val="center"/>
              <w:rPr>
                <w:sz w:val="24"/>
              </w:rPr>
            </w:pPr>
            <w:r>
              <w:rPr>
                <w:rFonts w:hint="eastAsia" w:ascii="宋体" w:hAnsi="宋体" w:cs="宋体"/>
                <w:color w:val="000000"/>
                <w:sz w:val="24"/>
                <w:lang w:bidi="ar"/>
              </w:rPr>
              <w:t>理</w:t>
            </w:r>
          </w:p>
        </w:tc>
        <w:tc>
          <w:tcPr>
            <w:tcW w:w="840" w:type="dxa"/>
            <w:noWrap w:val="0"/>
            <w:vAlign w:val="center"/>
          </w:tcPr>
          <w:p w14:paraId="3A9DB99E">
            <w:pPr>
              <w:widowControl/>
              <w:jc w:val="center"/>
              <w:rPr>
                <w:sz w:val="24"/>
              </w:rPr>
            </w:pPr>
            <w:r>
              <w:rPr>
                <w:rFonts w:hint="eastAsia" w:ascii="宋体" w:hAnsi="宋体" w:cs="宋体"/>
                <w:color w:val="000000"/>
                <w:sz w:val="24"/>
                <w:lang w:bidi="ar"/>
              </w:rPr>
              <w:t>25分</w:t>
            </w:r>
          </w:p>
        </w:tc>
        <w:tc>
          <w:tcPr>
            <w:tcW w:w="4137" w:type="dxa"/>
            <w:noWrap w:val="0"/>
            <w:vAlign w:val="center"/>
          </w:tcPr>
          <w:p w14:paraId="4B601CEA">
            <w:pPr>
              <w:widowControl/>
              <w:jc w:val="center"/>
              <w:rPr>
                <w:sz w:val="24"/>
              </w:rPr>
            </w:pPr>
            <w:r>
              <w:rPr>
                <w:rFonts w:hint="eastAsia" w:ascii="宋体" w:hAnsi="宋体" w:cs="宋体"/>
                <w:color w:val="000000"/>
                <w:sz w:val="24"/>
                <w:lang w:bidi="ar"/>
              </w:rPr>
              <w:t>内容真实全面、填写规范准确、逻辑关联对应、条理清晰分明、归档整齐有序。</w:t>
            </w:r>
          </w:p>
        </w:tc>
        <w:tc>
          <w:tcPr>
            <w:tcW w:w="3081" w:type="dxa"/>
            <w:noWrap w:val="0"/>
            <w:vAlign w:val="center"/>
          </w:tcPr>
          <w:p w14:paraId="2A6A6D4D">
            <w:pPr>
              <w:widowControl/>
              <w:jc w:val="center"/>
              <w:rPr>
                <w:sz w:val="24"/>
              </w:rPr>
            </w:pPr>
            <w:r>
              <w:rPr>
                <w:rFonts w:hint="eastAsia" w:ascii="宋体" w:hAnsi="宋体" w:cs="宋体"/>
                <w:color w:val="000000"/>
                <w:sz w:val="24"/>
                <w:lang w:bidi="ar"/>
              </w:rPr>
              <w:t>资料缺失，填写不规范，无关联性，归档无序等一处扣1分。</w:t>
            </w:r>
          </w:p>
        </w:tc>
      </w:tr>
      <w:tr w14:paraId="14D2D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9" w:hRule="atLeast"/>
          <w:jc w:val="center"/>
        </w:trPr>
        <w:tc>
          <w:tcPr>
            <w:tcW w:w="1689" w:type="dxa"/>
            <w:noWrap w:val="0"/>
            <w:vAlign w:val="center"/>
          </w:tcPr>
          <w:p w14:paraId="7A830E61">
            <w:pPr>
              <w:widowControl/>
              <w:jc w:val="center"/>
              <w:rPr>
                <w:sz w:val="24"/>
              </w:rPr>
            </w:pPr>
            <w:r>
              <w:rPr>
                <w:rFonts w:hint="eastAsia" w:ascii="宋体" w:hAnsi="宋体" w:cs="宋体"/>
                <w:color w:val="000000"/>
                <w:sz w:val="24"/>
                <w:lang w:bidi="ar"/>
              </w:rPr>
              <w:t>公路特情应</w:t>
            </w:r>
          </w:p>
          <w:p w14:paraId="187D0932">
            <w:pPr>
              <w:widowControl/>
              <w:jc w:val="center"/>
              <w:rPr>
                <w:sz w:val="24"/>
              </w:rPr>
            </w:pPr>
            <w:r>
              <w:rPr>
                <w:rFonts w:hint="eastAsia" w:ascii="宋体" w:hAnsi="宋体" w:cs="宋体"/>
                <w:color w:val="000000"/>
                <w:sz w:val="24"/>
                <w:lang w:bidi="ar"/>
              </w:rPr>
              <w:t>急处置</w:t>
            </w:r>
          </w:p>
        </w:tc>
        <w:tc>
          <w:tcPr>
            <w:tcW w:w="840" w:type="dxa"/>
            <w:noWrap w:val="0"/>
            <w:vAlign w:val="center"/>
          </w:tcPr>
          <w:p w14:paraId="050BDA74">
            <w:pPr>
              <w:widowControl/>
              <w:jc w:val="center"/>
              <w:rPr>
                <w:sz w:val="24"/>
              </w:rPr>
            </w:pPr>
            <w:r>
              <w:rPr>
                <w:rFonts w:hint="eastAsia" w:ascii="宋体" w:hAnsi="宋体" w:cs="宋体"/>
                <w:color w:val="000000"/>
                <w:sz w:val="24"/>
                <w:lang w:bidi="ar"/>
              </w:rPr>
              <w:t>20分</w:t>
            </w:r>
          </w:p>
        </w:tc>
        <w:tc>
          <w:tcPr>
            <w:tcW w:w="4137" w:type="dxa"/>
            <w:noWrap w:val="0"/>
            <w:vAlign w:val="center"/>
          </w:tcPr>
          <w:p w14:paraId="57715F03">
            <w:pPr>
              <w:widowControl/>
              <w:jc w:val="center"/>
              <w:rPr>
                <w:sz w:val="24"/>
              </w:rPr>
            </w:pPr>
            <w:r>
              <w:rPr>
                <w:rFonts w:hint="eastAsia" w:ascii="宋体" w:hAnsi="宋体" w:cs="宋体"/>
                <w:color w:val="000000"/>
                <w:sz w:val="24"/>
                <w:lang w:bidi="ar"/>
              </w:rPr>
              <w:t>建立各类应急预案，在遇到特大暴雨、洪水、冰雪、地震等恶劣天气和突发事件时，公路养护应急方案和措施到位，处置得当，未造成不良社会影响等。</w:t>
            </w:r>
          </w:p>
        </w:tc>
        <w:tc>
          <w:tcPr>
            <w:tcW w:w="3081" w:type="dxa"/>
            <w:noWrap w:val="0"/>
            <w:vAlign w:val="center"/>
          </w:tcPr>
          <w:p w14:paraId="7B20E559">
            <w:pPr>
              <w:widowControl/>
              <w:jc w:val="center"/>
              <w:rPr>
                <w:sz w:val="24"/>
              </w:rPr>
            </w:pPr>
            <w:r>
              <w:rPr>
                <w:rFonts w:hint="eastAsia" w:ascii="宋体" w:hAnsi="宋体" w:cs="宋体"/>
                <w:color w:val="000000"/>
                <w:sz w:val="24"/>
                <w:lang w:bidi="ar"/>
              </w:rPr>
              <w:t>无预案扣5分，预案考虑不全面、不充分一处扣1分，应急准备不充分、处治不及时一次扣2.5分，处治不当，造成不良社会影响扣10分。</w:t>
            </w:r>
          </w:p>
        </w:tc>
      </w:tr>
      <w:tr w14:paraId="544DB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 w:hRule="atLeast"/>
          <w:jc w:val="center"/>
        </w:trPr>
        <w:tc>
          <w:tcPr>
            <w:tcW w:w="1689" w:type="dxa"/>
            <w:noWrap w:val="0"/>
            <w:vAlign w:val="center"/>
          </w:tcPr>
          <w:p w14:paraId="7ACB18EF">
            <w:pPr>
              <w:widowControl/>
              <w:jc w:val="center"/>
              <w:rPr>
                <w:sz w:val="24"/>
              </w:rPr>
            </w:pPr>
            <w:r>
              <w:rPr>
                <w:rFonts w:hint="eastAsia" w:ascii="宋体" w:hAnsi="宋体" w:cs="宋体"/>
                <w:color w:val="000000"/>
                <w:sz w:val="24"/>
                <w:lang w:bidi="ar"/>
              </w:rPr>
              <w:t>文明生产和</w:t>
            </w:r>
          </w:p>
          <w:p w14:paraId="3F14B405">
            <w:pPr>
              <w:widowControl/>
              <w:jc w:val="center"/>
              <w:rPr>
                <w:sz w:val="24"/>
              </w:rPr>
            </w:pPr>
            <w:r>
              <w:rPr>
                <w:rFonts w:hint="eastAsia" w:ascii="宋体" w:hAnsi="宋体" w:cs="宋体"/>
                <w:color w:val="000000"/>
                <w:sz w:val="24"/>
                <w:lang w:bidi="ar"/>
              </w:rPr>
              <w:t>安全作业情</w:t>
            </w:r>
          </w:p>
          <w:p w14:paraId="10EE3242">
            <w:pPr>
              <w:widowControl/>
              <w:jc w:val="center"/>
              <w:rPr>
                <w:sz w:val="24"/>
              </w:rPr>
            </w:pPr>
            <w:r>
              <w:rPr>
                <w:rFonts w:hint="eastAsia" w:ascii="宋体" w:hAnsi="宋体" w:cs="宋体"/>
                <w:color w:val="000000"/>
                <w:sz w:val="24"/>
                <w:lang w:bidi="ar"/>
              </w:rPr>
              <w:t>况</w:t>
            </w:r>
          </w:p>
        </w:tc>
        <w:tc>
          <w:tcPr>
            <w:tcW w:w="840" w:type="dxa"/>
            <w:noWrap w:val="0"/>
            <w:vAlign w:val="center"/>
          </w:tcPr>
          <w:p w14:paraId="637B5FA6">
            <w:pPr>
              <w:widowControl/>
              <w:jc w:val="center"/>
              <w:rPr>
                <w:sz w:val="24"/>
              </w:rPr>
            </w:pPr>
            <w:r>
              <w:rPr>
                <w:rFonts w:hint="eastAsia" w:ascii="宋体" w:hAnsi="宋体" w:cs="宋体"/>
                <w:color w:val="000000"/>
                <w:sz w:val="24"/>
                <w:lang w:val="en-US" w:eastAsia="zh-CN" w:bidi="ar"/>
              </w:rPr>
              <w:t>15</w:t>
            </w:r>
            <w:r>
              <w:rPr>
                <w:rFonts w:hint="eastAsia" w:ascii="宋体" w:hAnsi="宋体" w:cs="宋体"/>
                <w:color w:val="000000"/>
                <w:sz w:val="24"/>
                <w:lang w:bidi="ar"/>
              </w:rPr>
              <w:t>分</w:t>
            </w:r>
          </w:p>
        </w:tc>
        <w:tc>
          <w:tcPr>
            <w:tcW w:w="4137" w:type="dxa"/>
            <w:noWrap w:val="0"/>
            <w:vAlign w:val="center"/>
          </w:tcPr>
          <w:p w14:paraId="04F522FD">
            <w:pPr>
              <w:widowControl/>
              <w:jc w:val="center"/>
              <w:rPr>
                <w:sz w:val="24"/>
              </w:rPr>
            </w:pPr>
            <w:r>
              <w:rPr>
                <w:rFonts w:hint="eastAsia" w:ascii="宋体" w:hAnsi="宋体" w:cs="宋体"/>
                <w:color w:val="000000"/>
                <w:sz w:val="24"/>
                <w:lang w:bidi="ar"/>
              </w:rPr>
              <w:t>按照公路、桥梁等相关规程及行业管理部门要求执行。</w:t>
            </w:r>
          </w:p>
        </w:tc>
        <w:tc>
          <w:tcPr>
            <w:tcW w:w="3081" w:type="dxa"/>
            <w:noWrap w:val="0"/>
            <w:vAlign w:val="center"/>
          </w:tcPr>
          <w:p w14:paraId="3CCA98A9">
            <w:pPr>
              <w:widowControl/>
              <w:jc w:val="center"/>
              <w:rPr>
                <w:sz w:val="24"/>
              </w:rPr>
            </w:pPr>
            <w:r>
              <w:rPr>
                <w:rFonts w:hint="eastAsia" w:ascii="宋体" w:hAnsi="宋体" w:cs="宋体"/>
                <w:color w:val="000000"/>
                <w:sz w:val="24"/>
                <w:lang w:bidi="ar"/>
              </w:rPr>
              <w:t>未按相关规程及行业管理部门要求文明施工和安全作业，发现一处扣2.5分。</w:t>
            </w:r>
          </w:p>
        </w:tc>
      </w:tr>
      <w:tr w14:paraId="7EADD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 w:hRule="atLeast"/>
          <w:jc w:val="center"/>
        </w:trPr>
        <w:tc>
          <w:tcPr>
            <w:tcW w:w="1689" w:type="dxa"/>
            <w:noWrap w:val="0"/>
            <w:vAlign w:val="center"/>
          </w:tcPr>
          <w:p w14:paraId="7119E77B">
            <w:pPr>
              <w:widowControl/>
              <w:jc w:val="center"/>
              <w:rPr>
                <w:rFonts w:hint="eastAsia" w:ascii="宋体" w:hAnsi="宋体" w:eastAsia="宋体" w:cs="宋体"/>
                <w:color w:val="000000"/>
                <w:sz w:val="24"/>
                <w:lang w:val="en-US" w:eastAsia="zh-CN" w:bidi="ar"/>
              </w:rPr>
            </w:pPr>
            <w:r>
              <w:rPr>
                <w:rFonts w:hint="eastAsia" w:ascii="宋体" w:hAnsi="宋体" w:cs="宋体"/>
                <w:color w:val="000000"/>
                <w:sz w:val="24"/>
                <w:lang w:val="en-US" w:eastAsia="zh-CN" w:bidi="ar"/>
              </w:rPr>
              <w:t>落实绿化管养智慧化应用</w:t>
            </w:r>
          </w:p>
        </w:tc>
        <w:tc>
          <w:tcPr>
            <w:tcW w:w="840" w:type="dxa"/>
            <w:noWrap w:val="0"/>
            <w:vAlign w:val="center"/>
          </w:tcPr>
          <w:p w14:paraId="0142402E">
            <w:pPr>
              <w:widowControl/>
              <w:jc w:val="center"/>
              <w:rPr>
                <w:rFonts w:hint="default" w:ascii="宋体" w:hAnsi="宋体" w:eastAsia="宋体" w:cs="宋体"/>
                <w:color w:val="000000"/>
                <w:sz w:val="24"/>
                <w:lang w:val="en-US" w:eastAsia="zh-CN" w:bidi="ar"/>
              </w:rPr>
            </w:pPr>
            <w:r>
              <w:rPr>
                <w:rFonts w:hint="eastAsia" w:ascii="宋体" w:hAnsi="宋体" w:cs="宋体"/>
                <w:color w:val="000000"/>
                <w:sz w:val="24"/>
                <w:lang w:val="en-US" w:eastAsia="zh-CN" w:bidi="ar"/>
              </w:rPr>
              <w:t>10分</w:t>
            </w:r>
          </w:p>
        </w:tc>
        <w:tc>
          <w:tcPr>
            <w:tcW w:w="4137" w:type="dxa"/>
            <w:noWrap w:val="0"/>
            <w:vAlign w:val="center"/>
          </w:tcPr>
          <w:p w14:paraId="4BC94BCC">
            <w:pPr>
              <w:widowControl/>
              <w:jc w:val="center"/>
              <w:rPr>
                <w:rFonts w:hint="eastAsia" w:ascii="宋体" w:hAnsi="宋体" w:eastAsia="宋体" w:cs="宋体"/>
                <w:color w:val="000000"/>
                <w:sz w:val="24"/>
                <w:lang w:eastAsia="zh-CN" w:bidi="ar"/>
              </w:rPr>
            </w:pPr>
            <w:r>
              <w:rPr>
                <w:rFonts w:hint="eastAsia" w:ascii="宋体" w:hAnsi="宋体" w:cs="宋体"/>
                <w:color w:val="000000"/>
                <w:sz w:val="24"/>
                <w:lang w:eastAsia="zh-CN" w:bidi="ar"/>
              </w:rPr>
              <w:t>落实绿化管养智慧化应用</w:t>
            </w:r>
          </w:p>
        </w:tc>
        <w:tc>
          <w:tcPr>
            <w:tcW w:w="3081" w:type="dxa"/>
            <w:noWrap w:val="0"/>
            <w:vAlign w:val="center"/>
          </w:tcPr>
          <w:p w14:paraId="753762C7">
            <w:pPr>
              <w:widowControl/>
              <w:jc w:val="center"/>
              <w:rPr>
                <w:rFonts w:hint="default" w:ascii="宋体" w:hAnsi="宋体" w:eastAsia="宋体" w:cs="宋体"/>
                <w:color w:val="000000"/>
                <w:sz w:val="24"/>
                <w:lang w:val="en-US" w:eastAsia="zh-CN" w:bidi="ar"/>
              </w:rPr>
            </w:pPr>
            <w:r>
              <w:rPr>
                <w:rFonts w:hint="eastAsia" w:ascii="宋体" w:hAnsi="宋体" w:cs="宋体"/>
                <w:color w:val="000000"/>
                <w:sz w:val="24"/>
                <w:lang w:eastAsia="zh-CN" w:bidi="ar"/>
              </w:rPr>
              <w:t>未落实，一次扣</w:t>
            </w:r>
            <w:r>
              <w:rPr>
                <w:rFonts w:hint="eastAsia" w:ascii="宋体" w:hAnsi="宋体" w:cs="宋体"/>
                <w:color w:val="000000"/>
                <w:sz w:val="24"/>
                <w:lang w:val="en-US" w:eastAsia="zh-CN" w:bidi="ar"/>
              </w:rPr>
              <w:t>10分。</w:t>
            </w:r>
          </w:p>
        </w:tc>
      </w:tr>
      <w:tr w14:paraId="3AC15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 w:hRule="atLeast"/>
          <w:jc w:val="center"/>
        </w:trPr>
        <w:tc>
          <w:tcPr>
            <w:tcW w:w="1689" w:type="dxa"/>
            <w:noWrap w:val="0"/>
            <w:vAlign w:val="center"/>
          </w:tcPr>
          <w:p w14:paraId="62C24684">
            <w:pPr>
              <w:widowControl/>
              <w:jc w:val="center"/>
              <w:rPr>
                <w:sz w:val="24"/>
              </w:rPr>
            </w:pPr>
            <w:r>
              <w:rPr>
                <w:rFonts w:hint="eastAsia" w:ascii="宋体" w:hAnsi="宋体" w:cs="宋体"/>
                <w:color w:val="000000"/>
                <w:sz w:val="24"/>
                <w:lang w:bidi="ar"/>
              </w:rPr>
              <w:t>区交通局安</w:t>
            </w:r>
          </w:p>
          <w:p w14:paraId="3689AE77">
            <w:pPr>
              <w:widowControl/>
              <w:jc w:val="center"/>
              <w:rPr>
                <w:sz w:val="24"/>
              </w:rPr>
            </w:pPr>
            <w:r>
              <w:rPr>
                <w:rFonts w:hint="eastAsia" w:ascii="宋体" w:hAnsi="宋体" w:cs="宋体"/>
                <w:color w:val="000000"/>
                <w:sz w:val="24"/>
                <w:lang w:bidi="ar"/>
              </w:rPr>
              <w:t>排的其它工</w:t>
            </w:r>
          </w:p>
          <w:p w14:paraId="2EF7D720">
            <w:pPr>
              <w:widowControl/>
              <w:jc w:val="center"/>
              <w:rPr>
                <w:sz w:val="24"/>
              </w:rPr>
            </w:pPr>
            <w:r>
              <w:rPr>
                <w:rFonts w:hint="eastAsia" w:ascii="宋体" w:hAnsi="宋体" w:cs="宋体"/>
                <w:color w:val="000000"/>
                <w:sz w:val="24"/>
                <w:lang w:bidi="ar"/>
              </w:rPr>
              <w:t>作完成情况</w:t>
            </w:r>
          </w:p>
        </w:tc>
        <w:tc>
          <w:tcPr>
            <w:tcW w:w="840" w:type="dxa"/>
            <w:noWrap w:val="0"/>
            <w:vAlign w:val="center"/>
          </w:tcPr>
          <w:p w14:paraId="72276E61">
            <w:pPr>
              <w:widowControl/>
              <w:jc w:val="center"/>
              <w:rPr>
                <w:sz w:val="24"/>
              </w:rPr>
            </w:pPr>
            <w:r>
              <w:rPr>
                <w:rFonts w:hint="eastAsia" w:ascii="宋体" w:hAnsi="宋体" w:cs="宋体"/>
                <w:color w:val="000000"/>
                <w:sz w:val="24"/>
                <w:lang w:val="en-US" w:eastAsia="zh-CN" w:bidi="ar"/>
              </w:rPr>
              <w:t>5分</w:t>
            </w:r>
            <w:r>
              <w:rPr>
                <w:rFonts w:hint="eastAsia" w:ascii="宋体" w:hAnsi="宋体" w:cs="宋体"/>
                <w:color w:val="000000"/>
                <w:sz w:val="24"/>
                <w:lang w:bidi="ar"/>
              </w:rPr>
              <w:t>分</w:t>
            </w:r>
          </w:p>
        </w:tc>
        <w:tc>
          <w:tcPr>
            <w:tcW w:w="4137" w:type="dxa"/>
            <w:noWrap w:val="0"/>
            <w:vAlign w:val="center"/>
          </w:tcPr>
          <w:p w14:paraId="44ADC886">
            <w:pPr>
              <w:widowControl/>
              <w:jc w:val="center"/>
              <w:rPr>
                <w:sz w:val="24"/>
              </w:rPr>
            </w:pPr>
            <w:r>
              <w:rPr>
                <w:rFonts w:hint="eastAsia" w:ascii="宋体" w:hAnsi="宋体" w:cs="宋体"/>
                <w:color w:val="000000"/>
                <w:sz w:val="24"/>
                <w:lang w:bidi="ar"/>
              </w:rPr>
              <w:t>按时保质完成南京市江宁区交通运输局安排的其它工作。</w:t>
            </w:r>
          </w:p>
        </w:tc>
        <w:tc>
          <w:tcPr>
            <w:tcW w:w="3081" w:type="dxa"/>
            <w:noWrap w:val="0"/>
            <w:vAlign w:val="center"/>
          </w:tcPr>
          <w:p w14:paraId="3DB4E43D">
            <w:pPr>
              <w:widowControl/>
              <w:jc w:val="center"/>
              <w:rPr>
                <w:sz w:val="24"/>
              </w:rPr>
            </w:pPr>
            <w:r>
              <w:rPr>
                <w:rFonts w:hint="eastAsia" w:ascii="宋体" w:hAnsi="宋体" w:cs="宋体"/>
                <w:color w:val="000000"/>
                <w:sz w:val="24"/>
                <w:lang w:bidi="ar"/>
              </w:rPr>
              <w:t>报表、材料等工作不及时一次扣1分，未按要求填报或质量不高一次扣1分。</w:t>
            </w:r>
          </w:p>
        </w:tc>
      </w:tr>
      <w:tr w14:paraId="05BBB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1689" w:type="dxa"/>
            <w:noWrap w:val="0"/>
            <w:vAlign w:val="center"/>
          </w:tcPr>
          <w:p w14:paraId="233A0505">
            <w:pPr>
              <w:widowControl/>
              <w:jc w:val="center"/>
              <w:rPr>
                <w:sz w:val="24"/>
              </w:rPr>
            </w:pPr>
            <w:r>
              <w:rPr>
                <w:rFonts w:hint="eastAsia" w:ascii="宋体" w:hAnsi="宋体" w:cs="宋体"/>
                <w:color w:val="000000"/>
                <w:sz w:val="24"/>
                <w:lang w:bidi="ar"/>
              </w:rPr>
              <w:t>总分</w:t>
            </w:r>
          </w:p>
        </w:tc>
        <w:tc>
          <w:tcPr>
            <w:tcW w:w="840" w:type="dxa"/>
            <w:noWrap w:val="0"/>
            <w:vAlign w:val="center"/>
          </w:tcPr>
          <w:p w14:paraId="04D30FA7">
            <w:pPr>
              <w:widowControl/>
              <w:jc w:val="center"/>
              <w:rPr>
                <w:sz w:val="24"/>
              </w:rPr>
            </w:pPr>
            <w:r>
              <w:rPr>
                <w:rFonts w:hint="eastAsia" w:ascii="宋体" w:hAnsi="宋体" w:cs="宋体"/>
                <w:color w:val="000000"/>
                <w:sz w:val="24"/>
                <w:lang w:bidi="ar"/>
              </w:rPr>
              <w:t>100分</w:t>
            </w:r>
          </w:p>
        </w:tc>
        <w:tc>
          <w:tcPr>
            <w:tcW w:w="4137" w:type="dxa"/>
            <w:noWrap w:val="0"/>
            <w:vAlign w:val="center"/>
          </w:tcPr>
          <w:p w14:paraId="6182F8BD">
            <w:pPr>
              <w:jc w:val="center"/>
              <w:rPr>
                <w:sz w:val="24"/>
              </w:rPr>
            </w:pPr>
          </w:p>
        </w:tc>
        <w:tc>
          <w:tcPr>
            <w:tcW w:w="3081" w:type="dxa"/>
            <w:noWrap w:val="0"/>
            <w:vAlign w:val="center"/>
          </w:tcPr>
          <w:p w14:paraId="01F23F42">
            <w:pPr>
              <w:jc w:val="center"/>
              <w:rPr>
                <w:sz w:val="24"/>
              </w:rPr>
            </w:pPr>
          </w:p>
        </w:tc>
      </w:tr>
    </w:tbl>
    <w:p w14:paraId="5CC753F2">
      <w:pPr>
        <w:rPr>
          <w:rFonts w:hint="eastAsia" w:ascii="宋体" w:hAnsi="宋体" w:eastAsia="宋体" w:cs="宋体"/>
          <w:b/>
          <w:bCs/>
          <w:sz w:val="28"/>
          <w:szCs w:val="28"/>
          <w:highlight w:val="none"/>
        </w:rPr>
      </w:pPr>
      <w:r>
        <w:rPr>
          <w:rFonts w:hint="eastAsia" w:ascii="黑体" w:eastAsia="黑体"/>
          <w:sz w:val="48"/>
          <w:szCs w:val="48"/>
        </w:rPr>
        <w:br w:type="page" w:clear="all"/>
      </w:r>
    </w:p>
    <w:p w14:paraId="331D6DD0">
      <w:pPr>
        <w:pStyle w:val="42"/>
        <w:keepNext w:val="0"/>
        <w:keepLines w:val="0"/>
        <w:pageBreakBefore w:val="0"/>
        <w:spacing w:line="360" w:lineRule="auto"/>
        <w:ind w:firstLine="420"/>
        <w:rPr>
          <w:rFonts w:hint="eastAsia" w:ascii="宋体" w:hAnsi="宋体" w:eastAsia="宋体" w:cs="宋体"/>
          <w:sz w:val="21"/>
          <w:szCs w:val="21"/>
          <w:lang w:val="en-US" w:eastAsia="zh-CN" w:bidi="ar-SA"/>
        </w:rPr>
      </w:pPr>
    </w:p>
    <w:p w14:paraId="6B31FF7B">
      <w:pPr>
        <w:pStyle w:val="42"/>
        <w:ind w:left="0" w:firstLine="0"/>
        <w:rPr>
          <w:rFonts w:hint="eastAsia" w:ascii="宋体" w:hAnsi="宋体" w:cs="宋体"/>
          <w:b/>
          <w:color w:val="000000"/>
          <w:szCs w:val="21"/>
        </w:rPr>
      </w:pPr>
    </w:p>
    <w:p w14:paraId="0D13EE51">
      <w:pPr>
        <w:pStyle w:val="41"/>
        <w:widowControl/>
        <w:spacing w:before="156" w:after="156" w:line="460" w:lineRule="exact"/>
        <w:ind w:left="1455" w:hanging="1455"/>
        <w:contextualSpacing/>
        <w:jc w:val="center"/>
        <w:outlineLvl w:val="0"/>
        <w:rPr>
          <w:rFonts w:hint="eastAsia" w:ascii="宋体" w:hAnsi="宋体" w:eastAsia="宋体" w:cs="Times New Roman"/>
          <w:b/>
          <w:sz w:val="36"/>
          <w:szCs w:val="30"/>
          <w:lang w:val="zh-CN" w:eastAsia="zh-CN" w:bidi="en-US"/>
        </w:rPr>
      </w:pPr>
      <w:r>
        <w:rPr>
          <w:rFonts w:hint="eastAsia" w:ascii="宋体" w:hAnsi="宋体" w:eastAsia="宋体" w:cs="Times New Roman"/>
          <w:b/>
          <w:sz w:val="36"/>
          <w:szCs w:val="30"/>
          <w:lang w:val="en-US" w:eastAsia="zh-CN" w:bidi="en-US"/>
        </w:rPr>
        <w:t xml:space="preserve">第五章 </w:t>
      </w:r>
      <w:r>
        <w:rPr>
          <w:rFonts w:hint="eastAsia" w:ascii="宋体" w:hAnsi="宋体" w:eastAsia="宋体" w:cs="Times New Roman"/>
          <w:b/>
          <w:sz w:val="36"/>
          <w:szCs w:val="30"/>
          <w:lang w:val="zh-CN" w:eastAsia="zh-CN" w:bidi="en-US"/>
        </w:rPr>
        <w:t xml:space="preserve"> 合同主要条款及格式</w:t>
      </w:r>
    </w:p>
    <w:p w14:paraId="527371AD">
      <w:pPr>
        <w:rPr>
          <w:rFonts w:hint="eastAsia"/>
          <w:lang w:val="zh-CN" w:eastAsia="zh-CN"/>
        </w:rPr>
      </w:pPr>
    </w:p>
    <w:p w14:paraId="1984B894">
      <w:pPr>
        <w:jc w:val="center"/>
        <w:rPr>
          <w:rFonts w:hint="eastAsia" w:ascii="Calibri" w:hAnsi="Calibri"/>
          <w:sz w:val="84"/>
          <w:szCs w:val="84"/>
        </w:rPr>
      </w:pPr>
    </w:p>
    <w:p w14:paraId="579B6605">
      <w:pPr>
        <w:jc w:val="center"/>
        <w:rPr>
          <w:rFonts w:hint="eastAsia" w:ascii="Calibri" w:hAnsi="Calibri"/>
          <w:sz w:val="84"/>
          <w:szCs w:val="84"/>
        </w:rPr>
      </w:pPr>
    </w:p>
    <w:p w14:paraId="701A6385">
      <w:pPr>
        <w:jc w:val="center"/>
        <w:rPr>
          <w:rFonts w:hint="eastAsia" w:ascii="Calibri" w:hAnsi="Calibri"/>
          <w:sz w:val="84"/>
          <w:szCs w:val="84"/>
        </w:rPr>
      </w:pPr>
      <w:r>
        <w:rPr>
          <w:rFonts w:hint="eastAsia" w:ascii="Calibri" w:hAnsi="Calibri"/>
          <w:sz w:val="84"/>
          <w:szCs w:val="84"/>
        </w:rPr>
        <w:t>合同文件</w:t>
      </w:r>
    </w:p>
    <w:p w14:paraId="2BE352CD">
      <w:pPr>
        <w:rPr>
          <w:rFonts w:hint="eastAsia" w:ascii="Calibri" w:hAnsi="Calibri"/>
        </w:rPr>
      </w:pPr>
    </w:p>
    <w:p w14:paraId="006757BC">
      <w:pPr>
        <w:rPr>
          <w:rFonts w:hint="eastAsia" w:ascii="Calibri" w:hAnsi="Calibri"/>
        </w:rPr>
      </w:pPr>
    </w:p>
    <w:p w14:paraId="2360F19D">
      <w:pPr>
        <w:rPr>
          <w:rFonts w:hint="eastAsia" w:ascii="Calibri" w:hAnsi="Calibri"/>
        </w:rPr>
      </w:pPr>
    </w:p>
    <w:p w14:paraId="2DA967ED">
      <w:pPr>
        <w:rPr>
          <w:rFonts w:hint="eastAsia" w:ascii="Calibri" w:hAnsi="Calibri"/>
        </w:rPr>
      </w:pPr>
    </w:p>
    <w:p w14:paraId="09571C9C">
      <w:pPr>
        <w:rPr>
          <w:rFonts w:hint="eastAsia" w:ascii="Calibri" w:hAnsi="Calibri"/>
        </w:rPr>
      </w:pPr>
    </w:p>
    <w:p w14:paraId="193DE566">
      <w:pPr>
        <w:rPr>
          <w:rFonts w:hint="eastAsia" w:ascii="Calibri" w:hAnsi="Calibri"/>
        </w:rPr>
      </w:pPr>
    </w:p>
    <w:p w14:paraId="577D69A9">
      <w:pPr>
        <w:rPr>
          <w:rFonts w:hint="eastAsia" w:ascii="Calibri" w:hAnsi="Calibri"/>
        </w:rPr>
      </w:pPr>
    </w:p>
    <w:p w14:paraId="32BCB0EF">
      <w:pPr>
        <w:rPr>
          <w:rFonts w:hint="eastAsia" w:ascii="Calibri" w:hAnsi="Calibri"/>
        </w:rPr>
      </w:pPr>
    </w:p>
    <w:p w14:paraId="1BBD43E0">
      <w:pPr>
        <w:rPr>
          <w:rFonts w:hint="eastAsia" w:ascii="Calibri" w:hAnsi="Calibri"/>
        </w:rPr>
      </w:pPr>
    </w:p>
    <w:p w14:paraId="24068EA7">
      <w:pPr>
        <w:rPr>
          <w:rFonts w:hint="eastAsia" w:ascii="Calibri" w:hAnsi="Calibri"/>
        </w:rPr>
      </w:pPr>
    </w:p>
    <w:p w14:paraId="1D97D494">
      <w:pPr>
        <w:rPr>
          <w:rFonts w:hint="eastAsia" w:ascii="Calibri" w:hAnsi="Calibri"/>
        </w:rPr>
      </w:pPr>
    </w:p>
    <w:p w14:paraId="413CF594">
      <w:pPr>
        <w:rPr>
          <w:rFonts w:hint="eastAsia" w:ascii="Calibri" w:hAnsi="Calibri"/>
        </w:rPr>
      </w:pPr>
    </w:p>
    <w:p w14:paraId="5CC246F7">
      <w:pPr>
        <w:rPr>
          <w:rFonts w:hint="eastAsia" w:ascii="Calibri" w:hAnsi="Calibri"/>
        </w:rPr>
      </w:pPr>
    </w:p>
    <w:p w14:paraId="07B4C633">
      <w:pPr>
        <w:rPr>
          <w:rFonts w:hint="eastAsia" w:ascii="Calibri" w:hAnsi="Calibri"/>
        </w:rPr>
      </w:pPr>
    </w:p>
    <w:p w14:paraId="07198B08">
      <w:pPr>
        <w:rPr>
          <w:rFonts w:hint="eastAsia" w:ascii="Calibri" w:hAnsi="Calibri"/>
        </w:rPr>
      </w:pPr>
    </w:p>
    <w:p w14:paraId="03CAF5A3">
      <w:pPr>
        <w:rPr>
          <w:rFonts w:hint="eastAsia" w:ascii="Calibri" w:hAnsi="Calibri"/>
        </w:rPr>
      </w:pPr>
    </w:p>
    <w:p w14:paraId="15A22BDE">
      <w:pPr>
        <w:rPr>
          <w:rFonts w:hint="eastAsia" w:ascii="Calibri" w:hAnsi="Calibri"/>
        </w:rPr>
      </w:pPr>
    </w:p>
    <w:p w14:paraId="76EAE62C">
      <w:pPr>
        <w:rPr>
          <w:rFonts w:hint="eastAsia" w:ascii="Calibri" w:hAnsi="Calibri"/>
        </w:rPr>
      </w:pPr>
    </w:p>
    <w:p w14:paraId="31FD622B">
      <w:pPr>
        <w:rPr>
          <w:rFonts w:hint="eastAsia" w:ascii="Calibri" w:hAnsi="Calibri"/>
        </w:rPr>
      </w:pPr>
    </w:p>
    <w:p w14:paraId="2CBAD49A">
      <w:pPr>
        <w:rPr>
          <w:rFonts w:hint="eastAsia" w:ascii="Calibri" w:hAnsi="Calibri"/>
        </w:rPr>
      </w:pPr>
    </w:p>
    <w:p w14:paraId="69775508">
      <w:pPr>
        <w:rPr>
          <w:rFonts w:hint="eastAsia" w:ascii="Calibri" w:hAnsi="Calibri"/>
          <w:sz w:val="36"/>
          <w:szCs w:val="36"/>
        </w:rPr>
      </w:pPr>
      <w:r>
        <w:rPr>
          <w:rFonts w:hint="eastAsia" w:ascii="Calibri" w:hAnsi="Calibri"/>
          <w:sz w:val="36"/>
          <w:szCs w:val="36"/>
        </w:rPr>
        <w:t>发包人：</w:t>
      </w:r>
    </w:p>
    <w:p w14:paraId="11D44F44">
      <w:pPr>
        <w:rPr>
          <w:rFonts w:hint="eastAsia" w:ascii="Calibri" w:hAnsi="Calibri"/>
          <w:sz w:val="36"/>
          <w:szCs w:val="36"/>
        </w:rPr>
      </w:pPr>
      <w:r>
        <w:rPr>
          <w:rFonts w:hint="eastAsia" w:ascii="Calibri" w:hAnsi="Calibri"/>
          <w:sz w:val="36"/>
          <w:szCs w:val="36"/>
        </w:rPr>
        <w:t>承包人：</w:t>
      </w:r>
    </w:p>
    <w:p w14:paraId="49AF143C">
      <w:pPr>
        <w:jc w:val="center"/>
        <w:rPr>
          <w:rFonts w:hint="eastAsia" w:ascii="Calibri" w:hAnsi="Calibri"/>
        </w:rPr>
      </w:pPr>
      <w:r>
        <w:rPr>
          <w:rFonts w:hint="eastAsia" w:ascii="Calibri" w:hAnsi="Calibri"/>
        </w:rPr>
        <w:t>签订地点：</w:t>
      </w:r>
    </w:p>
    <w:p w14:paraId="163B0A3E">
      <w:pPr>
        <w:jc w:val="center"/>
        <w:rPr>
          <w:rFonts w:hint="eastAsia" w:ascii="Calibri" w:hAnsi="Calibri"/>
        </w:rPr>
      </w:pPr>
      <w:r>
        <w:rPr>
          <w:rFonts w:hint="eastAsia" w:ascii="Calibri" w:hAnsi="Calibri"/>
        </w:rPr>
        <w:t>签订日期：</w:t>
      </w:r>
    </w:p>
    <w:p w14:paraId="5FECEB8E">
      <w:pPr>
        <w:rPr>
          <w:rFonts w:hint="eastAsia" w:ascii="Calibri" w:hAnsi="Calibri"/>
          <w:sz w:val="30"/>
          <w:szCs w:val="30"/>
        </w:rPr>
      </w:pPr>
      <w:r>
        <w:rPr>
          <w:rFonts w:hint="eastAsia" w:ascii="Calibri" w:hAnsi="Calibri"/>
          <w:sz w:val="30"/>
          <w:szCs w:val="30"/>
        </w:rPr>
        <w:br w:type="page" w:clear="all"/>
      </w:r>
    </w:p>
    <w:p w14:paraId="4CA3F80F">
      <w:pPr>
        <w:jc w:val="center"/>
        <w:rPr>
          <w:rFonts w:hint="eastAsia" w:ascii="Calibri" w:hAnsi="Calibri"/>
          <w:sz w:val="30"/>
          <w:szCs w:val="30"/>
        </w:rPr>
      </w:pPr>
      <w:r>
        <w:rPr>
          <w:rFonts w:hint="eastAsia" w:ascii="Calibri" w:hAnsi="Calibri"/>
          <w:sz w:val="30"/>
          <w:szCs w:val="30"/>
        </w:rPr>
        <w:t>合同协议书</w:t>
      </w:r>
    </w:p>
    <w:p w14:paraId="6E1C9D79">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u w:val="single"/>
        </w:rPr>
        <w:t>南京市江宁区交通运输局</w:t>
      </w:r>
      <w:r>
        <w:rPr>
          <w:rFonts w:hint="eastAsia" w:ascii="宋体" w:hAnsi="宋体" w:eastAsia="宋体" w:cs="宋体"/>
          <w:sz w:val="24"/>
          <w:szCs w:val="24"/>
        </w:rPr>
        <w:t xml:space="preserve">（发包人名称，以下简称“发包人”）为实施 </w:t>
      </w:r>
      <w:r>
        <w:rPr>
          <w:rFonts w:hint="eastAsia" w:ascii="宋体" w:hAnsi="宋体" w:cs="宋体"/>
          <w:sz w:val="24"/>
          <w:szCs w:val="24"/>
          <w:lang w:eastAsia="zh-CN"/>
        </w:rPr>
        <w:t>2026年江宁区林荫大道示范管护带养护服务</w:t>
      </w:r>
      <w:r>
        <w:rPr>
          <w:rFonts w:hint="eastAsia" w:ascii="宋体" w:hAnsi="宋体" w:eastAsia="宋体" w:cs="宋体"/>
          <w:sz w:val="24"/>
          <w:szCs w:val="24"/>
        </w:rPr>
        <w:t>（项目名称），已接受</w:t>
      </w:r>
      <w:r>
        <w:rPr>
          <w:rFonts w:hint="eastAsia" w:ascii="宋体" w:hAnsi="宋体" w:eastAsia="宋体" w:cs="宋体"/>
          <w:sz w:val="24"/>
          <w:szCs w:val="24"/>
          <w:lang w:val="en-US"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（承包人名称，以下简称“承包人”）对该项目</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的投标。发包人和承包人共同达成如下协议。</w:t>
      </w:r>
    </w:p>
    <w:p w14:paraId="2AB7B31C">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1、项目概况：</w:t>
      </w:r>
    </w:p>
    <w:p w14:paraId="51BC3BA0">
      <w:pPr>
        <w:keepNext w:val="0"/>
        <w:keepLines w:val="0"/>
        <w:pageBreakBefore w:val="0"/>
        <w:widowControl w:val="0"/>
        <w:spacing w:line="360" w:lineRule="auto"/>
        <w:ind w:firstLine="480"/>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zh-CN" w:eastAsia="zh-CN"/>
        </w:rPr>
        <w:t>2026年江宁区林荫大道示范管护带养护服务</w:t>
      </w:r>
      <w:r>
        <w:rPr>
          <w:rFonts w:hint="eastAsia" w:ascii="宋体" w:hAnsi="宋体" w:eastAsia="宋体" w:cs="宋体"/>
          <w:sz w:val="24"/>
          <w:szCs w:val="24"/>
          <w:highlight w:val="none"/>
          <w:lang w:val="en-US" w:eastAsia="zh-CN"/>
        </w:rPr>
        <w:t>，江宁区林荫大道集中管护工程分布在江宁、秣陵、横溪、谷里、湖熟五个街道，共15条道路，路面宽度为6~7m，合计里程88.93km。</w:t>
      </w:r>
    </w:p>
    <w:p w14:paraId="494339D6">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2、下列文件应视为构成合同文件的组成部分：</w:t>
      </w:r>
    </w:p>
    <w:p w14:paraId="76F5EBE2">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（1）本协议书及各种合同附件（含评标期间和合同谈判过程中的澄清文件和补充资料）；</w:t>
      </w:r>
    </w:p>
    <w:p w14:paraId="7F52E396">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（2）中标通知书；</w:t>
      </w:r>
    </w:p>
    <w:p w14:paraId="27DD1BD1">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（3）投标函及投标函附录；</w:t>
      </w:r>
    </w:p>
    <w:p w14:paraId="2DA4BF98">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（4）合同条款；</w:t>
      </w:r>
    </w:p>
    <w:p w14:paraId="7F35CC3C">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lang w:eastAsia="zh-CN"/>
        </w:rPr>
        <w:t>工作量</w:t>
      </w:r>
      <w:r>
        <w:rPr>
          <w:rFonts w:hint="eastAsia" w:ascii="宋体" w:hAnsi="宋体" w:eastAsia="宋体" w:cs="宋体"/>
          <w:sz w:val="24"/>
          <w:szCs w:val="24"/>
        </w:rPr>
        <w:t>清单计量规则；</w:t>
      </w:r>
    </w:p>
    <w:p w14:paraId="04291D84">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（6）技术规范；</w:t>
      </w:r>
    </w:p>
    <w:p w14:paraId="1A81AC55">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（7）已标价</w:t>
      </w:r>
      <w:r>
        <w:rPr>
          <w:rFonts w:hint="eastAsia" w:ascii="宋体" w:hAnsi="宋体" w:eastAsia="宋体" w:cs="宋体"/>
          <w:sz w:val="24"/>
          <w:szCs w:val="24"/>
          <w:lang w:eastAsia="zh-CN"/>
        </w:rPr>
        <w:t>工作量</w:t>
      </w:r>
      <w:r>
        <w:rPr>
          <w:rFonts w:hint="eastAsia" w:ascii="宋体" w:hAnsi="宋体" w:eastAsia="宋体" w:cs="宋体"/>
          <w:sz w:val="24"/>
          <w:szCs w:val="24"/>
        </w:rPr>
        <w:t>清单；</w:t>
      </w:r>
    </w:p>
    <w:p w14:paraId="29365ACB">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（8）承包人有关人员、设备投入的承诺及投标文件中的施工组织设计；</w:t>
      </w:r>
    </w:p>
    <w:p w14:paraId="366E5FBF">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（9）其他合同文件。</w:t>
      </w:r>
    </w:p>
    <w:p w14:paraId="67924B6C">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上述文件互相补充和解释，如果合同文件之间存在矛盾或不一致之处，以上述文件的排列顺序在先者为准。</w:t>
      </w:r>
    </w:p>
    <w:p w14:paraId="537A0902">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3、根据</w:t>
      </w:r>
      <w:r>
        <w:rPr>
          <w:rFonts w:hint="eastAsia" w:ascii="宋体" w:hAnsi="宋体" w:eastAsia="宋体" w:cs="宋体"/>
          <w:sz w:val="24"/>
          <w:szCs w:val="24"/>
          <w:lang w:eastAsia="zh-CN"/>
        </w:rPr>
        <w:t>工作量</w:t>
      </w:r>
      <w:r>
        <w:rPr>
          <w:rFonts w:hint="eastAsia" w:ascii="宋体" w:hAnsi="宋体" w:eastAsia="宋体" w:cs="宋体"/>
          <w:sz w:val="24"/>
          <w:szCs w:val="24"/>
        </w:rPr>
        <w:t>清单所列的预计数量和单价或总额价计算的本合同总价为人民币（大写）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w:t>
      </w:r>
    </w:p>
    <w:p w14:paraId="21EB0F61">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4、承包人项目经理：</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 ；承包人项目总工：</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 。</w:t>
      </w:r>
    </w:p>
    <w:p w14:paraId="2C021D6B">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5、工程质量标准：符合国家质量验收规范及《公路养护技术规范》；安全目标：无施工安全事故。</w:t>
      </w:r>
    </w:p>
    <w:p w14:paraId="5B82D3B8">
      <w:pPr>
        <w:keepNext w:val="0"/>
        <w:keepLines w:val="0"/>
        <w:pageBreakBefore w:val="0"/>
        <w:widowControl w:val="0"/>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rPr>
        <w:t>6、承包人承诺按合同约定承担工程的实施、完成及缺陷修复。包括对本项目上述范围内的</w:t>
      </w:r>
      <w:r>
        <w:rPr>
          <w:rFonts w:hint="eastAsia" w:ascii="宋体" w:hAnsi="宋体" w:eastAsia="宋体" w:cs="宋体"/>
          <w:sz w:val="24"/>
          <w:szCs w:val="24"/>
          <w:lang w:val="en-US"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p>
    <w:p w14:paraId="0D119F70">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7、发包人承诺按合同约定的条件、时间和方式向承包人支付合同价款。</w:t>
      </w:r>
    </w:p>
    <w:p w14:paraId="61529F47">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highlight w:val="none"/>
        </w:rPr>
        <w:t>项目预付款：</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rPr>
        <w:t>。</w:t>
      </w:r>
    </w:p>
    <w:p w14:paraId="00025195">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（2）中期结算支付：</w:t>
      </w:r>
      <w:r>
        <w:rPr>
          <w:rFonts w:hint="eastAsia" w:ascii="宋体" w:hAnsi="宋体" w:eastAsia="宋体" w:cs="宋体"/>
          <w:sz w:val="24"/>
          <w:szCs w:val="24"/>
          <w:lang w:val="en-US" w:eastAsia="zh-CN"/>
        </w:rPr>
        <w:t>采用基价类和单价类结合的方式，</w:t>
      </w:r>
      <w:r>
        <w:rPr>
          <w:rFonts w:hint="eastAsia" w:ascii="宋体" w:hAnsi="宋体" w:eastAsia="宋体" w:cs="宋体"/>
          <w:sz w:val="24"/>
          <w:szCs w:val="24"/>
        </w:rPr>
        <w:t>本项目采用月度计量，</w:t>
      </w:r>
      <w:r>
        <w:rPr>
          <w:rFonts w:hint="eastAsia" w:ascii="宋体" w:hAnsi="宋体" w:cs="宋体"/>
          <w:sz w:val="24"/>
          <w:szCs w:val="24"/>
          <w:lang w:eastAsia="zh-CN"/>
        </w:rPr>
        <w:t>季度支付</w:t>
      </w:r>
      <w:r>
        <w:rPr>
          <w:rFonts w:hint="eastAsia" w:ascii="宋体" w:hAnsi="宋体" w:eastAsia="宋体" w:cs="宋体"/>
          <w:sz w:val="24"/>
          <w:szCs w:val="24"/>
        </w:rPr>
        <w:t>。</w:t>
      </w:r>
    </w:p>
    <w:p w14:paraId="3FDE2BD5">
      <w:pPr>
        <w:keepNext w:val="0"/>
        <w:keepLines w:val="0"/>
        <w:pageBreakBefore w:val="0"/>
        <w:widowControl w:val="0"/>
        <w:spacing w:line="360" w:lineRule="auto"/>
        <w:ind w:firstLine="480"/>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养护单位按月于月末提出经费支付申请，监理审核、报发包人；监理在收到申报材料后，在两周内完成审定，报发包人并按季度拨付给养护单位。</w:t>
      </w:r>
    </w:p>
    <w:p w14:paraId="25CFD776">
      <w:pPr>
        <w:keepNext w:val="0"/>
        <w:keepLines w:val="0"/>
        <w:pageBreakBefore w:val="0"/>
        <w:widowControl w:val="0"/>
        <w:numPr>
          <w:ilvl w:val="0"/>
          <w:numId w:val="5"/>
        </w:numPr>
        <w:spacing w:line="360" w:lineRule="auto"/>
        <w:ind w:firstLine="480"/>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按月度计量，季度支付</w:t>
      </w:r>
      <w:r>
        <w:rPr>
          <w:rFonts w:hint="eastAsia" w:ascii="宋体" w:hAnsi="宋体" w:cs="宋体"/>
          <w:highlight w:val="none"/>
          <w:lang w:val="en-US" w:eastAsia="zh-CN"/>
        </w:rPr>
        <w:t>。</w:t>
      </w:r>
      <w:r>
        <w:rPr>
          <w:rFonts w:hint="eastAsia" w:ascii="宋体" w:hAnsi="宋体" w:eastAsia="宋体" w:cs="宋体"/>
          <w:color w:val="000000"/>
          <w:sz w:val="24"/>
          <w:szCs w:val="24"/>
          <w:highlight w:val="none"/>
          <w:lang w:val="en-US" w:eastAsia="zh-CN" w:bidi="ar"/>
        </w:rPr>
        <w:t>发包人将对承包人进行考核。考核得分在900-930分，全额拨付季度经费；考核得分在850-900分（不含900分），按（899-季度考核得分）*1000元标准扣除养护经费；考核得分在800-850分（不含850分），按（899-季度考核得分）*2000元标准扣除养护经费；考核得分在800分及以下的，扣除（899-季度考核得分）*5000元标准扣除养护经费。扣除的养护经费在季度拨付当月计量经费中扣除。</w:t>
      </w:r>
    </w:p>
    <w:p w14:paraId="7D71402A">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（4）经费拨付承包人应按照要求开具发票，否则业主有权拒绝付款且不承担任何违约责任。</w:t>
      </w:r>
    </w:p>
    <w:p w14:paraId="297C0058">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（5）涉及到资金来源于街道、园区的，考核和支付以街道、园区相关文件为准，同时区配比资金按照区政府会议纪要同步拨付。</w:t>
      </w:r>
    </w:p>
    <w:p w14:paraId="3FC97818">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（6）由于资金构成涉及上级多部门，因上级部门拨付时间问题引起的逾期付款，业主</w:t>
      </w:r>
    </w:p>
    <w:p w14:paraId="33A15884">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发包人付款前，承包人需要提供符合发包人要求的等额有效发票，若承包人不提供或提供的发票不符合发包人要求的，发包人有权拒绝付款，并不视为发包人违约，承包人仍需继续履行本合同。</w:t>
      </w:r>
    </w:p>
    <w:p w14:paraId="2931D00B">
      <w:pPr>
        <w:keepNext w:val="0"/>
        <w:keepLines w:val="0"/>
        <w:pageBreakBefore w:val="0"/>
        <w:widowControl w:val="0"/>
        <w:spacing w:line="360" w:lineRule="auto"/>
        <w:ind w:firstLine="480"/>
        <w:rPr>
          <w:rFonts w:hint="eastAsia" w:ascii="Calibri" w:hAnsi="Calibri"/>
          <w:sz w:val="24"/>
          <w:szCs w:val="32"/>
          <w:highlight w:val="none"/>
        </w:rPr>
      </w:pPr>
      <w:r>
        <w:rPr>
          <w:rFonts w:hint="eastAsia" w:ascii="Calibri" w:hAnsi="Calibri"/>
          <w:sz w:val="24"/>
          <w:szCs w:val="32"/>
          <w:highlight w:val="none"/>
        </w:rPr>
        <w:t>8、承包人应按照监理人指示开工，预计自</w:t>
      </w:r>
      <w:r>
        <w:rPr>
          <w:rFonts w:hint="eastAsia" w:ascii="Calibri" w:hAnsi="Calibri"/>
          <w:sz w:val="24"/>
          <w:szCs w:val="32"/>
          <w:highlight w:val="none"/>
          <w:u w:val="single"/>
          <w:lang w:val="en-US" w:eastAsia="zh-CN"/>
        </w:rPr>
        <w:t xml:space="preserve">     </w:t>
      </w:r>
      <w:r>
        <w:rPr>
          <w:rFonts w:hint="eastAsia" w:ascii="Calibri" w:hAnsi="Calibri"/>
          <w:sz w:val="24"/>
          <w:szCs w:val="32"/>
          <w:highlight w:val="none"/>
        </w:rPr>
        <w:t>年</w:t>
      </w:r>
      <w:r>
        <w:rPr>
          <w:rFonts w:hint="eastAsia" w:ascii="Calibri" w:hAnsi="Calibri"/>
          <w:sz w:val="24"/>
          <w:szCs w:val="32"/>
          <w:highlight w:val="none"/>
          <w:u w:val="single"/>
          <w:lang w:val="en-US" w:eastAsia="zh-CN"/>
        </w:rPr>
        <w:t xml:space="preserve">    </w:t>
      </w:r>
      <w:r>
        <w:rPr>
          <w:rFonts w:hint="eastAsia" w:ascii="Calibri" w:hAnsi="Calibri"/>
          <w:sz w:val="24"/>
          <w:szCs w:val="32"/>
          <w:highlight w:val="none"/>
        </w:rPr>
        <w:t>月</w:t>
      </w:r>
      <w:r>
        <w:rPr>
          <w:rFonts w:hint="eastAsia" w:ascii="Calibri" w:hAnsi="Calibri"/>
          <w:sz w:val="24"/>
          <w:szCs w:val="32"/>
          <w:highlight w:val="none"/>
          <w:u w:val="single"/>
        </w:rPr>
        <w:t xml:space="preserve"> </w:t>
      </w:r>
      <w:r>
        <w:rPr>
          <w:rFonts w:hint="eastAsia" w:ascii="Calibri" w:hAnsi="Calibri"/>
          <w:sz w:val="24"/>
          <w:szCs w:val="32"/>
          <w:highlight w:val="none"/>
          <w:u w:val="single"/>
          <w:lang w:val="en-US" w:eastAsia="zh-CN"/>
        </w:rPr>
        <w:t xml:space="preserve">   </w:t>
      </w:r>
      <w:r>
        <w:rPr>
          <w:rFonts w:hint="eastAsia" w:ascii="Calibri" w:hAnsi="Calibri"/>
          <w:sz w:val="24"/>
          <w:szCs w:val="32"/>
          <w:highlight w:val="none"/>
        </w:rPr>
        <w:t>日至</w:t>
      </w:r>
      <w:r>
        <w:rPr>
          <w:rFonts w:hint="eastAsia" w:ascii="Calibri" w:hAnsi="Calibri"/>
          <w:sz w:val="24"/>
          <w:szCs w:val="32"/>
          <w:highlight w:val="none"/>
          <w:u w:val="single"/>
        </w:rPr>
        <w:t xml:space="preserve"> </w:t>
      </w:r>
      <w:r>
        <w:rPr>
          <w:rFonts w:hint="eastAsia" w:ascii="Calibri" w:hAnsi="Calibri"/>
          <w:sz w:val="24"/>
          <w:szCs w:val="32"/>
          <w:highlight w:val="none"/>
          <w:u w:val="single"/>
          <w:lang w:val="en-US" w:eastAsia="zh-CN"/>
        </w:rPr>
        <w:t xml:space="preserve">   </w:t>
      </w:r>
      <w:r>
        <w:rPr>
          <w:rFonts w:hint="eastAsia" w:ascii="Calibri" w:hAnsi="Calibri"/>
          <w:sz w:val="24"/>
          <w:szCs w:val="32"/>
          <w:highlight w:val="none"/>
        </w:rPr>
        <w:t>年</w:t>
      </w:r>
      <w:r>
        <w:rPr>
          <w:rFonts w:hint="eastAsia" w:ascii="Calibri" w:hAnsi="Calibri"/>
          <w:sz w:val="24"/>
          <w:szCs w:val="32"/>
          <w:highlight w:val="none"/>
          <w:u w:val="single"/>
          <w:lang w:val="en-US" w:eastAsia="zh-CN"/>
        </w:rPr>
        <w:t xml:space="preserve">  </w:t>
      </w:r>
      <w:r>
        <w:rPr>
          <w:rFonts w:hint="eastAsia" w:ascii="Calibri" w:hAnsi="Calibri"/>
          <w:sz w:val="24"/>
          <w:szCs w:val="32"/>
          <w:highlight w:val="none"/>
        </w:rPr>
        <w:t>月</w:t>
      </w:r>
      <w:r>
        <w:rPr>
          <w:rFonts w:hint="eastAsia" w:ascii="Calibri" w:hAnsi="Calibri"/>
          <w:sz w:val="24"/>
          <w:szCs w:val="32"/>
          <w:highlight w:val="none"/>
          <w:u w:val="single"/>
        </w:rPr>
        <w:t xml:space="preserve"> </w:t>
      </w:r>
      <w:r>
        <w:rPr>
          <w:rFonts w:hint="eastAsia" w:ascii="Calibri" w:hAnsi="Calibri"/>
          <w:sz w:val="24"/>
          <w:szCs w:val="32"/>
          <w:highlight w:val="none"/>
          <w:u w:val="single"/>
          <w:lang w:val="en-US" w:eastAsia="zh-CN"/>
        </w:rPr>
        <w:t xml:space="preserve">   </w:t>
      </w:r>
      <w:r>
        <w:rPr>
          <w:rFonts w:hint="eastAsia" w:ascii="Calibri" w:hAnsi="Calibri"/>
          <w:sz w:val="24"/>
          <w:szCs w:val="32"/>
          <w:highlight w:val="none"/>
        </w:rPr>
        <w:t>日；工期为</w:t>
      </w:r>
      <w:r>
        <w:rPr>
          <w:rFonts w:hint="eastAsia" w:ascii="Calibri" w:hAnsi="Calibri"/>
          <w:sz w:val="24"/>
          <w:szCs w:val="32"/>
          <w:highlight w:val="none"/>
          <w:u w:val="single"/>
        </w:rPr>
        <w:t xml:space="preserve"> </w:t>
      </w:r>
      <w:r>
        <w:rPr>
          <w:rFonts w:hint="eastAsia" w:ascii="Calibri" w:hAnsi="Calibri"/>
          <w:sz w:val="24"/>
          <w:szCs w:val="32"/>
          <w:highlight w:val="none"/>
          <w:u w:val="single"/>
          <w:lang w:val="en-US" w:eastAsia="zh-CN"/>
        </w:rPr>
        <w:t xml:space="preserve">      </w:t>
      </w:r>
      <w:r>
        <w:rPr>
          <w:rFonts w:hint="eastAsia" w:ascii="Calibri" w:hAnsi="Calibri"/>
          <w:sz w:val="24"/>
          <w:szCs w:val="32"/>
          <w:highlight w:val="none"/>
        </w:rPr>
        <w:t>个日历天。</w:t>
      </w:r>
    </w:p>
    <w:p w14:paraId="561BF63B">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9、本协议书由双方法定代表人或其委托代理人签署并加盖单位章后生效。全部工程完工后经交工验收合格、缺陷责任期满签发缺陷责任终止证书后失效。</w:t>
      </w:r>
    </w:p>
    <w:p w14:paraId="7BCB53CF">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10、本协议书正本二份、副本二份，合同双方各执正本一份，副本一份，当</w:t>
      </w:r>
    </w:p>
    <w:p w14:paraId="37CA7185">
      <w:pPr>
        <w:keepNext w:val="0"/>
        <w:keepLines w:val="0"/>
        <w:pageBreakBefore w:val="0"/>
        <w:widowControl w:val="0"/>
        <w:spacing w:line="360" w:lineRule="auto"/>
        <w:rPr>
          <w:rFonts w:hint="eastAsia" w:ascii="宋体" w:hAnsi="宋体" w:eastAsia="宋体" w:cs="宋体"/>
          <w:sz w:val="24"/>
          <w:szCs w:val="32"/>
        </w:rPr>
      </w:pPr>
      <w:r>
        <w:rPr>
          <w:rFonts w:hint="eastAsia" w:ascii="宋体" w:hAnsi="宋体" w:eastAsia="宋体" w:cs="宋体"/>
          <w:sz w:val="24"/>
          <w:szCs w:val="32"/>
        </w:rPr>
        <w:t>正本与副本的内容不一致时，以正本为准。</w:t>
      </w:r>
    </w:p>
    <w:p w14:paraId="141F7C30">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11、合同未尽事宜，双方另行签订补充协议。补充协议是合同的组成部分。</w:t>
      </w:r>
    </w:p>
    <w:p w14:paraId="3F0ABFF3">
      <w:pPr>
        <w:keepNext w:val="0"/>
        <w:keepLines w:val="0"/>
        <w:pageBreakBefore w:val="0"/>
        <w:widowControl w:val="0"/>
        <w:spacing w:line="360" w:lineRule="auto"/>
        <w:rPr>
          <w:rFonts w:hint="eastAsia" w:ascii="宋体" w:hAnsi="宋体" w:eastAsia="宋体" w:cs="宋体"/>
          <w:sz w:val="24"/>
          <w:szCs w:val="32"/>
        </w:rPr>
      </w:pPr>
    </w:p>
    <w:p w14:paraId="6970C8F1">
      <w:pPr>
        <w:keepNext w:val="0"/>
        <w:keepLines w:val="0"/>
        <w:pageBreakBefore w:val="0"/>
        <w:widowControl w:val="0"/>
        <w:spacing w:line="360" w:lineRule="auto"/>
        <w:rPr>
          <w:rFonts w:hint="eastAsia" w:ascii="宋体" w:hAnsi="宋体" w:eastAsia="宋体" w:cs="宋体"/>
          <w:sz w:val="24"/>
          <w:szCs w:val="32"/>
        </w:rPr>
      </w:pPr>
      <w:r>
        <w:rPr>
          <w:rFonts w:hint="eastAsia" w:ascii="宋体" w:hAnsi="宋体" w:eastAsia="宋体" w:cs="宋体"/>
          <w:sz w:val="24"/>
          <w:szCs w:val="32"/>
        </w:rPr>
        <w:t xml:space="preserve">发包人：南京市江宁区交通运输局 </w:t>
      </w:r>
      <w:r>
        <w:rPr>
          <w:rFonts w:hint="eastAsia" w:ascii="宋体" w:hAnsi="宋体" w:eastAsia="宋体" w:cs="宋体"/>
          <w:sz w:val="24"/>
          <w:szCs w:val="32"/>
          <w:lang w:val="en-US" w:eastAsia="zh-CN"/>
        </w:rPr>
        <w:t xml:space="preserve">      </w:t>
      </w:r>
      <w:r>
        <w:rPr>
          <w:rFonts w:hint="eastAsia" w:ascii="宋体" w:hAnsi="宋体" w:eastAsia="宋体" w:cs="宋体"/>
          <w:sz w:val="24"/>
          <w:szCs w:val="32"/>
        </w:rPr>
        <w:t>承包人：</w:t>
      </w:r>
    </w:p>
    <w:p w14:paraId="3F053E19">
      <w:pPr>
        <w:keepNext w:val="0"/>
        <w:keepLines w:val="0"/>
        <w:pageBreakBefore w:val="0"/>
        <w:widowControl w:val="0"/>
        <w:spacing w:line="360" w:lineRule="auto"/>
        <w:ind w:firstLine="960"/>
        <w:rPr>
          <w:rFonts w:hint="eastAsia" w:ascii="宋体" w:hAnsi="宋体" w:eastAsia="宋体" w:cs="宋体"/>
          <w:sz w:val="24"/>
          <w:szCs w:val="32"/>
        </w:rPr>
      </w:pPr>
      <w:r>
        <w:rPr>
          <w:rFonts w:hint="eastAsia" w:ascii="宋体" w:hAnsi="宋体" w:eastAsia="宋体" w:cs="宋体"/>
          <w:sz w:val="24"/>
          <w:szCs w:val="32"/>
        </w:rPr>
        <w:t xml:space="preserve">（盖单位章） </w:t>
      </w:r>
      <w:r>
        <w:rPr>
          <w:rFonts w:hint="eastAsia" w:ascii="宋体" w:hAnsi="宋体" w:eastAsia="宋体" w:cs="宋体"/>
          <w:sz w:val="24"/>
          <w:szCs w:val="32"/>
          <w:lang w:val="en-US" w:eastAsia="zh-CN"/>
        </w:rPr>
        <w:t xml:space="preserve">                              </w:t>
      </w:r>
      <w:r>
        <w:rPr>
          <w:rFonts w:hint="eastAsia" w:ascii="宋体" w:hAnsi="宋体" w:eastAsia="宋体" w:cs="宋体"/>
          <w:sz w:val="24"/>
          <w:szCs w:val="32"/>
        </w:rPr>
        <w:t>（盖单位章）</w:t>
      </w:r>
    </w:p>
    <w:p w14:paraId="19657E75">
      <w:pPr>
        <w:keepNext w:val="0"/>
        <w:keepLines w:val="0"/>
        <w:pageBreakBefore w:val="0"/>
        <w:widowControl w:val="0"/>
        <w:spacing w:line="360" w:lineRule="auto"/>
        <w:rPr>
          <w:rFonts w:hint="eastAsia" w:ascii="宋体" w:hAnsi="宋体" w:eastAsia="宋体" w:cs="宋体"/>
          <w:sz w:val="24"/>
          <w:szCs w:val="32"/>
        </w:rPr>
      </w:pPr>
      <w:r>
        <w:rPr>
          <w:rFonts w:hint="eastAsia" w:ascii="宋体" w:hAnsi="宋体" w:eastAsia="宋体" w:cs="宋体"/>
          <w:sz w:val="24"/>
          <w:szCs w:val="32"/>
        </w:rPr>
        <w:t xml:space="preserve">法定代表人 </w:t>
      </w:r>
      <w:r>
        <w:rPr>
          <w:rFonts w:hint="eastAsia" w:ascii="宋体" w:hAnsi="宋体" w:eastAsia="宋体" w:cs="宋体"/>
          <w:sz w:val="24"/>
          <w:szCs w:val="32"/>
          <w:lang w:val="en-US" w:eastAsia="zh-CN"/>
        </w:rPr>
        <w:t xml:space="preserve">                                  </w:t>
      </w:r>
      <w:r>
        <w:rPr>
          <w:rFonts w:hint="eastAsia" w:ascii="宋体" w:hAnsi="宋体" w:eastAsia="宋体" w:cs="宋体"/>
          <w:sz w:val="24"/>
          <w:szCs w:val="32"/>
        </w:rPr>
        <w:t>法定代表人</w:t>
      </w:r>
    </w:p>
    <w:p w14:paraId="10B640CE">
      <w:pPr>
        <w:keepNext w:val="0"/>
        <w:keepLines w:val="0"/>
        <w:pageBreakBefore w:val="0"/>
        <w:widowControl w:val="0"/>
        <w:spacing w:line="360" w:lineRule="auto"/>
        <w:rPr>
          <w:rFonts w:hint="eastAsia" w:ascii="宋体" w:hAnsi="宋体" w:eastAsia="宋体" w:cs="宋体"/>
          <w:sz w:val="24"/>
          <w:szCs w:val="32"/>
        </w:rPr>
      </w:pPr>
      <w:r>
        <w:rPr>
          <w:rFonts w:hint="eastAsia" w:ascii="宋体" w:hAnsi="宋体" w:eastAsia="宋体" w:cs="宋体"/>
          <w:sz w:val="24"/>
          <w:szCs w:val="32"/>
        </w:rPr>
        <w:t xml:space="preserve">或其委托代理人： （签字） </w:t>
      </w:r>
      <w:r>
        <w:rPr>
          <w:rFonts w:hint="eastAsia" w:ascii="宋体" w:hAnsi="宋体" w:eastAsia="宋体" w:cs="宋体"/>
          <w:sz w:val="24"/>
          <w:szCs w:val="32"/>
          <w:lang w:val="en-US" w:eastAsia="zh-CN"/>
        </w:rPr>
        <w:t xml:space="preserve">                    </w:t>
      </w:r>
      <w:r>
        <w:rPr>
          <w:rFonts w:hint="eastAsia" w:ascii="宋体" w:hAnsi="宋体" w:eastAsia="宋体" w:cs="宋体"/>
          <w:sz w:val="24"/>
          <w:szCs w:val="32"/>
        </w:rPr>
        <w:t>或其委托代理人： （签字）</w:t>
      </w:r>
    </w:p>
    <w:p w14:paraId="5D6B8CDE">
      <w:pPr>
        <w:keepNext w:val="0"/>
        <w:keepLines w:val="0"/>
        <w:pageBreakBefore w:val="0"/>
        <w:widowControl w:val="0"/>
        <w:spacing w:line="360" w:lineRule="auto"/>
        <w:rPr>
          <w:rFonts w:hint="eastAsia" w:ascii="宋体" w:hAnsi="宋体" w:eastAsia="宋体" w:cs="宋体"/>
          <w:sz w:val="24"/>
          <w:szCs w:val="32"/>
        </w:rPr>
      </w:pPr>
      <w:r>
        <w:rPr>
          <w:rFonts w:hint="eastAsia" w:ascii="宋体" w:hAnsi="宋体" w:eastAsia="宋体" w:cs="宋体"/>
          <w:sz w:val="24"/>
          <w:szCs w:val="32"/>
        </w:rPr>
        <w:t xml:space="preserve">年 月 日 </w:t>
      </w:r>
      <w:r>
        <w:rPr>
          <w:rFonts w:hint="eastAsia" w:ascii="宋体" w:hAnsi="宋体" w:eastAsia="宋体" w:cs="宋体"/>
          <w:sz w:val="24"/>
          <w:szCs w:val="32"/>
          <w:lang w:val="en-US" w:eastAsia="zh-CN"/>
        </w:rPr>
        <w:t xml:space="preserve">                                     </w:t>
      </w:r>
      <w:r>
        <w:rPr>
          <w:rFonts w:hint="eastAsia" w:ascii="宋体" w:hAnsi="宋体" w:eastAsia="宋体" w:cs="宋体"/>
          <w:sz w:val="24"/>
          <w:szCs w:val="32"/>
        </w:rPr>
        <w:t>年 月 日</w:t>
      </w:r>
    </w:p>
    <w:p w14:paraId="3C9EABA3">
      <w:pPr>
        <w:jc w:val="center"/>
        <w:rPr>
          <w:rFonts w:hint="eastAsia" w:ascii="Calibri" w:hAnsi="Calibri"/>
          <w:b/>
          <w:bCs/>
          <w:sz w:val="28"/>
          <w:szCs w:val="36"/>
        </w:rPr>
      </w:pPr>
      <w:r>
        <w:rPr>
          <w:rFonts w:hint="eastAsia" w:ascii="Calibri" w:hAnsi="Calibri"/>
          <w:b/>
          <w:bCs/>
          <w:sz w:val="28"/>
          <w:szCs w:val="36"/>
        </w:rPr>
        <w:t>廉政合同</w:t>
      </w:r>
    </w:p>
    <w:p w14:paraId="23B41AF0">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根据《关于在交通基础设施建设中加强廉政建设的若干意见》以及有关工程建设、廉政建设的规定，为做好工程建设中的党风廉政建设，保证工程建设高效优质，保证建设资金的安全和有效使用以及投资效益，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宋体" w:hAnsi="宋体" w:cs="宋体"/>
          <w:sz w:val="24"/>
          <w:szCs w:val="32"/>
          <w:lang w:eastAsia="zh-CN"/>
        </w:rPr>
        <w:t>2026年江宁区林荫大道示范管护带养护服务</w:t>
      </w:r>
      <w:r>
        <w:rPr>
          <w:rFonts w:hint="eastAsia" w:ascii="宋体" w:hAnsi="宋体" w:eastAsia="宋体" w:cs="宋体"/>
          <w:sz w:val="24"/>
          <w:szCs w:val="32"/>
        </w:rPr>
        <w:t>的项目法人</w:t>
      </w:r>
      <w:r>
        <w:rPr>
          <w:rFonts w:hint="eastAsia" w:ascii="宋体" w:hAnsi="宋体" w:eastAsia="宋体" w:cs="宋体"/>
          <w:sz w:val="24"/>
          <w:szCs w:val="32"/>
          <w:u w:val="single"/>
        </w:rPr>
        <w:t>南京市江宁区交通运输局</w:t>
      </w:r>
      <w:r>
        <w:rPr>
          <w:rFonts w:hint="eastAsia" w:ascii="宋体" w:hAnsi="宋体" w:eastAsia="宋体" w:cs="宋体"/>
          <w:sz w:val="24"/>
          <w:szCs w:val="32"/>
        </w:rPr>
        <w:t>（项目法人名称，以下简称“发包人”）与该项目的施工单位</w:t>
      </w:r>
      <w:r>
        <w:rPr>
          <w:rFonts w:hint="eastAsia" w:ascii="宋体" w:hAnsi="宋体" w:eastAsia="宋体" w:cs="宋体"/>
          <w:sz w:val="24"/>
          <w:szCs w:val="32"/>
          <w:u w:val="single"/>
          <w:lang w:val="en-US" w:eastAsia="zh-CN"/>
        </w:rPr>
        <w:t xml:space="preserve">                  </w:t>
      </w:r>
      <w:r>
        <w:rPr>
          <w:rFonts w:hint="eastAsia" w:ascii="宋体" w:hAnsi="宋体" w:eastAsia="宋体" w:cs="宋体"/>
          <w:sz w:val="24"/>
          <w:szCs w:val="32"/>
        </w:rPr>
        <w:t>（施工单位名称，以下简称“承包人”），特订立如下合同。</w:t>
      </w:r>
    </w:p>
    <w:p w14:paraId="294467A4">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1.发包人和承包人双方的权利和义务</w:t>
      </w:r>
    </w:p>
    <w:p w14:paraId="01DF9050">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（1）严格遵守党的政策规定和国家有关法律法规及交通运输部的有关规定。</w:t>
      </w:r>
    </w:p>
    <w:p w14:paraId="07211A48">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 xml:space="preserve">（2）严格执行 </w:t>
      </w:r>
      <w:r>
        <w:rPr>
          <w:rFonts w:hint="eastAsia" w:ascii="宋体" w:hAnsi="宋体" w:cs="宋体"/>
          <w:sz w:val="24"/>
          <w:szCs w:val="32"/>
          <w:lang w:eastAsia="zh-CN"/>
        </w:rPr>
        <w:t>2026年江宁区林荫大道示范管护带养护服务</w:t>
      </w:r>
      <w:r>
        <w:rPr>
          <w:rFonts w:hint="eastAsia" w:ascii="宋体" w:hAnsi="宋体" w:eastAsia="宋体" w:cs="宋体"/>
          <w:sz w:val="24"/>
          <w:szCs w:val="32"/>
        </w:rPr>
        <w:t>合同文件，自觉按合同办事。</w:t>
      </w:r>
    </w:p>
    <w:p w14:paraId="4D8BBA79">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（3）双方的业务活动坚持公开、公正、诚信、透明的原则（法律认定的商业秘密和合同文件另有规定除外），不得损害国家和集体利益，不得违反工程建设管理规章制度。</w:t>
      </w:r>
    </w:p>
    <w:p w14:paraId="0145B623">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（4）建立健全廉政制度，开展廉政教育，设立廉政告示牌，公布举报电话，监督并认真查处违法违纪行为。</w:t>
      </w:r>
    </w:p>
    <w:p w14:paraId="14D30505">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（5）发现对方在业务活动中有违反廉政规定的行为，有及时提醒对方纠正的权利和义务。</w:t>
      </w:r>
    </w:p>
    <w:p w14:paraId="0025C290">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（6）发现对方严重违反本合同义务条款的行为，有向其上级有关部门举报、建议给予处理并要求告知处理结果的权利。</w:t>
      </w:r>
    </w:p>
    <w:p w14:paraId="739BFE2B">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2.发包人的义务</w:t>
      </w:r>
    </w:p>
    <w:p w14:paraId="78A958F0">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（1）发包人及其工作人员不得索要或接受承包人的礼金、有价证券和贵重物品，不得让承包人报销任何应由发包人或发包人工作人员个人支付的费用等。</w:t>
      </w:r>
    </w:p>
    <w:p w14:paraId="4ED6B0DA">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（2）发包人工作人员不得参加承包人安排的超标准宴请和娱乐活动；不得接受承包人提供的通信工具、交通工具和高档办公用品等。</w:t>
      </w:r>
    </w:p>
    <w:p w14:paraId="4836F561">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（3）发包人及其工作人员不得要求或者接受承包人为其住房装修、婚丧嫁娶活动、配偶子女的工作安排以及出国出境、旅游等提供方便等。</w:t>
      </w:r>
    </w:p>
    <w:p w14:paraId="35A65C69">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（4）发包人工作人员及其配偶、子女不得从事与发包人工程有关的材料设备供应、工程分包、劳务等经济活动等。</w:t>
      </w:r>
    </w:p>
    <w:p w14:paraId="0017FEAD">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（5）发包人及其工作人员不得以任何理由向承包人推荐分包单位或推销材料，不得要求承包人购买合同规定外的材料和设备。</w:t>
      </w:r>
    </w:p>
    <w:p w14:paraId="6DCFA211">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（6）发包人工作人员要秉公办事，不准营私舞弊，不准利用职权从事各种个人有偿中介活动和安排个人施工队伍。</w:t>
      </w:r>
    </w:p>
    <w:p w14:paraId="4B5BFA2C">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3.承包人的义务</w:t>
      </w:r>
    </w:p>
    <w:p w14:paraId="5A3AB6F9">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（1）承包人不得以任何理由向发包人及其工作人员行贿或馈赠礼金、有价证券、贵重礼品。</w:t>
      </w:r>
    </w:p>
    <w:p w14:paraId="093758E1">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（2）承包人不得以任何名义为发包人及其工作人员报销应由发包人单位或个人支付的任何费用。</w:t>
      </w:r>
    </w:p>
    <w:p w14:paraId="061AF01B">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（3）承包人不得以任何理由安排发包人工作人员参加超标准宴请及娱乐活动。</w:t>
      </w:r>
    </w:p>
    <w:p w14:paraId="0FF150A7">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（4）承包人不得为发包人单位和个人购置或提供通信工具、交通工具和高档办公用品等。</w:t>
      </w:r>
    </w:p>
    <w:p w14:paraId="0CDB5BBA">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4.违约责任</w:t>
      </w:r>
    </w:p>
    <w:p w14:paraId="53316DB2">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（1）发包人及其工作人员违反本合同第 1、2条，按管理权限，依据有关规定给予党纪、政纪或组织处理；涉嫌犯罪的，移交司法机关追究刑事责任；给承包人单位造成经济损失的，应予以赔偿。</w:t>
      </w:r>
    </w:p>
    <w:p w14:paraId="6C9AAFBE">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（2）承包人及其工作人员违反本合同第 1、3条，按管理权限，依据有关规定给予党纪、政纪或组织处理；给发包人单位造成经济损失的，应予以赔偿；情节严重的，发包人建议交通运输主管部门给予承包人一至三年内不得进入其主管的公路建设市场的处罚。</w:t>
      </w:r>
    </w:p>
    <w:p w14:paraId="061C514C">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5.双方约定：本合同由双方或双方上级单位的纪检监察部门负责监督执行。</w:t>
      </w:r>
    </w:p>
    <w:p w14:paraId="747B28EC">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由发包人或发包人上级单位的纪检监察部门约请承包人或承包人上级单位纪检监察部门对本合同执行情况进行检查，提出在本合同规定范围内的裁定意见。</w:t>
      </w:r>
    </w:p>
    <w:p w14:paraId="19BA3B7A">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6.本合同有效期为发包人和承包人签署之日起至该工程项目竣工验收后止。</w:t>
      </w:r>
    </w:p>
    <w:p w14:paraId="15FC7B65">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 xml:space="preserve">7.本合同作为 </w:t>
      </w:r>
      <w:r>
        <w:rPr>
          <w:rFonts w:hint="eastAsia" w:ascii="宋体" w:hAnsi="宋体" w:cs="宋体"/>
          <w:sz w:val="24"/>
          <w:szCs w:val="24"/>
          <w:lang w:eastAsia="zh-CN"/>
        </w:rPr>
        <w:t>2026年江宁区林荫大道示范管护带养护服务</w:t>
      </w:r>
      <w:r>
        <w:rPr>
          <w:rFonts w:hint="eastAsia" w:ascii="宋体" w:hAnsi="宋体" w:eastAsia="宋体" w:cs="宋体"/>
          <w:sz w:val="24"/>
          <w:szCs w:val="24"/>
        </w:rPr>
        <w:t>施工合同的附件，与工程施工合同具有同等的法律效力，经合同双方签署后立即生效。</w:t>
      </w:r>
    </w:p>
    <w:p w14:paraId="1F443AE0">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8.本合同一式肆份，由发包人和承包人各执二份。</w:t>
      </w:r>
    </w:p>
    <w:p w14:paraId="469FE24A">
      <w:pPr>
        <w:keepNext w:val="0"/>
        <w:keepLines w:val="0"/>
        <w:pageBreakBefore w:val="0"/>
        <w:widowControl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发包人：南京市江宁区交通运输局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承包人：</w:t>
      </w:r>
    </w:p>
    <w:p w14:paraId="653D6B3A">
      <w:pPr>
        <w:keepNext w:val="0"/>
        <w:keepLines w:val="0"/>
        <w:pageBreakBefore w:val="0"/>
        <w:widowControl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（盖单位章）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（盖单位章）</w:t>
      </w:r>
    </w:p>
    <w:p w14:paraId="38888C4B">
      <w:pPr>
        <w:keepNext w:val="0"/>
        <w:keepLines w:val="0"/>
        <w:pageBreakBefore w:val="0"/>
        <w:widowControl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法定代表人</w:t>
      </w:r>
    </w:p>
    <w:p w14:paraId="3BE32A93">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 xml:space="preserve">或其委托代理人： （签字）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或其委托代理人： （签字）</w:t>
      </w:r>
    </w:p>
    <w:p w14:paraId="4AE7B9C4">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 xml:space="preserve">年 月 日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年 月 日</w:t>
      </w:r>
    </w:p>
    <w:p w14:paraId="5828B99E">
      <w:pPr>
        <w:rPr>
          <w:rFonts w:hint="eastAsia" w:ascii="宋体" w:hAnsi="宋体" w:eastAsia="宋体" w:cs="宋体"/>
          <w:sz w:val="24"/>
          <w:szCs w:val="24"/>
        </w:rPr>
      </w:pPr>
      <w:r>
        <w:rPr>
          <w:rFonts w:hint="eastAsia" w:ascii="宋体" w:hAnsi="宋体" w:eastAsia="宋体" w:cs="宋体"/>
          <w:sz w:val="24"/>
          <w:szCs w:val="24"/>
        </w:rPr>
        <w:br w:type="page" w:clear="all"/>
      </w:r>
    </w:p>
    <w:p w14:paraId="509C82DF">
      <w:pPr>
        <w:keepNext w:val="0"/>
        <w:keepLines w:val="0"/>
        <w:pageBreakBefore w:val="0"/>
        <w:widowControl w:val="0"/>
        <w:spacing w:line="360" w:lineRule="auto"/>
        <w:ind w:firstLine="482"/>
        <w:jc w:val="center"/>
        <w:rPr>
          <w:rFonts w:hint="eastAsia" w:ascii="宋体" w:hAnsi="宋体" w:eastAsia="宋体" w:cs="宋体"/>
          <w:b/>
          <w:bCs/>
          <w:sz w:val="24"/>
          <w:szCs w:val="24"/>
        </w:rPr>
      </w:pPr>
      <w:r>
        <w:rPr>
          <w:rFonts w:hint="eastAsia" w:ascii="宋体" w:hAnsi="宋体" w:eastAsia="宋体" w:cs="宋体"/>
          <w:b/>
          <w:bCs/>
          <w:sz w:val="24"/>
          <w:szCs w:val="24"/>
        </w:rPr>
        <w:t>安全生产合同</w:t>
      </w:r>
    </w:p>
    <w:p w14:paraId="0CC88110">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为了切实加强《</w:t>
      </w:r>
      <w:r>
        <w:rPr>
          <w:rFonts w:hint="eastAsia" w:ascii="宋体" w:hAnsi="宋体" w:cs="宋体"/>
          <w:sz w:val="24"/>
          <w:szCs w:val="24"/>
          <w:lang w:eastAsia="zh-CN"/>
        </w:rPr>
        <w:t>2026年江宁区林荫大道示范管护带养护服务</w:t>
      </w:r>
      <w:r>
        <w:rPr>
          <w:rFonts w:hint="eastAsia" w:ascii="宋体" w:hAnsi="宋体" w:eastAsia="宋体" w:cs="宋体"/>
          <w:sz w:val="24"/>
          <w:szCs w:val="24"/>
        </w:rPr>
        <w:t>》实施过程中的施工安全管理工作，明确安全管理责任，本项目发包人</w:t>
      </w:r>
      <w:r>
        <w:rPr>
          <w:rFonts w:hint="eastAsia" w:ascii="宋体" w:hAnsi="宋体" w:eastAsia="宋体" w:cs="宋体"/>
          <w:sz w:val="24"/>
          <w:szCs w:val="24"/>
          <w:u w:val="single"/>
        </w:rPr>
        <w:t>南京市江宁区交通运输局</w:t>
      </w:r>
      <w:r>
        <w:rPr>
          <w:rFonts w:hint="eastAsia" w:ascii="宋体" w:hAnsi="宋体" w:eastAsia="宋体" w:cs="宋体"/>
          <w:sz w:val="24"/>
          <w:szCs w:val="24"/>
        </w:rPr>
        <w:t>与承包人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，根据交通运输部《公路养护安全作业规程》等现行相关规定，现就承包人在 </w:t>
      </w:r>
      <w:r>
        <w:rPr>
          <w:rFonts w:hint="eastAsia" w:ascii="宋体" w:hAnsi="宋体" w:cs="宋体"/>
          <w:sz w:val="24"/>
          <w:szCs w:val="24"/>
          <w:lang w:eastAsia="zh-CN"/>
        </w:rPr>
        <w:t>2026年江宁区林荫大道示范管护带养护服务</w:t>
      </w:r>
      <w:r>
        <w:rPr>
          <w:rFonts w:hint="eastAsia" w:ascii="宋体" w:hAnsi="宋体" w:eastAsia="宋体" w:cs="宋体"/>
          <w:sz w:val="24"/>
          <w:szCs w:val="24"/>
        </w:rPr>
        <w:t>作业安全</w:t>
      </w:r>
    </w:p>
    <w:p w14:paraId="756D2BBC">
      <w:pPr>
        <w:keepNext w:val="0"/>
        <w:keepLines w:val="0"/>
        <w:pageBreakBefore w:val="0"/>
        <w:widowControl w:val="0"/>
        <w:spacing w:line="360" w:lineRule="auto"/>
        <w:rPr>
          <w:rFonts w:hint="eastAsia" w:ascii="宋体" w:hAnsi="宋体" w:eastAsia="宋体" w:cs="宋体"/>
          <w:sz w:val="24"/>
          <w:szCs w:val="24"/>
        </w:rPr>
      </w:pPr>
      <w:r>
        <w:rPr>
          <w:rFonts w:hint="eastAsia" w:ascii="宋体" w:hAnsi="宋体" w:eastAsia="宋体" w:cs="宋体"/>
          <w:sz w:val="24"/>
          <w:szCs w:val="24"/>
        </w:rPr>
        <w:t>管理工作达成如下协议：</w:t>
      </w:r>
    </w:p>
    <w:p w14:paraId="7507313B">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一、发包人主要义务</w:t>
      </w:r>
    </w:p>
    <w:p w14:paraId="1A4A2D59">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1、按照“安全第一、预防为主”和坚持“管施工必须管安全”的原则，对承包人的施工作业安全进行监督管理。</w:t>
      </w:r>
    </w:p>
    <w:p w14:paraId="589AEE55">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2、组织对承包人施工现场安全生产检查，监督承包人及时处理发现的各种安全隐患。</w:t>
      </w:r>
    </w:p>
    <w:p w14:paraId="2C9699DD">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二、承包人主要义务</w:t>
      </w:r>
    </w:p>
    <w:p w14:paraId="1E878AA3">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1、严格遵守国家、地方等有关安全生产的法律法规及管理制度，认真执行工程承包合同中的有关安全要求，服从发包人安全生产管理。承包人在施工过程中发生的任何交通、生产事故造成财产损失或人员伤亡的，以及与其他第三方发生的任何纠纷或事故，发包人概不承担任何责任和费用。</w:t>
      </w:r>
    </w:p>
    <w:p w14:paraId="14B1A95A">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2、根据工程的特点制定相应的安全技术保障措施，编制专项安全施工组织方案、道路交通组织方案及施工安全紧急处理预案。</w:t>
      </w:r>
    </w:p>
    <w:p w14:paraId="189229B2">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3、在施工现场按照相关规定要求设置安全指示标志、警告标志、禁令标志等，确保施工现场及道路营运的安全。</w:t>
      </w:r>
    </w:p>
    <w:p w14:paraId="281A50F9">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4、应采取各种合理有效的预防措施，维护施工驻地及施工现场治安，保证施工的正常进行。</w:t>
      </w:r>
    </w:p>
    <w:p w14:paraId="274F3556">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5、承包人应设有负责安全、文明施工的专职管理人员。操作人员上岗，必须按规定穿戴防护用品。施工负责人和安全检查员应随时检查劳动防护用品的穿戴情况，不按规定穿戴防护用品的人员不得上岗。</w:t>
      </w:r>
    </w:p>
    <w:p w14:paraId="36C128ED">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6、按照规定定期对施工现场的各种安全设施和劳动保护器具进行检查和维护，及时消除隐患，所有施工机具设备和高空作业的设备均应保证其处于完好状态；不合格的机具、设备和劳动保护用品严禁使用，由此造成的一切安全事故由承包人负全责。</w:t>
      </w:r>
    </w:p>
    <w:p w14:paraId="466D5CE1">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7、在容易发生火灾的地区施工或者储存、使用易燃易爆物品时，应当采取特殊消防安全措施。</w:t>
      </w:r>
    </w:p>
    <w:p w14:paraId="756C0B3A">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8、必须按照本工程项目特点，组织制定本工程实施中的生产安全事故应急救援预案；如果发生安全事故，应按照《国务院关于特大安全事故行政责任追究的规定》以及其它有关规定，及时上报发包人及有关部门，并坚持“三不放过”的原则，严肃处理相关责任人。</w:t>
      </w:r>
    </w:p>
    <w:p w14:paraId="3E103ADA">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9、承包人施工车辆应自觉遵守交通安全法规，不得违章行驶，严禁在养护道路上随意调头、逆行。</w:t>
      </w:r>
    </w:p>
    <w:p w14:paraId="6BCC8B87">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10、承包人施工车辆到达施工现场后，应将施工车辆停放置施工作业区内指定地点，不允许随意停靠，影响其它车辆正常通行。</w:t>
      </w:r>
    </w:p>
    <w:p w14:paraId="1E21B1F0">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11、承包人施工期间，施工车辆必须开启作业标志灯及双闪示警灯（在作业区内作业除外）。</w:t>
      </w:r>
    </w:p>
    <w:p w14:paraId="189E7046">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12、承包人施工作业区应为施工车辆提供安全进、出口，并设有专人负责。施工车辆进出作业区时，应当注意观察并避让其它过往车辆。</w:t>
      </w:r>
    </w:p>
    <w:p w14:paraId="0EA4FFC0">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13、承包人必须遵守高速、一级公路中央隔离带与防护栏的使用规定，施工期间如需开启，必须按审批程序，进行逐级审批，经审批后，按相应程序进行开启或使用。</w:t>
      </w:r>
    </w:p>
    <w:p w14:paraId="2827890A">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14、承包人施工材料、机具、设备等应按照有关规定摆放整齐、有序，不得零乱堆放，影响道路安全畅通。</w:t>
      </w:r>
    </w:p>
    <w:p w14:paraId="0DFA9C29">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15、承包人负责施工作业区环境卫生，及时清除施工垃圾，不得随意倾倒施工废物，确保路容路貌整洁。</w:t>
      </w:r>
    </w:p>
    <w:p w14:paraId="0962237C">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16、承包人施工作业区内长、大型设备进行施工作业时，应保证吊钩、传送带等悬出部分不能伸出作业区，不得影响其他车辆正常通行。</w:t>
      </w:r>
    </w:p>
    <w:p w14:paraId="663C552B">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17、承包人作业区与车道之间应按照交通运输部《公路养护安全作业规程》中的相关规定，采取安全隔离措施。</w:t>
      </w:r>
    </w:p>
    <w:p w14:paraId="7DBF42C8">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18、承包人施工作业现场夜间不能撤离的，施工单位应按照交通运输部《公路养护安全作业规程》中的相关规定，采取安全保障措施。</w:t>
      </w:r>
    </w:p>
    <w:p w14:paraId="226A2363">
      <w:pPr>
        <w:keepNext w:val="0"/>
        <w:keepLines w:val="0"/>
        <w:pageBreakBefore w:val="0"/>
        <w:widowControl w:val="0"/>
        <w:spacing w:line="360" w:lineRule="auto"/>
        <w:ind w:firstLine="480"/>
        <w:rPr>
          <w:rFonts w:hint="eastAsia" w:ascii="宋体" w:hAnsi="宋体" w:eastAsia="宋体" w:cs="宋体"/>
          <w:sz w:val="24"/>
          <w:szCs w:val="32"/>
          <w:lang w:eastAsia="zh-CN"/>
        </w:rPr>
      </w:pPr>
      <w:r>
        <w:rPr>
          <w:rFonts w:hint="eastAsia" w:ascii="宋体" w:hAnsi="宋体" w:eastAsia="宋体" w:cs="宋体"/>
          <w:sz w:val="24"/>
          <w:szCs w:val="32"/>
        </w:rPr>
        <w:t>19、承包人施工人员必须在封闭区域内进行施工作业操作，应统一着施工作业服（着反光背心等）。施工人员不得随意横穿道路</w:t>
      </w:r>
      <w:r>
        <w:rPr>
          <w:rFonts w:hint="eastAsia" w:ascii="宋体" w:hAnsi="宋体" w:eastAsia="宋体" w:cs="宋体"/>
          <w:sz w:val="24"/>
          <w:szCs w:val="32"/>
          <w:lang w:eastAsia="zh-CN"/>
        </w:rPr>
        <w:t>。</w:t>
      </w:r>
    </w:p>
    <w:p w14:paraId="162C1215">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20、承包人未按照交通运输部《公路养护安全作业规程》要求施工作业、使用中央活动护拦而引发安全责任事故，将承担一切事故责任。</w:t>
      </w:r>
    </w:p>
    <w:p w14:paraId="6EC74A59">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三、违约责任</w:t>
      </w:r>
    </w:p>
    <w:p w14:paraId="7F842C56">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如因发包人或承包人违约造成安全事故，将依法追究责任。任何一方因为未切实履行本合同约定的义务而给对方或第三方造成任何损失必须承担赔偿责任；对己方造成任何损失则自行承担经济损失责任及善后处理责任。在施工过程中，若发现施工单位有安全问题或有违反安全管理规章制度的情况，可视为施工单位违约，应按照合同约定的违约金方式处理，严重时可解除合同，同时将其违约行为纳入公司信用信息管理系统。</w:t>
      </w:r>
    </w:p>
    <w:p w14:paraId="4C45B08E">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四、其他</w:t>
      </w:r>
    </w:p>
    <w:p w14:paraId="104FEC97">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1、双方签署《</w:t>
      </w:r>
      <w:r>
        <w:rPr>
          <w:rFonts w:hint="eastAsia" w:ascii="宋体" w:hAnsi="宋体" w:cs="宋体"/>
          <w:sz w:val="24"/>
          <w:szCs w:val="32"/>
          <w:lang w:eastAsia="zh-CN"/>
        </w:rPr>
        <w:t>2026年江宁区林荫大道示范管护带养护服务</w:t>
      </w:r>
      <w:r>
        <w:rPr>
          <w:rFonts w:hint="eastAsia" w:ascii="宋体" w:hAnsi="宋体" w:eastAsia="宋体" w:cs="宋体"/>
          <w:sz w:val="24"/>
          <w:szCs w:val="32"/>
        </w:rPr>
        <w:t>》的同时签订本协议。本协议与双方签署的《</w:t>
      </w:r>
      <w:r>
        <w:rPr>
          <w:rFonts w:hint="eastAsia" w:ascii="宋体" w:hAnsi="宋体" w:cs="宋体"/>
          <w:sz w:val="24"/>
          <w:szCs w:val="32"/>
          <w:lang w:eastAsia="zh-CN"/>
        </w:rPr>
        <w:t>2026年江宁区林荫大道示范管护带养护服务</w:t>
      </w:r>
      <w:r>
        <w:rPr>
          <w:rFonts w:hint="eastAsia" w:ascii="宋体" w:hAnsi="宋体" w:eastAsia="宋体" w:cs="宋体"/>
          <w:sz w:val="24"/>
          <w:szCs w:val="32"/>
        </w:rPr>
        <w:t>》时效相同并具有同等法律效力。</w:t>
      </w:r>
    </w:p>
    <w:p w14:paraId="021ABEEE">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2、本协议一式肆份，双方各执二份。由双方法定代表人或其授权的代理人签署与加盖公章后生效，主体合同到期后本协议同时终止。</w:t>
      </w:r>
    </w:p>
    <w:p w14:paraId="24B26A04">
      <w:pPr>
        <w:keepNext w:val="0"/>
        <w:keepLines w:val="0"/>
        <w:pageBreakBefore w:val="0"/>
        <w:widowControl w:val="0"/>
        <w:spacing w:line="360" w:lineRule="auto"/>
        <w:rPr>
          <w:rFonts w:hint="default" w:ascii="宋体" w:hAnsi="宋体" w:eastAsia="宋体" w:cs="宋体"/>
          <w:sz w:val="24"/>
          <w:szCs w:val="32"/>
          <w:lang w:val="en-US" w:eastAsia="zh-CN"/>
        </w:rPr>
      </w:pPr>
      <w:r>
        <w:rPr>
          <w:rFonts w:hint="eastAsia" w:ascii="宋体" w:hAnsi="宋体" w:eastAsia="宋体" w:cs="宋体"/>
          <w:sz w:val="24"/>
          <w:szCs w:val="32"/>
        </w:rPr>
        <w:t xml:space="preserve">发包人：南京市江宁区交通运输局 </w:t>
      </w:r>
      <w:r>
        <w:rPr>
          <w:rFonts w:hint="eastAsia" w:ascii="宋体" w:hAnsi="宋体" w:eastAsia="宋体" w:cs="宋体"/>
          <w:sz w:val="24"/>
          <w:szCs w:val="32"/>
          <w:lang w:val="en-US" w:eastAsia="zh-CN"/>
        </w:rPr>
        <w:t xml:space="preserve">       </w:t>
      </w:r>
      <w:r>
        <w:rPr>
          <w:rFonts w:hint="eastAsia" w:ascii="宋体" w:hAnsi="宋体" w:eastAsia="宋体" w:cs="宋体"/>
          <w:sz w:val="24"/>
          <w:szCs w:val="32"/>
        </w:rPr>
        <w:t>承包人：</w:t>
      </w:r>
    </w:p>
    <w:p w14:paraId="15C0E0D9">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 xml:space="preserve">（盖单位章） </w:t>
      </w:r>
      <w:r>
        <w:rPr>
          <w:rFonts w:hint="eastAsia" w:ascii="宋体" w:hAnsi="宋体" w:eastAsia="宋体" w:cs="宋体"/>
          <w:sz w:val="24"/>
          <w:szCs w:val="32"/>
          <w:lang w:val="en-US" w:eastAsia="zh-CN"/>
        </w:rPr>
        <w:t xml:space="preserve">                        </w:t>
      </w:r>
      <w:r>
        <w:rPr>
          <w:rFonts w:hint="eastAsia" w:ascii="宋体" w:hAnsi="宋体" w:eastAsia="宋体" w:cs="宋体"/>
          <w:sz w:val="24"/>
          <w:szCs w:val="32"/>
        </w:rPr>
        <w:t>（盖单位章）</w:t>
      </w:r>
    </w:p>
    <w:p w14:paraId="691E04F6">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 xml:space="preserve">法定代表人 </w:t>
      </w:r>
      <w:r>
        <w:rPr>
          <w:rFonts w:hint="eastAsia" w:ascii="宋体" w:hAnsi="宋体" w:eastAsia="宋体" w:cs="宋体"/>
          <w:sz w:val="24"/>
          <w:szCs w:val="32"/>
          <w:lang w:val="en-US" w:eastAsia="zh-CN"/>
        </w:rPr>
        <w:t xml:space="preserve">                           </w:t>
      </w:r>
      <w:r>
        <w:rPr>
          <w:rFonts w:hint="eastAsia" w:ascii="宋体" w:hAnsi="宋体" w:eastAsia="宋体" w:cs="宋体"/>
          <w:sz w:val="24"/>
          <w:szCs w:val="32"/>
        </w:rPr>
        <w:t>法定代表人</w:t>
      </w:r>
    </w:p>
    <w:p w14:paraId="2097101E">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 xml:space="preserve">或其委托代理人： （签字） </w:t>
      </w:r>
      <w:r>
        <w:rPr>
          <w:rFonts w:hint="eastAsia" w:ascii="宋体" w:hAnsi="宋体" w:eastAsia="宋体" w:cs="宋体"/>
          <w:sz w:val="24"/>
          <w:szCs w:val="32"/>
          <w:lang w:val="en-US" w:eastAsia="zh-CN"/>
        </w:rPr>
        <w:t xml:space="preserve">            </w:t>
      </w:r>
      <w:r>
        <w:rPr>
          <w:rFonts w:hint="eastAsia" w:ascii="宋体" w:hAnsi="宋体" w:eastAsia="宋体" w:cs="宋体"/>
          <w:sz w:val="24"/>
          <w:szCs w:val="32"/>
        </w:rPr>
        <w:t>或其委托代理人： （签字）</w:t>
      </w:r>
    </w:p>
    <w:p w14:paraId="664E6A18">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 xml:space="preserve">年 月 日 </w:t>
      </w:r>
      <w:r>
        <w:rPr>
          <w:rFonts w:hint="eastAsia" w:ascii="宋体" w:hAnsi="宋体" w:eastAsia="宋体" w:cs="宋体"/>
          <w:sz w:val="24"/>
          <w:szCs w:val="32"/>
          <w:lang w:val="en-US" w:eastAsia="zh-CN"/>
        </w:rPr>
        <w:t xml:space="preserve">                             </w:t>
      </w:r>
      <w:r>
        <w:rPr>
          <w:rFonts w:hint="eastAsia" w:ascii="宋体" w:hAnsi="宋体" w:eastAsia="宋体" w:cs="宋体"/>
          <w:sz w:val="24"/>
          <w:szCs w:val="32"/>
        </w:rPr>
        <w:t>年 月 日</w:t>
      </w:r>
    </w:p>
    <w:p w14:paraId="1F3F5463">
      <w:pPr>
        <w:rPr>
          <w:rFonts w:hint="eastAsia" w:ascii="Calibri" w:hAnsi="Calibri"/>
        </w:rPr>
      </w:pPr>
      <w:r>
        <w:rPr>
          <w:rFonts w:hint="eastAsia" w:ascii="Calibri" w:hAnsi="Calibri"/>
        </w:rPr>
        <w:br w:type="page" w:clear="all"/>
      </w:r>
    </w:p>
    <w:p w14:paraId="0FC3F34C">
      <w:pPr>
        <w:jc w:val="center"/>
        <w:rPr>
          <w:rFonts w:hint="eastAsia" w:ascii="Calibri" w:hAnsi="Calibri"/>
          <w:b/>
          <w:bCs/>
          <w:sz w:val="24"/>
          <w:szCs w:val="32"/>
        </w:rPr>
      </w:pPr>
      <w:r>
        <w:rPr>
          <w:rFonts w:hint="eastAsia" w:ascii="Calibri" w:hAnsi="Calibri"/>
          <w:b/>
          <w:bCs/>
          <w:sz w:val="24"/>
          <w:szCs w:val="32"/>
        </w:rPr>
        <w:t>合同条款</w:t>
      </w:r>
    </w:p>
    <w:p w14:paraId="48855DA6">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一、名词解释</w:t>
      </w:r>
    </w:p>
    <w:p w14:paraId="6835FAF4">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除另有说明外，下列名词的含义如下：</w:t>
      </w:r>
    </w:p>
    <w:p w14:paraId="5B3C1B8A">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1、“发包人”是指投资建设的单位。本工程发包人是南京市江宁区交通运输</w:t>
      </w:r>
    </w:p>
    <w:p w14:paraId="4A85F7B3">
      <w:pPr>
        <w:keepNext w:val="0"/>
        <w:keepLines w:val="0"/>
        <w:pageBreakBefore w:val="0"/>
        <w:widowControl w:val="0"/>
        <w:spacing w:line="360" w:lineRule="auto"/>
        <w:rPr>
          <w:rFonts w:hint="eastAsia" w:ascii="宋体" w:hAnsi="宋体" w:eastAsia="宋体" w:cs="宋体"/>
          <w:sz w:val="24"/>
          <w:szCs w:val="32"/>
        </w:rPr>
      </w:pPr>
      <w:r>
        <w:rPr>
          <w:rFonts w:hint="eastAsia" w:ascii="宋体" w:hAnsi="宋体" w:eastAsia="宋体" w:cs="宋体"/>
          <w:sz w:val="24"/>
          <w:szCs w:val="32"/>
        </w:rPr>
        <w:t>局。发包人代表：由发包人委托，负责各合同段施工、养护管理工作的管理处。</w:t>
      </w:r>
    </w:p>
    <w:p w14:paraId="24A1F5EC">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2、承包人是指接到建设(招标)单位中标通知，并与建设(招标)单位签订了承包协议书的投标单位。本工程承包人是</w:t>
      </w:r>
      <w:r>
        <w:rPr>
          <w:rFonts w:hint="eastAsia" w:ascii="宋体" w:hAnsi="宋体" w:eastAsia="宋体" w:cs="宋体"/>
          <w:sz w:val="24"/>
          <w:szCs w:val="32"/>
          <w:highlight w:val="none"/>
          <w:lang w:val="en-US" w:eastAsia="zh-CN"/>
        </w:rPr>
        <w:t xml:space="preserve">                </w:t>
      </w:r>
      <w:r>
        <w:rPr>
          <w:rFonts w:hint="eastAsia" w:ascii="宋体" w:hAnsi="宋体" w:eastAsia="宋体" w:cs="宋体"/>
          <w:sz w:val="24"/>
          <w:szCs w:val="32"/>
          <w:highlight w:val="none"/>
        </w:rPr>
        <w:t>。</w:t>
      </w:r>
    </w:p>
    <w:p w14:paraId="7C9C40D6">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3、项目经理是指由承包人委派、全面负责其承包工程按合同规定施工的经济和技术的代理人。承包人应将对项目经理的委任以书面形式通知建设(招标)单位。本工程项目经理是指</w:t>
      </w:r>
      <w:r>
        <w:rPr>
          <w:rFonts w:hint="eastAsia" w:ascii="宋体" w:hAnsi="宋体" w:eastAsia="宋体" w:cs="宋体"/>
          <w:sz w:val="24"/>
          <w:szCs w:val="32"/>
          <w:highlight w:val="none"/>
          <w:lang w:val="en-US" w:eastAsia="zh-CN"/>
        </w:rPr>
        <w:t xml:space="preserve">              </w:t>
      </w:r>
      <w:r>
        <w:rPr>
          <w:rFonts w:hint="eastAsia" w:ascii="宋体" w:hAnsi="宋体" w:eastAsia="宋体" w:cs="宋体"/>
          <w:sz w:val="24"/>
          <w:szCs w:val="32"/>
          <w:highlight w:val="none"/>
        </w:rPr>
        <w:t>。</w:t>
      </w:r>
    </w:p>
    <w:p w14:paraId="6599D5E4">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4、工程是指列入本合同必须完成的全部工程（包括临时工程以及由符合程序而签署变更通知和额外工程项目）。</w:t>
      </w:r>
    </w:p>
    <w:p w14:paraId="0C1854F0">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5、施工设备</w:t>
      </w:r>
    </w:p>
    <w:p w14:paraId="68A9557F">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是指承包人为实施完成本合同工程以及临时工程、临时设施和维护工程所必</w:t>
      </w:r>
    </w:p>
    <w:p w14:paraId="27ECCAB9">
      <w:pPr>
        <w:keepNext w:val="0"/>
        <w:keepLines w:val="0"/>
        <w:pageBreakBefore w:val="0"/>
        <w:widowControl w:val="0"/>
        <w:spacing w:line="360" w:lineRule="auto"/>
        <w:rPr>
          <w:rFonts w:hint="eastAsia" w:ascii="宋体" w:hAnsi="宋体" w:eastAsia="宋体" w:cs="宋体"/>
          <w:sz w:val="24"/>
          <w:szCs w:val="32"/>
          <w:highlight w:val="none"/>
        </w:rPr>
      </w:pPr>
      <w:r>
        <w:rPr>
          <w:rFonts w:hint="eastAsia" w:ascii="宋体" w:hAnsi="宋体" w:eastAsia="宋体" w:cs="宋体"/>
          <w:sz w:val="24"/>
          <w:szCs w:val="32"/>
          <w:highlight w:val="none"/>
        </w:rPr>
        <w:t>须的全部机械、器具等。</w:t>
      </w:r>
    </w:p>
    <w:p w14:paraId="2C2B7501">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6、合同价款</w:t>
      </w:r>
    </w:p>
    <w:p w14:paraId="589EFC31">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是指按本合同条款中的有关规定，经双方确认认可、据实结算的总金额。</w:t>
      </w:r>
    </w:p>
    <w:p w14:paraId="0E168DBD">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7、技术规范</w:t>
      </w:r>
    </w:p>
    <w:p w14:paraId="5FA1E22B">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是指合同文件中的技术规范。该规范是根据有关《规范》摘录合编的，是对</w:t>
      </w:r>
    </w:p>
    <w:p w14:paraId="55394A21">
      <w:pPr>
        <w:keepNext w:val="0"/>
        <w:keepLines w:val="0"/>
        <w:pageBreakBefore w:val="0"/>
        <w:widowControl w:val="0"/>
        <w:spacing w:line="360" w:lineRule="auto"/>
        <w:rPr>
          <w:rFonts w:hint="eastAsia" w:ascii="宋体" w:hAnsi="宋体" w:eastAsia="宋体" w:cs="宋体"/>
          <w:sz w:val="24"/>
          <w:szCs w:val="32"/>
          <w:highlight w:val="none"/>
        </w:rPr>
      </w:pPr>
      <w:r>
        <w:rPr>
          <w:rFonts w:hint="eastAsia" w:ascii="宋体" w:hAnsi="宋体" w:eastAsia="宋体" w:cs="宋体"/>
          <w:sz w:val="24"/>
          <w:szCs w:val="32"/>
          <w:highlight w:val="none"/>
        </w:rPr>
        <w:t>本合同工程施工的技术要求。</w:t>
      </w:r>
    </w:p>
    <w:p w14:paraId="26FB43CD">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8、合同</w:t>
      </w:r>
    </w:p>
    <w:p w14:paraId="3D4DC010">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是发包人和承包人法定代表人或其授权代表之间正式签订的相互明确权利和义务关系的协议。</w:t>
      </w:r>
    </w:p>
    <w:p w14:paraId="489B13BE">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9．暂列金额</w:t>
      </w:r>
    </w:p>
    <w:p w14:paraId="2C44D300">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暂列金额是在在</w:t>
      </w:r>
      <w:r>
        <w:rPr>
          <w:rFonts w:hint="eastAsia" w:ascii="宋体" w:hAnsi="宋体" w:eastAsia="宋体" w:cs="宋体"/>
          <w:sz w:val="24"/>
          <w:szCs w:val="32"/>
          <w:highlight w:val="none"/>
          <w:lang w:eastAsia="zh-CN"/>
        </w:rPr>
        <w:t>工作量</w:t>
      </w:r>
      <w:r>
        <w:rPr>
          <w:rFonts w:hint="eastAsia" w:ascii="宋体" w:hAnsi="宋体" w:eastAsia="宋体" w:cs="宋体"/>
          <w:sz w:val="24"/>
          <w:szCs w:val="32"/>
          <w:highlight w:val="none"/>
        </w:rPr>
        <w:t>清单中标明列入合同投标价的一项款额。暂列金额按单价类小计的 3%计列。</w:t>
      </w:r>
    </w:p>
    <w:p w14:paraId="716C6E81">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10、“年”、“月”和“日”都应按公历计算。“天”：是指日历天。</w:t>
      </w:r>
    </w:p>
    <w:p w14:paraId="165CFDBE">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11、“元”是指人民币元，是本合同中的货币单位。</w:t>
      </w:r>
    </w:p>
    <w:p w14:paraId="7975C071">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二、项目概况</w:t>
      </w:r>
    </w:p>
    <w:p w14:paraId="0B240969">
      <w:pPr>
        <w:keepNext w:val="0"/>
        <w:keepLines w:val="0"/>
        <w:pageBreakBefore w:val="0"/>
        <w:widowControl w:val="0"/>
        <w:spacing w:line="360" w:lineRule="auto"/>
        <w:ind w:firstLine="480"/>
        <w:rPr>
          <w:rFonts w:hint="eastAsia" w:ascii="宋体" w:hAnsi="宋体" w:eastAsia="宋体" w:cs="宋体"/>
          <w:sz w:val="24"/>
          <w:szCs w:val="32"/>
          <w:highlight w:val="none"/>
          <w:lang w:eastAsia="zh-CN"/>
        </w:rPr>
      </w:pPr>
      <w:r>
        <w:rPr>
          <w:rFonts w:hint="eastAsia" w:ascii="宋体" w:hAnsi="宋体" w:eastAsia="宋体" w:cs="宋体"/>
          <w:sz w:val="24"/>
          <w:szCs w:val="32"/>
          <w:highlight w:val="none"/>
        </w:rPr>
        <w:t>1、工程名称：</w:t>
      </w:r>
      <w:r>
        <w:rPr>
          <w:rFonts w:hint="eastAsia" w:ascii="宋体" w:hAnsi="宋体" w:cs="宋体"/>
          <w:sz w:val="24"/>
          <w:szCs w:val="32"/>
          <w:highlight w:val="none"/>
          <w:lang w:eastAsia="zh-CN"/>
        </w:rPr>
        <w:t>2026年江宁区林荫大道示范管护带养护服务</w:t>
      </w:r>
    </w:p>
    <w:p w14:paraId="06B1AB74">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2、工程地点：南京市江宁区</w:t>
      </w:r>
    </w:p>
    <w:p w14:paraId="10B390E6">
      <w:pPr>
        <w:keepNext w:val="0"/>
        <w:keepLines w:val="0"/>
        <w:pageBreakBefore w:val="0"/>
        <w:widowControl w:val="0"/>
        <w:spacing w:line="360" w:lineRule="auto"/>
        <w:ind w:firstLine="480"/>
        <w:rPr>
          <w:rFonts w:hint="eastAsia" w:ascii="宋体" w:hAnsi="宋体" w:eastAsia="宋体" w:cs="宋体"/>
          <w:sz w:val="24"/>
          <w:szCs w:val="32"/>
          <w:lang w:eastAsia="zh-CN"/>
        </w:rPr>
      </w:pPr>
      <w:r>
        <w:rPr>
          <w:rFonts w:hint="eastAsia" w:ascii="宋体" w:hAnsi="宋体" w:eastAsia="宋体" w:cs="宋体"/>
          <w:sz w:val="24"/>
          <w:szCs w:val="32"/>
        </w:rPr>
        <w:t>3、项目内容：</w:t>
      </w:r>
      <w:r>
        <w:rPr>
          <w:rFonts w:hint="eastAsia" w:ascii="宋体" w:hAnsi="宋体" w:eastAsia="宋体" w:cs="宋体"/>
          <w:sz w:val="24"/>
          <w:szCs w:val="32"/>
          <w:lang w:val="en-US" w:eastAsia="zh-CN"/>
        </w:rPr>
        <w:t>主要内容包括林荫大道日常巡查、道路日常养护、桥梁日常养护、路面保洁（人员配合机械保洁类）、林荫大道苗木绿化一级养护，修剪、绿化补植、桥涵构造物维修维护及经常性检查、标志标线等安全设施的清洗，维修，维护、边沟清理、边坡清理、排水系统疏通等</w:t>
      </w:r>
      <w:r>
        <w:rPr>
          <w:rFonts w:hint="eastAsia" w:ascii="宋体" w:hAnsi="宋体" w:eastAsia="宋体" w:cs="宋体"/>
          <w:sz w:val="24"/>
          <w:szCs w:val="32"/>
        </w:rPr>
        <w:t>以及采购人指令的其它工作内容（以工程量清单为准）。具体详见养护清单</w:t>
      </w:r>
      <w:r>
        <w:rPr>
          <w:rFonts w:hint="eastAsia" w:ascii="宋体" w:hAnsi="宋体" w:eastAsia="宋体" w:cs="宋体"/>
          <w:sz w:val="24"/>
          <w:szCs w:val="32"/>
          <w:lang w:eastAsia="zh-CN"/>
        </w:rPr>
        <w:t>。</w:t>
      </w:r>
    </w:p>
    <w:p w14:paraId="00F5A35E">
      <w:pPr>
        <w:keepNext w:val="0"/>
        <w:keepLines w:val="0"/>
        <w:pageBreakBefore w:val="0"/>
        <w:widowControl w:val="0"/>
        <w:spacing w:line="360" w:lineRule="auto"/>
        <w:ind w:firstLine="480"/>
        <w:rPr>
          <w:rFonts w:hint="default" w:ascii="宋体" w:hAnsi="宋体" w:eastAsia="宋体" w:cs="宋体"/>
          <w:sz w:val="24"/>
          <w:szCs w:val="32"/>
          <w:lang w:val="en-US" w:eastAsia="zh-CN"/>
        </w:rPr>
      </w:pPr>
      <w:r>
        <w:rPr>
          <w:rFonts w:hint="eastAsia" w:ascii="宋体" w:hAnsi="宋体" w:eastAsia="宋体" w:cs="宋体"/>
          <w:sz w:val="24"/>
          <w:szCs w:val="32"/>
        </w:rPr>
        <w:t>4、养护期限：</w:t>
      </w:r>
      <w:r>
        <w:rPr>
          <w:rFonts w:hint="eastAsia" w:ascii="宋体" w:hAnsi="宋体" w:eastAsia="宋体" w:cs="宋体"/>
          <w:sz w:val="24"/>
          <w:szCs w:val="32"/>
          <w:lang w:val="en-US" w:eastAsia="zh-CN"/>
        </w:rPr>
        <w:t xml:space="preserve">                       </w:t>
      </w:r>
    </w:p>
    <w:p w14:paraId="2F9FA6DC">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三、养护质量及验收标准和依据</w:t>
      </w:r>
    </w:p>
    <w:p w14:paraId="0A5E0B88">
      <w:pPr>
        <w:keepNext w:val="0"/>
        <w:keepLines w:val="0"/>
        <w:pageBreakBefore w:val="0"/>
        <w:widowControl w:val="0"/>
        <w:spacing w:line="360" w:lineRule="auto"/>
        <w:ind w:firstLine="420"/>
        <w:rPr>
          <w:rFonts w:hint="eastAsia" w:ascii="宋体" w:hAnsi="宋体" w:eastAsia="宋体" w:cs="宋体"/>
          <w:sz w:val="24"/>
          <w:szCs w:val="24"/>
        </w:rPr>
      </w:pPr>
      <w:r>
        <w:rPr>
          <w:rFonts w:hint="eastAsia" w:ascii="宋体" w:hAnsi="宋体" w:eastAsia="宋体" w:cs="宋体"/>
          <w:sz w:val="24"/>
          <w:szCs w:val="24"/>
        </w:rPr>
        <w:t>1、养护工作必须全面达到</w:t>
      </w:r>
      <w:r>
        <w:rPr>
          <w:rFonts w:hint="eastAsia" w:ascii="宋体" w:hAnsi="宋体" w:eastAsia="宋体" w:cs="宋体"/>
          <w:b w:val="0"/>
          <w:bCs w:val="0"/>
          <w:sz w:val="24"/>
          <w:szCs w:val="24"/>
          <w:highlight w:val="none"/>
          <w:lang w:val="en-US" w:eastAsia="zh-CN"/>
        </w:rPr>
        <w:t>《江宁区乡村林荫大道管护方案》、</w:t>
      </w:r>
      <w:r>
        <w:rPr>
          <w:rFonts w:hint="eastAsia" w:ascii="宋体" w:hAnsi="宋体" w:eastAsia="宋体" w:cs="宋体"/>
          <w:b w:val="0"/>
          <w:bCs w:val="0"/>
          <w:sz w:val="24"/>
          <w:szCs w:val="24"/>
          <w:highlight w:val="none"/>
          <w:lang w:val="zh-CN"/>
        </w:rPr>
        <w:t>《道路养护技术规范》</w:t>
      </w:r>
      <w:r>
        <w:rPr>
          <w:rFonts w:hint="eastAsia" w:ascii="宋体" w:hAnsi="宋体" w:cs="宋体"/>
          <w:b w:val="0"/>
          <w:bCs w:val="0"/>
          <w:sz w:val="24"/>
          <w:szCs w:val="24"/>
          <w:highlight w:val="none"/>
          <w:lang w:val="zh-CN"/>
        </w:rPr>
        <w:t>、</w:t>
      </w:r>
      <w:r>
        <w:rPr>
          <w:rFonts w:hint="eastAsia" w:ascii="宋体" w:hAnsi="宋体" w:eastAsia="宋体" w:cs="宋体"/>
          <w:b w:val="0"/>
          <w:bCs w:val="0"/>
          <w:sz w:val="24"/>
          <w:szCs w:val="24"/>
          <w:highlight w:val="none"/>
        </w:rPr>
        <w:t>《公路</w:t>
      </w:r>
      <w:r>
        <w:rPr>
          <w:rFonts w:hint="eastAsia" w:ascii="宋体" w:hAnsi="宋体" w:eastAsia="宋体" w:cs="宋体"/>
          <w:sz w:val="24"/>
          <w:szCs w:val="24"/>
          <w:highlight w:val="none"/>
        </w:rPr>
        <w:t>养护技术标准》（JTG 5110—2023）、《公路沥青路面养护技术规范》（JTG 5142-2019）、《公路桥涵养护技术规范》（JTG5 120-2021）、《公路养护安全作业规程》（JTG H30-2015）、《江苏省农村公路条例》、《省交通运输厅省财政厅关于印发江苏省交通养护（农村公路养护）项目管理办法的通知》（苏交公路〔2021〕4号）以及《农村公路养护规范》（DB 3201/T 1017—2020）等相关规范、标准。省、市、区公路行业主管部门颁布的养护考核办法、养护管理办法及相关规定。</w:t>
      </w:r>
      <w:r>
        <w:rPr>
          <w:rFonts w:hint="eastAsia" w:ascii="宋体" w:hAnsi="宋体" w:eastAsia="宋体" w:cs="宋体"/>
          <w:sz w:val="24"/>
          <w:szCs w:val="24"/>
          <w:highlight w:val="none"/>
          <w:lang w:val="en-US" w:eastAsia="zh-CN"/>
        </w:rPr>
        <w:t>区政府印发的</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江宁区乡村道林荫大道管护方案</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江宁区交通运输局下发的有关文件、规定等</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各类专项行动的要求。江宁区交通运输局与养护单位签订的合同。</w:t>
      </w:r>
    </w:p>
    <w:p w14:paraId="2DF4CC6D">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rPr>
        <w:t>2、考核内</w:t>
      </w:r>
      <w:r>
        <w:rPr>
          <w:rFonts w:hint="eastAsia" w:ascii="宋体" w:hAnsi="宋体" w:eastAsia="宋体" w:cs="宋体"/>
          <w:sz w:val="24"/>
          <w:szCs w:val="32"/>
          <w:highlight w:val="none"/>
        </w:rPr>
        <w:t>容：公路养护管理检查考核主要包括外业检查和内业检查两个方面。</w:t>
      </w:r>
    </w:p>
    <w:p w14:paraId="074876B8">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3、考核方式：</w:t>
      </w:r>
      <w:r>
        <w:rPr>
          <w:rFonts w:hint="eastAsia" w:ascii="宋体" w:hAnsi="宋体" w:cs="宋体"/>
          <w:sz w:val="24"/>
          <w:szCs w:val="32"/>
          <w:highlight w:val="none"/>
          <w:lang w:eastAsia="zh-CN"/>
        </w:rPr>
        <w:t>按考核办法每月检查，季度考核。</w:t>
      </w:r>
    </w:p>
    <w:p w14:paraId="368ADD76">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其中月度考核主要对养护外业情况进行检查，下发月度考核通报；季度考核将对养护外业、内业共同进行检查，并下发季度考核考核通报。具体考评办法见</w:t>
      </w:r>
    </w:p>
    <w:p w14:paraId="31F69E4D">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合同附件。</w:t>
      </w:r>
    </w:p>
    <w:p w14:paraId="7B8D998E">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四、发包人主要义务</w:t>
      </w:r>
    </w:p>
    <w:p w14:paraId="5FC0D0B0">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1、提供与本工程有关的资料。</w:t>
      </w:r>
    </w:p>
    <w:p w14:paraId="4EF551FE">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2、协助承包人办理施工、养护所需有关证件和批件，并配合协调交警、路政及地方等关系。</w:t>
      </w:r>
    </w:p>
    <w:p w14:paraId="0239BB51">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3、制定本合同项目的管理制度、技术要求等。</w:t>
      </w:r>
    </w:p>
    <w:p w14:paraId="06864FEC">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4、检查和监督承包人的养护管理及质量、安全生产和环境保护工作。</w:t>
      </w:r>
    </w:p>
    <w:p w14:paraId="0763D568">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5、按时审查承包人的养护申请款，及时支付养护款项。</w:t>
      </w:r>
    </w:p>
    <w:p w14:paraId="30ADB803">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6、双方约定发包人应完成的其他工作。</w:t>
      </w:r>
    </w:p>
    <w:p w14:paraId="6D1AA769">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五、承包人主要义务</w:t>
      </w:r>
    </w:p>
    <w:p w14:paraId="66115D6E">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1、按招标文件的技术规范以及发包人或其代表的要求完成本项目合同范围内的养护管理工作。养护期间服从发包人或其代表的现场管理、监督、检查和验收，采取切实可行的措施，确保按期完成发包人代表委托的养护任务，并保证达到发包人代表要求的质量等级。</w:t>
      </w:r>
    </w:p>
    <w:p w14:paraId="0DFAF594">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2、承包人不得随意拖延维修时间（不可抗力的因素除外），承包人应在 24小时内完成一般病害的养护修复任务，严重影响交通安全的病害应及时处理，对严重病害以及技术有特殊性要求的项目应采取必要的措施。若承包人未能响应，发包人将按合同条款的规定进行处理。</w:t>
      </w:r>
    </w:p>
    <w:p w14:paraId="5E14D67D">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3、承包人应加强养护巡查，做好巡查记录，以及上级部门要求的各类台账,及时进行维护，对巡查发现的重大问题及时通报发包人代表。</w:t>
      </w:r>
    </w:p>
    <w:p w14:paraId="6E576ABC">
      <w:pPr>
        <w:keepNext w:val="0"/>
        <w:keepLines w:val="0"/>
        <w:pageBreakBefore w:val="0"/>
        <w:widowControl/>
        <w:spacing w:line="360" w:lineRule="auto"/>
        <w:ind w:firstLine="480"/>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4、</w:t>
      </w:r>
      <w:r>
        <w:rPr>
          <w:rFonts w:hint="eastAsia" w:ascii="宋体" w:hAnsi="宋体" w:eastAsia="宋体" w:cs="宋体"/>
          <w:color w:val="000000"/>
          <w:sz w:val="24"/>
          <w:szCs w:val="24"/>
          <w:highlight w:val="none"/>
          <w:lang w:val="en-US" w:eastAsia="zh-CN" w:bidi="ar"/>
        </w:rPr>
        <w:t>承包</w:t>
      </w:r>
      <w:r>
        <w:rPr>
          <w:rFonts w:hint="eastAsia" w:ascii="宋体" w:hAnsi="宋体" w:eastAsia="宋体" w:cs="宋体"/>
          <w:color w:val="000000"/>
          <w:sz w:val="24"/>
          <w:szCs w:val="24"/>
          <w:highlight w:val="none"/>
          <w:lang w:bidi="ar"/>
        </w:rPr>
        <w:t>人进入现场前，首先与交警、路政、地方政府等部门协调后，取得相关手续后方可进入现场，所有的协调工作由</w:t>
      </w:r>
      <w:r>
        <w:rPr>
          <w:rFonts w:hint="eastAsia" w:ascii="宋体" w:hAnsi="宋体" w:eastAsia="宋体" w:cs="宋体"/>
          <w:color w:val="000000"/>
          <w:sz w:val="24"/>
          <w:szCs w:val="24"/>
          <w:highlight w:val="none"/>
          <w:lang w:val="en-US" w:eastAsia="zh-CN" w:bidi="ar"/>
        </w:rPr>
        <w:t>承包</w:t>
      </w:r>
      <w:r>
        <w:rPr>
          <w:rFonts w:hint="eastAsia" w:ascii="宋体" w:hAnsi="宋体" w:eastAsia="宋体" w:cs="宋体"/>
          <w:color w:val="000000"/>
          <w:sz w:val="24"/>
          <w:szCs w:val="24"/>
          <w:highlight w:val="none"/>
          <w:lang w:bidi="ar"/>
        </w:rPr>
        <w:t>人自行完成。</w:t>
      </w:r>
    </w:p>
    <w:p w14:paraId="1025D6B9">
      <w:pPr>
        <w:keepNext w:val="0"/>
        <w:keepLines w:val="0"/>
        <w:pageBreakBefore w:val="0"/>
        <w:widowControl/>
        <w:spacing w:line="360" w:lineRule="auto"/>
        <w:ind w:firstLine="480"/>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5、配合发包人代表编制合同范围内的年度养护计划；配合发包人代表建立完整的养护技术档案，并完善补充相关数据资料。</w:t>
      </w:r>
    </w:p>
    <w:p w14:paraId="447A2D5C">
      <w:pPr>
        <w:keepNext w:val="0"/>
        <w:keepLines w:val="0"/>
        <w:pageBreakBefore w:val="0"/>
        <w:widowControl/>
        <w:spacing w:line="360" w:lineRule="auto"/>
        <w:ind w:firstLine="480"/>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6、</w:t>
      </w:r>
      <w:r>
        <w:rPr>
          <w:rFonts w:hint="eastAsia" w:ascii="宋体" w:hAnsi="宋体" w:eastAsia="宋体" w:cs="宋体"/>
          <w:color w:val="000000"/>
          <w:sz w:val="24"/>
          <w:szCs w:val="24"/>
          <w:highlight w:val="none"/>
          <w:lang w:bidi="ar"/>
        </w:rPr>
        <w:t>承包人应按照投标承诺和备案合同约定派驻现场技术、经济管理人员，并确保项目管理机构主要成员常驻项目现场，原则上不得调整；确需调整的，需经发包人同意。发包人应在进场工作前严格核对进场服务队伍，承包人擅自改变项目负责人及主要管理人员的，一律不得进场作业。</w:t>
      </w:r>
    </w:p>
    <w:p w14:paraId="552CCB14">
      <w:pPr>
        <w:keepNext w:val="0"/>
        <w:keepLines w:val="0"/>
        <w:pageBreakBefore w:val="0"/>
        <w:widowControl/>
        <w:spacing w:line="360" w:lineRule="auto"/>
        <w:ind w:firstLine="480"/>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7、</w:t>
      </w:r>
      <w:r>
        <w:rPr>
          <w:rFonts w:hint="eastAsia" w:ascii="宋体" w:hAnsi="宋体" w:eastAsia="宋体" w:cs="宋体"/>
          <w:color w:val="000000"/>
          <w:sz w:val="24"/>
          <w:szCs w:val="24"/>
          <w:highlight w:val="none"/>
          <w:lang w:bidi="ar"/>
        </w:rPr>
        <w:t>日常小修保养过程中不能封闭交通（特殊情况下的应急处置除外），由此引发的养护安全，临时标牌制作和设置，养护人员、设备、材料等的调配运输等问题，承包人自行考虑，由此产生的费用包含在合同总价中，不单独计量；承包人进入项目现场前，首先与交警、路政、地方政府等部门协调，取得相关手续后方可进入项目现场，所有的协调工作由承包人自行完成，由此产生的费用包含在合同总价中，不单独计量。</w:t>
      </w:r>
    </w:p>
    <w:p w14:paraId="53E6460B">
      <w:pPr>
        <w:keepNext w:val="0"/>
        <w:keepLines w:val="0"/>
        <w:pageBreakBefore w:val="0"/>
        <w:widowControl/>
        <w:spacing w:line="360" w:lineRule="auto"/>
        <w:ind w:firstLine="480"/>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8、承包人</w:t>
      </w:r>
      <w:r>
        <w:rPr>
          <w:rFonts w:hint="eastAsia" w:ascii="宋体" w:hAnsi="宋体" w:eastAsia="宋体" w:cs="宋体"/>
          <w:color w:val="000000"/>
          <w:sz w:val="24"/>
          <w:szCs w:val="24"/>
          <w:highlight w:val="none"/>
          <w:lang w:bidi="ar"/>
        </w:rPr>
        <w:t>应配备足够数量的养护、保洁人员及机械，未经发包人代表批准不得随意更换或减少主要养护管理人员和机械，</w:t>
      </w:r>
      <w:r>
        <w:rPr>
          <w:rFonts w:hint="eastAsia" w:ascii="宋体" w:hAnsi="宋体" w:eastAsia="宋体" w:cs="宋体"/>
          <w:color w:val="000000"/>
          <w:sz w:val="24"/>
          <w:szCs w:val="24"/>
          <w:highlight w:val="none"/>
          <w:lang w:val="en-US" w:eastAsia="zh-CN" w:bidi="ar"/>
        </w:rPr>
        <w:t>承包</w:t>
      </w:r>
      <w:r>
        <w:rPr>
          <w:rFonts w:hint="eastAsia" w:ascii="宋体" w:hAnsi="宋体" w:eastAsia="宋体" w:cs="宋体"/>
          <w:color w:val="000000"/>
          <w:sz w:val="24"/>
          <w:szCs w:val="24"/>
          <w:highlight w:val="none"/>
          <w:lang w:bidi="ar"/>
        </w:rPr>
        <w:t>人针对本项目配备的人员须统一安全标志服装，养护车辆须统一标识。为此发生的相关费用包含在所报的单价或总价中，发包人不再另行计列和支付。</w:t>
      </w:r>
    </w:p>
    <w:p w14:paraId="3422DAAA">
      <w:pPr>
        <w:keepNext w:val="0"/>
        <w:keepLines w:val="0"/>
        <w:pageBreakBefore w:val="0"/>
        <w:widowControl/>
        <w:spacing w:line="360" w:lineRule="auto"/>
        <w:ind w:firstLine="480"/>
        <w:jc w:val="left"/>
        <w:rPr>
          <w:rFonts w:hint="eastAsia" w:ascii="宋体" w:hAnsi="宋体" w:cs="宋体"/>
          <w:sz w:val="24"/>
          <w:szCs w:val="24"/>
          <w:highlight w:val="none"/>
        </w:rPr>
      </w:pPr>
      <w:r>
        <w:rPr>
          <w:rFonts w:hint="eastAsia" w:ascii="宋体" w:hAnsi="宋体" w:cs="宋体"/>
          <w:color w:val="000000"/>
          <w:sz w:val="24"/>
          <w:szCs w:val="24"/>
          <w:highlight w:val="none"/>
          <w:lang w:val="en-US" w:eastAsia="zh-CN" w:bidi="ar"/>
        </w:rPr>
        <w:t>9</w:t>
      </w:r>
      <w:r>
        <w:rPr>
          <w:rFonts w:hint="eastAsia" w:ascii="宋体" w:hAnsi="宋体" w:cs="宋体"/>
          <w:color w:val="000000"/>
          <w:sz w:val="24"/>
          <w:szCs w:val="24"/>
          <w:highlight w:val="none"/>
          <w:lang w:bidi="ar"/>
        </w:rPr>
        <w:t>、本养护工作的生活用电用水，均由</w:t>
      </w:r>
      <w:r>
        <w:rPr>
          <w:rFonts w:hint="eastAsia" w:ascii="宋体" w:hAnsi="宋体" w:cs="宋体"/>
          <w:color w:val="000000"/>
          <w:sz w:val="24"/>
          <w:szCs w:val="24"/>
          <w:highlight w:val="none"/>
          <w:lang w:val="en-US" w:eastAsia="zh-CN" w:bidi="ar"/>
        </w:rPr>
        <w:t>承包</w:t>
      </w:r>
      <w:r>
        <w:rPr>
          <w:rFonts w:hint="eastAsia" w:ascii="宋体" w:hAnsi="宋体" w:cs="宋体"/>
          <w:color w:val="000000"/>
          <w:sz w:val="24"/>
          <w:szCs w:val="24"/>
          <w:highlight w:val="none"/>
          <w:lang w:bidi="ar"/>
        </w:rPr>
        <w:t>人自行解决。</w:t>
      </w:r>
      <w:r>
        <w:rPr>
          <w:rFonts w:hint="eastAsia" w:ascii="宋体" w:hAnsi="宋体" w:cs="宋体"/>
          <w:color w:val="000000"/>
          <w:sz w:val="24"/>
          <w:szCs w:val="24"/>
          <w:highlight w:val="none"/>
          <w:lang w:val="en-US" w:eastAsia="zh-CN" w:bidi="ar"/>
        </w:rPr>
        <w:t>承包</w:t>
      </w:r>
      <w:r>
        <w:rPr>
          <w:rFonts w:hint="eastAsia" w:ascii="宋体" w:hAnsi="宋体" w:cs="宋体"/>
          <w:color w:val="000000"/>
          <w:sz w:val="24"/>
          <w:szCs w:val="24"/>
          <w:highlight w:val="none"/>
          <w:lang w:bidi="ar"/>
        </w:rPr>
        <w:t>人应将生活及</w:t>
      </w:r>
      <w:r>
        <w:rPr>
          <w:rFonts w:hint="eastAsia" w:ascii="宋体" w:hAnsi="宋体" w:cs="宋体"/>
          <w:color w:val="000000"/>
          <w:sz w:val="24"/>
          <w:szCs w:val="24"/>
          <w:highlight w:val="none"/>
          <w:lang w:val="en-US" w:eastAsia="zh-CN" w:bidi="ar"/>
        </w:rPr>
        <w:t>工作</w:t>
      </w:r>
      <w:r>
        <w:rPr>
          <w:rFonts w:hint="eastAsia" w:ascii="宋体" w:hAnsi="宋体" w:cs="宋体"/>
          <w:color w:val="000000"/>
          <w:sz w:val="24"/>
          <w:szCs w:val="24"/>
          <w:highlight w:val="none"/>
          <w:lang w:bidi="ar"/>
        </w:rPr>
        <w:t>中留下的杂物、垃圾等清理出道路用地范围并妥善处理，不得造成二次污染，影响路容路貌。</w:t>
      </w:r>
    </w:p>
    <w:p w14:paraId="06A7D23E">
      <w:pPr>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jc w:val="left"/>
        <w:rPr>
          <w:rFonts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10</w:t>
      </w:r>
      <w:r>
        <w:rPr>
          <w:rFonts w:ascii="宋体" w:hAnsi="宋体" w:eastAsia="宋体" w:cs="宋体"/>
          <w:color w:val="000000"/>
          <w:sz w:val="24"/>
          <w:szCs w:val="24"/>
          <w:highlight w:val="none"/>
          <w:lang w:val="en-US" w:eastAsia="zh-CN" w:bidi="ar"/>
        </w:rPr>
        <w:t>、</w:t>
      </w:r>
      <w:r>
        <w:rPr>
          <w:rFonts w:ascii="宋体" w:hAnsi="宋体" w:eastAsia="宋体" w:cs="宋体"/>
          <w:sz w:val="24"/>
          <w:szCs w:val="24"/>
          <w:highlight w:val="none"/>
          <w:lang w:val="en-US" w:eastAsia="zh-CN" w:bidi="ar-SA"/>
        </w:rPr>
        <w:t>严格遵守</w:t>
      </w:r>
      <w:r>
        <w:rPr>
          <w:rFonts w:hint="eastAsia" w:ascii="宋体" w:hAnsi="宋体" w:eastAsia="宋体" w:cs="宋体"/>
          <w:sz w:val="24"/>
          <w:szCs w:val="24"/>
          <w:highlight w:val="none"/>
          <w:lang w:val="en-US" w:eastAsia="zh-CN" w:bidi="ar-SA"/>
        </w:rPr>
        <w:t>项目</w:t>
      </w:r>
      <w:r>
        <w:rPr>
          <w:rFonts w:ascii="宋体" w:hAnsi="宋体" w:eastAsia="宋体" w:cs="宋体"/>
          <w:sz w:val="24"/>
          <w:szCs w:val="24"/>
          <w:highlight w:val="none"/>
          <w:lang w:val="en-US" w:eastAsia="zh-CN" w:bidi="ar-SA"/>
        </w:rPr>
        <w:t>建设安全生产的有关规定，严格按照安全标准</w:t>
      </w:r>
      <w:r>
        <w:rPr>
          <w:rFonts w:hint="eastAsia" w:ascii="宋体" w:hAnsi="宋体" w:eastAsia="宋体" w:cs="宋体"/>
          <w:sz w:val="24"/>
          <w:szCs w:val="24"/>
          <w:highlight w:val="none"/>
          <w:lang w:val="en-US" w:eastAsia="zh-CN" w:bidi="ar-SA"/>
        </w:rPr>
        <w:t>工作</w:t>
      </w:r>
      <w:r>
        <w:rPr>
          <w:rFonts w:ascii="宋体" w:hAnsi="宋体" w:eastAsia="宋体" w:cs="宋体"/>
          <w:sz w:val="24"/>
          <w:szCs w:val="24"/>
          <w:highlight w:val="none"/>
          <w:lang w:val="en-US" w:eastAsia="zh-CN" w:bidi="ar-SA"/>
        </w:rPr>
        <w:t>，采取必要的安全防护措施并对</w:t>
      </w:r>
      <w:r>
        <w:rPr>
          <w:rFonts w:hint="eastAsia" w:ascii="宋体" w:hAnsi="宋体" w:eastAsia="宋体" w:cs="宋体"/>
          <w:sz w:val="24"/>
          <w:szCs w:val="24"/>
          <w:highlight w:val="none"/>
          <w:lang w:val="en-US" w:eastAsia="zh-CN" w:bidi="ar-SA"/>
        </w:rPr>
        <w:t>养护</w:t>
      </w:r>
      <w:r>
        <w:rPr>
          <w:rFonts w:ascii="宋体" w:hAnsi="宋体" w:eastAsia="宋体" w:cs="宋体"/>
          <w:sz w:val="24"/>
          <w:szCs w:val="24"/>
          <w:highlight w:val="none"/>
          <w:lang w:val="en-US" w:eastAsia="zh-CN" w:bidi="ar-SA"/>
        </w:rPr>
        <w:t>人员进行安全生产教育和管理；健全组织制度，指定主要领导负责安全工作，确保作业人员和车辆、设备的安全。</w:t>
      </w:r>
    </w:p>
    <w:p w14:paraId="30765A28">
      <w:pPr>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jc w:val="left"/>
        <w:rPr>
          <w:rFonts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承包人</w:t>
      </w:r>
      <w:r>
        <w:rPr>
          <w:rFonts w:ascii="宋体" w:hAnsi="宋体" w:eastAsia="宋体" w:cs="宋体"/>
          <w:sz w:val="24"/>
          <w:szCs w:val="24"/>
          <w:highlight w:val="none"/>
          <w:lang w:val="en-US" w:eastAsia="zh-CN" w:bidi="ar-SA"/>
        </w:rPr>
        <w:t>上路作业应按规定办理相关手续，并服从公安、路政等部门的管理；作业人员须穿着统一的安全标志服在作业封闭区内作业，严禁随意穿越车道；在作业封闭区内的车辆和设备应按要求设置安全标志，并开启黄色警示灯和双跳灯；运输车辆进出作业封闭区应遵守现场管理人员指挥，严禁私自开启中央分隔带开口调头；白天滞留在公路上的</w:t>
      </w:r>
      <w:r>
        <w:rPr>
          <w:rFonts w:hint="eastAsia" w:ascii="宋体" w:hAnsi="宋体" w:eastAsia="宋体" w:cs="宋体"/>
          <w:sz w:val="24"/>
          <w:szCs w:val="24"/>
          <w:highlight w:val="none"/>
          <w:lang w:val="en-US" w:eastAsia="zh-CN" w:bidi="ar-SA"/>
        </w:rPr>
        <w:t>养护</w:t>
      </w:r>
      <w:r>
        <w:rPr>
          <w:rFonts w:ascii="宋体" w:hAnsi="宋体" w:eastAsia="宋体" w:cs="宋体"/>
          <w:sz w:val="24"/>
          <w:szCs w:val="24"/>
          <w:highlight w:val="none"/>
          <w:lang w:val="en-US" w:eastAsia="zh-CN" w:bidi="ar-SA"/>
        </w:rPr>
        <w:t>设备应整齐地停放，不得侵占行车道，并按规定设置相应的警示和隔离标志。</w:t>
      </w:r>
    </w:p>
    <w:p w14:paraId="74E1B890">
      <w:pPr>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2"/>
        <w:jc w:val="left"/>
        <w:rPr>
          <w:rFonts w:ascii="宋体" w:hAnsi="宋体" w:eastAsia="宋体" w:cs="宋体"/>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
        </w:rPr>
        <w:t>承包人</w:t>
      </w:r>
      <w:r>
        <w:rPr>
          <w:rFonts w:ascii="宋体" w:hAnsi="宋体" w:eastAsia="宋体" w:cs="宋体"/>
          <w:b/>
          <w:bCs/>
          <w:sz w:val="24"/>
          <w:szCs w:val="24"/>
          <w:highlight w:val="none"/>
          <w:lang w:val="en-US" w:eastAsia="zh-CN" w:bidi="ar-SA"/>
        </w:rPr>
        <w:t>在</w:t>
      </w:r>
      <w:r>
        <w:rPr>
          <w:rFonts w:hint="eastAsia" w:ascii="宋体" w:hAnsi="宋体" w:eastAsia="宋体" w:cs="宋体"/>
          <w:b/>
          <w:bCs/>
          <w:sz w:val="24"/>
          <w:szCs w:val="24"/>
          <w:highlight w:val="none"/>
          <w:lang w:val="en-US" w:eastAsia="zh-CN" w:bidi="ar-SA"/>
        </w:rPr>
        <w:t>工作</w:t>
      </w:r>
      <w:r>
        <w:rPr>
          <w:rFonts w:ascii="宋体" w:hAnsi="宋体" w:eastAsia="宋体" w:cs="宋体"/>
          <w:b/>
          <w:bCs/>
          <w:sz w:val="24"/>
          <w:szCs w:val="24"/>
          <w:highlight w:val="none"/>
          <w:lang w:val="en-US" w:eastAsia="zh-CN" w:bidi="ar-SA"/>
        </w:rPr>
        <w:t>过程中发生的任何交通、生产事故造成财产损失或人员伤亡的，以及与其他第三方发生的任何纠纷或事故，任何责任和费用均由投标人自行承担。</w:t>
      </w:r>
    </w:p>
    <w:p w14:paraId="5A5F9EE8">
      <w:pPr>
        <w:keepNext w:val="0"/>
        <w:keepLines w:val="0"/>
        <w:pageBreakBefore w:val="0"/>
        <w:widowControl/>
        <w:spacing w:line="360" w:lineRule="auto"/>
        <w:ind w:firstLine="480"/>
        <w:jc w:val="left"/>
        <w:rPr>
          <w:rFonts w:hint="eastAsia" w:ascii="宋体" w:hAnsi="宋体" w:cs="宋体"/>
          <w:color w:val="000000"/>
          <w:sz w:val="24"/>
          <w:szCs w:val="24"/>
          <w:highlight w:val="none"/>
          <w:lang w:bidi="ar"/>
        </w:rPr>
      </w:pPr>
      <w:r>
        <w:rPr>
          <w:rFonts w:hint="eastAsia" w:ascii="宋体" w:hAnsi="宋体" w:eastAsia="宋体" w:cs="宋体"/>
          <w:sz w:val="24"/>
          <w:szCs w:val="24"/>
          <w:highlight w:val="none"/>
          <w:lang w:val="en-US" w:eastAsia="zh-CN" w:bidi="ar-SA"/>
        </w:rPr>
        <w:t>11、</w:t>
      </w:r>
      <w:r>
        <w:rPr>
          <w:rFonts w:hint="eastAsia" w:ascii="宋体" w:hAnsi="宋体" w:cs="宋体"/>
          <w:color w:val="000000"/>
          <w:sz w:val="24"/>
          <w:szCs w:val="24"/>
          <w:highlight w:val="none"/>
          <w:lang w:bidi="ar"/>
        </w:rPr>
        <w:t>遵守《江苏省公路条例》的有关规定，服从公安、路政部门的管理，自觉保护</w:t>
      </w:r>
      <w:r>
        <w:rPr>
          <w:rFonts w:hint="eastAsia" w:ascii="宋体" w:hAnsi="宋体" w:cs="宋体"/>
          <w:color w:val="000000"/>
          <w:sz w:val="24"/>
          <w:szCs w:val="24"/>
          <w:highlight w:val="none"/>
          <w:lang w:val="en-US" w:eastAsia="zh-CN" w:bidi="ar"/>
        </w:rPr>
        <w:t>养护</w:t>
      </w:r>
      <w:r>
        <w:rPr>
          <w:rFonts w:hint="eastAsia" w:ascii="宋体" w:hAnsi="宋体" w:cs="宋体"/>
          <w:color w:val="000000"/>
          <w:sz w:val="24"/>
          <w:szCs w:val="24"/>
          <w:highlight w:val="none"/>
          <w:lang w:bidi="ar"/>
        </w:rPr>
        <w:t>公路路产；遵守地方政府和有关部门对</w:t>
      </w:r>
      <w:r>
        <w:rPr>
          <w:rFonts w:hint="eastAsia" w:ascii="宋体" w:hAnsi="宋体" w:cs="宋体"/>
          <w:color w:val="000000"/>
          <w:sz w:val="24"/>
          <w:szCs w:val="24"/>
          <w:highlight w:val="none"/>
          <w:lang w:val="en-US" w:eastAsia="zh-CN" w:bidi="ar"/>
        </w:rPr>
        <w:t>养护</w:t>
      </w:r>
      <w:r>
        <w:rPr>
          <w:rFonts w:hint="eastAsia" w:ascii="宋体" w:hAnsi="宋体" w:cs="宋体"/>
          <w:color w:val="000000"/>
          <w:sz w:val="24"/>
          <w:szCs w:val="24"/>
          <w:highlight w:val="none"/>
          <w:lang w:bidi="ar"/>
        </w:rPr>
        <w:t>场地交通和噪音等管理规定，否则将承担由此造成的有权部门的处罚。</w:t>
      </w:r>
      <w:r>
        <w:rPr>
          <w:rFonts w:hint="eastAsia" w:ascii="宋体" w:hAnsi="宋体" w:cs="宋体"/>
          <w:color w:val="000000"/>
          <w:sz w:val="24"/>
          <w:szCs w:val="24"/>
          <w:highlight w:val="none"/>
          <w:lang w:val="en-US" w:eastAsia="zh-CN" w:bidi="ar"/>
        </w:rPr>
        <w:t>承包</w:t>
      </w:r>
      <w:r>
        <w:rPr>
          <w:rFonts w:hint="eastAsia" w:ascii="宋体" w:hAnsi="宋体" w:cs="宋体"/>
          <w:color w:val="000000"/>
          <w:sz w:val="24"/>
          <w:szCs w:val="24"/>
          <w:highlight w:val="none"/>
          <w:lang w:bidi="ar"/>
        </w:rPr>
        <w:t>人负责</w:t>
      </w:r>
      <w:r>
        <w:rPr>
          <w:rFonts w:hint="eastAsia" w:ascii="宋体" w:hAnsi="宋体" w:cs="宋体"/>
          <w:color w:val="000000"/>
          <w:sz w:val="24"/>
          <w:szCs w:val="24"/>
          <w:highlight w:val="none"/>
          <w:lang w:val="en-US" w:eastAsia="zh-CN" w:bidi="ar"/>
        </w:rPr>
        <w:t>养护</w:t>
      </w:r>
      <w:r>
        <w:rPr>
          <w:rFonts w:hint="eastAsia" w:ascii="宋体" w:hAnsi="宋体" w:cs="宋体"/>
          <w:color w:val="000000"/>
          <w:sz w:val="24"/>
          <w:szCs w:val="24"/>
          <w:highlight w:val="none"/>
          <w:lang w:bidi="ar"/>
        </w:rPr>
        <w:t>现场的环境保护工作，保证</w:t>
      </w:r>
      <w:r>
        <w:rPr>
          <w:rFonts w:hint="eastAsia" w:ascii="宋体" w:hAnsi="宋体" w:cs="宋体"/>
          <w:color w:val="000000"/>
          <w:sz w:val="24"/>
          <w:szCs w:val="24"/>
          <w:highlight w:val="none"/>
          <w:lang w:val="en-US" w:eastAsia="zh-CN" w:bidi="ar"/>
        </w:rPr>
        <w:t>养护</w:t>
      </w:r>
      <w:r>
        <w:rPr>
          <w:rFonts w:hint="eastAsia" w:ascii="宋体" w:hAnsi="宋体" w:cs="宋体"/>
          <w:color w:val="000000"/>
          <w:sz w:val="24"/>
          <w:szCs w:val="24"/>
          <w:highlight w:val="none"/>
          <w:lang w:bidi="ar"/>
        </w:rPr>
        <w:t>现场环境符合有关规定，加强对作业人员的环境保护意识教育。</w:t>
      </w:r>
    </w:p>
    <w:p w14:paraId="075AC34C">
      <w:pPr>
        <w:keepNext w:val="0"/>
        <w:keepLines w:val="0"/>
        <w:pageBreakBefore w:val="0"/>
        <w:spacing w:line="360" w:lineRule="auto"/>
        <w:ind w:firstLine="480"/>
        <w:rPr>
          <w:rFonts w:hint="eastAsia" w:ascii="宋体" w:hAnsi="宋体" w:cs="宋体"/>
          <w:sz w:val="24"/>
          <w:szCs w:val="24"/>
          <w:highlight w:val="none"/>
        </w:rPr>
      </w:pPr>
      <w:r>
        <w:rPr>
          <w:rFonts w:hint="eastAsia" w:ascii="宋体" w:hAnsi="宋体" w:cs="宋体"/>
          <w:color w:val="000000"/>
          <w:sz w:val="24"/>
          <w:szCs w:val="24"/>
          <w:highlight w:val="none"/>
          <w:lang w:val="en-US" w:eastAsia="zh-CN" w:bidi="ar"/>
        </w:rPr>
        <w:t>承包</w:t>
      </w:r>
      <w:r>
        <w:rPr>
          <w:rFonts w:hint="eastAsia" w:ascii="宋体" w:hAnsi="宋体" w:cs="宋体"/>
          <w:color w:val="000000"/>
          <w:sz w:val="24"/>
          <w:szCs w:val="24"/>
          <w:highlight w:val="none"/>
          <w:lang w:bidi="ar"/>
        </w:rPr>
        <w:t>人负责养护现场的环境保护工作，保证养护现场环境符合有关规定，加强对作业人员的环境保护意识教育。若因使用农药不当而引发的纠纷由</w:t>
      </w:r>
      <w:r>
        <w:rPr>
          <w:rFonts w:hint="eastAsia" w:ascii="宋体" w:hAnsi="宋体" w:cs="宋体"/>
          <w:color w:val="000000"/>
          <w:sz w:val="24"/>
          <w:szCs w:val="24"/>
          <w:highlight w:val="none"/>
          <w:lang w:val="en-US" w:eastAsia="zh-CN" w:bidi="ar"/>
        </w:rPr>
        <w:t>承包</w:t>
      </w:r>
      <w:r>
        <w:rPr>
          <w:rFonts w:hint="eastAsia" w:ascii="宋体" w:hAnsi="宋体" w:cs="宋体"/>
          <w:color w:val="000000"/>
          <w:sz w:val="24"/>
          <w:szCs w:val="24"/>
          <w:highlight w:val="none"/>
          <w:lang w:bidi="ar"/>
        </w:rPr>
        <w:t>人自行解决。废料应集中堆放，任何养护、保洁及生活垃圾必须自行妥善处理，不得抛洒在公路用地界内，在养护中应加强设备和材料的管理，不得抛、洒、滴、漏污染路面。</w:t>
      </w:r>
    </w:p>
    <w:p w14:paraId="17BDE8E7">
      <w:pPr>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jc w:val="left"/>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1</w:t>
      </w:r>
      <w:r>
        <w:rPr>
          <w:rFonts w:hint="eastAsia" w:ascii="宋体" w:hAnsi="宋体" w:eastAsia="宋体" w:cs="宋体"/>
          <w:sz w:val="24"/>
          <w:szCs w:val="24"/>
          <w:highlight w:val="none"/>
          <w:lang w:val="en-US" w:eastAsia="zh-CN" w:bidi="ar-SA"/>
        </w:rPr>
        <w:t>2</w:t>
      </w:r>
      <w:r>
        <w:rPr>
          <w:rFonts w:ascii="宋体" w:hAnsi="宋体" w:eastAsia="宋体" w:cs="宋体"/>
          <w:sz w:val="24"/>
          <w:szCs w:val="24"/>
          <w:highlight w:val="none"/>
          <w:lang w:val="en-US" w:eastAsia="zh-CN" w:bidi="ar-SA"/>
        </w:rPr>
        <w:t>、</w:t>
      </w:r>
      <w:r>
        <w:rPr>
          <w:rFonts w:hint="eastAsia" w:ascii="宋体" w:hAnsi="宋体" w:eastAsia="宋体" w:cs="宋体"/>
          <w:color w:val="000000"/>
          <w:sz w:val="24"/>
          <w:szCs w:val="24"/>
          <w:highlight w:val="none"/>
          <w:lang w:val="en-US" w:eastAsia="zh-CN" w:bidi="ar"/>
        </w:rPr>
        <w:t>承包人</w:t>
      </w:r>
      <w:r>
        <w:rPr>
          <w:rFonts w:ascii="宋体" w:hAnsi="宋体" w:eastAsia="宋体" w:cs="宋体"/>
          <w:sz w:val="24"/>
          <w:szCs w:val="24"/>
          <w:highlight w:val="none"/>
          <w:lang w:val="en-US" w:eastAsia="zh-CN" w:bidi="ar-SA"/>
        </w:rPr>
        <w:t>提出合理化建议降低了合同价格或者提高了本项目经济效益的，不得以该理由申请奖励经费。</w:t>
      </w:r>
    </w:p>
    <w:p w14:paraId="0156A716">
      <w:pPr>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jc w:val="left"/>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1</w:t>
      </w:r>
      <w:r>
        <w:rPr>
          <w:rFonts w:hint="eastAsia" w:ascii="宋体" w:hAnsi="宋体" w:eastAsia="宋体" w:cs="宋体"/>
          <w:sz w:val="24"/>
          <w:szCs w:val="24"/>
          <w:highlight w:val="none"/>
          <w:lang w:val="en-US" w:eastAsia="zh-CN" w:bidi="ar-SA"/>
        </w:rPr>
        <w:t>3</w:t>
      </w:r>
      <w:r>
        <w:rPr>
          <w:rFonts w:ascii="宋体" w:hAnsi="宋体" w:eastAsia="宋体" w:cs="宋体"/>
          <w:sz w:val="24"/>
          <w:szCs w:val="24"/>
          <w:highlight w:val="none"/>
          <w:lang w:val="en-US" w:eastAsia="zh-CN" w:bidi="ar-SA"/>
        </w:rPr>
        <w:t>、因物价波动引起的价格调整，应考虑在</w:t>
      </w:r>
      <w:r>
        <w:rPr>
          <w:rFonts w:hint="eastAsia" w:ascii="宋体" w:hAnsi="宋体" w:eastAsia="宋体" w:cs="宋体"/>
          <w:color w:val="000000"/>
          <w:sz w:val="24"/>
          <w:szCs w:val="24"/>
          <w:highlight w:val="none"/>
          <w:lang w:val="en-US" w:eastAsia="zh-CN" w:bidi="ar"/>
        </w:rPr>
        <w:t>承包人</w:t>
      </w:r>
      <w:r>
        <w:rPr>
          <w:rFonts w:ascii="宋体" w:hAnsi="宋体" w:eastAsia="宋体" w:cs="宋体"/>
          <w:sz w:val="24"/>
          <w:szCs w:val="24"/>
          <w:highlight w:val="none"/>
          <w:lang w:val="en-US" w:eastAsia="zh-CN" w:bidi="ar-SA"/>
        </w:rPr>
        <w:t>的投标报价中，不得另行申报价格调整。</w:t>
      </w:r>
    </w:p>
    <w:p w14:paraId="69E6D7EB">
      <w:pPr>
        <w:keepNext w:val="0"/>
        <w:keepLines w:val="0"/>
        <w:pageBreakBefore w:val="0"/>
        <w:widowControl/>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1</w:t>
      </w:r>
      <w:r>
        <w:rPr>
          <w:rFonts w:hint="eastAsia" w:ascii="宋体" w:hAnsi="宋体" w:cs="宋体"/>
          <w:sz w:val="24"/>
          <w:szCs w:val="24"/>
          <w:highlight w:val="none"/>
          <w:lang w:val="en-US" w:eastAsia="zh-CN"/>
        </w:rPr>
        <w:t>4</w:t>
      </w:r>
      <w:r>
        <w:rPr>
          <w:rFonts w:hint="eastAsia" w:ascii="宋体" w:hAnsi="宋体" w:cs="宋体"/>
          <w:sz w:val="24"/>
          <w:szCs w:val="24"/>
          <w:highlight w:val="none"/>
        </w:rPr>
        <w:t>、</w:t>
      </w:r>
      <w:r>
        <w:rPr>
          <w:rFonts w:hint="eastAsia" w:ascii="宋体" w:hAnsi="宋体" w:eastAsia="宋体" w:cs="宋体"/>
          <w:spacing w:val="0"/>
          <w:position w:val="0"/>
          <w:sz w:val="24"/>
          <w:szCs w:val="24"/>
          <w:highlight w:val="none"/>
          <w:lang w:val="en-US" w:eastAsia="zh-CN"/>
        </w:rPr>
        <w:t>养护期间承包人必须严格执行国家、地方政府有关项目安全管理方面的法律、法规及规章制度，同时严格执行发包人制订的本项目安全生产管理方面的规章制度、安全检查程序及施工安全管理要求，以及监理人有关安全工作的指示。本项目安全生产费为最高投标限价的1.5%，计入投标总价。安全生产费使用前经监理人、发包人及相关有权部门验收符合《公路水运安全生产监督管理办法》的规定，并根据实际发生额，经发包人审核后，据实支付。如承包人在此基础上增加安全生产费用以满足项目施工需要，则承包人应在本项目价格清单其他子目的单价或总额价中予以考虑，发包人不再另行支付。</w:t>
      </w:r>
    </w:p>
    <w:p w14:paraId="1D6E1FB2">
      <w:pPr>
        <w:keepNext w:val="0"/>
        <w:keepLines w:val="0"/>
        <w:pageBreakBefore w:val="0"/>
        <w:widowControl w:val="0"/>
        <w:spacing w:line="360" w:lineRule="auto"/>
        <w:ind w:left="0" w:firstLine="480"/>
        <w:jc w:val="both"/>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15、</w:t>
      </w:r>
      <w:r>
        <w:rPr>
          <w:rFonts w:hint="eastAsia" w:ascii="宋体" w:hAnsi="宋体" w:eastAsia="宋体" w:cs="宋体"/>
          <w:color w:val="000000"/>
          <w:sz w:val="24"/>
          <w:szCs w:val="24"/>
          <w:highlight w:val="none"/>
          <w:lang w:val="en-US" w:eastAsia="zh-CN" w:bidi="ar"/>
        </w:rPr>
        <w:t>承包人</w:t>
      </w:r>
      <w:r>
        <w:rPr>
          <w:rFonts w:hint="eastAsia" w:ascii="宋体" w:hAnsi="宋体" w:eastAsia="宋体" w:cs="宋体"/>
          <w:sz w:val="24"/>
          <w:szCs w:val="24"/>
          <w:highlight w:val="none"/>
          <w:lang w:val="en-US" w:eastAsia="zh-CN" w:bidi="ar-SA"/>
        </w:rPr>
        <w:t>在处理劳务事宜时，应充分考虑和尊重法定的节假日和公认的农作季节，尊重宗教习惯和风俗习惯，由于</w:t>
      </w:r>
      <w:r>
        <w:rPr>
          <w:rFonts w:hint="eastAsia" w:ascii="宋体" w:hAnsi="宋体" w:eastAsia="宋体" w:cs="宋体"/>
          <w:color w:val="000000"/>
          <w:sz w:val="24"/>
          <w:szCs w:val="24"/>
          <w:highlight w:val="none"/>
          <w:lang w:val="en-US" w:eastAsia="zh-CN" w:bidi="ar"/>
        </w:rPr>
        <w:t>承包人</w:t>
      </w:r>
      <w:r>
        <w:rPr>
          <w:rFonts w:hint="eastAsia" w:ascii="宋体" w:hAnsi="宋体" w:eastAsia="宋体" w:cs="宋体"/>
          <w:sz w:val="24"/>
          <w:szCs w:val="24"/>
          <w:highlight w:val="none"/>
          <w:lang w:val="en-US" w:eastAsia="zh-CN" w:bidi="ar-SA"/>
        </w:rPr>
        <w:t>处理不当引起的费用或纠纷等责任由</w:t>
      </w:r>
      <w:r>
        <w:rPr>
          <w:rFonts w:hint="eastAsia" w:ascii="宋体" w:hAnsi="宋体" w:eastAsia="宋体" w:cs="宋体"/>
          <w:color w:val="000000"/>
          <w:sz w:val="24"/>
          <w:szCs w:val="24"/>
          <w:highlight w:val="none"/>
          <w:lang w:val="en-US" w:eastAsia="zh-CN" w:bidi="ar"/>
        </w:rPr>
        <w:t>承包人</w:t>
      </w:r>
      <w:r>
        <w:rPr>
          <w:rFonts w:hint="eastAsia" w:ascii="宋体" w:hAnsi="宋体" w:eastAsia="宋体" w:cs="宋体"/>
          <w:sz w:val="24"/>
          <w:szCs w:val="24"/>
          <w:highlight w:val="none"/>
          <w:lang w:val="en-US" w:eastAsia="zh-CN" w:bidi="ar-SA"/>
        </w:rPr>
        <w:t>自负。</w:t>
      </w:r>
    </w:p>
    <w:p w14:paraId="0A30426C">
      <w:pPr>
        <w:keepNext w:val="0"/>
        <w:keepLines w:val="0"/>
        <w:pageBreakBefore w:val="0"/>
        <w:widowControl/>
        <w:spacing w:line="360" w:lineRule="auto"/>
        <w:ind w:firstLine="480"/>
        <w:jc w:val="lef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w:t>
      </w:r>
      <w:r>
        <w:rPr>
          <w:rFonts w:hint="eastAsia" w:ascii="宋体" w:hAnsi="宋体" w:cs="宋体"/>
          <w:color w:val="000000"/>
          <w:sz w:val="24"/>
          <w:szCs w:val="24"/>
          <w:highlight w:val="none"/>
          <w:lang w:val="en-US" w:eastAsia="zh-CN" w:bidi="ar"/>
        </w:rPr>
        <w:t>6</w:t>
      </w:r>
      <w:r>
        <w:rPr>
          <w:rFonts w:hint="eastAsia" w:ascii="宋体" w:hAnsi="宋体" w:cs="宋体"/>
          <w:color w:val="000000"/>
          <w:sz w:val="24"/>
          <w:szCs w:val="24"/>
          <w:highlight w:val="none"/>
          <w:lang w:bidi="ar"/>
        </w:rPr>
        <w:t>、</w:t>
      </w:r>
      <w:r>
        <w:rPr>
          <w:rFonts w:hint="eastAsia" w:ascii="宋体" w:hAnsi="宋体" w:cs="宋体"/>
          <w:color w:val="000000"/>
          <w:sz w:val="24"/>
          <w:szCs w:val="24"/>
          <w:highlight w:val="none"/>
          <w:lang w:val="en-US" w:eastAsia="zh-CN" w:bidi="ar"/>
        </w:rPr>
        <w:t>承包</w:t>
      </w:r>
      <w:r>
        <w:rPr>
          <w:rFonts w:hint="eastAsia" w:ascii="宋体" w:hAnsi="宋体" w:cs="宋体"/>
          <w:color w:val="000000"/>
          <w:sz w:val="24"/>
          <w:szCs w:val="24"/>
          <w:highlight w:val="none"/>
          <w:lang w:bidi="ar"/>
        </w:rPr>
        <w:t>人承诺按</w:t>
      </w:r>
      <w:r>
        <w:rPr>
          <w:rFonts w:hint="eastAsia" w:ascii="宋体" w:hAnsi="宋体" w:cs="宋体"/>
          <w:color w:val="000000"/>
          <w:sz w:val="24"/>
          <w:szCs w:val="24"/>
          <w:highlight w:val="none"/>
          <w:lang w:val="en-US" w:eastAsia="zh-CN" w:bidi="ar"/>
        </w:rPr>
        <w:t>发包人</w:t>
      </w:r>
      <w:r>
        <w:rPr>
          <w:rFonts w:hint="eastAsia" w:ascii="宋体" w:hAnsi="宋体" w:cs="宋体"/>
          <w:color w:val="000000"/>
          <w:sz w:val="24"/>
          <w:szCs w:val="24"/>
          <w:highlight w:val="none"/>
          <w:lang w:bidi="ar"/>
        </w:rPr>
        <w:t>的要求提供应对恶劣天气、突发事件临时用工人员人数。按</w:t>
      </w:r>
      <w:r>
        <w:rPr>
          <w:rFonts w:hint="eastAsia" w:ascii="宋体" w:hAnsi="宋体" w:cs="宋体"/>
          <w:color w:val="000000"/>
          <w:sz w:val="24"/>
          <w:szCs w:val="24"/>
          <w:highlight w:val="none"/>
          <w:lang w:val="en-US" w:eastAsia="zh-CN" w:bidi="ar"/>
        </w:rPr>
        <w:t>发包人</w:t>
      </w:r>
      <w:r>
        <w:rPr>
          <w:rFonts w:hint="eastAsia" w:ascii="宋体" w:hAnsi="宋体" w:cs="宋体"/>
          <w:color w:val="000000"/>
          <w:sz w:val="24"/>
          <w:szCs w:val="24"/>
          <w:highlight w:val="none"/>
          <w:lang w:bidi="ar"/>
        </w:rPr>
        <w:t>的需要，及时、保质保量的完成冬防扫雪除冰工作和汛期防汛抗旱工作。</w:t>
      </w:r>
    </w:p>
    <w:p w14:paraId="2B45211B">
      <w:pPr>
        <w:keepNext w:val="0"/>
        <w:keepLines w:val="0"/>
        <w:pageBreakBefore w:val="0"/>
        <w:widowControl/>
        <w:spacing w:line="360" w:lineRule="auto"/>
        <w:ind w:firstLine="480"/>
        <w:jc w:val="lef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w:t>
      </w:r>
      <w:r>
        <w:rPr>
          <w:rFonts w:hint="eastAsia" w:ascii="宋体" w:hAnsi="宋体" w:cs="宋体"/>
          <w:color w:val="000000"/>
          <w:sz w:val="24"/>
          <w:szCs w:val="24"/>
          <w:highlight w:val="none"/>
          <w:lang w:val="en-US" w:eastAsia="zh-CN" w:bidi="ar"/>
        </w:rPr>
        <w:t>7</w:t>
      </w:r>
      <w:r>
        <w:rPr>
          <w:rFonts w:hint="eastAsia" w:ascii="宋体" w:hAnsi="宋体" w:cs="宋体"/>
          <w:color w:val="000000"/>
          <w:sz w:val="24"/>
          <w:szCs w:val="24"/>
          <w:highlight w:val="none"/>
          <w:lang w:bidi="ar"/>
        </w:rPr>
        <w:t>、以机械养护维修为主，文明生产，加强抢修能力，不断提高</w:t>
      </w:r>
      <w:r>
        <w:rPr>
          <w:rFonts w:hint="eastAsia" w:ascii="宋体" w:hAnsi="宋体" w:cs="宋体"/>
          <w:color w:val="000000"/>
          <w:sz w:val="24"/>
          <w:szCs w:val="24"/>
          <w:highlight w:val="none"/>
          <w:lang w:val="en-US" w:eastAsia="zh-CN" w:bidi="ar"/>
        </w:rPr>
        <w:t>养护</w:t>
      </w:r>
      <w:r>
        <w:rPr>
          <w:rFonts w:hint="eastAsia" w:ascii="宋体" w:hAnsi="宋体" w:cs="宋体"/>
          <w:color w:val="000000"/>
          <w:sz w:val="24"/>
          <w:szCs w:val="24"/>
          <w:highlight w:val="none"/>
          <w:lang w:bidi="ar"/>
        </w:rPr>
        <w:t>人员业务水平，提高项目养护质量。实行24小时值班制度，服从</w:t>
      </w:r>
      <w:r>
        <w:rPr>
          <w:rFonts w:hint="eastAsia" w:ascii="宋体" w:hAnsi="宋体" w:cs="宋体"/>
          <w:color w:val="000000"/>
          <w:sz w:val="24"/>
          <w:szCs w:val="24"/>
          <w:highlight w:val="none"/>
          <w:lang w:val="en-US" w:eastAsia="zh-CN" w:bidi="ar"/>
        </w:rPr>
        <w:t>发包人</w:t>
      </w:r>
      <w:r>
        <w:rPr>
          <w:rFonts w:hint="eastAsia" w:ascii="宋体" w:hAnsi="宋体" w:cs="宋体"/>
          <w:color w:val="000000"/>
          <w:sz w:val="24"/>
          <w:szCs w:val="24"/>
          <w:highlight w:val="none"/>
          <w:lang w:bidi="ar"/>
        </w:rPr>
        <w:t>调度，及时完成紧急维修任务，若未按规定的时效进行护栏、隔离栅等安全设施的维修，所造成的安全事故责任及损失，均由</w:t>
      </w:r>
      <w:r>
        <w:rPr>
          <w:rFonts w:hint="eastAsia" w:ascii="宋体" w:hAnsi="宋体" w:cs="宋体"/>
          <w:color w:val="000000"/>
          <w:sz w:val="24"/>
          <w:szCs w:val="24"/>
          <w:highlight w:val="none"/>
          <w:lang w:val="en-US" w:eastAsia="zh-CN" w:bidi="ar"/>
        </w:rPr>
        <w:t>承包</w:t>
      </w:r>
      <w:r>
        <w:rPr>
          <w:rFonts w:hint="eastAsia" w:ascii="宋体" w:hAnsi="宋体" w:cs="宋体"/>
          <w:color w:val="000000"/>
          <w:sz w:val="24"/>
          <w:szCs w:val="24"/>
          <w:highlight w:val="none"/>
          <w:lang w:bidi="ar"/>
        </w:rPr>
        <w:t>人承担。</w:t>
      </w:r>
    </w:p>
    <w:p w14:paraId="59444735">
      <w:pPr>
        <w:keepNext w:val="0"/>
        <w:keepLines w:val="0"/>
        <w:pageBreakBefore w:val="0"/>
        <w:widowControl/>
        <w:spacing w:line="360" w:lineRule="auto"/>
        <w:ind w:firstLine="480"/>
        <w:jc w:val="lef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w:t>
      </w:r>
      <w:r>
        <w:rPr>
          <w:rFonts w:hint="eastAsia" w:ascii="宋体" w:hAnsi="宋体" w:cs="宋体"/>
          <w:color w:val="000000"/>
          <w:sz w:val="24"/>
          <w:szCs w:val="24"/>
          <w:highlight w:val="none"/>
          <w:lang w:val="en-US" w:eastAsia="zh-CN" w:bidi="ar"/>
        </w:rPr>
        <w:t>8</w:t>
      </w:r>
      <w:r>
        <w:rPr>
          <w:rFonts w:hint="eastAsia" w:ascii="宋体" w:hAnsi="宋体" w:cs="宋体"/>
          <w:color w:val="000000"/>
          <w:sz w:val="24"/>
          <w:szCs w:val="24"/>
          <w:highlight w:val="none"/>
          <w:lang w:bidi="ar"/>
        </w:rPr>
        <w:t>、</w:t>
      </w:r>
      <w:r>
        <w:rPr>
          <w:rFonts w:hint="eastAsia" w:ascii="宋体" w:hAnsi="宋体" w:cs="宋体"/>
          <w:color w:val="000000"/>
          <w:sz w:val="24"/>
          <w:szCs w:val="24"/>
          <w:highlight w:val="none"/>
          <w:lang w:val="en-US" w:eastAsia="zh-CN" w:bidi="ar"/>
        </w:rPr>
        <w:t>承包</w:t>
      </w:r>
      <w:r>
        <w:rPr>
          <w:rFonts w:hint="eastAsia" w:ascii="宋体" w:hAnsi="宋体" w:cs="宋体"/>
          <w:color w:val="000000"/>
          <w:sz w:val="24"/>
          <w:szCs w:val="24"/>
          <w:highlight w:val="none"/>
          <w:lang w:bidi="ar"/>
        </w:rPr>
        <w:t>人不得以任何理由拖欠工人（含民工）工资，</w:t>
      </w:r>
      <w:r>
        <w:rPr>
          <w:rFonts w:hint="eastAsia" w:ascii="宋体" w:hAnsi="宋体" w:cs="宋体"/>
          <w:color w:val="000000"/>
          <w:sz w:val="24"/>
          <w:szCs w:val="24"/>
          <w:highlight w:val="none"/>
          <w:lang w:val="en-US" w:eastAsia="zh-CN" w:bidi="ar"/>
        </w:rPr>
        <w:t>承包</w:t>
      </w:r>
      <w:r>
        <w:rPr>
          <w:rFonts w:hint="eastAsia" w:ascii="宋体" w:hAnsi="宋体" w:cs="宋体"/>
          <w:color w:val="000000"/>
          <w:sz w:val="24"/>
          <w:szCs w:val="24"/>
          <w:highlight w:val="none"/>
          <w:lang w:bidi="ar"/>
        </w:rPr>
        <w:t>人应在交付工地前付清所欠工人（含民工）工资。在交付前，</w:t>
      </w:r>
      <w:r>
        <w:rPr>
          <w:rFonts w:hint="eastAsia" w:ascii="宋体" w:hAnsi="宋体" w:cs="宋体"/>
          <w:color w:val="000000"/>
          <w:sz w:val="24"/>
          <w:szCs w:val="24"/>
          <w:highlight w:val="none"/>
          <w:lang w:val="en-US" w:eastAsia="zh-CN" w:bidi="ar"/>
        </w:rPr>
        <w:t>承包</w:t>
      </w:r>
      <w:r>
        <w:rPr>
          <w:rFonts w:hint="eastAsia" w:ascii="宋体" w:hAnsi="宋体" w:cs="宋体"/>
          <w:color w:val="000000"/>
          <w:sz w:val="24"/>
          <w:szCs w:val="24"/>
          <w:highlight w:val="none"/>
          <w:lang w:bidi="ar"/>
        </w:rPr>
        <w:t>人应将本项目所涉及的工人（含民工）工资应付情况和支付时间在工地现场和周围张贴公布，</w:t>
      </w:r>
      <w:r>
        <w:rPr>
          <w:rFonts w:hint="eastAsia" w:ascii="宋体" w:hAnsi="宋体" w:cs="宋体"/>
          <w:color w:val="000000"/>
          <w:sz w:val="24"/>
          <w:szCs w:val="24"/>
          <w:highlight w:val="none"/>
          <w:lang w:val="en-US" w:eastAsia="zh-CN" w:bidi="ar"/>
        </w:rPr>
        <w:t>承包</w:t>
      </w:r>
      <w:r>
        <w:rPr>
          <w:rFonts w:hint="eastAsia" w:ascii="宋体" w:hAnsi="宋体" w:cs="宋体"/>
          <w:color w:val="000000"/>
          <w:sz w:val="24"/>
          <w:szCs w:val="24"/>
          <w:highlight w:val="none"/>
          <w:lang w:bidi="ar"/>
        </w:rPr>
        <w:t>人未付清工人（含民工）工资前，</w:t>
      </w:r>
      <w:r>
        <w:rPr>
          <w:rFonts w:hint="eastAsia" w:ascii="宋体" w:hAnsi="宋体" w:cs="宋体"/>
          <w:color w:val="000000"/>
          <w:sz w:val="24"/>
          <w:szCs w:val="24"/>
          <w:highlight w:val="none"/>
          <w:lang w:val="en-US" w:eastAsia="zh-CN" w:bidi="ar"/>
        </w:rPr>
        <w:t>发包人</w:t>
      </w:r>
      <w:r>
        <w:rPr>
          <w:rFonts w:hint="eastAsia" w:ascii="宋体" w:hAnsi="宋体" w:cs="宋体"/>
          <w:color w:val="000000"/>
          <w:sz w:val="24"/>
          <w:szCs w:val="24"/>
          <w:highlight w:val="none"/>
          <w:lang w:bidi="ar"/>
        </w:rPr>
        <w:t>有权暂定支付</w:t>
      </w:r>
      <w:r>
        <w:rPr>
          <w:rFonts w:hint="eastAsia" w:ascii="宋体" w:hAnsi="宋体" w:cs="宋体"/>
          <w:color w:val="000000"/>
          <w:sz w:val="24"/>
          <w:szCs w:val="24"/>
          <w:highlight w:val="none"/>
          <w:lang w:val="en-US" w:eastAsia="zh-CN" w:bidi="ar"/>
        </w:rPr>
        <w:t>合同</w:t>
      </w:r>
      <w:r>
        <w:rPr>
          <w:rFonts w:hint="eastAsia" w:ascii="宋体" w:hAnsi="宋体" w:cs="宋体"/>
          <w:color w:val="000000"/>
          <w:sz w:val="24"/>
          <w:szCs w:val="24"/>
          <w:highlight w:val="none"/>
          <w:lang w:bidi="ar"/>
        </w:rPr>
        <w:t>款，若造成</w:t>
      </w:r>
      <w:r>
        <w:rPr>
          <w:rFonts w:hint="eastAsia" w:ascii="宋体" w:hAnsi="宋体" w:cs="宋体"/>
          <w:color w:val="000000"/>
          <w:sz w:val="24"/>
          <w:szCs w:val="24"/>
          <w:highlight w:val="none"/>
          <w:lang w:val="en-US" w:eastAsia="zh-CN" w:bidi="ar"/>
        </w:rPr>
        <w:t>发包人</w:t>
      </w:r>
      <w:r>
        <w:rPr>
          <w:rFonts w:hint="eastAsia" w:ascii="宋体" w:hAnsi="宋体" w:cs="宋体"/>
          <w:color w:val="000000"/>
          <w:sz w:val="24"/>
          <w:szCs w:val="24"/>
          <w:highlight w:val="none"/>
          <w:lang w:bidi="ar"/>
        </w:rPr>
        <w:t>垫付任何费用的，</w:t>
      </w:r>
      <w:r>
        <w:rPr>
          <w:rFonts w:hint="eastAsia" w:ascii="宋体" w:hAnsi="宋体" w:cs="宋体"/>
          <w:color w:val="000000"/>
          <w:sz w:val="24"/>
          <w:szCs w:val="24"/>
          <w:highlight w:val="none"/>
          <w:lang w:val="en-US" w:eastAsia="zh-CN" w:bidi="ar"/>
        </w:rPr>
        <w:t>承包</w:t>
      </w:r>
      <w:r>
        <w:rPr>
          <w:rFonts w:hint="eastAsia" w:ascii="宋体" w:hAnsi="宋体" w:cs="宋体"/>
          <w:color w:val="000000"/>
          <w:sz w:val="24"/>
          <w:szCs w:val="24"/>
          <w:highlight w:val="none"/>
          <w:lang w:bidi="ar"/>
        </w:rPr>
        <w:t>人应向</w:t>
      </w:r>
      <w:r>
        <w:rPr>
          <w:rFonts w:hint="eastAsia" w:ascii="宋体" w:hAnsi="宋体" w:cs="宋体"/>
          <w:color w:val="000000"/>
          <w:sz w:val="24"/>
          <w:szCs w:val="24"/>
          <w:highlight w:val="none"/>
          <w:lang w:val="en-US" w:eastAsia="zh-CN" w:bidi="ar"/>
        </w:rPr>
        <w:t>发包人</w:t>
      </w:r>
      <w:r>
        <w:rPr>
          <w:rFonts w:hint="eastAsia" w:ascii="宋体" w:hAnsi="宋体" w:cs="宋体"/>
          <w:color w:val="000000"/>
          <w:sz w:val="24"/>
          <w:szCs w:val="24"/>
          <w:highlight w:val="none"/>
          <w:lang w:bidi="ar"/>
        </w:rPr>
        <w:t>双倍返还。</w:t>
      </w:r>
    </w:p>
    <w:p w14:paraId="057FEEE4">
      <w:pPr>
        <w:keepNext w:val="0"/>
        <w:keepLines w:val="0"/>
        <w:pageBreakBefore w:val="0"/>
        <w:widowControl/>
        <w:spacing w:line="360" w:lineRule="auto"/>
        <w:ind w:firstLine="480"/>
        <w:jc w:val="lef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w:t>
      </w:r>
      <w:r>
        <w:rPr>
          <w:rFonts w:hint="eastAsia" w:ascii="宋体" w:hAnsi="宋体" w:cs="宋体"/>
          <w:color w:val="000000"/>
          <w:sz w:val="24"/>
          <w:szCs w:val="24"/>
          <w:highlight w:val="none"/>
          <w:lang w:val="en-US" w:eastAsia="zh-CN" w:bidi="ar"/>
        </w:rPr>
        <w:t>9</w:t>
      </w:r>
      <w:r>
        <w:rPr>
          <w:rFonts w:hint="eastAsia" w:ascii="宋体" w:hAnsi="宋体" w:cs="宋体"/>
          <w:color w:val="000000"/>
          <w:sz w:val="24"/>
          <w:szCs w:val="24"/>
          <w:highlight w:val="none"/>
          <w:lang w:bidi="ar"/>
        </w:rPr>
        <w:t>、双方约定</w:t>
      </w:r>
      <w:r>
        <w:rPr>
          <w:rFonts w:hint="eastAsia" w:ascii="宋体" w:hAnsi="宋体" w:cs="宋体"/>
          <w:color w:val="000000"/>
          <w:sz w:val="24"/>
          <w:szCs w:val="24"/>
          <w:highlight w:val="none"/>
          <w:lang w:val="en-US" w:eastAsia="zh-CN" w:bidi="ar"/>
        </w:rPr>
        <w:t>承包人</w:t>
      </w:r>
      <w:r>
        <w:rPr>
          <w:rFonts w:hint="eastAsia" w:ascii="宋体" w:hAnsi="宋体" w:cs="宋体"/>
          <w:color w:val="000000"/>
          <w:sz w:val="24"/>
          <w:szCs w:val="24"/>
          <w:highlight w:val="none"/>
          <w:lang w:bidi="ar"/>
        </w:rPr>
        <w:t>应做的其他工作。</w:t>
      </w:r>
    </w:p>
    <w:p w14:paraId="53751D93">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五、转让和分包</w:t>
      </w:r>
    </w:p>
    <w:p w14:paraId="38810F68">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1、承包人承诺按照法律规定及合同约定组织完成养护、维修及应急处置工作，确保服务质量和安全，并承担相应的工程维修责任。本项目严禁转包、违法分包，一经发现，视其情节严重程度严肃处理，直至清退出场解除合同。</w:t>
      </w:r>
    </w:p>
    <w:p w14:paraId="4AB51246">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2、转包、分包违约责任。承包人不得将本项目进行转包或违法分包。经核查，发现承包人存在法律法规规定的转包、违法分包情形的，发包人应书面告知承包人。承包人应在接到书面告知后 7日内，向发包人提供相关证明材料。承包人未能在规定时问内举证或其证明材料不足以排除承包人存在转包、违法分包行为的，视同承包人存在违约责任，承包人应向发包人支付不低于合同金额 2%的违约金（发包人可根据项目具体规模适当调整违约金比例），并视情况制止违法分包行为。承包人存在转包、违法分包行为，被行政监管部门查处并依法作出行政处罚的，不影响合同违约责任履行，承包人仍须按合同约定向发包人支付违约金。承包人将项目转包或违法分包的，发包人有权终止合同。</w:t>
      </w:r>
    </w:p>
    <w:p w14:paraId="04B27874">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3、承包人的任何分包应当符合《江苏省公路工程施工分包管理实施细则》的规定。本项目的专业分包合同、劳务分包合同应当按照《江苏省公路工程劳务合作合同》（示范文本 2015年版）和《江苏省公路工程施工分包合同》（示范文本2015年版）进行签订。</w:t>
      </w:r>
    </w:p>
    <w:p w14:paraId="386FA2F9">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4、承包人对于分包单位的选择必须报发包人书面审核同意。</w:t>
      </w:r>
    </w:p>
    <w:p w14:paraId="221BEDF9">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5、发包人对承包人与分包人之间的法律与经济纠纷不承担任何责任或义务。</w:t>
      </w:r>
    </w:p>
    <w:p w14:paraId="16C19D9F">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6、承包人不得低于成本价将工程进行分包。出现以下三类情形时，承包人在提交分包合同审查的同时向发包人进行合理解释与书面说明，并提供相关证明和经承包人与分包人双方签字并盖章的书面承诺，否则视为低于成本价分包：</w:t>
      </w:r>
    </w:p>
    <w:p w14:paraId="40F172D7">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（1）以明显低于合理的市场最低价格水平进行分包的；</w:t>
      </w:r>
    </w:p>
    <w:p w14:paraId="36A6CC39">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（2）以低于本项目中其他合同段同类工程最低单价进行分包的；</w:t>
      </w:r>
    </w:p>
    <w:p w14:paraId="66AA0CEF">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（3）承包人提取的分包管理费明显高于该分包工程市场利润水平的。</w:t>
      </w:r>
    </w:p>
    <w:p w14:paraId="54AF2091">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承包人低于成本价分包的，其分包合同不予审查通过和备案，由发包人督促改正。</w:t>
      </w:r>
    </w:p>
    <w:p w14:paraId="3961F9C2">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lang w:val="en-US" w:eastAsia="zh-CN"/>
        </w:rPr>
        <w:t>六</w:t>
      </w:r>
      <w:r>
        <w:rPr>
          <w:rFonts w:hint="eastAsia" w:ascii="宋体" w:hAnsi="宋体" w:eastAsia="宋体" w:cs="宋体"/>
          <w:sz w:val="24"/>
          <w:szCs w:val="32"/>
          <w:highlight w:val="none"/>
        </w:rPr>
        <w:t>、工程数量</w:t>
      </w:r>
    </w:p>
    <w:p w14:paraId="7F9DA6C1">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本项目具体</w:t>
      </w:r>
      <w:r>
        <w:rPr>
          <w:rFonts w:hint="eastAsia" w:ascii="宋体" w:hAnsi="宋体" w:cs="宋体"/>
          <w:sz w:val="24"/>
          <w:szCs w:val="32"/>
          <w:highlight w:val="none"/>
          <w:lang w:val="en-US" w:eastAsia="zh-CN"/>
        </w:rPr>
        <w:t>工作</w:t>
      </w:r>
      <w:r>
        <w:rPr>
          <w:rFonts w:hint="eastAsia" w:ascii="宋体" w:hAnsi="宋体" w:eastAsia="宋体" w:cs="宋体"/>
          <w:sz w:val="24"/>
          <w:szCs w:val="32"/>
          <w:highlight w:val="none"/>
        </w:rPr>
        <w:t>数量见</w:t>
      </w:r>
      <w:r>
        <w:rPr>
          <w:rFonts w:hint="eastAsia" w:ascii="宋体" w:hAnsi="宋体" w:eastAsia="宋体" w:cs="宋体"/>
          <w:sz w:val="24"/>
          <w:szCs w:val="32"/>
          <w:highlight w:val="none"/>
          <w:lang w:eastAsia="zh-CN"/>
        </w:rPr>
        <w:t>工作量</w:t>
      </w:r>
      <w:r>
        <w:rPr>
          <w:rFonts w:hint="eastAsia" w:ascii="宋体" w:hAnsi="宋体" w:eastAsia="宋体" w:cs="宋体"/>
          <w:sz w:val="24"/>
          <w:szCs w:val="32"/>
          <w:highlight w:val="none"/>
        </w:rPr>
        <w:t>清单。其中路基、路面、桥涵、交安设施、绿化养护类型工程数量是根据工程现场情况估算的</w:t>
      </w:r>
      <w:r>
        <w:rPr>
          <w:rFonts w:hint="eastAsia" w:ascii="宋体" w:hAnsi="宋体" w:eastAsia="宋体" w:cs="宋体"/>
          <w:sz w:val="24"/>
          <w:szCs w:val="32"/>
          <w:highlight w:val="none"/>
          <w:lang w:eastAsia="zh-CN"/>
        </w:rPr>
        <w:t>工作量</w:t>
      </w:r>
      <w:r>
        <w:rPr>
          <w:rFonts w:hint="eastAsia" w:ascii="宋体" w:hAnsi="宋体" w:eastAsia="宋体" w:cs="宋体"/>
          <w:sz w:val="24"/>
          <w:szCs w:val="32"/>
          <w:highlight w:val="none"/>
        </w:rPr>
        <w:t>，它们不能作为承包人在履行合同义务过程中应予完成工程的实际和准确的</w:t>
      </w:r>
      <w:r>
        <w:rPr>
          <w:rFonts w:hint="eastAsia" w:ascii="宋体" w:hAnsi="宋体" w:eastAsia="宋体" w:cs="宋体"/>
          <w:sz w:val="24"/>
          <w:szCs w:val="32"/>
          <w:highlight w:val="none"/>
          <w:lang w:eastAsia="zh-CN"/>
        </w:rPr>
        <w:t>工作量</w:t>
      </w:r>
      <w:r>
        <w:rPr>
          <w:rFonts w:hint="eastAsia" w:ascii="宋体" w:hAnsi="宋体" w:eastAsia="宋体" w:cs="宋体"/>
          <w:sz w:val="24"/>
          <w:szCs w:val="32"/>
          <w:highlight w:val="none"/>
        </w:rPr>
        <w:t>。除另有规定外，本合同以按发包人及承包人两方签认的完成的工程数量并达到合同规定的质量标准的数量作为最终支付结算的工程数量。</w:t>
      </w:r>
    </w:p>
    <w:p w14:paraId="76BA39BE">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八、合同金额及结算方式</w:t>
      </w:r>
    </w:p>
    <w:p w14:paraId="7FD85375">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1、本合同基价类项目采用“总价承包，缺陷扣减”的方法，由业主实施监管，单价类项目采用“单价控制，计量支付”的方法，委托第三方监理。清单价格（单价或总额价）涵盖了为实施和完成单位合同项目所需用的人力、材料、工程设备和一切施工设施(临时性措施费以外)等全部开支费用。未列入标价的</w:t>
      </w:r>
      <w:r>
        <w:rPr>
          <w:rFonts w:hint="eastAsia" w:ascii="宋体" w:hAnsi="宋体" w:eastAsia="宋体" w:cs="宋体"/>
          <w:sz w:val="24"/>
          <w:szCs w:val="32"/>
          <w:highlight w:val="none"/>
          <w:lang w:eastAsia="zh-CN"/>
        </w:rPr>
        <w:t>工作量</w:t>
      </w:r>
      <w:r>
        <w:rPr>
          <w:rFonts w:hint="eastAsia" w:ascii="宋体" w:hAnsi="宋体" w:eastAsia="宋体" w:cs="宋体"/>
          <w:sz w:val="24"/>
          <w:szCs w:val="32"/>
          <w:highlight w:val="none"/>
        </w:rPr>
        <w:t>清单、但为完成维护工程所必需的相关辅助工作(含材料及服务等)其费用视为已计入标价的</w:t>
      </w:r>
      <w:r>
        <w:rPr>
          <w:rFonts w:hint="eastAsia" w:ascii="宋体" w:hAnsi="宋体" w:eastAsia="宋体" w:cs="宋体"/>
          <w:sz w:val="24"/>
          <w:szCs w:val="32"/>
          <w:highlight w:val="none"/>
          <w:lang w:eastAsia="zh-CN"/>
        </w:rPr>
        <w:t>工作量</w:t>
      </w:r>
      <w:r>
        <w:rPr>
          <w:rFonts w:hint="eastAsia" w:ascii="宋体" w:hAnsi="宋体" w:eastAsia="宋体" w:cs="宋体"/>
          <w:sz w:val="24"/>
          <w:szCs w:val="32"/>
          <w:highlight w:val="none"/>
        </w:rPr>
        <w:t>清单相关项目单价、并不单独计量与支付。</w:t>
      </w:r>
    </w:p>
    <w:p w14:paraId="0500E177">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2、本合同结算方式：</w:t>
      </w:r>
    </w:p>
    <w:p w14:paraId="187E94F1">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w:t>
      </w:r>
      <w:r>
        <w:rPr>
          <w:rFonts w:hint="eastAsia" w:ascii="宋体" w:hAnsi="宋体" w:eastAsia="宋体" w:cs="宋体"/>
          <w:sz w:val="24"/>
          <w:szCs w:val="32"/>
          <w:highlight w:val="none"/>
          <w:lang w:val="en-US" w:eastAsia="zh-CN"/>
        </w:rPr>
        <w:t>1</w:t>
      </w:r>
      <w:r>
        <w:rPr>
          <w:rFonts w:hint="eastAsia" w:ascii="宋体" w:hAnsi="宋体" w:eastAsia="宋体" w:cs="宋体"/>
          <w:sz w:val="24"/>
          <w:szCs w:val="32"/>
          <w:highlight w:val="none"/>
        </w:rPr>
        <w:t>）中期结算支付：</w:t>
      </w:r>
      <w:r>
        <w:rPr>
          <w:rFonts w:hint="eastAsia" w:ascii="宋体" w:hAnsi="宋体" w:eastAsia="宋体" w:cs="宋体"/>
          <w:sz w:val="24"/>
          <w:szCs w:val="32"/>
          <w:highlight w:val="none"/>
          <w:lang w:val="en-US" w:eastAsia="zh-CN"/>
        </w:rPr>
        <w:t>采用基价类和单价类结合的方式，</w:t>
      </w:r>
      <w:r>
        <w:rPr>
          <w:rFonts w:hint="eastAsia" w:ascii="宋体" w:hAnsi="宋体" w:eastAsia="宋体" w:cs="宋体"/>
          <w:sz w:val="24"/>
          <w:szCs w:val="32"/>
          <w:highlight w:val="none"/>
        </w:rPr>
        <w:t>本项目采用月度计量，</w:t>
      </w:r>
      <w:r>
        <w:rPr>
          <w:rFonts w:hint="eastAsia" w:ascii="宋体" w:hAnsi="宋体" w:eastAsia="宋体" w:cs="宋体"/>
          <w:sz w:val="24"/>
          <w:szCs w:val="32"/>
          <w:highlight w:val="none"/>
          <w:lang w:eastAsia="zh-CN"/>
        </w:rPr>
        <w:t>季度支付</w:t>
      </w:r>
      <w:r>
        <w:rPr>
          <w:rFonts w:hint="eastAsia" w:ascii="宋体" w:hAnsi="宋体" w:eastAsia="宋体" w:cs="宋体"/>
          <w:sz w:val="24"/>
          <w:szCs w:val="32"/>
          <w:highlight w:val="none"/>
        </w:rPr>
        <w:t>。</w:t>
      </w:r>
    </w:p>
    <w:p w14:paraId="3314850C">
      <w:pPr>
        <w:keepNext w:val="0"/>
        <w:keepLines w:val="0"/>
        <w:pageBreakBefore w:val="0"/>
        <w:widowControl w:val="0"/>
        <w:spacing w:line="360" w:lineRule="auto"/>
        <w:ind w:firstLine="480"/>
        <w:rPr>
          <w:rFonts w:hint="eastAsia" w:ascii="宋体" w:hAnsi="宋体" w:eastAsia="宋体" w:cs="宋体"/>
          <w:color w:val="000000"/>
          <w:sz w:val="24"/>
          <w:szCs w:val="24"/>
          <w:highlight w:val="none"/>
          <w:lang w:val="en-US" w:eastAsia="zh-CN" w:bidi="ar"/>
        </w:rPr>
      </w:pPr>
      <w:r>
        <w:rPr>
          <w:rFonts w:hint="eastAsia" w:ascii="宋体" w:hAnsi="宋体" w:eastAsia="宋体" w:cs="宋体"/>
          <w:sz w:val="24"/>
          <w:szCs w:val="32"/>
          <w:highlight w:val="none"/>
          <w:lang w:val="en-US" w:eastAsia="zh-CN"/>
        </w:rPr>
        <w:t>养护单位按月于月末提出经费支付申请，监理审核、报发包人；监</w:t>
      </w:r>
      <w:r>
        <w:rPr>
          <w:rFonts w:hint="eastAsia" w:ascii="宋体" w:hAnsi="宋体" w:eastAsia="宋体" w:cs="宋体"/>
          <w:color w:val="000000"/>
          <w:sz w:val="24"/>
          <w:szCs w:val="24"/>
          <w:highlight w:val="none"/>
          <w:lang w:val="en-US" w:eastAsia="zh-CN" w:bidi="ar"/>
        </w:rPr>
        <w:t>理在收到申报材料后，在两周内完成审定，报发包人并按季度拨付给养护单位。</w:t>
      </w:r>
    </w:p>
    <w:p w14:paraId="1628EF01">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cs="宋体"/>
          <w:color w:val="000000"/>
          <w:sz w:val="24"/>
          <w:szCs w:val="24"/>
          <w:highlight w:val="none"/>
          <w:lang w:val="en-US" w:eastAsia="zh-CN" w:bidi="ar"/>
        </w:rPr>
        <w:t>（2）</w:t>
      </w:r>
      <w:r>
        <w:rPr>
          <w:rFonts w:hint="eastAsia" w:ascii="宋体" w:hAnsi="宋体" w:eastAsia="宋体" w:cs="宋体"/>
          <w:color w:val="000000"/>
          <w:sz w:val="24"/>
          <w:szCs w:val="24"/>
          <w:highlight w:val="none"/>
          <w:lang w:val="en-US" w:eastAsia="zh-CN" w:bidi="ar"/>
        </w:rPr>
        <w:t>按月度计量，季度支付</w:t>
      </w:r>
      <w:r>
        <w:rPr>
          <w:rFonts w:hint="eastAsia" w:ascii="宋体" w:hAnsi="宋体" w:cs="宋体"/>
          <w:highlight w:val="none"/>
          <w:lang w:val="en-US" w:eastAsia="zh-CN"/>
        </w:rPr>
        <w:t>。</w:t>
      </w:r>
      <w:r>
        <w:rPr>
          <w:rFonts w:hint="eastAsia" w:ascii="宋体" w:hAnsi="宋体" w:eastAsia="宋体" w:cs="宋体"/>
          <w:color w:val="000000"/>
          <w:sz w:val="24"/>
          <w:szCs w:val="24"/>
          <w:highlight w:val="none"/>
          <w:lang w:val="en-US" w:eastAsia="zh-CN" w:bidi="ar"/>
        </w:rPr>
        <w:t>发包人将对承包人进行考核。考核得分在900-930分，全额拨付季度经费；考核得分在850-900分（不含900分），按（899-季度考核得分）*1000元标准扣除养护经费；考核得分在800-850分（不含850分），按（899-季度考核得分）*2000元标准扣除养护经费；考核得分在800分及以下的，扣除（899-季度考核得分）*5000元标准扣除养护经费。扣除的养护经费在季度拨付当月计量经费中扣除。</w:t>
      </w:r>
    </w:p>
    <w:p w14:paraId="5B4068C3">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w:t>
      </w:r>
      <w:r>
        <w:rPr>
          <w:rFonts w:hint="eastAsia" w:ascii="宋体" w:hAnsi="宋体" w:cs="宋体"/>
          <w:sz w:val="24"/>
          <w:szCs w:val="32"/>
          <w:highlight w:val="none"/>
          <w:lang w:val="en-US" w:eastAsia="zh-CN"/>
        </w:rPr>
        <w:t>3</w:t>
      </w:r>
      <w:r>
        <w:rPr>
          <w:rFonts w:hint="eastAsia" w:ascii="宋体" w:hAnsi="宋体" w:eastAsia="宋体" w:cs="宋体"/>
          <w:sz w:val="24"/>
          <w:szCs w:val="32"/>
          <w:highlight w:val="none"/>
        </w:rPr>
        <w:t>）经费拨付承包人应按照要求开具发票，否则业主有权拒绝付款且不承担任何违约责任。</w:t>
      </w:r>
    </w:p>
    <w:p w14:paraId="764518F8">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w:t>
      </w:r>
      <w:r>
        <w:rPr>
          <w:rFonts w:hint="eastAsia" w:ascii="宋体" w:hAnsi="宋体" w:cs="宋体"/>
          <w:sz w:val="24"/>
          <w:szCs w:val="32"/>
          <w:highlight w:val="none"/>
          <w:lang w:val="en-US" w:eastAsia="zh-CN"/>
        </w:rPr>
        <w:t>4</w:t>
      </w:r>
      <w:r>
        <w:rPr>
          <w:rFonts w:hint="eastAsia" w:ascii="宋体" w:hAnsi="宋体" w:eastAsia="宋体" w:cs="宋体"/>
          <w:sz w:val="24"/>
          <w:szCs w:val="32"/>
          <w:highlight w:val="none"/>
        </w:rPr>
        <w:t>）涉及到资金来源于街道、园区的，考核和支付以街道、园区相关文件为准，同时区配比资金按照区政府会议纪要同步拨付。</w:t>
      </w:r>
    </w:p>
    <w:p w14:paraId="5C06E729">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w:t>
      </w:r>
      <w:r>
        <w:rPr>
          <w:rFonts w:hint="eastAsia" w:ascii="宋体" w:hAnsi="宋体" w:cs="宋体"/>
          <w:sz w:val="24"/>
          <w:szCs w:val="32"/>
          <w:highlight w:val="none"/>
          <w:lang w:val="en-US" w:eastAsia="zh-CN"/>
        </w:rPr>
        <w:t>5</w:t>
      </w:r>
      <w:r>
        <w:rPr>
          <w:rFonts w:hint="eastAsia" w:ascii="宋体" w:hAnsi="宋体" w:eastAsia="宋体" w:cs="宋体"/>
          <w:sz w:val="24"/>
          <w:szCs w:val="32"/>
          <w:highlight w:val="none"/>
        </w:rPr>
        <w:t>）由于资金构成涉及上级多部门，因上级部门拨付时间问题引起的逾期付款，业主不承担违约金及相关利息。</w:t>
      </w:r>
    </w:p>
    <w:p w14:paraId="2C5759A4">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九、工程变更</w:t>
      </w:r>
    </w:p>
    <w:p w14:paraId="2F6B2197">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（一）如果发包人认为有必要后即可通过有关手续对工程或其中任何部分的形式、质量或数量作出任何变更，发包人有权指示承包人进行也应进行下述工作：</w:t>
      </w:r>
    </w:p>
    <w:p w14:paraId="77781260">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1、增加或减少合同中所包括的任何工程的数量；</w:t>
      </w:r>
    </w:p>
    <w:p w14:paraId="3C5F6141">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2、省略任何这类工作（但被省略的工作由发包人或其他承包人实施者除外）；</w:t>
      </w:r>
    </w:p>
    <w:p w14:paraId="6D8F45FC">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3、改变任何这类工作的性质或质量或类型；</w:t>
      </w:r>
    </w:p>
    <w:p w14:paraId="0A328A6C">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4、改变工程任何部分的标高、基线、位置和尺寸；</w:t>
      </w:r>
    </w:p>
    <w:p w14:paraId="2100BB48">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上述变更不应以任何方式使合同作废或失效。</w:t>
      </w:r>
    </w:p>
    <w:p w14:paraId="5E1C865E">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二）发包人认为适当的所有变更，应以合同中规定的单价进行计价。如合同中未包括适用于该变更工作的单价，则应在合理的范围内使用合同中的其他基础单价作为计价的基础。如工程数量的变更导致合同金额减少，不论减少程度有多大，承包人都不得向发包人提出费用补偿。</w:t>
      </w:r>
    </w:p>
    <w:p w14:paraId="20B3B62A">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（三）本合同价格在合同生效后任何一方不得擅自改变，但双方另有约定或发生下列情况之一的可作调整。</w:t>
      </w:r>
    </w:p>
    <w:p w14:paraId="57CFB787">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1、发包人或其代表确认的</w:t>
      </w:r>
      <w:r>
        <w:rPr>
          <w:rFonts w:hint="eastAsia" w:ascii="宋体" w:hAnsi="宋体" w:eastAsia="宋体" w:cs="宋体"/>
          <w:sz w:val="24"/>
          <w:szCs w:val="32"/>
          <w:highlight w:val="none"/>
          <w:lang w:eastAsia="zh-CN"/>
        </w:rPr>
        <w:t>工作量</w:t>
      </w:r>
      <w:r>
        <w:rPr>
          <w:rFonts w:hint="eastAsia" w:ascii="宋体" w:hAnsi="宋体" w:eastAsia="宋体" w:cs="宋体"/>
          <w:sz w:val="24"/>
          <w:szCs w:val="32"/>
          <w:highlight w:val="none"/>
        </w:rPr>
        <w:t>增减。</w:t>
      </w:r>
    </w:p>
    <w:p w14:paraId="1AE7BE39">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2、发包人或其代表确认的设计变更或工程洽商。</w:t>
      </w:r>
    </w:p>
    <w:p w14:paraId="4301839B">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3、其它发包人或其代表同意的价格调整。</w:t>
      </w:r>
    </w:p>
    <w:p w14:paraId="6C2BF08E">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承包人应在上述情况发生后 10天内，将调整的原因、金额以书面形式通知发包人或其代表，发包人或其代表批准后通知承包人。</w:t>
      </w:r>
    </w:p>
    <w:p w14:paraId="49AC8053">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十、不可抗力</w:t>
      </w:r>
    </w:p>
    <w:p w14:paraId="5D4317EF">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1、当事人一方因不可抗力不能履行合同的，应当及时通知对方，并应当积极采取措施以减轻或消除可能给对方造成的损失，并应当在事件结束后 7天内提供有力证明。</w:t>
      </w:r>
    </w:p>
    <w:p w14:paraId="260D7089">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2、因不可抗力不能履行合同的，根据不可抗力的影响，部分或者全部（由双方协商确定）免除责任，但法律另有规定的除外。当事人迟延履行后发生不可抗力的，不能免除责任。</w:t>
      </w:r>
    </w:p>
    <w:p w14:paraId="0F3B2428">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3、因不可抗力使合同不能如期履行时，由双方协商确定是否延期履行或终止本合同。</w:t>
      </w:r>
    </w:p>
    <w:p w14:paraId="622F24B9">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十一、税金和保险</w:t>
      </w:r>
    </w:p>
    <w:p w14:paraId="23A34B43">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1、政府根据现行税法和有关部门现行规定就本合同项下向承包人征收的所有税金及其它应交纳的所有费用，均由承包人摊入各工程细目的单价中，不另报价。</w:t>
      </w:r>
    </w:p>
    <w:p w14:paraId="1B679E05">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2、保险</w:t>
      </w:r>
    </w:p>
    <w:p w14:paraId="7FD5F5AB">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1）本项目建筑工程一切险及第三者责任险由承包人以承包人与发包人的名义联名投保，投保条件与保险费率由承包人根据江苏省保险行业协会有关公路工程保险的相关规定自行考虑，保险费由承包人承担并支付，其费用包含在所报的投标报价中，不另行计量与支付。</w:t>
      </w:r>
    </w:p>
    <w:p w14:paraId="66B7A74F">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（2）根据《江苏省工伤保险费率管理办法》（苏人社规〔2020〕1号），施工企业应在项目开工前一次性足额缴纳工伤保险费，费率为最高投标限价的 0.9‰，其保险费用列入</w:t>
      </w:r>
      <w:r>
        <w:rPr>
          <w:rFonts w:hint="eastAsia" w:ascii="宋体" w:hAnsi="宋体" w:eastAsia="宋体" w:cs="宋体"/>
          <w:sz w:val="24"/>
          <w:szCs w:val="32"/>
          <w:highlight w:val="none"/>
          <w:lang w:eastAsia="zh-CN"/>
        </w:rPr>
        <w:t>工作量</w:t>
      </w:r>
      <w:r>
        <w:rPr>
          <w:rFonts w:hint="eastAsia" w:ascii="宋体" w:hAnsi="宋体" w:eastAsia="宋体" w:cs="宋体"/>
          <w:sz w:val="24"/>
          <w:szCs w:val="32"/>
          <w:highlight w:val="none"/>
        </w:rPr>
        <w:t>清单中，结算时承包人应提供合法票据，最终结算价不超过</w:t>
      </w:r>
      <w:r>
        <w:rPr>
          <w:rFonts w:hint="eastAsia" w:ascii="宋体" w:hAnsi="宋体" w:eastAsia="宋体" w:cs="宋体"/>
          <w:sz w:val="24"/>
          <w:szCs w:val="32"/>
          <w:highlight w:val="none"/>
          <w:lang w:eastAsia="zh-CN"/>
        </w:rPr>
        <w:t>工作量</w:t>
      </w:r>
      <w:r>
        <w:rPr>
          <w:rFonts w:hint="eastAsia" w:ascii="宋体" w:hAnsi="宋体" w:eastAsia="宋体" w:cs="宋体"/>
          <w:sz w:val="24"/>
          <w:szCs w:val="32"/>
          <w:highlight w:val="none"/>
        </w:rPr>
        <w:t>清单中的投标报价。</w:t>
      </w:r>
    </w:p>
    <w:p w14:paraId="6C1FA8DE">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（3）本项目承包人应按相关规定投保公共责任险和雇主责任险，其保险费用列入</w:t>
      </w:r>
      <w:r>
        <w:rPr>
          <w:rFonts w:hint="eastAsia" w:ascii="宋体" w:hAnsi="宋体" w:eastAsia="宋体" w:cs="宋体"/>
          <w:sz w:val="24"/>
          <w:szCs w:val="32"/>
          <w:highlight w:val="none"/>
          <w:lang w:eastAsia="zh-CN"/>
        </w:rPr>
        <w:t>工作量</w:t>
      </w:r>
      <w:r>
        <w:rPr>
          <w:rFonts w:hint="eastAsia" w:ascii="宋体" w:hAnsi="宋体" w:eastAsia="宋体" w:cs="宋体"/>
          <w:sz w:val="24"/>
          <w:szCs w:val="32"/>
          <w:highlight w:val="none"/>
        </w:rPr>
        <w:t>清单中，结算时承包人应提供合法票据，最终结算价不超过</w:t>
      </w:r>
      <w:r>
        <w:rPr>
          <w:rFonts w:hint="eastAsia" w:ascii="宋体" w:hAnsi="宋体" w:eastAsia="宋体" w:cs="宋体"/>
          <w:sz w:val="24"/>
          <w:szCs w:val="32"/>
          <w:highlight w:val="none"/>
          <w:lang w:eastAsia="zh-CN"/>
        </w:rPr>
        <w:t>工作量</w:t>
      </w:r>
      <w:r>
        <w:rPr>
          <w:rFonts w:hint="eastAsia" w:ascii="宋体" w:hAnsi="宋体" w:eastAsia="宋体" w:cs="宋体"/>
          <w:sz w:val="24"/>
          <w:szCs w:val="32"/>
          <w:highlight w:val="none"/>
        </w:rPr>
        <w:t>清单中的投标报价。</w:t>
      </w:r>
    </w:p>
    <w:p w14:paraId="54942028">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4）承包人装备险及其他保险均由承包人投保，保险费由承包人承担并支付，其费用含在承包人的投标报价中，不另行计量与支付。承包人必须按招标文件和国家有关规定办理各种保险，一旦发生保险范围内的事件，损失由承包人自行承担。</w:t>
      </w:r>
    </w:p>
    <w:p w14:paraId="6C3C388E">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十二、违约责任</w:t>
      </w:r>
    </w:p>
    <w:p w14:paraId="1E0F9263">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1、如无不可抗力的因素，未经发包人同意，承包人不得随意拖延维修时间，</w:t>
      </w:r>
    </w:p>
    <w:p w14:paraId="3DD09B5D">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承包人如未在本合同规定的时间内（要求承包人 24小时内完成一般病害的养护修复任务，严重影响交通安全的病害应及时处理）进行修复，发包人将对承包人提出书面警告。如承包人累计三次被发包人书面警告，本合同将自行终止。</w:t>
      </w:r>
    </w:p>
    <w:p w14:paraId="2CEADF47">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2、发包人将按照有关技术规范及所规定的要求对承包人所维修的质量验收，并对其质量进行不定期的检验鉴定，如不符要求承包人应立即重修，且修复时限不得超出本合同规定时间，否则发包人按拖延维修时间予以确认。</w:t>
      </w:r>
    </w:p>
    <w:p w14:paraId="0C198AEE">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highlight w:val="none"/>
        </w:rPr>
        <w:t>3、如果一方未履行合同规定的责任，给对方造成不良影响和经济损失的，由责任方对损失方偿付相当于合同总价 20%的违约金，同时承担相应责任并赔偿经济损失。损失方有</w:t>
      </w:r>
      <w:r>
        <w:rPr>
          <w:rFonts w:hint="eastAsia" w:ascii="宋体" w:hAnsi="宋体" w:eastAsia="宋体" w:cs="宋体"/>
          <w:sz w:val="24"/>
          <w:szCs w:val="32"/>
        </w:rPr>
        <w:t>权终止合同。</w:t>
      </w:r>
    </w:p>
    <w:p w14:paraId="7F0D557A">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十三、争议的解决</w:t>
      </w:r>
    </w:p>
    <w:p w14:paraId="1D645AD9">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1、合同双方发生合同纠纷时，双方应尽量通过协商解决，协商不成时，向发包人所在地法院提起诉讼解决,费用先由起诉方支付,但由败诉方承担.</w:t>
      </w:r>
    </w:p>
    <w:p w14:paraId="3FF3802E">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2、本合同条款未尽事宜，合同双方应参照“中华人民共和国民法典”执行。</w:t>
      </w:r>
      <w:r>
        <w:rPr>
          <w:rFonts w:hint="eastAsia" w:ascii="宋体" w:hAnsi="宋体" w:cs="宋体"/>
          <w:sz w:val="24"/>
          <w:szCs w:val="32"/>
          <w:lang w:eastAsia="zh-CN"/>
        </w:rPr>
        <w:t>2026年江宁区林荫大道示范管护带养护服务</w:t>
      </w:r>
      <w:r>
        <w:rPr>
          <w:rFonts w:hint="eastAsia" w:ascii="宋体" w:hAnsi="宋体" w:eastAsia="宋体" w:cs="宋体"/>
          <w:sz w:val="24"/>
          <w:szCs w:val="32"/>
        </w:rPr>
        <w:t>质量考核与经费支付办法为进一步提高</w:t>
      </w:r>
      <w:r>
        <w:rPr>
          <w:rFonts w:hint="eastAsia" w:ascii="宋体" w:hAnsi="宋体" w:cs="宋体"/>
          <w:sz w:val="24"/>
          <w:szCs w:val="32"/>
          <w:lang w:eastAsia="zh-CN"/>
        </w:rPr>
        <w:t>2026年江宁区林荫大道示范管护带养护服务</w:t>
      </w:r>
      <w:r>
        <w:rPr>
          <w:rFonts w:hint="eastAsia" w:ascii="宋体" w:hAnsi="宋体" w:eastAsia="宋体" w:cs="宋体"/>
          <w:sz w:val="24"/>
          <w:szCs w:val="32"/>
        </w:rPr>
        <w:t>质量，全面</w:t>
      </w:r>
      <w:r>
        <w:rPr>
          <w:rFonts w:hint="eastAsia" w:ascii="宋体" w:hAnsi="宋体" w:eastAsia="宋体" w:cs="宋体"/>
          <w:sz w:val="24"/>
          <w:szCs w:val="32"/>
          <w:lang w:val="en-US" w:eastAsia="zh-CN"/>
        </w:rPr>
        <w:t>巩固</w:t>
      </w:r>
      <w:r>
        <w:rPr>
          <w:rFonts w:hint="eastAsia" w:ascii="宋体" w:hAnsi="宋体" w:eastAsia="宋体" w:cs="宋体"/>
          <w:sz w:val="24"/>
          <w:szCs w:val="32"/>
        </w:rPr>
        <w:t>“四好农村路”</w:t>
      </w:r>
      <w:r>
        <w:rPr>
          <w:rFonts w:hint="eastAsia" w:ascii="宋体" w:hAnsi="宋体" w:eastAsia="宋体" w:cs="宋体"/>
          <w:sz w:val="24"/>
          <w:szCs w:val="32"/>
          <w:lang w:val="en-US" w:eastAsia="zh-CN"/>
        </w:rPr>
        <w:t>全国示范县建设成果</w:t>
      </w:r>
      <w:r>
        <w:rPr>
          <w:rFonts w:hint="eastAsia" w:ascii="宋体" w:hAnsi="宋体" w:eastAsia="宋体" w:cs="宋体"/>
          <w:sz w:val="24"/>
          <w:szCs w:val="32"/>
        </w:rPr>
        <w:t>，</w:t>
      </w:r>
      <w:r>
        <w:rPr>
          <w:rFonts w:hint="eastAsia" w:ascii="宋体" w:hAnsi="宋体" w:eastAsia="宋体" w:cs="宋体"/>
          <w:sz w:val="24"/>
          <w:szCs w:val="32"/>
          <w:lang w:val="en-US" w:eastAsia="zh-CN"/>
        </w:rPr>
        <w:t>提升农村生态质量</w:t>
      </w:r>
      <w:r>
        <w:rPr>
          <w:rFonts w:hint="eastAsia" w:ascii="宋体" w:hAnsi="宋体" w:eastAsia="宋体" w:cs="宋体"/>
          <w:sz w:val="24"/>
          <w:szCs w:val="32"/>
        </w:rPr>
        <w:t>，</w:t>
      </w:r>
      <w:r>
        <w:rPr>
          <w:rFonts w:hint="eastAsia" w:ascii="宋体" w:hAnsi="宋体" w:eastAsia="宋体" w:cs="宋体"/>
          <w:sz w:val="24"/>
          <w:szCs w:val="32"/>
          <w:lang w:val="en-US" w:eastAsia="zh-CN"/>
        </w:rPr>
        <w:t>实现生态更优、田园更美，打造江宁乡村振兴的靓丽风景线。</w:t>
      </w:r>
      <w:r>
        <w:rPr>
          <w:rFonts w:hint="eastAsia" w:ascii="宋体" w:hAnsi="宋体" w:eastAsia="宋体" w:cs="宋体"/>
          <w:sz w:val="24"/>
          <w:szCs w:val="32"/>
        </w:rPr>
        <w:t>按照国家和省市有关公路工程技术标准修建的县道及其附属设施的养护量考核工作。</w:t>
      </w:r>
    </w:p>
    <w:p w14:paraId="4E18D6B9">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一、考核依据</w:t>
      </w:r>
    </w:p>
    <w:p w14:paraId="05501730">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b w:val="0"/>
          <w:bCs w:val="0"/>
          <w:sz w:val="24"/>
          <w:szCs w:val="24"/>
          <w:highlight w:val="none"/>
          <w:lang w:val="en-US" w:eastAsia="zh-CN"/>
        </w:rPr>
        <w:t>《江宁区乡村林荫大道管护方案》、</w:t>
      </w:r>
      <w:r>
        <w:rPr>
          <w:rFonts w:hint="eastAsia" w:ascii="宋体" w:hAnsi="宋体" w:eastAsia="宋体" w:cs="宋体"/>
          <w:b w:val="0"/>
          <w:bCs w:val="0"/>
          <w:sz w:val="24"/>
          <w:szCs w:val="24"/>
          <w:highlight w:val="none"/>
          <w:lang w:val="zh-CN"/>
        </w:rPr>
        <w:t>《道路养护技术规范》</w:t>
      </w:r>
      <w:r>
        <w:rPr>
          <w:rFonts w:hint="eastAsia" w:ascii="宋体" w:hAnsi="宋体" w:cs="宋体"/>
          <w:b w:val="0"/>
          <w:bCs w:val="0"/>
          <w:sz w:val="24"/>
          <w:szCs w:val="24"/>
          <w:highlight w:val="none"/>
          <w:lang w:val="zh-CN"/>
        </w:rPr>
        <w:t>、</w:t>
      </w:r>
      <w:r>
        <w:rPr>
          <w:rFonts w:hint="eastAsia" w:ascii="宋体" w:hAnsi="宋体" w:eastAsia="宋体" w:cs="宋体"/>
          <w:b w:val="0"/>
          <w:bCs w:val="0"/>
          <w:sz w:val="24"/>
          <w:szCs w:val="24"/>
          <w:highlight w:val="none"/>
        </w:rPr>
        <w:t>《公路</w:t>
      </w:r>
      <w:r>
        <w:rPr>
          <w:rFonts w:hint="eastAsia" w:ascii="宋体" w:hAnsi="宋体" w:eastAsia="宋体" w:cs="宋体"/>
          <w:sz w:val="24"/>
          <w:szCs w:val="24"/>
          <w:highlight w:val="none"/>
        </w:rPr>
        <w:t>养护技术标准》（JTG 5110—2023）、《公路沥青路面养护技术规范》（JTG 5142-2019）、《公路桥涵养护技术规范》（JTG5 120-2021）、《公路养护安全作业规程》（JTG H30-2015）、《江苏省农村公路条例》、《省交通运输厅省财政厅关于印发江苏省交通养护（农村公路养护）项目管理办法的通知》（苏交公路〔2021〕4号）以及《农村公路养护规范》（DB 3201/T 1017—2020）等相关规范、标准。</w:t>
      </w:r>
    </w:p>
    <w:p w14:paraId="39E3D44F">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lang w:val="en-US" w:eastAsia="zh-CN"/>
        </w:rPr>
        <w:t>2</w:t>
      </w:r>
      <w:r>
        <w:rPr>
          <w:rFonts w:hint="eastAsia" w:ascii="宋体" w:hAnsi="宋体" w:eastAsia="宋体" w:cs="宋体"/>
          <w:sz w:val="24"/>
          <w:szCs w:val="32"/>
        </w:rPr>
        <w:t>.省、市、区公路行业主管部门颁布的养护考核办法、养护管理办法及相关规定。</w:t>
      </w:r>
    </w:p>
    <w:p w14:paraId="6C2491D3">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lang w:val="en-US" w:eastAsia="zh-CN"/>
        </w:rPr>
        <w:t>3</w:t>
      </w:r>
      <w:r>
        <w:rPr>
          <w:rFonts w:hint="eastAsia" w:ascii="宋体" w:hAnsi="宋体" w:eastAsia="宋体" w:cs="宋体"/>
          <w:sz w:val="24"/>
          <w:szCs w:val="32"/>
        </w:rPr>
        <w:t>.</w:t>
      </w:r>
      <w:r>
        <w:rPr>
          <w:rFonts w:hint="eastAsia" w:ascii="宋体" w:hAnsi="宋体" w:eastAsia="宋体" w:cs="宋体"/>
          <w:sz w:val="24"/>
          <w:szCs w:val="32"/>
          <w:lang w:val="en-US" w:eastAsia="zh-CN"/>
        </w:rPr>
        <w:t>区政府印发的</w:t>
      </w:r>
      <w:r>
        <w:rPr>
          <w:rFonts w:hint="eastAsia" w:ascii="宋体" w:hAnsi="宋体" w:eastAsia="宋体" w:cs="宋体"/>
          <w:sz w:val="24"/>
          <w:szCs w:val="32"/>
          <w:lang w:eastAsia="zh-CN"/>
        </w:rPr>
        <w:t>《</w:t>
      </w:r>
      <w:r>
        <w:rPr>
          <w:rFonts w:hint="eastAsia" w:ascii="宋体" w:hAnsi="宋体" w:eastAsia="宋体" w:cs="宋体"/>
          <w:sz w:val="24"/>
          <w:szCs w:val="32"/>
          <w:lang w:val="en-US" w:eastAsia="zh-CN"/>
        </w:rPr>
        <w:t>江宁区乡村道林荫大道管护方案</w:t>
      </w:r>
      <w:r>
        <w:rPr>
          <w:rFonts w:hint="eastAsia" w:ascii="宋体" w:hAnsi="宋体" w:eastAsia="宋体" w:cs="宋体"/>
          <w:sz w:val="24"/>
          <w:szCs w:val="32"/>
          <w:lang w:eastAsia="zh-CN"/>
        </w:rPr>
        <w:t>》</w:t>
      </w:r>
      <w:r>
        <w:rPr>
          <w:rFonts w:hint="eastAsia" w:ascii="宋体" w:hAnsi="宋体" w:eastAsia="宋体" w:cs="宋体"/>
          <w:sz w:val="24"/>
          <w:szCs w:val="32"/>
        </w:rPr>
        <w:t>。</w:t>
      </w:r>
    </w:p>
    <w:p w14:paraId="116F4905">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lang w:val="en-US" w:eastAsia="zh-CN"/>
        </w:rPr>
        <w:t>4.</w:t>
      </w:r>
      <w:r>
        <w:rPr>
          <w:rFonts w:hint="eastAsia" w:ascii="宋体" w:hAnsi="宋体" w:eastAsia="宋体" w:cs="宋体"/>
          <w:sz w:val="24"/>
          <w:szCs w:val="32"/>
        </w:rPr>
        <w:t>江宁区交通运输局下发的有关文件、规定等</w:t>
      </w:r>
    </w:p>
    <w:p w14:paraId="431DAAE6">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lang w:val="en-US" w:eastAsia="zh-CN"/>
        </w:rPr>
        <w:t>5.</w:t>
      </w:r>
      <w:r>
        <w:rPr>
          <w:rFonts w:hint="eastAsia" w:ascii="宋体" w:hAnsi="宋体" w:eastAsia="宋体" w:cs="宋体"/>
          <w:sz w:val="24"/>
          <w:szCs w:val="32"/>
        </w:rPr>
        <w:t>各类专项行动的要求</w:t>
      </w:r>
    </w:p>
    <w:p w14:paraId="113ECDE2">
      <w:pPr>
        <w:keepNext w:val="0"/>
        <w:keepLines w:val="0"/>
        <w:pageBreakBefore w:val="0"/>
        <w:widowControl w:val="0"/>
        <w:spacing w:line="360" w:lineRule="auto"/>
        <w:ind w:firstLine="480"/>
        <w:rPr>
          <w:rFonts w:hint="default" w:ascii="宋体" w:hAnsi="宋体" w:eastAsia="宋体" w:cs="宋体"/>
          <w:sz w:val="24"/>
          <w:szCs w:val="32"/>
          <w:lang w:val="en-US" w:eastAsia="zh-CN"/>
        </w:rPr>
      </w:pPr>
      <w:r>
        <w:rPr>
          <w:rFonts w:hint="eastAsia" w:ascii="宋体" w:hAnsi="宋体" w:eastAsia="宋体" w:cs="宋体"/>
          <w:sz w:val="24"/>
          <w:szCs w:val="32"/>
          <w:lang w:val="en-US" w:eastAsia="zh-CN"/>
        </w:rPr>
        <w:t>6.</w:t>
      </w:r>
      <w:r>
        <w:rPr>
          <w:rFonts w:hint="eastAsia" w:ascii="宋体" w:hAnsi="宋体" w:eastAsia="宋体" w:cs="宋体"/>
          <w:sz w:val="24"/>
          <w:szCs w:val="32"/>
        </w:rPr>
        <w:t>江宁区交通运输局与养护单位签订的合同。</w:t>
      </w:r>
    </w:p>
    <w:p w14:paraId="01C0F95C">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二、考核方式</w:t>
      </w:r>
    </w:p>
    <w:p w14:paraId="42399E05">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1.考核小组：局领导及相关部门人员组成领导小组，实施养护考核工作。</w:t>
      </w:r>
    </w:p>
    <w:p w14:paraId="49D16CA1">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2.考核原则：</w:t>
      </w:r>
    </w:p>
    <w:p w14:paraId="5B375105">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“强化措施、完善管理、经费调控、奖优罚差”，通过定期检查考核，全面有效掌握路况，提升养护管理水平，营造畅安舒美的公路通行环境。</w:t>
      </w:r>
    </w:p>
    <w:p w14:paraId="13E52258">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3.考核内容：</w:t>
      </w:r>
      <w:r>
        <w:rPr>
          <w:rFonts w:hint="eastAsia" w:ascii="宋体" w:hAnsi="宋体" w:eastAsia="宋体" w:cs="宋体"/>
          <w:sz w:val="24"/>
          <w:szCs w:val="32"/>
          <w:lang w:eastAsia="zh-CN"/>
        </w:rPr>
        <w:t>林荫大道</w:t>
      </w:r>
      <w:r>
        <w:rPr>
          <w:rFonts w:hint="eastAsia" w:ascii="宋体" w:hAnsi="宋体" w:eastAsia="宋体" w:cs="宋体"/>
          <w:sz w:val="24"/>
          <w:szCs w:val="32"/>
        </w:rPr>
        <w:t>养护质量考核主要包括外业检查和内业检查两个方面。</w:t>
      </w:r>
    </w:p>
    <w:p w14:paraId="3689F112">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4.考核方式：</w:t>
      </w:r>
      <w:r>
        <w:rPr>
          <w:rFonts w:hint="eastAsia" w:ascii="宋体" w:hAnsi="宋体" w:cs="宋体"/>
          <w:sz w:val="24"/>
          <w:szCs w:val="32"/>
          <w:lang w:eastAsia="zh-CN"/>
        </w:rPr>
        <w:t>按考核办法每月检查，季度考核。</w:t>
      </w:r>
    </w:p>
    <w:p w14:paraId="5DE6B62C">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其中月度考核主要对养护外业情况进行检查，下发月度考核通报；季度考核将对养护外业、内业共同进行检查，并下发季度考核考核通报。</w:t>
      </w:r>
    </w:p>
    <w:p w14:paraId="597A5821">
      <w:pPr>
        <w:keepNext w:val="0"/>
        <w:keepLines w:val="0"/>
        <w:pageBreakBefore w:val="0"/>
        <w:widowControl w:val="0"/>
        <w:spacing w:line="360" w:lineRule="auto"/>
        <w:ind w:firstLine="480"/>
        <w:rPr>
          <w:rFonts w:hint="eastAsia" w:ascii="宋体" w:hAnsi="宋体" w:eastAsia="宋体" w:cs="宋体"/>
          <w:b/>
          <w:bCs/>
          <w:sz w:val="24"/>
          <w:szCs w:val="24"/>
          <w:highlight w:val="none"/>
        </w:rPr>
      </w:pPr>
      <w:r>
        <w:rPr>
          <w:rFonts w:hint="eastAsia" w:ascii="宋体" w:hAnsi="宋体" w:eastAsia="宋体" w:cs="宋体"/>
          <w:sz w:val="24"/>
          <w:szCs w:val="24"/>
          <w:highlight w:val="none"/>
        </w:rPr>
        <w:t>月度检查情况通报盖章下发，内容主要反映发现的问题及落实整改情况，并提出进一步养护要求，检查发现问题均采用照片形式发布，养护单位及时进行整改则不予扣分，不及时整改的问题进行扣分；对于月度检查中出现以下情况纳入季度考核中加倍扣分：一是虽及时整改但屡次出现的问题，二是对于省</w:t>
      </w:r>
      <w:r>
        <w:rPr>
          <w:rFonts w:hint="eastAsia" w:ascii="宋体" w:hAnsi="宋体" w:eastAsia="宋体" w:cs="宋体"/>
          <w:b w:val="0"/>
          <w:bCs w:val="0"/>
          <w:sz w:val="24"/>
          <w:szCs w:val="24"/>
          <w:highlight w:val="none"/>
        </w:rPr>
        <w:t>市区检查中屡次扣分的同一问题，三是发现养护工人使用钢钎、撬棍等尖锐物体清理桥梁伸缩缝</w:t>
      </w:r>
      <w:r>
        <w:rPr>
          <w:rFonts w:hint="eastAsia" w:ascii="宋体" w:hAnsi="宋体" w:eastAsia="宋体" w:cs="宋体"/>
          <w:b/>
          <w:bCs/>
          <w:sz w:val="24"/>
          <w:szCs w:val="24"/>
          <w:highlight w:val="none"/>
        </w:rPr>
        <w:t>。</w:t>
      </w:r>
    </w:p>
    <w:p w14:paraId="41568CEC">
      <w:pPr>
        <w:keepNext w:val="0"/>
        <w:keepLines w:val="0"/>
        <w:pageBreakBefore w:val="0"/>
        <w:widowControl w:val="0"/>
        <w:spacing w:line="360" w:lineRule="auto"/>
        <w:ind w:firstLine="422"/>
        <w:rPr>
          <w:rFonts w:hint="eastAsia" w:ascii="宋体" w:hAnsi="宋体" w:eastAsia="宋体" w:cs="宋体"/>
          <w:b/>
          <w:bCs/>
          <w:sz w:val="24"/>
          <w:szCs w:val="24"/>
          <w:highlight w:val="none"/>
        </w:rPr>
      </w:pPr>
      <w:r>
        <w:rPr>
          <w:rFonts w:hint="eastAsia" w:ascii="宋体" w:hAnsi="宋体" w:eastAsia="宋体" w:cs="宋体"/>
          <w:b/>
          <w:bCs/>
          <w:color w:val="000000"/>
          <w:highlight w:val="none"/>
        </w:rPr>
        <w:t>季度检查考核情况通报由相关领导签字，采用红头文下发，内容主要反映一个季度以来各级部门检查突出的养护问题及整改落实情况、扣分及处罚情况。</w:t>
      </w:r>
    </w:p>
    <w:p w14:paraId="0C806995">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5.考核得分：</w:t>
      </w:r>
    </w:p>
    <w:p w14:paraId="0CED3EF3">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highlight w:val="none"/>
        </w:rPr>
        <w:t>每月（除3,6,9,12月）月度考核，得分计算方法为：</w:t>
      </w:r>
      <w:r>
        <w:rPr>
          <w:rFonts w:hint="eastAsia" w:ascii="宋体" w:hAnsi="宋体" w:eastAsia="宋体" w:cs="宋体"/>
          <w:sz w:val="24"/>
          <w:szCs w:val="24"/>
          <w:highlight w:val="none"/>
          <w:lang w:val="en-US" w:eastAsia="zh-CN"/>
        </w:rPr>
        <w:t>林荫大道</w:t>
      </w:r>
      <w:r>
        <w:rPr>
          <w:rFonts w:hint="eastAsia" w:ascii="宋体" w:hAnsi="宋体" w:eastAsia="宋体" w:cs="宋体"/>
          <w:sz w:val="24"/>
          <w:szCs w:val="24"/>
          <w:highlight w:val="none"/>
        </w:rPr>
        <w:t>养护质量月度考核得分=1000-</w:t>
      </w:r>
      <w:r>
        <w:rPr>
          <w:rFonts w:hint="eastAsia" w:ascii="宋体" w:hAnsi="宋体" w:eastAsia="宋体" w:cs="宋体"/>
          <w:sz w:val="24"/>
          <w:szCs w:val="24"/>
          <w:highlight w:val="none"/>
          <w:lang w:val="en-US" w:eastAsia="zh-CN"/>
        </w:rPr>
        <w:t>林荫大道</w:t>
      </w:r>
      <w:r>
        <w:rPr>
          <w:rFonts w:hint="eastAsia" w:ascii="宋体" w:hAnsi="宋体" w:eastAsia="宋体" w:cs="宋体"/>
          <w:sz w:val="24"/>
          <w:szCs w:val="24"/>
          <w:highlight w:val="none"/>
        </w:rPr>
        <w:t>养护质量外业检查累计扣分值。</w:t>
      </w:r>
    </w:p>
    <w:p w14:paraId="1004E53A">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highlight w:val="none"/>
        </w:rPr>
        <w:t>每季度（3,6,9,12月）</w:t>
      </w:r>
      <w:r>
        <w:rPr>
          <w:rFonts w:hint="eastAsia" w:ascii="宋体" w:hAnsi="宋体" w:eastAsia="宋体" w:cs="宋体"/>
          <w:sz w:val="24"/>
          <w:szCs w:val="24"/>
          <w:highlight w:val="none"/>
          <w:lang w:val="en-US" w:eastAsia="zh-CN"/>
        </w:rPr>
        <w:t>林荫大道</w:t>
      </w:r>
      <w:r>
        <w:rPr>
          <w:rFonts w:hint="eastAsia" w:ascii="宋体" w:hAnsi="宋体" w:eastAsia="宋体" w:cs="宋体"/>
          <w:sz w:val="24"/>
          <w:szCs w:val="24"/>
          <w:highlight w:val="none"/>
        </w:rPr>
        <w:t>养护质量考核包含养护外业和内业检查考核，得分计算方法为：</w:t>
      </w:r>
      <w:r>
        <w:rPr>
          <w:rFonts w:hint="eastAsia" w:ascii="宋体" w:hAnsi="宋体" w:eastAsia="宋体" w:cs="宋体"/>
          <w:sz w:val="24"/>
          <w:szCs w:val="24"/>
          <w:highlight w:val="none"/>
          <w:lang w:val="en-US" w:eastAsia="zh-CN"/>
        </w:rPr>
        <w:t>林荫大道</w:t>
      </w:r>
      <w:r>
        <w:rPr>
          <w:rFonts w:hint="eastAsia" w:ascii="宋体" w:hAnsi="宋体" w:eastAsia="宋体" w:cs="宋体"/>
          <w:sz w:val="24"/>
          <w:szCs w:val="24"/>
          <w:highlight w:val="none"/>
        </w:rPr>
        <w:t>养护质量季度考核得分=（月度考核得分+季度养护质量外业检查得分）/3*0.9+养护质量内业检查考核得分。</w:t>
      </w:r>
    </w:p>
    <w:p w14:paraId="515444EF">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6.考核标准：</w:t>
      </w:r>
      <w:r>
        <w:rPr>
          <w:rFonts w:hint="eastAsia" w:ascii="宋体" w:hAnsi="宋体" w:eastAsia="宋体" w:cs="宋体"/>
          <w:sz w:val="24"/>
          <w:szCs w:val="24"/>
          <w:highlight w:val="none"/>
          <w:lang w:val="en-US" w:eastAsia="zh-CN"/>
        </w:rPr>
        <w:t>林荫大道</w:t>
      </w:r>
      <w:r>
        <w:rPr>
          <w:rFonts w:hint="eastAsia" w:ascii="宋体" w:hAnsi="宋体" w:eastAsia="宋体" w:cs="宋体"/>
          <w:sz w:val="24"/>
          <w:szCs w:val="24"/>
          <w:highlight w:val="none"/>
        </w:rPr>
        <w:t>养护质量外业检查实行“千分制养护缺陷扣减法”，（评分细则见附件1）。养护质量内业检查按六项内容进行考核，总分为100分（评分细则见附件2）。养护质量内业检查得分=100分-累计扣分值。</w:t>
      </w:r>
    </w:p>
    <w:p w14:paraId="06C790C3">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三、考核的具体内容和养护要求</w:t>
      </w:r>
    </w:p>
    <w:p w14:paraId="206BF878">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1.养护质量外业检查考核：</w:t>
      </w:r>
    </w:p>
    <w:p w14:paraId="59285C67">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highlight w:val="none"/>
        </w:rPr>
        <w:t>内容主要包括路基、路面、桥涵、沿线设施、绿化、交安、保洁、路域环境等方面，要求如下</w:t>
      </w:r>
      <w:r>
        <w:rPr>
          <w:rFonts w:hint="eastAsia" w:ascii="宋体" w:hAnsi="宋体" w:eastAsia="宋体" w:cs="宋体"/>
          <w:sz w:val="24"/>
          <w:szCs w:val="24"/>
        </w:rPr>
        <w:t>：</w:t>
      </w:r>
    </w:p>
    <w:p w14:paraId="45FFC0E5">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（1）路基</w:t>
      </w:r>
    </w:p>
    <w:p w14:paraId="1B0A5565">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①路基养护和病害处治及时、规范、有效，技术状况达到优等。</w:t>
      </w:r>
    </w:p>
    <w:p w14:paraId="50A72937">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②路基稳定坚实，无缺口、冲沟，边缘整齐平顺。</w:t>
      </w:r>
    </w:p>
    <w:p w14:paraId="5228AA3A">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③排水系统完善，排水设施齐全、完好。</w:t>
      </w:r>
    </w:p>
    <w:p w14:paraId="64BB6362">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④路基防护完好有效并与自然环境协调一致。</w:t>
      </w:r>
    </w:p>
    <w:p w14:paraId="3CE78F73">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（2）路面</w:t>
      </w:r>
    </w:p>
    <w:p w14:paraId="730E7DE3">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①路面养护和病害处治及时、规范、有效。县道优良率路达到 93%以上。</w:t>
      </w:r>
    </w:p>
    <w:p w14:paraId="03CE1717">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②路面平整坚实，无积水，行驶舒适。</w:t>
      </w:r>
    </w:p>
    <w:p w14:paraId="189A0047">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③及时发现并处治路面病害，及时清理路面障碍物。路面无影响行车舒适性、安全性和视觉效果的严重病害。</w:t>
      </w:r>
    </w:p>
    <w:p w14:paraId="7F9443A1">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④路面局部病害修复应平整、美观，与原路面接合的界面应顺直、耐久。</w:t>
      </w:r>
    </w:p>
    <w:p w14:paraId="69F441E0">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（3）桥涵</w:t>
      </w:r>
    </w:p>
    <w:p w14:paraId="7985EB86">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①桥涵养护规范、有效。桥梁技术状况水平达到三类及以上，涵洞技术状况水平达到较好及以上。</w:t>
      </w:r>
    </w:p>
    <w:p w14:paraId="47D930B1">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②桥梁外观整洁，桥面铺装平整无跳车、排水顺畅，伸缩缝完好、清洁。桥梁基础无冲刷、淘空，支座无断裂、错位，墩台无滑动、倾斜或下沉，台背填土无沉降、隆起，锥坡、翼墙等保持完好，无开裂、沉陷、勾缝脱落。</w:t>
      </w:r>
    </w:p>
    <w:p w14:paraId="35794D70">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③涵洞应与路基同宽，涵洞的铺砌、翼墙、护坡等应完好，涵体侧墙及拱顶无开裂、变形，涵洞上下游排水顺畅，洞口清洁，无杂物堆积，洞内无淤塞。</w:t>
      </w:r>
    </w:p>
    <w:p w14:paraId="632909DE">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④隧道洞口边坡无落石、积水、积雪等，洞门结构无开裂、倾斜、沉陷、错台等病害，衬砌完整无明显开裂和剥落，装饰板材安装牢固，无松动和脱落。隧道路面平整，排水系统良好。</w:t>
      </w:r>
    </w:p>
    <w:p w14:paraId="2B3C48A5">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（4）沿线设施</w:t>
      </w:r>
    </w:p>
    <w:p w14:paraId="5B0609EB">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①沿线设施养护规范有效，技术状况达到优等。</w:t>
      </w:r>
    </w:p>
    <w:p w14:paraId="2CAA5920">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②沿线防护设施、隔离栅、标志、标线符合规范及路政部门要求。</w:t>
      </w:r>
    </w:p>
    <w:p w14:paraId="3B5E23BB">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③沿线里程碑（牌）、百米桩（牌）设置（尺寸、颜色、字体、样式等）符合标准要求，做到位置适当、准确、齐全、完好、醒目、美观。</w:t>
      </w:r>
    </w:p>
    <w:p w14:paraId="12EECC11">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（5）绿化</w:t>
      </w:r>
    </w:p>
    <w:p w14:paraId="1E322CCC">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①公路沿线可绿化路段绿化率应达到 100%，达到公路绿色通道要求，做到三季有花、四季有绿。</w:t>
      </w:r>
    </w:p>
    <w:p w14:paraId="2B18BB46">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②沿线绿化要定期修剪，绿化形状美观，无死株、无倒伏、无明显缺株断带、无病虫害，刷白美观。每年冬季统一刷白，刷白高度不低于 1.2米。</w:t>
      </w:r>
    </w:p>
    <w:p w14:paraId="12282C6F">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③道路两侧灌木、花草等景观绿化定期修剪，灌木成型、色块精致美观，草坪每月修剪一次（4月至 11月底），绿化带内杂草、杂物、生活垃圾及时清理。</w:t>
      </w:r>
    </w:p>
    <w:p w14:paraId="2D9CDCE3">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④路肩边坡无 15cm以上高草。</w:t>
      </w:r>
    </w:p>
    <w:p w14:paraId="518627D9">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（6）交通安全设施</w:t>
      </w:r>
    </w:p>
    <w:p w14:paraId="1FF789A8">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①公路交通安全设施齐全，沿线标志、标线、标牌、护栏等设施按国家标准和行业标准设置，无缺损。</w:t>
      </w:r>
    </w:p>
    <w:p w14:paraId="45568546">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②公路交通安全设施保持干净整洁。</w:t>
      </w:r>
    </w:p>
    <w:p w14:paraId="263257DD">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（7）保洁</w:t>
      </w:r>
    </w:p>
    <w:p w14:paraId="272CCFD6">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①保洁要采取机械保洁与人工保洁相结合方式，以机械清扫为主，努力做到路面无积尘、见本色，干净、整洁。</w:t>
      </w:r>
    </w:p>
    <w:p w14:paraId="657A6E84">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②中分带、路肩、边坡、边沟等路域范围内无建筑垃圾、白色垃圾、生活垃圾、杂草、淤泥等杂物。</w:t>
      </w:r>
    </w:p>
    <w:p w14:paraId="3F4896B0">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③里程碑（牌）、百米桩（牌）、护栏等沿线设施无污染，外观干净、整洁、醒目。</w:t>
      </w:r>
    </w:p>
    <w:p w14:paraId="4EFFBCB5">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2.养护质量内业检查考核：</w:t>
      </w:r>
    </w:p>
    <w:p w14:paraId="08319673">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（1）养护管理制度</w:t>
      </w:r>
    </w:p>
    <w:p w14:paraId="44A728CE">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养护单位根据养护实际需求，建立有效的养护管理组织机构，并制定相应的养护管理制度。</w:t>
      </w:r>
    </w:p>
    <w:p w14:paraId="0808E771">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（3）养护基本保障</w:t>
      </w:r>
    </w:p>
    <w:p w14:paraId="0F8D5E65">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养护单位人员、机械设备、材料等配置合理充足，满足养护及应急处置需求；人员安全、技术培训到位；机械设备维修保养到位。</w:t>
      </w:r>
    </w:p>
    <w:p w14:paraId="22088603">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（4）安全管理</w:t>
      </w:r>
    </w:p>
    <w:p w14:paraId="4ADC39EF">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养护单位结合管养实际，建立有效的安全管理制度，施工作业中能严格遵守有关安全规程以及采取维持通车和施工作业的安全措施，开展安全检查，落实安全责任。</w:t>
      </w:r>
    </w:p>
    <w:p w14:paraId="684A6B16">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（5）巡查检查计划及纪录</w:t>
      </w:r>
    </w:p>
    <w:p w14:paraId="18C461E2">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养护单位能制定年度、季度、月度巡查检查计划，相应检查台账，日常巡查、定期检查和专项检查记录真实齐全且签名齐全。</w:t>
      </w:r>
    </w:p>
    <w:p w14:paraId="72BDB76A">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（6）应急管理</w:t>
      </w:r>
    </w:p>
    <w:p w14:paraId="104F705E">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按照要求建立各类应急预案，在遇到特大暴雨、洪水、冰雪、地震等恶劣天气和突发事件时，公路养护应急方案和措施到位，处置得当，未造成不良社会影响等。应急物资配备齐全，针对性强，进出库记录完整真实。</w:t>
      </w:r>
    </w:p>
    <w:p w14:paraId="519D835E">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（7）管理闭合</w:t>
      </w:r>
    </w:p>
    <w:p w14:paraId="347AE1A7">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养护内业资料全面性、真实性、准确性、关联性等得到充分体现，真实反映路况和养护生产作业实际，实现管理闭合。</w:t>
      </w:r>
    </w:p>
    <w:p w14:paraId="524BADC5">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（8）江宁区交通运输局安排的其它工作完成情况。</w:t>
      </w:r>
    </w:p>
    <w:p w14:paraId="2AB1188E">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四、经费拨付</w:t>
      </w:r>
    </w:p>
    <w:p w14:paraId="09DFBE84">
      <w:pPr>
        <w:keepNext w:val="0"/>
        <w:keepLines w:val="0"/>
        <w:pageBreakBefore w:val="0"/>
        <w:widowControl w:val="0"/>
        <w:spacing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1.按照省市区相关行业标准、管理办法、合同、下发的有关文件、规定等进行经费拨付。</w:t>
      </w:r>
    </w:p>
    <w:p w14:paraId="1C0A2F9A">
      <w:pPr>
        <w:keepNext w:val="0"/>
        <w:keepLines w:val="0"/>
        <w:pageBreakBefore w:val="0"/>
        <w:widowControl w:val="0"/>
        <w:spacing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采用基价类和单价类结合的方式，按月计量，季度支付。</w:t>
      </w:r>
    </w:p>
    <w:p w14:paraId="1828CD80">
      <w:pPr>
        <w:keepNext w:val="0"/>
        <w:keepLines w:val="0"/>
        <w:pageBreakBefore w:val="0"/>
        <w:widowControl w:val="0"/>
        <w:spacing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3.养护单位根据要求，编制年度、月度工作计划，每月25日前上报，经审核后组织实施。如财政部门另有规定的从其规定。</w:t>
      </w:r>
    </w:p>
    <w:p w14:paraId="347A1A03">
      <w:pPr>
        <w:keepNext w:val="0"/>
        <w:keepLines w:val="0"/>
        <w:pageBreakBefore w:val="0"/>
        <w:widowControl w:val="0"/>
        <w:spacing w:line="360" w:lineRule="auto"/>
        <w:ind w:firstLine="42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养护单位按月于月末提出经费支付申请，监理审核</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报区局</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监理</w:t>
      </w:r>
      <w:r>
        <w:rPr>
          <w:rFonts w:hint="eastAsia" w:ascii="宋体" w:hAnsi="宋体" w:eastAsia="宋体" w:cs="宋体"/>
          <w:sz w:val="24"/>
          <w:szCs w:val="24"/>
          <w:highlight w:val="none"/>
        </w:rPr>
        <w:t>在收到申报材料后，在两周内完成审定，</w:t>
      </w:r>
      <w:r>
        <w:rPr>
          <w:rFonts w:hint="eastAsia" w:ascii="宋体" w:hAnsi="宋体" w:cs="宋体"/>
          <w:sz w:val="24"/>
          <w:szCs w:val="24"/>
          <w:highlight w:val="none"/>
          <w:lang w:val="en-US" w:eastAsia="zh-CN"/>
        </w:rPr>
        <w:t>报区局并</w:t>
      </w:r>
      <w:r>
        <w:rPr>
          <w:rFonts w:hint="eastAsia" w:ascii="宋体" w:hAnsi="宋体" w:eastAsia="宋体" w:cs="宋体"/>
          <w:sz w:val="24"/>
          <w:szCs w:val="24"/>
          <w:highlight w:val="none"/>
          <w:lang w:val="en-US" w:eastAsia="zh-CN"/>
        </w:rPr>
        <w:t>按季度</w:t>
      </w:r>
      <w:r>
        <w:rPr>
          <w:rFonts w:hint="eastAsia" w:ascii="宋体" w:hAnsi="宋体" w:eastAsia="宋体" w:cs="宋体"/>
          <w:sz w:val="24"/>
          <w:szCs w:val="24"/>
          <w:highlight w:val="none"/>
        </w:rPr>
        <w:t>拨付给养护单位</w:t>
      </w:r>
      <w:r>
        <w:rPr>
          <w:rFonts w:hint="eastAsia" w:ascii="宋体" w:hAnsi="宋体" w:eastAsia="宋体" w:cs="宋体"/>
          <w:sz w:val="24"/>
          <w:szCs w:val="24"/>
          <w:highlight w:val="none"/>
          <w:lang w:eastAsia="zh-CN"/>
        </w:rPr>
        <w:t>。</w:t>
      </w:r>
    </w:p>
    <w:p w14:paraId="099973D5">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按月度计量，季度支付。</w:t>
      </w:r>
      <w:r>
        <w:rPr>
          <w:rFonts w:hint="eastAsia" w:ascii="宋体" w:hAnsi="宋体" w:eastAsia="宋体" w:cs="宋体"/>
          <w:sz w:val="24"/>
          <w:szCs w:val="24"/>
          <w:highlight w:val="none"/>
        </w:rPr>
        <w:t>区局结合季度考核得分情况拨付经费。考核得分在900-930分，全额拨付季度经费；考核得分在850-900分（不含900分），按（</w:t>
      </w:r>
      <w:r>
        <w:rPr>
          <w:rFonts w:hint="eastAsia" w:ascii="宋体" w:hAnsi="宋体" w:eastAsia="宋体" w:cs="宋体"/>
          <w:color w:val="auto"/>
          <w:sz w:val="24"/>
          <w:szCs w:val="24"/>
          <w:highlight w:val="none"/>
        </w:rPr>
        <w:t>899-季度考核得分</w:t>
      </w:r>
      <w:r>
        <w:rPr>
          <w:rFonts w:hint="eastAsia" w:ascii="宋体" w:hAnsi="宋体" w:eastAsia="宋体" w:cs="宋体"/>
          <w:sz w:val="24"/>
          <w:szCs w:val="24"/>
          <w:highlight w:val="none"/>
        </w:rPr>
        <w:t>）*1000元标准扣除养护经费；考核得分在800-850分（不含850分），按（899-季度考核得分）*2000元标准扣除养护经费；考核得分在800分及以下的，扣除（899-季度考核得分）*5000元标准扣除养护经费。扣除的养护经费在季度拨付当月计量经费中扣除。</w:t>
      </w:r>
    </w:p>
    <w:p w14:paraId="5AC30BA5">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五、附则</w:t>
      </w:r>
    </w:p>
    <w:p w14:paraId="43DBF654">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1.如有其它未尽事宜，按省市区制定的相关办法执行。</w:t>
      </w:r>
    </w:p>
    <w:p w14:paraId="759D9703">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2.本办法由江宁区交通运输局负责解释。</w:t>
      </w:r>
    </w:p>
    <w:p w14:paraId="43944613">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3.本办法自下发之日起施行。</w:t>
      </w:r>
    </w:p>
    <w:p w14:paraId="28F70B54">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32"/>
          <w:highlight w:val="none"/>
        </w:rPr>
        <w:t>附件 1：</w:t>
      </w:r>
      <w:r>
        <w:rPr>
          <w:rFonts w:hint="eastAsia" w:ascii="宋体" w:hAnsi="宋体"/>
          <w:sz w:val="24"/>
          <w:szCs w:val="24"/>
          <w:highlight w:val="none"/>
          <w:lang w:val="zh-CN" w:eastAsia="zh-CN"/>
        </w:rPr>
        <w:t>2026年江宁区林荫大道示范管护带养护服务</w:t>
      </w:r>
      <w:r>
        <w:rPr>
          <w:rFonts w:hint="eastAsia" w:ascii="宋体" w:hAnsi="宋体"/>
          <w:sz w:val="24"/>
          <w:szCs w:val="24"/>
          <w:highlight w:val="none"/>
          <w:lang w:val="en-US" w:eastAsia="zh-CN"/>
        </w:rPr>
        <w:t>质量</w:t>
      </w:r>
      <w:r>
        <w:rPr>
          <w:rFonts w:hint="eastAsia" w:ascii="宋体" w:hAnsi="宋体" w:eastAsia="宋体" w:cs="宋体"/>
          <w:sz w:val="24"/>
          <w:szCs w:val="24"/>
          <w:highlight w:val="none"/>
        </w:rPr>
        <w:t>外业检查千分制评分标准</w:t>
      </w:r>
    </w:p>
    <w:p w14:paraId="38463096">
      <w:pPr>
        <w:keepNext w:val="0"/>
        <w:keepLines w:val="0"/>
        <w:pageBreakBefore w:val="0"/>
        <w:widowControl w:val="0"/>
        <w:spacing w:line="360" w:lineRule="auto"/>
        <w:ind w:firstLine="480"/>
        <w:rPr>
          <w:rFonts w:hint="eastAsia" w:ascii="宋体" w:hAnsi="宋体" w:eastAsia="宋体" w:cs="宋体"/>
          <w:highlight w:val="none"/>
          <w:lang w:val="zh-CN"/>
        </w:rPr>
      </w:pPr>
      <w:r>
        <w:rPr>
          <w:rFonts w:hint="eastAsia" w:ascii="宋体" w:hAnsi="宋体" w:eastAsia="宋体" w:cs="宋体"/>
          <w:sz w:val="24"/>
          <w:szCs w:val="24"/>
          <w:highlight w:val="none"/>
        </w:rPr>
        <w:t>附件 2：</w:t>
      </w:r>
      <w:r>
        <w:rPr>
          <w:rFonts w:hint="eastAsia" w:ascii="宋体" w:hAnsi="宋体"/>
          <w:sz w:val="24"/>
          <w:szCs w:val="24"/>
          <w:highlight w:val="none"/>
          <w:lang w:val="zh-CN" w:eastAsia="zh-CN"/>
        </w:rPr>
        <w:t>2026年江宁区林荫大道示范管护带养护服务</w:t>
      </w:r>
      <w:r>
        <w:rPr>
          <w:rFonts w:hint="eastAsia" w:ascii="宋体" w:hAnsi="宋体"/>
          <w:sz w:val="24"/>
          <w:szCs w:val="24"/>
          <w:highlight w:val="none"/>
          <w:lang w:val="en-US" w:eastAsia="zh-CN"/>
        </w:rPr>
        <w:t>质量</w:t>
      </w:r>
      <w:r>
        <w:rPr>
          <w:rFonts w:hint="eastAsia" w:ascii="宋体" w:hAnsi="宋体" w:eastAsia="宋体" w:cs="宋体"/>
          <w:sz w:val="24"/>
          <w:szCs w:val="24"/>
          <w:highlight w:val="none"/>
        </w:rPr>
        <w:t>内业</w:t>
      </w:r>
      <w:r>
        <w:rPr>
          <w:rFonts w:hint="eastAsia" w:ascii="宋体" w:hAnsi="宋体" w:eastAsia="宋体" w:cs="宋体"/>
          <w:sz w:val="24"/>
          <w:szCs w:val="32"/>
          <w:highlight w:val="none"/>
        </w:rPr>
        <w:t>检查评分标准</w:t>
      </w:r>
    </w:p>
    <w:p w14:paraId="1A752A55">
      <w:pPr>
        <w:keepNext w:val="0"/>
        <w:keepLines w:val="0"/>
        <w:pageBreakBefore w:val="0"/>
        <w:spacing w:line="360" w:lineRule="auto"/>
        <w:jc w:val="center"/>
        <w:rPr>
          <w:rFonts w:hint="eastAsia" w:ascii="宋体" w:hAnsi="宋体" w:cs="宋体"/>
          <w:b/>
          <w:bCs/>
          <w:color w:val="000000"/>
          <w:sz w:val="24"/>
          <w:highlight w:val="yellow"/>
          <w:lang w:bidi="ar"/>
        </w:rPr>
      </w:pPr>
    </w:p>
    <w:p w14:paraId="48F82E5F">
      <w:pPr>
        <w:jc w:val="center"/>
        <w:rPr>
          <w:rFonts w:hint="eastAsia" w:ascii="宋体" w:hAnsi="宋体" w:cs="宋体"/>
          <w:b/>
          <w:bCs/>
          <w:color w:val="000000"/>
          <w:sz w:val="24"/>
          <w:lang w:bidi="ar"/>
        </w:rPr>
      </w:pPr>
    </w:p>
    <w:p w14:paraId="02A8C4BE">
      <w:pPr>
        <w:jc w:val="center"/>
        <w:rPr>
          <w:rFonts w:hint="eastAsia" w:ascii="宋体" w:hAnsi="宋体" w:cs="宋体"/>
          <w:b/>
          <w:bCs/>
          <w:color w:val="000000"/>
          <w:sz w:val="24"/>
          <w:lang w:bidi="ar"/>
        </w:rPr>
      </w:pPr>
    </w:p>
    <w:p w14:paraId="521AC803">
      <w:pPr>
        <w:rPr>
          <w:rFonts w:hint="eastAsia" w:ascii="宋体" w:hAnsi="宋体" w:cs="宋体"/>
          <w:b/>
          <w:bCs/>
          <w:color w:val="000000"/>
          <w:sz w:val="24"/>
          <w:lang w:bidi="ar"/>
        </w:rPr>
      </w:pPr>
      <w:r>
        <w:rPr>
          <w:rFonts w:hint="eastAsia" w:ascii="宋体" w:hAnsi="宋体" w:cs="宋体"/>
          <w:b/>
          <w:bCs/>
          <w:color w:val="000000"/>
          <w:sz w:val="24"/>
          <w:lang w:bidi="ar"/>
        </w:rPr>
        <w:br w:type="page" w:clear="all"/>
      </w:r>
    </w:p>
    <w:p w14:paraId="47B6ACBE">
      <w:pPr>
        <w:jc w:val="center"/>
        <w:rPr>
          <w:rFonts w:hint="eastAsia" w:ascii="Times New Roman" w:hAnsi="Times New Roman" w:eastAsia="宋体" w:cs="Times New Roman"/>
          <w:szCs w:val="24"/>
          <w:highlight w:val="none"/>
          <w:lang w:eastAsia="zh-CN"/>
        </w:rPr>
      </w:pPr>
      <w:r>
        <w:rPr>
          <w:rFonts w:hint="eastAsia" w:ascii="宋体" w:hAnsi="宋体" w:cs="宋体"/>
          <w:b/>
          <w:bCs/>
          <w:color w:val="000000"/>
          <w:sz w:val="24"/>
          <w:highlight w:val="none"/>
          <w:lang w:bidi="ar"/>
        </w:rPr>
        <w:t>附件 1：</w:t>
      </w:r>
      <w:r>
        <w:rPr>
          <w:rFonts w:hint="eastAsia" w:ascii="宋体" w:hAnsi="宋体" w:cs="宋体"/>
          <w:b/>
          <w:bCs/>
          <w:color w:val="000000"/>
          <w:sz w:val="24"/>
          <w:highlight w:val="none"/>
          <w:lang w:val="zh-CN" w:eastAsia="zh-CN" w:bidi="ar"/>
        </w:rPr>
        <w:t>2026年江宁区林荫大道示范管护带养护服务</w:t>
      </w:r>
      <w:r>
        <w:rPr>
          <w:rFonts w:hint="eastAsia" w:ascii="宋体" w:hAnsi="宋体" w:cs="宋体"/>
          <w:b/>
          <w:bCs/>
          <w:color w:val="000000"/>
          <w:sz w:val="24"/>
          <w:highlight w:val="none"/>
          <w:lang w:val="en-US" w:eastAsia="zh-CN" w:bidi="ar"/>
        </w:rPr>
        <w:t>质量</w:t>
      </w:r>
      <w:r>
        <w:rPr>
          <w:rFonts w:hint="eastAsia" w:ascii="宋体" w:hAnsi="宋体" w:cs="宋体"/>
          <w:b/>
          <w:bCs/>
          <w:color w:val="000000"/>
          <w:sz w:val="24"/>
          <w:highlight w:val="none"/>
          <w:lang w:bidi="ar"/>
        </w:rPr>
        <w:t>外业检查千分制评分标准</w:t>
      </w:r>
    </w:p>
    <w:p w14:paraId="2E641DF5">
      <w:pPr>
        <w:jc w:val="center"/>
        <w:rPr>
          <w:rFonts w:hint="eastAsia" w:ascii="宋体" w:hAnsi="宋体" w:eastAsia="宋体" w:cs="宋体"/>
          <w:b/>
          <w:bCs/>
          <w:color w:val="000000"/>
          <w:sz w:val="24"/>
          <w:lang w:eastAsia="zh-CN" w:bidi="ar"/>
        </w:rPr>
      </w:pPr>
      <w:r>
        <w:rPr>
          <w:rFonts w:hint="eastAsia" w:ascii="宋体" w:hAnsi="宋体" w:eastAsia="宋体" w:cs="宋体"/>
          <w:b/>
          <w:bCs/>
          <w:color w:val="000000"/>
          <w:sz w:val="24"/>
          <w:lang w:eastAsia="zh-CN" w:bidi="ar"/>
        </w:rPr>
        <w:drawing>
          <wp:inline distT="0" distB="0" distL="0" distR="0">
            <wp:extent cx="7360285" cy="5202555"/>
            <wp:effectExtent l="0" t="0" r="17145" b="12065"/>
            <wp:docPr id="6" name="图片 11" descr="修  2025年江宁区林荫大道示范管护带养护服务质量外业检查千分制评分标准（25.2.17）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1" descr="修  2025年江宁区林荫大道示范管护带养护服务质量外业检查千分制评分标准（25.2.17）_01"/>
                    <pic:cNvPicPr>
                      <a:picLocks noChangeAspect="1"/>
                    </pic:cNvPicPr>
                  </pic:nvPicPr>
                  <pic:blipFill>
                    <a:blip r:embed="rId9"/>
                    <a:stretch>
                      <a:fillRect/>
                    </a:stretch>
                  </pic:blipFill>
                  <pic:spPr>
                    <a:xfrm rot="16199999">
                      <a:off x="0" y="0"/>
                      <a:ext cx="7360285" cy="5202554"/>
                    </a:xfrm>
                    <a:prstGeom prst="rect">
                      <a:avLst/>
                    </a:prstGeom>
                  </pic:spPr>
                </pic:pic>
              </a:graphicData>
            </a:graphic>
          </wp:inline>
        </w:drawing>
      </w:r>
      <w:r>
        <w:rPr>
          <w:rFonts w:hint="eastAsia" w:ascii="宋体" w:hAnsi="宋体" w:eastAsia="宋体" w:cs="宋体"/>
          <w:b/>
          <w:bCs/>
          <w:color w:val="000000"/>
          <w:sz w:val="24"/>
          <w:lang w:eastAsia="zh-CN" w:bidi="ar"/>
        </w:rPr>
        <w:drawing>
          <wp:inline distT="0" distB="0" distL="0" distR="0">
            <wp:extent cx="8225790" cy="5814060"/>
            <wp:effectExtent l="0" t="0" r="15240" b="3810"/>
            <wp:docPr id="7" name="图片 10" descr="修  2025年江宁区林荫大道示范管护带养护服务质量外业检查千分制评分标准（25.2.17）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0" descr="修  2025年江宁区林荫大道示范管护带养护服务质量外业检查千分制评分标准（25.2.17）_02"/>
                    <pic:cNvPicPr>
                      <a:picLocks noChangeAspect="1"/>
                    </pic:cNvPicPr>
                  </pic:nvPicPr>
                  <pic:blipFill>
                    <a:blip r:embed="rId10"/>
                    <a:stretch>
                      <a:fillRect/>
                    </a:stretch>
                  </pic:blipFill>
                  <pic:spPr>
                    <a:xfrm rot="16199999">
                      <a:off x="0" y="0"/>
                      <a:ext cx="8225790" cy="5814060"/>
                    </a:xfrm>
                    <a:prstGeom prst="rect">
                      <a:avLst/>
                    </a:prstGeom>
                  </pic:spPr>
                </pic:pic>
              </a:graphicData>
            </a:graphic>
          </wp:inline>
        </w:drawing>
      </w:r>
    </w:p>
    <w:p w14:paraId="1CFFE57D">
      <w:pPr>
        <w:jc w:val="center"/>
      </w:pPr>
    </w:p>
    <w:p w14:paraId="1C0F648B">
      <w:pPr>
        <w:jc w:val="center"/>
        <w:sectPr>
          <w:footerReference r:id="rId5" w:type="default"/>
          <w:pgSz w:w="11906" w:h="16838"/>
          <w:pgMar w:top="1440" w:right="1134" w:bottom="1440" w:left="1134" w:header="851" w:footer="992" w:gutter="0"/>
          <w:pgNumType w:start="1"/>
          <w:cols w:space="720" w:num="1"/>
          <w:docGrid w:linePitch="360" w:charSpace="0"/>
        </w:sectPr>
      </w:pPr>
    </w:p>
    <w:p w14:paraId="28648395">
      <w:pPr>
        <w:jc w:val="center"/>
        <w:rPr>
          <w:rFonts w:hint="eastAsia" w:ascii="宋体" w:hAnsi="宋体" w:cs="宋体"/>
          <w:b/>
          <w:bCs/>
          <w:color w:val="000000"/>
          <w:sz w:val="24"/>
          <w:lang w:bidi="ar"/>
        </w:rPr>
      </w:pPr>
      <w:r>
        <w:rPr>
          <w:rFonts w:hint="eastAsia" w:ascii="宋体" w:hAnsi="宋体" w:cs="宋体"/>
          <w:b/>
          <w:bCs/>
          <w:color w:val="000000"/>
          <w:sz w:val="24"/>
          <w:lang w:bidi="ar"/>
        </w:rPr>
        <w:t>附件 2：</w:t>
      </w:r>
      <w:r>
        <w:rPr>
          <w:rFonts w:hint="eastAsia" w:ascii="宋体" w:hAnsi="宋体" w:cs="宋体"/>
          <w:b/>
          <w:bCs/>
          <w:color w:val="000000"/>
          <w:sz w:val="24"/>
          <w:lang w:val="zh-CN" w:eastAsia="zh-CN" w:bidi="ar"/>
        </w:rPr>
        <w:t>2026年江宁区林荫大道示范管护带养护服务</w:t>
      </w:r>
      <w:r>
        <w:rPr>
          <w:rFonts w:hint="eastAsia" w:ascii="宋体" w:hAnsi="宋体" w:cs="宋体"/>
          <w:b/>
          <w:bCs/>
          <w:color w:val="000000"/>
          <w:sz w:val="24"/>
          <w:lang w:bidi="ar"/>
        </w:rPr>
        <w:t>质量内业检查评分标准</w:t>
      </w:r>
    </w:p>
    <w:p w14:paraId="78493D37"/>
    <w:tbl>
      <w:tblPr>
        <w:tblStyle w:val="35"/>
        <w:tblW w:w="97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9"/>
        <w:gridCol w:w="840"/>
        <w:gridCol w:w="4137"/>
        <w:gridCol w:w="3081"/>
      </w:tblGrid>
      <w:tr w14:paraId="5D622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1689" w:type="dxa"/>
            <w:noWrap w:val="0"/>
            <w:vAlign w:val="center"/>
          </w:tcPr>
          <w:p w14:paraId="3007D79F">
            <w:pPr>
              <w:widowControl/>
              <w:jc w:val="center"/>
              <w:rPr>
                <w:sz w:val="24"/>
              </w:rPr>
            </w:pPr>
            <w:r>
              <w:rPr>
                <w:rFonts w:hint="eastAsia" w:ascii="宋体" w:hAnsi="宋体" w:cs="宋体"/>
                <w:color w:val="000000"/>
                <w:sz w:val="24"/>
                <w:lang w:bidi="ar"/>
              </w:rPr>
              <w:t>评分项目</w:t>
            </w:r>
          </w:p>
        </w:tc>
        <w:tc>
          <w:tcPr>
            <w:tcW w:w="840" w:type="dxa"/>
            <w:noWrap w:val="0"/>
            <w:vAlign w:val="center"/>
          </w:tcPr>
          <w:p w14:paraId="724C14BC">
            <w:pPr>
              <w:widowControl/>
              <w:jc w:val="center"/>
              <w:rPr>
                <w:sz w:val="24"/>
              </w:rPr>
            </w:pPr>
            <w:r>
              <w:rPr>
                <w:rFonts w:hint="eastAsia"/>
                <w:sz w:val="24"/>
              </w:rPr>
              <w:t>满分</w:t>
            </w:r>
          </w:p>
        </w:tc>
        <w:tc>
          <w:tcPr>
            <w:tcW w:w="4137" w:type="dxa"/>
            <w:noWrap w:val="0"/>
            <w:vAlign w:val="center"/>
          </w:tcPr>
          <w:p w14:paraId="65B707B0">
            <w:pPr>
              <w:widowControl/>
              <w:jc w:val="center"/>
              <w:rPr>
                <w:sz w:val="24"/>
              </w:rPr>
            </w:pPr>
            <w:r>
              <w:rPr>
                <w:rFonts w:hint="eastAsia" w:ascii="宋体" w:hAnsi="宋体" w:cs="宋体"/>
                <w:color w:val="000000"/>
                <w:sz w:val="24"/>
                <w:lang w:bidi="ar"/>
              </w:rPr>
              <w:t>评分内容</w:t>
            </w:r>
          </w:p>
        </w:tc>
        <w:tc>
          <w:tcPr>
            <w:tcW w:w="3081" w:type="dxa"/>
            <w:noWrap w:val="0"/>
            <w:vAlign w:val="center"/>
          </w:tcPr>
          <w:p w14:paraId="2DC5D03B">
            <w:pPr>
              <w:widowControl/>
              <w:jc w:val="center"/>
              <w:rPr>
                <w:sz w:val="24"/>
              </w:rPr>
            </w:pPr>
            <w:r>
              <w:rPr>
                <w:rFonts w:hint="eastAsia" w:ascii="宋体" w:hAnsi="宋体" w:cs="宋体"/>
                <w:color w:val="000000"/>
                <w:sz w:val="24"/>
                <w:lang w:bidi="ar"/>
              </w:rPr>
              <w:t>评分标准及细则</w:t>
            </w:r>
          </w:p>
        </w:tc>
      </w:tr>
      <w:tr w14:paraId="0BCCA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 w:hRule="atLeast"/>
          <w:jc w:val="center"/>
        </w:trPr>
        <w:tc>
          <w:tcPr>
            <w:tcW w:w="1689" w:type="dxa"/>
            <w:noWrap w:val="0"/>
            <w:vAlign w:val="center"/>
          </w:tcPr>
          <w:p w14:paraId="4B4562F8">
            <w:pPr>
              <w:widowControl/>
              <w:jc w:val="center"/>
              <w:rPr>
                <w:sz w:val="24"/>
              </w:rPr>
            </w:pPr>
            <w:r>
              <w:rPr>
                <w:rFonts w:hint="eastAsia" w:ascii="宋体" w:hAnsi="宋体" w:cs="宋体"/>
                <w:color w:val="000000"/>
                <w:sz w:val="24"/>
                <w:lang w:bidi="ar"/>
              </w:rPr>
              <w:t>养护管理机</w:t>
            </w:r>
          </w:p>
          <w:p w14:paraId="2D6FADAA">
            <w:pPr>
              <w:widowControl/>
              <w:jc w:val="center"/>
              <w:rPr>
                <w:sz w:val="24"/>
              </w:rPr>
            </w:pPr>
            <w:r>
              <w:rPr>
                <w:rFonts w:hint="eastAsia" w:ascii="宋体" w:hAnsi="宋体" w:cs="宋体"/>
                <w:color w:val="000000"/>
                <w:sz w:val="24"/>
                <w:lang w:bidi="ar"/>
              </w:rPr>
              <w:t>构设置</w:t>
            </w:r>
          </w:p>
        </w:tc>
        <w:tc>
          <w:tcPr>
            <w:tcW w:w="840" w:type="dxa"/>
            <w:noWrap w:val="0"/>
            <w:vAlign w:val="center"/>
          </w:tcPr>
          <w:p w14:paraId="4ED0512E">
            <w:pPr>
              <w:widowControl/>
              <w:jc w:val="center"/>
              <w:rPr>
                <w:sz w:val="24"/>
              </w:rPr>
            </w:pPr>
            <w:r>
              <w:rPr>
                <w:rFonts w:hint="eastAsia" w:ascii="宋体" w:hAnsi="宋体" w:cs="宋体"/>
                <w:color w:val="000000"/>
                <w:sz w:val="24"/>
                <w:lang w:bidi="ar"/>
              </w:rPr>
              <w:t>25分</w:t>
            </w:r>
          </w:p>
        </w:tc>
        <w:tc>
          <w:tcPr>
            <w:tcW w:w="4137" w:type="dxa"/>
            <w:noWrap w:val="0"/>
            <w:vAlign w:val="center"/>
          </w:tcPr>
          <w:p w14:paraId="6DC8C864">
            <w:pPr>
              <w:widowControl/>
              <w:jc w:val="center"/>
              <w:rPr>
                <w:sz w:val="24"/>
              </w:rPr>
            </w:pPr>
            <w:r>
              <w:rPr>
                <w:rFonts w:hint="eastAsia" w:ascii="宋体" w:hAnsi="宋体" w:cs="宋体"/>
                <w:color w:val="000000"/>
                <w:sz w:val="24"/>
                <w:lang w:bidi="ar"/>
              </w:rPr>
              <w:t>根据养护实际需求，配备相应的养护人员、桥梁工程师和巡查车辆。</w:t>
            </w:r>
          </w:p>
        </w:tc>
        <w:tc>
          <w:tcPr>
            <w:tcW w:w="3081" w:type="dxa"/>
            <w:noWrap w:val="0"/>
            <w:vAlign w:val="center"/>
          </w:tcPr>
          <w:p w14:paraId="15EAB8F6">
            <w:pPr>
              <w:widowControl/>
              <w:jc w:val="center"/>
              <w:rPr>
                <w:sz w:val="24"/>
              </w:rPr>
            </w:pPr>
            <w:r>
              <w:rPr>
                <w:rFonts w:hint="eastAsia" w:ascii="宋体" w:hAnsi="宋体" w:cs="宋体"/>
                <w:color w:val="000000"/>
                <w:sz w:val="24"/>
                <w:lang w:bidi="ar"/>
              </w:rPr>
              <w:t>人员、车辆、设备等配备和机构设置不满足要求一项扣2.5分。</w:t>
            </w:r>
          </w:p>
        </w:tc>
      </w:tr>
      <w:tr w14:paraId="3657C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jc w:val="center"/>
        </w:trPr>
        <w:tc>
          <w:tcPr>
            <w:tcW w:w="1689" w:type="dxa"/>
            <w:noWrap w:val="0"/>
            <w:vAlign w:val="center"/>
          </w:tcPr>
          <w:p w14:paraId="49EFF8B9">
            <w:pPr>
              <w:widowControl/>
              <w:jc w:val="center"/>
              <w:rPr>
                <w:sz w:val="24"/>
              </w:rPr>
            </w:pPr>
            <w:r>
              <w:rPr>
                <w:rFonts w:hint="eastAsia" w:ascii="宋体" w:hAnsi="宋体" w:cs="宋体"/>
                <w:color w:val="000000"/>
                <w:sz w:val="24"/>
                <w:lang w:bidi="ar"/>
              </w:rPr>
              <w:t>内业资料管</w:t>
            </w:r>
          </w:p>
          <w:p w14:paraId="1B840B08">
            <w:pPr>
              <w:widowControl/>
              <w:jc w:val="center"/>
              <w:rPr>
                <w:sz w:val="24"/>
              </w:rPr>
            </w:pPr>
            <w:r>
              <w:rPr>
                <w:rFonts w:hint="eastAsia" w:ascii="宋体" w:hAnsi="宋体" w:cs="宋体"/>
                <w:color w:val="000000"/>
                <w:sz w:val="24"/>
                <w:lang w:bidi="ar"/>
              </w:rPr>
              <w:t>理</w:t>
            </w:r>
          </w:p>
        </w:tc>
        <w:tc>
          <w:tcPr>
            <w:tcW w:w="840" w:type="dxa"/>
            <w:noWrap w:val="0"/>
            <w:vAlign w:val="center"/>
          </w:tcPr>
          <w:p w14:paraId="23CEB8EC">
            <w:pPr>
              <w:widowControl/>
              <w:jc w:val="center"/>
              <w:rPr>
                <w:sz w:val="24"/>
              </w:rPr>
            </w:pPr>
            <w:r>
              <w:rPr>
                <w:rFonts w:hint="eastAsia" w:ascii="宋体" w:hAnsi="宋体" w:cs="宋体"/>
                <w:color w:val="000000"/>
                <w:sz w:val="24"/>
                <w:lang w:bidi="ar"/>
              </w:rPr>
              <w:t>25分</w:t>
            </w:r>
          </w:p>
        </w:tc>
        <w:tc>
          <w:tcPr>
            <w:tcW w:w="4137" w:type="dxa"/>
            <w:noWrap w:val="0"/>
            <w:vAlign w:val="center"/>
          </w:tcPr>
          <w:p w14:paraId="1A630790">
            <w:pPr>
              <w:widowControl/>
              <w:jc w:val="center"/>
              <w:rPr>
                <w:sz w:val="24"/>
              </w:rPr>
            </w:pPr>
            <w:r>
              <w:rPr>
                <w:rFonts w:hint="eastAsia" w:ascii="宋体" w:hAnsi="宋体" w:cs="宋体"/>
                <w:color w:val="000000"/>
                <w:sz w:val="24"/>
                <w:lang w:bidi="ar"/>
              </w:rPr>
              <w:t>内容真实全面、填写规范准确、逻辑关联对应、条理清晰分明、归档整齐有序。</w:t>
            </w:r>
          </w:p>
        </w:tc>
        <w:tc>
          <w:tcPr>
            <w:tcW w:w="3081" w:type="dxa"/>
            <w:noWrap w:val="0"/>
            <w:vAlign w:val="center"/>
          </w:tcPr>
          <w:p w14:paraId="2F2F4BDC">
            <w:pPr>
              <w:widowControl/>
              <w:jc w:val="center"/>
              <w:rPr>
                <w:sz w:val="24"/>
              </w:rPr>
            </w:pPr>
            <w:r>
              <w:rPr>
                <w:rFonts w:hint="eastAsia" w:ascii="宋体" w:hAnsi="宋体" w:cs="宋体"/>
                <w:color w:val="000000"/>
                <w:sz w:val="24"/>
                <w:lang w:bidi="ar"/>
              </w:rPr>
              <w:t>资料缺失，填写不规范，无关联性，归档无序等一处扣1分。</w:t>
            </w:r>
          </w:p>
        </w:tc>
      </w:tr>
      <w:tr w14:paraId="51C78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9" w:hRule="atLeast"/>
          <w:jc w:val="center"/>
        </w:trPr>
        <w:tc>
          <w:tcPr>
            <w:tcW w:w="1689" w:type="dxa"/>
            <w:noWrap w:val="0"/>
            <w:vAlign w:val="center"/>
          </w:tcPr>
          <w:p w14:paraId="231D4AB8">
            <w:pPr>
              <w:widowControl/>
              <w:jc w:val="center"/>
              <w:rPr>
                <w:sz w:val="24"/>
              </w:rPr>
            </w:pPr>
            <w:r>
              <w:rPr>
                <w:rFonts w:hint="eastAsia" w:ascii="宋体" w:hAnsi="宋体" w:cs="宋体"/>
                <w:color w:val="000000"/>
                <w:sz w:val="24"/>
                <w:lang w:bidi="ar"/>
              </w:rPr>
              <w:t>公路特情应</w:t>
            </w:r>
          </w:p>
          <w:p w14:paraId="78E8DE81">
            <w:pPr>
              <w:widowControl/>
              <w:jc w:val="center"/>
              <w:rPr>
                <w:sz w:val="24"/>
              </w:rPr>
            </w:pPr>
            <w:r>
              <w:rPr>
                <w:rFonts w:hint="eastAsia" w:ascii="宋体" w:hAnsi="宋体" w:cs="宋体"/>
                <w:color w:val="000000"/>
                <w:sz w:val="24"/>
                <w:lang w:bidi="ar"/>
              </w:rPr>
              <w:t>急处置</w:t>
            </w:r>
          </w:p>
        </w:tc>
        <w:tc>
          <w:tcPr>
            <w:tcW w:w="840" w:type="dxa"/>
            <w:noWrap w:val="0"/>
            <w:vAlign w:val="center"/>
          </w:tcPr>
          <w:p w14:paraId="10CBC64A">
            <w:pPr>
              <w:widowControl/>
              <w:jc w:val="center"/>
              <w:rPr>
                <w:sz w:val="24"/>
              </w:rPr>
            </w:pPr>
            <w:r>
              <w:rPr>
                <w:rFonts w:hint="eastAsia" w:ascii="宋体" w:hAnsi="宋体" w:cs="宋体"/>
                <w:color w:val="000000"/>
                <w:sz w:val="24"/>
                <w:lang w:bidi="ar"/>
              </w:rPr>
              <w:t>20分</w:t>
            </w:r>
          </w:p>
        </w:tc>
        <w:tc>
          <w:tcPr>
            <w:tcW w:w="4137" w:type="dxa"/>
            <w:noWrap w:val="0"/>
            <w:vAlign w:val="center"/>
          </w:tcPr>
          <w:p w14:paraId="6EEB0EC3">
            <w:pPr>
              <w:widowControl/>
              <w:jc w:val="center"/>
              <w:rPr>
                <w:sz w:val="24"/>
              </w:rPr>
            </w:pPr>
            <w:r>
              <w:rPr>
                <w:rFonts w:hint="eastAsia" w:ascii="宋体" w:hAnsi="宋体" w:cs="宋体"/>
                <w:color w:val="000000"/>
                <w:sz w:val="24"/>
                <w:lang w:bidi="ar"/>
              </w:rPr>
              <w:t>建立各类应急预案，在遇到特大暴雨、洪水、冰雪、地震等恶劣天气和突发事件时，公路养护应急方案和措施到位，处置得当，未造成不良社会影响等。</w:t>
            </w:r>
          </w:p>
        </w:tc>
        <w:tc>
          <w:tcPr>
            <w:tcW w:w="3081" w:type="dxa"/>
            <w:noWrap w:val="0"/>
            <w:vAlign w:val="center"/>
          </w:tcPr>
          <w:p w14:paraId="3A80C135">
            <w:pPr>
              <w:widowControl/>
              <w:jc w:val="center"/>
              <w:rPr>
                <w:sz w:val="24"/>
              </w:rPr>
            </w:pPr>
            <w:r>
              <w:rPr>
                <w:rFonts w:hint="eastAsia" w:ascii="宋体" w:hAnsi="宋体" w:cs="宋体"/>
                <w:color w:val="000000"/>
                <w:sz w:val="24"/>
                <w:lang w:bidi="ar"/>
              </w:rPr>
              <w:t>无预案扣5分，预案考虑不全面、不充分一处扣1分，应急准备不充分、处治不及时一次扣2.5分，处治不当，造成不良社会影响扣10分。</w:t>
            </w:r>
          </w:p>
        </w:tc>
      </w:tr>
      <w:tr w14:paraId="3C1B1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 w:hRule="atLeast"/>
          <w:jc w:val="center"/>
        </w:trPr>
        <w:tc>
          <w:tcPr>
            <w:tcW w:w="1689" w:type="dxa"/>
            <w:noWrap w:val="0"/>
            <w:vAlign w:val="center"/>
          </w:tcPr>
          <w:p w14:paraId="39D21AD8">
            <w:pPr>
              <w:widowControl/>
              <w:jc w:val="center"/>
              <w:rPr>
                <w:sz w:val="24"/>
              </w:rPr>
            </w:pPr>
            <w:r>
              <w:rPr>
                <w:rFonts w:hint="eastAsia" w:ascii="宋体" w:hAnsi="宋体" w:cs="宋体"/>
                <w:color w:val="000000"/>
                <w:sz w:val="24"/>
                <w:lang w:bidi="ar"/>
              </w:rPr>
              <w:t>文明生产和</w:t>
            </w:r>
          </w:p>
          <w:p w14:paraId="0016548A">
            <w:pPr>
              <w:widowControl/>
              <w:jc w:val="center"/>
              <w:rPr>
                <w:sz w:val="24"/>
              </w:rPr>
            </w:pPr>
            <w:r>
              <w:rPr>
                <w:rFonts w:hint="eastAsia" w:ascii="宋体" w:hAnsi="宋体" w:cs="宋体"/>
                <w:color w:val="000000"/>
                <w:sz w:val="24"/>
                <w:lang w:bidi="ar"/>
              </w:rPr>
              <w:t>安全作业情</w:t>
            </w:r>
          </w:p>
          <w:p w14:paraId="3B13D53C">
            <w:pPr>
              <w:widowControl/>
              <w:jc w:val="center"/>
              <w:rPr>
                <w:sz w:val="24"/>
              </w:rPr>
            </w:pPr>
            <w:r>
              <w:rPr>
                <w:rFonts w:hint="eastAsia" w:ascii="宋体" w:hAnsi="宋体" w:cs="宋体"/>
                <w:color w:val="000000"/>
                <w:sz w:val="24"/>
                <w:lang w:bidi="ar"/>
              </w:rPr>
              <w:t>况</w:t>
            </w:r>
          </w:p>
        </w:tc>
        <w:tc>
          <w:tcPr>
            <w:tcW w:w="840" w:type="dxa"/>
            <w:noWrap w:val="0"/>
            <w:vAlign w:val="center"/>
          </w:tcPr>
          <w:p w14:paraId="201910C6">
            <w:pPr>
              <w:widowControl/>
              <w:jc w:val="center"/>
              <w:rPr>
                <w:sz w:val="24"/>
              </w:rPr>
            </w:pPr>
            <w:r>
              <w:rPr>
                <w:rFonts w:hint="eastAsia" w:ascii="宋体" w:hAnsi="宋体" w:cs="宋体"/>
                <w:color w:val="000000"/>
                <w:sz w:val="24"/>
                <w:lang w:bidi="ar"/>
              </w:rPr>
              <w:t>20分</w:t>
            </w:r>
          </w:p>
        </w:tc>
        <w:tc>
          <w:tcPr>
            <w:tcW w:w="4137" w:type="dxa"/>
            <w:noWrap w:val="0"/>
            <w:vAlign w:val="center"/>
          </w:tcPr>
          <w:p w14:paraId="1F3E5DED">
            <w:pPr>
              <w:widowControl/>
              <w:jc w:val="center"/>
              <w:rPr>
                <w:sz w:val="24"/>
              </w:rPr>
            </w:pPr>
            <w:r>
              <w:rPr>
                <w:rFonts w:hint="eastAsia" w:ascii="宋体" w:hAnsi="宋体" w:cs="宋体"/>
                <w:color w:val="000000"/>
                <w:sz w:val="24"/>
                <w:lang w:bidi="ar"/>
              </w:rPr>
              <w:t>按照公路、桥梁等相关规程及行业管理部门要求执行。</w:t>
            </w:r>
          </w:p>
        </w:tc>
        <w:tc>
          <w:tcPr>
            <w:tcW w:w="3081" w:type="dxa"/>
            <w:noWrap w:val="0"/>
            <w:vAlign w:val="center"/>
          </w:tcPr>
          <w:p w14:paraId="295DD19D">
            <w:pPr>
              <w:widowControl/>
              <w:jc w:val="center"/>
              <w:rPr>
                <w:sz w:val="24"/>
              </w:rPr>
            </w:pPr>
            <w:r>
              <w:rPr>
                <w:rFonts w:hint="eastAsia" w:ascii="宋体" w:hAnsi="宋体" w:cs="宋体"/>
                <w:color w:val="000000"/>
                <w:sz w:val="24"/>
                <w:lang w:bidi="ar"/>
              </w:rPr>
              <w:t>未按相关规程及行业管理部门要求文明施工和安全作业，发现一处扣2.5分。</w:t>
            </w:r>
          </w:p>
        </w:tc>
      </w:tr>
      <w:tr w14:paraId="560A2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 w:hRule="atLeast"/>
          <w:jc w:val="center"/>
        </w:trPr>
        <w:tc>
          <w:tcPr>
            <w:tcW w:w="1689" w:type="dxa"/>
            <w:noWrap w:val="0"/>
            <w:vAlign w:val="center"/>
          </w:tcPr>
          <w:p w14:paraId="2E30824D">
            <w:pPr>
              <w:widowControl/>
              <w:jc w:val="center"/>
              <w:rPr>
                <w:sz w:val="24"/>
              </w:rPr>
            </w:pPr>
            <w:r>
              <w:rPr>
                <w:rFonts w:hint="eastAsia" w:ascii="宋体" w:hAnsi="宋体" w:cs="宋体"/>
                <w:color w:val="000000"/>
                <w:sz w:val="24"/>
                <w:lang w:bidi="ar"/>
              </w:rPr>
              <w:t>区交通局安</w:t>
            </w:r>
          </w:p>
          <w:p w14:paraId="1B308272">
            <w:pPr>
              <w:widowControl/>
              <w:jc w:val="center"/>
              <w:rPr>
                <w:sz w:val="24"/>
              </w:rPr>
            </w:pPr>
            <w:r>
              <w:rPr>
                <w:rFonts w:hint="eastAsia" w:ascii="宋体" w:hAnsi="宋体" w:cs="宋体"/>
                <w:color w:val="000000"/>
                <w:sz w:val="24"/>
                <w:lang w:bidi="ar"/>
              </w:rPr>
              <w:t>排的其它工</w:t>
            </w:r>
          </w:p>
          <w:p w14:paraId="6CC01DFA">
            <w:pPr>
              <w:widowControl/>
              <w:jc w:val="center"/>
              <w:rPr>
                <w:sz w:val="24"/>
              </w:rPr>
            </w:pPr>
            <w:r>
              <w:rPr>
                <w:rFonts w:hint="eastAsia" w:ascii="宋体" w:hAnsi="宋体" w:cs="宋体"/>
                <w:color w:val="000000"/>
                <w:sz w:val="24"/>
                <w:lang w:bidi="ar"/>
              </w:rPr>
              <w:t>作完成情况</w:t>
            </w:r>
          </w:p>
        </w:tc>
        <w:tc>
          <w:tcPr>
            <w:tcW w:w="840" w:type="dxa"/>
            <w:noWrap w:val="0"/>
            <w:vAlign w:val="center"/>
          </w:tcPr>
          <w:p w14:paraId="3620BFAE">
            <w:pPr>
              <w:widowControl/>
              <w:jc w:val="center"/>
              <w:rPr>
                <w:sz w:val="24"/>
              </w:rPr>
            </w:pPr>
            <w:r>
              <w:rPr>
                <w:rFonts w:hint="eastAsia" w:ascii="宋体" w:hAnsi="宋体" w:cs="宋体"/>
                <w:color w:val="000000"/>
                <w:sz w:val="24"/>
                <w:lang w:bidi="ar"/>
              </w:rPr>
              <w:t>10分</w:t>
            </w:r>
          </w:p>
        </w:tc>
        <w:tc>
          <w:tcPr>
            <w:tcW w:w="4137" w:type="dxa"/>
            <w:noWrap w:val="0"/>
            <w:vAlign w:val="center"/>
          </w:tcPr>
          <w:p w14:paraId="0E0FCF19">
            <w:pPr>
              <w:widowControl/>
              <w:jc w:val="center"/>
              <w:rPr>
                <w:sz w:val="24"/>
              </w:rPr>
            </w:pPr>
            <w:r>
              <w:rPr>
                <w:rFonts w:hint="eastAsia" w:ascii="宋体" w:hAnsi="宋体" w:cs="宋体"/>
                <w:color w:val="000000"/>
                <w:sz w:val="24"/>
                <w:lang w:bidi="ar"/>
              </w:rPr>
              <w:t>按时保质完成南京市江宁区交通运输局安排的其它工作。</w:t>
            </w:r>
          </w:p>
        </w:tc>
        <w:tc>
          <w:tcPr>
            <w:tcW w:w="3081" w:type="dxa"/>
            <w:noWrap w:val="0"/>
            <w:vAlign w:val="center"/>
          </w:tcPr>
          <w:p w14:paraId="6ADB3F72">
            <w:pPr>
              <w:widowControl/>
              <w:jc w:val="center"/>
              <w:rPr>
                <w:sz w:val="24"/>
              </w:rPr>
            </w:pPr>
            <w:r>
              <w:rPr>
                <w:rFonts w:hint="eastAsia" w:ascii="宋体" w:hAnsi="宋体" w:cs="宋体"/>
                <w:color w:val="000000"/>
                <w:sz w:val="24"/>
                <w:lang w:bidi="ar"/>
              </w:rPr>
              <w:t>报表、材料等工作不及时一次扣1分，未按要求填报或质量不高一次扣1分。</w:t>
            </w:r>
          </w:p>
        </w:tc>
      </w:tr>
      <w:tr w14:paraId="59888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1689" w:type="dxa"/>
            <w:noWrap w:val="0"/>
            <w:vAlign w:val="center"/>
          </w:tcPr>
          <w:p w14:paraId="78F0C3C7">
            <w:pPr>
              <w:widowControl/>
              <w:jc w:val="center"/>
              <w:rPr>
                <w:sz w:val="24"/>
              </w:rPr>
            </w:pPr>
            <w:r>
              <w:rPr>
                <w:rFonts w:hint="eastAsia" w:ascii="宋体" w:hAnsi="宋体" w:cs="宋体"/>
                <w:color w:val="000000"/>
                <w:sz w:val="24"/>
                <w:lang w:bidi="ar"/>
              </w:rPr>
              <w:t>总分</w:t>
            </w:r>
          </w:p>
        </w:tc>
        <w:tc>
          <w:tcPr>
            <w:tcW w:w="840" w:type="dxa"/>
            <w:noWrap w:val="0"/>
            <w:vAlign w:val="center"/>
          </w:tcPr>
          <w:p w14:paraId="79D3CAD7">
            <w:pPr>
              <w:widowControl/>
              <w:jc w:val="center"/>
              <w:rPr>
                <w:sz w:val="24"/>
              </w:rPr>
            </w:pPr>
            <w:r>
              <w:rPr>
                <w:rFonts w:hint="eastAsia" w:ascii="宋体" w:hAnsi="宋体" w:cs="宋体"/>
                <w:color w:val="000000"/>
                <w:sz w:val="24"/>
                <w:lang w:bidi="ar"/>
              </w:rPr>
              <w:t>100分</w:t>
            </w:r>
          </w:p>
        </w:tc>
        <w:tc>
          <w:tcPr>
            <w:tcW w:w="4137" w:type="dxa"/>
            <w:noWrap w:val="0"/>
            <w:vAlign w:val="center"/>
          </w:tcPr>
          <w:p w14:paraId="542EA6B2">
            <w:pPr>
              <w:jc w:val="center"/>
              <w:rPr>
                <w:sz w:val="24"/>
              </w:rPr>
            </w:pPr>
          </w:p>
        </w:tc>
        <w:tc>
          <w:tcPr>
            <w:tcW w:w="3081" w:type="dxa"/>
            <w:noWrap w:val="0"/>
            <w:vAlign w:val="center"/>
          </w:tcPr>
          <w:p w14:paraId="2F77E409">
            <w:pPr>
              <w:jc w:val="center"/>
              <w:rPr>
                <w:sz w:val="24"/>
              </w:rPr>
            </w:pPr>
          </w:p>
        </w:tc>
      </w:tr>
    </w:tbl>
    <w:p w14:paraId="1A6497B0">
      <w:pPr>
        <w:rPr>
          <w:rFonts w:hint="eastAsia" w:ascii="宋体" w:hAnsi="宋体" w:eastAsia="宋体" w:cs="宋体"/>
          <w:b/>
          <w:bCs/>
          <w:sz w:val="28"/>
          <w:szCs w:val="28"/>
          <w:highlight w:val="none"/>
        </w:rPr>
      </w:pPr>
      <w:r>
        <w:rPr>
          <w:rFonts w:hint="eastAsia" w:ascii="黑体" w:eastAsia="黑体"/>
          <w:sz w:val="48"/>
          <w:szCs w:val="48"/>
        </w:rPr>
        <w:br w:type="page" w:clear="all"/>
      </w:r>
    </w:p>
    <w:p w14:paraId="65A161C0">
      <w:pPr>
        <w:pStyle w:val="41"/>
        <w:widowControl/>
        <w:spacing w:before="156" w:after="156" w:line="460" w:lineRule="exact"/>
        <w:ind w:left="1455" w:hanging="1455"/>
        <w:contextualSpacing/>
        <w:jc w:val="center"/>
        <w:outlineLvl w:val="0"/>
        <w:rPr>
          <w:rFonts w:hint="eastAsia" w:ascii="宋体" w:hAnsi="宋体" w:eastAsia="宋体" w:cs="Times New Roman"/>
          <w:b/>
          <w:sz w:val="36"/>
          <w:szCs w:val="30"/>
          <w:lang w:val="zh-CN" w:eastAsia="zh-CN" w:bidi="en-US"/>
        </w:rPr>
      </w:pPr>
      <w:r>
        <w:rPr>
          <w:rFonts w:hint="eastAsia" w:ascii="宋体" w:hAnsi="宋体" w:eastAsia="宋体" w:cs="Times New Roman"/>
          <w:b/>
          <w:sz w:val="36"/>
          <w:szCs w:val="30"/>
          <w:lang w:val="zh-CN" w:eastAsia="zh-CN" w:bidi="en-US"/>
        </w:rPr>
        <w:t>第</w:t>
      </w:r>
      <w:r>
        <w:rPr>
          <w:rFonts w:hint="eastAsia" w:ascii="宋体" w:hAnsi="宋体" w:eastAsia="宋体" w:cs="Times New Roman"/>
          <w:b/>
          <w:sz w:val="36"/>
          <w:szCs w:val="30"/>
          <w:lang w:val="en-US" w:eastAsia="zh-CN" w:bidi="en-US"/>
        </w:rPr>
        <w:t>六</w:t>
      </w:r>
      <w:r>
        <w:rPr>
          <w:rFonts w:hint="eastAsia" w:ascii="宋体" w:hAnsi="宋体" w:eastAsia="宋体" w:cs="Times New Roman"/>
          <w:b/>
          <w:sz w:val="36"/>
          <w:szCs w:val="30"/>
          <w:lang w:val="zh-CN" w:eastAsia="zh-CN" w:bidi="en-US"/>
        </w:rPr>
        <w:t>章 投标文件格式及附件</w:t>
      </w:r>
    </w:p>
    <w:p w14:paraId="140BA8DF">
      <w:pPr>
        <w:rPr>
          <w:rFonts w:hint="eastAsia"/>
        </w:rPr>
      </w:pPr>
    </w:p>
    <w:p w14:paraId="16A3D7F1">
      <w:pPr>
        <w:jc w:val="center"/>
        <w:rPr>
          <w:rFonts w:hint="eastAsia" w:ascii="宋体" w:hAnsi="宋体" w:cs="宋体"/>
          <w:b/>
          <w:szCs w:val="21"/>
        </w:rPr>
      </w:pPr>
    </w:p>
    <w:p w14:paraId="1E55A07C">
      <w:pPr>
        <w:jc w:val="center"/>
        <w:rPr>
          <w:rFonts w:hint="eastAsia" w:ascii="宋体" w:hAnsi="宋体" w:cs="宋体"/>
          <w:b/>
          <w:sz w:val="36"/>
          <w:szCs w:val="36"/>
        </w:rPr>
      </w:pPr>
      <w:r>
        <w:rPr>
          <w:rFonts w:hint="eastAsia" w:ascii="宋体" w:hAnsi="宋体" w:cs="宋体"/>
          <w:b/>
          <w:sz w:val="36"/>
          <w:szCs w:val="36"/>
        </w:rPr>
        <w:t>投  标  文  件</w:t>
      </w:r>
    </w:p>
    <w:p w14:paraId="2EC795C8">
      <w:pPr>
        <w:ind w:firstLine="3708"/>
        <w:rPr>
          <w:rFonts w:hint="eastAsia" w:ascii="宋体" w:hAnsi="宋体" w:cs="宋体"/>
          <w:b/>
          <w:sz w:val="36"/>
          <w:szCs w:val="36"/>
        </w:rPr>
      </w:pPr>
    </w:p>
    <w:p w14:paraId="18452695">
      <w:pPr>
        <w:jc w:val="center"/>
        <w:rPr>
          <w:rFonts w:hint="eastAsia" w:ascii="宋体" w:hAnsi="宋体" w:cs="宋体"/>
          <w:b/>
          <w:sz w:val="36"/>
          <w:szCs w:val="36"/>
        </w:rPr>
      </w:pPr>
    </w:p>
    <w:p w14:paraId="3A23FCA5">
      <w:pPr>
        <w:jc w:val="center"/>
        <w:rPr>
          <w:rFonts w:hint="eastAsia" w:ascii="宋体" w:hAnsi="宋体" w:cs="宋体"/>
          <w:b/>
          <w:sz w:val="36"/>
          <w:szCs w:val="36"/>
        </w:rPr>
      </w:pPr>
    </w:p>
    <w:p w14:paraId="10E6857C">
      <w:pPr>
        <w:jc w:val="center"/>
        <w:rPr>
          <w:rFonts w:hint="eastAsia" w:ascii="宋体" w:hAnsi="宋体" w:cs="宋体"/>
          <w:b/>
          <w:sz w:val="36"/>
          <w:szCs w:val="36"/>
        </w:rPr>
      </w:pPr>
    </w:p>
    <w:p w14:paraId="5C0DA7B9">
      <w:pPr>
        <w:jc w:val="center"/>
        <w:rPr>
          <w:rFonts w:hint="eastAsia" w:ascii="宋体" w:hAnsi="宋体" w:cs="宋体"/>
          <w:b/>
          <w:sz w:val="36"/>
          <w:szCs w:val="36"/>
        </w:rPr>
      </w:pPr>
    </w:p>
    <w:p w14:paraId="42F1B0A5">
      <w:pPr>
        <w:ind w:firstLine="1084"/>
        <w:rPr>
          <w:rFonts w:hint="eastAsia" w:ascii="宋体" w:hAnsi="宋体" w:cs="宋体"/>
          <w:b/>
          <w:sz w:val="36"/>
          <w:szCs w:val="36"/>
        </w:rPr>
      </w:pPr>
      <w:r>
        <w:rPr>
          <w:rFonts w:hint="eastAsia" w:ascii="宋体" w:hAnsi="宋体" w:cs="宋体"/>
          <w:b/>
          <w:sz w:val="36"/>
          <w:szCs w:val="36"/>
        </w:rPr>
        <w:t xml:space="preserve">项 目 编号： </w:t>
      </w:r>
      <w:r>
        <w:rPr>
          <w:rFonts w:hint="eastAsia" w:ascii="宋体" w:hAnsi="宋体" w:cs="宋体"/>
          <w:b/>
          <w:sz w:val="36"/>
          <w:szCs w:val="36"/>
          <w:u w:val="single"/>
        </w:rPr>
        <w:t xml:space="preserve">               </w:t>
      </w:r>
    </w:p>
    <w:p w14:paraId="13898330">
      <w:pPr>
        <w:ind w:firstLine="1084"/>
        <w:rPr>
          <w:rFonts w:hint="eastAsia" w:ascii="宋体" w:hAnsi="宋体" w:cs="宋体"/>
          <w:b/>
          <w:sz w:val="36"/>
          <w:szCs w:val="36"/>
          <w:u w:val="single"/>
        </w:rPr>
      </w:pPr>
      <w:r>
        <w:rPr>
          <w:rFonts w:hint="eastAsia" w:ascii="宋体" w:hAnsi="宋体" w:cs="宋体"/>
          <w:b/>
          <w:sz w:val="36"/>
          <w:szCs w:val="36"/>
        </w:rPr>
        <w:t xml:space="preserve">项 目 名称： </w:t>
      </w:r>
      <w:r>
        <w:rPr>
          <w:rFonts w:hint="eastAsia" w:ascii="宋体" w:hAnsi="宋体" w:cs="宋体"/>
          <w:b/>
          <w:sz w:val="36"/>
          <w:szCs w:val="36"/>
          <w:u w:val="single"/>
        </w:rPr>
        <w:t xml:space="preserve">               </w:t>
      </w:r>
    </w:p>
    <w:p w14:paraId="65711AC7">
      <w:pPr>
        <w:ind w:firstLine="1084"/>
        <w:rPr>
          <w:rFonts w:hint="eastAsia" w:ascii="宋体" w:hAnsi="宋体" w:cs="宋体"/>
          <w:b/>
          <w:sz w:val="36"/>
          <w:szCs w:val="36"/>
          <w:u w:val="single"/>
        </w:rPr>
      </w:pPr>
      <w:r>
        <w:rPr>
          <w:rFonts w:hint="eastAsia" w:ascii="宋体" w:hAnsi="宋体" w:cs="宋体"/>
          <w:b/>
          <w:sz w:val="36"/>
          <w:szCs w:val="36"/>
        </w:rPr>
        <w:t xml:space="preserve">标      段： </w:t>
      </w:r>
      <w:r>
        <w:rPr>
          <w:rFonts w:hint="eastAsia" w:ascii="宋体" w:hAnsi="宋体" w:cs="宋体"/>
          <w:b/>
          <w:sz w:val="36"/>
          <w:szCs w:val="36"/>
          <w:u w:val="single"/>
        </w:rPr>
        <w:t xml:space="preserve">               </w:t>
      </w:r>
    </w:p>
    <w:p w14:paraId="5A6C27D5">
      <w:pPr>
        <w:rPr>
          <w:rFonts w:hint="eastAsia" w:ascii="宋体" w:hAnsi="宋体" w:cs="宋体"/>
          <w:b/>
          <w:sz w:val="36"/>
          <w:szCs w:val="36"/>
        </w:rPr>
      </w:pPr>
    </w:p>
    <w:p w14:paraId="38843EAF">
      <w:pPr>
        <w:rPr>
          <w:rFonts w:hint="eastAsia" w:ascii="宋体" w:hAnsi="宋体" w:cs="宋体"/>
          <w:b/>
          <w:sz w:val="36"/>
          <w:szCs w:val="36"/>
        </w:rPr>
      </w:pPr>
    </w:p>
    <w:p w14:paraId="6A503A2D">
      <w:pPr>
        <w:rPr>
          <w:rFonts w:hint="eastAsia" w:ascii="宋体" w:hAnsi="宋体" w:cs="宋体"/>
          <w:b/>
          <w:sz w:val="36"/>
          <w:szCs w:val="36"/>
        </w:rPr>
      </w:pPr>
    </w:p>
    <w:p w14:paraId="4ECE764A">
      <w:pPr>
        <w:rPr>
          <w:rFonts w:hint="eastAsia" w:ascii="宋体" w:hAnsi="宋体" w:cs="宋体"/>
          <w:b/>
          <w:sz w:val="36"/>
          <w:szCs w:val="36"/>
        </w:rPr>
      </w:pPr>
    </w:p>
    <w:p w14:paraId="0A3B2277">
      <w:pPr>
        <w:rPr>
          <w:rFonts w:hint="eastAsia" w:ascii="宋体" w:hAnsi="宋体" w:cs="宋体"/>
          <w:b/>
          <w:sz w:val="36"/>
          <w:szCs w:val="36"/>
        </w:rPr>
      </w:pPr>
    </w:p>
    <w:p w14:paraId="34033FF8">
      <w:pPr>
        <w:rPr>
          <w:rFonts w:hint="eastAsia" w:ascii="宋体" w:hAnsi="宋体" w:cs="宋体"/>
          <w:b/>
          <w:sz w:val="36"/>
          <w:szCs w:val="36"/>
          <w:u w:val="single"/>
        </w:rPr>
      </w:pPr>
      <w:r>
        <w:rPr>
          <w:rFonts w:hint="eastAsia" w:ascii="宋体" w:hAnsi="宋体" w:cs="宋体"/>
          <w:b/>
          <w:sz w:val="36"/>
          <w:szCs w:val="36"/>
        </w:rPr>
        <w:t xml:space="preserve">       供应商名称 ：</w:t>
      </w:r>
      <w:r>
        <w:rPr>
          <w:rFonts w:hint="eastAsia" w:ascii="宋体" w:hAnsi="宋体" w:cs="宋体"/>
          <w:b/>
          <w:sz w:val="36"/>
          <w:szCs w:val="36"/>
          <w:u w:val="single"/>
        </w:rPr>
        <w:t xml:space="preserve">               </w:t>
      </w:r>
    </w:p>
    <w:p w14:paraId="70380AE9">
      <w:pPr>
        <w:rPr>
          <w:rFonts w:hint="eastAsia" w:ascii="宋体" w:hAnsi="宋体" w:cs="宋体"/>
          <w:b/>
          <w:sz w:val="36"/>
          <w:szCs w:val="36"/>
        </w:rPr>
      </w:pPr>
      <w:r>
        <w:rPr>
          <w:rFonts w:hint="eastAsia" w:ascii="宋体" w:hAnsi="宋体" w:cs="宋体"/>
          <w:b/>
          <w:sz w:val="36"/>
          <w:szCs w:val="36"/>
        </w:rPr>
        <w:t xml:space="preserve">       日      期 ：</w:t>
      </w:r>
      <w:r>
        <w:rPr>
          <w:rFonts w:hint="eastAsia" w:ascii="宋体" w:hAnsi="宋体" w:cs="宋体"/>
          <w:b/>
          <w:sz w:val="36"/>
          <w:szCs w:val="36"/>
          <w:u w:val="single"/>
        </w:rPr>
        <w:t xml:space="preserve">               </w:t>
      </w:r>
    </w:p>
    <w:p w14:paraId="7FA7B0BF">
      <w:pPr>
        <w:rPr>
          <w:rFonts w:hint="eastAsia"/>
        </w:rPr>
      </w:pPr>
    </w:p>
    <w:p w14:paraId="504ED6A3">
      <w:pPr>
        <w:rPr>
          <w:rFonts w:hint="eastAsia"/>
        </w:rPr>
      </w:pPr>
      <w:r>
        <w:rPr>
          <w:rFonts w:hint="eastAsia" w:ascii="宋体" w:hAnsi="宋体" w:cs="宋体"/>
          <w:b/>
          <w:bCs/>
          <w:sz w:val="36"/>
          <w:szCs w:val="36"/>
        </w:rPr>
        <w:br w:type="page" w:clear="all"/>
      </w:r>
      <w:bookmarkStart w:id="3" w:name="_Toc489655320"/>
    </w:p>
    <w:p w14:paraId="06451539">
      <w:pPr>
        <w:jc w:val="center"/>
        <w:rPr>
          <w:rFonts w:hint="eastAsia"/>
          <w:b/>
          <w:bCs/>
        </w:rPr>
      </w:pPr>
      <w:r>
        <w:rPr>
          <w:rFonts w:hint="eastAsia"/>
          <w:b/>
          <w:bCs/>
          <w:lang w:eastAsia="zh-CN"/>
        </w:rPr>
        <w:t>投标文件</w:t>
      </w:r>
      <w:r>
        <w:rPr>
          <w:rFonts w:hint="eastAsia"/>
          <w:b/>
          <w:bCs/>
        </w:rPr>
        <w:t>主要目录</w:t>
      </w:r>
      <w:bookmarkEnd w:id="3"/>
      <w:r>
        <w:rPr>
          <w:rFonts w:hint="eastAsia"/>
          <w:b/>
          <w:bCs/>
        </w:rPr>
        <w:t>及相关证明材料格式、附件</w:t>
      </w:r>
    </w:p>
    <w:p w14:paraId="2C71578E">
      <w:pPr>
        <w:spacing w:line="360" w:lineRule="auto"/>
        <w:rPr>
          <w:rFonts w:hint="eastAsia" w:ascii="宋体" w:hAnsi="宋体" w:cs="宋体"/>
          <w:szCs w:val="21"/>
        </w:rPr>
      </w:pPr>
    </w:p>
    <w:p w14:paraId="3CE8E713">
      <w:pPr>
        <w:spacing w:line="360" w:lineRule="auto"/>
        <w:ind w:left="1560"/>
        <w:rPr>
          <w:rFonts w:hint="eastAsia" w:ascii="宋体" w:hAnsi="宋体" w:cs="宋体"/>
          <w:szCs w:val="21"/>
        </w:rPr>
      </w:pPr>
      <w:r>
        <w:rPr>
          <w:rFonts w:hint="eastAsia" w:ascii="宋体" w:hAnsi="宋体" w:cs="宋体"/>
          <w:szCs w:val="21"/>
        </w:rPr>
        <w:t>目录一、投标申请及声明</w:t>
      </w:r>
    </w:p>
    <w:p w14:paraId="4B645497">
      <w:pPr>
        <w:spacing w:line="360" w:lineRule="auto"/>
        <w:ind w:left="1560"/>
        <w:rPr>
          <w:rFonts w:hint="eastAsia" w:ascii="宋体" w:hAnsi="宋体" w:cs="宋体"/>
          <w:szCs w:val="21"/>
        </w:rPr>
      </w:pPr>
      <w:r>
        <w:rPr>
          <w:rFonts w:hint="eastAsia" w:ascii="宋体" w:hAnsi="宋体" w:cs="宋体"/>
          <w:szCs w:val="21"/>
        </w:rPr>
        <w:t>目录二、法定代表人授权书</w:t>
      </w:r>
    </w:p>
    <w:p w14:paraId="2E7FCB18">
      <w:pPr>
        <w:spacing w:line="360" w:lineRule="auto"/>
        <w:ind w:left="1560"/>
        <w:rPr>
          <w:rFonts w:hint="eastAsia" w:ascii="宋体" w:hAnsi="宋体" w:cs="宋体"/>
          <w:szCs w:val="21"/>
        </w:rPr>
      </w:pPr>
      <w:r>
        <w:rPr>
          <w:rFonts w:hint="eastAsia" w:ascii="宋体" w:hAnsi="宋体" w:cs="宋体"/>
          <w:szCs w:val="21"/>
        </w:rPr>
        <w:t>目录三、开标记录一览表</w:t>
      </w:r>
    </w:p>
    <w:p w14:paraId="21F622B7">
      <w:pPr>
        <w:spacing w:line="360" w:lineRule="auto"/>
        <w:ind w:left="1560"/>
        <w:rPr>
          <w:rFonts w:hint="eastAsia" w:ascii="宋体" w:hAnsi="宋体" w:cs="宋体"/>
          <w:szCs w:val="21"/>
        </w:rPr>
      </w:pPr>
      <w:r>
        <w:rPr>
          <w:rFonts w:hint="eastAsia" w:ascii="宋体" w:hAnsi="宋体" w:cs="宋体"/>
          <w:szCs w:val="21"/>
        </w:rPr>
        <w:t>目录四、分项报价表格式</w:t>
      </w:r>
    </w:p>
    <w:p w14:paraId="08E8F861">
      <w:pPr>
        <w:spacing w:line="360" w:lineRule="auto"/>
        <w:ind w:left="1560"/>
        <w:rPr>
          <w:rFonts w:hint="eastAsia" w:ascii="宋体" w:hAnsi="宋体" w:cs="宋体"/>
          <w:szCs w:val="21"/>
        </w:rPr>
      </w:pPr>
      <w:r>
        <w:rPr>
          <w:rFonts w:hint="eastAsia" w:ascii="宋体" w:hAnsi="宋体" w:cs="宋体"/>
          <w:szCs w:val="21"/>
        </w:rPr>
        <w:t>目录五、资格证明文件</w:t>
      </w:r>
    </w:p>
    <w:p w14:paraId="60565025">
      <w:pPr>
        <w:spacing w:line="360" w:lineRule="auto"/>
        <w:ind w:left="1560"/>
        <w:rPr>
          <w:rFonts w:hint="eastAsia" w:ascii="宋体" w:hAnsi="宋体" w:cs="宋体"/>
          <w:szCs w:val="21"/>
        </w:rPr>
      </w:pPr>
      <w:r>
        <w:rPr>
          <w:rFonts w:hint="eastAsia" w:ascii="宋体" w:hAnsi="宋体" w:cs="宋体"/>
          <w:szCs w:val="21"/>
        </w:rPr>
        <w:t>目录六、商务条款偏离表</w:t>
      </w:r>
    </w:p>
    <w:p w14:paraId="5E56689E">
      <w:pPr>
        <w:spacing w:line="360" w:lineRule="auto"/>
        <w:ind w:left="1560"/>
        <w:rPr>
          <w:rFonts w:hint="eastAsia" w:ascii="宋体" w:hAnsi="宋体" w:cs="宋体"/>
          <w:szCs w:val="21"/>
        </w:rPr>
      </w:pPr>
      <w:r>
        <w:rPr>
          <w:rFonts w:hint="eastAsia" w:ascii="宋体" w:hAnsi="宋体" w:cs="宋体"/>
          <w:szCs w:val="21"/>
        </w:rPr>
        <w:t>目录七、技术条款偏离表</w:t>
      </w:r>
    </w:p>
    <w:p w14:paraId="6F65693F">
      <w:pPr>
        <w:spacing w:line="360" w:lineRule="auto"/>
        <w:ind w:left="1560"/>
        <w:rPr>
          <w:rFonts w:hint="eastAsia" w:ascii="宋体" w:hAnsi="宋体" w:cs="宋体"/>
          <w:szCs w:val="21"/>
        </w:rPr>
      </w:pPr>
      <w:r>
        <w:rPr>
          <w:rFonts w:hint="eastAsia" w:ascii="宋体" w:hAnsi="宋体" w:cs="宋体"/>
          <w:szCs w:val="21"/>
        </w:rPr>
        <w:t>目录八、养护设备设施</w:t>
      </w:r>
    </w:p>
    <w:p w14:paraId="76A1C272">
      <w:pPr>
        <w:spacing w:line="360" w:lineRule="auto"/>
        <w:ind w:left="1560"/>
        <w:rPr>
          <w:rFonts w:hint="eastAsia" w:ascii="宋体" w:hAnsi="宋体" w:cs="宋体"/>
          <w:szCs w:val="21"/>
        </w:rPr>
      </w:pPr>
      <w:r>
        <w:rPr>
          <w:rFonts w:hint="eastAsia" w:ascii="宋体" w:hAnsi="宋体" w:cs="宋体"/>
          <w:szCs w:val="21"/>
        </w:rPr>
        <w:t>目录九、</w:t>
      </w:r>
      <w:r>
        <w:rPr>
          <w:rFonts w:hint="eastAsia" w:ascii="宋体" w:hAnsi="宋体" w:cs="宋体"/>
          <w:b w:val="0"/>
          <w:sz w:val="21"/>
          <w:szCs w:val="21"/>
        </w:rPr>
        <w:t>拟参与本项目</w:t>
      </w:r>
      <w:r>
        <w:rPr>
          <w:rFonts w:hint="eastAsia" w:ascii="宋体" w:hAnsi="宋体" w:cs="宋体"/>
          <w:b w:val="0"/>
          <w:bCs w:val="0"/>
          <w:sz w:val="21"/>
          <w:szCs w:val="21"/>
        </w:rPr>
        <w:t>技术人员</w:t>
      </w:r>
    </w:p>
    <w:p w14:paraId="41F6348E">
      <w:pPr>
        <w:spacing w:line="360" w:lineRule="auto"/>
        <w:ind w:left="1560"/>
        <w:rPr>
          <w:rFonts w:hint="eastAsia" w:ascii="宋体" w:hAnsi="宋体" w:cs="宋体"/>
          <w:b w:val="0"/>
          <w:bCs w:val="0"/>
          <w:szCs w:val="21"/>
        </w:rPr>
      </w:pPr>
      <w:r>
        <w:rPr>
          <w:rFonts w:hint="eastAsia" w:ascii="宋体" w:hAnsi="宋体" w:cs="宋体"/>
          <w:szCs w:val="21"/>
        </w:rPr>
        <w:t>目录十</w:t>
      </w:r>
      <w:r>
        <w:rPr>
          <w:rFonts w:hint="eastAsia" w:ascii="宋体" w:hAnsi="宋体" w:cs="宋体"/>
          <w:b w:val="0"/>
          <w:bCs w:val="0"/>
          <w:szCs w:val="21"/>
        </w:rPr>
        <w:t>、</w:t>
      </w:r>
      <w:r>
        <w:rPr>
          <w:rFonts w:hint="eastAsia" w:ascii="宋体" w:hAnsi="宋体" w:cs="宋体"/>
          <w:b w:val="0"/>
          <w:bCs w:val="0"/>
          <w:szCs w:val="21"/>
          <w:lang w:val="en-US" w:eastAsia="zh-CN"/>
        </w:rPr>
        <w:t>企业</w:t>
      </w:r>
      <w:r>
        <w:rPr>
          <w:rFonts w:hint="eastAsia" w:ascii="宋体" w:hAnsi="宋体" w:cs="宋体"/>
          <w:b w:val="0"/>
          <w:bCs w:val="0"/>
          <w:szCs w:val="21"/>
        </w:rPr>
        <w:t>业绩</w:t>
      </w:r>
    </w:p>
    <w:p w14:paraId="436156CB">
      <w:pPr>
        <w:spacing w:line="360" w:lineRule="auto"/>
        <w:ind w:left="1560"/>
        <w:rPr>
          <w:rFonts w:hint="eastAsia" w:ascii="宋体" w:hAnsi="宋体" w:cs="宋体"/>
          <w:b w:val="0"/>
          <w:bCs w:val="0"/>
          <w:szCs w:val="21"/>
        </w:rPr>
      </w:pPr>
      <w:r>
        <w:rPr>
          <w:rFonts w:hint="eastAsia" w:ascii="宋体" w:hAnsi="宋体" w:cs="宋体"/>
          <w:b w:val="0"/>
          <w:bCs w:val="0"/>
          <w:szCs w:val="21"/>
        </w:rPr>
        <w:t>目录十一、</w:t>
      </w:r>
      <w:r>
        <w:rPr>
          <w:rFonts w:hint="eastAsia" w:ascii="宋体" w:hAnsi="宋体" w:eastAsia="宋体" w:cs="宋体"/>
          <w:b w:val="0"/>
          <w:sz w:val="21"/>
          <w:szCs w:val="21"/>
          <w:lang w:val="zh-CN" w:bidi="en-US"/>
        </w:rPr>
        <w:t>工作实施方案</w:t>
      </w:r>
      <w:r>
        <w:rPr>
          <w:rFonts w:hint="eastAsia" w:ascii="宋体" w:hAnsi="宋体" w:cs="宋体"/>
          <w:b w:val="0"/>
          <w:bCs w:val="0"/>
          <w:szCs w:val="21"/>
        </w:rPr>
        <w:t xml:space="preserve"> </w:t>
      </w:r>
    </w:p>
    <w:p w14:paraId="57B6F5C0">
      <w:pPr>
        <w:spacing w:line="360" w:lineRule="auto"/>
        <w:ind w:left="1560"/>
        <w:rPr>
          <w:rFonts w:hint="eastAsia" w:ascii="宋体" w:hAnsi="宋体" w:cs="宋体"/>
          <w:b w:val="0"/>
          <w:bCs w:val="0"/>
          <w:szCs w:val="21"/>
        </w:rPr>
      </w:pPr>
      <w:r>
        <w:rPr>
          <w:rFonts w:hint="eastAsia" w:ascii="宋体" w:hAnsi="宋体" w:cs="宋体"/>
          <w:b w:val="0"/>
          <w:bCs w:val="0"/>
          <w:szCs w:val="21"/>
        </w:rPr>
        <w:t>目录十二、</w:t>
      </w:r>
      <w:r>
        <w:rPr>
          <w:rFonts w:hint="eastAsia" w:ascii="宋体" w:hAnsi="宋体" w:cs="宋体"/>
          <w:b w:val="0"/>
          <w:bCs w:val="0"/>
          <w:color w:val="000000"/>
          <w:szCs w:val="21"/>
          <w:lang w:val="en-US" w:eastAsia="zh-CN"/>
        </w:rPr>
        <w:t>承诺书</w:t>
      </w:r>
      <w:r>
        <w:rPr>
          <w:rFonts w:hint="eastAsia" w:ascii="宋体" w:hAnsi="宋体" w:cs="宋体"/>
          <w:b w:val="0"/>
          <w:bCs w:val="0"/>
          <w:szCs w:val="21"/>
        </w:rPr>
        <w:t xml:space="preserve"> </w:t>
      </w:r>
    </w:p>
    <w:p w14:paraId="7F3BD557">
      <w:pPr>
        <w:spacing w:line="360" w:lineRule="auto"/>
        <w:ind w:left="1560"/>
        <w:rPr>
          <w:rFonts w:hint="eastAsia" w:ascii="宋体" w:hAnsi="宋体" w:cs="宋体"/>
          <w:b w:val="0"/>
          <w:bCs w:val="0"/>
          <w:szCs w:val="21"/>
        </w:rPr>
      </w:pPr>
      <w:r>
        <w:rPr>
          <w:rFonts w:hint="eastAsia" w:ascii="宋体" w:hAnsi="宋体" w:cs="宋体"/>
          <w:b w:val="0"/>
          <w:bCs w:val="0"/>
          <w:szCs w:val="21"/>
        </w:rPr>
        <w:t>目录十三、投标需要的其他证明文件及材料</w:t>
      </w:r>
    </w:p>
    <w:p w14:paraId="71A69E5B">
      <w:pPr>
        <w:spacing w:line="360" w:lineRule="auto"/>
        <w:ind w:left="1560"/>
        <w:rPr>
          <w:rFonts w:hint="eastAsia" w:ascii="宋体" w:hAnsi="宋体" w:cs="宋体"/>
          <w:szCs w:val="21"/>
        </w:rPr>
      </w:pPr>
      <w:r>
        <w:rPr>
          <w:rFonts w:hint="eastAsia" w:ascii="宋体" w:hAnsi="宋体" w:cs="宋体"/>
          <w:b w:val="0"/>
          <w:bCs w:val="0"/>
          <w:szCs w:val="21"/>
        </w:rPr>
        <w:t>目录十四、相关附件内容</w:t>
      </w:r>
      <w:r>
        <w:rPr>
          <w:rFonts w:hint="eastAsia" w:ascii="宋体" w:hAnsi="宋体" w:cs="宋体"/>
          <w:szCs w:val="21"/>
        </w:rPr>
        <w:t xml:space="preserve"> </w:t>
      </w:r>
    </w:p>
    <w:p w14:paraId="626DBDF6">
      <w:pPr>
        <w:spacing w:line="360" w:lineRule="auto"/>
        <w:ind w:left="1560"/>
        <w:rPr>
          <w:rFonts w:hint="eastAsia" w:ascii="宋体" w:hAnsi="宋体" w:cs="宋体"/>
          <w:szCs w:val="21"/>
        </w:rPr>
      </w:pPr>
      <w:r>
        <w:rPr>
          <w:rFonts w:hint="eastAsia" w:ascii="宋体" w:hAnsi="宋体" w:cs="宋体"/>
          <w:szCs w:val="21"/>
        </w:rPr>
        <w:t xml:space="preserve">    </w:t>
      </w:r>
    </w:p>
    <w:p w14:paraId="5595ABA7">
      <w:pPr>
        <w:spacing w:line="360" w:lineRule="auto"/>
        <w:rPr>
          <w:rFonts w:hint="eastAsia" w:ascii="宋体" w:hAnsi="宋体" w:cs="宋体"/>
          <w:szCs w:val="21"/>
        </w:rPr>
      </w:pPr>
    </w:p>
    <w:p w14:paraId="7A8A356F">
      <w:pPr>
        <w:spacing w:line="360" w:lineRule="auto"/>
        <w:ind w:left="1560"/>
        <w:rPr>
          <w:rFonts w:hint="eastAsia" w:ascii="宋体" w:hAnsi="宋体" w:cs="宋体"/>
          <w:szCs w:val="21"/>
        </w:rPr>
      </w:pPr>
      <w:r>
        <w:rPr>
          <w:rFonts w:hint="eastAsia" w:ascii="宋体" w:hAnsi="宋体" w:cs="宋体"/>
          <w:szCs w:val="21"/>
        </w:rPr>
        <w:t xml:space="preserve">    </w:t>
      </w:r>
    </w:p>
    <w:p w14:paraId="2E55C41F">
      <w:pPr>
        <w:widowControl/>
        <w:spacing w:line="360" w:lineRule="auto"/>
        <w:jc w:val="left"/>
        <w:rPr>
          <w:rFonts w:hint="eastAsia" w:ascii="宋体" w:hAnsi="宋体" w:cs="宋体"/>
          <w:b/>
          <w:color w:val="000000"/>
          <w:szCs w:val="21"/>
          <w:lang w:val="zh-CN"/>
        </w:rPr>
      </w:pPr>
    </w:p>
    <w:p w14:paraId="5AB21AE6">
      <w:pPr>
        <w:pStyle w:val="42"/>
        <w:ind w:firstLine="422"/>
        <w:rPr>
          <w:rFonts w:hint="eastAsia" w:ascii="宋体" w:hAnsi="宋体" w:eastAsia="宋体"/>
          <w:b/>
          <w:color w:val="000000"/>
          <w:sz w:val="21"/>
          <w:szCs w:val="21"/>
        </w:rPr>
      </w:pPr>
    </w:p>
    <w:p w14:paraId="0259FC79">
      <w:pPr>
        <w:pStyle w:val="42"/>
        <w:ind w:firstLine="422"/>
        <w:rPr>
          <w:rFonts w:hint="eastAsia" w:ascii="宋体" w:hAnsi="宋体" w:eastAsia="宋体"/>
          <w:b/>
          <w:color w:val="000000"/>
          <w:sz w:val="21"/>
          <w:szCs w:val="21"/>
        </w:rPr>
      </w:pPr>
    </w:p>
    <w:p w14:paraId="60B8CE6D">
      <w:pPr>
        <w:pStyle w:val="42"/>
        <w:ind w:firstLine="422"/>
        <w:rPr>
          <w:rFonts w:hint="eastAsia" w:ascii="宋体" w:hAnsi="宋体" w:eastAsia="宋体"/>
          <w:b/>
          <w:color w:val="000000"/>
          <w:sz w:val="21"/>
          <w:szCs w:val="21"/>
        </w:rPr>
      </w:pPr>
    </w:p>
    <w:p w14:paraId="330CA35A">
      <w:pPr>
        <w:pStyle w:val="42"/>
        <w:ind w:firstLine="422"/>
        <w:rPr>
          <w:rFonts w:hint="eastAsia" w:ascii="宋体" w:hAnsi="宋体" w:eastAsia="宋体"/>
          <w:b/>
          <w:color w:val="000000"/>
          <w:sz w:val="21"/>
          <w:szCs w:val="21"/>
        </w:rPr>
      </w:pPr>
    </w:p>
    <w:p w14:paraId="1A3D1BD8">
      <w:pPr>
        <w:pStyle w:val="42"/>
        <w:ind w:firstLine="422"/>
        <w:rPr>
          <w:rFonts w:hint="eastAsia" w:ascii="宋体" w:hAnsi="宋体" w:eastAsia="宋体"/>
          <w:b/>
          <w:color w:val="000000"/>
          <w:sz w:val="21"/>
          <w:szCs w:val="21"/>
        </w:rPr>
      </w:pPr>
    </w:p>
    <w:p w14:paraId="0DF3101B">
      <w:pPr>
        <w:pStyle w:val="42"/>
        <w:ind w:firstLine="422"/>
        <w:rPr>
          <w:rFonts w:hint="eastAsia" w:ascii="宋体" w:hAnsi="宋体" w:eastAsia="宋体"/>
          <w:b/>
          <w:color w:val="000000"/>
          <w:sz w:val="21"/>
          <w:szCs w:val="21"/>
        </w:rPr>
      </w:pPr>
    </w:p>
    <w:p w14:paraId="113A3273">
      <w:pPr>
        <w:pStyle w:val="42"/>
        <w:ind w:firstLine="422"/>
        <w:rPr>
          <w:rFonts w:hint="eastAsia" w:ascii="宋体" w:hAnsi="宋体" w:eastAsia="宋体"/>
          <w:b/>
          <w:color w:val="000000"/>
          <w:sz w:val="21"/>
          <w:szCs w:val="21"/>
        </w:rPr>
      </w:pPr>
    </w:p>
    <w:p w14:paraId="4FDED384">
      <w:pPr>
        <w:pStyle w:val="42"/>
        <w:ind w:firstLine="422"/>
        <w:rPr>
          <w:rFonts w:hint="eastAsia" w:ascii="宋体" w:hAnsi="宋体" w:eastAsia="宋体"/>
          <w:b/>
          <w:color w:val="000000"/>
          <w:sz w:val="21"/>
          <w:szCs w:val="21"/>
        </w:rPr>
      </w:pPr>
    </w:p>
    <w:p w14:paraId="0237A918">
      <w:pPr>
        <w:pStyle w:val="42"/>
        <w:ind w:firstLine="422"/>
        <w:rPr>
          <w:rFonts w:hint="eastAsia" w:ascii="宋体" w:hAnsi="宋体" w:eastAsia="宋体"/>
          <w:b/>
          <w:color w:val="000000"/>
          <w:sz w:val="21"/>
          <w:szCs w:val="21"/>
        </w:rPr>
      </w:pPr>
    </w:p>
    <w:p w14:paraId="1487F927">
      <w:pPr>
        <w:pStyle w:val="42"/>
        <w:ind w:firstLine="422"/>
        <w:rPr>
          <w:rFonts w:hint="eastAsia" w:ascii="宋体" w:hAnsi="宋体" w:eastAsia="宋体"/>
          <w:b/>
          <w:color w:val="000000"/>
          <w:sz w:val="21"/>
          <w:szCs w:val="21"/>
        </w:rPr>
      </w:pPr>
    </w:p>
    <w:p w14:paraId="57237874">
      <w:pPr>
        <w:pStyle w:val="42"/>
        <w:ind w:firstLine="422"/>
        <w:rPr>
          <w:rFonts w:hint="eastAsia" w:ascii="宋体" w:hAnsi="宋体" w:eastAsia="宋体"/>
          <w:b/>
          <w:color w:val="000000"/>
          <w:sz w:val="21"/>
          <w:szCs w:val="21"/>
        </w:rPr>
      </w:pPr>
    </w:p>
    <w:p w14:paraId="38D448BB">
      <w:pPr>
        <w:pStyle w:val="42"/>
        <w:ind w:firstLine="422"/>
        <w:rPr>
          <w:rFonts w:hint="eastAsia" w:ascii="宋体" w:hAnsi="宋体" w:eastAsia="宋体"/>
          <w:b/>
          <w:color w:val="000000"/>
          <w:sz w:val="21"/>
          <w:szCs w:val="21"/>
        </w:rPr>
      </w:pPr>
    </w:p>
    <w:p w14:paraId="67B3FF79">
      <w:pPr>
        <w:pStyle w:val="42"/>
        <w:ind w:firstLine="422"/>
        <w:rPr>
          <w:rFonts w:hint="eastAsia" w:ascii="宋体" w:hAnsi="宋体" w:eastAsia="宋体"/>
          <w:b/>
          <w:color w:val="000000"/>
          <w:sz w:val="21"/>
          <w:szCs w:val="21"/>
        </w:rPr>
      </w:pPr>
    </w:p>
    <w:p w14:paraId="7FCB9C50">
      <w:pPr>
        <w:pStyle w:val="42"/>
        <w:ind w:firstLine="422"/>
        <w:rPr>
          <w:rFonts w:hint="eastAsia" w:ascii="宋体" w:hAnsi="宋体" w:eastAsia="宋体"/>
          <w:b/>
          <w:color w:val="000000"/>
          <w:sz w:val="21"/>
          <w:szCs w:val="21"/>
        </w:rPr>
      </w:pPr>
    </w:p>
    <w:p w14:paraId="5FF89F73">
      <w:pPr>
        <w:pStyle w:val="42"/>
        <w:ind w:firstLine="422"/>
        <w:rPr>
          <w:rFonts w:hint="eastAsia" w:ascii="宋体" w:hAnsi="宋体" w:eastAsia="宋体"/>
          <w:b/>
          <w:color w:val="000000"/>
          <w:sz w:val="21"/>
          <w:szCs w:val="21"/>
        </w:rPr>
      </w:pPr>
    </w:p>
    <w:p w14:paraId="1DF5DB10">
      <w:pPr>
        <w:pStyle w:val="42"/>
        <w:ind w:firstLine="422"/>
        <w:rPr>
          <w:rFonts w:hint="eastAsia" w:ascii="宋体" w:hAnsi="宋体" w:eastAsia="宋体"/>
          <w:b/>
          <w:color w:val="000000"/>
          <w:sz w:val="21"/>
          <w:szCs w:val="21"/>
        </w:rPr>
      </w:pPr>
    </w:p>
    <w:p w14:paraId="619B26B4">
      <w:pPr>
        <w:rPr>
          <w:rFonts w:hint="eastAsia" w:ascii="宋体" w:hAnsi="宋体" w:eastAsia="宋体" w:cs="Times New Roman"/>
          <w:b/>
          <w:sz w:val="21"/>
          <w:szCs w:val="21"/>
          <w:lang w:val="zh-CN" w:eastAsia="zh-CN" w:bidi="en-US"/>
        </w:rPr>
      </w:pPr>
      <w:r>
        <w:rPr>
          <w:rFonts w:hint="eastAsia" w:ascii="宋体" w:hAnsi="宋体" w:eastAsia="宋体" w:cs="Times New Roman"/>
          <w:b/>
          <w:sz w:val="21"/>
          <w:szCs w:val="21"/>
          <w:lang w:val="zh-CN" w:eastAsia="zh-CN" w:bidi="en-US"/>
        </w:rPr>
        <w:br w:type="page" w:clear="all"/>
      </w:r>
    </w:p>
    <w:p w14:paraId="5C77848B">
      <w:pPr>
        <w:keepNext w:val="0"/>
        <w:keepLines w:val="0"/>
        <w:pageBreakBefore w:val="0"/>
        <w:widowControl/>
        <w:spacing w:after="0" w:line="360" w:lineRule="auto"/>
        <w:ind w:firstLine="422"/>
        <w:jc w:val="both"/>
        <w:outlineLvl w:val="1"/>
        <w:rPr>
          <w:rFonts w:hint="eastAsia" w:ascii="宋体" w:hAnsi="宋体" w:eastAsia="宋体" w:cs="Times New Roman"/>
          <w:b/>
          <w:sz w:val="22"/>
          <w:szCs w:val="22"/>
          <w:lang w:val="zh-CN" w:eastAsia="zh-CN" w:bidi="en-US"/>
        </w:rPr>
      </w:pPr>
      <w:r>
        <w:rPr>
          <w:rFonts w:hint="eastAsia" w:ascii="宋体" w:hAnsi="宋体" w:eastAsia="宋体" w:cs="Times New Roman"/>
          <w:b/>
          <w:sz w:val="22"/>
          <w:szCs w:val="22"/>
          <w:lang w:val="zh-CN" w:eastAsia="zh-CN" w:bidi="en-US"/>
        </w:rPr>
        <w:t>目录一、投标申请及声明格式</w:t>
      </w:r>
    </w:p>
    <w:p w14:paraId="09CF6D69">
      <w:pPr>
        <w:jc w:val="center"/>
        <w:rPr>
          <w:rFonts w:hint="eastAsia"/>
          <w:b/>
          <w:bCs/>
          <w:sz w:val="22"/>
          <w:szCs w:val="28"/>
          <w:lang w:val="zh-CN" w:eastAsia="zh-CN"/>
        </w:rPr>
      </w:pPr>
      <w:r>
        <w:rPr>
          <w:rFonts w:hint="eastAsia"/>
          <w:b/>
          <w:bCs/>
          <w:sz w:val="22"/>
          <w:szCs w:val="28"/>
          <w:lang w:val="zh-CN" w:eastAsia="zh-CN"/>
        </w:rPr>
        <w:t>投标申请及声明</w:t>
      </w:r>
    </w:p>
    <w:p w14:paraId="2D8B6EE5">
      <w:pPr>
        <w:rPr>
          <w:rFonts w:hint="eastAsia"/>
          <w:sz w:val="22"/>
          <w:szCs w:val="28"/>
          <w:lang w:val="zh-CN"/>
        </w:rPr>
      </w:pPr>
      <w:r>
        <w:rPr>
          <w:rFonts w:hint="eastAsia"/>
          <w:b/>
          <w:bCs/>
          <w:sz w:val="22"/>
          <w:szCs w:val="28"/>
          <w:lang w:val="zh-CN"/>
        </w:rPr>
        <w:t>致南京市江宁区交通运输局：</w:t>
      </w:r>
    </w:p>
    <w:p w14:paraId="323F5A25">
      <w:pPr>
        <w:keepNext w:val="0"/>
        <w:keepLines w:val="0"/>
        <w:pageBreakBefore w:val="0"/>
        <w:widowControl w:val="0"/>
        <w:spacing w:line="360" w:lineRule="auto"/>
        <w:ind w:firstLine="440"/>
        <w:rPr>
          <w:rFonts w:hint="eastAsia" w:ascii="宋体" w:hAnsi="宋体" w:cs="宋体"/>
          <w:color w:val="000000"/>
          <w:sz w:val="22"/>
          <w:szCs w:val="22"/>
          <w:lang w:val="zh-CN"/>
        </w:rPr>
      </w:pPr>
      <w:r>
        <w:rPr>
          <w:rFonts w:hint="eastAsia" w:ascii="宋体" w:hAnsi="宋体" w:cs="宋体"/>
          <w:color w:val="000000"/>
          <w:sz w:val="22"/>
          <w:szCs w:val="22"/>
          <w:lang w:val="zh-CN"/>
        </w:rPr>
        <w:t>根据贵方</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（项目名称）</w:t>
      </w:r>
      <w:r>
        <w:rPr>
          <w:rFonts w:hint="eastAsia" w:ascii="宋体" w:hAnsi="宋体" w:cs="宋体"/>
          <w:b/>
          <w:color w:val="000000"/>
          <w:sz w:val="22"/>
          <w:szCs w:val="22"/>
          <w:u w:val="single"/>
          <w:lang w:val="zh-CN"/>
        </w:rPr>
        <w:t xml:space="preserve">         </w:t>
      </w:r>
      <w:r>
        <w:rPr>
          <w:rFonts w:hint="eastAsia" w:ascii="宋体" w:hAnsi="宋体" w:cs="宋体"/>
          <w:color w:val="000000"/>
          <w:sz w:val="22"/>
          <w:szCs w:val="22"/>
          <w:lang w:val="zh-CN"/>
        </w:rPr>
        <w:t>（项目编号）投标邀请，正式授权下述签字人</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(姓名和职务)代表供应商</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（供应商名称），提交投标文件。</w:t>
      </w:r>
    </w:p>
    <w:p w14:paraId="075DBFB6">
      <w:pPr>
        <w:keepNext w:val="0"/>
        <w:keepLines w:val="0"/>
        <w:pageBreakBefore w:val="0"/>
        <w:widowControl w:val="0"/>
        <w:spacing w:line="360" w:lineRule="auto"/>
        <w:ind w:firstLine="440"/>
        <w:rPr>
          <w:rFonts w:hint="eastAsia" w:ascii="宋体" w:hAnsi="宋体" w:cs="宋体"/>
          <w:color w:val="000000"/>
          <w:sz w:val="22"/>
          <w:szCs w:val="22"/>
          <w:lang w:val="zh-CN"/>
        </w:rPr>
      </w:pPr>
      <w:r>
        <w:rPr>
          <w:rFonts w:hint="eastAsia" w:ascii="宋体" w:hAnsi="宋体" w:cs="宋体"/>
          <w:color w:val="000000"/>
          <w:sz w:val="22"/>
          <w:szCs w:val="22"/>
          <w:lang w:val="zh-CN"/>
        </w:rPr>
        <w:t>据此函，签字人兹宣布声明和承诺如下：</w:t>
      </w:r>
    </w:p>
    <w:p w14:paraId="263047BA">
      <w:pPr>
        <w:spacing w:line="360" w:lineRule="auto"/>
        <w:ind w:firstLine="420"/>
        <w:rPr>
          <w:rFonts w:hint="eastAsia" w:ascii="宋体" w:hAnsi="宋体" w:cs="宋体"/>
          <w:sz w:val="22"/>
          <w:szCs w:val="22"/>
        </w:rPr>
      </w:pPr>
      <w:r>
        <w:rPr>
          <w:rFonts w:hint="eastAsia" w:ascii="宋体" w:hAnsi="宋体" w:cs="宋体"/>
          <w:color w:val="000000"/>
          <w:sz w:val="22"/>
          <w:szCs w:val="22"/>
          <w:lang w:val="zh-CN"/>
        </w:rPr>
        <w:t>1、</w:t>
      </w:r>
      <w:r>
        <w:rPr>
          <w:rFonts w:hint="eastAsia" w:ascii="宋体" w:hAnsi="宋体" w:cs="宋体"/>
          <w:b/>
          <w:color w:val="000000"/>
          <w:sz w:val="22"/>
          <w:szCs w:val="22"/>
          <w:lang w:val="zh-CN"/>
        </w:rPr>
        <w:t>我们的资格条件完全符合政府采购法和本次招标要求</w:t>
      </w:r>
      <w:r>
        <w:rPr>
          <w:rFonts w:hint="eastAsia" w:ascii="宋体" w:hAnsi="宋体" w:cs="宋体"/>
          <w:color w:val="000000"/>
          <w:sz w:val="22"/>
          <w:szCs w:val="22"/>
          <w:lang w:val="zh-CN"/>
        </w:rPr>
        <w:t>，</w:t>
      </w:r>
      <w:r>
        <w:rPr>
          <w:rFonts w:hint="eastAsia" w:ascii="宋体" w:hAnsi="宋体" w:cs="宋体"/>
          <w:color w:val="000000"/>
          <w:sz w:val="22"/>
          <w:szCs w:val="22"/>
        </w:rPr>
        <w:t>我们</w:t>
      </w:r>
      <w:r>
        <w:rPr>
          <w:rFonts w:hint="eastAsia" w:ascii="宋体" w:hAnsi="宋体" w:cs="宋体"/>
          <w:color w:val="000000"/>
          <w:sz w:val="22"/>
          <w:szCs w:val="22"/>
          <w:lang w:val="zh-CN"/>
        </w:rPr>
        <w:t>同意并向贵方提供了与投标有关的所有证据和资料。</w:t>
      </w:r>
    </w:p>
    <w:p w14:paraId="64D5BF10">
      <w:pPr>
        <w:spacing w:line="360" w:lineRule="auto"/>
        <w:ind w:firstLine="420"/>
        <w:rPr>
          <w:rFonts w:hint="eastAsia" w:ascii="宋体" w:hAnsi="宋体" w:cs="宋体"/>
          <w:sz w:val="22"/>
          <w:szCs w:val="22"/>
        </w:rPr>
      </w:pPr>
      <w:r>
        <w:rPr>
          <w:rFonts w:hint="eastAsia" w:ascii="宋体" w:hAnsi="宋体" w:cs="宋体"/>
          <w:sz w:val="22"/>
          <w:szCs w:val="22"/>
        </w:rPr>
        <w:t>2、</w:t>
      </w:r>
      <w:r>
        <w:rPr>
          <w:rFonts w:hint="eastAsia" w:ascii="宋体" w:hAnsi="宋体" w:cs="宋体"/>
          <w:sz w:val="22"/>
          <w:szCs w:val="22"/>
          <w:lang w:val="zh-CN"/>
        </w:rPr>
        <w:t>按招标要求，我们的投标报价为</w:t>
      </w:r>
      <w:r>
        <w:rPr>
          <w:rFonts w:hint="eastAsia" w:ascii="宋体" w:hAnsi="宋体" w:cs="宋体"/>
          <w:b/>
          <w:bCs/>
          <w:sz w:val="22"/>
          <w:szCs w:val="22"/>
          <w:u w:val="single"/>
          <w:lang w:val="zh-CN"/>
        </w:rPr>
        <w:t xml:space="preserve">            </w:t>
      </w:r>
      <w:r>
        <w:rPr>
          <w:rFonts w:hint="eastAsia" w:ascii="宋体" w:hAnsi="宋体" w:cs="宋体"/>
          <w:sz w:val="22"/>
          <w:szCs w:val="22"/>
          <w:lang w:val="zh-CN"/>
        </w:rPr>
        <w:t>元（大写：</w:t>
      </w:r>
      <w:r>
        <w:rPr>
          <w:rFonts w:hint="eastAsia" w:ascii="宋体" w:hAnsi="宋体" w:cs="宋体"/>
          <w:sz w:val="22"/>
          <w:szCs w:val="22"/>
          <w:u w:val="single"/>
          <w:lang w:val="en-US" w:eastAsia="zh-CN"/>
        </w:rPr>
        <w:t xml:space="preserve">            </w:t>
      </w:r>
      <w:r>
        <w:rPr>
          <w:rFonts w:hint="eastAsia" w:ascii="宋体" w:hAnsi="宋体" w:cs="宋体"/>
          <w:sz w:val="22"/>
          <w:szCs w:val="22"/>
          <w:lang w:val="zh-CN"/>
        </w:rPr>
        <w:t>）人民币</w:t>
      </w:r>
      <w:r>
        <w:rPr>
          <w:rFonts w:hint="eastAsia" w:ascii="宋体" w:hAnsi="宋体" w:cs="宋体"/>
          <w:sz w:val="22"/>
          <w:szCs w:val="22"/>
        </w:rPr>
        <w:t>。</w:t>
      </w:r>
    </w:p>
    <w:p w14:paraId="205F43DE">
      <w:pPr>
        <w:keepNext w:val="0"/>
        <w:keepLines w:val="0"/>
        <w:pageBreakBefore w:val="0"/>
        <w:widowControl w:val="0"/>
        <w:spacing w:line="360" w:lineRule="auto"/>
        <w:ind w:firstLine="420"/>
        <w:rPr>
          <w:rFonts w:hint="default" w:ascii="宋体" w:hAnsi="宋体" w:eastAsia="宋体"/>
          <w:sz w:val="22"/>
          <w:szCs w:val="22"/>
          <w:highlight w:val="yellow"/>
          <w:lang w:val="en-US" w:eastAsia="zh-CN"/>
        </w:rPr>
      </w:pPr>
      <w:r>
        <w:rPr>
          <w:rFonts w:hint="eastAsia" w:ascii="宋体" w:hAnsi="宋体" w:eastAsia="宋体"/>
          <w:sz w:val="22"/>
          <w:szCs w:val="22"/>
          <w:lang w:val="en-US"/>
        </w:rPr>
        <w:t>3、</w:t>
      </w:r>
      <w:r>
        <w:rPr>
          <w:rFonts w:hint="eastAsia"/>
          <w:sz w:val="22"/>
          <w:szCs w:val="22"/>
          <w:highlight w:val="none"/>
        </w:rPr>
        <w:t>合同履行期限</w:t>
      </w:r>
      <w:r>
        <w:rPr>
          <w:rFonts w:hint="eastAsia" w:ascii="宋体" w:hAnsi="宋体" w:eastAsia="宋体"/>
          <w:sz w:val="22"/>
          <w:szCs w:val="22"/>
          <w:lang w:val="en-US"/>
        </w:rPr>
        <w:t>：</w:t>
      </w:r>
      <w:r>
        <w:rPr>
          <w:rFonts w:hint="eastAsia" w:ascii="宋体" w:hAnsi="宋体"/>
          <w:sz w:val="22"/>
          <w:szCs w:val="22"/>
          <w:u w:val="single"/>
          <w:lang w:val="en-US" w:eastAsia="zh-CN"/>
        </w:rPr>
        <w:t xml:space="preserve">                              </w:t>
      </w:r>
    </w:p>
    <w:p w14:paraId="069E6CCD">
      <w:pPr>
        <w:spacing w:line="360" w:lineRule="auto"/>
        <w:ind w:firstLine="420"/>
        <w:rPr>
          <w:rFonts w:hint="eastAsia" w:ascii="宋体" w:hAnsi="宋体" w:cs="宋体"/>
          <w:color w:val="000000"/>
          <w:sz w:val="22"/>
          <w:szCs w:val="22"/>
          <w:lang w:val="zh-CN"/>
        </w:rPr>
      </w:pPr>
      <w:r>
        <w:rPr>
          <w:rFonts w:hint="eastAsia" w:ascii="宋体" w:hAnsi="宋体" w:eastAsia="宋体"/>
          <w:sz w:val="22"/>
          <w:szCs w:val="22"/>
          <w:lang w:val="en-US"/>
        </w:rPr>
        <w:t>4、</w:t>
      </w:r>
      <w:r>
        <w:rPr>
          <w:rFonts w:hint="eastAsia" w:ascii="宋体" w:hAnsi="宋体" w:cs="宋体"/>
          <w:sz w:val="22"/>
          <w:szCs w:val="22"/>
          <w:lang w:val="zh-CN"/>
        </w:rPr>
        <w:t>我们已详细审核全部招标文件及其有效补充文件，我们放弃对招标文件任何误解的权利，提交投标文件后，</w:t>
      </w:r>
      <w:r>
        <w:rPr>
          <w:rFonts w:hint="eastAsia" w:ascii="宋体" w:hAnsi="宋体" w:cs="宋体"/>
          <w:b/>
          <w:sz w:val="22"/>
          <w:szCs w:val="22"/>
          <w:lang w:val="zh-CN"/>
        </w:rPr>
        <w:t>不对招标文件本身提出质疑</w:t>
      </w:r>
      <w:r>
        <w:rPr>
          <w:rFonts w:hint="eastAsia" w:ascii="宋体" w:hAnsi="宋体" w:cs="宋体"/>
          <w:sz w:val="22"/>
          <w:szCs w:val="22"/>
          <w:lang w:val="zh-CN"/>
        </w:rPr>
        <w:t>。否则，属于不诚信和故意扰乱政府采购活动行为，我们将无条件接受处罚。</w:t>
      </w:r>
    </w:p>
    <w:p w14:paraId="65841627">
      <w:pPr>
        <w:spacing w:line="360" w:lineRule="auto"/>
        <w:ind w:firstLine="420"/>
        <w:rPr>
          <w:rFonts w:hint="eastAsia" w:ascii="宋体" w:hAnsi="宋体" w:cs="宋体"/>
          <w:color w:val="000000"/>
          <w:sz w:val="22"/>
          <w:szCs w:val="22"/>
          <w:lang w:val="zh-CN"/>
        </w:rPr>
      </w:pPr>
      <w:r>
        <w:rPr>
          <w:rFonts w:hint="eastAsia" w:ascii="宋体" w:hAnsi="宋体" w:cs="宋体"/>
          <w:color w:val="000000"/>
          <w:sz w:val="22"/>
          <w:szCs w:val="22"/>
          <w:lang w:val="en-US" w:eastAsia="zh-CN"/>
        </w:rPr>
        <w:t>5</w:t>
      </w:r>
      <w:r>
        <w:rPr>
          <w:rFonts w:hint="eastAsia" w:ascii="宋体" w:hAnsi="宋体" w:cs="宋体"/>
          <w:color w:val="000000"/>
          <w:sz w:val="22"/>
          <w:szCs w:val="22"/>
          <w:lang w:val="zh-CN"/>
        </w:rPr>
        <w:t>、我们同意从规定的开标日期起遵循本投标文件，并在规定的投标有效期期满之前均具有约束力。</w:t>
      </w:r>
    </w:p>
    <w:p w14:paraId="35D730F1">
      <w:pPr>
        <w:spacing w:line="360" w:lineRule="auto"/>
        <w:ind w:firstLine="420"/>
        <w:rPr>
          <w:rFonts w:hint="eastAsia" w:ascii="宋体" w:hAnsi="宋体" w:cs="宋体"/>
          <w:color w:val="000000"/>
          <w:sz w:val="22"/>
          <w:szCs w:val="22"/>
          <w:lang w:val="zh-CN"/>
        </w:rPr>
      </w:pPr>
      <w:r>
        <w:rPr>
          <w:rFonts w:hint="eastAsia" w:ascii="宋体" w:hAnsi="宋体" w:cs="宋体"/>
          <w:color w:val="000000"/>
          <w:sz w:val="22"/>
          <w:szCs w:val="22"/>
          <w:lang w:val="en-US" w:eastAsia="zh-CN"/>
        </w:rPr>
        <w:t>6</w:t>
      </w:r>
      <w:r>
        <w:rPr>
          <w:rFonts w:hint="eastAsia" w:ascii="宋体" w:hAnsi="宋体" w:cs="宋体"/>
          <w:color w:val="000000"/>
          <w:sz w:val="22"/>
          <w:szCs w:val="22"/>
          <w:lang w:val="zh-CN"/>
        </w:rPr>
        <w:t>、一旦我方中标，我方将根据招标文件的规定严格履行合同，并保证于承诺的时间完成服务的启动/集成、调试等服务，交付采购人验收、使用。</w:t>
      </w:r>
    </w:p>
    <w:p w14:paraId="29BEDE8F">
      <w:pPr>
        <w:spacing w:line="360" w:lineRule="auto"/>
        <w:ind w:firstLine="420"/>
        <w:rPr>
          <w:rFonts w:hint="eastAsia" w:ascii="宋体" w:hAnsi="宋体" w:cs="宋体"/>
          <w:color w:val="000000"/>
          <w:sz w:val="22"/>
          <w:szCs w:val="22"/>
          <w:lang w:val="zh-CN"/>
        </w:rPr>
      </w:pPr>
      <w:r>
        <w:rPr>
          <w:rFonts w:hint="eastAsia" w:ascii="宋体" w:hAnsi="宋体" w:cs="宋体"/>
          <w:color w:val="000000"/>
          <w:sz w:val="22"/>
          <w:szCs w:val="22"/>
          <w:lang w:val="en-US" w:eastAsia="zh-CN"/>
        </w:rPr>
        <w:t>7</w:t>
      </w:r>
      <w:r>
        <w:rPr>
          <w:rFonts w:hint="eastAsia" w:ascii="宋体" w:hAnsi="宋体" w:cs="宋体"/>
          <w:color w:val="000000"/>
          <w:sz w:val="22"/>
          <w:szCs w:val="22"/>
          <w:lang w:val="zh-CN"/>
        </w:rPr>
        <w:t>、我方决不提供虚假材料谋取中标、决不采取不正当手段诋毁、排挤其他供应商、决不与采购人、其它供应商恶意串通、决不向采购人工作人员和评委进行商业贿赂、决不在采购过程中与采购人进行协商、决不拒绝有关部门监督检查或提供虚假情况，如有违反，无条件接受贵方及相关管理部门的处罚。</w:t>
      </w:r>
    </w:p>
    <w:p w14:paraId="28B191FA">
      <w:pPr>
        <w:spacing w:line="360" w:lineRule="auto"/>
        <w:ind w:firstLine="420"/>
        <w:rPr>
          <w:rFonts w:hint="eastAsia" w:ascii="宋体" w:hAnsi="宋体" w:cs="宋体"/>
          <w:color w:val="000000"/>
          <w:sz w:val="22"/>
          <w:szCs w:val="22"/>
          <w:lang w:val="zh-CN"/>
        </w:rPr>
      </w:pPr>
      <w:r>
        <w:rPr>
          <w:rFonts w:hint="eastAsia" w:ascii="宋体" w:hAnsi="宋体" w:cs="宋体"/>
          <w:color w:val="000000"/>
          <w:sz w:val="22"/>
          <w:szCs w:val="22"/>
          <w:lang w:val="en-US" w:eastAsia="zh-CN"/>
        </w:rPr>
        <w:t>8</w:t>
      </w:r>
      <w:r>
        <w:rPr>
          <w:rFonts w:hint="eastAsia" w:ascii="宋体" w:hAnsi="宋体" w:cs="宋体"/>
          <w:color w:val="000000"/>
          <w:sz w:val="22"/>
          <w:szCs w:val="22"/>
          <w:lang w:val="zh-CN"/>
        </w:rPr>
        <w:t>、与本投标有关的正式联系方式为：</w:t>
      </w:r>
    </w:p>
    <w:p w14:paraId="441005F3">
      <w:pPr>
        <w:spacing w:line="360" w:lineRule="auto"/>
        <w:ind w:firstLine="420"/>
        <w:rPr>
          <w:rFonts w:hint="eastAsia" w:ascii="宋体" w:hAnsi="宋体" w:cs="宋体"/>
          <w:color w:val="000000"/>
          <w:sz w:val="22"/>
          <w:szCs w:val="22"/>
          <w:u w:val="single"/>
          <w:lang w:val="zh-CN"/>
        </w:rPr>
      </w:pPr>
      <w:r>
        <w:rPr>
          <w:rFonts w:hint="eastAsia" w:ascii="宋体" w:hAnsi="宋体" w:cs="宋体"/>
          <w:color w:val="000000"/>
          <w:sz w:val="22"/>
          <w:szCs w:val="22"/>
          <w:lang w:val="zh-CN"/>
        </w:rPr>
        <w:t>地   址：</w:t>
      </w:r>
      <w:r>
        <w:rPr>
          <w:rFonts w:hint="eastAsia" w:ascii="宋体" w:hAnsi="宋体" w:cs="宋体"/>
          <w:color w:val="000000"/>
          <w:sz w:val="22"/>
          <w:szCs w:val="22"/>
          <w:u w:val="single"/>
          <w:lang w:val="zh-CN"/>
        </w:rPr>
        <w:t xml:space="preserve">                       </w:t>
      </w:r>
    </w:p>
    <w:p w14:paraId="1393C50D">
      <w:pPr>
        <w:spacing w:line="360" w:lineRule="auto"/>
        <w:ind w:firstLine="420"/>
        <w:rPr>
          <w:rFonts w:hint="eastAsia" w:ascii="宋体" w:hAnsi="宋体" w:cs="宋体"/>
          <w:color w:val="000000"/>
          <w:sz w:val="22"/>
          <w:szCs w:val="22"/>
          <w:u w:val="single"/>
          <w:lang w:val="zh-CN"/>
        </w:rPr>
      </w:pPr>
      <w:r>
        <w:rPr>
          <w:rFonts w:hint="eastAsia" w:ascii="宋体" w:hAnsi="宋体" w:cs="宋体"/>
          <w:color w:val="000000"/>
          <w:sz w:val="22"/>
          <w:szCs w:val="22"/>
          <w:lang w:val="zh-CN"/>
        </w:rPr>
        <w:t>电   话：</w:t>
      </w:r>
      <w:r>
        <w:rPr>
          <w:rFonts w:hint="eastAsia" w:ascii="宋体" w:hAnsi="宋体" w:cs="宋体"/>
          <w:color w:val="000000"/>
          <w:sz w:val="22"/>
          <w:szCs w:val="22"/>
          <w:u w:val="single"/>
          <w:lang w:val="zh-CN"/>
        </w:rPr>
        <w:t xml:space="preserve">                       </w:t>
      </w:r>
    </w:p>
    <w:p w14:paraId="780F1B3B">
      <w:pPr>
        <w:spacing w:line="360" w:lineRule="auto"/>
        <w:ind w:firstLine="420"/>
        <w:rPr>
          <w:rFonts w:hint="eastAsia" w:ascii="宋体" w:hAnsi="宋体" w:cs="宋体"/>
          <w:color w:val="000000"/>
          <w:sz w:val="22"/>
          <w:szCs w:val="22"/>
          <w:u w:val="single"/>
          <w:lang w:val="zh-CN"/>
        </w:rPr>
      </w:pPr>
      <w:r>
        <w:rPr>
          <w:rFonts w:hint="eastAsia" w:ascii="宋体" w:hAnsi="宋体" w:cs="宋体"/>
          <w:color w:val="000000"/>
          <w:sz w:val="22"/>
          <w:szCs w:val="22"/>
          <w:lang w:val="zh-CN"/>
        </w:rPr>
        <w:t>传   真：</w:t>
      </w:r>
      <w:r>
        <w:rPr>
          <w:rFonts w:hint="eastAsia" w:ascii="宋体" w:hAnsi="宋体" w:cs="宋体"/>
          <w:color w:val="000000"/>
          <w:sz w:val="22"/>
          <w:szCs w:val="22"/>
          <w:u w:val="single"/>
          <w:lang w:val="zh-CN"/>
        </w:rPr>
        <w:t xml:space="preserve">                       </w:t>
      </w:r>
    </w:p>
    <w:p w14:paraId="14874BBB">
      <w:pPr>
        <w:spacing w:line="360" w:lineRule="auto"/>
        <w:ind w:firstLine="420"/>
        <w:rPr>
          <w:rFonts w:hint="eastAsia" w:ascii="宋体" w:hAnsi="宋体" w:cs="宋体"/>
          <w:color w:val="000000"/>
          <w:sz w:val="22"/>
          <w:szCs w:val="22"/>
          <w:lang w:val="zh-CN"/>
        </w:rPr>
      </w:pPr>
      <w:r>
        <w:rPr>
          <w:rFonts w:hint="eastAsia" w:ascii="宋体" w:hAnsi="宋体" w:cs="宋体"/>
          <w:color w:val="000000"/>
          <w:sz w:val="22"/>
          <w:szCs w:val="22"/>
          <w:lang w:val="zh-CN"/>
        </w:rPr>
        <w:t>开户银行：</w:t>
      </w:r>
    </w:p>
    <w:p w14:paraId="0A552DD9">
      <w:pPr>
        <w:spacing w:line="360" w:lineRule="auto"/>
        <w:ind w:firstLine="420"/>
        <w:rPr>
          <w:rFonts w:hint="eastAsia" w:ascii="宋体" w:hAnsi="宋体" w:cs="宋体"/>
          <w:color w:val="000000"/>
          <w:sz w:val="22"/>
          <w:szCs w:val="22"/>
          <w:lang w:val="zh-CN"/>
        </w:rPr>
      </w:pPr>
      <w:r>
        <w:rPr>
          <w:rFonts w:hint="eastAsia" w:ascii="宋体" w:hAnsi="宋体" w:cs="宋体"/>
          <w:color w:val="000000"/>
          <w:sz w:val="22"/>
          <w:szCs w:val="22"/>
          <w:lang w:val="zh-CN"/>
        </w:rPr>
        <w:t>银行账号：</w:t>
      </w:r>
    </w:p>
    <w:p w14:paraId="15E0FD94">
      <w:pPr>
        <w:spacing w:line="360" w:lineRule="auto"/>
        <w:ind w:firstLine="420"/>
        <w:rPr>
          <w:rFonts w:hint="eastAsia" w:ascii="宋体" w:hAnsi="宋体" w:cs="宋体"/>
          <w:color w:val="000000"/>
          <w:sz w:val="22"/>
          <w:szCs w:val="22"/>
          <w:u w:val="single"/>
          <w:lang w:val="zh-CN"/>
        </w:rPr>
      </w:pPr>
      <w:r>
        <w:rPr>
          <w:rFonts w:hint="eastAsia" w:ascii="宋体" w:hAnsi="宋体" w:cs="宋体"/>
          <w:color w:val="000000"/>
          <w:sz w:val="22"/>
          <w:szCs w:val="22"/>
          <w:lang w:val="zh-CN"/>
        </w:rPr>
        <w:t>供应商授权代表姓名：</w:t>
      </w:r>
      <w:r>
        <w:rPr>
          <w:rFonts w:hint="eastAsia" w:ascii="宋体" w:hAnsi="宋体" w:cs="宋体"/>
          <w:color w:val="000000"/>
          <w:sz w:val="22"/>
          <w:szCs w:val="22"/>
          <w:u w:val="single"/>
          <w:lang w:val="zh-CN"/>
        </w:rPr>
        <w:t xml:space="preserve">         </w:t>
      </w:r>
    </w:p>
    <w:p w14:paraId="3CD9F174">
      <w:pPr>
        <w:spacing w:line="360" w:lineRule="auto"/>
        <w:ind w:firstLine="420"/>
        <w:rPr>
          <w:rFonts w:hint="eastAsia" w:ascii="宋体" w:hAnsi="宋体" w:cs="宋体"/>
          <w:color w:val="000000"/>
          <w:sz w:val="22"/>
          <w:szCs w:val="22"/>
          <w:lang w:val="zh-CN"/>
        </w:rPr>
      </w:pPr>
      <w:r>
        <w:rPr>
          <w:rFonts w:hint="eastAsia" w:ascii="宋体" w:hAnsi="宋体" w:cs="宋体"/>
          <w:color w:val="000000"/>
          <w:sz w:val="22"/>
          <w:szCs w:val="22"/>
          <w:lang w:val="zh-CN"/>
        </w:rPr>
        <w:t>供应商名称：</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（加盖电子公章）</w:t>
      </w:r>
    </w:p>
    <w:p w14:paraId="088DD842">
      <w:pPr>
        <w:spacing w:line="360" w:lineRule="auto"/>
        <w:ind w:firstLine="420"/>
        <w:rPr>
          <w:rFonts w:hint="eastAsia" w:ascii="宋体" w:hAnsi="宋体" w:cs="宋体"/>
          <w:color w:val="000000"/>
          <w:sz w:val="22"/>
          <w:szCs w:val="22"/>
          <w:lang w:val="zh-CN"/>
        </w:rPr>
      </w:pPr>
      <w:r>
        <w:rPr>
          <w:rFonts w:hint="eastAsia" w:ascii="宋体" w:hAnsi="宋体" w:cs="宋体"/>
          <w:color w:val="000000"/>
          <w:sz w:val="22"/>
          <w:szCs w:val="22"/>
          <w:lang w:val="zh-CN"/>
        </w:rPr>
        <w:t>日    期：</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年</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月</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日</w:t>
      </w:r>
    </w:p>
    <w:p w14:paraId="2C743968">
      <w:pPr>
        <w:widowControl/>
        <w:spacing w:line="360" w:lineRule="auto"/>
        <w:jc w:val="left"/>
        <w:rPr>
          <w:rFonts w:hint="eastAsia" w:ascii="宋体" w:hAnsi="宋体" w:cs="宋体"/>
          <w:b/>
          <w:color w:val="000000"/>
          <w:sz w:val="22"/>
          <w:szCs w:val="22"/>
          <w:lang w:val="zh-CN"/>
        </w:rPr>
      </w:pPr>
    </w:p>
    <w:p w14:paraId="788589EB">
      <w:pPr>
        <w:widowControl/>
        <w:spacing w:line="360" w:lineRule="auto"/>
        <w:jc w:val="left"/>
        <w:rPr>
          <w:rFonts w:hint="eastAsia" w:ascii="宋体" w:hAnsi="宋体" w:cs="宋体"/>
          <w:b/>
          <w:color w:val="000000"/>
          <w:sz w:val="22"/>
          <w:szCs w:val="22"/>
          <w:lang w:val="zh-CN"/>
        </w:rPr>
      </w:pPr>
    </w:p>
    <w:p w14:paraId="123F5D9A">
      <w:pPr>
        <w:widowControl/>
        <w:spacing w:line="360" w:lineRule="auto"/>
        <w:jc w:val="left"/>
        <w:rPr>
          <w:rFonts w:hint="eastAsia" w:ascii="宋体" w:hAnsi="宋体" w:cs="宋体"/>
          <w:b/>
          <w:color w:val="000000"/>
          <w:sz w:val="22"/>
          <w:szCs w:val="22"/>
          <w:lang w:val="zh-CN"/>
        </w:rPr>
      </w:pPr>
    </w:p>
    <w:p w14:paraId="58EF419E">
      <w:pPr>
        <w:keepNext w:val="0"/>
        <w:keepLines w:val="0"/>
        <w:pageBreakBefore w:val="0"/>
        <w:widowControl/>
        <w:spacing w:after="0" w:line="360" w:lineRule="auto"/>
        <w:ind w:firstLine="422"/>
        <w:jc w:val="both"/>
        <w:outlineLvl w:val="1"/>
        <w:rPr>
          <w:rFonts w:hint="eastAsia" w:ascii="宋体" w:hAnsi="宋体" w:eastAsia="宋体" w:cs="Times New Roman"/>
          <w:b/>
          <w:sz w:val="22"/>
          <w:szCs w:val="22"/>
          <w:lang w:val="zh-CN" w:eastAsia="zh-CN" w:bidi="en-US"/>
        </w:rPr>
      </w:pPr>
      <w:r>
        <w:rPr>
          <w:rFonts w:hint="eastAsia" w:ascii="宋体" w:hAnsi="宋体" w:eastAsia="宋体" w:cs="Times New Roman"/>
          <w:b/>
          <w:sz w:val="22"/>
          <w:szCs w:val="22"/>
          <w:lang w:val="zh-CN" w:eastAsia="zh-CN" w:bidi="en-US"/>
        </w:rPr>
        <w:t>目录二、法定代表人授权书格式</w:t>
      </w:r>
    </w:p>
    <w:p w14:paraId="245C86DC">
      <w:pPr>
        <w:keepNext w:val="0"/>
        <w:keepLines w:val="0"/>
        <w:pageBreakBefore w:val="0"/>
        <w:spacing w:line="360" w:lineRule="auto"/>
        <w:jc w:val="center"/>
        <w:rPr>
          <w:rFonts w:hint="eastAsia"/>
          <w:b/>
          <w:bCs/>
          <w:sz w:val="22"/>
          <w:szCs w:val="28"/>
          <w:lang w:val="zh-CN" w:eastAsia="zh-CN"/>
        </w:rPr>
      </w:pPr>
      <w:r>
        <w:rPr>
          <w:rFonts w:hint="eastAsia"/>
          <w:b/>
          <w:bCs/>
          <w:sz w:val="22"/>
          <w:szCs w:val="28"/>
          <w:lang w:val="zh-CN" w:eastAsia="zh-CN"/>
        </w:rPr>
        <w:t>法定代表人授权委托书</w:t>
      </w:r>
    </w:p>
    <w:p w14:paraId="6D2973DA">
      <w:pPr>
        <w:keepNext w:val="0"/>
        <w:keepLines w:val="0"/>
        <w:pageBreakBefore w:val="0"/>
        <w:widowControl/>
        <w:spacing w:line="360" w:lineRule="auto"/>
        <w:jc w:val="left"/>
        <w:rPr>
          <w:rFonts w:hint="eastAsia" w:ascii="宋体" w:hAnsi="宋体" w:cs="宋体"/>
          <w:b/>
          <w:color w:val="000000"/>
          <w:sz w:val="22"/>
          <w:szCs w:val="22"/>
          <w:lang w:bidi="ar"/>
        </w:rPr>
      </w:pPr>
      <w:r>
        <w:rPr>
          <w:rFonts w:hint="eastAsia" w:ascii="宋体" w:hAnsi="宋体" w:cs="宋体"/>
          <w:b/>
          <w:color w:val="000000"/>
          <w:sz w:val="22"/>
          <w:szCs w:val="22"/>
          <w:lang w:bidi="ar"/>
        </w:rPr>
        <w:t>致</w:t>
      </w:r>
      <w:r>
        <w:rPr>
          <w:rFonts w:hint="eastAsia" w:ascii="宋体" w:hAnsi="宋体" w:cs="宋体"/>
          <w:b/>
          <w:color w:val="000000"/>
          <w:sz w:val="22"/>
          <w:szCs w:val="22"/>
          <w:lang w:eastAsia="zh-CN" w:bidi="ar"/>
        </w:rPr>
        <w:t>：南京市江宁区交通运输局</w:t>
      </w:r>
    </w:p>
    <w:p w14:paraId="7ECFEA53">
      <w:pPr>
        <w:keepNext w:val="0"/>
        <w:keepLines w:val="0"/>
        <w:pageBreakBefore w:val="0"/>
        <w:widowControl/>
        <w:spacing w:line="360" w:lineRule="auto"/>
        <w:ind w:firstLine="420"/>
        <w:jc w:val="left"/>
        <w:rPr>
          <w:rFonts w:hint="eastAsia" w:ascii="宋体" w:hAnsi="宋体" w:cs="宋体"/>
          <w:color w:val="000000"/>
          <w:sz w:val="22"/>
          <w:szCs w:val="22"/>
          <w:lang w:val="zh-CN"/>
        </w:rPr>
      </w:pPr>
      <w:r>
        <w:rPr>
          <w:rFonts w:hint="eastAsia" w:ascii="宋体" w:hAnsi="宋体" w:cs="宋体"/>
          <w:color w:val="000000"/>
          <w:sz w:val="22"/>
          <w:szCs w:val="22"/>
          <w:lang w:val="zh-CN"/>
        </w:rPr>
        <w:t>本授权书声明：注册于</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（供应商住址）的</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（供应商名称）法定代表人</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（法定代表人姓名、职务）代表本公司授权在下面签字的</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（供应商代表姓名、职务）为本公司的合法代理人，就贵方组织的</w:t>
      </w:r>
      <w:r>
        <w:rPr>
          <w:rFonts w:hint="eastAsia" w:ascii="宋体" w:hAnsi="宋体" w:cs="宋体"/>
          <w:b/>
          <w:bCs/>
          <w:color w:val="000000"/>
          <w:sz w:val="22"/>
          <w:szCs w:val="22"/>
          <w:u w:val="single"/>
          <w:lang w:val="zh-CN"/>
        </w:rPr>
        <w:t xml:space="preserve">                            </w:t>
      </w:r>
      <w:r>
        <w:rPr>
          <w:rFonts w:hint="eastAsia" w:ascii="宋体" w:hAnsi="宋体" w:cs="宋体"/>
          <w:color w:val="000000"/>
          <w:sz w:val="22"/>
          <w:szCs w:val="22"/>
          <w:lang w:val="zh-CN"/>
        </w:rPr>
        <w:t>（项目名称），</w:t>
      </w:r>
      <w:r>
        <w:rPr>
          <w:rFonts w:hint="eastAsia" w:ascii="宋体" w:hAnsi="宋体" w:cs="宋体"/>
          <w:b/>
          <w:color w:val="000000"/>
          <w:sz w:val="22"/>
          <w:szCs w:val="22"/>
          <w:u w:val="single"/>
          <w:lang w:val="zh-CN"/>
        </w:rPr>
        <w:t xml:space="preserve">             </w:t>
      </w:r>
      <w:r>
        <w:rPr>
          <w:rFonts w:hint="eastAsia" w:ascii="宋体" w:hAnsi="宋体" w:cs="宋体"/>
          <w:color w:val="000000"/>
          <w:sz w:val="22"/>
          <w:szCs w:val="22"/>
          <w:lang w:val="zh-CN"/>
        </w:rPr>
        <w:t>（项目编号）投标，以本公司名义处理一切与之有关的事务。</w:t>
      </w:r>
    </w:p>
    <w:p w14:paraId="291937CD">
      <w:pPr>
        <w:keepNext w:val="0"/>
        <w:keepLines w:val="0"/>
        <w:pageBreakBefore w:val="0"/>
        <w:widowControl/>
        <w:spacing w:line="360" w:lineRule="auto"/>
        <w:ind w:firstLine="420"/>
        <w:jc w:val="left"/>
        <w:rPr>
          <w:rFonts w:hint="eastAsia" w:ascii="宋体" w:hAnsi="宋体" w:cs="宋体"/>
          <w:color w:val="000000"/>
          <w:sz w:val="22"/>
          <w:szCs w:val="22"/>
          <w:lang w:val="zh-CN"/>
        </w:rPr>
      </w:pPr>
      <w:r>
        <w:rPr>
          <w:rFonts w:hint="eastAsia" w:ascii="宋体" w:hAnsi="宋体" w:cs="宋体"/>
          <w:color w:val="000000"/>
          <w:sz w:val="22"/>
          <w:szCs w:val="22"/>
          <w:lang w:val="zh-CN"/>
        </w:rPr>
        <w:t>本授权书于    年  月  日签字生效，特此声明。</w:t>
      </w:r>
    </w:p>
    <w:p w14:paraId="740F39B6">
      <w:pPr>
        <w:pStyle w:val="225"/>
        <w:keepNext w:val="0"/>
        <w:keepLines w:val="0"/>
        <w:pageBreakBefore w:val="0"/>
        <w:spacing w:line="360" w:lineRule="auto"/>
        <w:ind w:left="1260" w:firstLine="420"/>
        <w:rPr>
          <w:rFonts w:hint="eastAsia" w:ascii="宋体" w:hAnsi="宋体" w:cs="宋体"/>
          <w:sz w:val="22"/>
          <w:szCs w:val="22"/>
          <w:lang w:val="zh-CN"/>
        </w:rPr>
      </w:pPr>
    </w:p>
    <w:p w14:paraId="73F123B4">
      <w:pPr>
        <w:keepNext w:val="0"/>
        <w:keepLines w:val="0"/>
        <w:pageBreakBefore w:val="0"/>
        <w:spacing w:line="360" w:lineRule="auto"/>
        <w:ind w:firstLine="420"/>
        <w:rPr>
          <w:rFonts w:hint="eastAsia" w:ascii="宋体" w:hAnsi="宋体" w:eastAsia="宋体" w:cs="宋体"/>
          <w:color w:val="000000"/>
          <w:sz w:val="22"/>
          <w:szCs w:val="22"/>
          <w:lang w:val="zh-CN"/>
        </w:rPr>
      </w:pPr>
      <w:r>
        <w:rPr>
          <w:rFonts w:hint="eastAsia" w:ascii="宋体" w:hAnsi="宋体" w:eastAsia="宋体" w:cs="宋体"/>
          <w:color w:val="000000"/>
          <w:sz w:val="22"/>
          <w:szCs w:val="22"/>
          <w:lang w:val="zh-CN"/>
        </w:rPr>
        <w:t>供应商名称：                 （加盖电子公章）</w:t>
      </w:r>
    </w:p>
    <w:p w14:paraId="5E61294D">
      <w:pPr>
        <w:keepNext w:val="0"/>
        <w:keepLines w:val="0"/>
        <w:pageBreakBefore w:val="0"/>
        <w:spacing w:line="360" w:lineRule="auto"/>
        <w:ind w:firstLine="420"/>
        <w:rPr>
          <w:rFonts w:hint="eastAsia" w:ascii="宋体" w:hAnsi="宋体" w:eastAsia="宋体" w:cs="宋体"/>
          <w:color w:val="000000"/>
          <w:sz w:val="22"/>
          <w:szCs w:val="22"/>
          <w:lang w:val="zh-TW" w:eastAsia="zh-TW"/>
        </w:rPr>
      </w:pPr>
      <w:r>
        <w:rPr>
          <w:rFonts w:hint="eastAsia" w:ascii="宋体" w:hAnsi="宋体" w:eastAsia="宋体" w:cs="宋体"/>
          <w:color w:val="000000"/>
          <w:sz w:val="22"/>
          <w:szCs w:val="22"/>
          <w:lang w:val="zh-TW" w:eastAsia="zh-TW"/>
        </w:rPr>
        <w:t>法定代表人：</w:t>
      </w:r>
    </w:p>
    <w:p w14:paraId="3074EED1">
      <w:pPr>
        <w:keepNext w:val="0"/>
        <w:keepLines w:val="0"/>
        <w:pageBreakBefore w:val="0"/>
        <w:spacing w:line="360" w:lineRule="auto"/>
        <w:ind w:firstLine="420"/>
        <w:rPr>
          <w:rFonts w:hint="eastAsia" w:ascii="宋体" w:hAnsi="宋体" w:eastAsia="宋体" w:cs="宋体"/>
          <w:color w:val="000000"/>
          <w:sz w:val="22"/>
          <w:szCs w:val="22"/>
          <w:lang w:val="zh-TW" w:eastAsia="zh-TW"/>
        </w:rPr>
      </w:pPr>
      <w:r>
        <w:rPr>
          <w:rFonts w:hint="eastAsia" w:ascii="宋体" w:hAnsi="宋体" w:eastAsia="宋体" w:cs="宋体"/>
          <w:color w:val="000000"/>
          <w:sz w:val="22"/>
          <w:szCs w:val="22"/>
          <w:lang w:val="zh-TW" w:eastAsia="zh-TW"/>
        </w:rPr>
        <w:t>授权委托人：</w:t>
      </w:r>
    </w:p>
    <w:p w14:paraId="25304E55">
      <w:pPr>
        <w:keepNext w:val="0"/>
        <w:keepLines w:val="0"/>
        <w:pageBreakBefore w:val="0"/>
        <w:spacing w:line="360" w:lineRule="auto"/>
        <w:ind w:firstLine="420"/>
        <w:rPr>
          <w:rFonts w:hint="eastAsia" w:ascii="宋体" w:hAnsi="宋体" w:eastAsia="宋体" w:cs="宋体"/>
          <w:color w:val="000000"/>
          <w:sz w:val="22"/>
          <w:szCs w:val="22"/>
          <w:lang w:val="zh-TW" w:eastAsia="zh-TW"/>
        </w:rPr>
      </w:pPr>
      <w:r>
        <w:rPr>
          <w:rFonts w:hint="eastAsia" w:ascii="宋体" w:hAnsi="宋体" w:eastAsia="宋体" w:cs="宋体"/>
          <w:color w:val="000000"/>
          <w:sz w:val="22"/>
          <w:szCs w:val="22"/>
          <w:lang w:val="zh-TW" w:eastAsia="zh-TW"/>
        </w:rPr>
        <w:t>授权委托人身份证号码：</w:t>
      </w:r>
    </w:p>
    <w:p w14:paraId="6101F115">
      <w:pPr>
        <w:keepNext w:val="0"/>
        <w:keepLines w:val="0"/>
        <w:pageBreakBefore w:val="0"/>
        <w:spacing w:line="360" w:lineRule="auto"/>
        <w:ind w:firstLine="420"/>
        <w:rPr>
          <w:rFonts w:hint="eastAsia" w:ascii="宋体" w:hAnsi="宋体" w:eastAsia="宋体" w:cs="宋体"/>
          <w:color w:val="000000"/>
          <w:sz w:val="22"/>
          <w:szCs w:val="22"/>
          <w:lang w:val="zh-TW" w:eastAsia="zh-TW"/>
        </w:rPr>
      </w:pPr>
      <w:r>
        <w:rPr>
          <w:rFonts w:hint="eastAsia" w:ascii="宋体" w:hAnsi="宋体" w:eastAsia="宋体" w:cs="宋体"/>
          <w:color w:val="000000"/>
          <w:sz w:val="22"/>
          <w:szCs w:val="22"/>
          <w:lang w:val="zh-TW" w:eastAsia="zh-TW"/>
        </w:rPr>
        <w:t xml:space="preserve">授权委托人联系电话：               </w:t>
      </w:r>
    </w:p>
    <w:p w14:paraId="56F3A622">
      <w:pPr>
        <w:keepNext w:val="0"/>
        <w:keepLines w:val="0"/>
        <w:pageBreakBefore w:val="0"/>
        <w:spacing w:line="360" w:lineRule="auto"/>
        <w:ind w:firstLine="420"/>
        <w:rPr>
          <w:rFonts w:hint="eastAsia" w:ascii="宋体" w:hAnsi="宋体" w:eastAsia="宋体" w:cs="宋体"/>
          <w:color w:val="000000"/>
          <w:sz w:val="22"/>
          <w:szCs w:val="22"/>
          <w:lang w:val="zh-TW" w:eastAsia="zh-TW"/>
        </w:rPr>
      </w:pPr>
      <w:r>
        <w:rPr>
          <w:rFonts w:hint="eastAsia" w:ascii="宋体" w:hAnsi="宋体" w:eastAsia="宋体" w:cs="宋体"/>
          <w:color w:val="000000"/>
          <w:sz w:val="22"/>
          <w:szCs w:val="22"/>
          <w:lang w:val="zh-TW" w:eastAsia="zh-TW"/>
        </w:rPr>
        <w:t>日    期：       年    月    日</w:t>
      </w:r>
    </w:p>
    <w:p w14:paraId="1B57E594">
      <w:pPr>
        <w:widowControl/>
        <w:spacing w:line="360" w:lineRule="auto"/>
        <w:jc w:val="left"/>
        <w:rPr>
          <w:rFonts w:hint="eastAsia" w:ascii="宋体" w:hAnsi="宋体" w:cs="宋体"/>
          <w:b/>
          <w:color w:val="000000"/>
          <w:sz w:val="22"/>
          <w:szCs w:val="22"/>
          <w:lang w:val="zh-CN"/>
        </w:rPr>
      </w:pPr>
    </w:p>
    <w:p w14:paraId="73460391">
      <w:pPr>
        <w:widowControl/>
        <w:spacing w:line="360" w:lineRule="auto"/>
        <w:ind w:firstLine="422"/>
        <w:jc w:val="left"/>
        <w:rPr>
          <w:rFonts w:hint="eastAsia" w:ascii="宋体" w:hAnsi="宋体" w:cs="宋体"/>
          <w:b/>
          <w:color w:val="000000"/>
          <w:sz w:val="22"/>
          <w:szCs w:val="22"/>
          <w:lang w:val="zh-CN"/>
        </w:rPr>
      </w:pPr>
      <w:r>
        <w:rPr>
          <w:rFonts w:hint="eastAsia" w:ascii="宋体" w:hAnsi="宋体" w:cs="宋体"/>
          <w:b/>
          <w:color w:val="000000"/>
          <w:sz w:val="22"/>
          <w:szCs w:val="22"/>
          <w:lang w:val="zh-CN"/>
        </w:rPr>
        <w:t>附营业执照、授权人和被授权人身份证复印件加盖电子公章</w:t>
      </w:r>
    </w:p>
    <w:p w14:paraId="389870E7">
      <w:pPr>
        <w:widowControl/>
        <w:spacing w:line="360" w:lineRule="auto"/>
        <w:jc w:val="left"/>
        <w:rPr>
          <w:rFonts w:hint="eastAsia" w:ascii="宋体" w:hAnsi="宋体" w:cs="宋体"/>
          <w:color w:val="000000"/>
          <w:sz w:val="22"/>
          <w:szCs w:val="22"/>
          <w:lang w:val="zh-CN"/>
        </w:rPr>
      </w:pPr>
    </w:p>
    <w:p w14:paraId="2CC2E5B4">
      <w:pPr>
        <w:widowControl/>
        <w:spacing w:line="360" w:lineRule="auto"/>
        <w:jc w:val="left"/>
        <w:rPr>
          <w:rFonts w:hint="eastAsia" w:ascii="宋体" w:hAnsi="宋体" w:cs="宋体"/>
          <w:color w:val="000000"/>
          <w:sz w:val="22"/>
          <w:szCs w:val="22"/>
          <w:lang w:val="zh-CN"/>
        </w:rPr>
      </w:pPr>
    </w:p>
    <w:p w14:paraId="135852EC">
      <w:pPr>
        <w:pStyle w:val="42"/>
        <w:ind w:firstLine="420"/>
        <w:rPr>
          <w:rFonts w:hint="eastAsia" w:ascii="宋体" w:hAnsi="宋体" w:eastAsia="宋体"/>
          <w:sz w:val="22"/>
          <w:szCs w:val="22"/>
        </w:rPr>
      </w:pPr>
    </w:p>
    <w:p w14:paraId="0CE00869">
      <w:pPr>
        <w:pStyle w:val="42"/>
        <w:ind w:firstLine="420"/>
        <w:rPr>
          <w:rFonts w:hint="eastAsia" w:ascii="宋体" w:hAnsi="宋体" w:eastAsia="宋体"/>
          <w:sz w:val="22"/>
          <w:szCs w:val="22"/>
        </w:rPr>
      </w:pPr>
    </w:p>
    <w:p w14:paraId="308B13D5">
      <w:pPr>
        <w:pStyle w:val="42"/>
        <w:ind w:firstLine="420"/>
        <w:rPr>
          <w:rFonts w:hint="eastAsia" w:ascii="宋体" w:hAnsi="宋体" w:eastAsia="宋体"/>
          <w:sz w:val="22"/>
          <w:szCs w:val="22"/>
        </w:rPr>
      </w:pPr>
    </w:p>
    <w:p w14:paraId="5BC8A9CF">
      <w:pPr>
        <w:pStyle w:val="42"/>
        <w:ind w:firstLine="420"/>
        <w:rPr>
          <w:rFonts w:hint="eastAsia" w:ascii="宋体" w:hAnsi="宋体" w:eastAsia="宋体"/>
          <w:sz w:val="22"/>
          <w:szCs w:val="22"/>
        </w:rPr>
      </w:pPr>
    </w:p>
    <w:p w14:paraId="01DAB83C">
      <w:pPr>
        <w:pStyle w:val="42"/>
        <w:ind w:firstLine="420"/>
        <w:rPr>
          <w:rFonts w:hint="eastAsia" w:ascii="宋体" w:hAnsi="宋体" w:eastAsia="宋体"/>
          <w:sz w:val="22"/>
          <w:szCs w:val="22"/>
        </w:rPr>
      </w:pPr>
    </w:p>
    <w:p w14:paraId="724E9B77">
      <w:pPr>
        <w:pStyle w:val="42"/>
        <w:ind w:firstLine="420"/>
        <w:rPr>
          <w:rFonts w:hint="eastAsia" w:ascii="宋体" w:hAnsi="宋体" w:eastAsia="宋体"/>
          <w:sz w:val="22"/>
          <w:szCs w:val="22"/>
        </w:rPr>
      </w:pPr>
    </w:p>
    <w:p w14:paraId="692E7737">
      <w:pPr>
        <w:pStyle w:val="42"/>
        <w:ind w:firstLine="420"/>
        <w:rPr>
          <w:rFonts w:hint="eastAsia" w:ascii="宋体" w:hAnsi="宋体" w:eastAsia="宋体"/>
          <w:sz w:val="22"/>
          <w:szCs w:val="22"/>
        </w:rPr>
      </w:pPr>
    </w:p>
    <w:p w14:paraId="39455EA4">
      <w:pPr>
        <w:pStyle w:val="42"/>
        <w:ind w:firstLine="420"/>
        <w:rPr>
          <w:rFonts w:hint="eastAsia" w:ascii="宋体" w:hAnsi="宋体" w:eastAsia="宋体"/>
          <w:sz w:val="22"/>
          <w:szCs w:val="22"/>
        </w:rPr>
      </w:pPr>
    </w:p>
    <w:p w14:paraId="72E6EFEC">
      <w:pPr>
        <w:pStyle w:val="42"/>
        <w:ind w:firstLine="420"/>
        <w:rPr>
          <w:rFonts w:hint="eastAsia" w:ascii="宋体" w:hAnsi="宋体" w:eastAsia="宋体"/>
          <w:sz w:val="22"/>
          <w:szCs w:val="22"/>
        </w:rPr>
      </w:pPr>
    </w:p>
    <w:p w14:paraId="7CA51529">
      <w:pPr>
        <w:pStyle w:val="42"/>
        <w:ind w:firstLine="420"/>
        <w:rPr>
          <w:rFonts w:hint="eastAsia" w:ascii="宋体" w:hAnsi="宋体" w:eastAsia="宋体"/>
          <w:sz w:val="22"/>
          <w:szCs w:val="22"/>
        </w:rPr>
      </w:pPr>
    </w:p>
    <w:p w14:paraId="3F65CC77">
      <w:pPr>
        <w:pStyle w:val="42"/>
        <w:ind w:firstLine="420"/>
        <w:rPr>
          <w:rFonts w:hint="eastAsia" w:ascii="宋体" w:hAnsi="宋体" w:eastAsia="宋体"/>
          <w:sz w:val="22"/>
          <w:szCs w:val="22"/>
        </w:rPr>
      </w:pPr>
    </w:p>
    <w:p w14:paraId="5DB97DEE">
      <w:pPr>
        <w:pStyle w:val="42"/>
        <w:ind w:firstLine="420"/>
        <w:rPr>
          <w:rFonts w:hint="eastAsia" w:ascii="宋体" w:hAnsi="宋体" w:eastAsia="宋体"/>
          <w:sz w:val="22"/>
          <w:szCs w:val="22"/>
        </w:rPr>
      </w:pPr>
    </w:p>
    <w:p w14:paraId="5C3DC594">
      <w:pPr>
        <w:pStyle w:val="42"/>
        <w:ind w:firstLine="420"/>
        <w:rPr>
          <w:rFonts w:hint="eastAsia" w:ascii="宋体" w:hAnsi="宋体" w:eastAsia="宋体"/>
          <w:sz w:val="22"/>
          <w:szCs w:val="22"/>
        </w:rPr>
      </w:pPr>
    </w:p>
    <w:p w14:paraId="5FCE0129">
      <w:pPr>
        <w:pStyle w:val="42"/>
        <w:ind w:firstLine="420"/>
        <w:rPr>
          <w:rFonts w:hint="eastAsia" w:ascii="宋体" w:hAnsi="宋体" w:eastAsia="宋体"/>
          <w:sz w:val="22"/>
          <w:szCs w:val="22"/>
        </w:rPr>
      </w:pPr>
    </w:p>
    <w:p w14:paraId="03F65D25">
      <w:pPr>
        <w:pStyle w:val="42"/>
        <w:ind w:firstLine="420"/>
        <w:rPr>
          <w:rFonts w:hint="eastAsia" w:ascii="宋体" w:hAnsi="宋体" w:eastAsia="宋体"/>
          <w:sz w:val="22"/>
          <w:szCs w:val="22"/>
        </w:rPr>
      </w:pPr>
    </w:p>
    <w:p w14:paraId="06326ADC">
      <w:pPr>
        <w:pStyle w:val="42"/>
        <w:ind w:firstLine="420"/>
        <w:rPr>
          <w:rFonts w:hint="eastAsia" w:ascii="宋体" w:hAnsi="宋体" w:eastAsia="宋体"/>
          <w:sz w:val="22"/>
          <w:szCs w:val="22"/>
        </w:rPr>
      </w:pPr>
    </w:p>
    <w:p w14:paraId="63E09F10">
      <w:pPr>
        <w:keepNext w:val="0"/>
        <w:keepLines w:val="0"/>
        <w:pageBreakBefore w:val="0"/>
        <w:widowControl/>
        <w:spacing w:after="0" w:line="360" w:lineRule="auto"/>
        <w:ind w:firstLine="422"/>
        <w:jc w:val="both"/>
        <w:outlineLvl w:val="1"/>
        <w:rPr>
          <w:rFonts w:hint="eastAsia" w:ascii="宋体" w:hAnsi="宋体" w:eastAsia="宋体" w:cs="Times New Roman"/>
          <w:b/>
          <w:sz w:val="22"/>
          <w:szCs w:val="22"/>
          <w:lang w:val="zh-CN" w:eastAsia="zh-CN" w:bidi="en-US"/>
        </w:rPr>
      </w:pPr>
      <w:r>
        <w:rPr>
          <w:rFonts w:hint="eastAsia" w:ascii="宋体" w:hAnsi="宋体" w:eastAsia="宋体" w:cs="Times New Roman"/>
          <w:b/>
          <w:sz w:val="22"/>
          <w:szCs w:val="22"/>
          <w:lang w:val="zh-CN" w:eastAsia="zh-CN" w:bidi="en-US"/>
        </w:rPr>
        <w:t>目录三、开标记录一览表</w:t>
      </w:r>
    </w:p>
    <w:p w14:paraId="14BDCFB2">
      <w:pPr>
        <w:pStyle w:val="212"/>
        <w:spacing w:line="440" w:lineRule="exact"/>
        <w:ind w:firstLine="1528"/>
        <w:jc w:val="center"/>
        <w:rPr>
          <w:rFonts w:hint="eastAsia" w:ascii="宋体" w:hAnsi="宋体" w:cs="宋体"/>
          <w:sz w:val="22"/>
          <w:szCs w:val="22"/>
          <w:lang w:val="zh-CN"/>
        </w:rPr>
      </w:pPr>
      <w:r>
        <w:rPr>
          <w:rFonts w:hint="eastAsia" w:ascii="宋体" w:hAnsi="宋体" w:cs="宋体"/>
          <w:b/>
          <w:sz w:val="22"/>
          <w:szCs w:val="22"/>
        </w:rPr>
        <w:t>开标一览表</w:t>
      </w:r>
    </w:p>
    <w:p w14:paraId="4E5877FC">
      <w:pPr>
        <w:pStyle w:val="212"/>
        <w:spacing w:line="440" w:lineRule="exact"/>
        <w:ind w:firstLine="472"/>
        <w:rPr>
          <w:rFonts w:hint="eastAsia" w:ascii="宋体" w:hAnsi="宋体" w:cs="宋体"/>
          <w:sz w:val="22"/>
          <w:szCs w:val="22"/>
        </w:rPr>
      </w:pPr>
      <w:r>
        <w:rPr>
          <w:rFonts w:hint="eastAsia" w:ascii="宋体" w:hAnsi="宋体" w:cs="宋体"/>
          <w:sz w:val="22"/>
          <w:szCs w:val="22"/>
        </w:rPr>
        <w:t>项目名称：                                           项目编号：</w:t>
      </w:r>
    </w:p>
    <w:tbl>
      <w:tblPr>
        <w:tblStyle w:val="35"/>
        <w:tblW w:w="0" w:type="auto"/>
        <w:tblInd w:w="1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80"/>
        <w:gridCol w:w="6255"/>
        <w:gridCol w:w="1485"/>
      </w:tblGrid>
      <w:tr w14:paraId="45B9BD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9" w:hRule="atLeast"/>
        </w:trPr>
        <w:tc>
          <w:tcPr>
            <w:tcW w:w="1980" w:type="dxa"/>
            <w:vMerge w:val="restart"/>
            <w:noWrap w:val="0"/>
            <w:vAlign w:val="center"/>
          </w:tcPr>
          <w:p w14:paraId="2A29C2D4">
            <w:pPr>
              <w:pStyle w:val="212"/>
              <w:spacing w:line="440" w:lineRule="exact"/>
              <w:ind w:firstLine="0"/>
              <w:rPr>
                <w:rFonts w:hint="eastAsia" w:ascii="宋体" w:hAnsi="宋体" w:cs="宋体"/>
                <w:sz w:val="22"/>
                <w:szCs w:val="22"/>
              </w:rPr>
            </w:pPr>
            <w:r>
              <w:rPr>
                <w:rFonts w:hint="eastAsia" w:ascii="宋体" w:hAnsi="宋体" w:cs="宋体"/>
                <w:sz w:val="22"/>
                <w:szCs w:val="22"/>
              </w:rPr>
              <w:t>投标总价</w:t>
            </w:r>
          </w:p>
        </w:tc>
        <w:tc>
          <w:tcPr>
            <w:tcW w:w="6255" w:type="dxa"/>
            <w:noWrap w:val="0"/>
            <w:vAlign w:val="center"/>
          </w:tcPr>
          <w:p w14:paraId="75210C52">
            <w:pPr>
              <w:pStyle w:val="212"/>
              <w:spacing w:line="440" w:lineRule="exact"/>
              <w:ind w:firstLine="0"/>
              <w:rPr>
                <w:rFonts w:hint="eastAsia" w:ascii="宋体" w:hAnsi="宋体" w:cs="宋体"/>
                <w:sz w:val="22"/>
                <w:szCs w:val="22"/>
              </w:rPr>
            </w:pPr>
          </w:p>
          <w:p w14:paraId="2AED468C">
            <w:pPr>
              <w:pStyle w:val="212"/>
              <w:spacing w:line="440" w:lineRule="exact"/>
              <w:ind w:firstLine="0"/>
              <w:rPr>
                <w:rFonts w:hint="eastAsia" w:ascii="宋体" w:hAnsi="宋体" w:cs="宋体"/>
                <w:sz w:val="22"/>
                <w:szCs w:val="22"/>
              </w:rPr>
            </w:pPr>
          </w:p>
          <w:p w14:paraId="4383E72F">
            <w:pPr>
              <w:pStyle w:val="212"/>
              <w:spacing w:line="440" w:lineRule="exact"/>
              <w:ind w:firstLine="0"/>
              <w:rPr>
                <w:rFonts w:hint="eastAsia" w:ascii="宋体" w:hAnsi="宋体" w:cs="宋体"/>
                <w:bCs/>
                <w:sz w:val="22"/>
                <w:szCs w:val="22"/>
              </w:rPr>
            </w:pPr>
            <w:r>
              <w:rPr>
                <w:rFonts w:hint="eastAsia" w:ascii="宋体" w:hAnsi="宋体" w:cs="宋体"/>
                <w:sz w:val="22"/>
                <w:szCs w:val="22"/>
              </w:rPr>
              <w:t xml:space="preserve">小写：人民币              </w:t>
            </w:r>
            <w:r>
              <w:rPr>
                <w:rFonts w:hint="eastAsia" w:ascii="宋体" w:hAnsi="宋体" w:cs="宋体"/>
                <w:bCs/>
                <w:sz w:val="22"/>
                <w:szCs w:val="22"/>
              </w:rPr>
              <w:t xml:space="preserve">    </w:t>
            </w:r>
          </w:p>
          <w:p w14:paraId="711606E0">
            <w:pPr>
              <w:pStyle w:val="212"/>
              <w:spacing w:line="440" w:lineRule="exact"/>
              <w:ind w:firstLine="0"/>
              <w:rPr>
                <w:rFonts w:hint="eastAsia" w:ascii="宋体" w:hAnsi="宋体" w:cs="宋体"/>
                <w:sz w:val="22"/>
                <w:szCs w:val="22"/>
              </w:rPr>
            </w:pPr>
            <w:r>
              <w:rPr>
                <w:rFonts w:hint="eastAsia" w:ascii="宋体" w:hAnsi="宋体" w:cs="宋体"/>
                <w:sz w:val="22"/>
                <w:szCs w:val="22"/>
              </w:rPr>
              <w:t xml:space="preserve">                </w:t>
            </w:r>
          </w:p>
        </w:tc>
        <w:tc>
          <w:tcPr>
            <w:tcW w:w="1485" w:type="dxa"/>
            <w:vMerge w:val="restart"/>
            <w:noWrap w:val="0"/>
            <w:vAlign w:val="center"/>
          </w:tcPr>
          <w:p w14:paraId="4662DB69">
            <w:pPr>
              <w:pStyle w:val="212"/>
              <w:spacing w:line="440" w:lineRule="exact"/>
              <w:ind w:firstLine="472"/>
              <w:rPr>
                <w:rFonts w:hint="eastAsia" w:ascii="宋体" w:hAnsi="宋体" w:cs="宋体"/>
                <w:sz w:val="22"/>
                <w:szCs w:val="22"/>
              </w:rPr>
            </w:pPr>
            <w:r>
              <w:rPr>
                <w:rFonts w:hint="eastAsia" w:ascii="宋体" w:hAnsi="宋体" w:cs="宋体"/>
                <w:sz w:val="22"/>
                <w:szCs w:val="22"/>
              </w:rPr>
              <w:t>备注</w:t>
            </w:r>
          </w:p>
        </w:tc>
      </w:tr>
      <w:tr w14:paraId="7D711C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98" w:hRule="atLeast"/>
        </w:trPr>
        <w:tc>
          <w:tcPr>
            <w:tcW w:w="1980" w:type="dxa"/>
            <w:vMerge w:val="continue"/>
            <w:noWrap w:val="0"/>
            <w:vAlign w:val="center"/>
          </w:tcPr>
          <w:p w14:paraId="3271E9A1">
            <w:pPr>
              <w:pStyle w:val="212"/>
              <w:spacing w:line="440" w:lineRule="exact"/>
              <w:ind w:firstLine="0"/>
              <w:rPr>
                <w:rFonts w:hint="eastAsia" w:ascii="宋体" w:hAnsi="宋体" w:cs="宋体"/>
                <w:sz w:val="22"/>
                <w:szCs w:val="22"/>
              </w:rPr>
            </w:pPr>
          </w:p>
        </w:tc>
        <w:tc>
          <w:tcPr>
            <w:tcW w:w="6255" w:type="dxa"/>
            <w:noWrap w:val="0"/>
            <w:vAlign w:val="center"/>
          </w:tcPr>
          <w:p w14:paraId="3D1C7A5D">
            <w:pPr>
              <w:pStyle w:val="212"/>
              <w:spacing w:line="440" w:lineRule="exact"/>
              <w:ind w:firstLine="0"/>
              <w:rPr>
                <w:rFonts w:hint="eastAsia" w:ascii="宋体" w:hAnsi="宋体" w:cs="宋体"/>
                <w:bCs/>
                <w:sz w:val="22"/>
                <w:szCs w:val="22"/>
              </w:rPr>
            </w:pPr>
            <w:r>
              <w:rPr>
                <w:rFonts w:hint="eastAsia" w:ascii="宋体" w:hAnsi="宋体" w:cs="宋体"/>
                <w:sz w:val="22"/>
                <w:szCs w:val="22"/>
              </w:rPr>
              <w:t xml:space="preserve">           </w:t>
            </w:r>
            <w:r>
              <w:rPr>
                <w:rFonts w:hint="eastAsia" w:ascii="宋体" w:hAnsi="宋体" w:cs="宋体"/>
                <w:bCs/>
                <w:sz w:val="22"/>
                <w:szCs w:val="22"/>
              </w:rPr>
              <w:t xml:space="preserve">    </w:t>
            </w:r>
          </w:p>
          <w:p w14:paraId="70D79F59">
            <w:pPr>
              <w:pStyle w:val="212"/>
              <w:spacing w:line="440" w:lineRule="exact"/>
              <w:ind w:firstLine="472"/>
              <w:rPr>
                <w:rFonts w:hint="eastAsia" w:ascii="宋体" w:hAnsi="宋体" w:cs="宋体"/>
                <w:sz w:val="22"/>
                <w:szCs w:val="22"/>
              </w:rPr>
            </w:pPr>
          </w:p>
          <w:p w14:paraId="3747F036">
            <w:pPr>
              <w:pStyle w:val="212"/>
              <w:spacing w:line="440" w:lineRule="exact"/>
              <w:ind w:firstLine="0"/>
              <w:rPr>
                <w:rFonts w:hint="eastAsia" w:ascii="宋体" w:hAnsi="宋体" w:cs="宋体"/>
                <w:sz w:val="22"/>
                <w:szCs w:val="22"/>
              </w:rPr>
            </w:pPr>
            <w:r>
              <w:rPr>
                <w:rFonts w:hint="eastAsia" w:ascii="宋体" w:hAnsi="宋体" w:cs="宋体"/>
                <w:sz w:val="22"/>
                <w:szCs w:val="22"/>
              </w:rPr>
              <w:t xml:space="preserve">大写：人民币  </w:t>
            </w:r>
          </w:p>
        </w:tc>
        <w:tc>
          <w:tcPr>
            <w:tcW w:w="1485" w:type="dxa"/>
            <w:vMerge w:val="continue"/>
            <w:noWrap w:val="0"/>
            <w:vAlign w:val="center"/>
          </w:tcPr>
          <w:p w14:paraId="36770E85">
            <w:pPr>
              <w:pStyle w:val="212"/>
              <w:spacing w:line="440" w:lineRule="exact"/>
              <w:ind w:firstLine="0"/>
              <w:rPr>
                <w:rFonts w:hint="eastAsia" w:ascii="宋体" w:hAnsi="宋体" w:cs="宋体"/>
                <w:sz w:val="22"/>
                <w:szCs w:val="22"/>
              </w:rPr>
            </w:pPr>
          </w:p>
        </w:tc>
      </w:tr>
      <w:tr w14:paraId="78CDEE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9" w:hRule="atLeast"/>
        </w:trPr>
        <w:tc>
          <w:tcPr>
            <w:tcW w:w="1980" w:type="dxa"/>
            <w:noWrap w:val="0"/>
            <w:vAlign w:val="center"/>
          </w:tcPr>
          <w:p w14:paraId="39451873">
            <w:pPr>
              <w:pStyle w:val="212"/>
              <w:spacing w:line="440" w:lineRule="exact"/>
              <w:ind w:firstLine="0"/>
              <w:rPr>
                <w:rFonts w:hint="eastAsia" w:ascii="宋体" w:hAnsi="宋体" w:eastAsia="宋体" w:cs="宋体"/>
                <w:sz w:val="22"/>
                <w:szCs w:val="22"/>
                <w:lang w:val="en-US" w:eastAsia="zh-CN" w:bidi="ar-SA"/>
              </w:rPr>
            </w:pPr>
            <w:r>
              <w:rPr>
                <w:rFonts w:hint="eastAsia" w:ascii="宋体" w:hAnsi="宋体" w:cs="宋体"/>
                <w:sz w:val="22"/>
                <w:szCs w:val="22"/>
                <w:lang w:val="en-US" w:eastAsia="zh-CN"/>
              </w:rPr>
              <w:t>项目负责人</w:t>
            </w:r>
          </w:p>
        </w:tc>
        <w:tc>
          <w:tcPr>
            <w:tcW w:w="6255" w:type="dxa"/>
            <w:noWrap w:val="0"/>
            <w:vAlign w:val="center"/>
          </w:tcPr>
          <w:p w14:paraId="3A51AC2A">
            <w:pPr>
              <w:pStyle w:val="212"/>
              <w:tabs>
                <w:tab w:val="left" w:pos="3624"/>
              </w:tabs>
              <w:spacing w:line="440" w:lineRule="exact"/>
              <w:ind w:firstLine="472"/>
              <w:rPr>
                <w:rFonts w:hint="eastAsia" w:ascii="宋体" w:hAnsi="宋体" w:cs="宋体"/>
                <w:sz w:val="22"/>
                <w:szCs w:val="22"/>
                <w:u w:val="single"/>
              </w:rPr>
            </w:pPr>
          </w:p>
        </w:tc>
        <w:tc>
          <w:tcPr>
            <w:tcW w:w="1485" w:type="dxa"/>
            <w:noWrap w:val="0"/>
            <w:vAlign w:val="center"/>
          </w:tcPr>
          <w:p w14:paraId="2F6FAE99">
            <w:pPr>
              <w:pStyle w:val="212"/>
              <w:spacing w:line="440" w:lineRule="exact"/>
              <w:ind w:firstLine="472"/>
              <w:rPr>
                <w:rFonts w:hint="eastAsia" w:ascii="宋体" w:hAnsi="宋体" w:cs="宋体"/>
                <w:sz w:val="22"/>
                <w:szCs w:val="22"/>
              </w:rPr>
            </w:pPr>
          </w:p>
          <w:p w14:paraId="7D2928EE">
            <w:pPr>
              <w:pStyle w:val="212"/>
              <w:spacing w:line="440" w:lineRule="exact"/>
              <w:ind w:firstLine="472"/>
              <w:rPr>
                <w:rFonts w:hint="eastAsia" w:ascii="宋体" w:hAnsi="宋体" w:cs="宋体"/>
                <w:sz w:val="22"/>
                <w:szCs w:val="22"/>
              </w:rPr>
            </w:pPr>
          </w:p>
        </w:tc>
      </w:tr>
    </w:tbl>
    <w:p w14:paraId="1EE034BC">
      <w:pPr>
        <w:rPr>
          <w:rFonts w:hint="eastAsia" w:ascii="宋体" w:hAnsi="宋体" w:cs="宋体"/>
          <w:b/>
          <w:color w:val="000000"/>
          <w:sz w:val="22"/>
          <w:szCs w:val="22"/>
          <w:lang w:val="zh-CN"/>
        </w:rPr>
      </w:pPr>
    </w:p>
    <w:p w14:paraId="3A3750A2">
      <w:pPr>
        <w:widowControl/>
        <w:jc w:val="left"/>
        <w:rPr>
          <w:rFonts w:hint="eastAsia" w:ascii="宋体" w:hAnsi="宋体" w:cs="宋体"/>
          <w:b/>
          <w:sz w:val="22"/>
          <w:szCs w:val="22"/>
          <w:lang w:bidi="ar"/>
        </w:rPr>
      </w:pPr>
    </w:p>
    <w:p w14:paraId="10251011">
      <w:pPr>
        <w:spacing w:line="360" w:lineRule="auto"/>
        <w:ind w:firstLine="420"/>
        <w:rPr>
          <w:rFonts w:hint="eastAsia" w:ascii="宋体" w:hAnsi="宋体" w:cs="宋体"/>
          <w:sz w:val="22"/>
          <w:szCs w:val="22"/>
          <w:lang w:val="zh-CN"/>
        </w:rPr>
      </w:pPr>
      <w:r>
        <w:rPr>
          <w:rFonts w:hint="eastAsia" w:ascii="宋体" w:hAnsi="宋体" w:cs="宋体"/>
          <w:color w:val="000000"/>
          <w:sz w:val="22"/>
          <w:szCs w:val="22"/>
          <w:lang w:val="zh-CN"/>
        </w:rPr>
        <w:t>供应商名称：</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w:t>
      </w:r>
      <w:r>
        <w:rPr>
          <w:rFonts w:hint="eastAsia" w:ascii="宋体" w:hAnsi="宋体" w:eastAsia="宋体" w:cs="宋体"/>
          <w:color w:val="000000"/>
          <w:sz w:val="22"/>
          <w:szCs w:val="22"/>
          <w:lang w:val="zh-CN"/>
        </w:rPr>
        <w:t>加盖电子公章</w:t>
      </w:r>
      <w:r>
        <w:rPr>
          <w:rFonts w:hint="eastAsia" w:ascii="宋体" w:hAnsi="宋体" w:cs="宋体"/>
          <w:color w:val="000000"/>
          <w:sz w:val="22"/>
          <w:szCs w:val="22"/>
          <w:lang w:val="zh-CN"/>
        </w:rPr>
        <w:t>）</w:t>
      </w:r>
      <w:r>
        <w:rPr>
          <w:rFonts w:hint="eastAsia" w:ascii="宋体" w:hAnsi="宋体" w:cs="宋体"/>
          <w:sz w:val="22"/>
          <w:szCs w:val="22"/>
          <w:lang w:val="zh-CN"/>
        </w:rPr>
        <w:t xml:space="preserve">                 </w:t>
      </w:r>
    </w:p>
    <w:p w14:paraId="3EB34F28">
      <w:pPr>
        <w:spacing w:line="360" w:lineRule="auto"/>
        <w:ind w:firstLine="420"/>
        <w:rPr>
          <w:rFonts w:hint="eastAsia" w:ascii="宋体" w:hAnsi="宋体" w:cs="宋体"/>
          <w:color w:val="000000"/>
          <w:sz w:val="22"/>
          <w:szCs w:val="22"/>
          <w:lang w:val="zh-CN"/>
        </w:rPr>
      </w:pPr>
      <w:r>
        <w:rPr>
          <w:rFonts w:hint="eastAsia" w:ascii="宋体" w:hAnsi="宋体" w:cs="宋体"/>
          <w:color w:val="000000"/>
          <w:sz w:val="22"/>
          <w:szCs w:val="22"/>
          <w:lang w:val="zh-CN"/>
        </w:rPr>
        <w:t>日    期：</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年</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月</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日</w:t>
      </w:r>
    </w:p>
    <w:p w14:paraId="030F4085">
      <w:pPr>
        <w:widowControl/>
        <w:spacing w:line="360" w:lineRule="auto"/>
        <w:jc w:val="left"/>
        <w:rPr>
          <w:rFonts w:hint="eastAsia" w:ascii="宋体" w:hAnsi="宋体" w:cs="宋体"/>
          <w:sz w:val="22"/>
          <w:szCs w:val="22"/>
        </w:rPr>
      </w:pPr>
      <w:r>
        <w:rPr>
          <w:rFonts w:hint="eastAsia" w:ascii="宋体" w:hAnsi="宋体" w:cs="宋体"/>
          <w:sz w:val="22"/>
          <w:szCs w:val="22"/>
        </w:rPr>
        <w:t>说明：</w:t>
      </w:r>
    </w:p>
    <w:p w14:paraId="4AEEACDE">
      <w:pPr>
        <w:widowControl/>
        <w:numPr>
          <w:ilvl w:val="0"/>
          <w:numId w:val="6"/>
        </w:numPr>
        <w:spacing w:line="360" w:lineRule="auto"/>
        <w:ind w:firstLine="420"/>
        <w:jc w:val="left"/>
        <w:rPr>
          <w:rFonts w:hint="eastAsia" w:ascii="宋体" w:hAnsi="宋体" w:cs="宋体"/>
          <w:sz w:val="22"/>
          <w:szCs w:val="22"/>
        </w:rPr>
      </w:pPr>
      <w:r>
        <w:rPr>
          <w:rFonts w:hint="eastAsia" w:ascii="宋体" w:hAnsi="宋体" w:cs="宋体"/>
          <w:sz w:val="22"/>
          <w:szCs w:val="22"/>
        </w:rPr>
        <w:t>本项目仅接受一个价格，不得填报有选择性报价方案。若有优惠条款须注明，但不得影响报价，影响产品整体功能。</w:t>
      </w:r>
    </w:p>
    <w:p w14:paraId="03C083F4">
      <w:pPr>
        <w:widowControl/>
        <w:spacing w:line="360" w:lineRule="auto"/>
        <w:ind w:firstLine="420"/>
        <w:jc w:val="left"/>
        <w:rPr>
          <w:rFonts w:hint="eastAsia" w:ascii="宋体" w:hAnsi="宋体" w:cs="宋体"/>
          <w:b/>
          <w:color w:val="000000"/>
          <w:szCs w:val="21"/>
          <w:lang w:val="zh-CN"/>
        </w:rPr>
      </w:pPr>
    </w:p>
    <w:p w14:paraId="2E5A244D">
      <w:pPr>
        <w:pStyle w:val="42"/>
        <w:ind w:firstLine="422"/>
        <w:rPr>
          <w:rFonts w:hint="eastAsia" w:ascii="宋体" w:hAnsi="宋体" w:eastAsia="宋体"/>
          <w:b/>
          <w:color w:val="000000"/>
          <w:sz w:val="21"/>
          <w:szCs w:val="21"/>
        </w:rPr>
      </w:pPr>
    </w:p>
    <w:p w14:paraId="3253C17C">
      <w:pPr>
        <w:pStyle w:val="42"/>
        <w:ind w:firstLine="422"/>
        <w:rPr>
          <w:rFonts w:hint="eastAsia" w:ascii="宋体" w:hAnsi="宋体" w:eastAsia="宋体"/>
          <w:b/>
          <w:color w:val="000000"/>
          <w:sz w:val="21"/>
          <w:szCs w:val="21"/>
          <w:highlight w:val="yellow"/>
        </w:rPr>
      </w:pPr>
    </w:p>
    <w:p w14:paraId="355CB15B">
      <w:pPr>
        <w:widowControl/>
        <w:spacing w:line="360" w:lineRule="auto"/>
        <w:jc w:val="left"/>
        <w:rPr>
          <w:rFonts w:hint="eastAsia" w:ascii="宋体" w:hAnsi="宋体" w:cs="宋体"/>
          <w:b/>
          <w:color w:val="000000"/>
          <w:szCs w:val="21"/>
          <w:lang w:val="zh-CN"/>
        </w:rPr>
      </w:pPr>
    </w:p>
    <w:p w14:paraId="65EF1003">
      <w:pPr>
        <w:widowControl/>
        <w:spacing w:line="360" w:lineRule="auto"/>
        <w:jc w:val="left"/>
        <w:rPr>
          <w:rFonts w:hint="eastAsia" w:ascii="宋体" w:hAnsi="宋体" w:cs="宋体"/>
          <w:b/>
          <w:color w:val="000000"/>
          <w:szCs w:val="21"/>
          <w:lang w:val="zh-CN"/>
        </w:rPr>
      </w:pPr>
    </w:p>
    <w:p w14:paraId="1280C91E">
      <w:pPr>
        <w:widowControl/>
        <w:spacing w:line="360" w:lineRule="auto"/>
        <w:jc w:val="left"/>
        <w:rPr>
          <w:rFonts w:hint="eastAsia" w:ascii="宋体" w:hAnsi="宋体" w:cs="宋体"/>
          <w:b/>
          <w:color w:val="000000"/>
          <w:szCs w:val="21"/>
          <w:lang w:val="zh-CN"/>
        </w:rPr>
      </w:pPr>
    </w:p>
    <w:p w14:paraId="5AADB65E">
      <w:pPr>
        <w:widowControl/>
        <w:spacing w:line="360" w:lineRule="auto"/>
        <w:jc w:val="left"/>
        <w:rPr>
          <w:rFonts w:hint="eastAsia" w:ascii="宋体" w:hAnsi="宋体" w:cs="宋体"/>
          <w:b/>
          <w:color w:val="000000"/>
          <w:szCs w:val="21"/>
          <w:lang w:val="zh-CN"/>
        </w:rPr>
      </w:pPr>
    </w:p>
    <w:p w14:paraId="7678CF15">
      <w:pPr>
        <w:widowControl/>
        <w:spacing w:line="360" w:lineRule="auto"/>
        <w:jc w:val="left"/>
        <w:rPr>
          <w:rFonts w:hint="eastAsia" w:ascii="宋体" w:hAnsi="宋体" w:cs="宋体"/>
          <w:b/>
          <w:color w:val="000000"/>
          <w:szCs w:val="21"/>
          <w:lang w:val="zh-CN"/>
        </w:rPr>
      </w:pPr>
    </w:p>
    <w:p w14:paraId="5CE60DBA">
      <w:pPr>
        <w:widowControl/>
        <w:spacing w:line="360" w:lineRule="auto"/>
        <w:jc w:val="left"/>
        <w:rPr>
          <w:rFonts w:hint="eastAsia" w:ascii="宋体" w:hAnsi="宋体" w:cs="宋体"/>
          <w:b/>
          <w:color w:val="000000"/>
          <w:szCs w:val="21"/>
          <w:lang w:val="zh-CN"/>
        </w:rPr>
      </w:pPr>
    </w:p>
    <w:p w14:paraId="27DE7037">
      <w:pPr>
        <w:widowControl/>
        <w:spacing w:line="360" w:lineRule="auto"/>
        <w:jc w:val="left"/>
        <w:rPr>
          <w:rFonts w:hint="eastAsia" w:ascii="宋体" w:hAnsi="宋体" w:cs="宋体"/>
          <w:b/>
          <w:color w:val="000000"/>
          <w:szCs w:val="21"/>
          <w:lang w:val="zh-CN"/>
        </w:rPr>
      </w:pPr>
    </w:p>
    <w:p w14:paraId="1AEF29CD">
      <w:pPr>
        <w:widowControl/>
        <w:spacing w:line="360" w:lineRule="auto"/>
        <w:jc w:val="left"/>
        <w:rPr>
          <w:rFonts w:hint="eastAsia" w:ascii="宋体" w:hAnsi="宋体" w:cs="宋体"/>
          <w:b/>
          <w:color w:val="000000"/>
          <w:szCs w:val="21"/>
          <w:lang w:val="zh-CN"/>
        </w:rPr>
        <w:sectPr>
          <w:headerReference r:id="rId6" w:type="default"/>
          <w:footerReference r:id="rId7" w:type="default"/>
          <w:endnotePr>
            <w:numFmt w:val="decimal"/>
          </w:endnotePr>
          <w:pgSz w:w="12240" w:h="15840"/>
          <w:pgMar w:top="1440" w:right="1134" w:bottom="1440" w:left="1134" w:header="720" w:footer="720" w:gutter="0"/>
          <w:cols w:space="1701" w:num="1"/>
          <w:docGrid w:linePitch="360" w:charSpace="0"/>
        </w:sectPr>
      </w:pPr>
    </w:p>
    <w:p w14:paraId="430B0D7A">
      <w:pPr>
        <w:keepNext w:val="0"/>
        <w:keepLines w:val="0"/>
        <w:pageBreakBefore w:val="0"/>
        <w:widowControl/>
        <w:spacing w:after="0" w:line="360" w:lineRule="auto"/>
        <w:ind w:firstLine="0"/>
        <w:jc w:val="both"/>
        <w:outlineLvl w:val="1"/>
        <w:rPr>
          <w:rFonts w:hint="eastAsia" w:ascii="宋体" w:hAnsi="宋体" w:eastAsia="宋体" w:cs="Times New Roman"/>
          <w:b/>
          <w:sz w:val="21"/>
          <w:szCs w:val="21"/>
          <w:lang w:val="zh-CN" w:eastAsia="zh-CN" w:bidi="en-US"/>
        </w:rPr>
      </w:pPr>
      <w:r>
        <w:rPr>
          <w:rFonts w:hint="eastAsia" w:ascii="宋体" w:hAnsi="宋体" w:eastAsia="宋体" w:cs="Times New Roman"/>
          <w:b/>
          <w:sz w:val="21"/>
          <w:szCs w:val="21"/>
          <w:lang w:val="zh-CN" w:eastAsia="zh-CN" w:bidi="en-US"/>
        </w:rPr>
        <w:t>目录四、分项报价表格式</w:t>
      </w:r>
    </w:p>
    <w:tbl>
      <w:tblPr>
        <w:tblStyle w:val="35"/>
        <w:tblW w:w="994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69"/>
        <w:gridCol w:w="1049"/>
        <w:gridCol w:w="1716"/>
        <w:gridCol w:w="1565"/>
        <w:gridCol w:w="1671"/>
        <w:gridCol w:w="1465"/>
        <w:gridCol w:w="2011"/>
      </w:tblGrid>
      <w:tr w14:paraId="20EFED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7" w:hRule="atLeast"/>
        </w:trPr>
        <w:tc>
          <w:tcPr>
            <w:tcW w:w="9946" w:type="dxa"/>
            <w:gridSpan w:val="7"/>
            <w:tcBorders>
              <w:top w:val="nil"/>
              <w:left w:val="nil"/>
              <w:bottom w:val="nil"/>
              <w:right w:val="nil"/>
            </w:tcBorders>
            <w:shd w:val="clear" w:color="auto" w:fill="auto"/>
            <w:noWrap/>
            <w:vAlign w:val="center"/>
          </w:tcPr>
          <w:p w14:paraId="49745EC4">
            <w:pPr>
              <w:keepNext w:val="0"/>
              <w:keepLines w:val="0"/>
              <w:widowControl/>
              <w:suppressLineNumbers w:val="0"/>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bidi="ar"/>
              </w:rPr>
              <w:t>投标报价汇总表</w:t>
            </w:r>
          </w:p>
        </w:tc>
      </w:tr>
      <w:tr w14:paraId="6C5070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8" w:hRule="atLeast"/>
        </w:trPr>
        <w:tc>
          <w:tcPr>
            <w:tcW w:w="4799" w:type="dxa"/>
            <w:gridSpan w:val="4"/>
            <w:tcBorders>
              <w:top w:val="nil"/>
              <w:left w:val="nil"/>
              <w:bottom w:val="nil"/>
              <w:right w:val="nil"/>
            </w:tcBorders>
            <w:shd w:val="clear" w:color="auto" w:fill="auto"/>
            <w:noWrap/>
            <w:vAlign w:val="center"/>
          </w:tcPr>
          <w:p w14:paraId="6EC05407">
            <w:pPr>
              <w:keepNext w:val="0"/>
              <w:keepLines w:val="0"/>
              <w:widowControl/>
              <w:suppressLineNumbers w:val="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2026年江宁区林荫大道示范管护带养护服务</w:t>
            </w:r>
          </w:p>
        </w:tc>
        <w:tc>
          <w:tcPr>
            <w:tcW w:w="1671" w:type="dxa"/>
            <w:tcBorders>
              <w:top w:val="nil"/>
              <w:left w:val="nil"/>
              <w:bottom w:val="nil"/>
              <w:right w:val="nil"/>
            </w:tcBorders>
            <w:shd w:val="clear" w:color="auto" w:fill="auto"/>
            <w:noWrap/>
            <w:vAlign w:val="center"/>
          </w:tcPr>
          <w:p w14:paraId="1AD64529">
            <w:pPr>
              <w:rPr>
                <w:rFonts w:hint="eastAsia" w:ascii="宋体" w:hAnsi="宋体" w:eastAsia="宋体" w:cs="宋体"/>
                <w:i w:val="0"/>
                <w:iCs w:val="0"/>
                <w:color w:val="000000"/>
                <w:sz w:val="24"/>
                <w:szCs w:val="24"/>
                <w:u w:val="none"/>
              </w:rPr>
            </w:pPr>
          </w:p>
        </w:tc>
        <w:tc>
          <w:tcPr>
            <w:tcW w:w="3476" w:type="dxa"/>
            <w:gridSpan w:val="2"/>
            <w:tcBorders>
              <w:top w:val="nil"/>
              <w:left w:val="nil"/>
              <w:bottom w:val="nil"/>
              <w:right w:val="nil"/>
            </w:tcBorders>
            <w:shd w:val="clear" w:color="auto" w:fill="auto"/>
            <w:noWrap/>
            <w:vAlign w:val="center"/>
          </w:tcPr>
          <w:p w14:paraId="6CCAC5A9">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货币单位：人民币元</w:t>
            </w:r>
          </w:p>
        </w:tc>
      </w:tr>
      <w:tr w14:paraId="1AD167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13" w:hRule="atLeast"/>
        </w:trPr>
        <w:tc>
          <w:tcPr>
            <w:tcW w:w="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11A9C">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序  号</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805E8">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章  次</w:t>
            </w:r>
          </w:p>
        </w:tc>
        <w:tc>
          <w:tcPr>
            <w:tcW w:w="328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E55F2">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科  目  名  称</w:t>
            </w:r>
          </w:p>
        </w:tc>
        <w:tc>
          <w:tcPr>
            <w:tcW w:w="1671" w:type="dxa"/>
            <w:tcBorders>
              <w:top w:val="single" w:color="000000" w:sz="4" w:space="0"/>
              <w:left w:val="single" w:color="000000" w:sz="4" w:space="0"/>
              <w:bottom w:val="single" w:color="000000" w:sz="4" w:space="0"/>
              <w:right w:val="nil"/>
            </w:tcBorders>
            <w:shd w:val="clear" w:color="auto" w:fill="auto"/>
            <w:noWrap/>
            <w:vAlign w:val="center"/>
          </w:tcPr>
          <w:p w14:paraId="716E814C">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金额(元)</w:t>
            </w:r>
          </w:p>
        </w:tc>
        <w:tc>
          <w:tcPr>
            <w:tcW w:w="1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631E4">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基价类</w:t>
            </w:r>
          </w:p>
        </w:tc>
        <w:tc>
          <w:tcPr>
            <w:tcW w:w="20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70B6B">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单价类</w:t>
            </w:r>
          </w:p>
        </w:tc>
      </w:tr>
      <w:tr w14:paraId="0942C2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4" w:hRule="atLeast"/>
        </w:trPr>
        <w:tc>
          <w:tcPr>
            <w:tcW w:w="46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A456A">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A07CE">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100-1</w:t>
            </w:r>
          </w:p>
        </w:tc>
        <w:tc>
          <w:tcPr>
            <w:tcW w:w="171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0D810">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总则</w:t>
            </w:r>
          </w:p>
        </w:tc>
        <w:tc>
          <w:tcPr>
            <w:tcW w:w="15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7981A">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基价类</w:t>
            </w:r>
          </w:p>
        </w:tc>
        <w:tc>
          <w:tcPr>
            <w:tcW w:w="1671" w:type="dxa"/>
            <w:tcBorders>
              <w:top w:val="single" w:color="000000" w:sz="4" w:space="0"/>
              <w:left w:val="single" w:color="000000" w:sz="4" w:space="0"/>
              <w:bottom w:val="single" w:color="000000" w:sz="4" w:space="0"/>
              <w:right w:val="nil"/>
            </w:tcBorders>
            <w:shd w:val="clear" w:color="auto" w:fill="auto"/>
            <w:noWrap/>
            <w:vAlign w:val="center"/>
          </w:tcPr>
          <w:p w14:paraId="1FD3FD2E">
            <w:pPr>
              <w:keepNext w:val="0"/>
              <w:keepLines w:val="0"/>
              <w:widowControl/>
              <w:suppressLineNumbers w:val="0"/>
              <w:jc w:val="center"/>
              <w:rPr>
                <w:rFonts w:hint="eastAsia" w:ascii="宋体" w:hAnsi="宋体" w:eastAsia="宋体" w:cs="宋体"/>
                <w:i w:val="0"/>
                <w:iCs w:val="0"/>
                <w:color w:val="000000"/>
                <w:sz w:val="24"/>
                <w:szCs w:val="24"/>
                <w:u w:val="none"/>
              </w:rPr>
            </w:pPr>
          </w:p>
        </w:tc>
        <w:tc>
          <w:tcPr>
            <w:tcW w:w="1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D1E04">
            <w:pPr>
              <w:keepNext w:val="0"/>
              <w:keepLines w:val="0"/>
              <w:widowControl/>
              <w:suppressLineNumbers w:val="0"/>
              <w:jc w:val="center"/>
              <w:rPr>
                <w:rFonts w:hint="eastAsia" w:ascii="宋体" w:hAnsi="宋体" w:eastAsia="宋体" w:cs="宋体"/>
                <w:i w:val="0"/>
                <w:iCs w:val="0"/>
                <w:color w:val="000000"/>
                <w:sz w:val="24"/>
                <w:szCs w:val="24"/>
                <w:u w:val="none"/>
              </w:rPr>
            </w:pPr>
          </w:p>
        </w:tc>
        <w:tc>
          <w:tcPr>
            <w:tcW w:w="20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B2609">
            <w:pPr>
              <w:jc w:val="center"/>
              <w:rPr>
                <w:rFonts w:hint="eastAsia" w:ascii="宋体" w:hAnsi="宋体" w:eastAsia="宋体" w:cs="宋体"/>
                <w:i w:val="0"/>
                <w:iCs w:val="0"/>
                <w:color w:val="000000"/>
                <w:sz w:val="24"/>
                <w:szCs w:val="24"/>
                <w:u w:val="none"/>
              </w:rPr>
            </w:pPr>
          </w:p>
        </w:tc>
      </w:tr>
      <w:tr w14:paraId="51538C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4" w:hRule="atLeast"/>
        </w:trPr>
        <w:tc>
          <w:tcPr>
            <w:tcW w:w="46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F40A4">
            <w:pPr>
              <w:jc w:val="center"/>
              <w:rPr>
                <w:rFonts w:hint="eastAsia" w:ascii="宋体" w:hAnsi="宋体" w:eastAsia="宋体" w:cs="宋体"/>
                <w:i w:val="0"/>
                <w:iCs w:val="0"/>
                <w:color w:val="000000"/>
                <w:sz w:val="24"/>
                <w:szCs w:val="24"/>
                <w:u w:val="none"/>
              </w:rPr>
            </w:pP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2D5A8">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100-2</w:t>
            </w:r>
          </w:p>
        </w:tc>
        <w:tc>
          <w:tcPr>
            <w:tcW w:w="171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42D3E">
            <w:pPr>
              <w:jc w:val="center"/>
              <w:rPr>
                <w:rFonts w:hint="eastAsia" w:ascii="宋体" w:hAnsi="宋体" w:eastAsia="宋体" w:cs="宋体"/>
                <w:i w:val="0"/>
                <w:iCs w:val="0"/>
                <w:color w:val="000000"/>
                <w:sz w:val="24"/>
                <w:szCs w:val="24"/>
                <w:u w:val="none"/>
              </w:rPr>
            </w:pPr>
          </w:p>
        </w:tc>
        <w:tc>
          <w:tcPr>
            <w:tcW w:w="15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D7987">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单价类</w:t>
            </w:r>
          </w:p>
        </w:tc>
        <w:tc>
          <w:tcPr>
            <w:tcW w:w="1671" w:type="dxa"/>
            <w:tcBorders>
              <w:top w:val="single" w:color="000000" w:sz="4" w:space="0"/>
              <w:left w:val="single" w:color="000000" w:sz="4" w:space="0"/>
              <w:bottom w:val="single" w:color="000000" w:sz="4" w:space="0"/>
              <w:right w:val="nil"/>
            </w:tcBorders>
            <w:shd w:val="clear" w:color="auto" w:fill="auto"/>
            <w:noWrap/>
            <w:vAlign w:val="center"/>
          </w:tcPr>
          <w:p w14:paraId="61805DA6">
            <w:pPr>
              <w:jc w:val="center"/>
              <w:rPr>
                <w:rFonts w:hint="eastAsia" w:ascii="宋体" w:hAnsi="宋体" w:eastAsia="宋体" w:cs="宋体"/>
                <w:i w:val="0"/>
                <w:iCs w:val="0"/>
                <w:color w:val="000000"/>
                <w:sz w:val="24"/>
                <w:szCs w:val="24"/>
                <w:u w:val="none"/>
              </w:rPr>
            </w:pPr>
          </w:p>
        </w:tc>
        <w:tc>
          <w:tcPr>
            <w:tcW w:w="1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B0B02">
            <w:pPr>
              <w:jc w:val="center"/>
              <w:rPr>
                <w:rFonts w:hint="eastAsia" w:ascii="宋体" w:hAnsi="宋体" w:eastAsia="宋体" w:cs="宋体"/>
                <w:i w:val="0"/>
                <w:iCs w:val="0"/>
                <w:color w:val="000000"/>
                <w:sz w:val="24"/>
                <w:szCs w:val="24"/>
                <w:u w:val="none"/>
              </w:rPr>
            </w:pPr>
          </w:p>
        </w:tc>
        <w:tc>
          <w:tcPr>
            <w:tcW w:w="20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DEFD9">
            <w:pPr>
              <w:jc w:val="center"/>
              <w:rPr>
                <w:rFonts w:hint="eastAsia" w:ascii="宋体" w:hAnsi="宋体" w:eastAsia="宋体" w:cs="宋体"/>
                <w:i w:val="0"/>
                <w:iCs w:val="0"/>
                <w:color w:val="000000"/>
                <w:sz w:val="24"/>
                <w:szCs w:val="24"/>
                <w:u w:val="none"/>
              </w:rPr>
            </w:pPr>
          </w:p>
        </w:tc>
      </w:tr>
      <w:tr w14:paraId="4F9884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4" w:hRule="atLeast"/>
        </w:trPr>
        <w:tc>
          <w:tcPr>
            <w:tcW w:w="46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2ECF8">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2</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A8D8D">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200-1</w:t>
            </w:r>
          </w:p>
        </w:tc>
        <w:tc>
          <w:tcPr>
            <w:tcW w:w="171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5304B">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路基</w:t>
            </w:r>
          </w:p>
        </w:tc>
        <w:tc>
          <w:tcPr>
            <w:tcW w:w="15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CE631">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基价类</w:t>
            </w:r>
          </w:p>
        </w:tc>
        <w:tc>
          <w:tcPr>
            <w:tcW w:w="1671" w:type="dxa"/>
            <w:tcBorders>
              <w:top w:val="single" w:color="000000" w:sz="4" w:space="0"/>
              <w:left w:val="single" w:color="000000" w:sz="4" w:space="0"/>
              <w:bottom w:val="single" w:color="000000" w:sz="4" w:space="0"/>
              <w:right w:val="nil"/>
            </w:tcBorders>
            <w:shd w:val="clear" w:color="auto" w:fill="auto"/>
            <w:noWrap/>
            <w:vAlign w:val="center"/>
          </w:tcPr>
          <w:p w14:paraId="08046C73">
            <w:pPr>
              <w:keepNext w:val="0"/>
              <w:keepLines w:val="0"/>
              <w:widowControl/>
              <w:suppressLineNumbers w:val="0"/>
              <w:jc w:val="center"/>
              <w:rPr>
                <w:rFonts w:hint="eastAsia" w:ascii="宋体" w:hAnsi="宋体" w:eastAsia="宋体" w:cs="宋体"/>
                <w:i w:val="0"/>
                <w:iCs w:val="0"/>
                <w:color w:val="000000"/>
                <w:sz w:val="24"/>
                <w:szCs w:val="24"/>
                <w:u w:val="none"/>
              </w:rPr>
            </w:pPr>
          </w:p>
        </w:tc>
        <w:tc>
          <w:tcPr>
            <w:tcW w:w="1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52F09">
            <w:pPr>
              <w:keepNext w:val="0"/>
              <w:keepLines w:val="0"/>
              <w:widowControl/>
              <w:suppressLineNumbers w:val="0"/>
              <w:jc w:val="center"/>
              <w:rPr>
                <w:rFonts w:hint="eastAsia" w:ascii="宋体" w:hAnsi="宋体" w:eastAsia="宋体" w:cs="宋体"/>
                <w:i w:val="0"/>
                <w:iCs w:val="0"/>
                <w:color w:val="000000"/>
                <w:sz w:val="24"/>
                <w:szCs w:val="24"/>
                <w:u w:val="none"/>
              </w:rPr>
            </w:pPr>
          </w:p>
        </w:tc>
        <w:tc>
          <w:tcPr>
            <w:tcW w:w="20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06329">
            <w:pPr>
              <w:jc w:val="center"/>
              <w:rPr>
                <w:rFonts w:hint="eastAsia" w:ascii="宋体" w:hAnsi="宋体" w:eastAsia="宋体" w:cs="宋体"/>
                <w:i w:val="0"/>
                <w:iCs w:val="0"/>
                <w:color w:val="000000"/>
                <w:sz w:val="24"/>
                <w:szCs w:val="24"/>
                <w:u w:val="none"/>
              </w:rPr>
            </w:pPr>
          </w:p>
        </w:tc>
      </w:tr>
      <w:tr w14:paraId="47A8C5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4" w:hRule="atLeast"/>
        </w:trPr>
        <w:tc>
          <w:tcPr>
            <w:tcW w:w="46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850C1">
            <w:pPr>
              <w:jc w:val="center"/>
              <w:rPr>
                <w:rFonts w:hint="eastAsia" w:ascii="宋体" w:hAnsi="宋体" w:eastAsia="宋体" w:cs="宋体"/>
                <w:i w:val="0"/>
                <w:iCs w:val="0"/>
                <w:color w:val="000000"/>
                <w:sz w:val="24"/>
                <w:szCs w:val="24"/>
                <w:u w:val="none"/>
              </w:rPr>
            </w:pP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7E50A">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200-2</w:t>
            </w:r>
          </w:p>
        </w:tc>
        <w:tc>
          <w:tcPr>
            <w:tcW w:w="171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8601D">
            <w:pPr>
              <w:jc w:val="center"/>
              <w:rPr>
                <w:rFonts w:hint="eastAsia" w:ascii="宋体" w:hAnsi="宋体" w:eastAsia="宋体" w:cs="宋体"/>
                <w:i w:val="0"/>
                <w:iCs w:val="0"/>
                <w:color w:val="000000"/>
                <w:sz w:val="24"/>
                <w:szCs w:val="24"/>
                <w:u w:val="none"/>
              </w:rPr>
            </w:pPr>
          </w:p>
        </w:tc>
        <w:tc>
          <w:tcPr>
            <w:tcW w:w="15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8C65F">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单价类</w:t>
            </w:r>
          </w:p>
        </w:tc>
        <w:tc>
          <w:tcPr>
            <w:tcW w:w="1671" w:type="dxa"/>
            <w:tcBorders>
              <w:top w:val="single" w:color="000000" w:sz="4" w:space="0"/>
              <w:left w:val="single" w:color="000000" w:sz="4" w:space="0"/>
              <w:bottom w:val="single" w:color="000000" w:sz="4" w:space="0"/>
              <w:right w:val="nil"/>
            </w:tcBorders>
            <w:shd w:val="clear" w:color="auto" w:fill="auto"/>
            <w:noWrap/>
            <w:vAlign w:val="center"/>
          </w:tcPr>
          <w:p w14:paraId="79AD8FA0">
            <w:pPr>
              <w:keepNext w:val="0"/>
              <w:keepLines w:val="0"/>
              <w:widowControl/>
              <w:suppressLineNumbers w:val="0"/>
              <w:jc w:val="center"/>
              <w:rPr>
                <w:rFonts w:hint="eastAsia" w:ascii="宋体" w:hAnsi="宋体" w:eastAsia="宋体" w:cs="宋体"/>
                <w:i w:val="0"/>
                <w:iCs w:val="0"/>
                <w:color w:val="000000"/>
                <w:sz w:val="24"/>
                <w:szCs w:val="24"/>
                <w:u w:val="none"/>
              </w:rPr>
            </w:pPr>
          </w:p>
        </w:tc>
        <w:tc>
          <w:tcPr>
            <w:tcW w:w="1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3231C">
            <w:pPr>
              <w:jc w:val="center"/>
              <w:rPr>
                <w:rFonts w:hint="eastAsia" w:ascii="宋体" w:hAnsi="宋体" w:eastAsia="宋体" w:cs="宋体"/>
                <w:i w:val="0"/>
                <w:iCs w:val="0"/>
                <w:color w:val="000000"/>
                <w:sz w:val="24"/>
                <w:szCs w:val="24"/>
                <w:u w:val="none"/>
              </w:rPr>
            </w:pPr>
          </w:p>
        </w:tc>
        <w:tc>
          <w:tcPr>
            <w:tcW w:w="20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187D1">
            <w:pPr>
              <w:keepNext w:val="0"/>
              <w:keepLines w:val="0"/>
              <w:widowControl/>
              <w:suppressLineNumbers w:val="0"/>
              <w:jc w:val="center"/>
              <w:rPr>
                <w:rFonts w:hint="eastAsia" w:ascii="宋体" w:hAnsi="宋体" w:eastAsia="宋体" w:cs="宋体"/>
                <w:i w:val="0"/>
                <w:iCs w:val="0"/>
                <w:color w:val="000000"/>
                <w:sz w:val="24"/>
                <w:szCs w:val="24"/>
                <w:u w:val="none"/>
              </w:rPr>
            </w:pPr>
          </w:p>
        </w:tc>
      </w:tr>
      <w:tr w14:paraId="661121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4" w:hRule="atLeast"/>
        </w:trPr>
        <w:tc>
          <w:tcPr>
            <w:tcW w:w="46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55BE8">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3</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23BF9">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300-1</w:t>
            </w:r>
          </w:p>
        </w:tc>
        <w:tc>
          <w:tcPr>
            <w:tcW w:w="171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809AD">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路面</w:t>
            </w:r>
          </w:p>
        </w:tc>
        <w:tc>
          <w:tcPr>
            <w:tcW w:w="15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50FC1">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基价类</w:t>
            </w:r>
          </w:p>
        </w:tc>
        <w:tc>
          <w:tcPr>
            <w:tcW w:w="1671" w:type="dxa"/>
            <w:tcBorders>
              <w:top w:val="single" w:color="000000" w:sz="4" w:space="0"/>
              <w:left w:val="single" w:color="000000" w:sz="4" w:space="0"/>
              <w:bottom w:val="single" w:color="000000" w:sz="4" w:space="0"/>
              <w:right w:val="nil"/>
            </w:tcBorders>
            <w:shd w:val="clear" w:color="auto" w:fill="auto"/>
            <w:noWrap/>
            <w:vAlign w:val="center"/>
          </w:tcPr>
          <w:p w14:paraId="6F682252">
            <w:pPr>
              <w:keepNext w:val="0"/>
              <w:keepLines w:val="0"/>
              <w:widowControl/>
              <w:suppressLineNumbers w:val="0"/>
              <w:jc w:val="center"/>
              <w:rPr>
                <w:rFonts w:hint="eastAsia" w:ascii="宋体" w:hAnsi="宋体" w:eastAsia="宋体" w:cs="宋体"/>
                <w:i w:val="0"/>
                <w:iCs w:val="0"/>
                <w:color w:val="000000"/>
                <w:sz w:val="24"/>
                <w:szCs w:val="24"/>
                <w:u w:val="none"/>
              </w:rPr>
            </w:pPr>
          </w:p>
        </w:tc>
        <w:tc>
          <w:tcPr>
            <w:tcW w:w="1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A1EBB">
            <w:pPr>
              <w:keepNext w:val="0"/>
              <w:keepLines w:val="0"/>
              <w:widowControl/>
              <w:suppressLineNumbers w:val="0"/>
              <w:jc w:val="center"/>
              <w:rPr>
                <w:rFonts w:hint="eastAsia" w:ascii="宋体" w:hAnsi="宋体" w:eastAsia="宋体" w:cs="宋体"/>
                <w:i w:val="0"/>
                <w:iCs w:val="0"/>
                <w:color w:val="000000"/>
                <w:sz w:val="24"/>
                <w:szCs w:val="24"/>
                <w:u w:val="none"/>
              </w:rPr>
            </w:pPr>
          </w:p>
        </w:tc>
        <w:tc>
          <w:tcPr>
            <w:tcW w:w="20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5D739">
            <w:pPr>
              <w:jc w:val="center"/>
              <w:rPr>
                <w:rFonts w:hint="eastAsia" w:ascii="宋体" w:hAnsi="宋体" w:eastAsia="宋体" w:cs="宋体"/>
                <w:i w:val="0"/>
                <w:iCs w:val="0"/>
                <w:color w:val="000000"/>
                <w:sz w:val="24"/>
                <w:szCs w:val="24"/>
                <w:u w:val="none"/>
              </w:rPr>
            </w:pPr>
          </w:p>
        </w:tc>
      </w:tr>
      <w:tr w14:paraId="0C2FB5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4" w:hRule="atLeast"/>
        </w:trPr>
        <w:tc>
          <w:tcPr>
            <w:tcW w:w="46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99132">
            <w:pPr>
              <w:jc w:val="center"/>
              <w:rPr>
                <w:rFonts w:hint="eastAsia" w:ascii="宋体" w:hAnsi="宋体" w:eastAsia="宋体" w:cs="宋体"/>
                <w:i w:val="0"/>
                <w:iCs w:val="0"/>
                <w:color w:val="000000"/>
                <w:sz w:val="24"/>
                <w:szCs w:val="24"/>
                <w:u w:val="none"/>
              </w:rPr>
            </w:pP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319F2">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300-2</w:t>
            </w:r>
          </w:p>
        </w:tc>
        <w:tc>
          <w:tcPr>
            <w:tcW w:w="171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5F52E">
            <w:pPr>
              <w:jc w:val="center"/>
              <w:rPr>
                <w:rFonts w:hint="eastAsia" w:ascii="宋体" w:hAnsi="宋体" w:eastAsia="宋体" w:cs="宋体"/>
                <w:i w:val="0"/>
                <w:iCs w:val="0"/>
                <w:color w:val="000000"/>
                <w:sz w:val="24"/>
                <w:szCs w:val="24"/>
                <w:u w:val="none"/>
              </w:rPr>
            </w:pPr>
          </w:p>
        </w:tc>
        <w:tc>
          <w:tcPr>
            <w:tcW w:w="15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0E07B">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单价类</w:t>
            </w:r>
          </w:p>
        </w:tc>
        <w:tc>
          <w:tcPr>
            <w:tcW w:w="1671" w:type="dxa"/>
            <w:tcBorders>
              <w:top w:val="single" w:color="000000" w:sz="4" w:space="0"/>
              <w:left w:val="single" w:color="000000" w:sz="4" w:space="0"/>
              <w:bottom w:val="single" w:color="000000" w:sz="4" w:space="0"/>
              <w:right w:val="nil"/>
            </w:tcBorders>
            <w:shd w:val="clear" w:color="auto" w:fill="auto"/>
            <w:noWrap/>
            <w:vAlign w:val="center"/>
          </w:tcPr>
          <w:p w14:paraId="40E83B78">
            <w:pPr>
              <w:keepNext w:val="0"/>
              <w:keepLines w:val="0"/>
              <w:widowControl/>
              <w:suppressLineNumbers w:val="0"/>
              <w:jc w:val="center"/>
              <w:rPr>
                <w:rFonts w:hint="eastAsia" w:ascii="宋体" w:hAnsi="宋体" w:eastAsia="宋体" w:cs="宋体"/>
                <w:i w:val="0"/>
                <w:iCs w:val="0"/>
                <w:color w:val="000000"/>
                <w:sz w:val="24"/>
                <w:szCs w:val="24"/>
                <w:u w:val="none"/>
              </w:rPr>
            </w:pPr>
          </w:p>
        </w:tc>
        <w:tc>
          <w:tcPr>
            <w:tcW w:w="1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CDEB8">
            <w:pPr>
              <w:jc w:val="center"/>
              <w:rPr>
                <w:rFonts w:hint="eastAsia" w:ascii="宋体" w:hAnsi="宋体" w:eastAsia="宋体" w:cs="宋体"/>
                <w:i w:val="0"/>
                <w:iCs w:val="0"/>
                <w:color w:val="000000"/>
                <w:sz w:val="24"/>
                <w:szCs w:val="24"/>
                <w:u w:val="none"/>
              </w:rPr>
            </w:pPr>
          </w:p>
        </w:tc>
        <w:tc>
          <w:tcPr>
            <w:tcW w:w="20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DCA00">
            <w:pPr>
              <w:keepNext w:val="0"/>
              <w:keepLines w:val="0"/>
              <w:widowControl/>
              <w:suppressLineNumbers w:val="0"/>
              <w:jc w:val="center"/>
              <w:rPr>
                <w:rFonts w:hint="eastAsia" w:ascii="宋体" w:hAnsi="宋体" w:eastAsia="宋体" w:cs="宋体"/>
                <w:i w:val="0"/>
                <w:iCs w:val="0"/>
                <w:color w:val="000000"/>
                <w:sz w:val="24"/>
                <w:szCs w:val="24"/>
                <w:u w:val="none"/>
              </w:rPr>
            </w:pPr>
          </w:p>
        </w:tc>
      </w:tr>
      <w:tr w14:paraId="405151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4" w:hRule="atLeast"/>
        </w:trPr>
        <w:tc>
          <w:tcPr>
            <w:tcW w:w="46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31141">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4</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8AA10">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400-1</w:t>
            </w:r>
          </w:p>
        </w:tc>
        <w:tc>
          <w:tcPr>
            <w:tcW w:w="171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AA728">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桥梁、涵洞</w:t>
            </w:r>
          </w:p>
        </w:tc>
        <w:tc>
          <w:tcPr>
            <w:tcW w:w="1565" w:type="dxa"/>
            <w:tcBorders>
              <w:top w:val="single" w:color="000000" w:sz="4" w:space="0"/>
              <w:left w:val="single" w:color="000000" w:sz="4" w:space="0"/>
              <w:bottom w:val="single" w:color="000000" w:sz="4" w:space="0"/>
              <w:right w:val="nil"/>
            </w:tcBorders>
            <w:shd w:val="clear" w:color="auto" w:fill="auto"/>
            <w:noWrap/>
            <w:vAlign w:val="center"/>
          </w:tcPr>
          <w:p w14:paraId="7789ED8F">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基价类</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19124">
            <w:pPr>
              <w:keepNext w:val="0"/>
              <w:keepLines w:val="0"/>
              <w:widowControl/>
              <w:suppressLineNumbers w:val="0"/>
              <w:jc w:val="center"/>
              <w:rPr>
                <w:rFonts w:hint="eastAsia" w:ascii="宋体" w:hAnsi="宋体" w:eastAsia="宋体" w:cs="宋体"/>
                <w:i w:val="0"/>
                <w:iCs w:val="0"/>
                <w:color w:val="000000"/>
                <w:sz w:val="24"/>
                <w:szCs w:val="24"/>
                <w:u w:val="none"/>
              </w:rPr>
            </w:pPr>
          </w:p>
        </w:tc>
        <w:tc>
          <w:tcPr>
            <w:tcW w:w="1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2C769">
            <w:pPr>
              <w:keepNext w:val="0"/>
              <w:keepLines w:val="0"/>
              <w:widowControl/>
              <w:suppressLineNumbers w:val="0"/>
              <w:jc w:val="center"/>
              <w:rPr>
                <w:rFonts w:hint="eastAsia" w:ascii="宋体" w:hAnsi="宋体" w:eastAsia="宋体" w:cs="宋体"/>
                <w:i w:val="0"/>
                <w:iCs w:val="0"/>
                <w:color w:val="000000"/>
                <w:sz w:val="24"/>
                <w:szCs w:val="24"/>
                <w:u w:val="none"/>
              </w:rPr>
            </w:pPr>
          </w:p>
        </w:tc>
        <w:tc>
          <w:tcPr>
            <w:tcW w:w="20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D7A34">
            <w:pPr>
              <w:jc w:val="center"/>
              <w:rPr>
                <w:rFonts w:hint="eastAsia" w:ascii="宋体" w:hAnsi="宋体" w:eastAsia="宋体" w:cs="宋体"/>
                <w:i w:val="0"/>
                <w:iCs w:val="0"/>
                <w:color w:val="000000"/>
                <w:sz w:val="24"/>
                <w:szCs w:val="24"/>
                <w:u w:val="none"/>
              </w:rPr>
            </w:pPr>
          </w:p>
        </w:tc>
      </w:tr>
      <w:tr w14:paraId="72B8EC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6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22135">
            <w:pPr>
              <w:jc w:val="center"/>
              <w:rPr>
                <w:rFonts w:hint="eastAsia" w:ascii="宋体" w:hAnsi="宋体" w:eastAsia="宋体" w:cs="宋体"/>
                <w:i w:val="0"/>
                <w:iCs w:val="0"/>
                <w:color w:val="000000"/>
                <w:sz w:val="24"/>
                <w:szCs w:val="24"/>
                <w:u w:val="none"/>
              </w:rPr>
            </w:pP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27F7C">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400-2</w:t>
            </w:r>
          </w:p>
        </w:tc>
        <w:tc>
          <w:tcPr>
            <w:tcW w:w="171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1000C">
            <w:pPr>
              <w:jc w:val="center"/>
              <w:rPr>
                <w:rFonts w:hint="eastAsia" w:ascii="宋体" w:hAnsi="宋体" w:eastAsia="宋体" w:cs="宋体"/>
                <w:i w:val="0"/>
                <w:iCs w:val="0"/>
                <w:color w:val="000000"/>
                <w:sz w:val="24"/>
                <w:szCs w:val="24"/>
                <w:u w:val="none"/>
              </w:rPr>
            </w:pPr>
          </w:p>
        </w:tc>
        <w:tc>
          <w:tcPr>
            <w:tcW w:w="1565" w:type="dxa"/>
            <w:tcBorders>
              <w:top w:val="single" w:color="000000" w:sz="4" w:space="0"/>
              <w:left w:val="single" w:color="000000" w:sz="4" w:space="0"/>
              <w:bottom w:val="single" w:color="000000" w:sz="4" w:space="0"/>
              <w:right w:val="nil"/>
            </w:tcBorders>
            <w:shd w:val="clear" w:color="auto" w:fill="auto"/>
            <w:noWrap/>
            <w:vAlign w:val="center"/>
          </w:tcPr>
          <w:p w14:paraId="7CD940BE">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单价类</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42129">
            <w:pPr>
              <w:keepNext w:val="0"/>
              <w:keepLines w:val="0"/>
              <w:widowControl/>
              <w:suppressLineNumbers w:val="0"/>
              <w:jc w:val="center"/>
              <w:rPr>
                <w:rFonts w:hint="eastAsia" w:ascii="宋体" w:hAnsi="宋体" w:eastAsia="宋体" w:cs="宋体"/>
                <w:i w:val="0"/>
                <w:iCs w:val="0"/>
                <w:color w:val="000000"/>
                <w:sz w:val="24"/>
                <w:szCs w:val="24"/>
                <w:u w:val="none"/>
              </w:rPr>
            </w:pPr>
          </w:p>
        </w:tc>
        <w:tc>
          <w:tcPr>
            <w:tcW w:w="1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2BABC">
            <w:pPr>
              <w:jc w:val="center"/>
              <w:rPr>
                <w:rFonts w:hint="eastAsia" w:ascii="宋体" w:hAnsi="宋体" w:eastAsia="宋体" w:cs="宋体"/>
                <w:i w:val="0"/>
                <w:iCs w:val="0"/>
                <w:color w:val="000000"/>
                <w:sz w:val="24"/>
                <w:szCs w:val="24"/>
                <w:u w:val="none"/>
              </w:rPr>
            </w:pPr>
          </w:p>
        </w:tc>
        <w:tc>
          <w:tcPr>
            <w:tcW w:w="20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37C31">
            <w:pPr>
              <w:keepNext w:val="0"/>
              <w:keepLines w:val="0"/>
              <w:widowControl/>
              <w:suppressLineNumbers w:val="0"/>
              <w:jc w:val="center"/>
              <w:rPr>
                <w:rFonts w:hint="eastAsia" w:ascii="宋体" w:hAnsi="宋体" w:eastAsia="宋体" w:cs="宋体"/>
                <w:i w:val="0"/>
                <w:iCs w:val="0"/>
                <w:color w:val="000000"/>
                <w:sz w:val="24"/>
                <w:szCs w:val="24"/>
                <w:u w:val="none"/>
              </w:rPr>
            </w:pPr>
          </w:p>
        </w:tc>
      </w:tr>
      <w:tr w14:paraId="350CCA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4" w:hRule="atLeast"/>
        </w:trPr>
        <w:tc>
          <w:tcPr>
            <w:tcW w:w="46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955FA">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5</w:t>
            </w:r>
          </w:p>
        </w:tc>
        <w:tc>
          <w:tcPr>
            <w:tcW w:w="1049" w:type="dxa"/>
            <w:tcBorders>
              <w:top w:val="single" w:color="000000" w:sz="4" w:space="0"/>
              <w:left w:val="single" w:color="000000" w:sz="4" w:space="0"/>
              <w:bottom w:val="nil"/>
              <w:right w:val="single" w:color="000000" w:sz="4" w:space="0"/>
            </w:tcBorders>
            <w:shd w:val="clear" w:color="auto" w:fill="auto"/>
            <w:noWrap/>
            <w:vAlign w:val="center"/>
          </w:tcPr>
          <w:p w14:paraId="75151F06">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500-1</w:t>
            </w:r>
          </w:p>
        </w:tc>
        <w:tc>
          <w:tcPr>
            <w:tcW w:w="171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69ED0">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安全设施及预埋管线</w:t>
            </w:r>
          </w:p>
        </w:tc>
        <w:tc>
          <w:tcPr>
            <w:tcW w:w="1565" w:type="dxa"/>
            <w:vMerge w:val="restart"/>
            <w:tcBorders>
              <w:top w:val="single" w:color="000000" w:sz="4" w:space="0"/>
              <w:left w:val="single" w:color="000000" w:sz="4" w:space="0"/>
              <w:bottom w:val="single" w:color="000000" w:sz="4" w:space="0"/>
              <w:right w:val="nil"/>
            </w:tcBorders>
            <w:shd w:val="clear" w:color="auto" w:fill="auto"/>
            <w:noWrap/>
            <w:vAlign w:val="center"/>
          </w:tcPr>
          <w:p w14:paraId="2DAC58FD">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单价类</w:t>
            </w:r>
          </w:p>
        </w:tc>
        <w:tc>
          <w:tcPr>
            <w:tcW w:w="167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0D6A1">
            <w:pPr>
              <w:keepNext w:val="0"/>
              <w:keepLines w:val="0"/>
              <w:widowControl/>
              <w:suppressLineNumbers w:val="0"/>
              <w:jc w:val="center"/>
              <w:rPr>
                <w:rFonts w:hint="eastAsia" w:ascii="宋体" w:hAnsi="宋体" w:eastAsia="宋体" w:cs="宋体"/>
                <w:i w:val="0"/>
                <w:iCs w:val="0"/>
                <w:color w:val="000000"/>
                <w:sz w:val="24"/>
                <w:szCs w:val="24"/>
                <w:u w:val="none"/>
              </w:rPr>
            </w:pPr>
          </w:p>
        </w:tc>
        <w:tc>
          <w:tcPr>
            <w:tcW w:w="146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9FBE3">
            <w:pPr>
              <w:jc w:val="center"/>
              <w:rPr>
                <w:rFonts w:hint="eastAsia" w:ascii="宋体" w:hAnsi="宋体" w:eastAsia="宋体" w:cs="宋体"/>
                <w:i w:val="0"/>
                <w:iCs w:val="0"/>
                <w:color w:val="000000"/>
                <w:sz w:val="24"/>
                <w:szCs w:val="24"/>
                <w:u w:val="none"/>
              </w:rPr>
            </w:pPr>
          </w:p>
        </w:tc>
        <w:tc>
          <w:tcPr>
            <w:tcW w:w="20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D3C83">
            <w:pPr>
              <w:keepNext w:val="0"/>
              <w:keepLines w:val="0"/>
              <w:widowControl/>
              <w:suppressLineNumbers w:val="0"/>
              <w:jc w:val="center"/>
              <w:rPr>
                <w:rFonts w:hint="eastAsia" w:ascii="宋体" w:hAnsi="宋体" w:eastAsia="宋体" w:cs="宋体"/>
                <w:i w:val="0"/>
                <w:iCs w:val="0"/>
                <w:color w:val="000000"/>
                <w:sz w:val="24"/>
                <w:szCs w:val="24"/>
                <w:u w:val="none"/>
              </w:rPr>
            </w:pPr>
          </w:p>
        </w:tc>
      </w:tr>
      <w:tr w14:paraId="7D342E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37" w:hRule="atLeast"/>
        </w:trPr>
        <w:tc>
          <w:tcPr>
            <w:tcW w:w="46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4EE34">
            <w:pPr>
              <w:jc w:val="center"/>
              <w:rPr>
                <w:rFonts w:hint="eastAsia" w:ascii="宋体" w:hAnsi="宋体" w:eastAsia="宋体" w:cs="宋体"/>
                <w:i w:val="0"/>
                <w:iCs w:val="0"/>
                <w:color w:val="000000"/>
                <w:sz w:val="24"/>
                <w:szCs w:val="24"/>
                <w:u w:val="none"/>
              </w:rPr>
            </w:pPr>
          </w:p>
        </w:tc>
        <w:tc>
          <w:tcPr>
            <w:tcW w:w="1049" w:type="dxa"/>
            <w:tcBorders>
              <w:top w:val="single" w:color="000000" w:sz="4" w:space="0"/>
              <w:left w:val="single" w:color="000000" w:sz="4" w:space="0"/>
              <w:bottom w:val="nil"/>
              <w:right w:val="single" w:color="000000" w:sz="4" w:space="0"/>
            </w:tcBorders>
            <w:shd w:val="clear" w:color="auto" w:fill="auto"/>
            <w:noWrap/>
            <w:vAlign w:val="center"/>
          </w:tcPr>
          <w:p w14:paraId="443BC42D">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500-2</w:t>
            </w:r>
          </w:p>
        </w:tc>
        <w:tc>
          <w:tcPr>
            <w:tcW w:w="171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A5506">
            <w:pPr>
              <w:jc w:val="center"/>
              <w:rPr>
                <w:rFonts w:hint="eastAsia" w:ascii="宋体" w:hAnsi="宋体" w:eastAsia="宋体" w:cs="宋体"/>
                <w:i w:val="0"/>
                <w:iCs w:val="0"/>
                <w:color w:val="000000"/>
                <w:sz w:val="24"/>
                <w:szCs w:val="24"/>
                <w:u w:val="none"/>
              </w:rPr>
            </w:pPr>
          </w:p>
        </w:tc>
        <w:tc>
          <w:tcPr>
            <w:tcW w:w="1565" w:type="dxa"/>
            <w:vMerge w:val="continue"/>
            <w:tcBorders>
              <w:top w:val="single" w:color="000000" w:sz="4" w:space="0"/>
              <w:left w:val="single" w:color="000000" w:sz="4" w:space="0"/>
              <w:bottom w:val="single" w:color="000000" w:sz="4" w:space="0"/>
              <w:right w:val="nil"/>
            </w:tcBorders>
            <w:shd w:val="clear" w:color="auto" w:fill="auto"/>
            <w:noWrap/>
            <w:vAlign w:val="center"/>
          </w:tcPr>
          <w:p w14:paraId="754B9844">
            <w:pPr>
              <w:jc w:val="center"/>
              <w:rPr>
                <w:rFonts w:hint="eastAsia" w:ascii="宋体" w:hAnsi="宋体" w:eastAsia="宋体" w:cs="宋体"/>
                <w:i w:val="0"/>
                <w:iCs w:val="0"/>
                <w:color w:val="000000"/>
                <w:sz w:val="24"/>
                <w:szCs w:val="24"/>
                <w:u w:val="none"/>
              </w:rPr>
            </w:pPr>
          </w:p>
        </w:tc>
        <w:tc>
          <w:tcPr>
            <w:tcW w:w="167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8E07B">
            <w:pPr>
              <w:jc w:val="center"/>
              <w:rPr>
                <w:rFonts w:hint="eastAsia" w:ascii="宋体" w:hAnsi="宋体" w:eastAsia="宋体" w:cs="宋体"/>
                <w:i w:val="0"/>
                <w:iCs w:val="0"/>
                <w:color w:val="000000"/>
                <w:sz w:val="24"/>
                <w:szCs w:val="24"/>
                <w:u w:val="none"/>
              </w:rPr>
            </w:pPr>
          </w:p>
        </w:tc>
        <w:tc>
          <w:tcPr>
            <w:tcW w:w="146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C7AF3">
            <w:pPr>
              <w:jc w:val="center"/>
              <w:rPr>
                <w:rFonts w:hint="eastAsia" w:ascii="宋体" w:hAnsi="宋体" w:eastAsia="宋体" w:cs="宋体"/>
                <w:i w:val="0"/>
                <w:iCs w:val="0"/>
                <w:color w:val="000000"/>
                <w:sz w:val="24"/>
                <w:szCs w:val="24"/>
                <w:u w:val="none"/>
              </w:rPr>
            </w:pPr>
          </w:p>
        </w:tc>
        <w:tc>
          <w:tcPr>
            <w:tcW w:w="20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95846">
            <w:pPr>
              <w:jc w:val="center"/>
              <w:rPr>
                <w:rFonts w:hint="eastAsia" w:ascii="宋体" w:hAnsi="宋体" w:eastAsia="宋体" w:cs="宋体"/>
                <w:i w:val="0"/>
                <w:iCs w:val="0"/>
                <w:color w:val="000000"/>
                <w:sz w:val="24"/>
                <w:szCs w:val="24"/>
                <w:u w:val="none"/>
              </w:rPr>
            </w:pPr>
          </w:p>
        </w:tc>
      </w:tr>
      <w:tr w14:paraId="743641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4" w:hRule="atLeast"/>
        </w:trPr>
        <w:tc>
          <w:tcPr>
            <w:tcW w:w="46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D465E">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6</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0B571">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600-1</w:t>
            </w:r>
          </w:p>
        </w:tc>
        <w:tc>
          <w:tcPr>
            <w:tcW w:w="171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BE5F7">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绿化及环境保护设施</w:t>
            </w:r>
          </w:p>
        </w:tc>
        <w:tc>
          <w:tcPr>
            <w:tcW w:w="1565" w:type="dxa"/>
            <w:tcBorders>
              <w:top w:val="single" w:color="000000" w:sz="4" w:space="0"/>
              <w:left w:val="single" w:color="000000" w:sz="4" w:space="0"/>
              <w:bottom w:val="single" w:color="000000" w:sz="4" w:space="0"/>
              <w:right w:val="nil"/>
            </w:tcBorders>
            <w:shd w:val="clear" w:color="auto" w:fill="auto"/>
            <w:noWrap/>
            <w:vAlign w:val="center"/>
          </w:tcPr>
          <w:p w14:paraId="33360CD8">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基价类</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E5C38">
            <w:pPr>
              <w:keepNext w:val="0"/>
              <w:keepLines w:val="0"/>
              <w:widowControl/>
              <w:suppressLineNumbers w:val="0"/>
              <w:jc w:val="center"/>
              <w:rPr>
                <w:rFonts w:hint="eastAsia" w:ascii="宋体" w:hAnsi="宋体" w:eastAsia="宋体" w:cs="宋体"/>
                <w:i w:val="0"/>
                <w:iCs w:val="0"/>
                <w:color w:val="000000"/>
                <w:sz w:val="24"/>
                <w:szCs w:val="24"/>
                <w:u w:val="none"/>
              </w:rPr>
            </w:pPr>
          </w:p>
        </w:tc>
        <w:tc>
          <w:tcPr>
            <w:tcW w:w="1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4E059">
            <w:pPr>
              <w:keepNext w:val="0"/>
              <w:keepLines w:val="0"/>
              <w:widowControl/>
              <w:suppressLineNumbers w:val="0"/>
              <w:jc w:val="center"/>
              <w:rPr>
                <w:rFonts w:hint="eastAsia" w:ascii="宋体" w:hAnsi="宋体" w:eastAsia="宋体" w:cs="宋体"/>
                <w:i w:val="0"/>
                <w:iCs w:val="0"/>
                <w:color w:val="000000"/>
                <w:sz w:val="24"/>
                <w:szCs w:val="24"/>
                <w:u w:val="none"/>
              </w:rPr>
            </w:pPr>
          </w:p>
        </w:tc>
        <w:tc>
          <w:tcPr>
            <w:tcW w:w="20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15630">
            <w:pPr>
              <w:jc w:val="center"/>
              <w:rPr>
                <w:rFonts w:hint="eastAsia" w:ascii="宋体" w:hAnsi="宋体" w:eastAsia="宋体" w:cs="宋体"/>
                <w:i w:val="0"/>
                <w:iCs w:val="0"/>
                <w:color w:val="000000"/>
                <w:sz w:val="24"/>
                <w:szCs w:val="24"/>
                <w:u w:val="none"/>
              </w:rPr>
            </w:pPr>
          </w:p>
        </w:tc>
      </w:tr>
      <w:tr w14:paraId="7E135E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47" w:hRule="atLeast"/>
        </w:trPr>
        <w:tc>
          <w:tcPr>
            <w:tcW w:w="46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FFB3F">
            <w:pPr>
              <w:jc w:val="center"/>
              <w:rPr>
                <w:rFonts w:hint="eastAsia" w:ascii="宋体" w:hAnsi="宋体" w:eastAsia="宋体" w:cs="宋体"/>
                <w:i w:val="0"/>
                <w:iCs w:val="0"/>
                <w:color w:val="000000"/>
                <w:sz w:val="24"/>
                <w:szCs w:val="24"/>
                <w:u w:val="none"/>
              </w:rPr>
            </w:pP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81347">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600-2</w:t>
            </w:r>
          </w:p>
        </w:tc>
        <w:tc>
          <w:tcPr>
            <w:tcW w:w="171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FF353">
            <w:pPr>
              <w:jc w:val="center"/>
              <w:rPr>
                <w:rFonts w:hint="eastAsia" w:ascii="宋体" w:hAnsi="宋体" w:eastAsia="宋体" w:cs="宋体"/>
                <w:i w:val="0"/>
                <w:iCs w:val="0"/>
                <w:color w:val="000000"/>
                <w:sz w:val="24"/>
                <w:szCs w:val="24"/>
                <w:u w:val="none"/>
              </w:rPr>
            </w:pPr>
          </w:p>
        </w:tc>
        <w:tc>
          <w:tcPr>
            <w:tcW w:w="1565" w:type="dxa"/>
            <w:tcBorders>
              <w:top w:val="single" w:color="000000" w:sz="4" w:space="0"/>
              <w:left w:val="single" w:color="000000" w:sz="4" w:space="0"/>
              <w:bottom w:val="single" w:color="000000" w:sz="4" w:space="0"/>
              <w:right w:val="nil"/>
            </w:tcBorders>
            <w:shd w:val="clear" w:color="auto" w:fill="auto"/>
            <w:noWrap/>
            <w:vAlign w:val="center"/>
          </w:tcPr>
          <w:p w14:paraId="0BEFEFE8">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单价类</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A4131">
            <w:pPr>
              <w:keepNext w:val="0"/>
              <w:keepLines w:val="0"/>
              <w:widowControl/>
              <w:suppressLineNumbers w:val="0"/>
              <w:jc w:val="center"/>
              <w:rPr>
                <w:rFonts w:hint="eastAsia" w:ascii="宋体" w:hAnsi="宋体" w:eastAsia="宋体" w:cs="宋体"/>
                <w:i w:val="0"/>
                <w:iCs w:val="0"/>
                <w:color w:val="000000"/>
                <w:sz w:val="24"/>
                <w:szCs w:val="24"/>
                <w:u w:val="none"/>
              </w:rPr>
            </w:pPr>
          </w:p>
        </w:tc>
        <w:tc>
          <w:tcPr>
            <w:tcW w:w="1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D8768">
            <w:pPr>
              <w:jc w:val="center"/>
              <w:rPr>
                <w:rFonts w:hint="eastAsia" w:ascii="宋体" w:hAnsi="宋体" w:eastAsia="宋体" w:cs="宋体"/>
                <w:i w:val="0"/>
                <w:iCs w:val="0"/>
                <w:color w:val="000000"/>
                <w:sz w:val="24"/>
                <w:szCs w:val="24"/>
                <w:u w:val="none"/>
              </w:rPr>
            </w:pPr>
          </w:p>
        </w:tc>
        <w:tc>
          <w:tcPr>
            <w:tcW w:w="20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52EB5">
            <w:pPr>
              <w:keepNext w:val="0"/>
              <w:keepLines w:val="0"/>
              <w:widowControl/>
              <w:suppressLineNumbers w:val="0"/>
              <w:jc w:val="center"/>
              <w:rPr>
                <w:rFonts w:hint="eastAsia" w:ascii="宋体" w:hAnsi="宋体" w:eastAsia="宋体" w:cs="宋体"/>
                <w:i w:val="0"/>
                <w:iCs w:val="0"/>
                <w:color w:val="000000"/>
                <w:sz w:val="24"/>
                <w:szCs w:val="24"/>
                <w:u w:val="none"/>
              </w:rPr>
            </w:pPr>
          </w:p>
        </w:tc>
      </w:tr>
      <w:tr w14:paraId="150D21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13" w:hRule="atLeast"/>
        </w:trPr>
        <w:tc>
          <w:tcPr>
            <w:tcW w:w="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F5F9E">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7</w:t>
            </w:r>
          </w:p>
        </w:tc>
        <w:tc>
          <w:tcPr>
            <w:tcW w:w="276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F0D18">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第100章至600章清单合计</w:t>
            </w:r>
          </w:p>
        </w:tc>
        <w:tc>
          <w:tcPr>
            <w:tcW w:w="1565" w:type="dxa"/>
            <w:tcBorders>
              <w:top w:val="single" w:color="000000" w:sz="4" w:space="0"/>
              <w:left w:val="single" w:color="000000" w:sz="4" w:space="0"/>
              <w:bottom w:val="single" w:color="000000" w:sz="4" w:space="0"/>
              <w:right w:val="nil"/>
            </w:tcBorders>
            <w:shd w:val="clear" w:color="auto" w:fill="auto"/>
            <w:noWrap/>
            <w:vAlign w:val="center"/>
          </w:tcPr>
          <w:p w14:paraId="14275406">
            <w:pPr>
              <w:jc w:val="center"/>
              <w:rPr>
                <w:rFonts w:hint="eastAsia" w:ascii="宋体" w:hAnsi="宋体" w:eastAsia="宋体" w:cs="宋体"/>
                <w:i w:val="0"/>
                <w:iCs w:val="0"/>
                <w:color w:val="000000"/>
                <w:sz w:val="24"/>
                <w:szCs w:val="24"/>
                <w:u w:val="none"/>
              </w:rPr>
            </w:pP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1B8F0">
            <w:pPr>
              <w:keepNext w:val="0"/>
              <w:keepLines w:val="0"/>
              <w:widowControl/>
              <w:suppressLineNumbers w:val="0"/>
              <w:jc w:val="center"/>
              <w:rPr>
                <w:rFonts w:hint="eastAsia" w:ascii="宋体" w:hAnsi="宋体" w:eastAsia="宋体" w:cs="宋体"/>
                <w:i w:val="0"/>
                <w:iCs w:val="0"/>
                <w:color w:val="000000"/>
                <w:sz w:val="24"/>
                <w:szCs w:val="24"/>
                <w:u w:val="none"/>
              </w:rPr>
            </w:pPr>
          </w:p>
        </w:tc>
        <w:tc>
          <w:tcPr>
            <w:tcW w:w="1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3F320">
            <w:pPr>
              <w:jc w:val="center"/>
              <w:rPr>
                <w:rFonts w:hint="eastAsia" w:ascii="宋体" w:hAnsi="宋体" w:eastAsia="宋体" w:cs="宋体"/>
                <w:i w:val="0"/>
                <w:iCs w:val="0"/>
                <w:color w:val="000000"/>
                <w:sz w:val="24"/>
                <w:szCs w:val="24"/>
                <w:u w:val="none"/>
              </w:rPr>
            </w:pPr>
          </w:p>
        </w:tc>
        <w:tc>
          <w:tcPr>
            <w:tcW w:w="20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AFE5B">
            <w:pPr>
              <w:jc w:val="center"/>
              <w:rPr>
                <w:rFonts w:hint="eastAsia" w:ascii="宋体" w:hAnsi="宋体" w:eastAsia="宋体" w:cs="宋体"/>
                <w:i w:val="0"/>
                <w:iCs w:val="0"/>
                <w:color w:val="000000"/>
                <w:sz w:val="24"/>
                <w:szCs w:val="24"/>
                <w:u w:val="none"/>
              </w:rPr>
            </w:pPr>
          </w:p>
        </w:tc>
      </w:tr>
      <w:tr w14:paraId="6E2B9B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13" w:hRule="atLeast"/>
        </w:trPr>
        <w:tc>
          <w:tcPr>
            <w:tcW w:w="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56800">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8</w:t>
            </w:r>
          </w:p>
        </w:tc>
        <w:tc>
          <w:tcPr>
            <w:tcW w:w="276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0E618">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安全生产费[最高投标限价的1.5%]</w:t>
            </w:r>
          </w:p>
        </w:tc>
        <w:tc>
          <w:tcPr>
            <w:tcW w:w="1565" w:type="dxa"/>
            <w:tcBorders>
              <w:top w:val="single" w:color="000000" w:sz="4" w:space="0"/>
              <w:left w:val="single" w:color="000000" w:sz="4" w:space="0"/>
              <w:bottom w:val="single" w:color="000000" w:sz="4" w:space="0"/>
              <w:right w:val="nil"/>
            </w:tcBorders>
            <w:shd w:val="clear" w:color="auto" w:fill="auto"/>
            <w:noWrap/>
            <w:vAlign w:val="center"/>
          </w:tcPr>
          <w:p w14:paraId="752C7B59">
            <w:pPr>
              <w:jc w:val="center"/>
              <w:rPr>
                <w:rFonts w:hint="eastAsia" w:ascii="宋体" w:hAnsi="宋体" w:eastAsia="宋体" w:cs="宋体"/>
                <w:i w:val="0"/>
                <w:iCs w:val="0"/>
                <w:color w:val="000000"/>
                <w:sz w:val="24"/>
                <w:szCs w:val="24"/>
                <w:u w:val="none"/>
              </w:rPr>
            </w:pP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A0F5E">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 xml:space="preserve">60000 </w:t>
            </w:r>
          </w:p>
        </w:tc>
        <w:tc>
          <w:tcPr>
            <w:tcW w:w="1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F5727">
            <w:pPr>
              <w:jc w:val="center"/>
              <w:rPr>
                <w:rFonts w:hint="eastAsia" w:ascii="宋体" w:hAnsi="宋体" w:eastAsia="宋体" w:cs="宋体"/>
                <w:i w:val="0"/>
                <w:iCs w:val="0"/>
                <w:color w:val="000000"/>
                <w:sz w:val="24"/>
                <w:szCs w:val="24"/>
                <w:u w:val="none"/>
              </w:rPr>
            </w:pPr>
          </w:p>
        </w:tc>
        <w:tc>
          <w:tcPr>
            <w:tcW w:w="20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98E0C">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60000</w:t>
            </w:r>
          </w:p>
        </w:tc>
      </w:tr>
      <w:tr w14:paraId="64067E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13" w:hRule="atLeast"/>
        </w:trPr>
        <w:tc>
          <w:tcPr>
            <w:tcW w:w="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1388C">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9</w:t>
            </w:r>
          </w:p>
        </w:tc>
        <w:tc>
          <w:tcPr>
            <w:tcW w:w="276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1F01B">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暂列金额(不含计日工总额)</w:t>
            </w:r>
          </w:p>
        </w:tc>
        <w:tc>
          <w:tcPr>
            <w:tcW w:w="1565" w:type="dxa"/>
            <w:tcBorders>
              <w:top w:val="single" w:color="000000" w:sz="4" w:space="0"/>
              <w:left w:val="single" w:color="000000" w:sz="4" w:space="0"/>
              <w:bottom w:val="single" w:color="000000" w:sz="4" w:space="0"/>
              <w:right w:val="nil"/>
            </w:tcBorders>
            <w:shd w:val="clear" w:color="auto" w:fill="auto"/>
            <w:noWrap/>
            <w:vAlign w:val="center"/>
          </w:tcPr>
          <w:p w14:paraId="22C95CED">
            <w:pPr>
              <w:jc w:val="center"/>
              <w:rPr>
                <w:rFonts w:hint="eastAsia" w:ascii="宋体" w:hAnsi="宋体" w:eastAsia="宋体" w:cs="宋体"/>
                <w:i w:val="0"/>
                <w:iCs w:val="0"/>
                <w:color w:val="000000"/>
                <w:sz w:val="24"/>
                <w:szCs w:val="24"/>
                <w:u w:val="none"/>
              </w:rPr>
            </w:pP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E838D">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 xml:space="preserve">100000 </w:t>
            </w:r>
          </w:p>
        </w:tc>
        <w:tc>
          <w:tcPr>
            <w:tcW w:w="1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8EF33">
            <w:pPr>
              <w:jc w:val="center"/>
              <w:rPr>
                <w:rFonts w:hint="eastAsia" w:ascii="宋体" w:hAnsi="宋体" w:eastAsia="宋体" w:cs="宋体"/>
                <w:i w:val="0"/>
                <w:iCs w:val="0"/>
                <w:color w:val="000000"/>
                <w:sz w:val="24"/>
                <w:szCs w:val="24"/>
                <w:u w:val="none"/>
              </w:rPr>
            </w:pPr>
          </w:p>
        </w:tc>
        <w:tc>
          <w:tcPr>
            <w:tcW w:w="20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789F1">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100000</w:t>
            </w:r>
          </w:p>
        </w:tc>
      </w:tr>
      <w:tr w14:paraId="5C8A4E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3" w:hRule="atLeast"/>
        </w:trPr>
        <w:tc>
          <w:tcPr>
            <w:tcW w:w="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00FFD">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10</w:t>
            </w:r>
          </w:p>
        </w:tc>
        <w:tc>
          <w:tcPr>
            <w:tcW w:w="276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64AC7">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投标报价(8+11+12)=13</w:t>
            </w:r>
          </w:p>
        </w:tc>
        <w:tc>
          <w:tcPr>
            <w:tcW w:w="1565" w:type="dxa"/>
            <w:tcBorders>
              <w:top w:val="single" w:color="000000" w:sz="4" w:space="0"/>
              <w:left w:val="single" w:color="000000" w:sz="4" w:space="0"/>
              <w:bottom w:val="single" w:color="000000" w:sz="4" w:space="0"/>
              <w:right w:val="nil"/>
            </w:tcBorders>
            <w:shd w:val="clear" w:color="auto" w:fill="auto"/>
            <w:noWrap/>
            <w:vAlign w:val="center"/>
          </w:tcPr>
          <w:p w14:paraId="5CBBB0E3">
            <w:pPr>
              <w:jc w:val="center"/>
              <w:rPr>
                <w:rFonts w:hint="eastAsia" w:ascii="宋体" w:hAnsi="宋体" w:eastAsia="宋体" w:cs="宋体"/>
                <w:i w:val="0"/>
                <w:iCs w:val="0"/>
                <w:color w:val="000000"/>
                <w:sz w:val="24"/>
                <w:szCs w:val="24"/>
                <w:u w:val="none"/>
              </w:rPr>
            </w:pP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8CADC">
            <w:pPr>
              <w:keepNext w:val="0"/>
              <w:keepLines w:val="0"/>
              <w:widowControl/>
              <w:suppressLineNumbers w:val="0"/>
              <w:jc w:val="center"/>
              <w:rPr>
                <w:rFonts w:hint="eastAsia" w:ascii="宋体" w:hAnsi="宋体" w:eastAsia="宋体" w:cs="宋体"/>
                <w:b/>
                <w:bCs/>
                <w:i w:val="0"/>
                <w:iCs w:val="0"/>
                <w:color w:val="000000"/>
                <w:sz w:val="24"/>
                <w:szCs w:val="24"/>
                <w:u w:val="none"/>
              </w:rPr>
            </w:pPr>
          </w:p>
        </w:tc>
        <w:tc>
          <w:tcPr>
            <w:tcW w:w="1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580BC">
            <w:pPr>
              <w:keepNext w:val="0"/>
              <w:keepLines w:val="0"/>
              <w:widowControl/>
              <w:suppressLineNumbers w:val="0"/>
              <w:jc w:val="center"/>
              <w:rPr>
                <w:rFonts w:hint="eastAsia" w:ascii="宋体" w:hAnsi="宋体" w:eastAsia="宋体" w:cs="宋体"/>
                <w:b/>
                <w:bCs/>
                <w:i w:val="0"/>
                <w:iCs w:val="0"/>
                <w:color w:val="000000"/>
                <w:sz w:val="24"/>
                <w:szCs w:val="24"/>
                <w:u w:val="none"/>
              </w:rPr>
            </w:pPr>
          </w:p>
        </w:tc>
        <w:tc>
          <w:tcPr>
            <w:tcW w:w="20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17151">
            <w:pPr>
              <w:keepNext w:val="0"/>
              <w:keepLines w:val="0"/>
              <w:widowControl/>
              <w:suppressLineNumbers w:val="0"/>
              <w:jc w:val="center"/>
              <w:rPr>
                <w:rFonts w:hint="eastAsia" w:ascii="宋体" w:hAnsi="宋体" w:eastAsia="宋体" w:cs="宋体"/>
                <w:b/>
                <w:bCs/>
                <w:i w:val="0"/>
                <w:iCs w:val="0"/>
                <w:color w:val="000000"/>
                <w:sz w:val="24"/>
                <w:szCs w:val="24"/>
                <w:u w:val="none"/>
              </w:rPr>
            </w:pPr>
          </w:p>
        </w:tc>
      </w:tr>
    </w:tbl>
    <w:p w14:paraId="3DB01C0C">
      <w:pPr>
        <w:rPr>
          <w:rFonts w:hint="default" w:ascii="Calibri" w:hAnsi="Calibri"/>
        </w:rPr>
      </w:pPr>
      <w:r>
        <w:rPr>
          <w:rFonts w:hint="default" w:ascii="Calibri" w:hAnsi="Calibri"/>
        </w:rPr>
        <w:br w:type="page" w:clear="all"/>
      </w:r>
    </w:p>
    <w:tbl>
      <w:tblPr>
        <w:tblStyle w:val="35"/>
        <w:tblW w:w="96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41"/>
        <w:gridCol w:w="3999"/>
        <w:gridCol w:w="1041"/>
        <w:gridCol w:w="1049"/>
        <w:gridCol w:w="1240"/>
        <w:gridCol w:w="1250"/>
      </w:tblGrid>
      <w:tr w14:paraId="689849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68" w:hRule="atLeast"/>
        </w:trPr>
        <w:tc>
          <w:tcPr>
            <w:tcW w:w="9620" w:type="dxa"/>
            <w:gridSpan w:val="6"/>
            <w:tcBorders>
              <w:top w:val="nil"/>
              <w:left w:val="nil"/>
              <w:bottom w:val="nil"/>
              <w:right w:val="nil"/>
            </w:tcBorders>
            <w:shd w:val="clear" w:color="auto" w:fill="auto"/>
            <w:noWrap/>
            <w:vAlign w:val="center"/>
          </w:tcPr>
          <w:p w14:paraId="7EA42A6C">
            <w:pPr>
              <w:keepNext w:val="0"/>
              <w:keepLines w:val="0"/>
              <w:widowControl/>
              <w:suppressLineNumbers w:val="0"/>
              <w:jc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sz w:val="36"/>
                <w:szCs w:val="36"/>
                <w:u w:val="none"/>
                <w:lang w:val="en-US" w:eastAsia="zh-CN" w:bidi="ar"/>
              </w:rPr>
              <w:t>第100章  工作量清单表</w:t>
            </w:r>
          </w:p>
        </w:tc>
      </w:tr>
      <w:tr w14:paraId="619841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9" w:hRule="atLeast"/>
        </w:trPr>
        <w:tc>
          <w:tcPr>
            <w:tcW w:w="0" w:type="auto"/>
            <w:gridSpan w:val="4"/>
            <w:tcBorders>
              <w:top w:val="nil"/>
              <w:left w:val="nil"/>
              <w:bottom w:val="nil"/>
              <w:right w:val="nil"/>
            </w:tcBorders>
            <w:shd w:val="clear" w:color="auto" w:fill="auto"/>
            <w:noWrap/>
            <w:vAlign w:val="center"/>
          </w:tcPr>
          <w:p w14:paraId="6381C52B">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2026年江宁区林荫大道示范管护带养护服务</w:t>
            </w:r>
          </w:p>
        </w:tc>
        <w:tc>
          <w:tcPr>
            <w:tcW w:w="0" w:type="auto"/>
            <w:gridSpan w:val="2"/>
            <w:tcBorders>
              <w:top w:val="nil"/>
              <w:left w:val="nil"/>
              <w:bottom w:val="nil"/>
              <w:right w:val="nil"/>
            </w:tcBorders>
            <w:shd w:val="clear" w:color="auto" w:fill="auto"/>
            <w:noWrap/>
            <w:vAlign w:val="center"/>
          </w:tcPr>
          <w:p w14:paraId="27788F4F">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货币单位：人民币元</w:t>
            </w:r>
          </w:p>
        </w:tc>
      </w:tr>
      <w:tr w14:paraId="75AA07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2"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EFF69">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清单 第100章</w:t>
            </w:r>
          </w:p>
        </w:tc>
      </w:tr>
      <w:tr w14:paraId="460913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9F751">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子目号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19D62">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子  目  名  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A9EA6">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BABA9">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586ED">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单价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2D332">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合价</w:t>
            </w:r>
          </w:p>
        </w:tc>
      </w:tr>
      <w:tr w14:paraId="4FDCA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7" w:hRule="atLeast"/>
        </w:trPr>
        <w:tc>
          <w:tcPr>
            <w:tcW w:w="10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87CD90">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399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E10AF3">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保险费</w:t>
            </w:r>
          </w:p>
        </w:tc>
        <w:tc>
          <w:tcPr>
            <w:tcW w:w="10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BADCD8">
            <w:pPr>
              <w:jc w:val="center"/>
              <w:rPr>
                <w:rFonts w:hint="eastAsia" w:ascii="宋体" w:hAnsi="宋体" w:eastAsia="宋体" w:cs="宋体"/>
                <w:i w:val="0"/>
                <w:iCs w:val="0"/>
                <w:color w:val="000000"/>
                <w:sz w:val="22"/>
                <w:szCs w:val="22"/>
                <w:u w:val="none"/>
              </w:rPr>
            </w:pP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0325F7">
            <w:pPr>
              <w:jc w:val="center"/>
              <w:rPr>
                <w:rFonts w:hint="eastAsia" w:ascii="宋体" w:hAnsi="宋体" w:eastAsia="宋体" w:cs="宋体"/>
                <w:i w:val="0"/>
                <w:iCs w:val="0"/>
                <w:color w:val="000000"/>
                <w:sz w:val="22"/>
                <w:szCs w:val="22"/>
                <w:u w:val="none"/>
              </w:rPr>
            </w:pP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7FC0A1">
            <w:pPr>
              <w:jc w:val="center"/>
              <w:rPr>
                <w:rFonts w:hint="eastAsia" w:ascii="宋体" w:hAnsi="宋体" w:eastAsia="宋体" w:cs="宋体"/>
                <w:i w:val="0"/>
                <w:iCs w:val="0"/>
                <w:color w:val="000000"/>
                <w:sz w:val="22"/>
                <w:szCs w:val="22"/>
                <w:u w:val="none"/>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AED701">
            <w:pPr>
              <w:jc w:val="center"/>
              <w:rPr>
                <w:rFonts w:hint="eastAsia" w:ascii="宋体" w:hAnsi="宋体" w:eastAsia="宋体" w:cs="宋体"/>
                <w:i w:val="0"/>
                <w:iCs w:val="0"/>
                <w:color w:val="000000"/>
                <w:sz w:val="22"/>
                <w:szCs w:val="22"/>
                <w:u w:val="none"/>
              </w:rPr>
            </w:pPr>
          </w:p>
        </w:tc>
      </w:tr>
      <w:tr w14:paraId="3B9B04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04F03">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-a</w:t>
            </w:r>
          </w:p>
        </w:tc>
        <w:tc>
          <w:tcPr>
            <w:tcW w:w="399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C4D816">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建筑一切险</w:t>
            </w:r>
          </w:p>
        </w:tc>
        <w:tc>
          <w:tcPr>
            <w:tcW w:w="10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335760">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总额</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9949CA">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965772">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89C495">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7EE79D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6C023">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-b</w:t>
            </w:r>
          </w:p>
        </w:tc>
        <w:tc>
          <w:tcPr>
            <w:tcW w:w="399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ECC9A9">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第三者责任险</w:t>
            </w:r>
          </w:p>
        </w:tc>
        <w:tc>
          <w:tcPr>
            <w:tcW w:w="10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B49C77">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总额</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1A101A">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FDD795">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000347">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2C57ED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7" w:hRule="atLeast"/>
        </w:trPr>
        <w:tc>
          <w:tcPr>
            <w:tcW w:w="10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01BC4D">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-c</w:t>
            </w:r>
          </w:p>
        </w:tc>
        <w:tc>
          <w:tcPr>
            <w:tcW w:w="399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5D7123">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工伤保险费（最高投标限价的3</w:t>
            </w:r>
            <w:r>
              <w:rPr>
                <w:rFonts w:hint="eastAsia" w:ascii="宋体" w:hAnsi="宋体" w:cs="宋体"/>
                <w:color w:val="000000"/>
                <w:sz w:val="22"/>
                <w:szCs w:val="22"/>
                <w:u w:val="none"/>
                <w:lang w:val="en-US" w:eastAsia="zh-CN" w:bidi="ar"/>
              </w:rPr>
              <w:t>‰，固定值）</w:t>
            </w:r>
          </w:p>
        </w:tc>
        <w:tc>
          <w:tcPr>
            <w:tcW w:w="10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6DF9B4">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总额</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E51CA6">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F04E6A">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5AA844">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0E741F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7" w:hRule="atLeast"/>
        </w:trPr>
        <w:tc>
          <w:tcPr>
            <w:tcW w:w="10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803E83">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-d</w:t>
            </w:r>
          </w:p>
        </w:tc>
        <w:tc>
          <w:tcPr>
            <w:tcW w:w="399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EEACD0">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公众责任险（固定值）</w:t>
            </w:r>
          </w:p>
        </w:tc>
        <w:tc>
          <w:tcPr>
            <w:tcW w:w="10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266E46">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总额</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BF7CB5">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6BB79F">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F21F6D">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405547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7" w:hRule="atLeast"/>
        </w:trPr>
        <w:tc>
          <w:tcPr>
            <w:tcW w:w="10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CDE6E3">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-e</w:t>
            </w:r>
          </w:p>
        </w:tc>
        <w:tc>
          <w:tcPr>
            <w:tcW w:w="399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E92814">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雇主责任险</w:t>
            </w:r>
          </w:p>
        </w:tc>
        <w:tc>
          <w:tcPr>
            <w:tcW w:w="10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89145A">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总额</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2338D7">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9F654F">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560234">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525A5F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7" w:hRule="atLeast"/>
        </w:trPr>
        <w:tc>
          <w:tcPr>
            <w:tcW w:w="10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36022E">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-2</w:t>
            </w:r>
          </w:p>
        </w:tc>
        <w:tc>
          <w:tcPr>
            <w:tcW w:w="399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BB7001">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管理费</w:t>
            </w:r>
          </w:p>
        </w:tc>
        <w:tc>
          <w:tcPr>
            <w:tcW w:w="10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C28893">
            <w:pPr>
              <w:jc w:val="center"/>
              <w:rPr>
                <w:rFonts w:hint="eastAsia" w:ascii="宋体" w:hAnsi="宋体" w:eastAsia="宋体" w:cs="宋体"/>
                <w:i w:val="0"/>
                <w:iCs w:val="0"/>
                <w:color w:val="000000"/>
                <w:sz w:val="22"/>
                <w:szCs w:val="22"/>
                <w:u w:val="none"/>
              </w:rPr>
            </w:pP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DF31C2">
            <w:pPr>
              <w:jc w:val="center"/>
              <w:rPr>
                <w:rFonts w:hint="eastAsia" w:ascii="宋体" w:hAnsi="宋体" w:eastAsia="宋体" w:cs="宋体"/>
                <w:i w:val="0"/>
                <w:iCs w:val="0"/>
                <w:color w:val="000000"/>
                <w:sz w:val="22"/>
                <w:szCs w:val="22"/>
                <w:u w:val="none"/>
              </w:rPr>
            </w:pP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2C42B2">
            <w:pPr>
              <w:jc w:val="center"/>
              <w:rPr>
                <w:rFonts w:hint="eastAsia" w:ascii="宋体" w:hAnsi="宋体" w:eastAsia="宋体" w:cs="宋体"/>
                <w:i w:val="0"/>
                <w:iCs w:val="0"/>
                <w:color w:val="000000"/>
                <w:sz w:val="22"/>
                <w:szCs w:val="22"/>
                <w:u w:val="none"/>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BF593B">
            <w:pPr>
              <w:jc w:val="center"/>
              <w:rPr>
                <w:rFonts w:hint="eastAsia" w:ascii="宋体" w:hAnsi="宋体" w:eastAsia="宋体" w:cs="宋体"/>
                <w:i w:val="0"/>
                <w:iCs w:val="0"/>
                <w:color w:val="000000"/>
                <w:sz w:val="22"/>
                <w:szCs w:val="22"/>
                <w:u w:val="none"/>
              </w:rPr>
            </w:pPr>
          </w:p>
        </w:tc>
      </w:tr>
      <w:tr w14:paraId="4CB7A6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7" w:hRule="atLeast"/>
        </w:trPr>
        <w:tc>
          <w:tcPr>
            <w:tcW w:w="10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2AC759">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-a</w:t>
            </w:r>
          </w:p>
        </w:tc>
        <w:tc>
          <w:tcPr>
            <w:tcW w:w="399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751E33">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资料费</w:t>
            </w:r>
          </w:p>
        </w:tc>
        <w:tc>
          <w:tcPr>
            <w:tcW w:w="10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2B51DE">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总额</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F6378E">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ABADF4">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8A44C2">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50E4FC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7" w:hRule="atLeast"/>
        </w:trPr>
        <w:tc>
          <w:tcPr>
            <w:tcW w:w="10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6E45FF">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-b</w:t>
            </w:r>
          </w:p>
        </w:tc>
        <w:tc>
          <w:tcPr>
            <w:tcW w:w="399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9FA65D">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环保费</w:t>
            </w:r>
          </w:p>
        </w:tc>
        <w:tc>
          <w:tcPr>
            <w:tcW w:w="10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ED56DE">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总额</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E103CB">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2CA8AF">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B3ABFB">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120A61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7" w:hRule="atLeast"/>
        </w:trPr>
        <w:tc>
          <w:tcPr>
            <w:tcW w:w="10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43F08B">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-3</w:t>
            </w:r>
          </w:p>
        </w:tc>
        <w:tc>
          <w:tcPr>
            <w:tcW w:w="399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D1C15C">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驻地建设费</w:t>
            </w:r>
          </w:p>
        </w:tc>
        <w:tc>
          <w:tcPr>
            <w:tcW w:w="10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188CC9">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总额</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5B5E4D">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45F753">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0B1C11">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1C12FE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9"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17E71">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清单  第100 章合计   人民币（元）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04C8B">
            <w:pPr>
              <w:keepNext w:val="0"/>
              <w:keepLines w:val="0"/>
              <w:widowControl/>
              <w:suppressLineNumbers w:val="0"/>
              <w:jc w:val="center"/>
              <w:rPr>
                <w:rFonts w:hint="eastAsia" w:ascii="宋体" w:hAnsi="宋体" w:eastAsia="宋体" w:cs="宋体"/>
                <w:b/>
                <w:bCs/>
                <w:i w:val="0"/>
                <w:iCs w:val="0"/>
                <w:color w:val="000000"/>
                <w:sz w:val="22"/>
                <w:szCs w:val="22"/>
                <w:u w:val="none"/>
              </w:rPr>
            </w:pPr>
          </w:p>
        </w:tc>
      </w:tr>
    </w:tbl>
    <w:p w14:paraId="281A164E">
      <w:pPr>
        <w:rPr>
          <w:rFonts w:hint="default" w:ascii="Calibri" w:hAnsi="Calibri"/>
        </w:rPr>
      </w:pPr>
      <w:r>
        <w:rPr>
          <w:rFonts w:hint="default" w:ascii="Calibri" w:hAnsi="Calibri"/>
        </w:rPr>
        <w:br w:type="page" w:clear="all"/>
      </w:r>
    </w:p>
    <w:tbl>
      <w:tblPr>
        <w:tblStyle w:val="35"/>
        <w:tblW w:w="995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49"/>
        <w:gridCol w:w="4025"/>
        <w:gridCol w:w="1049"/>
        <w:gridCol w:w="1052"/>
        <w:gridCol w:w="1230"/>
        <w:gridCol w:w="1554"/>
      </w:tblGrid>
      <w:tr w14:paraId="011853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6" w:hRule="atLeast"/>
        </w:trPr>
        <w:tc>
          <w:tcPr>
            <w:tcW w:w="9959" w:type="dxa"/>
            <w:gridSpan w:val="6"/>
            <w:tcBorders>
              <w:top w:val="nil"/>
              <w:left w:val="nil"/>
              <w:bottom w:val="nil"/>
              <w:right w:val="nil"/>
            </w:tcBorders>
            <w:shd w:val="clear" w:color="auto" w:fill="auto"/>
            <w:noWrap/>
            <w:vAlign w:val="center"/>
          </w:tcPr>
          <w:p w14:paraId="5AC1AD87">
            <w:pPr>
              <w:keepNext w:val="0"/>
              <w:keepLines w:val="0"/>
              <w:widowControl/>
              <w:suppressLineNumbers w:val="0"/>
              <w:jc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sz w:val="36"/>
                <w:szCs w:val="36"/>
                <w:u w:val="none"/>
                <w:lang w:val="en-US" w:eastAsia="zh-CN" w:bidi="ar"/>
              </w:rPr>
              <w:t>第200章  工作量清单表</w:t>
            </w:r>
          </w:p>
        </w:tc>
      </w:tr>
      <w:tr w14:paraId="2CF7C2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0" w:type="auto"/>
            <w:gridSpan w:val="4"/>
            <w:tcBorders>
              <w:top w:val="nil"/>
              <w:left w:val="nil"/>
              <w:bottom w:val="nil"/>
              <w:right w:val="nil"/>
            </w:tcBorders>
            <w:shd w:val="clear" w:color="auto" w:fill="auto"/>
            <w:noWrap/>
            <w:vAlign w:val="center"/>
          </w:tcPr>
          <w:p w14:paraId="60607F26">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2026年江宁区林荫大道示范管护带养护服务</w:t>
            </w:r>
          </w:p>
        </w:tc>
        <w:tc>
          <w:tcPr>
            <w:tcW w:w="2784" w:type="dxa"/>
            <w:gridSpan w:val="2"/>
            <w:tcBorders>
              <w:top w:val="nil"/>
              <w:left w:val="nil"/>
              <w:bottom w:val="nil"/>
              <w:right w:val="nil"/>
            </w:tcBorders>
            <w:shd w:val="clear" w:color="auto" w:fill="auto"/>
            <w:noWrap/>
            <w:vAlign w:val="center"/>
          </w:tcPr>
          <w:p w14:paraId="46BB466B">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货币单位: 人民币 元</w:t>
            </w:r>
          </w:p>
        </w:tc>
      </w:tr>
      <w:tr w14:paraId="4F0BE7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4" w:hRule="atLeast"/>
        </w:trPr>
        <w:tc>
          <w:tcPr>
            <w:tcW w:w="9959"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07306">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清单 第200-1章  路基（基价类）</w:t>
            </w:r>
          </w:p>
        </w:tc>
      </w:tr>
      <w:tr w14:paraId="6CEA6B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85A5E">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子目号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70477">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子  目  名  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BE82E">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D5407">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46DD1">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单价</w:t>
            </w:r>
          </w:p>
        </w:tc>
        <w:tc>
          <w:tcPr>
            <w:tcW w:w="15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2D3D2">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合价</w:t>
            </w:r>
          </w:p>
        </w:tc>
      </w:tr>
      <w:tr w14:paraId="4A692F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30AD3">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E3607">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清理与掘除服务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8192D">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6C0B4">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D54F7">
            <w:pPr>
              <w:jc w:val="center"/>
              <w:rPr>
                <w:rFonts w:hint="eastAsia" w:ascii="宋体" w:hAnsi="宋体" w:eastAsia="宋体" w:cs="宋体"/>
                <w:i w:val="0"/>
                <w:iCs w:val="0"/>
                <w:color w:val="000000"/>
                <w:sz w:val="22"/>
                <w:szCs w:val="22"/>
                <w:u w:val="none"/>
              </w:rPr>
            </w:pPr>
          </w:p>
        </w:tc>
        <w:tc>
          <w:tcPr>
            <w:tcW w:w="15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7A772">
            <w:pPr>
              <w:jc w:val="center"/>
              <w:rPr>
                <w:rFonts w:hint="eastAsia" w:ascii="宋体" w:hAnsi="宋体" w:eastAsia="宋体" w:cs="宋体"/>
                <w:i w:val="0"/>
                <w:iCs w:val="0"/>
                <w:color w:val="000000"/>
                <w:sz w:val="22"/>
                <w:szCs w:val="22"/>
                <w:u w:val="none"/>
              </w:rPr>
            </w:pPr>
          </w:p>
        </w:tc>
      </w:tr>
      <w:tr w14:paraId="6C9B74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4" w:hRule="atLeast"/>
        </w:trPr>
        <w:tc>
          <w:tcPr>
            <w:tcW w:w="10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68D1C1">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-a</w:t>
            </w:r>
          </w:p>
        </w:tc>
        <w:tc>
          <w:tcPr>
            <w:tcW w:w="40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6DEA17">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清除路肩杂物服务</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0981A5">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项</w:t>
            </w:r>
          </w:p>
        </w:tc>
        <w:tc>
          <w:tcPr>
            <w:tcW w:w="105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5A5FCB">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CA2819">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15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713CB">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06C856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683C4">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-b</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B251C">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人工清理道路两侧边坡杂草服务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15529">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1A4C9">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4B5F2">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15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648BF">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7F6AAA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409EB">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-2</w:t>
            </w:r>
          </w:p>
        </w:tc>
        <w:tc>
          <w:tcPr>
            <w:tcW w:w="40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77901B">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边沟、排水沟、截水沟、盲沟清淤疏通服务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423EF">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15364">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3B1B9">
            <w:pPr>
              <w:jc w:val="center"/>
              <w:rPr>
                <w:rFonts w:hint="eastAsia" w:ascii="宋体" w:hAnsi="宋体" w:eastAsia="宋体" w:cs="宋体"/>
                <w:i w:val="0"/>
                <w:iCs w:val="0"/>
                <w:color w:val="000000"/>
                <w:sz w:val="22"/>
                <w:szCs w:val="22"/>
                <w:u w:val="none"/>
              </w:rPr>
            </w:pPr>
          </w:p>
        </w:tc>
        <w:tc>
          <w:tcPr>
            <w:tcW w:w="15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F2883">
            <w:pPr>
              <w:jc w:val="center"/>
              <w:rPr>
                <w:rFonts w:hint="eastAsia" w:ascii="宋体" w:hAnsi="宋体" w:eastAsia="宋体" w:cs="宋体"/>
                <w:i w:val="0"/>
                <w:iCs w:val="0"/>
                <w:color w:val="000000"/>
                <w:sz w:val="22"/>
                <w:szCs w:val="22"/>
                <w:u w:val="none"/>
              </w:rPr>
            </w:pPr>
          </w:p>
        </w:tc>
      </w:tr>
      <w:tr w14:paraId="22D024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7" w:hRule="atLeast"/>
        </w:trPr>
        <w:tc>
          <w:tcPr>
            <w:tcW w:w="10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F5C94F">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-a</w:t>
            </w:r>
          </w:p>
        </w:tc>
        <w:tc>
          <w:tcPr>
            <w:tcW w:w="40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224440">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边沟、排水沟、截水沟清淤（无盖板）含外运服务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5C515">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F3D40">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C07CB">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15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C2B31">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5B18F1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A6377">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-3</w:t>
            </w:r>
          </w:p>
        </w:tc>
        <w:tc>
          <w:tcPr>
            <w:tcW w:w="40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DD0359">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路肩边坡整修服务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CA54B">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B09F0">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10479">
            <w:pPr>
              <w:jc w:val="center"/>
              <w:rPr>
                <w:rFonts w:hint="eastAsia" w:ascii="宋体" w:hAnsi="宋体" w:eastAsia="宋体" w:cs="宋体"/>
                <w:i w:val="0"/>
                <w:iCs w:val="0"/>
                <w:color w:val="000000"/>
                <w:sz w:val="22"/>
                <w:szCs w:val="22"/>
                <w:u w:val="none"/>
              </w:rPr>
            </w:pPr>
          </w:p>
        </w:tc>
        <w:tc>
          <w:tcPr>
            <w:tcW w:w="15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A0678">
            <w:pPr>
              <w:jc w:val="center"/>
              <w:rPr>
                <w:rFonts w:hint="eastAsia" w:ascii="宋体" w:hAnsi="宋体" w:eastAsia="宋体" w:cs="宋体"/>
                <w:i w:val="0"/>
                <w:iCs w:val="0"/>
                <w:color w:val="000000"/>
                <w:sz w:val="22"/>
                <w:szCs w:val="22"/>
                <w:u w:val="none"/>
              </w:rPr>
            </w:pPr>
          </w:p>
        </w:tc>
      </w:tr>
      <w:tr w14:paraId="7B0788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4" w:hRule="atLeast"/>
        </w:trPr>
        <w:tc>
          <w:tcPr>
            <w:tcW w:w="10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96E409">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-a</w:t>
            </w:r>
          </w:p>
        </w:tc>
        <w:tc>
          <w:tcPr>
            <w:tcW w:w="40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B1DE56">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平整路肩及边坡服务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0B94A">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F0E12">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3C5FF">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15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E2982">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149862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4"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DED4E">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第200-1章  路基    人民币（元）</w:t>
            </w:r>
          </w:p>
        </w:tc>
        <w:tc>
          <w:tcPr>
            <w:tcW w:w="15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D41EA">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10BCD6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4" w:hRule="atLeast"/>
        </w:trPr>
        <w:tc>
          <w:tcPr>
            <w:tcW w:w="9959"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4CCA0">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清单 第200-2章  路基（单价类）</w:t>
            </w:r>
          </w:p>
        </w:tc>
      </w:tr>
      <w:tr w14:paraId="19D1E1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1E04C">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子目号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7660D">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子  目  名  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E7077">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3AD46">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8D38C">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单价</w:t>
            </w:r>
          </w:p>
        </w:tc>
        <w:tc>
          <w:tcPr>
            <w:tcW w:w="15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ABD52">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合价</w:t>
            </w:r>
          </w:p>
        </w:tc>
      </w:tr>
      <w:tr w14:paraId="04A6FE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FF2EB">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848EF">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边沟排水沟修理筑砌服务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0F8D6">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5C6FC">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9359E">
            <w:pPr>
              <w:jc w:val="center"/>
              <w:rPr>
                <w:rFonts w:hint="eastAsia" w:ascii="宋体" w:hAnsi="宋体" w:eastAsia="宋体" w:cs="宋体"/>
                <w:i w:val="0"/>
                <w:iCs w:val="0"/>
                <w:color w:val="000000"/>
                <w:sz w:val="22"/>
                <w:szCs w:val="22"/>
                <w:u w:val="none"/>
              </w:rPr>
            </w:pPr>
          </w:p>
        </w:tc>
        <w:tc>
          <w:tcPr>
            <w:tcW w:w="15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D59B3">
            <w:pPr>
              <w:jc w:val="center"/>
              <w:rPr>
                <w:rFonts w:hint="eastAsia" w:ascii="宋体" w:hAnsi="宋体" w:eastAsia="宋体" w:cs="宋体"/>
                <w:i w:val="0"/>
                <w:iCs w:val="0"/>
                <w:color w:val="000000"/>
                <w:sz w:val="22"/>
                <w:szCs w:val="22"/>
                <w:u w:val="none"/>
              </w:rPr>
            </w:pPr>
          </w:p>
        </w:tc>
      </w:tr>
      <w:tr w14:paraId="10343A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4" w:hRule="atLeast"/>
        </w:trPr>
        <w:tc>
          <w:tcPr>
            <w:tcW w:w="10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FEDCDD">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-a</w:t>
            </w:r>
          </w:p>
        </w:tc>
        <w:tc>
          <w:tcPr>
            <w:tcW w:w="40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91114D">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开挖土边沟、截水沟、排水沟服务</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5B4E60">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m</w:t>
            </w:r>
            <w:r>
              <w:rPr>
                <w:rFonts w:hint="eastAsia" w:ascii="宋体" w:hAnsi="宋体" w:cs="宋体"/>
                <w:color w:val="000000"/>
                <w:sz w:val="22"/>
                <w:szCs w:val="22"/>
                <w:u w:val="none"/>
                <w:vertAlign w:val="superscript"/>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AC08F">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300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34A91">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15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9B780">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179348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4"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DC6CA">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第200-2章  路基</w:t>
            </w:r>
          </w:p>
        </w:tc>
        <w:tc>
          <w:tcPr>
            <w:tcW w:w="15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B87CD">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217E9A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4"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8E6A7">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清单  第200 章合计   人民币（元）</w:t>
            </w:r>
          </w:p>
        </w:tc>
        <w:tc>
          <w:tcPr>
            <w:tcW w:w="15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F5AC5">
            <w:pPr>
              <w:keepNext w:val="0"/>
              <w:keepLines w:val="0"/>
              <w:widowControl/>
              <w:suppressLineNumbers w:val="0"/>
              <w:jc w:val="center"/>
              <w:rPr>
                <w:rFonts w:hint="eastAsia" w:ascii="宋体" w:hAnsi="宋体" w:eastAsia="宋体" w:cs="宋体"/>
                <w:b/>
                <w:bCs/>
                <w:i w:val="0"/>
                <w:iCs w:val="0"/>
                <w:color w:val="000000"/>
                <w:sz w:val="22"/>
                <w:szCs w:val="22"/>
                <w:u w:val="none"/>
              </w:rPr>
            </w:pPr>
          </w:p>
        </w:tc>
      </w:tr>
    </w:tbl>
    <w:p w14:paraId="0CADA152">
      <w:pPr>
        <w:rPr>
          <w:rFonts w:hint="default" w:ascii="Calibri" w:hAnsi="Calibri"/>
        </w:rPr>
      </w:pPr>
      <w:r>
        <w:rPr>
          <w:rFonts w:hint="default" w:ascii="Calibri" w:hAnsi="Calibri"/>
        </w:rPr>
        <w:br w:type="page" w:clear="all"/>
      </w:r>
    </w:p>
    <w:tbl>
      <w:tblPr>
        <w:tblStyle w:val="35"/>
        <w:tblW w:w="96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19"/>
        <w:gridCol w:w="4593"/>
        <w:gridCol w:w="971"/>
        <w:gridCol w:w="927"/>
        <w:gridCol w:w="1365"/>
        <w:gridCol w:w="941"/>
      </w:tblGrid>
      <w:tr w14:paraId="13A601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9" w:hRule="atLeast"/>
        </w:trPr>
        <w:tc>
          <w:tcPr>
            <w:tcW w:w="9620" w:type="dxa"/>
            <w:gridSpan w:val="6"/>
            <w:tcBorders>
              <w:top w:val="nil"/>
              <w:left w:val="nil"/>
              <w:bottom w:val="nil"/>
              <w:right w:val="nil"/>
            </w:tcBorders>
            <w:shd w:val="clear" w:color="auto" w:fill="auto"/>
            <w:noWrap/>
            <w:vAlign w:val="center"/>
          </w:tcPr>
          <w:p w14:paraId="72F57D48">
            <w:pPr>
              <w:keepNext w:val="0"/>
              <w:keepLines w:val="0"/>
              <w:widowControl/>
              <w:suppressLineNumbers w:val="0"/>
              <w:jc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sz w:val="36"/>
                <w:szCs w:val="36"/>
                <w:u w:val="none"/>
                <w:lang w:val="en-US" w:eastAsia="zh-CN" w:bidi="ar"/>
              </w:rPr>
              <w:t>第300章  工作量清单表</w:t>
            </w:r>
          </w:p>
        </w:tc>
      </w:tr>
      <w:tr w14:paraId="28AA93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4" w:hRule="atLeast"/>
        </w:trPr>
        <w:tc>
          <w:tcPr>
            <w:tcW w:w="0" w:type="auto"/>
            <w:gridSpan w:val="4"/>
            <w:tcBorders>
              <w:top w:val="nil"/>
              <w:left w:val="nil"/>
              <w:bottom w:val="nil"/>
              <w:right w:val="nil"/>
            </w:tcBorders>
            <w:shd w:val="clear" w:color="auto" w:fill="auto"/>
            <w:noWrap/>
            <w:vAlign w:val="center"/>
          </w:tcPr>
          <w:p w14:paraId="5B6DFECF">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2026年江宁区林荫大道示范管护带养护服务</w:t>
            </w:r>
          </w:p>
        </w:tc>
        <w:tc>
          <w:tcPr>
            <w:tcW w:w="0" w:type="auto"/>
            <w:gridSpan w:val="2"/>
            <w:tcBorders>
              <w:top w:val="nil"/>
              <w:left w:val="nil"/>
              <w:bottom w:val="nil"/>
              <w:right w:val="nil"/>
            </w:tcBorders>
            <w:shd w:val="clear" w:color="auto" w:fill="auto"/>
            <w:noWrap/>
            <w:vAlign w:val="center"/>
          </w:tcPr>
          <w:p w14:paraId="251699FF">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货币单位: 人民币 元</w:t>
            </w:r>
          </w:p>
        </w:tc>
      </w:tr>
      <w:tr w14:paraId="325B40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A455A">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清单 第300-1章  路面（基价类）</w:t>
            </w:r>
          </w:p>
        </w:tc>
      </w:tr>
      <w:tr w14:paraId="4BA3CC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958FE">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子目号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8D87B">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子  目  名  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7C71C">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D3BC8">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5062B">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单价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CBE7B">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合价</w:t>
            </w:r>
          </w:p>
        </w:tc>
      </w:tr>
      <w:tr w14:paraId="052397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5E9E7">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D8A6F">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公路巡查服务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6CBC0">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C4B75">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D63FF">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DC447">
            <w:pPr>
              <w:jc w:val="center"/>
              <w:rPr>
                <w:rFonts w:hint="eastAsia" w:ascii="宋体" w:hAnsi="宋体" w:eastAsia="宋体" w:cs="宋体"/>
                <w:i w:val="0"/>
                <w:iCs w:val="0"/>
                <w:color w:val="000000"/>
                <w:sz w:val="22"/>
                <w:szCs w:val="22"/>
                <w:u w:val="none"/>
              </w:rPr>
            </w:pPr>
          </w:p>
        </w:tc>
      </w:tr>
      <w:tr w14:paraId="44AC17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11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A4DA00">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7DC6A">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公路巡查服务（每周全覆盖）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C523D">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93BC7">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85E79">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E84AE">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253E99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74388">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D8D8C">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路面日常保洁服务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0A3A0">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629DB">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F338A">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C2A49">
            <w:pPr>
              <w:jc w:val="center"/>
              <w:rPr>
                <w:rFonts w:hint="eastAsia" w:ascii="宋体" w:hAnsi="宋体" w:eastAsia="宋体" w:cs="宋体"/>
                <w:i w:val="0"/>
                <w:iCs w:val="0"/>
                <w:color w:val="000000"/>
                <w:sz w:val="22"/>
                <w:szCs w:val="22"/>
                <w:u w:val="none"/>
              </w:rPr>
            </w:pPr>
          </w:p>
        </w:tc>
      </w:tr>
      <w:tr w14:paraId="6CEB8B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11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896578">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88A80">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人工清扫服务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854C6">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978A5">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FFB3B">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3D55C">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7F83E2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11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8036C5">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D7865">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路面冲洗清扫服务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720F9">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354EE">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9A983">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4721C">
            <w:pPr>
              <w:jc w:val="center"/>
              <w:rPr>
                <w:rFonts w:hint="eastAsia" w:ascii="宋体" w:hAnsi="宋体" w:eastAsia="宋体" w:cs="宋体"/>
                <w:i w:val="0"/>
                <w:iCs w:val="0"/>
                <w:color w:val="000000"/>
                <w:sz w:val="22"/>
                <w:szCs w:val="22"/>
                <w:u w:val="none"/>
              </w:rPr>
            </w:pPr>
          </w:p>
        </w:tc>
      </w:tr>
      <w:tr w14:paraId="1C63EA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11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53485D">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4B851">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洒水车路面冲洗服务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420A4">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FA5CE">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2CF6C">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30642">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5F6718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AC41D">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第300-1章  路面</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B5F00">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361520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0" w:type="auto"/>
            <w:gridSpan w:val="6"/>
            <w:tcBorders>
              <w:top w:val="nil"/>
              <w:left w:val="single" w:color="000000" w:sz="4" w:space="0"/>
              <w:bottom w:val="single" w:color="000000" w:sz="4" w:space="0"/>
              <w:right w:val="single" w:color="000000" w:sz="4" w:space="0"/>
            </w:tcBorders>
            <w:shd w:val="clear" w:color="auto" w:fill="auto"/>
            <w:noWrap/>
            <w:vAlign w:val="center"/>
          </w:tcPr>
          <w:p w14:paraId="6BA4866A">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清单 第300-2章  路面（单价类）</w:t>
            </w:r>
          </w:p>
        </w:tc>
      </w:tr>
      <w:tr w14:paraId="09652B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D2236">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子目号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57B12">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子  目  名  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F837D">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1D18F">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51241">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单价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C2904">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合价</w:t>
            </w:r>
          </w:p>
        </w:tc>
      </w:tr>
      <w:tr w14:paraId="16CDE8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41518">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42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AE7A52">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沥青路面病害修复服务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D7AC8">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282E4">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194AD">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32AA5">
            <w:pPr>
              <w:jc w:val="center"/>
              <w:rPr>
                <w:rFonts w:hint="eastAsia" w:ascii="宋体" w:hAnsi="宋体" w:eastAsia="宋体" w:cs="宋体"/>
                <w:i w:val="0"/>
                <w:iCs w:val="0"/>
                <w:color w:val="000000"/>
                <w:sz w:val="22"/>
                <w:szCs w:val="22"/>
                <w:u w:val="none"/>
              </w:rPr>
            </w:pPr>
          </w:p>
        </w:tc>
      </w:tr>
      <w:tr w14:paraId="3942FB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11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E67C0C">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-a</w:t>
            </w:r>
          </w:p>
        </w:tc>
        <w:tc>
          <w:tcPr>
            <w:tcW w:w="42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1F2A8F">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沥青路面铣刨服务（含弃运）</w:t>
            </w:r>
          </w:p>
        </w:tc>
        <w:tc>
          <w:tcPr>
            <w:tcW w:w="9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E1E93E">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m</w:t>
            </w:r>
            <w:r>
              <w:rPr>
                <w:rFonts w:hint="eastAsia" w:ascii="宋体" w:hAnsi="宋体" w:eastAsia="宋体" w:cs="宋体"/>
                <w:i w:val="0"/>
                <w:iCs w:val="0"/>
                <w:color w:val="000000"/>
                <w:sz w:val="22"/>
                <w:szCs w:val="22"/>
                <w:u w:val="none"/>
                <w:vertAlign w:val="superscript"/>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4B3F8">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67AF8">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3C0CA">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24E41C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7D366">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-b</w:t>
            </w:r>
          </w:p>
        </w:tc>
        <w:tc>
          <w:tcPr>
            <w:tcW w:w="42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201083">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沥青路面坑槽、沉陷等病害修补服务（切割修补）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96A8D">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949AA">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200</w:t>
            </w:r>
          </w:p>
        </w:tc>
        <w:tc>
          <w:tcPr>
            <w:tcW w:w="11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D71742">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7D4F3">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4ABF4A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11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95B71F">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-c</w:t>
            </w:r>
          </w:p>
        </w:tc>
        <w:tc>
          <w:tcPr>
            <w:tcW w:w="42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3BC8A3">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沥青路面裂缝机械扩缝填缝料修补服务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55279">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A410D">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22000</w:t>
            </w:r>
          </w:p>
        </w:tc>
        <w:tc>
          <w:tcPr>
            <w:tcW w:w="11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12D51C">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E73BB">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76727C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11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8FFFAD">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-d</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91318">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冷补料路面坑洞修补服务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ACE31">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AC3D8">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29EC3">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F5D43">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414601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EFAA9">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2395B">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黏层油服务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0FEF9">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72A4A">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1750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33102">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F2B3C">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3A364D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70559">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-a</w:t>
            </w:r>
          </w:p>
        </w:tc>
        <w:tc>
          <w:tcPr>
            <w:tcW w:w="42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22E31B">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AC-13</w:t>
            </w:r>
            <w:r>
              <w:rPr>
                <w:rFonts w:hint="eastAsia" w:ascii="宋体" w:hAnsi="宋体" w:cs="宋体"/>
                <w:color w:val="000000"/>
                <w:sz w:val="22"/>
                <w:szCs w:val="22"/>
                <w:u w:val="none"/>
                <w:lang w:val="en-US" w:eastAsia="zh-CN" w:bidi="ar"/>
              </w:rPr>
              <w:t>改性玄武岩沥青砼加铺服务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98D7B">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m3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76014">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8A4C3">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C0A01">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7A1039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14268">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-3</w:t>
            </w:r>
          </w:p>
        </w:tc>
        <w:tc>
          <w:tcPr>
            <w:tcW w:w="42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FC65BA">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路缘石维修更换服务</w:t>
            </w:r>
          </w:p>
        </w:tc>
        <w:tc>
          <w:tcPr>
            <w:tcW w:w="9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2A2964">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786AF">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88FE2">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D788D">
            <w:pPr>
              <w:jc w:val="center"/>
              <w:rPr>
                <w:rFonts w:hint="eastAsia" w:ascii="宋体" w:hAnsi="宋体" w:eastAsia="宋体" w:cs="宋体"/>
                <w:i w:val="0"/>
                <w:iCs w:val="0"/>
                <w:color w:val="000000"/>
                <w:sz w:val="22"/>
                <w:szCs w:val="22"/>
                <w:u w:val="none"/>
              </w:rPr>
            </w:pPr>
          </w:p>
        </w:tc>
      </w:tr>
      <w:tr w14:paraId="171FC0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E6A7A">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588DC">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水泥砼路缘石更换服务</w:t>
            </w:r>
            <w:r>
              <w:rPr>
                <w:rFonts w:hint="eastAsia" w:ascii="宋体" w:hAnsi="宋体" w:cs="宋体"/>
                <w:color w:val="000000"/>
                <w:sz w:val="22"/>
                <w:szCs w:val="22"/>
                <w:u w:val="none"/>
                <w:lang w:val="en-US" w:eastAsia="zh-CN" w:bidi="ar"/>
              </w:rPr>
              <w:t>(含拆运)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3613E">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5E2A6">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300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42D94">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06D21">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41BE1B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22CAD">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第300-2章  路基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19323">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6DB8C0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9"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C279B">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清单  第300 章合计   人民币（元）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0B507">
            <w:pPr>
              <w:keepNext w:val="0"/>
              <w:keepLines w:val="0"/>
              <w:widowControl/>
              <w:suppressLineNumbers w:val="0"/>
              <w:jc w:val="center"/>
              <w:rPr>
                <w:rFonts w:hint="eastAsia" w:ascii="宋体" w:hAnsi="宋体" w:eastAsia="宋体" w:cs="宋体"/>
                <w:b/>
                <w:bCs/>
                <w:i w:val="0"/>
                <w:iCs w:val="0"/>
                <w:color w:val="000000"/>
                <w:sz w:val="22"/>
                <w:szCs w:val="22"/>
                <w:u w:val="none"/>
              </w:rPr>
            </w:pPr>
          </w:p>
        </w:tc>
      </w:tr>
    </w:tbl>
    <w:p w14:paraId="0FD3DEC0">
      <w:pPr>
        <w:rPr>
          <w:rFonts w:hint="default" w:ascii="Calibri" w:hAnsi="Calibri"/>
        </w:rPr>
      </w:pPr>
      <w:r>
        <w:rPr>
          <w:rFonts w:hint="default" w:ascii="Calibri" w:hAnsi="Calibri"/>
        </w:rPr>
        <w:br w:type="page" w:clear="all"/>
      </w:r>
    </w:p>
    <w:tbl>
      <w:tblPr>
        <w:tblStyle w:val="35"/>
        <w:tblW w:w="995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111"/>
        <w:gridCol w:w="4636"/>
        <w:gridCol w:w="967"/>
        <w:gridCol w:w="817"/>
        <w:gridCol w:w="950"/>
        <w:gridCol w:w="1478"/>
      </w:tblGrid>
      <w:tr w14:paraId="1F9102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9" w:hRule="atLeast"/>
        </w:trPr>
        <w:tc>
          <w:tcPr>
            <w:tcW w:w="9959" w:type="dxa"/>
            <w:gridSpan w:val="6"/>
            <w:tcBorders>
              <w:top w:val="nil"/>
              <w:left w:val="nil"/>
              <w:bottom w:val="nil"/>
              <w:right w:val="nil"/>
            </w:tcBorders>
            <w:shd w:val="clear" w:color="auto" w:fill="auto"/>
            <w:noWrap/>
            <w:vAlign w:val="center"/>
          </w:tcPr>
          <w:p w14:paraId="7750BAA1">
            <w:pPr>
              <w:keepNext w:val="0"/>
              <w:keepLines w:val="0"/>
              <w:widowControl/>
              <w:suppressLineNumbers w:val="0"/>
              <w:jc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sz w:val="36"/>
                <w:szCs w:val="36"/>
                <w:u w:val="none"/>
                <w:lang w:val="en-US" w:eastAsia="zh-CN" w:bidi="ar"/>
              </w:rPr>
              <w:t>第400章  工作量清单表</w:t>
            </w:r>
          </w:p>
        </w:tc>
      </w:tr>
      <w:tr w14:paraId="22E471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0" w:hRule="atLeast"/>
        </w:trPr>
        <w:tc>
          <w:tcPr>
            <w:tcW w:w="7531" w:type="dxa"/>
            <w:gridSpan w:val="4"/>
            <w:tcBorders>
              <w:top w:val="nil"/>
              <w:left w:val="nil"/>
              <w:bottom w:val="nil"/>
              <w:right w:val="nil"/>
            </w:tcBorders>
            <w:shd w:val="clear" w:color="auto" w:fill="auto"/>
            <w:noWrap/>
            <w:vAlign w:val="center"/>
          </w:tcPr>
          <w:p w14:paraId="0DD7B4EC">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2026年江宁区林荫大道示范管护带养护服务</w:t>
            </w:r>
          </w:p>
        </w:tc>
        <w:tc>
          <w:tcPr>
            <w:tcW w:w="2428" w:type="dxa"/>
            <w:gridSpan w:val="2"/>
            <w:tcBorders>
              <w:top w:val="nil"/>
              <w:left w:val="nil"/>
              <w:bottom w:val="nil"/>
              <w:right w:val="nil"/>
            </w:tcBorders>
            <w:shd w:val="clear" w:color="auto" w:fill="auto"/>
            <w:noWrap/>
            <w:vAlign w:val="center"/>
          </w:tcPr>
          <w:p w14:paraId="5DADB4E3">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货币单位: 人民币 元</w:t>
            </w:r>
          </w:p>
        </w:tc>
      </w:tr>
      <w:tr w14:paraId="10FA2A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9" w:hRule="atLeast"/>
        </w:trPr>
        <w:tc>
          <w:tcPr>
            <w:tcW w:w="9959"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22120">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清单 第400-1章  桥梁、涵洞（基价类）</w:t>
            </w:r>
          </w:p>
        </w:tc>
      </w:tr>
      <w:tr w14:paraId="751A92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9" w:hRule="atLeast"/>
        </w:trPr>
        <w:tc>
          <w:tcPr>
            <w:tcW w:w="11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ED283">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子目号</w:t>
            </w:r>
          </w:p>
        </w:tc>
        <w:tc>
          <w:tcPr>
            <w:tcW w:w="4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97E7F">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子  目  名  称</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18BFD">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单位</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6951A">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数量</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4C8B1">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单价</w:t>
            </w:r>
          </w:p>
        </w:tc>
        <w:tc>
          <w:tcPr>
            <w:tcW w:w="1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5AE96">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合价</w:t>
            </w:r>
          </w:p>
        </w:tc>
      </w:tr>
      <w:tr w14:paraId="74A720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9" w:hRule="atLeast"/>
        </w:trPr>
        <w:tc>
          <w:tcPr>
            <w:tcW w:w="11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0046D">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4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89C7C">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通则</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B7CED">
            <w:pPr>
              <w:jc w:val="center"/>
              <w:rPr>
                <w:rFonts w:hint="eastAsia" w:ascii="宋体" w:hAnsi="宋体" w:eastAsia="宋体" w:cs="宋体"/>
                <w:i w:val="0"/>
                <w:iCs w:val="0"/>
                <w:color w:val="000000"/>
                <w:sz w:val="22"/>
                <w:szCs w:val="22"/>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4442E">
            <w:pPr>
              <w:jc w:val="center"/>
              <w:rPr>
                <w:rFonts w:hint="eastAsia" w:ascii="宋体" w:hAnsi="宋体" w:eastAsia="宋体" w:cs="宋体"/>
                <w:i w:val="0"/>
                <w:iCs w:val="0"/>
                <w:color w:val="000000"/>
                <w:sz w:val="22"/>
                <w:szCs w:val="22"/>
                <w:u w:val="none"/>
              </w:rPr>
            </w:pP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D7276">
            <w:pPr>
              <w:jc w:val="center"/>
              <w:rPr>
                <w:rFonts w:hint="eastAsia" w:ascii="宋体" w:hAnsi="宋体" w:eastAsia="宋体" w:cs="宋体"/>
                <w:i w:val="0"/>
                <w:iCs w:val="0"/>
                <w:color w:val="000000"/>
                <w:sz w:val="22"/>
                <w:szCs w:val="22"/>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71B61">
            <w:pPr>
              <w:jc w:val="center"/>
              <w:rPr>
                <w:rFonts w:hint="eastAsia" w:ascii="宋体" w:hAnsi="宋体" w:eastAsia="宋体" w:cs="宋体"/>
                <w:i w:val="0"/>
                <w:iCs w:val="0"/>
                <w:color w:val="000000"/>
                <w:sz w:val="22"/>
                <w:szCs w:val="22"/>
                <w:u w:val="none"/>
              </w:rPr>
            </w:pPr>
          </w:p>
        </w:tc>
      </w:tr>
      <w:tr w14:paraId="7150AA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9" w:hRule="atLeast"/>
        </w:trPr>
        <w:tc>
          <w:tcPr>
            <w:tcW w:w="11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E55F9">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-a</w:t>
            </w:r>
          </w:p>
        </w:tc>
        <w:tc>
          <w:tcPr>
            <w:tcW w:w="4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18FBC">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管涵排水系统清理服务</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5F84A">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项</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4B2BC">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E8E3F">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BF149">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0EC85A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9" w:hRule="atLeast"/>
        </w:trPr>
        <w:tc>
          <w:tcPr>
            <w:tcW w:w="11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10026">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-b</w:t>
            </w:r>
          </w:p>
        </w:tc>
        <w:tc>
          <w:tcPr>
            <w:tcW w:w="4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2F249">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疏通桥面排水系统（泄水管、排水管）服务</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B6657">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项</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C1669">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3489B">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573F5">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5ED480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9" w:hRule="atLeast"/>
        </w:trPr>
        <w:tc>
          <w:tcPr>
            <w:tcW w:w="11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94597">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-c</w:t>
            </w:r>
          </w:p>
        </w:tc>
        <w:tc>
          <w:tcPr>
            <w:tcW w:w="4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10554">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公路桥涵一般性检查服务</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36790">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项</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DE505">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6747E">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6F7FC">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53EC17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9" w:hRule="atLeast"/>
        </w:trPr>
        <w:tc>
          <w:tcPr>
            <w:tcW w:w="11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6A7F4A">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-d</w:t>
            </w:r>
          </w:p>
        </w:tc>
        <w:tc>
          <w:tcPr>
            <w:tcW w:w="4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3523A">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桥梁接缝和伸缩装置清理维护服务</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957FD">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项</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BC295">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F6492">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29EF2">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1BC2A0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9" w:hRule="atLeast"/>
        </w:trPr>
        <w:tc>
          <w:tcPr>
            <w:tcW w:w="11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6D0614">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-e</w:t>
            </w:r>
          </w:p>
        </w:tc>
        <w:tc>
          <w:tcPr>
            <w:tcW w:w="46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570C82">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桥梁栏杆系清洗服务</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7F6D1">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项</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B24EF">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DDBCA">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AB52F">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389134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9" w:hRule="atLeast"/>
        </w:trPr>
        <w:tc>
          <w:tcPr>
            <w:tcW w:w="8481"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D8EAF">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第400-1章  桥梁、涵洞</w:t>
            </w:r>
          </w:p>
        </w:tc>
        <w:tc>
          <w:tcPr>
            <w:tcW w:w="1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8D7C1">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66757E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9" w:hRule="atLeast"/>
        </w:trPr>
        <w:tc>
          <w:tcPr>
            <w:tcW w:w="9959" w:type="dxa"/>
            <w:gridSpan w:val="6"/>
            <w:tcBorders>
              <w:top w:val="nil"/>
              <w:left w:val="single" w:color="000000" w:sz="4" w:space="0"/>
              <w:bottom w:val="single" w:color="000000" w:sz="4" w:space="0"/>
              <w:right w:val="single" w:color="000000" w:sz="4" w:space="0"/>
            </w:tcBorders>
            <w:shd w:val="clear" w:color="auto" w:fill="auto"/>
            <w:noWrap/>
            <w:vAlign w:val="center"/>
          </w:tcPr>
          <w:p w14:paraId="602A7F8F">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清单 第400-2章  桥梁、涵洞（单价类）</w:t>
            </w:r>
          </w:p>
        </w:tc>
      </w:tr>
      <w:tr w14:paraId="6F2E12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9" w:hRule="atLeast"/>
        </w:trPr>
        <w:tc>
          <w:tcPr>
            <w:tcW w:w="11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14039">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子目号</w:t>
            </w:r>
          </w:p>
        </w:tc>
        <w:tc>
          <w:tcPr>
            <w:tcW w:w="4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7CB93">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子  目  名  称</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F9A3C">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单位</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A0173">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数量</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E171E">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单价</w:t>
            </w:r>
          </w:p>
        </w:tc>
        <w:tc>
          <w:tcPr>
            <w:tcW w:w="1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8C29B">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合价</w:t>
            </w:r>
          </w:p>
        </w:tc>
      </w:tr>
      <w:tr w14:paraId="60D23D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9" w:hRule="atLeast"/>
        </w:trPr>
        <w:tc>
          <w:tcPr>
            <w:tcW w:w="11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890C2">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46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BDB17A">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桥梁护栏安装维修服务</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82994">
            <w:pPr>
              <w:jc w:val="center"/>
              <w:rPr>
                <w:rFonts w:hint="eastAsia" w:ascii="宋体" w:hAnsi="宋体" w:eastAsia="宋体" w:cs="宋体"/>
                <w:i w:val="0"/>
                <w:iCs w:val="0"/>
                <w:color w:val="000000"/>
                <w:sz w:val="22"/>
                <w:szCs w:val="22"/>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D50F3">
            <w:pPr>
              <w:jc w:val="center"/>
              <w:rPr>
                <w:rFonts w:hint="eastAsia" w:ascii="宋体" w:hAnsi="宋体" w:eastAsia="宋体" w:cs="宋体"/>
                <w:i w:val="0"/>
                <w:iCs w:val="0"/>
                <w:color w:val="000000"/>
                <w:sz w:val="22"/>
                <w:szCs w:val="22"/>
                <w:u w:val="none"/>
              </w:rPr>
            </w:pP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A9D1B">
            <w:pPr>
              <w:jc w:val="center"/>
              <w:rPr>
                <w:rFonts w:hint="eastAsia" w:ascii="宋体" w:hAnsi="宋体" w:eastAsia="宋体" w:cs="宋体"/>
                <w:i w:val="0"/>
                <w:iCs w:val="0"/>
                <w:color w:val="000000"/>
                <w:sz w:val="22"/>
                <w:szCs w:val="22"/>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85931">
            <w:pPr>
              <w:jc w:val="center"/>
              <w:rPr>
                <w:rFonts w:hint="eastAsia" w:ascii="宋体" w:hAnsi="宋体" w:eastAsia="宋体" w:cs="宋体"/>
                <w:i w:val="0"/>
                <w:iCs w:val="0"/>
                <w:color w:val="000000"/>
                <w:sz w:val="22"/>
                <w:szCs w:val="22"/>
                <w:u w:val="none"/>
              </w:rPr>
            </w:pPr>
          </w:p>
        </w:tc>
      </w:tr>
      <w:tr w14:paraId="677939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9" w:hRule="atLeast"/>
        </w:trPr>
        <w:tc>
          <w:tcPr>
            <w:tcW w:w="11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270F9">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a</w:t>
            </w:r>
          </w:p>
        </w:tc>
        <w:tc>
          <w:tcPr>
            <w:tcW w:w="4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DEA26">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桥头双波波形护栏维修服务</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412BE">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m</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428D3">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192</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CFC2C">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FD0A8">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4A2B36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9" w:hRule="atLeast"/>
        </w:trPr>
        <w:tc>
          <w:tcPr>
            <w:tcW w:w="11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1BFBF">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b</w:t>
            </w:r>
          </w:p>
        </w:tc>
        <w:tc>
          <w:tcPr>
            <w:tcW w:w="46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CEA28E">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钢管扶手更换维修服务</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EF0F7">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m</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775A6">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200</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73FD5">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06C52">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65EDF3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9" w:hRule="atLeast"/>
        </w:trPr>
        <w:tc>
          <w:tcPr>
            <w:tcW w:w="11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93177">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-2</w:t>
            </w:r>
          </w:p>
        </w:tc>
        <w:tc>
          <w:tcPr>
            <w:tcW w:w="4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4080A">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桥梁附属结构维修服务</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56E8F">
            <w:pPr>
              <w:jc w:val="center"/>
              <w:rPr>
                <w:rFonts w:hint="eastAsia" w:ascii="宋体" w:hAnsi="宋体" w:eastAsia="宋体" w:cs="宋体"/>
                <w:i w:val="0"/>
                <w:iCs w:val="0"/>
                <w:color w:val="000000"/>
                <w:sz w:val="22"/>
                <w:szCs w:val="22"/>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D7564">
            <w:pPr>
              <w:jc w:val="center"/>
              <w:rPr>
                <w:rFonts w:hint="eastAsia" w:ascii="宋体" w:hAnsi="宋体" w:eastAsia="宋体" w:cs="宋体"/>
                <w:i w:val="0"/>
                <w:iCs w:val="0"/>
                <w:color w:val="000000"/>
                <w:sz w:val="22"/>
                <w:szCs w:val="22"/>
                <w:u w:val="none"/>
              </w:rPr>
            </w:pP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4A267">
            <w:pPr>
              <w:jc w:val="center"/>
              <w:rPr>
                <w:rFonts w:hint="eastAsia" w:ascii="宋体" w:hAnsi="宋体" w:eastAsia="宋体" w:cs="宋体"/>
                <w:i w:val="0"/>
                <w:iCs w:val="0"/>
                <w:color w:val="000000"/>
                <w:sz w:val="22"/>
                <w:szCs w:val="22"/>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A0FD78">
            <w:pPr>
              <w:jc w:val="center"/>
              <w:rPr>
                <w:rFonts w:hint="eastAsia" w:ascii="宋体" w:hAnsi="宋体" w:eastAsia="宋体" w:cs="宋体"/>
                <w:i w:val="0"/>
                <w:iCs w:val="0"/>
                <w:color w:val="000000"/>
                <w:sz w:val="22"/>
                <w:szCs w:val="22"/>
                <w:u w:val="none"/>
              </w:rPr>
            </w:pPr>
          </w:p>
        </w:tc>
      </w:tr>
      <w:tr w14:paraId="7C6661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9" w:hRule="atLeast"/>
        </w:trPr>
        <w:tc>
          <w:tcPr>
            <w:tcW w:w="11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E0EA4">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-a</w:t>
            </w:r>
          </w:p>
        </w:tc>
        <w:tc>
          <w:tcPr>
            <w:tcW w:w="46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5D02DF">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浆砌片石护（锥）坡维修砌筑（M7.5浆切片石）维修服务</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7A0FE">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m3</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53CCF">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40</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5B78E">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4F3A5">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66ED1F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9" w:hRule="atLeast"/>
        </w:trPr>
        <w:tc>
          <w:tcPr>
            <w:tcW w:w="11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FAE85">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-b</w:t>
            </w:r>
          </w:p>
        </w:tc>
        <w:tc>
          <w:tcPr>
            <w:tcW w:w="4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83D50">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人行道石材贴面维修服务</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6E85E">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m2</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BCA77">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100</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4895D">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128C8">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2EFE89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9" w:hRule="atLeast"/>
        </w:trPr>
        <w:tc>
          <w:tcPr>
            <w:tcW w:w="11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27675">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-c</w:t>
            </w:r>
          </w:p>
        </w:tc>
        <w:tc>
          <w:tcPr>
            <w:tcW w:w="4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57B1A">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石质护栏维修服务</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3192A">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m2</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4F40C">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3</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47EFB">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19E52">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3BBCBD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9" w:hRule="atLeast"/>
        </w:trPr>
        <w:tc>
          <w:tcPr>
            <w:tcW w:w="11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D4758">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-3</w:t>
            </w:r>
          </w:p>
        </w:tc>
        <w:tc>
          <w:tcPr>
            <w:tcW w:w="4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E2EB5">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桥梁伸缩缝更换维修服务</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24F36">
            <w:pPr>
              <w:jc w:val="center"/>
              <w:rPr>
                <w:rFonts w:hint="eastAsia" w:ascii="宋体" w:hAnsi="宋体" w:eastAsia="宋体" w:cs="宋体"/>
                <w:i w:val="0"/>
                <w:iCs w:val="0"/>
                <w:color w:val="000000"/>
                <w:sz w:val="22"/>
                <w:szCs w:val="22"/>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7D4A8">
            <w:pPr>
              <w:jc w:val="center"/>
              <w:rPr>
                <w:rFonts w:hint="eastAsia" w:ascii="宋体" w:hAnsi="宋体" w:eastAsia="宋体" w:cs="宋体"/>
                <w:i w:val="0"/>
                <w:iCs w:val="0"/>
                <w:color w:val="000000"/>
                <w:sz w:val="22"/>
                <w:szCs w:val="22"/>
                <w:u w:val="none"/>
              </w:rPr>
            </w:pP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60DCC">
            <w:pPr>
              <w:jc w:val="center"/>
              <w:rPr>
                <w:rFonts w:hint="eastAsia" w:ascii="宋体" w:hAnsi="宋体" w:eastAsia="宋体" w:cs="宋体"/>
                <w:i w:val="0"/>
                <w:iCs w:val="0"/>
                <w:color w:val="000000"/>
                <w:sz w:val="22"/>
                <w:szCs w:val="22"/>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FD4DF">
            <w:pPr>
              <w:jc w:val="center"/>
              <w:rPr>
                <w:rFonts w:hint="eastAsia" w:ascii="宋体" w:hAnsi="宋体" w:eastAsia="宋体" w:cs="宋体"/>
                <w:i w:val="0"/>
                <w:iCs w:val="0"/>
                <w:color w:val="000000"/>
                <w:sz w:val="22"/>
                <w:szCs w:val="22"/>
                <w:u w:val="none"/>
              </w:rPr>
            </w:pPr>
          </w:p>
        </w:tc>
      </w:tr>
      <w:tr w14:paraId="30E674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9" w:hRule="atLeast"/>
        </w:trPr>
        <w:tc>
          <w:tcPr>
            <w:tcW w:w="11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F8432">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-a</w:t>
            </w:r>
          </w:p>
        </w:tc>
        <w:tc>
          <w:tcPr>
            <w:tcW w:w="4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FBC60">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伸缩缝拆除服务</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BC403">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m</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39EF1">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30</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C1202">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01C3B">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55A2B2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9" w:hRule="atLeast"/>
        </w:trPr>
        <w:tc>
          <w:tcPr>
            <w:tcW w:w="11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5DA54">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-b</w:t>
            </w:r>
          </w:p>
        </w:tc>
        <w:tc>
          <w:tcPr>
            <w:tcW w:w="4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83A51">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更换伸缩缝服务（</w:t>
            </w:r>
            <w:r>
              <w:rPr>
                <w:rFonts w:hint="default" w:ascii="Times New Roman" w:hAnsi="Times New Roman" w:eastAsia="宋体" w:cs="Times New Roman"/>
                <w:i w:val="0"/>
                <w:iCs w:val="0"/>
                <w:color w:val="000000"/>
                <w:sz w:val="22"/>
                <w:szCs w:val="22"/>
                <w:u w:val="none"/>
                <w:lang w:val="en-US" w:eastAsia="zh-CN" w:bidi="ar"/>
              </w:rPr>
              <w:t>D40</w:t>
            </w:r>
            <w:r>
              <w:rPr>
                <w:rFonts w:hint="eastAsia" w:ascii="宋体" w:hAnsi="宋体" w:eastAsia="宋体" w:cs="宋体"/>
                <w:i w:val="0"/>
                <w:iCs w:val="0"/>
                <w:color w:val="000000"/>
                <w:sz w:val="22"/>
                <w:szCs w:val="22"/>
                <w:u w:val="none"/>
                <w:lang w:val="en-US" w:eastAsia="zh-CN" w:bidi="ar"/>
              </w:rPr>
              <w:t>）</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0D034">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延米</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622FD">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30</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178B9">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54879">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63241E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9" w:hRule="atLeast"/>
        </w:trPr>
        <w:tc>
          <w:tcPr>
            <w:tcW w:w="11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2DDAA">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-4</w:t>
            </w:r>
          </w:p>
        </w:tc>
        <w:tc>
          <w:tcPr>
            <w:tcW w:w="4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39974">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桥梁下检查步道</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151E6">
            <w:pPr>
              <w:jc w:val="center"/>
              <w:rPr>
                <w:rFonts w:hint="eastAsia" w:ascii="宋体" w:hAnsi="宋体" w:eastAsia="宋体" w:cs="宋体"/>
                <w:i w:val="0"/>
                <w:iCs w:val="0"/>
                <w:color w:val="000000"/>
                <w:sz w:val="22"/>
                <w:szCs w:val="22"/>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AD2E5">
            <w:pPr>
              <w:jc w:val="center"/>
              <w:rPr>
                <w:rFonts w:hint="eastAsia" w:ascii="宋体" w:hAnsi="宋体" w:eastAsia="宋体" w:cs="宋体"/>
                <w:i w:val="0"/>
                <w:iCs w:val="0"/>
                <w:color w:val="000000"/>
                <w:sz w:val="22"/>
                <w:szCs w:val="22"/>
                <w:u w:val="none"/>
              </w:rPr>
            </w:pP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900A0">
            <w:pPr>
              <w:jc w:val="center"/>
              <w:rPr>
                <w:rFonts w:hint="eastAsia" w:ascii="宋体" w:hAnsi="宋体" w:eastAsia="宋体" w:cs="宋体"/>
                <w:i w:val="0"/>
                <w:iCs w:val="0"/>
                <w:color w:val="000000"/>
                <w:sz w:val="22"/>
                <w:szCs w:val="22"/>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94DC0">
            <w:pPr>
              <w:jc w:val="center"/>
              <w:rPr>
                <w:rFonts w:hint="eastAsia" w:ascii="宋体" w:hAnsi="宋体" w:eastAsia="宋体" w:cs="宋体"/>
                <w:i w:val="0"/>
                <w:iCs w:val="0"/>
                <w:color w:val="000000"/>
                <w:sz w:val="22"/>
                <w:szCs w:val="22"/>
                <w:u w:val="none"/>
              </w:rPr>
            </w:pPr>
          </w:p>
        </w:tc>
      </w:tr>
      <w:tr w14:paraId="6E618F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9" w:hRule="atLeast"/>
        </w:trPr>
        <w:tc>
          <w:tcPr>
            <w:tcW w:w="11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2755F">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-a</w:t>
            </w:r>
          </w:p>
        </w:tc>
        <w:tc>
          <w:tcPr>
            <w:tcW w:w="4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3B9A0">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步道增设服务（M10砖砌）</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8ABC1">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m3</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0344E">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40</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D2B0C">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15983">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396761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9" w:hRule="atLeast"/>
        </w:trPr>
        <w:tc>
          <w:tcPr>
            <w:tcW w:w="8481"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5041B">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第400-1章  桥梁、涵洞</w:t>
            </w:r>
          </w:p>
        </w:tc>
        <w:tc>
          <w:tcPr>
            <w:tcW w:w="1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A132C">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176C69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7" w:hRule="atLeast"/>
        </w:trPr>
        <w:tc>
          <w:tcPr>
            <w:tcW w:w="8481"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EEAB6">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清单  第 400 章合计   人民币</w:t>
            </w:r>
          </w:p>
        </w:tc>
        <w:tc>
          <w:tcPr>
            <w:tcW w:w="1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C4E21">
            <w:pPr>
              <w:keepNext w:val="0"/>
              <w:keepLines w:val="0"/>
              <w:widowControl/>
              <w:suppressLineNumbers w:val="0"/>
              <w:jc w:val="center"/>
              <w:rPr>
                <w:rFonts w:hint="eastAsia" w:ascii="宋体" w:hAnsi="宋体" w:eastAsia="宋体" w:cs="宋体"/>
                <w:b/>
                <w:bCs/>
                <w:i w:val="0"/>
                <w:iCs w:val="0"/>
                <w:color w:val="000000"/>
                <w:sz w:val="22"/>
                <w:szCs w:val="22"/>
                <w:u w:val="none"/>
              </w:rPr>
            </w:pPr>
          </w:p>
        </w:tc>
      </w:tr>
    </w:tbl>
    <w:p w14:paraId="5087B08E">
      <w:pPr>
        <w:rPr>
          <w:rFonts w:hint="default" w:ascii="Calibri" w:hAnsi="Calibri"/>
        </w:rPr>
      </w:pPr>
      <w:r>
        <w:rPr>
          <w:rFonts w:hint="default" w:ascii="Calibri" w:hAnsi="Calibri"/>
        </w:rPr>
        <w:br w:type="page" w:clear="all"/>
      </w:r>
    </w:p>
    <w:tbl>
      <w:tblPr>
        <w:tblStyle w:val="35"/>
        <w:tblW w:w="92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72"/>
        <w:gridCol w:w="5221"/>
        <w:gridCol w:w="733"/>
        <w:gridCol w:w="853"/>
        <w:gridCol w:w="1152"/>
        <w:gridCol w:w="1154"/>
      </w:tblGrid>
      <w:tr w14:paraId="1243B9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2" w:hRule="atLeast"/>
        </w:trPr>
        <w:tc>
          <w:tcPr>
            <w:tcW w:w="9260" w:type="dxa"/>
            <w:gridSpan w:val="6"/>
            <w:tcBorders>
              <w:top w:val="nil"/>
              <w:left w:val="nil"/>
              <w:bottom w:val="nil"/>
              <w:right w:val="nil"/>
            </w:tcBorders>
            <w:shd w:val="clear" w:color="auto" w:fill="auto"/>
            <w:noWrap/>
            <w:vAlign w:val="center"/>
          </w:tcPr>
          <w:p w14:paraId="1290BE6F">
            <w:pPr>
              <w:keepNext w:val="0"/>
              <w:keepLines w:val="0"/>
              <w:widowControl/>
              <w:suppressLineNumbers w:val="0"/>
              <w:jc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sz w:val="36"/>
                <w:szCs w:val="36"/>
                <w:u w:val="none"/>
                <w:lang w:val="en-US" w:eastAsia="zh-CN" w:bidi="ar"/>
              </w:rPr>
              <w:t>第500章  工作量清单表</w:t>
            </w:r>
          </w:p>
        </w:tc>
      </w:tr>
      <w:tr w14:paraId="6513C3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1" w:hRule="atLeast"/>
        </w:trPr>
        <w:tc>
          <w:tcPr>
            <w:tcW w:w="0" w:type="auto"/>
            <w:gridSpan w:val="4"/>
            <w:tcBorders>
              <w:top w:val="nil"/>
              <w:left w:val="nil"/>
              <w:bottom w:val="nil"/>
              <w:right w:val="nil"/>
            </w:tcBorders>
            <w:shd w:val="clear" w:color="auto" w:fill="auto"/>
            <w:noWrap/>
            <w:vAlign w:val="center"/>
          </w:tcPr>
          <w:p w14:paraId="5CE23638">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2026年江宁区林荫大道示范管护带养护服务</w:t>
            </w:r>
          </w:p>
        </w:tc>
        <w:tc>
          <w:tcPr>
            <w:tcW w:w="0" w:type="auto"/>
            <w:gridSpan w:val="2"/>
            <w:tcBorders>
              <w:top w:val="nil"/>
              <w:left w:val="nil"/>
              <w:bottom w:val="nil"/>
              <w:right w:val="nil"/>
            </w:tcBorders>
            <w:shd w:val="clear" w:color="auto" w:fill="auto"/>
            <w:noWrap/>
            <w:vAlign w:val="center"/>
          </w:tcPr>
          <w:p w14:paraId="18625B8C">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货币单位: 人民币 元</w:t>
            </w:r>
          </w:p>
        </w:tc>
      </w:tr>
      <w:tr w14:paraId="349107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D2FE0">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清单 第500章  安全设施及预埋管线（单价类）</w:t>
            </w:r>
          </w:p>
        </w:tc>
      </w:tr>
      <w:tr w14:paraId="05C88B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4050F">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子目号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1D700">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子  目  名  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3A861">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8B81B">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07838">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单价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4978A">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合价</w:t>
            </w:r>
          </w:p>
        </w:tc>
      </w:tr>
      <w:tr w14:paraId="6BCEA5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E3F34">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6A6A1">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波形梁钢护栏服务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2B128">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D919F">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386BB">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8F71D">
            <w:pPr>
              <w:jc w:val="center"/>
              <w:rPr>
                <w:rFonts w:hint="eastAsia" w:ascii="宋体" w:hAnsi="宋体" w:eastAsia="宋体" w:cs="宋体"/>
                <w:i w:val="0"/>
                <w:iCs w:val="0"/>
                <w:color w:val="000000"/>
                <w:sz w:val="22"/>
                <w:szCs w:val="22"/>
                <w:u w:val="none"/>
              </w:rPr>
            </w:pPr>
          </w:p>
        </w:tc>
      </w:tr>
      <w:tr w14:paraId="77452E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05E04">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83531">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波形护栏清洗服务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FE3CE">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2B97F">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42000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1CE97">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1CC9D">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7B4CAC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A837A">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-b</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D82CD">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波形护栏调整校正服务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FBA0F">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4A41F">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800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FD07C">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D744A">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18B43F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B6477">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-c</w:t>
            </w:r>
          </w:p>
        </w:tc>
        <w:tc>
          <w:tcPr>
            <w:tcW w:w="0" w:type="auto"/>
            <w:tcBorders>
              <w:top w:val="nil"/>
              <w:left w:val="nil"/>
              <w:bottom w:val="single" w:color="000000" w:sz="4" w:space="0"/>
              <w:right w:val="single" w:color="000000" w:sz="4" w:space="0"/>
            </w:tcBorders>
            <w:shd w:val="clear" w:color="auto" w:fill="auto"/>
            <w:noWrap/>
            <w:vAlign w:val="center"/>
          </w:tcPr>
          <w:p w14:paraId="449BA1C6">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单面波形梁钢护栏板更换服务Gr-B-2E（二波）</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D4E39">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5820D">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400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58A9D">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7C4DB">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209AB7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4BF3E">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-d</w:t>
            </w:r>
          </w:p>
        </w:tc>
        <w:tc>
          <w:tcPr>
            <w:tcW w:w="0" w:type="auto"/>
            <w:tcBorders>
              <w:top w:val="nil"/>
              <w:left w:val="nil"/>
              <w:bottom w:val="single" w:color="000000" w:sz="4" w:space="0"/>
              <w:right w:val="single" w:color="000000" w:sz="4" w:space="0"/>
            </w:tcBorders>
            <w:shd w:val="clear" w:color="auto" w:fill="auto"/>
            <w:noWrap/>
            <w:vAlign w:val="center"/>
          </w:tcPr>
          <w:p w14:paraId="00C265D2">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单面波形梁钢护栏板更换服务Gr-B-4E（二波）</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A2D53">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AE0E3">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A81AF">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89E34">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679FD4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0570C">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-e</w:t>
            </w:r>
          </w:p>
        </w:tc>
        <w:tc>
          <w:tcPr>
            <w:tcW w:w="0" w:type="auto"/>
            <w:tcBorders>
              <w:top w:val="nil"/>
              <w:left w:val="nil"/>
              <w:bottom w:val="single" w:color="000000" w:sz="4" w:space="0"/>
              <w:right w:val="single" w:color="000000" w:sz="4" w:space="0"/>
            </w:tcBorders>
            <w:shd w:val="clear" w:color="auto" w:fill="auto"/>
            <w:noWrap/>
            <w:vAlign w:val="center"/>
          </w:tcPr>
          <w:p w14:paraId="00C79E4C">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单面波形梁钢护栏板更换服务Gr-A-2E（三波圆管）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00100">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12246">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EAF69">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3F3E8">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6E903B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D7BE1">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-f</w:t>
            </w:r>
          </w:p>
        </w:tc>
        <w:tc>
          <w:tcPr>
            <w:tcW w:w="42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627563">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分设型圆头式端头服务（R160）</w:t>
            </w:r>
          </w:p>
        </w:tc>
        <w:tc>
          <w:tcPr>
            <w:tcW w:w="88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1C7F11">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4852B">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03745">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E2FA8">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2A7577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8D8D3">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-g</w:t>
            </w:r>
          </w:p>
        </w:tc>
        <w:tc>
          <w:tcPr>
            <w:tcW w:w="42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4305DE">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分设型圆头式端头服务（R250）</w:t>
            </w:r>
          </w:p>
        </w:tc>
        <w:tc>
          <w:tcPr>
            <w:tcW w:w="88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D2CB8F">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C08EB">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ECC09">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79751">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6AC984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5EA1E">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-h</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1B074">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护栏端头反光膜服务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DE531">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604AC">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E9E66">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5B625">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25E660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B4901">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-i</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A1CB0">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波形护栏喷漆出新服务（现场）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4D2FA">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4C8D5">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C6164">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20D7C">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459F6E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35185">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E8B06">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单柱式交通标志服务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B3796">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B64B0">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74D6D">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9F393">
            <w:pPr>
              <w:jc w:val="center"/>
              <w:rPr>
                <w:rFonts w:hint="eastAsia" w:ascii="宋体" w:hAnsi="宋体" w:eastAsia="宋体" w:cs="宋体"/>
                <w:i w:val="0"/>
                <w:iCs w:val="0"/>
                <w:color w:val="000000"/>
                <w:sz w:val="22"/>
                <w:szCs w:val="22"/>
                <w:u w:val="none"/>
              </w:rPr>
            </w:pPr>
          </w:p>
        </w:tc>
      </w:tr>
      <w:tr w14:paraId="76DC11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26A05">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-a</w:t>
            </w:r>
          </w:p>
        </w:tc>
        <w:tc>
          <w:tcPr>
            <w:tcW w:w="42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CD7AB9">
            <w:pPr>
              <w:keepNext w:val="0"/>
              <w:keepLines w:val="0"/>
              <w:widowControl/>
              <w:suppressLineNumbers w:val="0"/>
              <w:jc w:val="left"/>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sz w:val="22"/>
                <w:szCs w:val="22"/>
                <w:u w:val="none"/>
                <w:lang w:val="en-US" w:eastAsia="zh-CN" w:bidi="ar"/>
              </w:rPr>
              <w:t>Ф</w:t>
            </w:r>
            <w:r>
              <w:rPr>
                <w:rFonts w:hint="eastAsia" w:ascii="宋体" w:hAnsi="宋体" w:eastAsia="宋体" w:cs="宋体"/>
                <w:i w:val="0"/>
                <w:iCs w:val="0"/>
                <w:color w:val="000000"/>
                <w:sz w:val="22"/>
                <w:szCs w:val="22"/>
                <w:u w:val="none"/>
                <w:lang w:val="en-US" w:eastAsia="zh-CN" w:bidi="ar"/>
              </w:rPr>
              <w:t>76单立柱杆件服务（含基础）</w:t>
            </w:r>
          </w:p>
        </w:tc>
        <w:tc>
          <w:tcPr>
            <w:tcW w:w="88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D29FBF">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ED7C2">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0799E">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53B63">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1ECF13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8B59A">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-b</w:t>
            </w:r>
          </w:p>
        </w:tc>
        <w:tc>
          <w:tcPr>
            <w:tcW w:w="42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1D0E24">
            <w:pPr>
              <w:keepNext w:val="0"/>
              <w:keepLines w:val="0"/>
              <w:widowControl/>
              <w:suppressLineNumbers w:val="0"/>
              <w:jc w:val="left"/>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sz w:val="22"/>
                <w:szCs w:val="22"/>
                <w:u w:val="none"/>
                <w:lang w:val="en-US" w:eastAsia="zh-CN" w:bidi="ar"/>
              </w:rPr>
              <w:t>Ф</w:t>
            </w:r>
            <w:r>
              <w:rPr>
                <w:rFonts w:hint="eastAsia" w:ascii="宋体" w:hAnsi="宋体" w:eastAsia="宋体" w:cs="宋体"/>
                <w:i w:val="0"/>
                <w:iCs w:val="0"/>
                <w:color w:val="000000"/>
                <w:sz w:val="22"/>
                <w:szCs w:val="22"/>
                <w:u w:val="none"/>
                <w:lang w:val="en-US" w:eastAsia="zh-CN" w:bidi="ar"/>
              </w:rPr>
              <w:t>89单立柱杆件服务（含基础）</w:t>
            </w:r>
          </w:p>
        </w:tc>
        <w:tc>
          <w:tcPr>
            <w:tcW w:w="88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B71E04">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B4537">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52148">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B6A50">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3E1E9A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DED10">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-c</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0893A">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正三角形服务(△A=70cm)（含杆件和基础）</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C669E">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2EC87">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3A855">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A1492">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54D05E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0AE4A">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-d</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381FA">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圆形服务(D=60cm)（含杆件和基础）</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BBDC9">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98B68">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79667">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A5AFA">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3AEC28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67AE1">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-e</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3FCD8">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八边形服务（D=0.6m)（含杆件和基础）</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18D2F">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9D191">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2F5F4">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FCB95">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6CFEBE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D86E7">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-f</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CA290">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组合标志牌服务（圆形D=60cm+八边形D=0.6m）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823DD">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A6EED">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BAADD">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1C8AC">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599962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A239B">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-g</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E0A43">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组合标志牌服务（圆形D=60cm+正三角形△A=70cm）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337D4">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728B9">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B0144">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93E01">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6FA0B9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C745A">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-h</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09E9D">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矩形服务(□80×80cm)（含杆件和基础）</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5581E">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5F09B">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209B6">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C1343">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6A56D6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A7327">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-i</w:t>
            </w:r>
          </w:p>
        </w:tc>
        <w:tc>
          <w:tcPr>
            <w:tcW w:w="42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452C4B">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柱式标志牌换面服务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F3046">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18D15">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609BD">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F9054">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689742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756F1">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-j</w:t>
            </w:r>
          </w:p>
        </w:tc>
        <w:tc>
          <w:tcPr>
            <w:tcW w:w="4273" w:type="dxa"/>
            <w:tcBorders>
              <w:top w:val="nil"/>
              <w:left w:val="nil"/>
              <w:bottom w:val="single" w:color="000000" w:sz="4" w:space="0"/>
              <w:right w:val="single" w:color="000000" w:sz="4" w:space="0"/>
            </w:tcBorders>
            <w:shd w:val="clear" w:color="auto" w:fill="auto"/>
            <w:noWrap w:val="0"/>
            <w:vAlign w:val="center"/>
          </w:tcPr>
          <w:p w14:paraId="63FC708A">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柱式标志牌换膜服务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5545F">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0CFC7">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61AA8">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F672C">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74776E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C7ED8">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-3</w:t>
            </w:r>
          </w:p>
        </w:tc>
        <w:tc>
          <w:tcPr>
            <w:tcW w:w="42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586FCC">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单悬臂式交通标志服务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8DFFB">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61233">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A3BF6">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5BE1B">
            <w:pPr>
              <w:jc w:val="center"/>
              <w:rPr>
                <w:rFonts w:hint="eastAsia" w:ascii="宋体" w:hAnsi="宋体" w:eastAsia="宋体" w:cs="宋体"/>
                <w:i w:val="0"/>
                <w:iCs w:val="0"/>
                <w:color w:val="000000"/>
                <w:sz w:val="22"/>
                <w:szCs w:val="22"/>
                <w:u w:val="none"/>
              </w:rPr>
            </w:pPr>
          </w:p>
        </w:tc>
      </w:tr>
      <w:tr w14:paraId="1EAF7B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95E07">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-a</w:t>
            </w:r>
          </w:p>
        </w:tc>
        <w:tc>
          <w:tcPr>
            <w:tcW w:w="4273" w:type="dxa"/>
            <w:tcBorders>
              <w:top w:val="nil"/>
              <w:left w:val="nil"/>
              <w:bottom w:val="single" w:color="000000" w:sz="4" w:space="0"/>
              <w:right w:val="single" w:color="000000" w:sz="4" w:space="0"/>
            </w:tcBorders>
            <w:shd w:val="clear" w:color="auto" w:fill="auto"/>
            <w:noWrap w:val="0"/>
            <w:vAlign w:val="center"/>
          </w:tcPr>
          <w:p w14:paraId="1B484014">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单悬臂式标志牌拆除服务</w:t>
            </w:r>
          </w:p>
        </w:tc>
        <w:tc>
          <w:tcPr>
            <w:tcW w:w="0" w:type="auto"/>
            <w:tcBorders>
              <w:top w:val="nil"/>
              <w:left w:val="nil"/>
              <w:bottom w:val="single" w:color="000000" w:sz="4" w:space="0"/>
              <w:right w:val="single" w:color="000000" w:sz="4" w:space="0"/>
            </w:tcBorders>
            <w:shd w:val="clear" w:color="auto" w:fill="auto"/>
            <w:noWrap/>
            <w:vAlign w:val="center"/>
          </w:tcPr>
          <w:p w14:paraId="3704F273">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90347">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1039" w:type="dxa"/>
            <w:tcBorders>
              <w:top w:val="nil"/>
              <w:left w:val="nil"/>
              <w:bottom w:val="single" w:color="000000" w:sz="4" w:space="0"/>
              <w:right w:val="single" w:color="000000" w:sz="4" w:space="0"/>
            </w:tcBorders>
            <w:shd w:val="clear" w:color="auto" w:fill="auto"/>
            <w:noWrap w:val="0"/>
            <w:vAlign w:val="center"/>
          </w:tcPr>
          <w:p w14:paraId="2257FB0A">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BDAEC">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42CCB4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E700C">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-b</w:t>
            </w:r>
          </w:p>
        </w:tc>
        <w:tc>
          <w:tcPr>
            <w:tcW w:w="42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C6D730">
            <w:pPr>
              <w:keepNext w:val="0"/>
              <w:keepLines w:val="0"/>
              <w:widowControl/>
              <w:suppressLineNumbers w:val="0"/>
              <w:jc w:val="left"/>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sz w:val="22"/>
                <w:szCs w:val="22"/>
                <w:u w:val="none"/>
                <w:lang w:val="en-US" w:eastAsia="zh-CN" w:bidi="ar"/>
              </w:rPr>
              <w:t>Ф</w:t>
            </w:r>
            <w:r>
              <w:rPr>
                <w:rFonts w:hint="eastAsia" w:ascii="宋体" w:hAnsi="宋体" w:eastAsia="宋体" w:cs="宋体"/>
                <w:i w:val="0"/>
                <w:iCs w:val="0"/>
                <w:color w:val="000000"/>
                <w:sz w:val="22"/>
                <w:szCs w:val="22"/>
                <w:u w:val="none"/>
                <w:lang w:val="en-US" w:eastAsia="zh-CN" w:bidi="ar"/>
              </w:rPr>
              <w:t>159单悬臂杆件服务</w:t>
            </w:r>
          </w:p>
        </w:tc>
        <w:tc>
          <w:tcPr>
            <w:tcW w:w="88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81EFFA">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E7E86">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103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F08409">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75528">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046A4F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369A8">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-c</w:t>
            </w:r>
          </w:p>
        </w:tc>
        <w:tc>
          <w:tcPr>
            <w:tcW w:w="42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884B8E">
            <w:pPr>
              <w:keepNext w:val="0"/>
              <w:keepLines w:val="0"/>
              <w:widowControl/>
              <w:suppressLineNumbers w:val="0"/>
              <w:jc w:val="left"/>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sz w:val="22"/>
                <w:szCs w:val="22"/>
                <w:u w:val="none"/>
                <w:lang w:val="en-US" w:eastAsia="zh-CN" w:bidi="ar"/>
              </w:rPr>
              <w:t>Ф</w:t>
            </w:r>
            <w:r>
              <w:rPr>
                <w:rFonts w:hint="eastAsia" w:ascii="宋体" w:hAnsi="宋体" w:eastAsia="宋体" w:cs="宋体"/>
                <w:i w:val="0"/>
                <w:iCs w:val="0"/>
                <w:color w:val="000000"/>
                <w:sz w:val="22"/>
                <w:szCs w:val="22"/>
                <w:u w:val="none"/>
                <w:lang w:val="en-US" w:eastAsia="zh-CN" w:bidi="ar"/>
              </w:rPr>
              <w:t>219单悬臂杆件服务</w:t>
            </w:r>
          </w:p>
        </w:tc>
        <w:tc>
          <w:tcPr>
            <w:tcW w:w="88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0C090C">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72328">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103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842BD5">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947F8">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555A58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62A0A">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-d</w:t>
            </w:r>
          </w:p>
        </w:tc>
        <w:tc>
          <w:tcPr>
            <w:tcW w:w="42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9F4F9B">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悬臂标志牌换面服务</w:t>
            </w:r>
          </w:p>
        </w:tc>
        <w:tc>
          <w:tcPr>
            <w:tcW w:w="88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315691">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3002D">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20</w:t>
            </w:r>
          </w:p>
        </w:tc>
        <w:tc>
          <w:tcPr>
            <w:tcW w:w="103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ECDF9C">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17AEC">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761547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1731C">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-e</w:t>
            </w:r>
          </w:p>
        </w:tc>
        <w:tc>
          <w:tcPr>
            <w:tcW w:w="42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8BA84A">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悬臂标志牌换膜服务</w:t>
            </w:r>
          </w:p>
        </w:tc>
        <w:tc>
          <w:tcPr>
            <w:tcW w:w="88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E9F609">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6571C">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20</w:t>
            </w:r>
          </w:p>
        </w:tc>
        <w:tc>
          <w:tcPr>
            <w:tcW w:w="103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F3AAAF">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5E51F">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4EDA42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4A4DF">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37943">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爆闪警示灯服务（含杆件和基础）</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A7C04">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B29EA">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C32CC">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A7E4D">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7F4B25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7C13F">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1AA9E">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里程碑（牌）安装服务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198ED">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20A4A">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D0DF2">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D65F3">
            <w:pPr>
              <w:jc w:val="center"/>
              <w:rPr>
                <w:rFonts w:hint="eastAsia" w:ascii="宋体" w:hAnsi="宋体" w:eastAsia="宋体" w:cs="宋体"/>
                <w:i w:val="0"/>
                <w:iCs w:val="0"/>
                <w:color w:val="000000"/>
                <w:sz w:val="22"/>
                <w:szCs w:val="22"/>
                <w:u w:val="none"/>
              </w:rPr>
            </w:pPr>
          </w:p>
        </w:tc>
      </w:tr>
      <w:tr w14:paraId="277E4D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9791D">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BFCC7">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里程碑安装服务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053DD">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FD5CA">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E34BB">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7431B">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62907E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B82DF">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-b</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20CF6">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公路界碑安装服务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EFD4D">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BAB2E">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33260">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EC4DB">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1A6239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51F6B">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-c</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0AB14">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百米桩安装服务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56110">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63623">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840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3907B">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C9147">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13867B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7499E">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B2704">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道路反光镜服务（含杆件和基础）</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8BC15">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B03A8">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EA73D">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E052A">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601CF4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1792F">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B1086">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警示桩更换服务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D31CA">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C1347">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6A659">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03D51">
            <w:pPr>
              <w:jc w:val="center"/>
              <w:rPr>
                <w:rFonts w:hint="eastAsia" w:ascii="宋体" w:hAnsi="宋体" w:eastAsia="宋体" w:cs="宋体"/>
                <w:i w:val="0"/>
                <w:iCs w:val="0"/>
                <w:color w:val="000000"/>
                <w:sz w:val="22"/>
                <w:szCs w:val="22"/>
                <w:u w:val="none"/>
              </w:rPr>
            </w:pPr>
          </w:p>
        </w:tc>
      </w:tr>
      <w:tr w14:paraId="0C9382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BBC69">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F1EE4">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警示桩更换服务（</w:t>
            </w:r>
            <w:r>
              <w:rPr>
                <w:rFonts w:ascii="Calibri" w:hAnsi="Calibri" w:eastAsia="宋体" w:cs="Calibri"/>
                <w:color w:val="000000"/>
                <w:sz w:val="22"/>
                <w:szCs w:val="22"/>
                <w:u w:val="none"/>
                <w:lang w:val="en-US" w:eastAsia="zh-CN" w:bidi="ar"/>
              </w:rPr>
              <w:t>φ</w:t>
            </w:r>
            <w:r>
              <w:rPr>
                <w:rFonts w:hint="eastAsia" w:ascii="宋体" w:hAnsi="宋体" w:cs="宋体"/>
                <w:color w:val="000000"/>
                <w:sz w:val="22"/>
                <w:szCs w:val="22"/>
                <w:u w:val="none"/>
                <w:lang w:val="en-US" w:eastAsia="zh-CN" w:bidi="ar"/>
              </w:rPr>
              <w:t>89*1200mm）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5DDCD">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A28FE">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15881">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18797">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426600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9AA58">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-b</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C0ACA">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警示桩更换服务（</w:t>
            </w:r>
            <w:r>
              <w:rPr>
                <w:rFonts w:ascii="Calibri" w:hAnsi="Calibri" w:eastAsia="宋体" w:cs="Calibri"/>
                <w:color w:val="000000"/>
                <w:sz w:val="22"/>
                <w:szCs w:val="22"/>
                <w:u w:val="none"/>
                <w:lang w:val="en-US" w:eastAsia="zh-CN" w:bidi="ar"/>
              </w:rPr>
              <w:t>φ</w:t>
            </w:r>
            <w:r>
              <w:rPr>
                <w:rFonts w:hint="eastAsia" w:ascii="宋体" w:hAnsi="宋体" w:cs="宋体"/>
                <w:color w:val="000000"/>
                <w:sz w:val="22"/>
                <w:szCs w:val="22"/>
                <w:u w:val="none"/>
                <w:lang w:val="en-US" w:eastAsia="zh-CN" w:bidi="ar"/>
              </w:rPr>
              <w:t>114*1200mm）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CAAFC">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5A2C2">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E3619">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A9B1A">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41823C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DE313">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-c</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0E510">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警示桩更换服务（</w:t>
            </w:r>
            <w:r>
              <w:rPr>
                <w:rFonts w:ascii="Calibri" w:hAnsi="Calibri" w:eastAsia="宋体" w:cs="Calibri"/>
                <w:color w:val="000000"/>
                <w:sz w:val="22"/>
                <w:szCs w:val="22"/>
                <w:u w:val="none"/>
                <w:lang w:val="en-US" w:eastAsia="zh-CN" w:bidi="ar"/>
              </w:rPr>
              <w:t>φ</w:t>
            </w:r>
            <w:r>
              <w:rPr>
                <w:rFonts w:hint="eastAsia" w:ascii="宋体" w:hAnsi="宋体" w:cs="宋体"/>
                <w:color w:val="000000"/>
                <w:sz w:val="22"/>
                <w:szCs w:val="22"/>
                <w:u w:val="none"/>
                <w:lang w:val="en-US" w:eastAsia="zh-CN" w:bidi="ar"/>
              </w:rPr>
              <w:t>120*1200mm）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9018B">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B8529">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C8FBC">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DB13B">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4AB35F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582BC6">
            <w:pPr>
              <w:keepNext w:val="0"/>
              <w:keepLines w:val="0"/>
              <w:widowControl/>
              <w:suppressLineNumbers w:val="0"/>
              <w:jc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sz w:val="22"/>
                <w:szCs w:val="22"/>
                <w:u w:val="none"/>
                <w:lang w:val="en-US" w:eastAsia="zh-CN" w:bidi="ar"/>
              </w:rPr>
              <w:t>-8</w:t>
            </w:r>
          </w:p>
        </w:tc>
        <w:tc>
          <w:tcPr>
            <w:tcW w:w="42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BD1A37">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路面标志、标线服务</w:t>
            </w:r>
          </w:p>
        </w:tc>
        <w:tc>
          <w:tcPr>
            <w:tcW w:w="88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3B4E07">
            <w:pPr>
              <w:jc w:val="center"/>
              <w:rPr>
                <w:rFonts w:hint="eastAsia" w:ascii="宋体" w:hAnsi="宋体" w:eastAsia="宋体" w:cs="宋体"/>
                <w:i w:val="0"/>
                <w:iCs w:val="0"/>
                <w:color w:val="000000"/>
                <w:sz w:val="22"/>
                <w:szCs w:val="22"/>
                <w:u w:val="none"/>
              </w:rPr>
            </w:pPr>
          </w:p>
        </w:tc>
        <w:tc>
          <w:tcPr>
            <w:tcW w:w="9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04D7AD">
            <w:pPr>
              <w:jc w:val="center"/>
              <w:rPr>
                <w:rFonts w:hint="eastAsia" w:ascii="宋体" w:hAnsi="宋体" w:eastAsia="宋体" w:cs="宋体"/>
                <w:i w:val="0"/>
                <w:iCs w:val="0"/>
                <w:color w:val="000000"/>
                <w:sz w:val="22"/>
                <w:szCs w:val="22"/>
                <w:u w:val="none"/>
              </w:rPr>
            </w:pPr>
          </w:p>
        </w:tc>
        <w:tc>
          <w:tcPr>
            <w:tcW w:w="103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4C6557">
            <w:pPr>
              <w:jc w:val="center"/>
              <w:rPr>
                <w:rFonts w:hint="default" w:ascii="Times New Roman" w:hAnsi="Times New Roman" w:eastAsia="宋体" w:cs="Times New Roman"/>
                <w:i w:val="0"/>
                <w:iCs w:val="0"/>
                <w:color w:val="000000"/>
                <w:sz w:val="22"/>
                <w:szCs w:val="22"/>
                <w:u w:val="none"/>
              </w:rPr>
            </w:pP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B7B9F5">
            <w:pPr>
              <w:jc w:val="center"/>
              <w:rPr>
                <w:rFonts w:hint="default" w:ascii="Times New Roman" w:hAnsi="Times New Roman" w:eastAsia="宋体" w:cs="Times New Roman"/>
                <w:i w:val="0"/>
                <w:iCs w:val="0"/>
                <w:color w:val="000000"/>
                <w:sz w:val="22"/>
                <w:szCs w:val="22"/>
                <w:u w:val="none"/>
              </w:rPr>
            </w:pPr>
          </w:p>
        </w:tc>
      </w:tr>
      <w:tr w14:paraId="255E61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CA652">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-a</w:t>
            </w:r>
          </w:p>
        </w:tc>
        <w:tc>
          <w:tcPr>
            <w:tcW w:w="42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4C2E65">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热熔涂料标志、标线服务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558AA">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C3DC8">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5500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1487D">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AAF7E">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5F5BC7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50555">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-b</w:t>
            </w:r>
          </w:p>
        </w:tc>
        <w:tc>
          <w:tcPr>
            <w:tcW w:w="42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7F0FF4">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热熔涂料震荡标志、标线服务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470A4">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C09E9">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94CE5">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E4D78">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5D1CE6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5B829">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-c</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544EF">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高压水除线服务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D45AA">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6F7D9">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B253D">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EF191">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2BE74A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C3CBB">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-9</w:t>
            </w:r>
          </w:p>
        </w:tc>
        <w:tc>
          <w:tcPr>
            <w:tcW w:w="42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406A9F">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附着式轮廓标服务</w:t>
            </w:r>
          </w:p>
        </w:tc>
        <w:tc>
          <w:tcPr>
            <w:tcW w:w="88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A4C69A">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77573">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1A7C3">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24C5F">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293334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92D04">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66241">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桥梁信息牌服务530*340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13EA1">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1BD71">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ED321">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8268A">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0861AA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7D4E9">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第</w:t>
            </w:r>
            <w:r>
              <w:rPr>
                <w:rFonts w:hint="eastAsia" w:ascii="宋体" w:hAnsi="宋体" w:cs="宋体"/>
                <w:i w:val="0"/>
                <w:iCs w:val="0"/>
                <w:color w:val="000000"/>
                <w:sz w:val="22"/>
                <w:szCs w:val="22"/>
                <w:u w:val="none"/>
                <w:lang w:val="en-US" w:eastAsia="zh-CN" w:bidi="ar"/>
              </w:rPr>
              <w:t>5</w:t>
            </w:r>
            <w:r>
              <w:rPr>
                <w:rFonts w:hint="eastAsia" w:ascii="宋体" w:hAnsi="宋体" w:eastAsia="宋体" w:cs="宋体"/>
                <w:i w:val="0"/>
                <w:iCs w:val="0"/>
                <w:color w:val="000000"/>
                <w:sz w:val="22"/>
                <w:szCs w:val="22"/>
                <w:u w:val="none"/>
                <w:lang w:val="en-US" w:eastAsia="zh-CN" w:bidi="ar"/>
              </w:rPr>
              <w:t>00-1章  桥梁、涵洞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46942">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216604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22C82">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清单  第</w:t>
            </w:r>
            <w:r>
              <w:rPr>
                <w:rFonts w:hint="eastAsia" w:ascii="宋体" w:hAnsi="宋体" w:cs="宋体"/>
                <w:i w:val="0"/>
                <w:iCs w:val="0"/>
                <w:color w:val="000000"/>
                <w:sz w:val="22"/>
                <w:szCs w:val="22"/>
                <w:u w:val="none"/>
                <w:lang w:val="en-US" w:eastAsia="zh-CN" w:bidi="ar"/>
              </w:rPr>
              <w:t>5</w:t>
            </w:r>
            <w:r>
              <w:rPr>
                <w:rFonts w:hint="eastAsia" w:ascii="宋体" w:hAnsi="宋体" w:eastAsia="宋体" w:cs="宋体"/>
                <w:i w:val="0"/>
                <w:iCs w:val="0"/>
                <w:color w:val="000000"/>
                <w:sz w:val="22"/>
                <w:szCs w:val="22"/>
                <w:u w:val="none"/>
                <w:lang w:val="en-US" w:eastAsia="zh-CN" w:bidi="ar"/>
              </w:rPr>
              <w:t>00 章合计   人民币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89954">
            <w:pPr>
              <w:keepNext w:val="0"/>
              <w:keepLines w:val="0"/>
              <w:widowControl/>
              <w:suppressLineNumbers w:val="0"/>
              <w:jc w:val="center"/>
              <w:rPr>
                <w:rFonts w:hint="eastAsia" w:ascii="宋体" w:hAnsi="宋体" w:eastAsia="宋体" w:cs="宋体"/>
                <w:b/>
                <w:bCs/>
                <w:i w:val="0"/>
                <w:iCs w:val="0"/>
                <w:color w:val="000000"/>
                <w:sz w:val="22"/>
                <w:szCs w:val="22"/>
                <w:u w:val="none"/>
              </w:rPr>
            </w:pPr>
          </w:p>
        </w:tc>
      </w:tr>
    </w:tbl>
    <w:p w14:paraId="6125186C">
      <w:pPr>
        <w:rPr>
          <w:rFonts w:hint="default" w:ascii="Calibri" w:hAnsi="Calibri"/>
        </w:rPr>
      </w:pPr>
      <w:r>
        <w:rPr>
          <w:rFonts w:hint="default" w:ascii="Calibri" w:hAnsi="Calibri"/>
        </w:rPr>
        <w:br w:type="page" w:clear="all"/>
      </w:r>
    </w:p>
    <w:tbl>
      <w:tblPr>
        <w:tblStyle w:val="35"/>
        <w:tblW w:w="93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84"/>
        <w:gridCol w:w="5028"/>
        <w:gridCol w:w="812"/>
        <w:gridCol w:w="812"/>
        <w:gridCol w:w="1153"/>
        <w:gridCol w:w="1153"/>
      </w:tblGrid>
      <w:tr w14:paraId="4DB457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0" w:hRule="atLeast"/>
        </w:trPr>
        <w:tc>
          <w:tcPr>
            <w:tcW w:w="9360" w:type="dxa"/>
            <w:gridSpan w:val="6"/>
            <w:tcBorders>
              <w:top w:val="nil"/>
              <w:left w:val="nil"/>
              <w:bottom w:val="nil"/>
              <w:right w:val="nil"/>
            </w:tcBorders>
            <w:shd w:val="clear" w:color="auto" w:fill="auto"/>
            <w:noWrap/>
            <w:vAlign w:val="center"/>
          </w:tcPr>
          <w:p w14:paraId="445FD706">
            <w:pPr>
              <w:keepNext w:val="0"/>
              <w:keepLines w:val="0"/>
              <w:widowControl/>
              <w:suppressLineNumbers w:val="0"/>
              <w:jc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sz w:val="36"/>
                <w:szCs w:val="36"/>
                <w:u w:val="none"/>
                <w:lang w:val="en-US" w:eastAsia="zh-CN" w:bidi="ar"/>
              </w:rPr>
              <w:t>第600章  工作量清单表</w:t>
            </w:r>
          </w:p>
        </w:tc>
      </w:tr>
      <w:tr w14:paraId="30F81F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2" w:hRule="atLeast"/>
        </w:trPr>
        <w:tc>
          <w:tcPr>
            <w:tcW w:w="0" w:type="auto"/>
            <w:gridSpan w:val="4"/>
            <w:tcBorders>
              <w:top w:val="nil"/>
              <w:left w:val="nil"/>
              <w:bottom w:val="nil"/>
              <w:right w:val="nil"/>
            </w:tcBorders>
            <w:shd w:val="clear" w:color="auto" w:fill="auto"/>
            <w:noWrap/>
            <w:vAlign w:val="center"/>
          </w:tcPr>
          <w:p w14:paraId="47148896">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标段: 2026年江宁区林荫大道示范管护带养护服务</w:t>
            </w:r>
          </w:p>
        </w:tc>
        <w:tc>
          <w:tcPr>
            <w:tcW w:w="0" w:type="auto"/>
            <w:gridSpan w:val="2"/>
            <w:tcBorders>
              <w:top w:val="nil"/>
              <w:left w:val="nil"/>
              <w:bottom w:val="nil"/>
              <w:right w:val="nil"/>
            </w:tcBorders>
            <w:shd w:val="clear" w:color="auto" w:fill="auto"/>
            <w:noWrap/>
            <w:vAlign w:val="center"/>
          </w:tcPr>
          <w:p w14:paraId="0133CC4F">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货币单位: 人民币 元</w:t>
            </w:r>
          </w:p>
        </w:tc>
      </w:tr>
      <w:tr w14:paraId="4919F4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03052">
            <w:pPr>
              <w:keepNext w:val="0"/>
              <w:keepLines w:val="0"/>
              <w:widowControl/>
              <w:suppressLineNumbers w:val="0"/>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lang w:val="en-US" w:eastAsia="zh-CN" w:bidi="ar"/>
              </w:rPr>
              <w:t>清单 第600-1章  绿化及环境保护设施（（基价类）</w:t>
            </w:r>
          </w:p>
        </w:tc>
      </w:tr>
      <w:tr w14:paraId="45D24E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936DA">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子目号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DE90F">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子  目  名  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B6A66">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9D394">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2E435">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单价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F29CE">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合价</w:t>
            </w:r>
          </w:p>
        </w:tc>
      </w:tr>
      <w:tr w14:paraId="2BF39B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63292">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B6900">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绿化养护服务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0AD1F">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9C576">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D0364">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44EDF">
            <w:pPr>
              <w:jc w:val="center"/>
              <w:rPr>
                <w:rFonts w:hint="eastAsia" w:ascii="宋体" w:hAnsi="宋体" w:eastAsia="宋体" w:cs="宋体"/>
                <w:i w:val="0"/>
                <w:iCs w:val="0"/>
                <w:color w:val="000000"/>
                <w:sz w:val="22"/>
                <w:szCs w:val="22"/>
                <w:u w:val="none"/>
              </w:rPr>
            </w:pPr>
          </w:p>
        </w:tc>
      </w:tr>
      <w:tr w14:paraId="476BF0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6F66D">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DECF8">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病虫防治服务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344B9">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9B15F">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A3D7E">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3418E">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10189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3BF12">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D1DBF">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乔木刷白服务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986E7">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F9D66">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52C69">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4024B">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5A61EB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6DEA1">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C86E7">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绿化施肥服务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2846B">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AD2C3">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4CE48">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AA11C">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35A82C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EDD55">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B37CE">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绿化浇水服务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92485">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B7571">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3FC0C">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5BC76">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09D26E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6813C">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81FD5">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乔木整枝抹芽修剪乔木服务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13B2E">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7A047">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6E584">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6BAD6">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4DA9DF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6D92F">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6391C">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灌木整枝抹芽修剪服务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E8559">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CDFF6">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AA42C">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90750">
            <w:pPr>
              <w:jc w:val="center"/>
              <w:rPr>
                <w:rFonts w:hint="eastAsia" w:ascii="宋体" w:hAnsi="宋体" w:eastAsia="宋体" w:cs="宋体"/>
                <w:i w:val="0"/>
                <w:iCs w:val="0"/>
                <w:color w:val="000000"/>
                <w:sz w:val="22"/>
                <w:szCs w:val="22"/>
                <w:u w:val="none"/>
              </w:rPr>
            </w:pPr>
          </w:p>
        </w:tc>
      </w:tr>
      <w:tr w14:paraId="42E0DA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F90AE">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78C12">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人工修剪绿篱、花灌木服务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A71A4">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0DCB8">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F60F7">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1BC28">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62714A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EFBB2">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-b</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C4CE2">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人工修剪球类服务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D3BB5">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C0A04">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0FB6D">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78B85">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233336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1CFEB">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第600-1章  绿化及环境保护设施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07E81">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52CD2A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FFA89">
            <w:pPr>
              <w:keepNext w:val="0"/>
              <w:keepLines w:val="0"/>
              <w:widowControl/>
              <w:suppressLineNumbers w:val="0"/>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lang w:val="en-US" w:eastAsia="zh-CN" w:bidi="ar"/>
              </w:rPr>
              <w:t>清单 第600-2章  绿化及环境保护设施（（单价类）</w:t>
            </w:r>
          </w:p>
        </w:tc>
      </w:tr>
      <w:tr w14:paraId="3E9A66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50FE6">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子目号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F8C27">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子  目  名  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0C702">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51CEC">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E4444">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单价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E7477">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合价</w:t>
            </w:r>
          </w:p>
        </w:tc>
      </w:tr>
      <w:tr w14:paraId="6BE3E5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46A6D">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B5545">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刨伐死树、树根服务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ECEAF">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0F290">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C598B">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BC27A">
            <w:pPr>
              <w:jc w:val="center"/>
              <w:rPr>
                <w:rFonts w:hint="eastAsia" w:ascii="宋体" w:hAnsi="宋体" w:eastAsia="宋体" w:cs="宋体"/>
                <w:i w:val="0"/>
                <w:iCs w:val="0"/>
                <w:color w:val="000000"/>
                <w:sz w:val="22"/>
                <w:szCs w:val="22"/>
                <w:u w:val="none"/>
              </w:rPr>
            </w:pPr>
          </w:p>
        </w:tc>
      </w:tr>
      <w:tr w14:paraId="133B9E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F2771">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-a</w:t>
            </w:r>
          </w:p>
        </w:tc>
        <w:tc>
          <w:tcPr>
            <w:tcW w:w="47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49B6A7">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刨伐死树、树根服务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CEECA">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EEA9F">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4F83B">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D12BD">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028F42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019DF">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2540A">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绿化扶正服务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55615">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49BCB">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85297">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B9E5A">
            <w:pPr>
              <w:jc w:val="center"/>
              <w:rPr>
                <w:rFonts w:hint="eastAsia" w:ascii="宋体" w:hAnsi="宋体" w:eastAsia="宋体" w:cs="宋体"/>
                <w:i w:val="0"/>
                <w:iCs w:val="0"/>
                <w:color w:val="000000"/>
                <w:sz w:val="22"/>
                <w:szCs w:val="22"/>
                <w:u w:val="none"/>
              </w:rPr>
            </w:pPr>
          </w:p>
        </w:tc>
      </w:tr>
      <w:tr w14:paraId="31D34B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0F6A3">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-a</w:t>
            </w:r>
          </w:p>
        </w:tc>
        <w:tc>
          <w:tcPr>
            <w:tcW w:w="47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181229">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乔木扶正服务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A01EA">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F658A">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5EDF8">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07D69">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42DE4E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30B19">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-b</w:t>
            </w:r>
          </w:p>
        </w:tc>
        <w:tc>
          <w:tcPr>
            <w:tcW w:w="47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E2B211">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灌木扶正服务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B2762">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31F93">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C499D">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DD358">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743988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400B5">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6E86C">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撒播混播草花籽服务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F42CA">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69280">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EE2AD">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12E6C">
            <w:pPr>
              <w:jc w:val="center"/>
              <w:rPr>
                <w:rFonts w:hint="eastAsia" w:ascii="宋体" w:hAnsi="宋体" w:eastAsia="宋体" w:cs="宋体"/>
                <w:i w:val="0"/>
                <w:iCs w:val="0"/>
                <w:color w:val="000000"/>
                <w:sz w:val="22"/>
                <w:szCs w:val="22"/>
                <w:u w:val="none"/>
              </w:rPr>
            </w:pPr>
          </w:p>
        </w:tc>
      </w:tr>
      <w:tr w14:paraId="794476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82581">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72063">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撒播混播花籽服务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01543">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B6B63">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9BEF8">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AD2BD">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34F1E1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2F9B7">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E75FC">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苗木补植服务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FB945">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5BD82">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F492F">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FAD5C">
            <w:pPr>
              <w:jc w:val="center"/>
              <w:rPr>
                <w:rFonts w:hint="eastAsia" w:ascii="宋体" w:hAnsi="宋体" w:eastAsia="宋体" w:cs="宋体"/>
                <w:i w:val="0"/>
                <w:iCs w:val="0"/>
                <w:color w:val="000000"/>
                <w:sz w:val="22"/>
                <w:szCs w:val="22"/>
                <w:u w:val="none"/>
              </w:rPr>
            </w:pPr>
          </w:p>
        </w:tc>
      </w:tr>
      <w:tr w14:paraId="4B9573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AD3DA">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D5AE6">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榉树补植服务 （胸径10-12cm）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209C2">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F0682">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A637A">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F70FB">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535DE8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B215E">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-b</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20F1D">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紫薇补植服务 （地径7-8cm）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A31E7">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BA029">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18415">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3EFC9">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451EEB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3"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8A9A3">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第600-2章  绿化及环境保护设施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4A68F">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01871B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8"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66E11">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清单  第600 章合计   人民币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43CCF">
            <w:pPr>
              <w:keepNext w:val="0"/>
              <w:keepLines w:val="0"/>
              <w:widowControl/>
              <w:suppressLineNumbers w:val="0"/>
              <w:jc w:val="center"/>
              <w:rPr>
                <w:rFonts w:hint="eastAsia" w:ascii="宋体" w:hAnsi="宋体" w:eastAsia="宋体" w:cs="宋体"/>
                <w:b/>
                <w:bCs/>
                <w:i w:val="0"/>
                <w:iCs w:val="0"/>
                <w:color w:val="000000"/>
                <w:sz w:val="22"/>
                <w:szCs w:val="22"/>
                <w:u w:val="none"/>
              </w:rPr>
            </w:pPr>
          </w:p>
        </w:tc>
      </w:tr>
    </w:tbl>
    <w:p w14:paraId="7E9BB7CF">
      <w:pPr>
        <w:rPr>
          <w:rFonts w:hint="default" w:ascii="Calibri" w:hAnsi="Calibri"/>
        </w:rPr>
      </w:pPr>
    </w:p>
    <w:p w14:paraId="7EE063DD">
      <w:pPr>
        <w:keepNext w:val="0"/>
        <w:keepLines w:val="0"/>
        <w:pageBreakBefore w:val="0"/>
        <w:widowControl/>
        <w:spacing w:after="0" w:line="240" w:lineRule="auto"/>
        <w:ind w:firstLine="0"/>
        <w:jc w:val="left"/>
        <w:outlineLvl w:val="9"/>
        <w:rPr>
          <w:rFonts w:hint="eastAsia" w:ascii="宋体" w:hAnsi="宋体" w:eastAsia="宋体" w:cs="Times New Roman"/>
          <w:b/>
          <w:sz w:val="21"/>
          <w:szCs w:val="21"/>
          <w:lang w:val="zh-CN" w:eastAsia="zh-CN" w:bidi="en-US"/>
        </w:rPr>
      </w:pPr>
      <w:r>
        <w:rPr>
          <w:rFonts w:hint="eastAsia" w:ascii="宋体" w:hAnsi="宋体" w:eastAsia="宋体" w:cs="Times New Roman"/>
          <w:b/>
          <w:sz w:val="21"/>
          <w:szCs w:val="21"/>
          <w:lang w:val="zh-CN" w:eastAsia="zh-CN" w:bidi="en-US"/>
        </w:rPr>
        <w:br w:type="page" w:clear="all"/>
      </w:r>
    </w:p>
    <w:p w14:paraId="735E7FF3">
      <w:pPr>
        <w:spacing w:line="360" w:lineRule="auto"/>
        <w:ind w:firstLine="420"/>
        <w:rPr>
          <w:rFonts w:hint="eastAsia" w:ascii="宋体" w:hAnsi="宋体" w:cs="宋体"/>
          <w:color w:val="000000"/>
          <w:szCs w:val="21"/>
          <w:lang w:val="zh-CN"/>
        </w:rPr>
      </w:pPr>
    </w:p>
    <w:p w14:paraId="6B6F3A65">
      <w:pPr>
        <w:spacing w:line="360" w:lineRule="auto"/>
        <w:ind w:firstLine="420"/>
        <w:rPr>
          <w:rFonts w:hint="eastAsia" w:ascii="宋体" w:hAnsi="宋体" w:cs="宋体"/>
          <w:szCs w:val="21"/>
          <w:lang w:val="zh-CN"/>
        </w:rPr>
      </w:pPr>
      <w:r>
        <w:rPr>
          <w:rFonts w:hint="eastAsia" w:ascii="宋体" w:hAnsi="宋体" w:cs="宋体"/>
          <w:color w:val="000000"/>
          <w:szCs w:val="21"/>
          <w:lang w:val="zh-CN"/>
        </w:rPr>
        <w:t>供应商名称：</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（加盖电子公章）</w:t>
      </w:r>
      <w:r>
        <w:rPr>
          <w:rFonts w:hint="eastAsia" w:ascii="宋体" w:hAnsi="宋体" w:cs="宋体"/>
          <w:szCs w:val="21"/>
          <w:lang w:val="zh-CN"/>
        </w:rPr>
        <w:t xml:space="preserve">                 </w:t>
      </w:r>
    </w:p>
    <w:p w14:paraId="2572A873">
      <w:pPr>
        <w:spacing w:line="360" w:lineRule="auto"/>
        <w:ind w:firstLine="420"/>
        <w:rPr>
          <w:rFonts w:hint="eastAsia" w:ascii="宋体" w:hAnsi="宋体" w:cs="宋体"/>
          <w:color w:val="000000"/>
          <w:szCs w:val="21"/>
          <w:lang w:val="zh-CN"/>
        </w:rPr>
      </w:pPr>
      <w:r>
        <w:rPr>
          <w:rFonts w:hint="eastAsia" w:ascii="宋体" w:hAnsi="宋体" w:cs="宋体"/>
          <w:color w:val="000000"/>
          <w:szCs w:val="21"/>
          <w:lang w:val="zh-CN"/>
        </w:rPr>
        <w:t>日    期：</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年</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月</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日</w:t>
      </w:r>
    </w:p>
    <w:p w14:paraId="56AB386A">
      <w:pPr>
        <w:widowControl/>
        <w:spacing w:line="360" w:lineRule="auto"/>
        <w:ind w:firstLine="420"/>
        <w:jc w:val="left"/>
        <w:rPr>
          <w:rFonts w:hint="eastAsia" w:ascii="宋体" w:hAnsi="宋体" w:cs="宋体"/>
          <w:szCs w:val="21"/>
          <w:lang w:val="zh-CN"/>
        </w:rPr>
      </w:pPr>
      <w:r>
        <w:rPr>
          <w:rFonts w:hint="eastAsia" w:ascii="宋体" w:hAnsi="宋体" w:cs="宋体"/>
          <w:color w:val="000000"/>
          <w:szCs w:val="21"/>
          <w:lang w:val="zh-CN"/>
        </w:rPr>
        <w:t>说明：如果行数不够，请自行增加。</w:t>
      </w:r>
    </w:p>
    <w:p w14:paraId="34B41578">
      <w:pPr>
        <w:pStyle w:val="42"/>
        <w:ind w:firstLine="400"/>
        <w:rPr>
          <w:rFonts w:hint="eastAsia" w:eastAsia="宋体"/>
          <w:lang w:eastAsia="zh-CN"/>
        </w:rPr>
        <w:sectPr>
          <w:endnotePr>
            <w:numFmt w:val="decimal"/>
          </w:endnotePr>
          <w:pgSz w:w="12240" w:h="15840"/>
          <w:pgMar w:top="1440" w:right="1134" w:bottom="1440" w:left="1134" w:header="720" w:footer="720" w:gutter="0"/>
          <w:cols w:space="1701" w:num="1"/>
          <w:docGrid w:linePitch="360" w:charSpace="0"/>
        </w:sectPr>
      </w:pPr>
    </w:p>
    <w:p w14:paraId="65CA3A57">
      <w:pPr>
        <w:keepNext w:val="0"/>
        <w:keepLines w:val="0"/>
        <w:pageBreakBefore w:val="0"/>
        <w:widowControl/>
        <w:spacing w:after="0" w:line="360" w:lineRule="auto"/>
        <w:jc w:val="both"/>
        <w:outlineLvl w:val="1"/>
        <w:rPr>
          <w:rFonts w:hint="eastAsia" w:ascii="宋体" w:hAnsi="宋体" w:eastAsia="宋体" w:cs="Times New Roman"/>
          <w:b/>
          <w:sz w:val="22"/>
          <w:szCs w:val="22"/>
          <w:lang w:val="zh-CN" w:eastAsia="zh-CN" w:bidi="en-US"/>
        </w:rPr>
      </w:pPr>
      <w:r>
        <w:rPr>
          <w:rFonts w:hint="eastAsia" w:ascii="宋体" w:hAnsi="宋体" w:eastAsia="宋体" w:cs="Times New Roman"/>
          <w:b/>
          <w:sz w:val="22"/>
          <w:szCs w:val="22"/>
          <w:lang w:val="zh-CN" w:eastAsia="zh-CN" w:bidi="en-US"/>
        </w:rPr>
        <w:t>目录五、资格证明文件</w:t>
      </w:r>
    </w:p>
    <w:p w14:paraId="61667451">
      <w:pPr>
        <w:widowControl/>
        <w:spacing w:line="360" w:lineRule="auto"/>
        <w:jc w:val="center"/>
        <w:rPr>
          <w:rFonts w:hint="eastAsia" w:ascii="宋体" w:hAnsi="宋体" w:cs="宋体"/>
          <w:b/>
          <w:color w:val="000000"/>
          <w:sz w:val="22"/>
          <w:szCs w:val="22"/>
          <w:lang w:val="zh-CN"/>
        </w:rPr>
      </w:pPr>
      <w:bookmarkStart w:id="4" w:name="_Toc489655335"/>
      <w:r>
        <w:rPr>
          <w:rFonts w:hint="eastAsia" w:ascii="宋体" w:hAnsi="宋体" w:cs="宋体"/>
          <w:b/>
          <w:color w:val="000000"/>
          <w:sz w:val="22"/>
          <w:szCs w:val="22"/>
          <w:lang w:val="zh-CN"/>
        </w:rPr>
        <w:t>资格证明文件</w:t>
      </w:r>
      <w:bookmarkEnd w:id="4"/>
    </w:p>
    <w:p w14:paraId="3440344B">
      <w:pPr>
        <w:pStyle w:val="42"/>
        <w:numPr>
          <w:ilvl w:val="0"/>
          <w:numId w:val="7"/>
        </w:numPr>
        <w:ind w:firstLine="422"/>
        <w:rPr>
          <w:rFonts w:hint="eastAsia" w:ascii="宋体" w:hAnsi="宋体" w:eastAsia="宋体"/>
          <w:b/>
          <w:color w:val="000000"/>
          <w:sz w:val="22"/>
          <w:szCs w:val="22"/>
          <w:lang w:val="en-US"/>
        </w:rPr>
      </w:pPr>
      <w:r>
        <w:rPr>
          <w:rFonts w:hint="eastAsia" w:ascii="宋体" w:hAnsi="宋体" w:eastAsia="宋体"/>
          <w:b/>
          <w:color w:val="000000"/>
          <w:sz w:val="22"/>
          <w:szCs w:val="22"/>
          <w:lang w:val="en-US"/>
        </w:rPr>
        <w:t>营业执照</w:t>
      </w:r>
    </w:p>
    <w:p w14:paraId="1DAA7CE5">
      <w:pPr>
        <w:pStyle w:val="42"/>
        <w:numPr>
          <w:ilvl w:val="0"/>
          <w:numId w:val="7"/>
        </w:numPr>
        <w:ind w:firstLine="422"/>
        <w:rPr>
          <w:rFonts w:hint="eastAsia" w:ascii="宋体" w:hAnsi="宋体" w:eastAsia="宋体"/>
          <w:b/>
          <w:color w:val="000000"/>
          <w:sz w:val="22"/>
          <w:szCs w:val="22"/>
          <w:lang w:val="en-US"/>
        </w:rPr>
      </w:pPr>
      <w:r>
        <w:rPr>
          <w:rFonts w:hint="eastAsia" w:ascii="宋体" w:hAnsi="宋体" w:eastAsia="宋体"/>
          <w:b/>
          <w:color w:val="000000"/>
          <w:sz w:val="22"/>
          <w:szCs w:val="22"/>
          <w:lang w:val="en-US"/>
        </w:rPr>
        <w:t>其他相关内容</w:t>
      </w:r>
    </w:p>
    <w:p w14:paraId="359FB8F4">
      <w:pPr>
        <w:jc w:val="center"/>
        <w:rPr>
          <w:rFonts w:hint="eastAsia"/>
          <w:sz w:val="22"/>
          <w:szCs w:val="22"/>
        </w:rPr>
      </w:pPr>
      <w:r>
        <w:rPr>
          <w:rFonts w:hint="eastAsia"/>
          <w:sz w:val="22"/>
          <w:szCs w:val="22"/>
          <w:lang w:val="zh-CN"/>
        </w:rPr>
        <w:t>（按招标文件要求逐条提供）</w:t>
      </w:r>
    </w:p>
    <w:p w14:paraId="4A05DC26">
      <w:pPr>
        <w:widowControl/>
        <w:spacing w:line="360" w:lineRule="auto"/>
        <w:jc w:val="left"/>
        <w:rPr>
          <w:rFonts w:hint="eastAsia" w:ascii="宋体" w:hAnsi="宋体" w:cs="宋体"/>
          <w:sz w:val="22"/>
          <w:szCs w:val="22"/>
          <w:lang w:val="zh-CN"/>
        </w:rPr>
      </w:pPr>
    </w:p>
    <w:p w14:paraId="22BA480D">
      <w:pPr>
        <w:widowControl/>
        <w:spacing w:line="360" w:lineRule="auto"/>
        <w:jc w:val="left"/>
        <w:rPr>
          <w:rFonts w:hint="eastAsia" w:ascii="宋体" w:hAnsi="宋体" w:cs="宋体"/>
          <w:color w:val="000000"/>
          <w:sz w:val="22"/>
          <w:szCs w:val="22"/>
          <w:lang w:val="zh-CN"/>
        </w:rPr>
      </w:pPr>
    </w:p>
    <w:p w14:paraId="500E85CC">
      <w:pPr>
        <w:keepNext w:val="0"/>
        <w:keepLines w:val="0"/>
        <w:pageBreakBefore w:val="0"/>
        <w:widowControl/>
        <w:spacing w:after="0" w:line="360" w:lineRule="auto"/>
        <w:jc w:val="both"/>
        <w:outlineLvl w:val="1"/>
        <w:rPr>
          <w:rFonts w:hint="eastAsia" w:ascii="宋体" w:hAnsi="宋体" w:eastAsia="宋体" w:cs="Times New Roman"/>
          <w:b/>
          <w:sz w:val="22"/>
          <w:szCs w:val="22"/>
          <w:lang w:val="zh-CN" w:eastAsia="zh-CN" w:bidi="en-US"/>
        </w:rPr>
      </w:pPr>
      <w:r>
        <w:rPr>
          <w:rFonts w:hint="eastAsia" w:ascii="宋体" w:hAnsi="宋体" w:eastAsia="宋体" w:cs="Times New Roman"/>
          <w:b/>
          <w:sz w:val="22"/>
          <w:szCs w:val="22"/>
          <w:lang w:val="zh-CN" w:eastAsia="zh-CN" w:bidi="en-US"/>
        </w:rPr>
        <w:t>目录六、商务条款偏离表格式</w:t>
      </w:r>
    </w:p>
    <w:p w14:paraId="45EBC9AF">
      <w:pPr>
        <w:widowControl/>
        <w:spacing w:line="360" w:lineRule="auto"/>
        <w:jc w:val="center"/>
        <w:rPr>
          <w:rFonts w:hint="eastAsia" w:ascii="宋体" w:hAnsi="宋体" w:cs="宋体"/>
          <w:b/>
          <w:color w:val="000000"/>
          <w:sz w:val="22"/>
          <w:szCs w:val="22"/>
          <w:lang w:val="zh-CN"/>
        </w:rPr>
      </w:pPr>
      <w:r>
        <w:rPr>
          <w:rFonts w:hint="eastAsia" w:ascii="宋体" w:hAnsi="宋体" w:cs="宋体"/>
          <w:b/>
          <w:color w:val="000000"/>
          <w:sz w:val="22"/>
          <w:szCs w:val="22"/>
          <w:lang w:val="zh-CN"/>
        </w:rPr>
        <w:t>商务条款偏离表</w:t>
      </w: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1"/>
        <w:gridCol w:w="1620"/>
        <w:gridCol w:w="2700"/>
        <w:gridCol w:w="1415"/>
        <w:gridCol w:w="1458"/>
        <w:gridCol w:w="1372"/>
      </w:tblGrid>
      <w:tr w14:paraId="1F5373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tblHeader/>
          <w:jc w:val="center"/>
        </w:trPr>
        <w:tc>
          <w:tcPr>
            <w:tcW w:w="6386" w:type="dxa"/>
            <w:gridSpan w:val="4"/>
            <w:noWrap w:val="0"/>
            <w:vAlign w:val="center"/>
          </w:tcPr>
          <w:p w14:paraId="46BAA3F7">
            <w:pPr>
              <w:widowControl/>
              <w:spacing w:line="360" w:lineRule="auto"/>
              <w:jc w:val="left"/>
              <w:rPr>
                <w:rFonts w:hint="eastAsia" w:ascii="宋体" w:hAnsi="宋体" w:cs="宋体"/>
                <w:color w:val="000000"/>
                <w:sz w:val="22"/>
                <w:szCs w:val="22"/>
                <w:lang w:val="zh-CN"/>
              </w:rPr>
            </w:pPr>
            <w:r>
              <w:rPr>
                <w:rFonts w:hint="eastAsia" w:ascii="宋体" w:hAnsi="宋体" w:cs="宋体"/>
                <w:color w:val="000000"/>
                <w:sz w:val="22"/>
                <w:szCs w:val="22"/>
                <w:lang w:val="zh-CN"/>
              </w:rPr>
              <w:t>项目名称：</w:t>
            </w:r>
          </w:p>
        </w:tc>
        <w:tc>
          <w:tcPr>
            <w:tcW w:w="2830" w:type="dxa"/>
            <w:gridSpan w:val="2"/>
            <w:noWrap w:val="0"/>
            <w:vAlign w:val="center"/>
          </w:tcPr>
          <w:p w14:paraId="5481BB18">
            <w:pPr>
              <w:widowControl/>
              <w:spacing w:line="360" w:lineRule="auto"/>
              <w:jc w:val="left"/>
              <w:rPr>
                <w:rFonts w:hint="eastAsia" w:ascii="宋体" w:hAnsi="宋体" w:cs="宋体"/>
                <w:color w:val="000000"/>
                <w:sz w:val="22"/>
                <w:szCs w:val="22"/>
                <w:lang w:val="zh-CN"/>
              </w:rPr>
            </w:pPr>
            <w:r>
              <w:rPr>
                <w:rFonts w:hint="eastAsia" w:ascii="宋体" w:hAnsi="宋体" w:cs="宋体"/>
                <w:color w:val="000000"/>
                <w:sz w:val="22"/>
                <w:szCs w:val="22"/>
                <w:lang w:val="zh-CN"/>
              </w:rPr>
              <w:t>项目编号：</w:t>
            </w:r>
            <w:r>
              <w:rPr>
                <w:rFonts w:hint="eastAsia" w:ascii="宋体" w:hAnsi="宋体" w:cs="宋体"/>
                <w:b/>
                <w:color w:val="000000"/>
                <w:sz w:val="22"/>
                <w:szCs w:val="22"/>
                <w:u w:val="single"/>
                <w:lang w:val="zh-CN"/>
              </w:rPr>
              <w:t xml:space="preserve">                </w:t>
            </w:r>
            <w:r>
              <w:rPr>
                <w:rFonts w:hint="eastAsia" w:ascii="宋体" w:hAnsi="宋体" w:cs="宋体"/>
                <w:color w:val="000000"/>
                <w:sz w:val="22"/>
                <w:szCs w:val="22"/>
                <w:lang w:val="zh-CN"/>
              </w:rPr>
              <w:t xml:space="preserve"> </w:t>
            </w:r>
          </w:p>
        </w:tc>
      </w:tr>
      <w:tr w14:paraId="3D6707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jc w:val="center"/>
        </w:trPr>
        <w:tc>
          <w:tcPr>
            <w:tcW w:w="651" w:type="dxa"/>
            <w:noWrap w:val="0"/>
            <w:vAlign w:val="center"/>
          </w:tcPr>
          <w:p w14:paraId="5202ABB2">
            <w:pPr>
              <w:widowControl/>
              <w:spacing w:line="360" w:lineRule="auto"/>
              <w:jc w:val="center"/>
              <w:rPr>
                <w:rFonts w:hint="eastAsia" w:ascii="宋体" w:hAnsi="宋体" w:cs="宋体"/>
                <w:color w:val="000000"/>
                <w:sz w:val="22"/>
                <w:szCs w:val="22"/>
                <w:lang w:val="zh-CN"/>
              </w:rPr>
            </w:pPr>
            <w:r>
              <w:rPr>
                <w:rFonts w:hint="eastAsia" w:ascii="宋体" w:hAnsi="宋体" w:cs="宋体"/>
                <w:color w:val="000000"/>
                <w:sz w:val="22"/>
                <w:szCs w:val="22"/>
                <w:lang w:val="zh-CN"/>
              </w:rPr>
              <w:t>序号</w:t>
            </w:r>
          </w:p>
        </w:tc>
        <w:tc>
          <w:tcPr>
            <w:tcW w:w="1620" w:type="dxa"/>
            <w:noWrap w:val="0"/>
            <w:vAlign w:val="center"/>
          </w:tcPr>
          <w:p w14:paraId="4DA74F4B">
            <w:pPr>
              <w:widowControl/>
              <w:spacing w:line="360" w:lineRule="auto"/>
              <w:jc w:val="center"/>
              <w:rPr>
                <w:rFonts w:hint="eastAsia" w:ascii="宋体" w:hAnsi="宋体" w:cs="宋体"/>
                <w:color w:val="000000"/>
                <w:sz w:val="22"/>
                <w:szCs w:val="22"/>
                <w:lang w:val="zh-CN"/>
              </w:rPr>
            </w:pPr>
            <w:r>
              <w:rPr>
                <w:rFonts w:hint="eastAsia" w:ascii="宋体" w:hAnsi="宋体" w:cs="宋体"/>
                <w:color w:val="000000"/>
                <w:sz w:val="22"/>
                <w:szCs w:val="22"/>
                <w:lang w:val="zh-CN"/>
              </w:rPr>
              <w:t>招标文件条目号</w:t>
            </w:r>
          </w:p>
        </w:tc>
        <w:tc>
          <w:tcPr>
            <w:tcW w:w="2700" w:type="dxa"/>
            <w:noWrap w:val="0"/>
            <w:vAlign w:val="center"/>
          </w:tcPr>
          <w:p w14:paraId="77991A59">
            <w:pPr>
              <w:widowControl/>
              <w:spacing w:line="360" w:lineRule="auto"/>
              <w:jc w:val="center"/>
              <w:rPr>
                <w:rFonts w:hint="eastAsia" w:ascii="宋体" w:hAnsi="宋体" w:cs="宋体"/>
                <w:color w:val="000000"/>
                <w:sz w:val="22"/>
                <w:szCs w:val="22"/>
                <w:lang w:val="zh-CN"/>
              </w:rPr>
            </w:pPr>
            <w:r>
              <w:rPr>
                <w:rFonts w:hint="eastAsia" w:ascii="宋体" w:hAnsi="宋体" w:cs="宋体"/>
                <w:color w:val="000000"/>
                <w:sz w:val="22"/>
                <w:szCs w:val="22"/>
                <w:lang w:val="zh-CN"/>
              </w:rPr>
              <w:t>招标文件要求的商务条款</w:t>
            </w:r>
          </w:p>
        </w:tc>
        <w:tc>
          <w:tcPr>
            <w:tcW w:w="2873" w:type="dxa"/>
            <w:gridSpan w:val="2"/>
            <w:noWrap w:val="0"/>
            <w:vAlign w:val="center"/>
          </w:tcPr>
          <w:p w14:paraId="5F91B45D">
            <w:pPr>
              <w:widowControl/>
              <w:spacing w:line="360" w:lineRule="auto"/>
              <w:jc w:val="center"/>
              <w:rPr>
                <w:rFonts w:hint="eastAsia" w:ascii="宋体" w:hAnsi="宋体" w:cs="宋体"/>
                <w:color w:val="000000"/>
                <w:sz w:val="22"/>
                <w:szCs w:val="22"/>
                <w:lang w:val="zh-CN"/>
              </w:rPr>
            </w:pPr>
            <w:r>
              <w:rPr>
                <w:rFonts w:hint="eastAsia" w:ascii="宋体" w:hAnsi="宋体" w:cs="宋体"/>
                <w:color w:val="000000"/>
                <w:sz w:val="22"/>
                <w:szCs w:val="22"/>
                <w:lang w:val="zh-CN"/>
              </w:rPr>
              <w:t>投标响应</w:t>
            </w:r>
          </w:p>
        </w:tc>
        <w:tc>
          <w:tcPr>
            <w:tcW w:w="1372" w:type="dxa"/>
            <w:noWrap w:val="0"/>
            <w:vAlign w:val="center"/>
          </w:tcPr>
          <w:p w14:paraId="63DBEA14">
            <w:pPr>
              <w:widowControl/>
              <w:spacing w:line="360" w:lineRule="auto"/>
              <w:jc w:val="center"/>
              <w:rPr>
                <w:rFonts w:hint="eastAsia" w:ascii="宋体" w:hAnsi="宋体" w:cs="宋体"/>
                <w:color w:val="000000"/>
                <w:sz w:val="22"/>
                <w:szCs w:val="22"/>
                <w:lang w:val="zh-CN"/>
              </w:rPr>
            </w:pPr>
            <w:r>
              <w:rPr>
                <w:rFonts w:hint="eastAsia" w:ascii="宋体" w:hAnsi="宋体" w:cs="宋体"/>
                <w:color w:val="000000"/>
                <w:sz w:val="22"/>
                <w:szCs w:val="22"/>
                <w:lang w:val="zh-CN"/>
              </w:rPr>
              <w:t>偏离</w:t>
            </w:r>
          </w:p>
        </w:tc>
      </w:tr>
      <w:tr w14:paraId="4CD0DE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jc w:val="center"/>
        </w:trPr>
        <w:tc>
          <w:tcPr>
            <w:tcW w:w="651" w:type="dxa"/>
            <w:noWrap w:val="0"/>
            <w:vAlign w:val="center"/>
          </w:tcPr>
          <w:p w14:paraId="1CE322BB">
            <w:pPr>
              <w:widowControl/>
              <w:spacing w:line="360" w:lineRule="auto"/>
              <w:jc w:val="center"/>
              <w:rPr>
                <w:rFonts w:hint="eastAsia" w:ascii="宋体" w:hAnsi="宋体" w:cs="宋体"/>
                <w:color w:val="000000"/>
                <w:sz w:val="22"/>
                <w:szCs w:val="22"/>
                <w:lang w:val="zh-CN"/>
              </w:rPr>
            </w:pPr>
          </w:p>
        </w:tc>
        <w:tc>
          <w:tcPr>
            <w:tcW w:w="1620" w:type="dxa"/>
            <w:noWrap w:val="0"/>
            <w:vAlign w:val="center"/>
          </w:tcPr>
          <w:p w14:paraId="4C1EC621">
            <w:pPr>
              <w:widowControl/>
              <w:spacing w:line="360" w:lineRule="auto"/>
              <w:jc w:val="center"/>
              <w:rPr>
                <w:rFonts w:hint="eastAsia" w:ascii="宋体" w:hAnsi="宋体" w:cs="宋体"/>
                <w:color w:val="000000"/>
                <w:sz w:val="22"/>
                <w:szCs w:val="22"/>
                <w:lang w:val="zh-CN"/>
              </w:rPr>
            </w:pPr>
          </w:p>
        </w:tc>
        <w:tc>
          <w:tcPr>
            <w:tcW w:w="2700" w:type="dxa"/>
            <w:noWrap w:val="0"/>
            <w:vAlign w:val="center"/>
          </w:tcPr>
          <w:p w14:paraId="29139E9E">
            <w:pPr>
              <w:widowControl/>
              <w:spacing w:line="360" w:lineRule="auto"/>
              <w:jc w:val="center"/>
              <w:rPr>
                <w:rFonts w:hint="eastAsia" w:ascii="宋体" w:hAnsi="宋体" w:cs="宋体"/>
                <w:color w:val="000000"/>
                <w:sz w:val="22"/>
                <w:szCs w:val="22"/>
                <w:lang w:val="zh-CN"/>
              </w:rPr>
            </w:pPr>
          </w:p>
        </w:tc>
        <w:tc>
          <w:tcPr>
            <w:tcW w:w="2873" w:type="dxa"/>
            <w:gridSpan w:val="2"/>
            <w:noWrap w:val="0"/>
            <w:vAlign w:val="center"/>
          </w:tcPr>
          <w:p w14:paraId="26541136">
            <w:pPr>
              <w:widowControl/>
              <w:spacing w:line="360" w:lineRule="auto"/>
              <w:jc w:val="center"/>
              <w:rPr>
                <w:rFonts w:hint="eastAsia" w:ascii="宋体" w:hAnsi="宋体" w:cs="宋体"/>
                <w:color w:val="000000"/>
                <w:sz w:val="22"/>
                <w:szCs w:val="22"/>
                <w:lang w:val="zh-CN"/>
              </w:rPr>
            </w:pPr>
          </w:p>
        </w:tc>
        <w:tc>
          <w:tcPr>
            <w:tcW w:w="1372" w:type="dxa"/>
            <w:noWrap w:val="0"/>
            <w:vAlign w:val="center"/>
          </w:tcPr>
          <w:p w14:paraId="734AB8A0">
            <w:pPr>
              <w:widowControl/>
              <w:spacing w:line="360" w:lineRule="auto"/>
              <w:jc w:val="center"/>
              <w:rPr>
                <w:rFonts w:hint="eastAsia" w:ascii="宋体" w:hAnsi="宋体" w:cs="宋体"/>
                <w:color w:val="000000"/>
                <w:sz w:val="22"/>
                <w:szCs w:val="22"/>
                <w:lang w:val="zh-CN"/>
              </w:rPr>
            </w:pPr>
          </w:p>
        </w:tc>
      </w:tr>
      <w:tr w14:paraId="334EBD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jc w:val="center"/>
        </w:trPr>
        <w:tc>
          <w:tcPr>
            <w:tcW w:w="651" w:type="dxa"/>
            <w:noWrap w:val="0"/>
            <w:vAlign w:val="center"/>
          </w:tcPr>
          <w:p w14:paraId="0E90EEDE">
            <w:pPr>
              <w:widowControl/>
              <w:spacing w:line="360" w:lineRule="auto"/>
              <w:jc w:val="center"/>
              <w:rPr>
                <w:rFonts w:hint="eastAsia" w:ascii="宋体" w:hAnsi="宋体" w:cs="宋体"/>
                <w:color w:val="000000"/>
                <w:sz w:val="22"/>
                <w:szCs w:val="22"/>
                <w:lang w:val="zh-CN"/>
              </w:rPr>
            </w:pPr>
          </w:p>
        </w:tc>
        <w:tc>
          <w:tcPr>
            <w:tcW w:w="1620" w:type="dxa"/>
            <w:noWrap w:val="0"/>
            <w:vAlign w:val="center"/>
          </w:tcPr>
          <w:p w14:paraId="02876027">
            <w:pPr>
              <w:widowControl/>
              <w:spacing w:line="360" w:lineRule="auto"/>
              <w:jc w:val="center"/>
              <w:rPr>
                <w:rFonts w:hint="eastAsia" w:ascii="宋体" w:hAnsi="宋体" w:cs="宋体"/>
                <w:color w:val="000000"/>
                <w:sz w:val="22"/>
                <w:szCs w:val="22"/>
                <w:lang w:val="zh-CN"/>
              </w:rPr>
            </w:pPr>
          </w:p>
        </w:tc>
        <w:tc>
          <w:tcPr>
            <w:tcW w:w="2700" w:type="dxa"/>
            <w:noWrap w:val="0"/>
            <w:vAlign w:val="center"/>
          </w:tcPr>
          <w:p w14:paraId="4FA1D8EC">
            <w:pPr>
              <w:widowControl/>
              <w:spacing w:line="360" w:lineRule="auto"/>
              <w:jc w:val="center"/>
              <w:rPr>
                <w:rFonts w:hint="eastAsia" w:ascii="宋体" w:hAnsi="宋体" w:cs="宋体"/>
                <w:color w:val="000000"/>
                <w:sz w:val="22"/>
                <w:szCs w:val="22"/>
                <w:lang w:val="zh-CN"/>
              </w:rPr>
            </w:pPr>
          </w:p>
        </w:tc>
        <w:tc>
          <w:tcPr>
            <w:tcW w:w="2873" w:type="dxa"/>
            <w:gridSpan w:val="2"/>
            <w:noWrap w:val="0"/>
            <w:vAlign w:val="center"/>
          </w:tcPr>
          <w:p w14:paraId="43D979A2">
            <w:pPr>
              <w:widowControl/>
              <w:spacing w:line="360" w:lineRule="auto"/>
              <w:jc w:val="center"/>
              <w:rPr>
                <w:rFonts w:hint="eastAsia" w:ascii="宋体" w:hAnsi="宋体" w:cs="宋体"/>
                <w:color w:val="000000"/>
                <w:sz w:val="22"/>
                <w:szCs w:val="22"/>
                <w:lang w:val="zh-CN"/>
              </w:rPr>
            </w:pPr>
          </w:p>
        </w:tc>
        <w:tc>
          <w:tcPr>
            <w:tcW w:w="1372" w:type="dxa"/>
            <w:noWrap w:val="0"/>
            <w:vAlign w:val="center"/>
          </w:tcPr>
          <w:p w14:paraId="045321E8">
            <w:pPr>
              <w:widowControl/>
              <w:spacing w:line="360" w:lineRule="auto"/>
              <w:jc w:val="center"/>
              <w:rPr>
                <w:rFonts w:hint="eastAsia" w:ascii="宋体" w:hAnsi="宋体" w:cs="宋体"/>
                <w:color w:val="000000"/>
                <w:sz w:val="22"/>
                <w:szCs w:val="22"/>
                <w:lang w:val="zh-CN"/>
              </w:rPr>
            </w:pPr>
          </w:p>
        </w:tc>
      </w:tr>
      <w:tr w14:paraId="7629A9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jc w:val="center"/>
        </w:trPr>
        <w:tc>
          <w:tcPr>
            <w:tcW w:w="651" w:type="dxa"/>
            <w:noWrap w:val="0"/>
            <w:vAlign w:val="center"/>
          </w:tcPr>
          <w:p w14:paraId="57BCFE3B">
            <w:pPr>
              <w:widowControl/>
              <w:spacing w:line="360" w:lineRule="auto"/>
              <w:jc w:val="center"/>
              <w:rPr>
                <w:rFonts w:hint="eastAsia" w:ascii="宋体" w:hAnsi="宋体" w:cs="宋体"/>
                <w:color w:val="000000"/>
                <w:sz w:val="22"/>
                <w:szCs w:val="22"/>
                <w:lang w:val="zh-CN"/>
              </w:rPr>
            </w:pPr>
          </w:p>
        </w:tc>
        <w:tc>
          <w:tcPr>
            <w:tcW w:w="1620" w:type="dxa"/>
            <w:noWrap w:val="0"/>
            <w:vAlign w:val="center"/>
          </w:tcPr>
          <w:p w14:paraId="211773E3">
            <w:pPr>
              <w:widowControl/>
              <w:spacing w:line="360" w:lineRule="auto"/>
              <w:jc w:val="center"/>
              <w:rPr>
                <w:rFonts w:hint="eastAsia" w:ascii="宋体" w:hAnsi="宋体" w:cs="宋体"/>
                <w:color w:val="000000"/>
                <w:sz w:val="22"/>
                <w:szCs w:val="22"/>
                <w:lang w:val="zh-CN"/>
              </w:rPr>
            </w:pPr>
          </w:p>
        </w:tc>
        <w:tc>
          <w:tcPr>
            <w:tcW w:w="2700" w:type="dxa"/>
            <w:noWrap w:val="0"/>
            <w:vAlign w:val="center"/>
          </w:tcPr>
          <w:p w14:paraId="0E2EB289">
            <w:pPr>
              <w:widowControl/>
              <w:spacing w:line="360" w:lineRule="auto"/>
              <w:jc w:val="center"/>
              <w:rPr>
                <w:rFonts w:hint="eastAsia" w:ascii="宋体" w:hAnsi="宋体" w:cs="宋体"/>
                <w:color w:val="000000"/>
                <w:sz w:val="22"/>
                <w:szCs w:val="22"/>
                <w:lang w:val="zh-CN"/>
              </w:rPr>
            </w:pPr>
          </w:p>
        </w:tc>
        <w:tc>
          <w:tcPr>
            <w:tcW w:w="2873" w:type="dxa"/>
            <w:gridSpan w:val="2"/>
            <w:noWrap w:val="0"/>
            <w:vAlign w:val="center"/>
          </w:tcPr>
          <w:p w14:paraId="03AB6682">
            <w:pPr>
              <w:widowControl/>
              <w:spacing w:line="360" w:lineRule="auto"/>
              <w:jc w:val="center"/>
              <w:rPr>
                <w:rFonts w:hint="eastAsia" w:ascii="宋体" w:hAnsi="宋体" w:cs="宋体"/>
                <w:color w:val="000000"/>
                <w:sz w:val="22"/>
                <w:szCs w:val="22"/>
                <w:lang w:val="zh-CN"/>
              </w:rPr>
            </w:pPr>
          </w:p>
        </w:tc>
        <w:tc>
          <w:tcPr>
            <w:tcW w:w="1372" w:type="dxa"/>
            <w:noWrap w:val="0"/>
            <w:vAlign w:val="center"/>
          </w:tcPr>
          <w:p w14:paraId="2B80BCAB">
            <w:pPr>
              <w:widowControl/>
              <w:spacing w:line="360" w:lineRule="auto"/>
              <w:jc w:val="center"/>
              <w:rPr>
                <w:rFonts w:hint="eastAsia" w:ascii="宋体" w:hAnsi="宋体" w:cs="宋体"/>
                <w:color w:val="000000"/>
                <w:sz w:val="22"/>
                <w:szCs w:val="22"/>
                <w:lang w:val="zh-CN"/>
              </w:rPr>
            </w:pPr>
          </w:p>
        </w:tc>
      </w:tr>
      <w:tr w14:paraId="1C2F0B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jc w:val="center"/>
        </w:trPr>
        <w:tc>
          <w:tcPr>
            <w:tcW w:w="651" w:type="dxa"/>
            <w:noWrap w:val="0"/>
            <w:vAlign w:val="center"/>
          </w:tcPr>
          <w:p w14:paraId="2A45EE66">
            <w:pPr>
              <w:widowControl/>
              <w:spacing w:line="360" w:lineRule="auto"/>
              <w:jc w:val="center"/>
              <w:rPr>
                <w:rFonts w:hint="eastAsia" w:ascii="宋体" w:hAnsi="宋体" w:cs="宋体"/>
                <w:color w:val="000000"/>
                <w:sz w:val="22"/>
                <w:szCs w:val="22"/>
                <w:lang w:val="zh-CN"/>
              </w:rPr>
            </w:pPr>
          </w:p>
        </w:tc>
        <w:tc>
          <w:tcPr>
            <w:tcW w:w="1620" w:type="dxa"/>
            <w:noWrap w:val="0"/>
            <w:vAlign w:val="center"/>
          </w:tcPr>
          <w:p w14:paraId="38EB45F5">
            <w:pPr>
              <w:widowControl/>
              <w:spacing w:line="360" w:lineRule="auto"/>
              <w:jc w:val="center"/>
              <w:rPr>
                <w:rFonts w:hint="eastAsia" w:ascii="宋体" w:hAnsi="宋体" w:cs="宋体"/>
                <w:color w:val="000000"/>
                <w:sz w:val="22"/>
                <w:szCs w:val="22"/>
                <w:lang w:val="zh-CN"/>
              </w:rPr>
            </w:pPr>
          </w:p>
        </w:tc>
        <w:tc>
          <w:tcPr>
            <w:tcW w:w="2700" w:type="dxa"/>
            <w:noWrap w:val="0"/>
            <w:vAlign w:val="center"/>
          </w:tcPr>
          <w:p w14:paraId="11A74B00">
            <w:pPr>
              <w:widowControl/>
              <w:spacing w:line="360" w:lineRule="auto"/>
              <w:jc w:val="center"/>
              <w:rPr>
                <w:rFonts w:hint="eastAsia" w:ascii="宋体" w:hAnsi="宋体" w:cs="宋体"/>
                <w:color w:val="000000"/>
                <w:sz w:val="22"/>
                <w:szCs w:val="22"/>
                <w:lang w:val="zh-CN"/>
              </w:rPr>
            </w:pPr>
          </w:p>
        </w:tc>
        <w:tc>
          <w:tcPr>
            <w:tcW w:w="2873" w:type="dxa"/>
            <w:gridSpan w:val="2"/>
            <w:noWrap w:val="0"/>
            <w:vAlign w:val="center"/>
          </w:tcPr>
          <w:p w14:paraId="79840E9E">
            <w:pPr>
              <w:widowControl/>
              <w:spacing w:line="360" w:lineRule="auto"/>
              <w:jc w:val="center"/>
              <w:rPr>
                <w:rFonts w:hint="eastAsia" w:ascii="宋体" w:hAnsi="宋体" w:cs="宋体"/>
                <w:color w:val="000000"/>
                <w:sz w:val="22"/>
                <w:szCs w:val="22"/>
                <w:lang w:val="zh-CN"/>
              </w:rPr>
            </w:pPr>
          </w:p>
        </w:tc>
        <w:tc>
          <w:tcPr>
            <w:tcW w:w="1372" w:type="dxa"/>
            <w:noWrap w:val="0"/>
            <w:vAlign w:val="center"/>
          </w:tcPr>
          <w:p w14:paraId="3C865D3D">
            <w:pPr>
              <w:widowControl/>
              <w:spacing w:line="360" w:lineRule="auto"/>
              <w:jc w:val="center"/>
              <w:rPr>
                <w:rFonts w:hint="eastAsia" w:ascii="宋体" w:hAnsi="宋体" w:cs="宋体"/>
                <w:color w:val="000000"/>
                <w:sz w:val="22"/>
                <w:szCs w:val="22"/>
                <w:lang w:val="zh-CN"/>
              </w:rPr>
            </w:pPr>
          </w:p>
        </w:tc>
      </w:tr>
      <w:tr w14:paraId="7504E8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jc w:val="center"/>
        </w:trPr>
        <w:tc>
          <w:tcPr>
            <w:tcW w:w="651" w:type="dxa"/>
            <w:noWrap w:val="0"/>
            <w:vAlign w:val="center"/>
          </w:tcPr>
          <w:p w14:paraId="72D26AA0">
            <w:pPr>
              <w:widowControl/>
              <w:spacing w:line="360" w:lineRule="auto"/>
              <w:jc w:val="center"/>
              <w:rPr>
                <w:rFonts w:hint="eastAsia" w:ascii="宋体" w:hAnsi="宋体" w:cs="宋体"/>
                <w:color w:val="000000"/>
                <w:sz w:val="22"/>
                <w:szCs w:val="22"/>
                <w:lang w:val="zh-CN"/>
              </w:rPr>
            </w:pPr>
          </w:p>
        </w:tc>
        <w:tc>
          <w:tcPr>
            <w:tcW w:w="1620" w:type="dxa"/>
            <w:noWrap w:val="0"/>
            <w:vAlign w:val="center"/>
          </w:tcPr>
          <w:p w14:paraId="58E36421">
            <w:pPr>
              <w:widowControl/>
              <w:spacing w:line="360" w:lineRule="auto"/>
              <w:jc w:val="center"/>
              <w:rPr>
                <w:rFonts w:hint="eastAsia" w:ascii="宋体" w:hAnsi="宋体" w:cs="宋体"/>
                <w:color w:val="000000"/>
                <w:sz w:val="22"/>
                <w:szCs w:val="22"/>
                <w:lang w:val="zh-CN"/>
              </w:rPr>
            </w:pPr>
          </w:p>
        </w:tc>
        <w:tc>
          <w:tcPr>
            <w:tcW w:w="2700" w:type="dxa"/>
            <w:noWrap w:val="0"/>
            <w:vAlign w:val="center"/>
          </w:tcPr>
          <w:p w14:paraId="4AADC538">
            <w:pPr>
              <w:widowControl/>
              <w:spacing w:line="360" w:lineRule="auto"/>
              <w:jc w:val="center"/>
              <w:rPr>
                <w:rFonts w:hint="eastAsia" w:ascii="宋体" w:hAnsi="宋体" w:cs="宋体"/>
                <w:color w:val="000000"/>
                <w:sz w:val="22"/>
                <w:szCs w:val="22"/>
                <w:lang w:val="zh-CN"/>
              </w:rPr>
            </w:pPr>
          </w:p>
        </w:tc>
        <w:tc>
          <w:tcPr>
            <w:tcW w:w="2873" w:type="dxa"/>
            <w:gridSpan w:val="2"/>
            <w:noWrap w:val="0"/>
            <w:vAlign w:val="center"/>
          </w:tcPr>
          <w:p w14:paraId="4A543064">
            <w:pPr>
              <w:widowControl/>
              <w:spacing w:line="360" w:lineRule="auto"/>
              <w:jc w:val="center"/>
              <w:rPr>
                <w:rFonts w:hint="eastAsia" w:ascii="宋体" w:hAnsi="宋体" w:cs="宋体"/>
                <w:color w:val="000000"/>
                <w:sz w:val="22"/>
                <w:szCs w:val="22"/>
                <w:lang w:val="zh-CN"/>
              </w:rPr>
            </w:pPr>
          </w:p>
        </w:tc>
        <w:tc>
          <w:tcPr>
            <w:tcW w:w="1372" w:type="dxa"/>
            <w:noWrap w:val="0"/>
            <w:vAlign w:val="center"/>
          </w:tcPr>
          <w:p w14:paraId="629D72D0">
            <w:pPr>
              <w:widowControl/>
              <w:spacing w:line="360" w:lineRule="auto"/>
              <w:jc w:val="center"/>
              <w:rPr>
                <w:rFonts w:hint="eastAsia" w:ascii="宋体" w:hAnsi="宋体" w:cs="宋体"/>
                <w:color w:val="000000"/>
                <w:sz w:val="22"/>
                <w:szCs w:val="22"/>
                <w:lang w:val="zh-CN"/>
              </w:rPr>
            </w:pPr>
          </w:p>
        </w:tc>
      </w:tr>
      <w:tr w14:paraId="689B32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jc w:val="center"/>
        </w:trPr>
        <w:tc>
          <w:tcPr>
            <w:tcW w:w="651" w:type="dxa"/>
            <w:noWrap w:val="0"/>
            <w:vAlign w:val="center"/>
          </w:tcPr>
          <w:p w14:paraId="7F046EA7">
            <w:pPr>
              <w:widowControl/>
              <w:spacing w:line="360" w:lineRule="auto"/>
              <w:jc w:val="center"/>
              <w:rPr>
                <w:rFonts w:hint="eastAsia" w:ascii="宋体" w:hAnsi="宋体" w:cs="宋体"/>
                <w:color w:val="000000"/>
                <w:sz w:val="22"/>
                <w:szCs w:val="22"/>
                <w:lang w:val="zh-CN"/>
              </w:rPr>
            </w:pPr>
          </w:p>
        </w:tc>
        <w:tc>
          <w:tcPr>
            <w:tcW w:w="1620" w:type="dxa"/>
            <w:noWrap w:val="0"/>
            <w:vAlign w:val="center"/>
          </w:tcPr>
          <w:p w14:paraId="2681FB67">
            <w:pPr>
              <w:widowControl/>
              <w:spacing w:line="360" w:lineRule="auto"/>
              <w:jc w:val="center"/>
              <w:rPr>
                <w:rFonts w:hint="eastAsia" w:ascii="宋体" w:hAnsi="宋体" w:cs="宋体"/>
                <w:color w:val="000000"/>
                <w:sz w:val="22"/>
                <w:szCs w:val="22"/>
                <w:lang w:val="zh-CN"/>
              </w:rPr>
            </w:pPr>
          </w:p>
        </w:tc>
        <w:tc>
          <w:tcPr>
            <w:tcW w:w="2700" w:type="dxa"/>
            <w:noWrap w:val="0"/>
            <w:vAlign w:val="center"/>
          </w:tcPr>
          <w:p w14:paraId="66C400EF">
            <w:pPr>
              <w:widowControl/>
              <w:spacing w:line="360" w:lineRule="auto"/>
              <w:jc w:val="center"/>
              <w:rPr>
                <w:rFonts w:hint="eastAsia" w:ascii="宋体" w:hAnsi="宋体" w:cs="宋体"/>
                <w:color w:val="000000"/>
                <w:sz w:val="22"/>
                <w:szCs w:val="22"/>
                <w:lang w:val="zh-CN"/>
              </w:rPr>
            </w:pPr>
          </w:p>
        </w:tc>
        <w:tc>
          <w:tcPr>
            <w:tcW w:w="2873" w:type="dxa"/>
            <w:gridSpan w:val="2"/>
            <w:noWrap w:val="0"/>
            <w:vAlign w:val="center"/>
          </w:tcPr>
          <w:p w14:paraId="2ADC09ED">
            <w:pPr>
              <w:widowControl/>
              <w:spacing w:line="360" w:lineRule="auto"/>
              <w:jc w:val="center"/>
              <w:rPr>
                <w:rFonts w:hint="eastAsia" w:ascii="宋体" w:hAnsi="宋体" w:cs="宋体"/>
                <w:color w:val="000000"/>
                <w:sz w:val="22"/>
                <w:szCs w:val="22"/>
                <w:lang w:val="zh-CN"/>
              </w:rPr>
            </w:pPr>
          </w:p>
        </w:tc>
        <w:tc>
          <w:tcPr>
            <w:tcW w:w="1372" w:type="dxa"/>
            <w:noWrap w:val="0"/>
            <w:vAlign w:val="center"/>
          </w:tcPr>
          <w:p w14:paraId="1CF1E786">
            <w:pPr>
              <w:widowControl/>
              <w:spacing w:line="360" w:lineRule="auto"/>
              <w:jc w:val="center"/>
              <w:rPr>
                <w:rFonts w:hint="eastAsia" w:ascii="宋体" w:hAnsi="宋体" w:cs="宋体"/>
                <w:color w:val="000000"/>
                <w:sz w:val="22"/>
                <w:szCs w:val="22"/>
                <w:lang w:val="zh-CN"/>
              </w:rPr>
            </w:pPr>
          </w:p>
        </w:tc>
      </w:tr>
      <w:tr w14:paraId="02D845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651" w:type="dxa"/>
            <w:noWrap w:val="0"/>
            <w:vAlign w:val="center"/>
          </w:tcPr>
          <w:p w14:paraId="67205933">
            <w:pPr>
              <w:widowControl/>
              <w:spacing w:line="360" w:lineRule="auto"/>
              <w:jc w:val="center"/>
              <w:rPr>
                <w:rFonts w:hint="eastAsia" w:ascii="宋体" w:hAnsi="宋体" w:cs="宋体"/>
                <w:color w:val="000000"/>
                <w:sz w:val="22"/>
                <w:szCs w:val="22"/>
              </w:rPr>
            </w:pPr>
          </w:p>
        </w:tc>
        <w:tc>
          <w:tcPr>
            <w:tcW w:w="1620" w:type="dxa"/>
            <w:noWrap w:val="0"/>
            <w:vAlign w:val="center"/>
          </w:tcPr>
          <w:p w14:paraId="52D585F2">
            <w:pPr>
              <w:widowControl/>
              <w:spacing w:line="360" w:lineRule="auto"/>
              <w:jc w:val="center"/>
              <w:rPr>
                <w:rFonts w:hint="eastAsia" w:ascii="宋体" w:hAnsi="宋体" w:cs="宋体"/>
                <w:color w:val="000000"/>
                <w:sz w:val="22"/>
                <w:szCs w:val="22"/>
              </w:rPr>
            </w:pPr>
          </w:p>
        </w:tc>
        <w:tc>
          <w:tcPr>
            <w:tcW w:w="2700" w:type="dxa"/>
            <w:noWrap w:val="0"/>
            <w:vAlign w:val="center"/>
          </w:tcPr>
          <w:p w14:paraId="5E1F72D8">
            <w:pPr>
              <w:widowControl/>
              <w:spacing w:line="360" w:lineRule="auto"/>
              <w:jc w:val="center"/>
              <w:rPr>
                <w:rFonts w:hint="eastAsia" w:ascii="宋体" w:hAnsi="宋体" w:cs="宋体"/>
                <w:color w:val="000000"/>
                <w:sz w:val="22"/>
                <w:szCs w:val="22"/>
              </w:rPr>
            </w:pPr>
          </w:p>
        </w:tc>
        <w:tc>
          <w:tcPr>
            <w:tcW w:w="2873" w:type="dxa"/>
            <w:gridSpan w:val="2"/>
            <w:noWrap w:val="0"/>
            <w:vAlign w:val="center"/>
          </w:tcPr>
          <w:p w14:paraId="5032C949">
            <w:pPr>
              <w:widowControl/>
              <w:spacing w:line="360" w:lineRule="auto"/>
              <w:jc w:val="center"/>
              <w:rPr>
                <w:rFonts w:hint="eastAsia" w:ascii="宋体" w:hAnsi="宋体" w:cs="宋体"/>
                <w:color w:val="000000"/>
                <w:sz w:val="22"/>
                <w:szCs w:val="22"/>
              </w:rPr>
            </w:pPr>
          </w:p>
        </w:tc>
        <w:tc>
          <w:tcPr>
            <w:tcW w:w="1372" w:type="dxa"/>
            <w:noWrap w:val="0"/>
            <w:vAlign w:val="center"/>
          </w:tcPr>
          <w:p w14:paraId="63C91D83">
            <w:pPr>
              <w:widowControl/>
              <w:spacing w:line="360" w:lineRule="auto"/>
              <w:jc w:val="center"/>
              <w:rPr>
                <w:rFonts w:hint="eastAsia" w:ascii="宋体" w:hAnsi="宋体" w:cs="宋体"/>
                <w:color w:val="000000"/>
                <w:sz w:val="22"/>
                <w:szCs w:val="22"/>
              </w:rPr>
            </w:pPr>
          </w:p>
        </w:tc>
      </w:tr>
    </w:tbl>
    <w:p w14:paraId="50F9956A">
      <w:pPr>
        <w:widowControl/>
        <w:spacing w:line="360" w:lineRule="auto"/>
        <w:jc w:val="left"/>
        <w:rPr>
          <w:rFonts w:hint="eastAsia" w:ascii="宋体" w:hAnsi="宋体" w:cs="宋体"/>
          <w:color w:val="000000"/>
          <w:sz w:val="22"/>
          <w:szCs w:val="22"/>
          <w:lang w:val="zh-CN"/>
        </w:rPr>
      </w:pPr>
    </w:p>
    <w:p w14:paraId="7A436DDC">
      <w:pPr>
        <w:widowControl/>
        <w:spacing w:line="360" w:lineRule="auto"/>
        <w:ind w:firstLine="420"/>
        <w:jc w:val="left"/>
        <w:rPr>
          <w:rFonts w:hint="eastAsia" w:ascii="宋体" w:hAnsi="宋体" w:cs="宋体"/>
          <w:sz w:val="22"/>
          <w:szCs w:val="22"/>
          <w:lang w:val="zh-CN"/>
        </w:rPr>
      </w:pPr>
      <w:r>
        <w:rPr>
          <w:rFonts w:hint="eastAsia" w:ascii="宋体" w:hAnsi="宋体" w:cs="宋体"/>
          <w:color w:val="000000"/>
          <w:sz w:val="22"/>
          <w:szCs w:val="22"/>
          <w:lang w:val="zh-CN"/>
        </w:rPr>
        <w:t>供应商名称：</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（加盖电子公章）</w:t>
      </w:r>
      <w:r>
        <w:rPr>
          <w:rFonts w:hint="eastAsia" w:ascii="宋体" w:hAnsi="宋体" w:cs="宋体"/>
          <w:sz w:val="22"/>
          <w:szCs w:val="22"/>
          <w:lang w:val="zh-CN"/>
        </w:rPr>
        <w:t xml:space="preserve">              </w:t>
      </w:r>
    </w:p>
    <w:p w14:paraId="563666CF">
      <w:pPr>
        <w:spacing w:line="360" w:lineRule="auto"/>
        <w:ind w:firstLine="420"/>
        <w:rPr>
          <w:rFonts w:hint="eastAsia" w:ascii="宋体" w:hAnsi="宋体" w:cs="宋体"/>
          <w:color w:val="000000"/>
          <w:sz w:val="22"/>
          <w:szCs w:val="22"/>
          <w:lang w:val="zh-CN"/>
        </w:rPr>
      </w:pPr>
      <w:r>
        <w:rPr>
          <w:rFonts w:hint="eastAsia" w:ascii="宋体" w:hAnsi="宋体" w:cs="宋体"/>
          <w:color w:val="000000"/>
          <w:sz w:val="22"/>
          <w:szCs w:val="22"/>
          <w:lang w:val="zh-CN"/>
        </w:rPr>
        <w:t>日    期：</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年</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月</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日</w:t>
      </w:r>
    </w:p>
    <w:p w14:paraId="0BA7677A">
      <w:pPr>
        <w:widowControl/>
        <w:spacing w:line="360" w:lineRule="auto"/>
        <w:ind w:firstLine="420"/>
        <w:jc w:val="left"/>
        <w:rPr>
          <w:rFonts w:hint="eastAsia" w:ascii="宋体" w:hAnsi="宋体" w:cs="宋体"/>
          <w:sz w:val="22"/>
          <w:szCs w:val="22"/>
          <w:lang w:val="zh-CN"/>
        </w:rPr>
      </w:pPr>
      <w:r>
        <w:rPr>
          <w:rFonts w:hint="eastAsia" w:ascii="宋体" w:hAnsi="宋体" w:cs="宋体"/>
          <w:color w:val="000000"/>
          <w:sz w:val="22"/>
          <w:szCs w:val="22"/>
          <w:lang w:val="zh-CN"/>
        </w:rPr>
        <w:t>说明：如果行数不够，请自行增加。</w:t>
      </w:r>
    </w:p>
    <w:p w14:paraId="7786154F">
      <w:pPr>
        <w:widowControl/>
        <w:spacing w:line="360" w:lineRule="auto"/>
        <w:jc w:val="left"/>
        <w:rPr>
          <w:rFonts w:hint="eastAsia" w:ascii="宋体" w:hAnsi="宋体" w:cs="宋体"/>
          <w:color w:val="000000"/>
          <w:sz w:val="22"/>
          <w:szCs w:val="22"/>
          <w:lang w:val="zh-CN"/>
        </w:rPr>
      </w:pPr>
    </w:p>
    <w:p w14:paraId="1CAA3691">
      <w:pPr>
        <w:spacing w:line="360" w:lineRule="auto"/>
        <w:rPr>
          <w:rFonts w:hint="eastAsia" w:ascii="宋体" w:hAnsi="宋体" w:cs="宋体"/>
          <w:b/>
          <w:color w:val="000000"/>
          <w:sz w:val="22"/>
          <w:szCs w:val="22"/>
        </w:rPr>
      </w:pPr>
    </w:p>
    <w:p w14:paraId="500352A0">
      <w:pPr>
        <w:rPr>
          <w:rFonts w:hint="eastAsia" w:ascii="宋体" w:hAnsi="宋体" w:eastAsia="宋体" w:cs="Times New Roman"/>
          <w:b/>
          <w:sz w:val="22"/>
          <w:szCs w:val="22"/>
          <w:lang w:val="zh-CN" w:eastAsia="zh-CN" w:bidi="en-US"/>
        </w:rPr>
      </w:pPr>
      <w:r>
        <w:rPr>
          <w:rFonts w:hint="eastAsia" w:ascii="宋体" w:hAnsi="宋体" w:eastAsia="宋体" w:cs="Times New Roman"/>
          <w:b/>
          <w:sz w:val="22"/>
          <w:szCs w:val="22"/>
          <w:lang w:val="zh-CN" w:eastAsia="zh-CN" w:bidi="en-US"/>
        </w:rPr>
        <w:br w:type="page" w:clear="all"/>
      </w:r>
    </w:p>
    <w:p w14:paraId="5F288560">
      <w:pPr>
        <w:keepNext w:val="0"/>
        <w:keepLines w:val="0"/>
        <w:pageBreakBefore w:val="0"/>
        <w:widowControl/>
        <w:spacing w:after="0" w:line="360" w:lineRule="auto"/>
        <w:jc w:val="both"/>
        <w:outlineLvl w:val="1"/>
        <w:rPr>
          <w:rFonts w:hint="eastAsia" w:ascii="宋体" w:hAnsi="宋体" w:eastAsia="宋体" w:cs="Times New Roman"/>
          <w:b/>
          <w:sz w:val="22"/>
          <w:szCs w:val="22"/>
          <w:lang w:val="zh-CN" w:eastAsia="zh-CN" w:bidi="en-US"/>
        </w:rPr>
      </w:pPr>
      <w:r>
        <w:rPr>
          <w:rFonts w:hint="eastAsia" w:ascii="宋体" w:hAnsi="宋体" w:eastAsia="宋体" w:cs="Times New Roman"/>
          <w:b/>
          <w:sz w:val="22"/>
          <w:szCs w:val="22"/>
          <w:lang w:val="zh-CN" w:eastAsia="zh-CN" w:bidi="en-US"/>
        </w:rPr>
        <w:t>目录七、技术条款偏离表格式</w:t>
      </w:r>
    </w:p>
    <w:p w14:paraId="277D81B1">
      <w:pPr>
        <w:spacing w:line="240" w:lineRule="atLeast"/>
        <w:jc w:val="center"/>
        <w:rPr>
          <w:rFonts w:hint="eastAsia" w:ascii="宋体" w:hAnsi="宋体" w:cs="宋体"/>
          <w:b/>
          <w:sz w:val="22"/>
          <w:szCs w:val="22"/>
          <w:lang w:val="zh-CN"/>
        </w:rPr>
      </w:pPr>
      <w:r>
        <w:rPr>
          <w:rFonts w:hint="eastAsia" w:ascii="宋体" w:hAnsi="宋体" w:cs="宋体"/>
          <w:b/>
          <w:sz w:val="22"/>
          <w:szCs w:val="22"/>
          <w:lang w:val="zh-CN"/>
        </w:rPr>
        <w:t>技术条款偏离表</w:t>
      </w:r>
    </w:p>
    <w:tbl>
      <w:tblPr>
        <w:tblStyle w:val="35"/>
        <w:tblW w:w="0" w:type="auto"/>
        <w:jc w:val="center"/>
        <w:tblLayout w:type="fixed"/>
        <w:tblCellMar>
          <w:top w:w="0" w:type="dxa"/>
          <w:left w:w="0" w:type="dxa"/>
          <w:bottom w:w="0" w:type="dxa"/>
          <w:right w:w="0" w:type="dxa"/>
        </w:tblCellMar>
      </w:tblPr>
      <w:tblGrid>
        <w:gridCol w:w="765"/>
        <w:gridCol w:w="1620"/>
        <w:gridCol w:w="2700"/>
        <w:gridCol w:w="1411"/>
        <w:gridCol w:w="1829"/>
        <w:gridCol w:w="1110"/>
      </w:tblGrid>
      <w:tr w14:paraId="4215EDD4">
        <w:tblPrEx>
          <w:tblCellMar>
            <w:top w:w="0" w:type="dxa"/>
            <w:left w:w="0" w:type="dxa"/>
            <w:bottom w:w="0" w:type="dxa"/>
            <w:right w:w="0" w:type="dxa"/>
          </w:tblCellMar>
        </w:tblPrEx>
        <w:trPr>
          <w:trHeight w:val="284" w:hRule="atLeast"/>
          <w:jc w:val="center"/>
        </w:trPr>
        <w:tc>
          <w:tcPr>
            <w:tcW w:w="6496" w:type="dxa"/>
            <w:gridSpan w:val="4"/>
            <w:tcBorders>
              <w:top w:val="nil"/>
              <w:left w:val="nil"/>
              <w:bottom w:val="single" w:color="000000" w:sz="6" w:space="0"/>
              <w:right w:val="nil"/>
            </w:tcBorders>
            <w:noWrap w:val="0"/>
            <w:vAlign w:val="center"/>
          </w:tcPr>
          <w:p w14:paraId="24A32313">
            <w:pPr>
              <w:widowControl/>
              <w:spacing w:line="360" w:lineRule="auto"/>
              <w:jc w:val="left"/>
              <w:rPr>
                <w:rFonts w:hint="eastAsia" w:ascii="宋体" w:hAnsi="宋体" w:cs="宋体"/>
                <w:color w:val="000000"/>
                <w:sz w:val="22"/>
                <w:szCs w:val="22"/>
                <w:lang w:val="zh-CN"/>
              </w:rPr>
            </w:pPr>
            <w:r>
              <w:rPr>
                <w:rFonts w:hint="eastAsia" w:ascii="宋体" w:hAnsi="宋体" w:cs="宋体"/>
                <w:color w:val="000000"/>
                <w:sz w:val="22"/>
                <w:szCs w:val="22"/>
                <w:lang w:val="zh-CN"/>
              </w:rPr>
              <w:t>项目名称：</w:t>
            </w:r>
          </w:p>
        </w:tc>
        <w:tc>
          <w:tcPr>
            <w:tcW w:w="2939" w:type="dxa"/>
            <w:gridSpan w:val="2"/>
            <w:tcBorders>
              <w:top w:val="nil"/>
              <w:left w:val="nil"/>
              <w:bottom w:val="single" w:color="000000" w:sz="6" w:space="0"/>
              <w:right w:val="nil"/>
            </w:tcBorders>
            <w:noWrap w:val="0"/>
            <w:vAlign w:val="center"/>
          </w:tcPr>
          <w:p w14:paraId="08F73EF2">
            <w:pPr>
              <w:widowControl/>
              <w:spacing w:line="360" w:lineRule="auto"/>
              <w:jc w:val="left"/>
              <w:rPr>
                <w:rFonts w:hint="eastAsia" w:ascii="宋体" w:hAnsi="宋体" w:cs="宋体"/>
                <w:color w:val="000000"/>
                <w:sz w:val="22"/>
                <w:szCs w:val="22"/>
                <w:lang w:val="zh-CN"/>
              </w:rPr>
            </w:pPr>
            <w:r>
              <w:rPr>
                <w:rFonts w:hint="eastAsia" w:ascii="宋体" w:hAnsi="宋体" w:cs="宋体"/>
                <w:color w:val="000000"/>
                <w:sz w:val="22"/>
                <w:szCs w:val="22"/>
                <w:lang w:val="zh-CN"/>
              </w:rPr>
              <w:t>项目编号：</w:t>
            </w:r>
          </w:p>
        </w:tc>
      </w:tr>
      <w:tr w14:paraId="661C50B0">
        <w:tblPrEx>
          <w:tblCellMar>
            <w:top w:w="0" w:type="dxa"/>
            <w:left w:w="0" w:type="dxa"/>
            <w:bottom w:w="0" w:type="dxa"/>
            <w:right w:w="0" w:type="dxa"/>
          </w:tblCellMar>
        </w:tblPrEx>
        <w:trPr>
          <w:trHeight w:val="284" w:hRule="atLeast"/>
          <w:jc w:val="center"/>
        </w:trPr>
        <w:tc>
          <w:tcPr>
            <w:tcW w:w="765" w:type="dxa"/>
            <w:tcBorders>
              <w:top w:val="single" w:color="000000" w:sz="6" w:space="0"/>
              <w:left w:val="single" w:color="000000" w:sz="6" w:space="0"/>
              <w:bottom w:val="single" w:color="000000" w:sz="6" w:space="0"/>
              <w:right w:val="single" w:color="000000" w:sz="6" w:space="0"/>
            </w:tcBorders>
            <w:noWrap w:val="0"/>
            <w:vAlign w:val="center"/>
          </w:tcPr>
          <w:p w14:paraId="15FEF0D0">
            <w:pPr>
              <w:widowControl/>
              <w:spacing w:line="360" w:lineRule="auto"/>
              <w:jc w:val="center"/>
              <w:rPr>
                <w:rFonts w:hint="eastAsia" w:ascii="宋体" w:hAnsi="宋体" w:cs="宋体"/>
                <w:color w:val="000000"/>
                <w:sz w:val="22"/>
                <w:szCs w:val="22"/>
                <w:lang w:val="zh-CN"/>
              </w:rPr>
            </w:pPr>
            <w:r>
              <w:rPr>
                <w:rFonts w:hint="eastAsia" w:ascii="宋体" w:hAnsi="宋体" w:cs="宋体"/>
                <w:color w:val="000000"/>
                <w:sz w:val="22"/>
                <w:szCs w:val="22"/>
                <w:lang w:val="zh-CN"/>
              </w:rPr>
              <w:t>序号</w:t>
            </w:r>
          </w:p>
        </w:tc>
        <w:tc>
          <w:tcPr>
            <w:tcW w:w="1620" w:type="dxa"/>
            <w:tcBorders>
              <w:top w:val="single" w:color="000000" w:sz="6" w:space="0"/>
              <w:left w:val="single" w:color="000000" w:sz="6" w:space="0"/>
              <w:bottom w:val="single" w:color="000000" w:sz="6" w:space="0"/>
              <w:right w:val="single" w:color="000000" w:sz="6" w:space="0"/>
            </w:tcBorders>
            <w:noWrap w:val="0"/>
            <w:vAlign w:val="center"/>
          </w:tcPr>
          <w:p w14:paraId="21BEBB28">
            <w:pPr>
              <w:widowControl/>
              <w:spacing w:line="360" w:lineRule="auto"/>
              <w:jc w:val="center"/>
              <w:rPr>
                <w:rFonts w:hint="eastAsia" w:ascii="宋体" w:hAnsi="宋体" w:cs="宋体"/>
                <w:color w:val="000000"/>
                <w:sz w:val="22"/>
                <w:szCs w:val="22"/>
                <w:lang w:val="zh-CN"/>
              </w:rPr>
            </w:pPr>
            <w:r>
              <w:rPr>
                <w:rFonts w:hint="eastAsia" w:ascii="宋体" w:hAnsi="宋体" w:cs="宋体"/>
                <w:color w:val="000000"/>
                <w:sz w:val="22"/>
                <w:szCs w:val="22"/>
                <w:lang w:val="zh-CN"/>
              </w:rPr>
              <w:t>招标文件条目号</w:t>
            </w:r>
          </w:p>
        </w:tc>
        <w:tc>
          <w:tcPr>
            <w:tcW w:w="2700" w:type="dxa"/>
            <w:tcBorders>
              <w:top w:val="single" w:color="000000" w:sz="6" w:space="0"/>
              <w:left w:val="single" w:color="000000" w:sz="6" w:space="0"/>
              <w:bottom w:val="single" w:color="000000" w:sz="6" w:space="0"/>
              <w:right w:val="single" w:color="000000" w:sz="6" w:space="0"/>
            </w:tcBorders>
            <w:noWrap w:val="0"/>
            <w:vAlign w:val="center"/>
          </w:tcPr>
          <w:p w14:paraId="18DADA7E">
            <w:pPr>
              <w:widowControl/>
              <w:spacing w:line="360" w:lineRule="auto"/>
              <w:jc w:val="center"/>
              <w:rPr>
                <w:rFonts w:hint="eastAsia" w:ascii="宋体" w:hAnsi="宋体" w:cs="宋体"/>
                <w:color w:val="000000"/>
                <w:sz w:val="22"/>
                <w:szCs w:val="22"/>
                <w:lang w:val="zh-CN"/>
              </w:rPr>
            </w:pPr>
            <w:r>
              <w:rPr>
                <w:rFonts w:hint="eastAsia" w:ascii="宋体" w:hAnsi="宋体" w:cs="宋体"/>
                <w:color w:val="000000"/>
                <w:sz w:val="22"/>
                <w:szCs w:val="22"/>
                <w:lang w:val="zh-CN"/>
              </w:rPr>
              <w:t>招标要求规格</w:t>
            </w:r>
          </w:p>
        </w:tc>
        <w:tc>
          <w:tcPr>
            <w:tcW w:w="3240" w:type="dxa"/>
            <w:gridSpan w:val="2"/>
            <w:tcBorders>
              <w:top w:val="single" w:color="000000" w:sz="6" w:space="0"/>
              <w:left w:val="single" w:color="000000" w:sz="6" w:space="0"/>
              <w:bottom w:val="single" w:color="000000" w:sz="6" w:space="0"/>
              <w:right w:val="single" w:color="000000" w:sz="6" w:space="0"/>
            </w:tcBorders>
            <w:noWrap w:val="0"/>
            <w:vAlign w:val="center"/>
          </w:tcPr>
          <w:p w14:paraId="3A0613F5">
            <w:pPr>
              <w:widowControl/>
              <w:spacing w:line="360" w:lineRule="auto"/>
              <w:jc w:val="center"/>
              <w:rPr>
                <w:rFonts w:hint="eastAsia" w:ascii="宋体" w:hAnsi="宋体" w:cs="宋体"/>
                <w:color w:val="000000"/>
                <w:sz w:val="22"/>
                <w:szCs w:val="22"/>
                <w:lang w:val="zh-CN"/>
              </w:rPr>
            </w:pPr>
            <w:r>
              <w:rPr>
                <w:rFonts w:hint="eastAsia" w:ascii="宋体" w:hAnsi="宋体" w:cs="宋体"/>
                <w:color w:val="000000"/>
                <w:sz w:val="22"/>
                <w:szCs w:val="22"/>
                <w:lang w:val="zh-CN"/>
              </w:rPr>
              <w:t>投标响应</w:t>
            </w: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682F8D67">
            <w:pPr>
              <w:widowControl/>
              <w:spacing w:line="360" w:lineRule="auto"/>
              <w:jc w:val="center"/>
              <w:rPr>
                <w:rFonts w:hint="eastAsia" w:ascii="宋体" w:hAnsi="宋体" w:cs="宋体"/>
                <w:color w:val="000000"/>
                <w:sz w:val="22"/>
                <w:szCs w:val="22"/>
                <w:lang w:val="zh-CN"/>
              </w:rPr>
            </w:pPr>
            <w:r>
              <w:rPr>
                <w:rFonts w:hint="eastAsia" w:ascii="宋体" w:hAnsi="宋体" w:cs="宋体"/>
                <w:color w:val="000000"/>
                <w:sz w:val="22"/>
                <w:szCs w:val="22"/>
                <w:lang w:val="zh-CN"/>
              </w:rPr>
              <w:t>偏离</w:t>
            </w:r>
          </w:p>
        </w:tc>
      </w:tr>
      <w:tr w14:paraId="13E651FB">
        <w:tblPrEx>
          <w:tblCellMar>
            <w:top w:w="0" w:type="dxa"/>
            <w:left w:w="0" w:type="dxa"/>
            <w:bottom w:w="0" w:type="dxa"/>
            <w:right w:w="0" w:type="dxa"/>
          </w:tblCellMar>
        </w:tblPrEx>
        <w:trPr>
          <w:trHeight w:val="284" w:hRule="atLeast"/>
          <w:jc w:val="center"/>
        </w:trPr>
        <w:tc>
          <w:tcPr>
            <w:tcW w:w="765" w:type="dxa"/>
            <w:tcBorders>
              <w:top w:val="single" w:color="000000" w:sz="6" w:space="0"/>
              <w:left w:val="single" w:color="000000" w:sz="6" w:space="0"/>
              <w:bottom w:val="single" w:color="000000" w:sz="6" w:space="0"/>
              <w:right w:val="single" w:color="000000" w:sz="6" w:space="0"/>
            </w:tcBorders>
            <w:noWrap w:val="0"/>
            <w:vAlign w:val="center"/>
          </w:tcPr>
          <w:p w14:paraId="5B2F0C20">
            <w:pPr>
              <w:widowControl/>
              <w:spacing w:line="360" w:lineRule="auto"/>
              <w:jc w:val="center"/>
              <w:rPr>
                <w:rFonts w:hint="eastAsia" w:ascii="宋体" w:hAnsi="宋体" w:cs="宋体"/>
                <w:color w:val="000000"/>
                <w:sz w:val="22"/>
                <w:szCs w:val="22"/>
                <w:lang w:val="zh-CN"/>
              </w:rPr>
            </w:pPr>
          </w:p>
        </w:tc>
        <w:tc>
          <w:tcPr>
            <w:tcW w:w="1620" w:type="dxa"/>
            <w:tcBorders>
              <w:top w:val="single" w:color="000000" w:sz="6" w:space="0"/>
              <w:left w:val="single" w:color="000000" w:sz="6" w:space="0"/>
              <w:bottom w:val="single" w:color="000000" w:sz="6" w:space="0"/>
              <w:right w:val="single" w:color="000000" w:sz="6" w:space="0"/>
            </w:tcBorders>
            <w:noWrap w:val="0"/>
            <w:vAlign w:val="center"/>
          </w:tcPr>
          <w:p w14:paraId="0BF1D3DD">
            <w:pPr>
              <w:widowControl/>
              <w:spacing w:line="360" w:lineRule="auto"/>
              <w:jc w:val="center"/>
              <w:rPr>
                <w:rFonts w:hint="eastAsia" w:ascii="宋体" w:hAnsi="宋体" w:cs="宋体"/>
                <w:color w:val="000000"/>
                <w:sz w:val="22"/>
                <w:szCs w:val="22"/>
                <w:lang w:val="zh-CN"/>
              </w:rPr>
            </w:pPr>
          </w:p>
        </w:tc>
        <w:tc>
          <w:tcPr>
            <w:tcW w:w="2700" w:type="dxa"/>
            <w:tcBorders>
              <w:top w:val="single" w:color="000000" w:sz="6" w:space="0"/>
              <w:left w:val="single" w:color="000000" w:sz="6" w:space="0"/>
              <w:bottom w:val="single" w:color="000000" w:sz="6" w:space="0"/>
              <w:right w:val="single" w:color="000000" w:sz="6" w:space="0"/>
            </w:tcBorders>
            <w:noWrap w:val="0"/>
            <w:vAlign w:val="center"/>
          </w:tcPr>
          <w:p w14:paraId="6E7F208B">
            <w:pPr>
              <w:widowControl/>
              <w:spacing w:line="360" w:lineRule="auto"/>
              <w:jc w:val="center"/>
              <w:rPr>
                <w:rFonts w:hint="eastAsia" w:ascii="宋体" w:hAnsi="宋体" w:cs="宋体"/>
                <w:color w:val="000000"/>
                <w:sz w:val="22"/>
                <w:szCs w:val="22"/>
                <w:lang w:val="zh-CN"/>
              </w:rPr>
            </w:pPr>
          </w:p>
        </w:tc>
        <w:tc>
          <w:tcPr>
            <w:tcW w:w="3240" w:type="dxa"/>
            <w:gridSpan w:val="2"/>
            <w:tcBorders>
              <w:top w:val="single" w:color="000000" w:sz="6" w:space="0"/>
              <w:left w:val="single" w:color="000000" w:sz="6" w:space="0"/>
              <w:bottom w:val="single" w:color="000000" w:sz="6" w:space="0"/>
              <w:right w:val="single" w:color="000000" w:sz="6" w:space="0"/>
            </w:tcBorders>
            <w:noWrap w:val="0"/>
            <w:vAlign w:val="center"/>
          </w:tcPr>
          <w:p w14:paraId="34112BB4">
            <w:pPr>
              <w:widowControl/>
              <w:spacing w:line="360" w:lineRule="auto"/>
              <w:jc w:val="center"/>
              <w:rPr>
                <w:rFonts w:hint="eastAsia" w:ascii="宋体" w:hAnsi="宋体" w:cs="宋体"/>
                <w:color w:val="000000"/>
                <w:sz w:val="22"/>
                <w:szCs w:val="22"/>
                <w:lang w:val="zh-CN"/>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00D054C2">
            <w:pPr>
              <w:widowControl/>
              <w:spacing w:line="360" w:lineRule="auto"/>
              <w:jc w:val="center"/>
              <w:rPr>
                <w:rFonts w:hint="eastAsia" w:ascii="宋体" w:hAnsi="宋体" w:cs="宋体"/>
                <w:color w:val="000000"/>
                <w:sz w:val="22"/>
                <w:szCs w:val="22"/>
                <w:lang w:val="zh-CN"/>
              </w:rPr>
            </w:pPr>
          </w:p>
        </w:tc>
      </w:tr>
      <w:tr w14:paraId="12D43167">
        <w:tblPrEx>
          <w:tblCellMar>
            <w:top w:w="0" w:type="dxa"/>
            <w:left w:w="0" w:type="dxa"/>
            <w:bottom w:w="0" w:type="dxa"/>
            <w:right w:w="0" w:type="dxa"/>
          </w:tblCellMar>
        </w:tblPrEx>
        <w:trPr>
          <w:trHeight w:val="284" w:hRule="atLeast"/>
          <w:jc w:val="center"/>
        </w:trPr>
        <w:tc>
          <w:tcPr>
            <w:tcW w:w="765" w:type="dxa"/>
            <w:tcBorders>
              <w:top w:val="single" w:color="000000" w:sz="6" w:space="0"/>
              <w:left w:val="single" w:color="000000" w:sz="6" w:space="0"/>
              <w:bottom w:val="single" w:color="000000" w:sz="6" w:space="0"/>
              <w:right w:val="single" w:color="000000" w:sz="6" w:space="0"/>
            </w:tcBorders>
            <w:noWrap w:val="0"/>
            <w:vAlign w:val="center"/>
          </w:tcPr>
          <w:p w14:paraId="64AEC778">
            <w:pPr>
              <w:widowControl/>
              <w:spacing w:line="360" w:lineRule="auto"/>
              <w:jc w:val="center"/>
              <w:rPr>
                <w:rFonts w:hint="eastAsia" w:ascii="宋体" w:hAnsi="宋体" w:cs="宋体"/>
                <w:color w:val="000000"/>
                <w:sz w:val="22"/>
                <w:szCs w:val="22"/>
                <w:lang w:val="zh-CN"/>
              </w:rPr>
            </w:pPr>
          </w:p>
        </w:tc>
        <w:tc>
          <w:tcPr>
            <w:tcW w:w="1620" w:type="dxa"/>
            <w:tcBorders>
              <w:top w:val="single" w:color="000000" w:sz="6" w:space="0"/>
              <w:left w:val="single" w:color="000000" w:sz="6" w:space="0"/>
              <w:bottom w:val="single" w:color="000000" w:sz="6" w:space="0"/>
              <w:right w:val="single" w:color="000000" w:sz="6" w:space="0"/>
            </w:tcBorders>
            <w:noWrap w:val="0"/>
            <w:vAlign w:val="center"/>
          </w:tcPr>
          <w:p w14:paraId="6F5B9534">
            <w:pPr>
              <w:widowControl/>
              <w:spacing w:line="360" w:lineRule="auto"/>
              <w:jc w:val="center"/>
              <w:rPr>
                <w:rFonts w:hint="eastAsia" w:ascii="宋体" w:hAnsi="宋体" w:cs="宋体"/>
                <w:color w:val="000000"/>
                <w:sz w:val="22"/>
                <w:szCs w:val="22"/>
                <w:lang w:val="zh-CN"/>
              </w:rPr>
            </w:pPr>
          </w:p>
        </w:tc>
        <w:tc>
          <w:tcPr>
            <w:tcW w:w="2700" w:type="dxa"/>
            <w:tcBorders>
              <w:top w:val="single" w:color="000000" w:sz="6" w:space="0"/>
              <w:left w:val="single" w:color="000000" w:sz="6" w:space="0"/>
              <w:bottom w:val="single" w:color="000000" w:sz="6" w:space="0"/>
              <w:right w:val="single" w:color="000000" w:sz="6" w:space="0"/>
            </w:tcBorders>
            <w:noWrap w:val="0"/>
            <w:vAlign w:val="center"/>
          </w:tcPr>
          <w:p w14:paraId="12A6D452">
            <w:pPr>
              <w:widowControl/>
              <w:spacing w:line="360" w:lineRule="auto"/>
              <w:jc w:val="center"/>
              <w:rPr>
                <w:rFonts w:hint="eastAsia" w:ascii="宋体" w:hAnsi="宋体" w:cs="宋体"/>
                <w:color w:val="000000"/>
                <w:sz w:val="22"/>
                <w:szCs w:val="22"/>
                <w:lang w:val="zh-CN"/>
              </w:rPr>
            </w:pPr>
          </w:p>
        </w:tc>
        <w:tc>
          <w:tcPr>
            <w:tcW w:w="3240" w:type="dxa"/>
            <w:gridSpan w:val="2"/>
            <w:tcBorders>
              <w:top w:val="single" w:color="000000" w:sz="6" w:space="0"/>
              <w:left w:val="single" w:color="000000" w:sz="6" w:space="0"/>
              <w:bottom w:val="single" w:color="000000" w:sz="6" w:space="0"/>
              <w:right w:val="single" w:color="000000" w:sz="6" w:space="0"/>
            </w:tcBorders>
            <w:noWrap w:val="0"/>
            <w:vAlign w:val="center"/>
          </w:tcPr>
          <w:p w14:paraId="0B9BADE7">
            <w:pPr>
              <w:widowControl/>
              <w:spacing w:line="360" w:lineRule="auto"/>
              <w:jc w:val="center"/>
              <w:rPr>
                <w:rFonts w:hint="eastAsia" w:ascii="宋体" w:hAnsi="宋体" w:cs="宋体"/>
                <w:color w:val="000000"/>
                <w:sz w:val="22"/>
                <w:szCs w:val="22"/>
                <w:lang w:val="zh-CN"/>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624BD5CE">
            <w:pPr>
              <w:widowControl/>
              <w:spacing w:line="360" w:lineRule="auto"/>
              <w:jc w:val="center"/>
              <w:rPr>
                <w:rFonts w:hint="eastAsia" w:ascii="宋体" w:hAnsi="宋体" w:cs="宋体"/>
                <w:color w:val="000000"/>
                <w:sz w:val="22"/>
                <w:szCs w:val="22"/>
                <w:lang w:val="zh-CN"/>
              </w:rPr>
            </w:pPr>
          </w:p>
        </w:tc>
      </w:tr>
      <w:tr w14:paraId="556CBD0B">
        <w:tblPrEx>
          <w:tblCellMar>
            <w:top w:w="0" w:type="dxa"/>
            <w:left w:w="0" w:type="dxa"/>
            <w:bottom w:w="0" w:type="dxa"/>
            <w:right w:w="0" w:type="dxa"/>
          </w:tblCellMar>
        </w:tblPrEx>
        <w:trPr>
          <w:trHeight w:val="284" w:hRule="atLeast"/>
          <w:jc w:val="center"/>
        </w:trPr>
        <w:tc>
          <w:tcPr>
            <w:tcW w:w="765" w:type="dxa"/>
            <w:tcBorders>
              <w:top w:val="single" w:color="000000" w:sz="6" w:space="0"/>
              <w:left w:val="single" w:color="000000" w:sz="6" w:space="0"/>
              <w:bottom w:val="single" w:color="000000" w:sz="6" w:space="0"/>
              <w:right w:val="single" w:color="000000" w:sz="6" w:space="0"/>
            </w:tcBorders>
            <w:noWrap w:val="0"/>
            <w:vAlign w:val="center"/>
          </w:tcPr>
          <w:p w14:paraId="1A085F4B">
            <w:pPr>
              <w:widowControl/>
              <w:spacing w:line="360" w:lineRule="auto"/>
              <w:jc w:val="center"/>
              <w:rPr>
                <w:rFonts w:hint="eastAsia" w:ascii="宋体" w:hAnsi="宋体" w:cs="宋体"/>
                <w:color w:val="000000"/>
                <w:sz w:val="22"/>
                <w:szCs w:val="22"/>
                <w:lang w:val="zh-CN"/>
              </w:rPr>
            </w:pPr>
          </w:p>
        </w:tc>
        <w:tc>
          <w:tcPr>
            <w:tcW w:w="1620" w:type="dxa"/>
            <w:tcBorders>
              <w:top w:val="single" w:color="000000" w:sz="6" w:space="0"/>
              <w:left w:val="single" w:color="000000" w:sz="6" w:space="0"/>
              <w:bottom w:val="single" w:color="000000" w:sz="6" w:space="0"/>
              <w:right w:val="single" w:color="000000" w:sz="6" w:space="0"/>
            </w:tcBorders>
            <w:noWrap w:val="0"/>
            <w:vAlign w:val="center"/>
          </w:tcPr>
          <w:p w14:paraId="703F10B7">
            <w:pPr>
              <w:widowControl/>
              <w:spacing w:line="360" w:lineRule="auto"/>
              <w:jc w:val="center"/>
              <w:rPr>
                <w:rFonts w:hint="eastAsia" w:ascii="宋体" w:hAnsi="宋体" w:cs="宋体"/>
                <w:color w:val="000000"/>
                <w:sz w:val="22"/>
                <w:szCs w:val="22"/>
                <w:lang w:val="zh-CN"/>
              </w:rPr>
            </w:pPr>
          </w:p>
        </w:tc>
        <w:tc>
          <w:tcPr>
            <w:tcW w:w="2700" w:type="dxa"/>
            <w:tcBorders>
              <w:top w:val="single" w:color="000000" w:sz="6" w:space="0"/>
              <w:left w:val="single" w:color="000000" w:sz="6" w:space="0"/>
              <w:bottom w:val="single" w:color="000000" w:sz="6" w:space="0"/>
              <w:right w:val="single" w:color="000000" w:sz="6" w:space="0"/>
            </w:tcBorders>
            <w:noWrap w:val="0"/>
            <w:vAlign w:val="center"/>
          </w:tcPr>
          <w:p w14:paraId="3FE1D677">
            <w:pPr>
              <w:widowControl/>
              <w:spacing w:line="360" w:lineRule="auto"/>
              <w:jc w:val="center"/>
              <w:rPr>
                <w:rFonts w:hint="eastAsia" w:ascii="宋体" w:hAnsi="宋体" w:cs="宋体"/>
                <w:color w:val="000000"/>
                <w:sz w:val="22"/>
                <w:szCs w:val="22"/>
                <w:lang w:val="zh-CN"/>
              </w:rPr>
            </w:pPr>
          </w:p>
        </w:tc>
        <w:tc>
          <w:tcPr>
            <w:tcW w:w="3240" w:type="dxa"/>
            <w:gridSpan w:val="2"/>
            <w:tcBorders>
              <w:top w:val="single" w:color="000000" w:sz="6" w:space="0"/>
              <w:left w:val="single" w:color="000000" w:sz="6" w:space="0"/>
              <w:bottom w:val="single" w:color="000000" w:sz="6" w:space="0"/>
              <w:right w:val="single" w:color="000000" w:sz="6" w:space="0"/>
            </w:tcBorders>
            <w:noWrap w:val="0"/>
            <w:vAlign w:val="center"/>
          </w:tcPr>
          <w:p w14:paraId="39D651C0">
            <w:pPr>
              <w:widowControl/>
              <w:spacing w:line="360" w:lineRule="auto"/>
              <w:jc w:val="center"/>
              <w:rPr>
                <w:rFonts w:hint="eastAsia" w:ascii="宋体" w:hAnsi="宋体" w:cs="宋体"/>
                <w:color w:val="000000"/>
                <w:sz w:val="22"/>
                <w:szCs w:val="22"/>
                <w:lang w:val="zh-CN"/>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332788BA">
            <w:pPr>
              <w:widowControl/>
              <w:spacing w:line="360" w:lineRule="auto"/>
              <w:jc w:val="center"/>
              <w:rPr>
                <w:rFonts w:hint="eastAsia" w:ascii="宋体" w:hAnsi="宋体" w:cs="宋体"/>
                <w:color w:val="000000"/>
                <w:sz w:val="22"/>
                <w:szCs w:val="22"/>
                <w:lang w:val="zh-CN"/>
              </w:rPr>
            </w:pPr>
          </w:p>
        </w:tc>
      </w:tr>
    </w:tbl>
    <w:p w14:paraId="4CFF4F1E">
      <w:pPr>
        <w:spacing w:line="360" w:lineRule="auto"/>
        <w:ind w:firstLine="420"/>
        <w:rPr>
          <w:rFonts w:hint="eastAsia" w:ascii="宋体" w:hAnsi="宋体" w:cs="宋体"/>
          <w:sz w:val="22"/>
          <w:szCs w:val="22"/>
          <w:lang w:val="zh-CN"/>
        </w:rPr>
      </w:pPr>
      <w:r>
        <w:rPr>
          <w:rFonts w:hint="eastAsia" w:ascii="宋体" w:hAnsi="宋体" w:cs="宋体"/>
          <w:color w:val="000000"/>
          <w:sz w:val="22"/>
          <w:szCs w:val="22"/>
          <w:lang w:val="zh-CN"/>
        </w:rPr>
        <w:t>供应商名称：</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（加盖电子公章）</w:t>
      </w:r>
      <w:r>
        <w:rPr>
          <w:rFonts w:hint="eastAsia" w:ascii="宋体" w:hAnsi="宋体" w:cs="宋体"/>
          <w:sz w:val="22"/>
          <w:szCs w:val="22"/>
          <w:lang w:val="zh-CN"/>
        </w:rPr>
        <w:t xml:space="preserve">                 </w:t>
      </w:r>
    </w:p>
    <w:p w14:paraId="5F1E9130">
      <w:pPr>
        <w:spacing w:line="360" w:lineRule="auto"/>
        <w:ind w:firstLine="420"/>
        <w:rPr>
          <w:rFonts w:hint="eastAsia" w:ascii="宋体" w:hAnsi="宋体" w:cs="宋体"/>
          <w:color w:val="000000"/>
          <w:sz w:val="22"/>
          <w:szCs w:val="22"/>
          <w:lang w:val="zh-CN"/>
        </w:rPr>
      </w:pPr>
      <w:r>
        <w:rPr>
          <w:rFonts w:hint="eastAsia" w:ascii="宋体" w:hAnsi="宋体" w:cs="宋体"/>
          <w:color w:val="000000"/>
          <w:sz w:val="22"/>
          <w:szCs w:val="22"/>
          <w:lang w:val="zh-CN"/>
        </w:rPr>
        <w:t>日    期：</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年</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月</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日</w:t>
      </w:r>
    </w:p>
    <w:p w14:paraId="3B0A8AAE">
      <w:pPr>
        <w:widowControl/>
        <w:spacing w:line="360" w:lineRule="auto"/>
        <w:jc w:val="left"/>
        <w:rPr>
          <w:rFonts w:hint="eastAsia" w:ascii="宋体" w:hAnsi="宋体" w:cs="宋体"/>
          <w:color w:val="000000"/>
          <w:sz w:val="22"/>
          <w:szCs w:val="22"/>
          <w:lang w:val="zh-CN"/>
        </w:rPr>
      </w:pPr>
      <w:r>
        <w:rPr>
          <w:rFonts w:hint="eastAsia" w:ascii="宋体" w:hAnsi="宋体" w:cs="宋体"/>
          <w:color w:val="000000"/>
          <w:sz w:val="22"/>
          <w:szCs w:val="22"/>
          <w:lang w:val="zh-CN"/>
        </w:rPr>
        <w:t>说明：</w:t>
      </w:r>
    </w:p>
    <w:p w14:paraId="3E2B7597">
      <w:pPr>
        <w:spacing w:line="360" w:lineRule="auto"/>
        <w:ind w:firstLine="422"/>
        <w:rPr>
          <w:rFonts w:hint="eastAsia" w:ascii="宋体" w:hAnsi="宋体" w:cs="宋体"/>
          <w:b/>
          <w:color w:val="000000"/>
          <w:sz w:val="22"/>
          <w:szCs w:val="22"/>
          <w:lang w:val="zh-CN"/>
        </w:rPr>
      </w:pPr>
      <w:r>
        <w:rPr>
          <w:rFonts w:hint="eastAsia" w:ascii="宋体" w:hAnsi="宋体" w:cs="宋体"/>
          <w:b/>
          <w:color w:val="000000"/>
          <w:sz w:val="22"/>
          <w:szCs w:val="22"/>
          <w:lang w:val="zh-CN"/>
        </w:rPr>
        <w:t>1、供应商应逐一说明产品和服务响应，直接拷贝招标文件技术、服务要求的按照不响应处理；</w:t>
      </w:r>
    </w:p>
    <w:p w14:paraId="50E6B904">
      <w:pPr>
        <w:widowControl/>
        <w:spacing w:line="360" w:lineRule="auto"/>
        <w:ind w:firstLine="420"/>
        <w:jc w:val="left"/>
        <w:rPr>
          <w:rFonts w:hint="eastAsia" w:ascii="宋体" w:hAnsi="宋体" w:cs="宋体"/>
          <w:color w:val="000000"/>
          <w:sz w:val="22"/>
          <w:szCs w:val="22"/>
          <w:lang w:val="zh-CN"/>
        </w:rPr>
      </w:pPr>
      <w:r>
        <w:rPr>
          <w:rFonts w:hint="eastAsia" w:ascii="宋体" w:hAnsi="宋体" w:cs="宋体"/>
          <w:color w:val="000000"/>
          <w:sz w:val="22"/>
          <w:szCs w:val="22"/>
          <w:lang w:val="zh-CN"/>
        </w:rPr>
        <w:t>2、如果行数不够，请自行增加。</w:t>
      </w:r>
    </w:p>
    <w:p w14:paraId="224598D8">
      <w:pPr>
        <w:spacing w:line="240" w:lineRule="atLeast"/>
        <w:rPr>
          <w:rFonts w:hint="eastAsia" w:ascii="宋体" w:hAnsi="宋体" w:cs="宋体"/>
          <w:b/>
          <w:color w:val="000000"/>
          <w:sz w:val="22"/>
          <w:szCs w:val="22"/>
          <w:lang w:val="zh-CN"/>
        </w:rPr>
      </w:pPr>
    </w:p>
    <w:p w14:paraId="6A99CE85">
      <w:pPr>
        <w:widowControl/>
        <w:spacing w:line="460" w:lineRule="atLeast"/>
        <w:rPr>
          <w:rFonts w:hint="eastAsia" w:ascii="宋体" w:hAnsi="宋体" w:cs="宋体"/>
          <w:b/>
          <w:color w:val="000000"/>
          <w:sz w:val="22"/>
          <w:szCs w:val="22"/>
          <w:highlight w:val="yellow"/>
          <w:lang w:val="zh-CN"/>
        </w:rPr>
      </w:pPr>
    </w:p>
    <w:p w14:paraId="1DA8B5E0">
      <w:pPr>
        <w:widowControl/>
        <w:spacing w:line="460" w:lineRule="atLeast"/>
        <w:rPr>
          <w:rFonts w:hint="eastAsia" w:ascii="宋体" w:hAnsi="宋体" w:cs="宋体"/>
          <w:b/>
          <w:color w:val="000000"/>
          <w:sz w:val="22"/>
          <w:szCs w:val="22"/>
          <w:highlight w:val="yellow"/>
          <w:lang w:val="zh-CN"/>
        </w:rPr>
      </w:pPr>
    </w:p>
    <w:p w14:paraId="71BACC7C">
      <w:pPr>
        <w:pStyle w:val="42"/>
        <w:rPr>
          <w:rFonts w:hint="eastAsia" w:ascii="宋体" w:hAnsi="宋体" w:cs="宋体"/>
          <w:b/>
          <w:color w:val="000000"/>
          <w:sz w:val="22"/>
          <w:szCs w:val="22"/>
          <w:highlight w:val="yellow"/>
          <w:lang w:val="zh-CN"/>
        </w:rPr>
      </w:pPr>
    </w:p>
    <w:p w14:paraId="433A5DB9">
      <w:pPr>
        <w:pStyle w:val="42"/>
        <w:rPr>
          <w:rFonts w:hint="eastAsia" w:ascii="宋体" w:hAnsi="宋体" w:cs="宋体"/>
          <w:b/>
          <w:color w:val="000000"/>
          <w:sz w:val="22"/>
          <w:szCs w:val="22"/>
          <w:highlight w:val="yellow"/>
          <w:lang w:val="zh-CN"/>
        </w:rPr>
      </w:pPr>
    </w:p>
    <w:p w14:paraId="67281874">
      <w:pPr>
        <w:rPr>
          <w:rFonts w:hint="eastAsia" w:ascii="宋体" w:hAnsi="宋体" w:eastAsia="宋体" w:cs="Times New Roman"/>
          <w:b/>
          <w:sz w:val="22"/>
          <w:szCs w:val="22"/>
          <w:lang w:val="zh-CN" w:eastAsia="zh-CN" w:bidi="en-US"/>
        </w:rPr>
      </w:pPr>
      <w:r>
        <w:rPr>
          <w:rFonts w:hint="eastAsia" w:ascii="宋体" w:hAnsi="宋体" w:eastAsia="宋体" w:cs="Times New Roman"/>
          <w:b/>
          <w:sz w:val="22"/>
          <w:szCs w:val="22"/>
          <w:lang w:val="zh-CN" w:eastAsia="zh-CN" w:bidi="en-US"/>
        </w:rPr>
        <w:br w:type="page" w:clear="all"/>
      </w:r>
    </w:p>
    <w:p w14:paraId="25BB7519">
      <w:pPr>
        <w:keepNext w:val="0"/>
        <w:keepLines w:val="0"/>
        <w:pageBreakBefore w:val="0"/>
        <w:widowControl/>
        <w:spacing w:after="0" w:line="360" w:lineRule="auto"/>
        <w:jc w:val="both"/>
        <w:outlineLvl w:val="1"/>
        <w:rPr>
          <w:rFonts w:hint="eastAsia" w:ascii="宋体" w:hAnsi="宋体" w:eastAsia="宋体" w:cs="Times New Roman"/>
          <w:b/>
          <w:sz w:val="22"/>
          <w:szCs w:val="22"/>
          <w:lang w:val="zh-CN" w:eastAsia="zh-CN" w:bidi="en-US"/>
        </w:rPr>
      </w:pPr>
      <w:r>
        <w:rPr>
          <w:rFonts w:hint="eastAsia" w:ascii="宋体" w:hAnsi="宋体" w:eastAsia="宋体" w:cs="Times New Roman"/>
          <w:b/>
          <w:sz w:val="22"/>
          <w:szCs w:val="22"/>
          <w:lang w:val="zh-CN" w:eastAsia="zh-CN" w:bidi="en-US"/>
        </w:rPr>
        <w:t>目录八、养护设备设施</w:t>
      </w:r>
    </w:p>
    <w:p w14:paraId="18AC99FE">
      <w:pPr>
        <w:spacing w:line="240" w:lineRule="atLeast"/>
        <w:jc w:val="center"/>
        <w:rPr>
          <w:rFonts w:hint="eastAsia" w:ascii="宋体" w:hAnsi="宋体" w:cs="宋体"/>
          <w:b/>
          <w:sz w:val="22"/>
          <w:szCs w:val="22"/>
          <w:lang w:val="zh-CN" w:eastAsia="zh-CN"/>
        </w:rPr>
      </w:pPr>
      <w:r>
        <w:rPr>
          <w:rFonts w:hint="eastAsia" w:ascii="宋体" w:hAnsi="宋体" w:cs="宋体"/>
          <w:b/>
          <w:sz w:val="22"/>
          <w:szCs w:val="22"/>
          <w:lang w:val="zh-CN" w:eastAsia="zh-CN"/>
        </w:rPr>
        <w:t>（</w:t>
      </w:r>
      <w:r>
        <w:rPr>
          <w:rFonts w:hint="eastAsia" w:ascii="宋体" w:hAnsi="宋体" w:cs="宋体"/>
          <w:b/>
          <w:sz w:val="22"/>
          <w:szCs w:val="22"/>
          <w:lang w:val="en-US" w:eastAsia="zh-CN"/>
        </w:rPr>
        <w:t>供应商格式自拟</w:t>
      </w:r>
      <w:r>
        <w:rPr>
          <w:rFonts w:hint="eastAsia" w:ascii="宋体" w:hAnsi="宋体" w:cs="宋体"/>
          <w:b/>
          <w:sz w:val="22"/>
          <w:szCs w:val="22"/>
          <w:lang w:val="zh-CN" w:eastAsia="zh-CN"/>
        </w:rPr>
        <w:t>）</w:t>
      </w:r>
    </w:p>
    <w:p w14:paraId="43602B05">
      <w:pPr>
        <w:rPr>
          <w:rFonts w:hint="eastAsia" w:ascii="宋体" w:hAnsi="宋体" w:eastAsia="宋体" w:cs="Times New Roman"/>
          <w:b/>
          <w:sz w:val="22"/>
          <w:szCs w:val="22"/>
          <w:lang w:val="zh-CN" w:eastAsia="zh-CN" w:bidi="en-US"/>
        </w:rPr>
      </w:pPr>
      <w:r>
        <w:rPr>
          <w:rFonts w:hint="eastAsia" w:ascii="宋体" w:hAnsi="宋体" w:eastAsia="宋体" w:cs="Times New Roman"/>
          <w:b/>
          <w:sz w:val="22"/>
          <w:szCs w:val="22"/>
          <w:lang w:val="zh-CN" w:eastAsia="zh-CN" w:bidi="en-US"/>
        </w:rPr>
        <w:br w:type="page" w:clear="all"/>
      </w:r>
    </w:p>
    <w:p w14:paraId="09FE4526">
      <w:pPr>
        <w:keepNext w:val="0"/>
        <w:keepLines w:val="0"/>
        <w:pageBreakBefore w:val="0"/>
        <w:widowControl/>
        <w:spacing w:after="0" w:line="360" w:lineRule="auto"/>
        <w:jc w:val="both"/>
        <w:outlineLvl w:val="1"/>
        <w:rPr>
          <w:rFonts w:hint="eastAsia" w:ascii="宋体" w:hAnsi="宋体" w:eastAsia="宋体" w:cs="Times New Roman"/>
          <w:b/>
          <w:sz w:val="22"/>
          <w:szCs w:val="22"/>
          <w:lang w:val="zh-CN" w:eastAsia="zh-CN" w:bidi="en-US"/>
        </w:rPr>
      </w:pPr>
      <w:r>
        <w:rPr>
          <w:rFonts w:hint="eastAsia" w:ascii="宋体" w:hAnsi="宋体" w:eastAsia="宋体" w:cs="Times New Roman"/>
          <w:b/>
          <w:sz w:val="22"/>
          <w:szCs w:val="22"/>
          <w:lang w:val="zh-CN" w:eastAsia="zh-CN" w:bidi="en-US"/>
        </w:rPr>
        <w:t>目录九、</w:t>
      </w:r>
      <w:r>
        <w:rPr>
          <w:rFonts w:hint="eastAsia" w:ascii="宋体" w:hAnsi="宋体" w:cs="宋体"/>
          <w:b/>
          <w:sz w:val="22"/>
          <w:szCs w:val="22"/>
        </w:rPr>
        <w:t>拟参与本项目</w:t>
      </w:r>
      <w:r>
        <w:rPr>
          <w:rFonts w:hint="eastAsia" w:ascii="宋体" w:hAnsi="宋体" w:cs="宋体"/>
          <w:b/>
          <w:bCs/>
          <w:sz w:val="22"/>
          <w:szCs w:val="22"/>
        </w:rPr>
        <w:t>技术人员</w:t>
      </w:r>
    </w:p>
    <w:p w14:paraId="7553A3DA">
      <w:pPr>
        <w:spacing w:line="240" w:lineRule="atLeast"/>
        <w:rPr>
          <w:rFonts w:hint="eastAsia" w:ascii="宋体" w:hAnsi="宋体" w:cs="宋体"/>
          <w:b/>
          <w:color w:val="000000"/>
          <w:sz w:val="22"/>
          <w:szCs w:val="22"/>
          <w:lang w:val="zh-CN"/>
        </w:rPr>
      </w:pPr>
    </w:p>
    <w:p w14:paraId="2C429340">
      <w:pPr>
        <w:widowControl/>
        <w:spacing w:line="360" w:lineRule="auto"/>
        <w:ind w:left="420"/>
        <w:jc w:val="center"/>
        <w:rPr>
          <w:rFonts w:hint="eastAsia" w:ascii="宋体" w:hAnsi="宋体" w:cs="宋体"/>
          <w:b/>
          <w:sz w:val="22"/>
          <w:szCs w:val="22"/>
        </w:rPr>
      </w:pPr>
      <w:r>
        <w:rPr>
          <w:rFonts w:hint="eastAsia" w:ascii="宋体" w:hAnsi="宋体" w:cs="宋体"/>
          <w:b/>
          <w:sz w:val="22"/>
          <w:szCs w:val="22"/>
        </w:rPr>
        <w:t>拟参与本项目</w:t>
      </w:r>
      <w:r>
        <w:rPr>
          <w:rFonts w:hint="eastAsia" w:ascii="宋体" w:hAnsi="宋体" w:cs="宋体"/>
          <w:b/>
          <w:bCs/>
          <w:sz w:val="22"/>
          <w:szCs w:val="22"/>
        </w:rPr>
        <w:t>技术人员保障</w:t>
      </w:r>
      <w:r>
        <w:rPr>
          <w:rFonts w:hint="eastAsia" w:ascii="宋体" w:hAnsi="宋体" w:cs="宋体"/>
          <w:b/>
          <w:sz w:val="22"/>
          <w:szCs w:val="22"/>
        </w:rPr>
        <w:t>一览表</w:t>
      </w:r>
    </w:p>
    <w:p w14:paraId="44FAEBEF">
      <w:pPr>
        <w:pStyle w:val="42"/>
        <w:ind w:firstLine="400"/>
        <w:rPr>
          <w:rFonts w:hint="eastAsia"/>
          <w:sz w:val="22"/>
          <w:szCs w:val="22"/>
        </w:rPr>
      </w:pPr>
    </w:p>
    <w:p w14:paraId="7268479D">
      <w:pPr>
        <w:widowControl/>
        <w:ind w:firstLine="420"/>
        <w:rPr>
          <w:rFonts w:hint="eastAsia" w:ascii="宋体" w:hAnsi="宋体" w:cs="宋体"/>
          <w:b/>
          <w:bCs/>
          <w:sz w:val="22"/>
          <w:szCs w:val="22"/>
        </w:rPr>
      </w:pPr>
      <w:r>
        <w:rPr>
          <w:rFonts w:hint="eastAsia" w:ascii="宋体" w:hAnsi="宋体" w:cs="宋体"/>
          <w:sz w:val="22"/>
          <w:szCs w:val="22"/>
        </w:rPr>
        <w:t>项目名称：                                 项目编号：</w:t>
      </w:r>
    </w:p>
    <w:tbl>
      <w:tblPr>
        <w:tblStyle w:val="35"/>
        <w:tblpPr w:leftFromText="180" w:rightFromText="180" w:vertAnchor="text" w:horzAnchor="page" w:tblpX="1420" w:tblpY="259"/>
        <w:tblW w:w="0" w:type="auto"/>
        <w:tblInd w:w="-108" w:type="dxa"/>
        <w:tblLayout w:type="fixed"/>
        <w:tblCellMar>
          <w:top w:w="0" w:type="dxa"/>
          <w:left w:w="108" w:type="dxa"/>
          <w:bottom w:w="0" w:type="dxa"/>
          <w:right w:w="108" w:type="dxa"/>
        </w:tblCellMar>
      </w:tblPr>
      <w:tblGrid>
        <w:gridCol w:w="1075"/>
        <w:gridCol w:w="2347"/>
        <w:gridCol w:w="4455"/>
        <w:gridCol w:w="1785"/>
      </w:tblGrid>
      <w:tr w14:paraId="7500FCEA">
        <w:tblPrEx>
          <w:tblCellMar>
            <w:top w:w="0" w:type="dxa"/>
            <w:left w:w="108" w:type="dxa"/>
            <w:bottom w:w="0" w:type="dxa"/>
            <w:right w:w="108" w:type="dxa"/>
          </w:tblCellMar>
        </w:tblPrEx>
        <w:trPr>
          <w:trHeight w:val="567" w:hRule="atLeast"/>
        </w:trPr>
        <w:tc>
          <w:tcPr>
            <w:tcW w:w="1075" w:type="dxa"/>
            <w:tcBorders>
              <w:top w:val="single" w:color="000000" w:sz="4" w:space="0"/>
              <w:left w:val="single" w:color="000000" w:sz="4" w:space="0"/>
              <w:bottom w:val="single" w:color="000000" w:sz="4" w:space="0"/>
              <w:right w:val="single" w:color="000000" w:sz="4" w:space="0"/>
            </w:tcBorders>
            <w:noWrap w:val="0"/>
            <w:vAlign w:val="center"/>
          </w:tcPr>
          <w:p w14:paraId="081235A8">
            <w:pPr>
              <w:widowControl/>
              <w:jc w:val="center"/>
              <w:rPr>
                <w:rFonts w:hint="eastAsia" w:ascii="宋体" w:hAnsi="宋体" w:cs="宋体"/>
                <w:b/>
                <w:bCs/>
                <w:sz w:val="22"/>
                <w:szCs w:val="22"/>
              </w:rPr>
            </w:pPr>
            <w:r>
              <w:rPr>
                <w:rFonts w:hint="eastAsia" w:ascii="宋体" w:hAnsi="宋体" w:cs="宋体"/>
                <w:b/>
                <w:bCs/>
                <w:sz w:val="22"/>
                <w:szCs w:val="22"/>
              </w:rPr>
              <w:t>序号</w:t>
            </w:r>
          </w:p>
        </w:tc>
        <w:tc>
          <w:tcPr>
            <w:tcW w:w="2347" w:type="dxa"/>
            <w:tcBorders>
              <w:top w:val="single" w:color="000000" w:sz="4" w:space="0"/>
              <w:left w:val="nil"/>
              <w:bottom w:val="single" w:color="000000" w:sz="4" w:space="0"/>
              <w:right w:val="single" w:color="000000" w:sz="4" w:space="0"/>
            </w:tcBorders>
            <w:noWrap w:val="0"/>
            <w:vAlign w:val="center"/>
          </w:tcPr>
          <w:p w14:paraId="5B8E5718">
            <w:pPr>
              <w:widowControl/>
              <w:jc w:val="center"/>
              <w:rPr>
                <w:rFonts w:hint="eastAsia" w:ascii="宋体" w:hAnsi="宋体" w:cs="宋体"/>
                <w:b/>
                <w:bCs/>
                <w:sz w:val="22"/>
                <w:szCs w:val="22"/>
              </w:rPr>
            </w:pPr>
            <w:r>
              <w:rPr>
                <w:rFonts w:hint="eastAsia" w:ascii="宋体" w:hAnsi="宋体" w:cs="宋体"/>
                <w:b/>
                <w:bCs/>
                <w:sz w:val="22"/>
                <w:szCs w:val="22"/>
              </w:rPr>
              <w:t>姓名</w:t>
            </w:r>
          </w:p>
        </w:tc>
        <w:tc>
          <w:tcPr>
            <w:tcW w:w="4455" w:type="dxa"/>
            <w:tcBorders>
              <w:top w:val="single" w:color="000000" w:sz="4" w:space="0"/>
              <w:left w:val="nil"/>
              <w:bottom w:val="single" w:color="000000" w:sz="4" w:space="0"/>
              <w:right w:val="single" w:color="000000" w:sz="4" w:space="0"/>
            </w:tcBorders>
            <w:noWrap w:val="0"/>
            <w:vAlign w:val="center"/>
          </w:tcPr>
          <w:p w14:paraId="41012325">
            <w:pPr>
              <w:widowControl/>
              <w:jc w:val="center"/>
              <w:rPr>
                <w:rFonts w:ascii="宋体" w:hAnsi="宋体" w:cs="宋体"/>
                <w:b/>
                <w:bCs/>
                <w:sz w:val="22"/>
                <w:szCs w:val="22"/>
                <w:highlight w:val="none"/>
              </w:rPr>
            </w:pPr>
            <w:r>
              <w:rPr>
                <w:rFonts w:hint="eastAsia" w:ascii="宋体" w:hAnsi="宋体" w:cs="宋体"/>
                <w:b/>
                <w:bCs/>
                <w:sz w:val="22"/>
                <w:szCs w:val="22"/>
                <w:highlight w:val="none"/>
                <w:lang w:val="en-US" w:eastAsia="zh-CN"/>
              </w:rPr>
              <w:t>证书</w:t>
            </w:r>
            <w:r>
              <w:rPr>
                <w:rFonts w:hint="eastAsia" w:ascii="宋体" w:hAnsi="宋体" w:cs="宋体"/>
                <w:b/>
                <w:bCs/>
                <w:sz w:val="22"/>
                <w:szCs w:val="22"/>
                <w:highlight w:val="none"/>
              </w:rPr>
              <w:t>类别</w:t>
            </w:r>
          </w:p>
        </w:tc>
        <w:tc>
          <w:tcPr>
            <w:tcW w:w="1785" w:type="dxa"/>
            <w:tcBorders>
              <w:top w:val="single" w:color="000000" w:sz="4" w:space="0"/>
              <w:left w:val="nil"/>
              <w:bottom w:val="single" w:color="000000" w:sz="4" w:space="0"/>
              <w:right w:val="single" w:color="000000" w:sz="4" w:space="0"/>
            </w:tcBorders>
            <w:noWrap w:val="0"/>
            <w:vAlign w:val="center"/>
          </w:tcPr>
          <w:p w14:paraId="761A79CB">
            <w:pPr>
              <w:widowControl/>
              <w:jc w:val="center"/>
              <w:rPr>
                <w:rFonts w:hint="eastAsia" w:ascii="宋体" w:hAnsi="宋体" w:cs="宋体"/>
                <w:b/>
                <w:bCs/>
                <w:sz w:val="22"/>
                <w:szCs w:val="22"/>
              </w:rPr>
            </w:pPr>
            <w:r>
              <w:rPr>
                <w:rFonts w:hint="eastAsia" w:ascii="宋体" w:hAnsi="宋体" w:cs="宋体"/>
                <w:b/>
                <w:bCs/>
                <w:sz w:val="22"/>
                <w:szCs w:val="22"/>
              </w:rPr>
              <w:t>备注</w:t>
            </w:r>
          </w:p>
        </w:tc>
      </w:tr>
      <w:tr w14:paraId="335AD82B">
        <w:tblPrEx>
          <w:tblCellMar>
            <w:top w:w="0" w:type="dxa"/>
            <w:left w:w="108" w:type="dxa"/>
            <w:bottom w:w="0" w:type="dxa"/>
            <w:right w:w="108" w:type="dxa"/>
          </w:tblCellMar>
        </w:tblPrEx>
        <w:trPr>
          <w:trHeight w:val="567" w:hRule="atLeast"/>
        </w:trPr>
        <w:tc>
          <w:tcPr>
            <w:tcW w:w="1075" w:type="dxa"/>
            <w:tcBorders>
              <w:top w:val="single" w:color="000000" w:sz="4" w:space="0"/>
              <w:left w:val="single" w:color="000000" w:sz="4" w:space="0"/>
              <w:bottom w:val="single" w:color="000000" w:sz="4" w:space="0"/>
              <w:right w:val="single" w:color="000000" w:sz="4" w:space="0"/>
            </w:tcBorders>
            <w:noWrap w:val="0"/>
            <w:vAlign w:val="center"/>
          </w:tcPr>
          <w:p w14:paraId="047B22CE">
            <w:pPr>
              <w:widowControl/>
              <w:jc w:val="center"/>
              <w:rPr>
                <w:rFonts w:hint="eastAsia" w:ascii="宋体" w:hAnsi="宋体" w:cs="宋体"/>
                <w:sz w:val="22"/>
                <w:szCs w:val="22"/>
              </w:rPr>
            </w:pPr>
            <w:r>
              <w:rPr>
                <w:rFonts w:hint="eastAsia" w:ascii="宋体" w:hAnsi="宋体" w:cs="宋体"/>
                <w:sz w:val="22"/>
                <w:szCs w:val="22"/>
              </w:rPr>
              <w:t>1</w:t>
            </w:r>
          </w:p>
        </w:tc>
        <w:tc>
          <w:tcPr>
            <w:tcW w:w="2347" w:type="dxa"/>
            <w:tcBorders>
              <w:top w:val="single" w:color="000000" w:sz="4" w:space="0"/>
              <w:left w:val="nil"/>
              <w:bottom w:val="single" w:color="000000" w:sz="4" w:space="0"/>
              <w:right w:val="single" w:color="000000" w:sz="4" w:space="0"/>
            </w:tcBorders>
            <w:noWrap w:val="0"/>
            <w:vAlign w:val="top"/>
          </w:tcPr>
          <w:p w14:paraId="24430EA0">
            <w:pPr>
              <w:widowControl/>
              <w:rPr>
                <w:rFonts w:hint="eastAsia" w:ascii="宋体" w:hAnsi="宋体" w:cs="宋体"/>
                <w:sz w:val="22"/>
                <w:szCs w:val="22"/>
              </w:rPr>
            </w:pPr>
          </w:p>
        </w:tc>
        <w:tc>
          <w:tcPr>
            <w:tcW w:w="4455" w:type="dxa"/>
            <w:tcBorders>
              <w:top w:val="single" w:color="000000" w:sz="4" w:space="0"/>
              <w:left w:val="nil"/>
              <w:bottom w:val="single" w:color="000000" w:sz="4" w:space="0"/>
              <w:right w:val="single" w:color="000000" w:sz="4" w:space="0"/>
            </w:tcBorders>
            <w:noWrap w:val="0"/>
            <w:vAlign w:val="top"/>
          </w:tcPr>
          <w:p w14:paraId="759F623A">
            <w:pPr>
              <w:widowControl/>
              <w:rPr>
                <w:rFonts w:hint="eastAsia" w:ascii="宋体" w:hAnsi="宋体" w:cs="宋体"/>
                <w:sz w:val="22"/>
                <w:szCs w:val="22"/>
                <w:highlight w:val="none"/>
              </w:rPr>
            </w:pPr>
          </w:p>
        </w:tc>
        <w:tc>
          <w:tcPr>
            <w:tcW w:w="1785" w:type="dxa"/>
            <w:tcBorders>
              <w:top w:val="single" w:color="000000" w:sz="4" w:space="0"/>
              <w:left w:val="nil"/>
              <w:bottom w:val="single" w:color="000000" w:sz="4" w:space="0"/>
              <w:right w:val="single" w:color="000000" w:sz="4" w:space="0"/>
            </w:tcBorders>
            <w:noWrap w:val="0"/>
            <w:vAlign w:val="top"/>
          </w:tcPr>
          <w:p w14:paraId="432165B7">
            <w:pPr>
              <w:widowControl/>
              <w:rPr>
                <w:rFonts w:hint="eastAsia" w:ascii="宋体" w:hAnsi="宋体" w:cs="宋体"/>
                <w:sz w:val="22"/>
                <w:szCs w:val="22"/>
              </w:rPr>
            </w:pPr>
          </w:p>
        </w:tc>
      </w:tr>
      <w:tr w14:paraId="15CB8284">
        <w:tblPrEx>
          <w:tblCellMar>
            <w:top w:w="0" w:type="dxa"/>
            <w:left w:w="108" w:type="dxa"/>
            <w:bottom w:w="0" w:type="dxa"/>
            <w:right w:w="108" w:type="dxa"/>
          </w:tblCellMar>
        </w:tblPrEx>
        <w:trPr>
          <w:trHeight w:val="567" w:hRule="atLeast"/>
        </w:trPr>
        <w:tc>
          <w:tcPr>
            <w:tcW w:w="1075" w:type="dxa"/>
            <w:tcBorders>
              <w:top w:val="single" w:color="000000" w:sz="4" w:space="0"/>
              <w:left w:val="single" w:color="000000" w:sz="4" w:space="0"/>
              <w:bottom w:val="single" w:color="000000" w:sz="4" w:space="0"/>
              <w:right w:val="single" w:color="000000" w:sz="4" w:space="0"/>
            </w:tcBorders>
            <w:noWrap w:val="0"/>
            <w:vAlign w:val="center"/>
          </w:tcPr>
          <w:p w14:paraId="5BA337E3">
            <w:pPr>
              <w:widowControl/>
              <w:jc w:val="center"/>
              <w:rPr>
                <w:rFonts w:hint="eastAsia" w:ascii="宋体" w:hAnsi="宋体" w:cs="宋体"/>
                <w:sz w:val="22"/>
                <w:szCs w:val="22"/>
              </w:rPr>
            </w:pPr>
            <w:r>
              <w:rPr>
                <w:rFonts w:hint="eastAsia" w:ascii="宋体" w:hAnsi="宋体" w:cs="宋体"/>
                <w:sz w:val="22"/>
                <w:szCs w:val="22"/>
              </w:rPr>
              <w:t>2</w:t>
            </w:r>
          </w:p>
        </w:tc>
        <w:tc>
          <w:tcPr>
            <w:tcW w:w="2347" w:type="dxa"/>
            <w:tcBorders>
              <w:top w:val="single" w:color="000000" w:sz="4" w:space="0"/>
              <w:left w:val="nil"/>
              <w:bottom w:val="single" w:color="000000" w:sz="4" w:space="0"/>
              <w:right w:val="single" w:color="000000" w:sz="4" w:space="0"/>
            </w:tcBorders>
            <w:noWrap w:val="0"/>
            <w:vAlign w:val="top"/>
          </w:tcPr>
          <w:p w14:paraId="5BF92DD2">
            <w:pPr>
              <w:widowControl/>
              <w:rPr>
                <w:rFonts w:hint="eastAsia" w:ascii="宋体" w:hAnsi="宋体" w:cs="宋体"/>
                <w:sz w:val="22"/>
                <w:szCs w:val="22"/>
              </w:rPr>
            </w:pPr>
          </w:p>
        </w:tc>
        <w:tc>
          <w:tcPr>
            <w:tcW w:w="4455" w:type="dxa"/>
            <w:tcBorders>
              <w:top w:val="single" w:color="000000" w:sz="4" w:space="0"/>
              <w:left w:val="nil"/>
              <w:bottom w:val="single" w:color="000000" w:sz="4" w:space="0"/>
              <w:right w:val="single" w:color="000000" w:sz="4" w:space="0"/>
            </w:tcBorders>
            <w:noWrap w:val="0"/>
            <w:vAlign w:val="top"/>
          </w:tcPr>
          <w:p w14:paraId="1BC3B615">
            <w:pPr>
              <w:widowControl/>
              <w:rPr>
                <w:rFonts w:hint="eastAsia" w:ascii="宋体" w:hAnsi="宋体" w:cs="宋体"/>
                <w:sz w:val="22"/>
                <w:szCs w:val="22"/>
                <w:highlight w:val="yellow"/>
              </w:rPr>
            </w:pPr>
          </w:p>
        </w:tc>
        <w:tc>
          <w:tcPr>
            <w:tcW w:w="1785" w:type="dxa"/>
            <w:tcBorders>
              <w:top w:val="single" w:color="000000" w:sz="4" w:space="0"/>
              <w:left w:val="nil"/>
              <w:bottom w:val="single" w:color="000000" w:sz="4" w:space="0"/>
              <w:right w:val="single" w:color="000000" w:sz="4" w:space="0"/>
            </w:tcBorders>
            <w:noWrap w:val="0"/>
            <w:vAlign w:val="top"/>
          </w:tcPr>
          <w:p w14:paraId="7CD73B54">
            <w:pPr>
              <w:widowControl/>
              <w:rPr>
                <w:rFonts w:hint="eastAsia" w:ascii="宋体" w:hAnsi="宋体" w:cs="宋体"/>
                <w:sz w:val="22"/>
                <w:szCs w:val="22"/>
              </w:rPr>
            </w:pPr>
          </w:p>
        </w:tc>
      </w:tr>
      <w:tr w14:paraId="5B56319F">
        <w:tblPrEx>
          <w:tblCellMar>
            <w:top w:w="0" w:type="dxa"/>
            <w:left w:w="108" w:type="dxa"/>
            <w:bottom w:w="0" w:type="dxa"/>
            <w:right w:w="108" w:type="dxa"/>
          </w:tblCellMar>
        </w:tblPrEx>
        <w:trPr>
          <w:trHeight w:val="567" w:hRule="atLeast"/>
        </w:trPr>
        <w:tc>
          <w:tcPr>
            <w:tcW w:w="1075" w:type="dxa"/>
            <w:tcBorders>
              <w:top w:val="single" w:color="000000" w:sz="4" w:space="0"/>
              <w:left w:val="single" w:color="000000" w:sz="4" w:space="0"/>
              <w:bottom w:val="single" w:color="000000" w:sz="4" w:space="0"/>
              <w:right w:val="single" w:color="000000" w:sz="4" w:space="0"/>
            </w:tcBorders>
            <w:noWrap w:val="0"/>
            <w:vAlign w:val="center"/>
          </w:tcPr>
          <w:p w14:paraId="6D356C5A">
            <w:pPr>
              <w:widowControl/>
              <w:jc w:val="center"/>
              <w:rPr>
                <w:rFonts w:hint="eastAsia" w:ascii="宋体" w:hAnsi="宋体" w:cs="宋体"/>
                <w:sz w:val="22"/>
                <w:szCs w:val="22"/>
              </w:rPr>
            </w:pPr>
            <w:r>
              <w:rPr>
                <w:rFonts w:hint="eastAsia" w:ascii="宋体" w:hAnsi="宋体" w:cs="宋体"/>
                <w:sz w:val="22"/>
                <w:szCs w:val="22"/>
              </w:rPr>
              <w:t>3</w:t>
            </w:r>
          </w:p>
        </w:tc>
        <w:tc>
          <w:tcPr>
            <w:tcW w:w="2347" w:type="dxa"/>
            <w:tcBorders>
              <w:top w:val="single" w:color="000000" w:sz="4" w:space="0"/>
              <w:left w:val="nil"/>
              <w:bottom w:val="single" w:color="000000" w:sz="4" w:space="0"/>
              <w:right w:val="single" w:color="000000" w:sz="4" w:space="0"/>
            </w:tcBorders>
            <w:noWrap w:val="0"/>
            <w:vAlign w:val="top"/>
          </w:tcPr>
          <w:p w14:paraId="536D421D">
            <w:pPr>
              <w:widowControl/>
              <w:rPr>
                <w:rFonts w:hint="eastAsia" w:ascii="宋体" w:hAnsi="宋体" w:cs="宋体"/>
                <w:sz w:val="22"/>
                <w:szCs w:val="22"/>
              </w:rPr>
            </w:pPr>
          </w:p>
        </w:tc>
        <w:tc>
          <w:tcPr>
            <w:tcW w:w="4455" w:type="dxa"/>
            <w:tcBorders>
              <w:top w:val="single" w:color="000000" w:sz="4" w:space="0"/>
              <w:left w:val="nil"/>
              <w:bottom w:val="single" w:color="000000" w:sz="4" w:space="0"/>
              <w:right w:val="single" w:color="000000" w:sz="4" w:space="0"/>
            </w:tcBorders>
            <w:noWrap w:val="0"/>
            <w:vAlign w:val="top"/>
          </w:tcPr>
          <w:p w14:paraId="403A8624">
            <w:pPr>
              <w:widowControl/>
              <w:rPr>
                <w:rFonts w:hint="eastAsia" w:ascii="宋体" w:hAnsi="宋体" w:cs="宋体"/>
                <w:sz w:val="22"/>
                <w:szCs w:val="22"/>
                <w:highlight w:val="yellow"/>
              </w:rPr>
            </w:pPr>
          </w:p>
        </w:tc>
        <w:tc>
          <w:tcPr>
            <w:tcW w:w="1785" w:type="dxa"/>
            <w:tcBorders>
              <w:top w:val="single" w:color="000000" w:sz="4" w:space="0"/>
              <w:left w:val="nil"/>
              <w:bottom w:val="single" w:color="000000" w:sz="4" w:space="0"/>
              <w:right w:val="single" w:color="000000" w:sz="4" w:space="0"/>
            </w:tcBorders>
            <w:noWrap w:val="0"/>
            <w:vAlign w:val="top"/>
          </w:tcPr>
          <w:p w14:paraId="3CCAF744">
            <w:pPr>
              <w:widowControl/>
              <w:rPr>
                <w:rFonts w:hint="eastAsia" w:ascii="宋体" w:hAnsi="宋体" w:cs="宋体"/>
                <w:sz w:val="22"/>
                <w:szCs w:val="22"/>
              </w:rPr>
            </w:pPr>
          </w:p>
        </w:tc>
      </w:tr>
      <w:tr w14:paraId="65488F36">
        <w:tblPrEx>
          <w:tblCellMar>
            <w:top w:w="0" w:type="dxa"/>
            <w:left w:w="108" w:type="dxa"/>
            <w:bottom w:w="0" w:type="dxa"/>
            <w:right w:w="108" w:type="dxa"/>
          </w:tblCellMar>
        </w:tblPrEx>
        <w:trPr>
          <w:trHeight w:val="567" w:hRule="atLeast"/>
        </w:trPr>
        <w:tc>
          <w:tcPr>
            <w:tcW w:w="1075" w:type="dxa"/>
            <w:tcBorders>
              <w:top w:val="single" w:color="000000" w:sz="4" w:space="0"/>
              <w:left w:val="single" w:color="000000" w:sz="4" w:space="0"/>
              <w:bottom w:val="single" w:color="000000" w:sz="4" w:space="0"/>
              <w:right w:val="single" w:color="000000" w:sz="4" w:space="0"/>
            </w:tcBorders>
            <w:noWrap w:val="0"/>
            <w:vAlign w:val="center"/>
          </w:tcPr>
          <w:p w14:paraId="0142D9A4">
            <w:pPr>
              <w:widowControl/>
              <w:jc w:val="center"/>
              <w:rPr>
                <w:rFonts w:ascii="宋体" w:hAnsi="宋体" w:cs="宋体"/>
                <w:sz w:val="22"/>
                <w:szCs w:val="22"/>
              </w:rPr>
            </w:pPr>
            <w:r>
              <w:rPr>
                <w:rFonts w:hint="eastAsia" w:ascii="宋体" w:hAnsi="宋体" w:cs="宋体"/>
                <w:sz w:val="22"/>
                <w:szCs w:val="22"/>
              </w:rPr>
              <w:t>......</w:t>
            </w:r>
          </w:p>
        </w:tc>
        <w:tc>
          <w:tcPr>
            <w:tcW w:w="2347" w:type="dxa"/>
            <w:tcBorders>
              <w:top w:val="single" w:color="000000" w:sz="4" w:space="0"/>
              <w:left w:val="nil"/>
              <w:bottom w:val="single" w:color="000000" w:sz="4" w:space="0"/>
              <w:right w:val="single" w:color="000000" w:sz="4" w:space="0"/>
            </w:tcBorders>
            <w:noWrap w:val="0"/>
            <w:vAlign w:val="top"/>
          </w:tcPr>
          <w:p w14:paraId="2E2E6043">
            <w:pPr>
              <w:widowControl/>
              <w:rPr>
                <w:rFonts w:hint="eastAsia" w:ascii="宋体" w:hAnsi="宋体" w:cs="宋体"/>
                <w:sz w:val="22"/>
                <w:szCs w:val="22"/>
              </w:rPr>
            </w:pPr>
          </w:p>
        </w:tc>
        <w:tc>
          <w:tcPr>
            <w:tcW w:w="4455" w:type="dxa"/>
            <w:tcBorders>
              <w:top w:val="single" w:color="000000" w:sz="4" w:space="0"/>
              <w:left w:val="nil"/>
              <w:bottom w:val="single" w:color="000000" w:sz="4" w:space="0"/>
              <w:right w:val="single" w:color="000000" w:sz="4" w:space="0"/>
            </w:tcBorders>
            <w:noWrap w:val="0"/>
            <w:vAlign w:val="top"/>
          </w:tcPr>
          <w:p w14:paraId="64B8A5C4">
            <w:pPr>
              <w:widowControl/>
              <w:rPr>
                <w:rFonts w:hint="eastAsia" w:ascii="宋体" w:hAnsi="宋体" w:cs="宋体"/>
                <w:sz w:val="22"/>
                <w:szCs w:val="22"/>
                <w:highlight w:val="yellow"/>
              </w:rPr>
            </w:pPr>
          </w:p>
        </w:tc>
        <w:tc>
          <w:tcPr>
            <w:tcW w:w="1785" w:type="dxa"/>
            <w:tcBorders>
              <w:top w:val="single" w:color="000000" w:sz="4" w:space="0"/>
              <w:left w:val="nil"/>
              <w:bottom w:val="single" w:color="000000" w:sz="4" w:space="0"/>
              <w:right w:val="single" w:color="000000" w:sz="4" w:space="0"/>
            </w:tcBorders>
            <w:noWrap w:val="0"/>
            <w:vAlign w:val="top"/>
          </w:tcPr>
          <w:p w14:paraId="5A8AA2B5">
            <w:pPr>
              <w:widowControl/>
              <w:rPr>
                <w:rFonts w:hint="eastAsia" w:ascii="宋体" w:hAnsi="宋体" w:cs="宋体"/>
                <w:sz w:val="22"/>
                <w:szCs w:val="22"/>
              </w:rPr>
            </w:pPr>
          </w:p>
        </w:tc>
      </w:tr>
      <w:tr w14:paraId="1B3F59AF">
        <w:tblPrEx>
          <w:tblCellMar>
            <w:top w:w="0" w:type="dxa"/>
            <w:left w:w="108" w:type="dxa"/>
            <w:bottom w:w="0" w:type="dxa"/>
            <w:right w:w="108" w:type="dxa"/>
          </w:tblCellMar>
        </w:tblPrEx>
        <w:trPr>
          <w:trHeight w:val="567" w:hRule="atLeast"/>
        </w:trPr>
        <w:tc>
          <w:tcPr>
            <w:tcW w:w="1075" w:type="dxa"/>
            <w:tcBorders>
              <w:top w:val="single" w:color="000000" w:sz="4" w:space="0"/>
              <w:left w:val="single" w:color="000000" w:sz="4" w:space="0"/>
              <w:bottom w:val="single" w:color="000000" w:sz="4" w:space="0"/>
              <w:right w:val="single" w:color="000000" w:sz="4" w:space="0"/>
            </w:tcBorders>
            <w:noWrap w:val="0"/>
            <w:vAlign w:val="center"/>
          </w:tcPr>
          <w:p w14:paraId="5989DED6">
            <w:pPr>
              <w:widowControl/>
              <w:jc w:val="center"/>
              <w:rPr>
                <w:rFonts w:hint="eastAsia" w:ascii="宋体" w:hAnsi="宋体" w:cs="宋体"/>
                <w:b/>
                <w:bCs/>
                <w:sz w:val="22"/>
                <w:szCs w:val="22"/>
              </w:rPr>
            </w:pPr>
            <w:r>
              <w:rPr>
                <w:rFonts w:hint="eastAsia" w:ascii="宋体" w:hAnsi="宋体" w:cs="宋体"/>
                <w:b/>
                <w:bCs/>
                <w:sz w:val="22"/>
                <w:szCs w:val="22"/>
              </w:rPr>
              <w:t>序号</w:t>
            </w:r>
          </w:p>
        </w:tc>
        <w:tc>
          <w:tcPr>
            <w:tcW w:w="2347" w:type="dxa"/>
            <w:tcBorders>
              <w:top w:val="single" w:color="000000" w:sz="4" w:space="0"/>
              <w:left w:val="nil"/>
              <w:bottom w:val="single" w:color="000000" w:sz="4" w:space="0"/>
              <w:right w:val="single" w:color="000000" w:sz="4" w:space="0"/>
            </w:tcBorders>
            <w:noWrap w:val="0"/>
            <w:vAlign w:val="center"/>
          </w:tcPr>
          <w:p w14:paraId="115F1BC5">
            <w:pPr>
              <w:widowControl/>
              <w:jc w:val="center"/>
              <w:rPr>
                <w:rFonts w:hint="eastAsia" w:ascii="宋体" w:hAnsi="宋体" w:cs="宋体"/>
                <w:b/>
                <w:bCs/>
                <w:sz w:val="22"/>
                <w:szCs w:val="22"/>
              </w:rPr>
            </w:pPr>
            <w:r>
              <w:rPr>
                <w:rFonts w:hint="eastAsia" w:ascii="宋体" w:hAnsi="宋体" w:cs="宋体"/>
                <w:b/>
                <w:bCs/>
                <w:sz w:val="22"/>
                <w:szCs w:val="22"/>
              </w:rPr>
              <w:t>姓名</w:t>
            </w:r>
          </w:p>
        </w:tc>
        <w:tc>
          <w:tcPr>
            <w:tcW w:w="4455" w:type="dxa"/>
            <w:tcBorders>
              <w:top w:val="single" w:color="000000" w:sz="4" w:space="0"/>
              <w:left w:val="nil"/>
              <w:bottom w:val="single" w:color="000000" w:sz="4" w:space="0"/>
              <w:right w:val="single" w:color="000000" w:sz="4" w:space="0"/>
            </w:tcBorders>
            <w:noWrap w:val="0"/>
            <w:vAlign w:val="center"/>
          </w:tcPr>
          <w:p w14:paraId="3EDCAECF">
            <w:pPr>
              <w:widowControl/>
              <w:jc w:val="center"/>
              <w:rPr>
                <w:rFonts w:hint="eastAsia" w:ascii="宋体" w:hAnsi="宋体" w:cs="宋体"/>
                <w:b/>
                <w:bCs/>
                <w:sz w:val="22"/>
                <w:szCs w:val="22"/>
                <w:highlight w:val="yellow"/>
              </w:rPr>
            </w:pPr>
          </w:p>
        </w:tc>
        <w:tc>
          <w:tcPr>
            <w:tcW w:w="1785" w:type="dxa"/>
            <w:tcBorders>
              <w:top w:val="single" w:color="000000" w:sz="4" w:space="0"/>
              <w:left w:val="nil"/>
              <w:bottom w:val="single" w:color="000000" w:sz="4" w:space="0"/>
              <w:right w:val="single" w:color="000000" w:sz="4" w:space="0"/>
            </w:tcBorders>
            <w:noWrap w:val="0"/>
            <w:vAlign w:val="center"/>
          </w:tcPr>
          <w:p w14:paraId="238CEB72">
            <w:pPr>
              <w:widowControl/>
              <w:jc w:val="center"/>
              <w:rPr>
                <w:rFonts w:hint="eastAsia" w:ascii="宋体" w:hAnsi="宋体" w:cs="宋体"/>
                <w:b/>
                <w:bCs/>
                <w:sz w:val="22"/>
                <w:szCs w:val="22"/>
              </w:rPr>
            </w:pPr>
            <w:r>
              <w:rPr>
                <w:rFonts w:hint="eastAsia" w:ascii="宋体" w:hAnsi="宋体" w:cs="宋体"/>
                <w:b/>
                <w:bCs/>
                <w:sz w:val="22"/>
                <w:szCs w:val="22"/>
              </w:rPr>
              <w:t>备注</w:t>
            </w:r>
          </w:p>
        </w:tc>
      </w:tr>
      <w:tr w14:paraId="7F358738">
        <w:tblPrEx>
          <w:tblCellMar>
            <w:top w:w="0" w:type="dxa"/>
            <w:left w:w="108" w:type="dxa"/>
            <w:bottom w:w="0" w:type="dxa"/>
            <w:right w:w="108" w:type="dxa"/>
          </w:tblCellMar>
        </w:tblPrEx>
        <w:trPr>
          <w:trHeight w:val="567" w:hRule="atLeast"/>
        </w:trPr>
        <w:tc>
          <w:tcPr>
            <w:tcW w:w="1075" w:type="dxa"/>
            <w:tcBorders>
              <w:top w:val="single" w:color="000000" w:sz="4" w:space="0"/>
              <w:left w:val="single" w:color="000000" w:sz="4" w:space="0"/>
              <w:bottom w:val="single" w:color="000000" w:sz="4" w:space="0"/>
              <w:right w:val="single" w:color="000000" w:sz="4" w:space="0"/>
            </w:tcBorders>
            <w:noWrap w:val="0"/>
            <w:vAlign w:val="center"/>
          </w:tcPr>
          <w:p w14:paraId="635A2505">
            <w:pPr>
              <w:widowControl/>
              <w:jc w:val="center"/>
              <w:rPr>
                <w:rFonts w:hint="eastAsia" w:ascii="宋体" w:hAnsi="宋体" w:cs="宋体"/>
                <w:sz w:val="22"/>
                <w:szCs w:val="22"/>
              </w:rPr>
            </w:pPr>
            <w:r>
              <w:rPr>
                <w:rFonts w:hint="eastAsia" w:ascii="宋体" w:hAnsi="宋体" w:cs="宋体"/>
                <w:sz w:val="22"/>
                <w:szCs w:val="22"/>
              </w:rPr>
              <w:t>1</w:t>
            </w:r>
          </w:p>
        </w:tc>
        <w:tc>
          <w:tcPr>
            <w:tcW w:w="2347" w:type="dxa"/>
            <w:tcBorders>
              <w:top w:val="single" w:color="000000" w:sz="4" w:space="0"/>
              <w:left w:val="nil"/>
              <w:bottom w:val="single" w:color="000000" w:sz="4" w:space="0"/>
              <w:right w:val="single" w:color="000000" w:sz="4" w:space="0"/>
            </w:tcBorders>
            <w:noWrap w:val="0"/>
            <w:vAlign w:val="top"/>
          </w:tcPr>
          <w:p w14:paraId="6B00EA28">
            <w:pPr>
              <w:widowControl/>
              <w:rPr>
                <w:rFonts w:hint="eastAsia" w:ascii="宋体" w:hAnsi="宋体" w:cs="宋体"/>
                <w:sz w:val="22"/>
                <w:szCs w:val="22"/>
              </w:rPr>
            </w:pPr>
          </w:p>
        </w:tc>
        <w:tc>
          <w:tcPr>
            <w:tcW w:w="4455" w:type="dxa"/>
            <w:tcBorders>
              <w:top w:val="single" w:color="000000" w:sz="4" w:space="0"/>
              <w:left w:val="nil"/>
              <w:bottom w:val="single" w:color="000000" w:sz="4" w:space="0"/>
              <w:right w:val="single" w:color="000000" w:sz="4" w:space="0"/>
            </w:tcBorders>
            <w:noWrap w:val="0"/>
            <w:vAlign w:val="top"/>
          </w:tcPr>
          <w:p w14:paraId="3A355AFE">
            <w:pPr>
              <w:widowControl/>
              <w:rPr>
                <w:rFonts w:hint="eastAsia" w:ascii="宋体" w:hAnsi="宋体" w:cs="宋体"/>
                <w:sz w:val="22"/>
                <w:szCs w:val="22"/>
                <w:highlight w:val="yellow"/>
              </w:rPr>
            </w:pPr>
          </w:p>
        </w:tc>
        <w:tc>
          <w:tcPr>
            <w:tcW w:w="1785" w:type="dxa"/>
            <w:tcBorders>
              <w:top w:val="single" w:color="000000" w:sz="4" w:space="0"/>
              <w:left w:val="nil"/>
              <w:bottom w:val="single" w:color="000000" w:sz="4" w:space="0"/>
              <w:right w:val="single" w:color="000000" w:sz="4" w:space="0"/>
            </w:tcBorders>
            <w:noWrap w:val="0"/>
            <w:vAlign w:val="top"/>
          </w:tcPr>
          <w:p w14:paraId="2E16A7E6">
            <w:pPr>
              <w:widowControl/>
              <w:rPr>
                <w:rFonts w:hint="eastAsia" w:ascii="宋体" w:hAnsi="宋体" w:cs="宋体"/>
                <w:sz w:val="22"/>
                <w:szCs w:val="22"/>
              </w:rPr>
            </w:pPr>
          </w:p>
        </w:tc>
      </w:tr>
      <w:tr w14:paraId="3BC5D742">
        <w:tblPrEx>
          <w:tblCellMar>
            <w:top w:w="0" w:type="dxa"/>
            <w:left w:w="108" w:type="dxa"/>
            <w:bottom w:w="0" w:type="dxa"/>
            <w:right w:w="108" w:type="dxa"/>
          </w:tblCellMar>
        </w:tblPrEx>
        <w:trPr>
          <w:trHeight w:val="567" w:hRule="atLeast"/>
        </w:trPr>
        <w:tc>
          <w:tcPr>
            <w:tcW w:w="1075" w:type="dxa"/>
            <w:tcBorders>
              <w:top w:val="single" w:color="000000" w:sz="4" w:space="0"/>
              <w:left w:val="single" w:color="000000" w:sz="4" w:space="0"/>
              <w:bottom w:val="single" w:color="000000" w:sz="4" w:space="0"/>
              <w:right w:val="single" w:color="000000" w:sz="4" w:space="0"/>
            </w:tcBorders>
            <w:noWrap w:val="0"/>
            <w:vAlign w:val="center"/>
          </w:tcPr>
          <w:p w14:paraId="5F3EF8E2">
            <w:pPr>
              <w:widowControl/>
              <w:jc w:val="center"/>
              <w:rPr>
                <w:rFonts w:hint="eastAsia" w:ascii="宋体" w:hAnsi="宋体" w:cs="宋体"/>
                <w:sz w:val="22"/>
                <w:szCs w:val="22"/>
              </w:rPr>
            </w:pPr>
            <w:r>
              <w:rPr>
                <w:rFonts w:hint="eastAsia" w:ascii="宋体" w:hAnsi="宋体" w:cs="宋体"/>
                <w:sz w:val="22"/>
                <w:szCs w:val="22"/>
              </w:rPr>
              <w:t>2</w:t>
            </w:r>
          </w:p>
        </w:tc>
        <w:tc>
          <w:tcPr>
            <w:tcW w:w="2347" w:type="dxa"/>
            <w:tcBorders>
              <w:top w:val="single" w:color="000000" w:sz="4" w:space="0"/>
              <w:left w:val="nil"/>
              <w:bottom w:val="single" w:color="000000" w:sz="4" w:space="0"/>
              <w:right w:val="single" w:color="000000" w:sz="4" w:space="0"/>
            </w:tcBorders>
            <w:noWrap w:val="0"/>
            <w:vAlign w:val="top"/>
          </w:tcPr>
          <w:p w14:paraId="70781EAE">
            <w:pPr>
              <w:widowControl/>
              <w:rPr>
                <w:rFonts w:hint="eastAsia" w:ascii="宋体" w:hAnsi="宋体" w:cs="宋体"/>
                <w:sz w:val="22"/>
                <w:szCs w:val="22"/>
              </w:rPr>
            </w:pPr>
          </w:p>
        </w:tc>
        <w:tc>
          <w:tcPr>
            <w:tcW w:w="4455" w:type="dxa"/>
            <w:tcBorders>
              <w:top w:val="single" w:color="000000" w:sz="4" w:space="0"/>
              <w:left w:val="nil"/>
              <w:bottom w:val="single" w:color="000000" w:sz="4" w:space="0"/>
              <w:right w:val="single" w:color="000000" w:sz="4" w:space="0"/>
            </w:tcBorders>
            <w:noWrap w:val="0"/>
            <w:vAlign w:val="top"/>
          </w:tcPr>
          <w:p w14:paraId="6C634876">
            <w:pPr>
              <w:widowControl/>
              <w:rPr>
                <w:rFonts w:hint="eastAsia" w:ascii="宋体" w:hAnsi="宋体" w:cs="宋体"/>
                <w:sz w:val="22"/>
                <w:szCs w:val="22"/>
                <w:highlight w:val="yellow"/>
              </w:rPr>
            </w:pPr>
          </w:p>
        </w:tc>
        <w:tc>
          <w:tcPr>
            <w:tcW w:w="1785" w:type="dxa"/>
            <w:tcBorders>
              <w:top w:val="single" w:color="000000" w:sz="4" w:space="0"/>
              <w:left w:val="nil"/>
              <w:bottom w:val="single" w:color="000000" w:sz="4" w:space="0"/>
              <w:right w:val="single" w:color="000000" w:sz="4" w:space="0"/>
            </w:tcBorders>
            <w:noWrap w:val="0"/>
            <w:vAlign w:val="top"/>
          </w:tcPr>
          <w:p w14:paraId="1C595DC5">
            <w:pPr>
              <w:widowControl/>
              <w:rPr>
                <w:rFonts w:hint="eastAsia" w:ascii="宋体" w:hAnsi="宋体" w:cs="宋体"/>
                <w:sz w:val="22"/>
                <w:szCs w:val="22"/>
              </w:rPr>
            </w:pPr>
          </w:p>
        </w:tc>
      </w:tr>
      <w:tr w14:paraId="34985F27">
        <w:tblPrEx>
          <w:tblCellMar>
            <w:top w:w="0" w:type="dxa"/>
            <w:left w:w="108" w:type="dxa"/>
            <w:bottom w:w="0" w:type="dxa"/>
            <w:right w:w="108" w:type="dxa"/>
          </w:tblCellMar>
        </w:tblPrEx>
        <w:trPr>
          <w:trHeight w:val="567" w:hRule="atLeast"/>
        </w:trPr>
        <w:tc>
          <w:tcPr>
            <w:tcW w:w="1075" w:type="dxa"/>
            <w:tcBorders>
              <w:top w:val="single" w:color="000000" w:sz="4" w:space="0"/>
              <w:left w:val="single" w:color="000000" w:sz="4" w:space="0"/>
              <w:bottom w:val="single" w:color="000000" w:sz="4" w:space="0"/>
              <w:right w:val="single" w:color="000000" w:sz="4" w:space="0"/>
            </w:tcBorders>
            <w:noWrap w:val="0"/>
            <w:vAlign w:val="center"/>
          </w:tcPr>
          <w:p w14:paraId="31D60905">
            <w:pPr>
              <w:widowControl/>
              <w:jc w:val="center"/>
              <w:rPr>
                <w:rFonts w:hint="eastAsia" w:ascii="宋体" w:hAnsi="宋体" w:cs="宋体"/>
                <w:sz w:val="22"/>
                <w:szCs w:val="22"/>
              </w:rPr>
            </w:pPr>
            <w:r>
              <w:rPr>
                <w:rFonts w:hint="eastAsia" w:ascii="宋体" w:hAnsi="宋体" w:cs="宋体"/>
                <w:sz w:val="22"/>
                <w:szCs w:val="22"/>
              </w:rPr>
              <w:t>3</w:t>
            </w:r>
          </w:p>
        </w:tc>
        <w:tc>
          <w:tcPr>
            <w:tcW w:w="2347" w:type="dxa"/>
            <w:tcBorders>
              <w:top w:val="single" w:color="000000" w:sz="4" w:space="0"/>
              <w:left w:val="nil"/>
              <w:bottom w:val="single" w:color="000000" w:sz="4" w:space="0"/>
              <w:right w:val="single" w:color="000000" w:sz="4" w:space="0"/>
            </w:tcBorders>
            <w:noWrap w:val="0"/>
            <w:vAlign w:val="top"/>
          </w:tcPr>
          <w:p w14:paraId="569F5129">
            <w:pPr>
              <w:widowControl/>
              <w:rPr>
                <w:rFonts w:hint="eastAsia" w:ascii="宋体" w:hAnsi="宋体" w:cs="宋体"/>
                <w:sz w:val="22"/>
                <w:szCs w:val="22"/>
              </w:rPr>
            </w:pPr>
          </w:p>
        </w:tc>
        <w:tc>
          <w:tcPr>
            <w:tcW w:w="4455" w:type="dxa"/>
            <w:tcBorders>
              <w:top w:val="single" w:color="000000" w:sz="4" w:space="0"/>
              <w:left w:val="nil"/>
              <w:bottom w:val="single" w:color="000000" w:sz="4" w:space="0"/>
              <w:right w:val="single" w:color="000000" w:sz="4" w:space="0"/>
            </w:tcBorders>
            <w:noWrap w:val="0"/>
            <w:vAlign w:val="top"/>
          </w:tcPr>
          <w:p w14:paraId="25A7B9F3">
            <w:pPr>
              <w:widowControl/>
              <w:rPr>
                <w:rFonts w:hint="eastAsia" w:ascii="宋体" w:hAnsi="宋体" w:cs="宋体"/>
                <w:sz w:val="22"/>
                <w:szCs w:val="22"/>
                <w:highlight w:val="yellow"/>
              </w:rPr>
            </w:pPr>
          </w:p>
        </w:tc>
        <w:tc>
          <w:tcPr>
            <w:tcW w:w="1785" w:type="dxa"/>
            <w:tcBorders>
              <w:top w:val="single" w:color="000000" w:sz="4" w:space="0"/>
              <w:left w:val="nil"/>
              <w:bottom w:val="single" w:color="000000" w:sz="4" w:space="0"/>
              <w:right w:val="single" w:color="000000" w:sz="4" w:space="0"/>
            </w:tcBorders>
            <w:noWrap w:val="0"/>
            <w:vAlign w:val="top"/>
          </w:tcPr>
          <w:p w14:paraId="35713646">
            <w:pPr>
              <w:widowControl/>
              <w:rPr>
                <w:rFonts w:hint="eastAsia" w:ascii="宋体" w:hAnsi="宋体" w:cs="宋体"/>
                <w:sz w:val="22"/>
                <w:szCs w:val="22"/>
              </w:rPr>
            </w:pPr>
          </w:p>
        </w:tc>
      </w:tr>
      <w:tr w14:paraId="1FEB495D">
        <w:tblPrEx>
          <w:tblCellMar>
            <w:top w:w="0" w:type="dxa"/>
            <w:left w:w="108" w:type="dxa"/>
            <w:bottom w:w="0" w:type="dxa"/>
            <w:right w:w="108" w:type="dxa"/>
          </w:tblCellMar>
        </w:tblPrEx>
        <w:trPr>
          <w:trHeight w:val="567" w:hRule="atLeast"/>
        </w:trPr>
        <w:tc>
          <w:tcPr>
            <w:tcW w:w="1075" w:type="dxa"/>
            <w:tcBorders>
              <w:top w:val="single" w:color="000000" w:sz="4" w:space="0"/>
              <w:left w:val="single" w:color="000000" w:sz="4" w:space="0"/>
              <w:bottom w:val="single" w:color="000000" w:sz="4" w:space="0"/>
              <w:right w:val="single" w:color="000000" w:sz="4" w:space="0"/>
            </w:tcBorders>
            <w:noWrap w:val="0"/>
            <w:vAlign w:val="center"/>
          </w:tcPr>
          <w:p w14:paraId="53298A74">
            <w:pPr>
              <w:widowControl/>
              <w:jc w:val="center"/>
              <w:rPr>
                <w:rFonts w:ascii="宋体" w:hAnsi="宋体" w:cs="宋体"/>
                <w:sz w:val="22"/>
                <w:szCs w:val="22"/>
              </w:rPr>
            </w:pPr>
            <w:r>
              <w:rPr>
                <w:rFonts w:hint="eastAsia" w:ascii="宋体" w:hAnsi="宋体" w:cs="宋体"/>
                <w:sz w:val="22"/>
                <w:szCs w:val="22"/>
              </w:rPr>
              <w:t>......</w:t>
            </w:r>
          </w:p>
        </w:tc>
        <w:tc>
          <w:tcPr>
            <w:tcW w:w="2347" w:type="dxa"/>
            <w:tcBorders>
              <w:top w:val="single" w:color="000000" w:sz="4" w:space="0"/>
              <w:left w:val="nil"/>
              <w:bottom w:val="single" w:color="000000" w:sz="4" w:space="0"/>
              <w:right w:val="single" w:color="000000" w:sz="4" w:space="0"/>
            </w:tcBorders>
            <w:noWrap w:val="0"/>
            <w:vAlign w:val="top"/>
          </w:tcPr>
          <w:p w14:paraId="6212549B">
            <w:pPr>
              <w:widowControl/>
              <w:rPr>
                <w:rFonts w:hint="eastAsia" w:ascii="宋体" w:hAnsi="宋体" w:cs="宋体"/>
                <w:sz w:val="22"/>
                <w:szCs w:val="22"/>
              </w:rPr>
            </w:pPr>
          </w:p>
        </w:tc>
        <w:tc>
          <w:tcPr>
            <w:tcW w:w="4455" w:type="dxa"/>
            <w:tcBorders>
              <w:top w:val="single" w:color="000000" w:sz="4" w:space="0"/>
              <w:left w:val="nil"/>
              <w:bottom w:val="single" w:color="000000" w:sz="4" w:space="0"/>
              <w:right w:val="single" w:color="000000" w:sz="4" w:space="0"/>
            </w:tcBorders>
            <w:noWrap w:val="0"/>
            <w:vAlign w:val="top"/>
          </w:tcPr>
          <w:p w14:paraId="012B496E">
            <w:pPr>
              <w:widowControl/>
              <w:rPr>
                <w:rFonts w:hint="eastAsia" w:ascii="宋体" w:hAnsi="宋体" w:cs="宋体"/>
                <w:sz w:val="22"/>
                <w:szCs w:val="22"/>
                <w:highlight w:val="yellow"/>
              </w:rPr>
            </w:pPr>
          </w:p>
        </w:tc>
        <w:tc>
          <w:tcPr>
            <w:tcW w:w="1785" w:type="dxa"/>
            <w:tcBorders>
              <w:top w:val="single" w:color="000000" w:sz="4" w:space="0"/>
              <w:left w:val="nil"/>
              <w:bottom w:val="single" w:color="000000" w:sz="4" w:space="0"/>
              <w:right w:val="single" w:color="000000" w:sz="4" w:space="0"/>
            </w:tcBorders>
            <w:noWrap w:val="0"/>
            <w:vAlign w:val="top"/>
          </w:tcPr>
          <w:p w14:paraId="5E6ECCE5">
            <w:pPr>
              <w:widowControl/>
              <w:rPr>
                <w:rFonts w:hint="eastAsia" w:ascii="宋体" w:hAnsi="宋体" w:cs="宋体"/>
                <w:sz w:val="22"/>
                <w:szCs w:val="22"/>
              </w:rPr>
            </w:pPr>
          </w:p>
        </w:tc>
      </w:tr>
    </w:tbl>
    <w:p w14:paraId="074711F5">
      <w:pPr>
        <w:spacing w:line="360" w:lineRule="auto"/>
        <w:ind w:firstLine="420"/>
        <w:rPr>
          <w:rFonts w:hint="eastAsia" w:ascii="宋体" w:hAnsi="宋体" w:cs="宋体"/>
          <w:b/>
          <w:bCs/>
          <w:sz w:val="22"/>
          <w:szCs w:val="22"/>
        </w:rPr>
      </w:pPr>
    </w:p>
    <w:p w14:paraId="533A2029">
      <w:pPr>
        <w:spacing w:line="360" w:lineRule="auto"/>
        <w:ind w:firstLine="420"/>
        <w:rPr>
          <w:rFonts w:ascii="宋体" w:hAnsi="宋体" w:eastAsia="宋体" w:cs="宋体"/>
          <w:b/>
          <w:bCs/>
          <w:sz w:val="22"/>
          <w:szCs w:val="22"/>
          <w:highlight w:val="none"/>
          <w:lang w:val="en-US" w:eastAsia="zh-CN"/>
        </w:rPr>
      </w:pPr>
      <w:r>
        <w:rPr>
          <w:rFonts w:hint="eastAsia" w:ascii="宋体" w:hAnsi="宋体" w:cs="宋体"/>
          <w:b/>
          <w:bCs/>
          <w:sz w:val="22"/>
          <w:szCs w:val="22"/>
          <w:highlight w:val="none"/>
        </w:rPr>
        <w:t>备注：</w:t>
      </w:r>
      <w:r>
        <w:rPr>
          <w:rFonts w:hint="eastAsia" w:ascii="宋体" w:hAnsi="宋体" w:cs="宋体"/>
          <w:b/>
          <w:bCs/>
          <w:sz w:val="22"/>
          <w:szCs w:val="22"/>
          <w:highlight w:val="none"/>
          <w:lang w:val="en-US" w:eastAsia="zh-CN"/>
        </w:rPr>
        <w:t>人员社保等其它材料</w:t>
      </w:r>
    </w:p>
    <w:p w14:paraId="68C73168">
      <w:pPr>
        <w:spacing w:line="360" w:lineRule="auto"/>
        <w:ind w:firstLine="420"/>
        <w:rPr>
          <w:rFonts w:hint="eastAsia" w:ascii="宋体" w:hAnsi="宋体" w:cs="宋体"/>
          <w:color w:val="000000"/>
          <w:sz w:val="22"/>
          <w:szCs w:val="22"/>
          <w:highlight w:val="yellow"/>
          <w:lang w:val="zh-CN"/>
        </w:rPr>
      </w:pPr>
    </w:p>
    <w:p w14:paraId="22C79D5D">
      <w:pPr>
        <w:spacing w:line="360" w:lineRule="auto"/>
        <w:ind w:firstLine="420"/>
        <w:rPr>
          <w:rFonts w:hint="eastAsia" w:ascii="宋体" w:hAnsi="宋体" w:cs="宋体"/>
          <w:sz w:val="22"/>
          <w:szCs w:val="22"/>
          <w:lang w:val="zh-CN"/>
        </w:rPr>
      </w:pPr>
      <w:r>
        <w:rPr>
          <w:rFonts w:hint="eastAsia" w:ascii="宋体" w:hAnsi="宋体" w:cs="宋体"/>
          <w:color w:val="000000"/>
          <w:sz w:val="22"/>
          <w:szCs w:val="22"/>
          <w:lang w:val="zh-CN"/>
        </w:rPr>
        <w:t>供应商名称：</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（加盖电子公章）</w:t>
      </w:r>
      <w:r>
        <w:rPr>
          <w:rFonts w:hint="eastAsia" w:ascii="宋体" w:hAnsi="宋体" w:cs="宋体"/>
          <w:sz w:val="22"/>
          <w:szCs w:val="22"/>
          <w:lang w:val="zh-CN"/>
        </w:rPr>
        <w:t xml:space="preserve">                </w:t>
      </w:r>
    </w:p>
    <w:p w14:paraId="62518D6D">
      <w:pPr>
        <w:spacing w:line="360" w:lineRule="auto"/>
        <w:ind w:firstLine="420"/>
        <w:rPr>
          <w:rFonts w:hint="eastAsia" w:ascii="宋体" w:hAnsi="宋体" w:cs="宋体"/>
          <w:color w:val="000000"/>
          <w:sz w:val="22"/>
          <w:szCs w:val="22"/>
          <w:lang w:val="zh-CN"/>
        </w:rPr>
      </w:pPr>
      <w:r>
        <w:rPr>
          <w:rFonts w:hint="eastAsia" w:ascii="宋体" w:hAnsi="宋体" w:cs="宋体"/>
          <w:color w:val="000000"/>
          <w:sz w:val="22"/>
          <w:szCs w:val="22"/>
          <w:lang w:val="zh-CN"/>
        </w:rPr>
        <w:t>日    期：</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年</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月</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日</w:t>
      </w:r>
    </w:p>
    <w:p w14:paraId="2B4423C7">
      <w:pPr>
        <w:spacing w:line="360" w:lineRule="auto"/>
        <w:rPr>
          <w:rFonts w:hint="eastAsia" w:ascii="宋体" w:hAnsi="宋体" w:cs="宋体"/>
          <w:color w:val="000000"/>
          <w:sz w:val="22"/>
          <w:szCs w:val="22"/>
        </w:rPr>
      </w:pPr>
    </w:p>
    <w:p w14:paraId="45B2ACC7">
      <w:pPr>
        <w:pStyle w:val="42"/>
        <w:rPr>
          <w:rFonts w:hint="eastAsia" w:ascii="宋体" w:hAnsi="宋体" w:cs="宋体"/>
          <w:color w:val="000000"/>
          <w:sz w:val="22"/>
          <w:szCs w:val="22"/>
        </w:rPr>
      </w:pPr>
    </w:p>
    <w:p w14:paraId="6936652A">
      <w:pPr>
        <w:pStyle w:val="42"/>
        <w:rPr>
          <w:rFonts w:hint="eastAsia" w:ascii="宋体" w:hAnsi="宋体" w:cs="宋体"/>
          <w:color w:val="000000"/>
          <w:sz w:val="22"/>
          <w:szCs w:val="22"/>
        </w:rPr>
      </w:pPr>
    </w:p>
    <w:p w14:paraId="24BD2106">
      <w:pPr>
        <w:pStyle w:val="42"/>
        <w:rPr>
          <w:rFonts w:hint="eastAsia" w:ascii="宋体" w:hAnsi="宋体" w:cs="宋体"/>
          <w:color w:val="000000"/>
          <w:sz w:val="22"/>
          <w:szCs w:val="22"/>
        </w:rPr>
      </w:pPr>
    </w:p>
    <w:p w14:paraId="73097CB8">
      <w:pPr>
        <w:pStyle w:val="42"/>
        <w:rPr>
          <w:rFonts w:hint="eastAsia" w:ascii="宋体" w:hAnsi="宋体" w:cs="宋体"/>
          <w:color w:val="000000"/>
          <w:sz w:val="22"/>
          <w:szCs w:val="22"/>
        </w:rPr>
      </w:pPr>
    </w:p>
    <w:p w14:paraId="72BB143D">
      <w:pPr>
        <w:pStyle w:val="42"/>
        <w:rPr>
          <w:rFonts w:hint="eastAsia" w:ascii="宋体" w:hAnsi="宋体" w:cs="宋体"/>
          <w:color w:val="000000"/>
          <w:sz w:val="22"/>
          <w:szCs w:val="22"/>
        </w:rPr>
      </w:pPr>
    </w:p>
    <w:p w14:paraId="50C7C16E">
      <w:pPr>
        <w:pStyle w:val="42"/>
        <w:rPr>
          <w:rFonts w:hint="eastAsia" w:ascii="宋体" w:hAnsi="宋体" w:cs="宋体"/>
          <w:color w:val="000000"/>
          <w:sz w:val="22"/>
          <w:szCs w:val="22"/>
        </w:rPr>
      </w:pPr>
    </w:p>
    <w:p w14:paraId="03132E10">
      <w:pPr>
        <w:pStyle w:val="42"/>
        <w:rPr>
          <w:rFonts w:hint="eastAsia" w:ascii="宋体" w:hAnsi="宋体" w:cs="宋体"/>
          <w:color w:val="000000"/>
          <w:sz w:val="22"/>
          <w:szCs w:val="22"/>
        </w:rPr>
      </w:pPr>
    </w:p>
    <w:p w14:paraId="54BE93FE">
      <w:pPr>
        <w:pStyle w:val="42"/>
        <w:rPr>
          <w:rFonts w:hint="eastAsia" w:ascii="宋体" w:hAnsi="宋体" w:cs="宋体"/>
          <w:color w:val="000000"/>
          <w:sz w:val="22"/>
          <w:szCs w:val="22"/>
        </w:rPr>
      </w:pPr>
    </w:p>
    <w:p w14:paraId="5C2099AF">
      <w:pPr>
        <w:pStyle w:val="42"/>
        <w:rPr>
          <w:rFonts w:hint="eastAsia" w:ascii="宋体" w:hAnsi="宋体" w:cs="宋体"/>
          <w:color w:val="000000"/>
          <w:sz w:val="22"/>
          <w:szCs w:val="22"/>
        </w:rPr>
      </w:pPr>
    </w:p>
    <w:p w14:paraId="5453D497">
      <w:pPr>
        <w:keepNext w:val="0"/>
        <w:keepLines w:val="0"/>
        <w:pageBreakBefore w:val="0"/>
        <w:widowControl/>
        <w:spacing w:after="0" w:line="360" w:lineRule="auto"/>
        <w:jc w:val="left"/>
        <w:outlineLvl w:val="1"/>
        <w:rPr>
          <w:rFonts w:hint="eastAsia" w:ascii="宋体" w:hAnsi="宋体" w:eastAsia="宋体" w:cs="Times New Roman"/>
          <w:b/>
          <w:sz w:val="22"/>
          <w:szCs w:val="22"/>
          <w:lang w:val="zh-CN" w:eastAsia="zh-CN" w:bidi="en-US"/>
        </w:rPr>
      </w:pPr>
      <w:r>
        <w:rPr>
          <w:rFonts w:hint="eastAsia" w:ascii="宋体" w:hAnsi="宋体" w:eastAsia="宋体" w:cs="Times New Roman"/>
          <w:b/>
          <w:sz w:val="22"/>
          <w:szCs w:val="22"/>
          <w:lang w:val="zh-CN" w:eastAsia="zh-CN" w:bidi="en-US"/>
        </w:rPr>
        <w:t>目录十、</w:t>
      </w:r>
      <w:r>
        <w:rPr>
          <w:rFonts w:hint="eastAsia" w:ascii="宋体" w:hAnsi="宋体" w:cs="Times New Roman"/>
          <w:b/>
          <w:bCs w:val="0"/>
          <w:sz w:val="22"/>
          <w:szCs w:val="22"/>
          <w:lang w:val="zh-CN" w:eastAsia="zh-CN" w:bidi="en-US"/>
        </w:rPr>
        <w:t>企业</w:t>
      </w:r>
      <w:r>
        <w:rPr>
          <w:rFonts w:hint="eastAsia" w:ascii="宋体" w:hAnsi="宋体" w:cs="Times New Roman"/>
          <w:b/>
          <w:bCs w:val="0"/>
          <w:sz w:val="22"/>
          <w:szCs w:val="22"/>
          <w:lang w:val="zh-CN" w:bidi="en-US"/>
        </w:rPr>
        <w:t>业绩</w:t>
      </w:r>
    </w:p>
    <w:p w14:paraId="5DBEB332">
      <w:pPr>
        <w:spacing w:line="480" w:lineRule="auto"/>
        <w:rPr>
          <w:rFonts w:hint="eastAsia" w:ascii="宋体" w:hAnsi="宋体" w:cs="宋体"/>
          <w:b/>
          <w:color w:val="000000"/>
          <w:sz w:val="22"/>
          <w:szCs w:val="22"/>
        </w:rPr>
      </w:pPr>
    </w:p>
    <w:p w14:paraId="2CA3D34B">
      <w:pPr>
        <w:spacing w:line="480" w:lineRule="auto"/>
        <w:rPr>
          <w:rFonts w:hint="eastAsia" w:ascii="宋体" w:hAnsi="宋体" w:cs="宋体"/>
          <w:b/>
          <w:color w:val="000000"/>
          <w:sz w:val="22"/>
          <w:szCs w:val="22"/>
        </w:rPr>
      </w:pPr>
    </w:p>
    <w:p w14:paraId="26E5C2B0">
      <w:pPr>
        <w:widowControl/>
        <w:spacing w:line="360" w:lineRule="auto"/>
        <w:jc w:val="left"/>
        <w:outlineLvl w:val="1"/>
        <w:rPr>
          <w:rFonts w:hint="eastAsia" w:ascii="宋体" w:hAnsi="宋体" w:cs="Times New Roman"/>
          <w:b/>
          <w:sz w:val="22"/>
          <w:szCs w:val="22"/>
          <w:lang w:val="zh-CN" w:bidi="en-US"/>
        </w:rPr>
      </w:pPr>
      <w:r>
        <w:rPr>
          <w:rFonts w:hint="eastAsia" w:ascii="宋体" w:hAnsi="宋体" w:eastAsia="宋体" w:cs="Times New Roman"/>
          <w:b/>
          <w:sz w:val="22"/>
          <w:szCs w:val="22"/>
          <w:lang w:val="zh-CN" w:eastAsia="zh-CN" w:bidi="en-US"/>
        </w:rPr>
        <w:t>目录十一、</w:t>
      </w:r>
      <w:r>
        <w:rPr>
          <w:rFonts w:hint="eastAsia" w:ascii="宋体" w:hAnsi="宋体" w:cs="Times New Roman"/>
          <w:b/>
          <w:sz w:val="22"/>
          <w:szCs w:val="22"/>
          <w:lang w:val="zh-CN" w:bidi="en-US"/>
        </w:rPr>
        <w:t>工作实施方案</w:t>
      </w:r>
    </w:p>
    <w:p w14:paraId="0FFD737A">
      <w:pPr>
        <w:spacing w:line="480" w:lineRule="auto"/>
        <w:jc w:val="left"/>
        <w:rPr>
          <w:rFonts w:hint="eastAsia" w:ascii="宋体" w:hAnsi="宋体" w:cs="宋体"/>
          <w:b/>
          <w:color w:val="000000"/>
          <w:sz w:val="22"/>
          <w:szCs w:val="22"/>
          <w:lang w:val="zh-CN"/>
        </w:rPr>
      </w:pPr>
    </w:p>
    <w:p w14:paraId="3D94400C">
      <w:pPr>
        <w:spacing w:line="480" w:lineRule="auto"/>
        <w:jc w:val="left"/>
        <w:rPr>
          <w:rFonts w:hint="eastAsia" w:ascii="宋体" w:hAnsi="宋体" w:cs="宋体"/>
          <w:b/>
          <w:color w:val="000000"/>
          <w:sz w:val="22"/>
          <w:szCs w:val="22"/>
          <w:lang w:val="zh-CN"/>
        </w:rPr>
      </w:pPr>
    </w:p>
    <w:p w14:paraId="273476A8">
      <w:pPr>
        <w:keepNext w:val="0"/>
        <w:keepLines w:val="0"/>
        <w:pageBreakBefore w:val="0"/>
        <w:widowControl/>
        <w:spacing w:after="0" w:line="360" w:lineRule="auto"/>
        <w:jc w:val="both"/>
        <w:outlineLvl w:val="1"/>
        <w:rPr>
          <w:rFonts w:hint="eastAsia" w:ascii="宋体" w:hAnsi="宋体" w:eastAsia="宋体" w:cs="Times New Roman"/>
          <w:b/>
          <w:sz w:val="22"/>
          <w:szCs w:val="22"/>
          <w:lang w:val="en-US" w:eastAsia="zh-CN" w:bidi="en-US"/>
        </w:rPr>
      </w:pPr>
      <w:r>
        <w:rPr>
          <w:rFonts w:hint="eastAsia" w:ascii="宋体" w:hAnsi="宋体" w:eastAsia="宋体" w:cs="Times New Roman"/>
          <w:b/>
          <w:sz w:val="22"/>
          <w:szCs w:val="22"/>
          <w:lang w:val="zh-CN" w:eastAsia="zh-CN" w:bidi="en-US"/>
        </w:rPr>
        <w:t>目录十二、承诺书</w:t>
      </w:r>
    </w:p>
    <w:p w14:paraId="37902463">
      <w:pPr>
        <w:pStyle w:val="42"/>
        <w:ind w:left="0" w:firstLine="0"/>
        <w:rPr>
          <w:rFonts w:eastAsia="宋体"/>
          <w:sz w:val="22"/>
          <w:szCs w:val="22"/>
          <w:highlight w:val="none"/>
        </w:rPr>
      </w:pPr>
    </w:p>
    <w:p w14:paraId="6E22C927">
      <w:pPr>
        <w:spacing w:line="480" w:lineRule="auto"/>
        <w:rPr>
          <w:rFonts w:hint="eastAsia" w:ascii="宋体" w:hAnsi="宋体" w:cs="宋体"/>
          <w:b/>
          <w:color w:val="000000"/>
          <w:sz w:val="22"/>
          <w:szCs w:val="22"/>
        </w:rPr>
      </w:pPr>
    </w:p>
    <w:p w14:paraId="62E78F5B">
      <w:pPr>
        <w:keepNext w:val="0"/>
        <w:keepLines w:val="0"/>
        <w:pageBreakBefore w:val="0"/>
        <w:widowControl/>
        <w:spacing w:after="0" w:line="360" w:lineRule="auto"/>
        <w:jc w:val="both"/>
        <w:outlineLvl w:val="1"/>
        <w:rPr>
          <w:rFonts w:hint="eastAsia" w:ascii="宋体" w:hAnsi="宋体" w:eastAsia="宋体" w:cs="Times New Roman"/>
          <w:b/>
          <w:sz w:val="22"/>
          <w:szCs w:val="22"/>
          <w:lang w:val="zh-CN" w:eastAsia="zh-CN" w:bidi="en-US"/>
        </w:rPr>
      </w:pPr>
      <w:r>
        <w:rPr>
          <w:rFonts w:hint="eastAsia" w:ascii="宋体" w:hAnsi="宋体" w:eastAsia="宋体" w:cs="Times New Roman"/>
          <w:b/>
          <w:sz w:val="22"/>
          <w:szCs w:val="22"/>
          <w:lang w:val="zh-CN" w:eastAsia="zh-CN" w:bidi="en-US"/>
        </w:rPr>
        <w:t>目录十三、投标需要的其他证明文件及材料</w:t>
      </w:r>
    </w:p>
    <w:p w14:paraId="3DA95867">
      <w:pPr>
        <w:pStyle w:val="42"/>
        <w:spacing w:line="480" w:lineRule="auto"/>
        <w:ind w:firstLine="0"/>
        <w:rPr>
          <w:rFonts w:hint="eastAsia" w:ascii="宋体" w:hAnsi="宋体" w:eastAsia="宋体"/>
          <w:b/>
          <w:color w:val="000000"/>
          <w:sz w:val="22"/>
          <w:szCs w:val="22"/>
          <w:lang w:val="en-US"/>
        </w:rPr>
      </w:pPr>
      <w:r>
        <w:rPr>
          <w:rFonts w:hint="eastAsia" w:ascii="宋体" w:hAnsi="宋体"/>
          <w:b/>
          <w:sz w:val="22"/>
          <w:szCs w:val="22"/>
        </w:rPr>
        <w:t xml:space="preserve">           </w:t>
      </w:r>
      <w:r>
        <w:rPr>
          <w:rFonts w:hint="eastAsia" w:ascii="宋体" w:hAnsi="宋体" w:eastAsia="宋体"/>
          <w:sz w:val="22"/>
          <w:szCs w:val="22"/>
          <w:lang w:val="en-US"/>
        </w:rPr>
        <w:t xml:space="preserve">        </w:t>
      </w:r>
      <w:r>
        <w:rPr>
          <w:rFonts w:hint="eastAsia" w:ascii="宋体" w:hAnsi="宋体" w:eastAsia="宋体"/>
          <w:sz w:val="22"/>
          <w:szCs w:val="22"/>
        </w:rPr>
        <w:t>投标需要的其他证明文件及材料（若有）</w:t>
      </w:r>
    </w:p>
    <w:p w14:paraId="04474ED2">
      <w:pPr>
        <w:pStyle w:val="42"/>
        <w:spacing w:line="480" w:lineRule="auto"/>
        <w:ind w:firstLine="0"/>
        <w:rPr>
          <w:rFonts w:hint="eastAsia" w:ascii="宋体" w:hAnsi="宋体" w:eastAsia="宋体"/>
          <w:b/>
          <w:sz w:val="22"/>
          <w:szCs w:val="22"/>
          <w:lang w:val="en-US"/>
        </w:rPr>
      </w:pPr>
    </w:p>
    <w:p w14:paraId="1897C44C">
      <w:pPr>
        <w:pStyle w:val="42"/>
        <w:spacing w:line="480" w:lineRule="auto"/>
        <w:ind w:firstLine="0"/>
        <w:rPr>
          <w:rFonts w:hint="eastAsia" w:ascii="宋体" w:hAnsi="宋体" w:eastAsia="宋体"/>
          <w:b/>
          <w:sz w:val="22"/>
          <w:szCs w:val="22"/>
          <w:lang w:val="en-US"/>
        </w:rPr>
      </w:pPr>
    </w:p>
    <w:p w14:paraId="10DBC4A9">
      <w:pPr>
        <w:pStyle w:val="42"/>
        <w:spacing w:line="480" w:lineRule="auto"/>
        <w:ind w:firstLine="0"/>
        <w:rPr>
          <w:rFonts w:hint="eastAsia" w:ascii="宋体" w:hAnsi="宋体" w:eastAsia="宋体"/>
          <w:b/>
          <w:sz w:val="22"/>
          <w:szCs w:val="22"/>
          <w:lang w:val="en-US"/>
        </w:rPr>
      </w:pPr>
    </w:p>
    <w:p w14:paraId="6EE120ED">
      <w:pPr>
        <w:pStyle w:val="42"/>
        <w:spacing w:line="480" w:lineRule="auto"/>
        <w:ind w:firstLine="0"/>
        <w:rPr>
          <w:rFonts w:hint="eastAsia" w:ascii="宋体" w:hAnsi="宋体" w:eastAsia="宋体"/>
          <w:b/>
          <w:sz w:val="22"/>
          <w:szCs w:val="22"/>
          <w:lang w:val="en-US"/>
        </w:rPr>
      </w:pPr>
    </w:p>
    <w:p w14:paraId="3A3726B2">
      <w:pPr>
        <w:pStyle w:val="42"/>
        <w:spacing w:line="480" w:lineRule="auto"/>
        <w:ind w:firstLine="0"/>
        <w:rPr>
          <w:rFonts w:hint="eastAsia" w:ascii="宋体" w:hAnsi="宋体" w:eastAsia="宋体"/>
          <w:b/>
          <w:sz w:val="22"/>
          <w:szCs w:val="22"/>
          <w:lang w:val="en-US"/>
        </w:rPr>
      </w:pPr>
    </w:p>
    <w:p w14:paraId="56FB74A5">
      <w:pPr>
        <w:pStyle w:val="42"/>
        <w:spacing w:line="480" w:lineRule="auto"/>
        <w:ind w:firstLine="0"/>
        <w:rPr>
          <w:rFonts w:hint="eastAsia" w:ascii="宋体" w:hAnsi="宋体" w:eastAsia="宋体"/>
          <w:b/>
          <w:sz w:val="22"/>
          <w:szCs w:val="22"/>
          <w:lang w:val="en-US"/>
        </w:rPr>
      </w:pPr>
    </w:p>
    <w:p w14:paraId="4D705F96">
      <w:pPr>
        <w:pStyle w:val="42"/>
        <w:spacing w:line="480" w:lineRule="auto"/>
        <w:ind w:firstLine="0"/>
        <w:rPr>
          <w:rFonts w:hint="eastAsia" w:ascii="宋体" w:hAnsi="宋体" w:eastAsia="宋体"/>
          <w:b/>
          <w:sz w:val="22"/>
          <w:szCs w:val="22"/>
          <w:lang w:val="en-US"/>
        </w:rPr>
      </w:pPr>
    </w:p>
    <w:p w14:paraId="6575436A">
      <w:pPr>
        <w:pStyle w:val="42"/>
        <w:spacing w:line="480" w:lineRule="auto"/>
        <w:ind w:firstLine="0"/>
        <w:rPr>
          <w:rFonts w:hint="eastAsia" w:ascii="宋体" w:hAnsi="宋体" w:eastAsia="宋体"/>
          <w:b/>
          <w:sz w:val="22"/>
          <w:szCs w:val="22"/>
          <w:lang w:val="en-US"/>
        </w:rPr>
      </w:pPr>
    </w:p>
    <w:p w14:paraId="273C59F7">
      <w:pPr>
        <w:pStyle w:val="42"/>
        <w:spacing w:line="480" w:lineRule="auto"/>
        <w:ind w:firstLine="0"/>
        <w:rPr>
          <w:rFonts w:hint="eastAsia" w:ascii="宋体" w:hAnsi="宋体" w:eastAsia="宋体"/>
          <w:b/>
          <w:sz w:val="22"/>
          <w:szCs w:val="22"/>
          <w:lang w:val="en-US"/>
        </w:rPr>
      </w:pPr>
    </w:p>
    <w:p w14:paraId="2EAA6B4F">
      <w:pPr>
        <w:pStyle w:val="42"/>
        <w:spacing w:line="480" w:lineRule="auto"/>
        <w:ind w:firstLine="0"/>
        <w:rPr>
          <w:rFonts w:hint="eastAsia" w:ascii="宋体" w:hAnsi="宋体" w:eastAsia="宋体"/>
          <w:b/>
          <w:sz w:val="22"/>
          <w:szCs w:val="22"/>
          <w:lang w:val="en-US"/>
        </w:rPr>
      </w:pPr>
    </w:p>
    <w:p w14:paraId="6A542F32">
      <w:pPr>
        <w:pStyle w:val="42"/>
        <w:spacing w:line="480" w:lineRule="auto"/>
        <w:ind w:firstLine="0"/>
        <w:rPr>
          <w:rFonts w:hint="eastAsia" w:ascii="宋体" w:hAnsi="宋体" w:eastAsia="宋体"/>
          <w:b/>
          <w:sz w:val="22"/>
          <w:szCs w:val="22"/>
          <w:lang w:val="en-US"/>
        </w:rPr>
      </w:pPr>
    </w:p>
    <w:p w14:paraId="337C3C75">
      <w:pPr>
        <w:pStyle w:val="42"/>
        <w:spacing w:line="480" w:lineRule="auto"/>
        <w:ind w:firstLine="0"/>
        <w:rPr>
          <w:rFonts w:hint="eastAsia" w:ascii="宋体" w:hAnsi="宋体" w:eastAsia="宋体"/>
          <w:b/>
          <w:sz w:val="22"/>
          <w:szCs w:val="22"/>
          <w:lang w:val="en-US"/>
        </w:rPr>
      </w:pPr>
    </w:p>
    <w:p w14:paraId="4F3A6A7D">
      <w:pPr>
        <w:pStyle w:val="42"/>
        <w:spacing w:line="480" w:lineRule="auto"/>
        <w:ind w:firstLine="0"/>
        <w:rPr>
          <w:rFonts w:hint="eastAsia" w:ascii="宋体" w:hAnsi="宋体" w:eastAsia="宋体"/>
          <w:b/>
          <w:sz w:val="22"/>
          <w:szCs w:val="22"/>
          <w:lang w:val="en-US"/>
        </w:rPr>
      </w:pPr>
    </w:p>
    <w:p w14:paraId="1C096045">
      <w:pPr>
        <w:keepNext w:val="0"/>
        <w:keepLines w:val="0"/>
        <w:pageBreakBefore w:val="0"/>
        <w:widowControl/>
        <w:spacing w:after="0" w:line="360" w:lineRule="auto"/>
        <w:jc w:val="both"/>
        <w:outlineLvl w:val="1"/>
        <w:rPr>
          <w:rFonts w:hint="eastAsia" w:ascii="宋体" w:hAnsi="宋体" w:eastAsia="宋体" w:cs="Times New Roman"/>
          <w:b/>
          <w:sz w:val="22"/>
          <w:szCs w:val="22"/>
          <w:lang w:val="zh-CN" w:eastAsia="zh-CN" w:bidi="en-US"/>
        </w:rPr>
      </w:pPr>
      <w:r>
        <w:rPr>
          <w:rFonts w:hint="eastAsia" w:ascii="宋体" w:hAnsi="宋体" w:eastAsia="宋体" w:cs="Times New Roman"/>
          <w:b/>
          <w:sz w:val="22"/>
          <w:szCs w:val="22"/>
          <w:lang w:val="en-US" w:eastAsia="zh-CN" w:bidi="en-US"/>
        </w:rPr>
        <w:t xml:space="preserve">目录十四、相关附件内容  </w:t>
      </w:r>
      <w:r>
        <w:rPr>
          <w:rFonts w:hint="eastAsia" w:ascii="宋体" w:hAnsi="宋体" w:eastAsia="宋体" w:cs="Times New Roman"/>
          <w:b/>
          <w:sz w:val="22"/>
          <w:szCs w:val="22"/>
          <w:lang w:val="zh-CN" w:eastAsia="zh-CN" w:bidi="en-US"/>
        </w:rPr>
        <w:t xml:space="preserve">   </w:t>
      </w:r>
    </w:p>
    <w:p w14:paraId="1188F323">
      <w:pPr>
        <w:rPr>
          <w:rFonts w:hint="eastAsia" w:ascii="宋体" w:hAnsi="宋体" w:cs="宋体"/>
          <w:b/>
          <w:sz w:val="22"/>
          <w:szCs w:val="22"/>
        </w:rPr>
      </w:pPr>
      <w:r>
        <w:rPr>
          <w:rFonts w:hint="eastAsia" w:ascii="宋体" w:hAnsi="宋体" w:cs="宋体"/>
          <w:b/>
          <w:sz w:val="22"/>
          <w:szCs w:val="22"/>
        </w:rPr>
        <w:br w:type="page" w:clear="all"/>
      </w:r>
    </w:p>
    <w:p w14:paraId="2018715D">
      <w:pPr>
        <w:keepNext w:val="0"/>
        <w:keepLines w:val="0"/>
        <w:pageBreakBefore w:val="0"/>
        <w:widowControl/>
        <w:spacing w:after="0" w:line="360" w:lineRule="auto"/>
        <w:jc w:val="both"/>
        <w:outlineLvl w:val="1"/>
        <w:rPr>
          <w:rFonts w:hint="eastAsia" w:ascii="宋体" w:hAnsi="宋体" w:eastAsia="宋体" w:cs="Times New Roman"/>
          <w:b/>
          <w:sz w:val="22"/>
          <w:szCs w:val="22"/>
          <w:lang w:val="en-US" w:eastAsia="zh-CN" w:bidi="en-US"/>
        </w:rPr>
      </w:pPr>
      <w:r>
        <w:rPr>
          <w:rFonts w:hint="eastAsia" w:ascii="宋体" w:hAnsi="宋体" w:eastAsia="宋体" w:cs="Times New Roman"/>
          <w:b/>
          <w:sz w:val="22"/>
          <w:szCs w:val="22"/>
          <w:lang w:val="en-US" w:eastAsia="zh-CN" w:bidi="en-US"/>
        </w:rPr>
        <w:t>附件一、相关政策声明函格式</w:t>
      </w:r>
    </w:p>
    <w:p w14:paraId="291BB6C0">
      <w:pPr>
        <w:rPr>
          <w:rFonts w:hint="eastAsia"/>
          <w:sz w:val="22"/>
          <w:szCs w:val="22"/>
          <w:lang w:val="en-US" w:eastAsia="zh-CN"/>
        </w:rPr>
      </w:pPr>
    </w:p>
    <w:p w14:paraId="2E211F29">
      <w:pPr>
        <w:widowControl/>
        <w:spacing w:line="360" w:lineRule="auto"/>
        <w:jc w:val="center"/>
        <w:rPr>
          <w:rFonts w:hint="eastAsia" w:ascii="宋体" w:hAnsi="宋体" w:cs="宋体"/>
          <w:b/>
          <w:color w:val="000000"/>
          <w:sz w:val="22"/>
          <w:szCs w:val="22"/>
          <w:lang w:val="en-US" w:eastAsia="zh-CN"/>
        </w:rPr>
      </w:pPr>
      <w:r>
        <w:rPr>
          <w:rFonts w:hint="eastAsia" w:ascii="宋体" w:hAnsi="宋体" w:cs="宋体"/>
          <w:b/>
          <w:color w:val="000000"/>
          <w:sz w:val="22"/>
          <w:szCs w:val="22"/>
          <w:lang w:val="en-US" w:eastAsia="zh-CN"/>
        </w:rPr>
        <w:t>中小企业声明函（服务）</w:t>
      </w:r>
    </w:p>
    <w:p w14:paraId="0F87AC57">
      <w:pPr>
        <w:pStyle w:val="694"/>
        <w:spacing w:line="494" w:lineRule="exact"/>
        <w:ind w:firstLine="640"/>
        <w:jc w:val="both"/>
        <w:rPr>
          <w:sz w:val="22"/>
          <w:szCs w:val="22"/>
          <w:lang w:val="en-US" w:eastAsia="zh-CN" w:bidi="ar-SA"/>
        </w:rPr>
      </w:pPr>
      <w:r>
        <w:rPr>
          <w:rFonts w:hint="eastAsia"/>
          <w:sz w:val="22"/>
          <w:szCs w:val="22"/>
          <w:lang w:val="en-US" w:eastAsia="zh-CN" w:bidi="ar-SA"/>
        </w:rPr>
        <w:t xml:space="preserve">本公司郑重声明，根据《政府采购促进中小企业发展管理办法》（财库〔2020）46号）的规定，本公司参加 </w:t>
      </w:r>
      <w:r>
        <w:rPr>
          <w:rFonts w:hint="eastAsia"/>
          <w:sz w:val="22"/>
          <w:szCs w:val="22"/>
          <w:u w:val="single"/>
          <w:lang w:val="en-US" w:eastAsia="zh-CN" w:bidi="ar-SA"/>
        </w:rPr>
        <w:t xml:space="preserve">            </w:t>
      </w:r>
      <w:r>
        <w:rPr>
          <w:rFonts w:hint="eastAsia"/>
          <w:sz w:val="22"/>
          <w:szCs w:val="22"/>
          <w:lang w:val="en-US" w:eastAsia="zh-CN" w:bidi="ar-SA"/>
        </w:rPr>
        <w:t xml:space="preserve">（单位名称）的 </w:t>
      </w:r>
      <w:r>
        <w:rPr>
          <w:rFonts w:hint="eastAsia"/>
          <w:sz w:val="22"/>
          <w:szCs w:val="22"/>
          <w:u w:val="single"/>
          <w:lang w:val="en-US" w:eastAsia="zh-CN" w:bidi="ar-SA"/>
        </w:rPr>
        <w:t xml:space="preserve">        </w:t>
      </w:r>
      <w:r>
        <w:rPr>
          <w:rFonts w:hint="eastAsia"/>
          <w:sz w:val="22"/>
          <w:szCs w:val="22"/>
          <w:lang w:val="en-US" w:eastAsia="zh-CN" w:bidi="ar-SA"/>
        </w:rPr>
        <w:t>（项目名称）釆购活动，服务全部由符合政策要求的中小企业承接。相关企业的具体情况如下：</w:t>
      </w:r>
    </w:p>
    <w:p w14:paraId="28D37B91">
      <w:pPr>
        <w:pStyle w:val="694"/>
        <w:numPr>
          <w:ilvl w:val="0"/>
          <w:numId w:val="8"/>
        </w:numPr>
        <w:tabs>
          <w:tab w:val="left" w:pos="1166"/>
          <w:tab w:val="left" w:pos="6653"/>
        </w:tabs>
        <w:spacing w:line="494" w:lineRule="exact"/>
        <w:ind w:firstLine="420"/>
        <w:jc w:val="both"/>
        <w:rPr>
          <w:rFonts w:hint="eastAsia"/>
          <w:sz w:val="22"/>
          <w:szCs w:val="22"/>
          <w:highlight w:val="none"/>
          <w:lang w:val="zh-CN" w:eastAsia="zh-CN" w:bidi="ar-SA"/>
        </w:rPr>
      </w:pPr>
      <w:bookmarkStart w:id="5" w:name="bookmark26"/>
      <w:bookmarkEnd w:id="5"/>
      <w:r>
        <w:rPr>
          <w:rFonts w:hint="eastAsia"/>
          <w:sz w:val="22"/>
          <w:szCs w:val="22"/>
          <w:u w:val="single"/>
          <w:lang w:val="en-US" w:eastAsia="zh-CN" w:bidi="ar-SA"/>
        </w:rPr>
        <w:t xml:space="preserve">        </w:t>
      </w:r>
      <w:r>
        <w:rPr>
          <w:rFonts w:hint="eastAsia"/>
          <w:sz w:val="22"/>
          <w:szCs w:val="22"/>
          <w:lang w:val="en-US" w:eastAsia="zh-CN" w:bidi="ar-SA"/>
        </w:rPr>
        <w:t>（标的名称）,</w:t>
      </w:r>
      <w:r>
        <w:rPr>
          <w:rFonts w:hint="eastAsia"/>
          <w:sz w:val="22"/>
          <w:szCs w:val="22"/>
          <w:highlight w:val="none"/>
          <w:lang w:val="en-US" w:eastAsia="zh-CN" w:bidi="ar-SA"/>
        </w:rPr>
        <w:t>属于</w:t>
      </w:r>
      <w:r>
        <w:rPr>
          <w:rFonts w:hint="eastAsia"/>
          <w:sz w:val="22"/>
          <w:szCs w:val="22"/>
          <w:highlight w:val="none"/>
          <w:u w:val="single"/>
          <w:lang w:val="en-US" w:eastAsia="zh-CN" w:bidi="ar-SA"/>
        </w:rPr>
        <w:t xml:space="preserve">            </w:t>
      </w:r>
      <w:r>
        <w:rPr>
          <w:rFonts w:hint="eastAsia"/>
          <w:sz w:val="22"/>
          <w:szCs w:val="22"/>
          <w:highlight w:val="none"/>
          <w:lang w:val="en-US" w:eastAsia="zh-CN" w:bidi="ar-SA"/>
        </w:rPr>
        <w:t>（采购文件中明确的所属行业）； 承接（承建）企业为</w:t>
      </w:r>
      <w:r>
        <w:rPr>
          <w:rFonts w:hint="eastAsia"/>
          <w:sz w:val="22"/>
          <w:szCs w:val="22"/>
          <w:highlight w:val="none"/>
          <w:u w:val="single"/>
          <w:lang w:val="en-US" w:eastAsia="zh-CN" w:bidi="ar-SA"/>
        </w:rPr>
        <w:t xml:space="preserve">              </w:t>
      </w:r>
      <w:r>
        <w:rPr>
          <w:rFonts w:hint="eastAsia"/>
          <w:sz w:val="22"/>
          <w:szCs w:val="22"/>
          <w:highlight w:val="none"/>
          <w:lang w:val="en-US" w:eastAsia="zh-CN" w:bidi="ar-SA"/>
        </w:rPr>
        <w:t>（企业名称）,从业人员</w:t>
      </w:r>
      <w:r>
        <w:rPr>
          <w:rFonts w:hint="eastAsia"/>
          <w:sz w:val="22"/>
          <w:szCs w:val="22"/>
          <w:highlight w:val="none"/>
          <w:u w:val="single"/>
          <w:lang w:val="en-US" w:eastAsia="zh-CN" w:bidi="ar-SA"/>
        </w:rPr>
        <w:t xml:space="preserve"> </w:t>
      </w:r>
      <w:r>
        <w:rPr>
          <w:rFonts w:hint="eastAsia"/>
          <w:sz w:val="22"/>
          <w:szCs w:val="22"/>
          <w:highlight w:val="none"/>
          <w:u w:val="single"/>
          <w:lang w:val="en-US" w:eastAsia="zh-CN" w:bidi="ar-SA"/>
        </w:rPr>
        <w:tab/>
      </w:r>
      <w:r>
        <w:rPr>
          <w:rFonts w:hint="eastAsia"/>
          <w:sz w:val="22"/>
          <w:szCs w:val="22"/>
          <w:highlight w:val="none"/>
          <w:lang w:val="en-US" w:eastAsia="zh-CN" w:bidi="ar-SA"/>
        </w:rPr>
        <w:t>人，营业收入为</w:t>
      </w:r>
      <w:r>
        <w:rPr>
          <w:rFonts w:hint="eastAsia"/>
          <w:sz w:val="22"/>
          <w:szCs w:val="22"/>
          <w:highlight w:val="none"/>
          <w:u w:val="single"/>
          <w:lang w:val="en-US" w:eastAsia="zh-CN" w:bidi="ar-SA"/>
        </w:rPr>
        <w:tab/>
      </w:r>
      <w:r>
        <w:rPr>
          <w:rFonts w:hint="eastAsia"/>
          <w:sz w:val="22"/>
          <w:szCs w:val="22"/>
          <w:highlight w:val="none"/>
          <w:lang w:val="en-US" w:eastAsia="zh-CN" w:bidi="ar-SA"/>
        </w:rPr>
        <w:t>万元，资产总额为</w:t>
      </w:r>
      <w:r>
        <w:rPr>
          <w:rFonts w:hint="eastAsia"/>
          <w:sz w:val="22"/>
          <w:szCs w:val="22"/>
          <w:highlight w:val="none"/>
          <w:u w:val="single"/>
          <w:lang w:val="en-US" w:eastAsia="zh-CN" w:bidi="ar-SA"/>
        </w:rPr>
        <w:t xml:space="preserve">         </w:t>
      </w:r>
      <w:r>
        <w:rPr>
          <w:rFonts w:hint="eastAsia"/>
          <w:sz w:val="22"/>
          <w:szCs w:val="22"/>
          <w:highlight w:val="none"/>
          <w:lang w:val="en-US" w:eastAsia="zh-CN" w:bidi="ar-SA"/>
        </w:rPr>
        <w:t>万元，属于</w:t>
      </w:r>
      <w:r>
        <w:rPr>
          <w:rFonts w:hint="eastAsia"/>
          <w:sz w:val="22"/>
          <w:szCs w:val="22"/>
          <w:highlight w:val="none"/>
          <w:u w:val="single"/>
          <w:lang w:val="en-US" w:eastAsia="zh-CN" w:bidi="ar-SA"/>
        </w:rPr>
        <w:t xml:space="preserve">                </w:t>
      </w:r>
      <w:r>
        <w:rPr>
          <w:rFonts w:hint="eastAsia"/>
          <w:sz w:val="22"/>
          <w:szCs w:val="22"/>
          <w:highlight w:val="none"/>
          <w:lang w:val="en-US" w:eastAsia="zh-CN" w:bidi="ar-SA"/>
        </w:rPr>
        <w:t>（中型企业、 小型企业、微型企</w:t>
      </w:r>
      <w:r>
        <w:rPr>
          <w:rFonts w:hint="eastAsia"/>
          <w:sz w:val="22"/>
          <w:szCs w:val="22"/>
          <w:highlight w:val="none"/>
          <w:lang w:val="zh-CN" w:eastAsia="zh-CN" w:bidi="ar-SA"/>
        </w:rPr>
        <w:t>业）；</w:t>
      </w:r>
    </w:p>
    <w:p w14:paraId="41E2DFB8">
      <w:pPr>
        <w:pStyle w:val="694"/>
        <w:numPr>
          <w:ilvl w:val="0"/>
          <w:numId w:val="0"/>
        </w:numPr>
        <w:tabs>
          <w:tab w:val="left" w:pos="1166"/>
          <w:tab w:val="left" w:pos="6653"/>
        </w:tabs>
        <w:spacing w:line="494" w:lineRule="exact"/>
        <w:ind w:firstLine="420"/>
        <w:jc w:val="both"/>
        <w:rPr>
          <w:sz w:val="22"/>
          <w:szCs w:val="22"/>
          <w:lang w:val="en-US" w:eastAsia="zh-CN" w:bidi="ar-SA"/>
        </w:rPr>
      </w:pPr>
      <w:r>
        <w:rPr>
          <w:rFonts w:hint="eastAsia"/>
          <w:sz w:val="22"/>
          <w:szCs w:val="22"/>
          <w:highlight w:val="none"/>
          <w:u w:val="none"/>
          <w:lang w:val="en-US" w:eastAsia="zh-CN" w:bidi="ar-SA"/>
        </w:rPr>
        <w:t>2、</w:t>
      </w:r>
      <w:r>
        <w:rPr>
          <w:rFonts w:hint="eastAsia"/>
          <w:sz w:val="22"/>
          <w:szCs w:val="22"/>
          <w:highlight w:val="none"/>
          <w:u w:val="single"/>
          <w:lang w:val="en-US" w:eastAsia="zh-CN" w:bidi="ar-SA"/>
        </w:rPr>
        <w:t xml:space="preserve">         </w:t>
      </w:r>
      <w:r>
        <w:rPr>
          <w:rFonts w:hint="eastAsia"/>
          <w:sz w:val="22"/>
          <w:szCs w:val="22"/>
          <w:highlight w:val="none"/>
          <w:lang w:val="en-US" w:eastAsia="zh-CN" w:bidi="ar-SA"/>
        </w:rPr>
        <w:t>（标的名称）,属于</w:t>
      </w:r>
      <w:r>
        <w:rPr>
          <w:rFonts w:hint="eastAsia"/>
          <w:sz w:val="22"/>
          <w:szCs w:val="22"/>
          <w:highlight w:val="none"/>
          <w:u w:val="single"/>
          <w:lang w:val="en-US" w:eastAsia="zh-CN" w:bidi="ar-SA"/>
        </w:rPr>
        <w:t xml:space="preserve">            </w:t>
      </w:r>
      <w:r>
        <w:rPr>
          <w:rFonts w:hint="eastAsia"/>
          <w:sz w:val="22"/>
          <w:szCs w:val="22"/>
          <w:highlight w:val="none"/>
          <w:lang w:val="en-US" w:eastAsia="zh-CN" w:bidi="ar-SA"/>
        </w:rPr>
        <w:t>（采购文件中明确的所属行业）； 承接（承建）企业为</w:t>
      </w:r>
      <w:r>
        <w:rPr>
          <w:rFonts w:hint="eastAsia"/>
          <w:sz w:val="22"/>
          <w:szCs w:val="22"/>
          <w:highlight w:val="none"/>
          <w:u w:val="single"/>
          <w:lang w:val="en-US" w:eastAsia="zh-CN" w:bidi="ar-SA"/>
        </w:rPr>
        <w:t xml:space="preserve">              </w:t>
      </w:r>
      <w:r>
        <w:rPr>
          <w:rFonts w:hint="eastAsia"/>
          <w:sz w:val="22"/>
          <w:szCs w:val="22"/>
          <w:highlight w:val="none"/>
          <w:lang w:val="en-US" w:eastAsia="zh-CN" w:bidi="ar-SA"/>
        </w:rPr>
        <w:t>（企业名称）,从业人员</w:t>
      </w:r>
      <w:r>
        <w:rPr>
          <w:rFonts w:hint="eastAsia"/>
          <w:sz w:val="22"/>
          <w:szCs w:val="22"/>
          <w:highlight w:val="none"/>
          <w:u w:val="single"/>
          <w:lang w:val="en-US" w:eastAsia="zh-CN" w:bidi="ar-SA"/>
        </w:rPr>
        <w:t xml:space="preserve"> </w:t>
      </w:r>
      <w:r>
        <w:rPr>
          <w:rFonts w:hint="eastAsia"/>
          <w:sz w:val="22"/>
          <w:szCs w:val="22"/>
          <w:highlight w:val="none"/>
          <w:u w:val="single"/>
          <w:lang w:val="en-US" w:eastAsia="zh-CN" w:bidi="ar-SA"/>
        </w:rPr>
        <w:tab/>
      </w:r>
      <w:r>
        <w:rPr>
          <w:rFonts w:hint="eastAsia"/>
          <w:sz w:val="22"/>
          <w:szCs w:val="22"/>
          <w:highlight w:val="none"/>
          <w:lang w:val="en-US" w:eastAsia="zh-CN" w:bidi="ar-SA"/>
        </w:rPr>
        <w:t>人，营业收入为</w:t>
      </w:r>
      <w:r>
        <w:rPr>
          <w:rFonts w:hint="eastAsia"/>
          <w:sz w:val="22"/>
          <w:szCs w:val="22"/>
          <w:highlight w:val="none"/>
          <w:u w:val="single"/>
          <w:lang w:val="en-US" w:eastAsia="zh-CN" w:bidi="ar-SA"/>
        </w:rPr>
        <w:tab/>
      </w:r>
      <w:r>
        <w:rPr>
          <w:rFonts w:hint="eastAsia"/>
          <w:sz w:val="22"/>
          <w:szCs w:val="22"/>
          <w:highlight w:val="none"/>
          <w:lang w:val="en-US" w:eastAsia="zh-CN" w:bidi="ar-SA"/>
        </w:rPr>
        <w:t>万</w:t>
      </w:r>
      <w:r>
        <w:rPr>
          <w:rFonts w:hint="eastAsia"/>
          <w:sz w:val="22"/>
          <w:szCs w:val="22"/>
          <w:lang w:val="en-US" w:eastAsia="zh-CN" w:bidi="ar-SA"/>
        </w:rPr>
        <w:t>元，资产总额为</w:t>
      </w:r>
      <w:r>
        <w:rPr>
          <w:rFonts w:hint="eastAsia"/>
          <w:sz w:val="22"/>
          <w:szCs w:val="22"/>
          <w:u w:val="single"/>
          <w:lang w:val="en-US" w:eastAsia="zh-CN" w:bidi="ar-SA"/>
        </w:rPr>
        <w:t xml:space="preserve">         </w:t>
      </w:r>
      <w:r>
        <w:rPr>
          <w:rFonts w:hint="eastAsia"/>
          <w:sz w:val="22"/>
          <w:szCs w:val="22"/>
          <w:lang w:val="en-US" w:eastAsia="zh-CN" w:bidi="ar-SA"/>
        </w:rPr>
        <w:t>万元，属于</w:t>
      </w:r>
      <w:r>
        <w:rPr>
          <w:rFonts w:hint="eastAsia"/>
          <w:sz w:val="22"/>
          <w:szCs w:val="22"/>
          <w:u w:val="single"/>
          <w:lang w:val="en-US" w:eastAsia="zh-CN" w:bidi="ar-SA"/>
        </w:rPr>
        <w:t xml:space="preserve">                </w:t>
      </w:r>
      <w:r>
        <w:rPr>
          <w:rFonts w:hint="eastAsia"/>
          <w:sz w:val="22"/>
          <w:szCs w:val="22"/>
          <w:lang w:val="en-US" w:eastAsia="zh-CN" w:bidi="ar-SA"/>
        </w:rPr>
        <w:t>（中型企业、 小型企业、微型企</w:t>
      </w:r>
      <w:r>
        <w:rPr>
          <w:rFonts w:hint="eastAsia"/>
          <w:sz w:val="22"/>
          <w:szCs w:val="22"/>
          <w:lang w:val="zh-CN" w:eastAsia="zh-CN" w:bidi="ar-SA"/>
        </w:rPr>
        <w:t>业）；</w:t>
      </w:r>
    </w:p>
    <w:p w14:paraId="40CA25A9">
      <w:pPr>
        <w:pStyle w:val="694"/>
        <w:numPr>
          <w:ilvl w:val="0"/>
          <w:numId w:val="0"/>
        </w:numPr>
        <w:tabs>
          <w:tab w:val="left" w:pos="1166"/>
          <w:tab w:val="left" w:pos="6653"/>
        </w:tabs>
        <w:spacing w:line="494" w:lineRule="exact"/>
        <w:jc w:val="both"/>
        <w:rPr>
          <w:rFonts w:hint="eastAsia"/>
          <w:sz w:val="22"/>
          <w:szCs w:val="22"/>
          <w:lang w:val="en-US" w:eastAsia="zh-CN" w:bidi="ar-SA"/>
        </w:rPr>
      </w:pPr>
    </w:p>
    <w:p w14:paraId="334A13FA">
      <w:pPr>
        <w:pStyle w:val="694"/>
        <w:spacing w:line="499" w:lineRule="exact"/>
        <w:ind w:firstLine="640"/>
        <w:jc w:val="both"/>
        <w:rPr>
          <w:b/>
          <w:bCs/>
          <w:sz w:val="22"/>
          <w:szCs w:val="22"/>
          <w:lang w:val="en-US" w:eastAsia="zh-CN" w:bidi="ar-SA"/>
        </w:rPr>
      </w:pPr>
      <w:bookmarkStart w:id="6" w:name="bookmark27"/>
      <w:bookmarkEnd w:id="6"/>
      <w:r>
        <w:rPr>
          <w:rFonts w:hint="eastAsia"/>
          <w:b/>
          <w:bCs/>
          <w:sz w:val="22"/>
          <w:szCs w:val="22"/>
          <w:lang w:val="en-US" w:eastAsia="zh-CN" w:bidi="ar-SA"/>
        </w:rPr>
        <w:t>以上企业，不属于大企业的分支机构，不存在控股股东为大企业的情形，也不存在与大企业的负责人为同一人的情形。</w:t>
      </w:r>
    </w:p>
    <w:p w14:paraId="233110A6">
      <w:pPr>
        <w:pStyle w:val="694"/>
        <w:spacing w:line="499" w:lineRule="exact"/>
        <w:ind w:firstLine="640"/>
        <w:jc w:val="both"/>
        <w:rPr>
          <w:b/>
          <w:bCs/>
          <w:sz w:val="22"/>
          <w:szCs w:val="22"/>
          <w:lang w:val="en-US" w:eastAsia="zh-CN" w:bidi="ar-SA"/>
        </w:rPr>
      </w:pPr>
      <w:r>
        <w:rPr>
          <w:rFonts w:hint="eastAsia"/>
          <w:b/>
          <w:bCs/>
          <w:sz w:val="22"/>
          <w:szCs w:val="22"/>
          <w:lang w:val="en-US" w:eastAsia="zh-CN" w:bidi="ar-SA"/>
        </w:rPr>
        <w:t>本企业对上述声明内容的真实性负责。如有虚假，将依法承担相应责任。</w:t>
      </w:r>
    </w:p>
    <w:p w14:paraId="787A53E6">
      <w:pPr>
        <w:spacing w:line="360" w:lineRule="auto"/>
        <w:ind w:firstLine="420"/>
        <w:rPr>
          <w:rFonts w:ascii="宋体" w:hAnsi="宋体" w:cs="宋体"/>
          <w:sz w:val="22"/>
          <w:szCs w:val="22"/>
          <w:lang w:val="zh-CN"/>
        </w:rPr>
      </w:pPr>
      <w:r>
        <w:rPr>
          <w:rFonts w:hint="eastAsia" w:ascii="宋体" w:hAnsi="宋体" w:cs="宋体"/>
          <w:sz w:val="22"/>
          <w:szCs w:val="22"/>
          <w:lang w:val="zh-CN"/>
        </w:rPr>
        <w:t>供应商名称：</w:t>
      </w:r>
      <w:r>
        <w:rPr>
          <w:rFonts w:hint="eastAsia" w:ascii="宋体" w:hAnsi="宋体" w:cs="宋体"/>
          <w:sz w:val="22"/>
          <w:szCs w:val="22"/>
          <w:u w:val="single"/>
          <w:lang w:val="zh-CN"/>
        </w:rPr>
        <w:t xml:space="preserve">                 </w:t>
      </w:r>
      <w:r>
        <w:rPr>
          <w:rFonts w:hint="eastAsia" w:ascii="宋体" w:hAnsi="宋体" w:cs="宋体"/>
          <w:sz w:val="22"/>
          <w:szCs w:val="22"/>
          <w:lang w:val="zh-CN"/>
        </w:rPr>
        <w:t>（盖章）</w:t>
      </w:r>
    </w:p>
    <w:p w14:paraId="539FBEB9">
      <w:pPr>
        <w:widowControl/>
        <w:spacing w:line="360" w:lineRule="auto"/>
        <w:jc w:val="left"/>
        <w:rPr>
          <w:rFonts w:ascii="宋体" w:hAnsi="宋体" w:cs="宋体"/>
          <w:sz w:val="22"/>
          <w:szCs w:val="22"/>
          <w:lang w:val="zh-CN"/>
        </w:rPr>
      </w:pPr>
      <w:r>
        <w:rPr>
          <w:rFonts w:hint="eastAsia" w:ascii="宋体" w:hAnsi="宋体" w:cs="宋体"/>
          <w:sz w:val="22"/>
          <w:szCs w:val="22"/>
          <w:lang w:val="zh-CN"/>
        </w:rPr>
        <w:t xml:space="preserve">    法定代表人或授权委托人签字：</w:t>
      </w:r>
      <w:r>
        <w:rPr>
          <w:rFonts w:hint="eastAsia" w:ascii="宋体" w:hAnsi="宋体" w:cs="宋体"/>
          <w:sz w:val="22"/>
          <w:szCs w:val="22"/>
          <w:u w:val="single"/>
        </w:rPr>
        <w:t xml:space="preserve">         </w:t>
      </w:r>
      <w:r>
        <w:rPr>
          <w:rFonts w:hint="eastAsia" w:ascii="宋体" w:hAnsi="宋体" w:cs="宋体"/>
          <w:sz w:val="22"/>
          <w:szCs w:val="22"/>
          <w:u w:val="single"/>
          <w:lang w:val="zh-CN"/>
        </w:rPr>
        <w:t xml:space="preserve">  </w:t>
      </w:r>
      <w:r>
        <w:rPr>
          <w:rFonts w:hint="eastAsia" w:ascii="宋体" w:hAnsi="宋体" w:cs="宋体"/>
          <w:sz w:val="22"/>
          <w:szCs w:val="22"/>
          <w:lang w:val="zh-CN"/>
        </w:rPr>
        <w:t xml:space="preserve">                  </w:t>
      </w:r>
    </w:p>
    <w:p w14:paraId="4DC648A3">
      <w:pPr>
        <w:spacing w:line="360" w:lineRule="auto"/>
        <w:ind w:firstLine="420"/>
        <w:rPr>
          <w:rFonts w:ascii="宋体" w:hAnsi="宋体" w:cs="宋体"/>
          <w:sz w:val="22"/>
          <w:szCs w:val="22"/>
          <w:lang w:val="zh-CN"/>
        </w:rPr>
      </w:pPr>
      <w:r>
        <w:rPr>
          <w:rFonts w:hint="eastAsia" w:ascii="宋体" w:hAnsi="宋体" w:cs="宋体"/>
          <w:sz w:val="22"/>
          <w:szCs w:val="22"/>
          <w:lang w:val="zh-CN"/>
        </w:rPr>
        <w:t>日    期：</w:t>
      </w:r>
      <w:r>
        <w:rPr>
          <w:rFonts w:hint="eastAsia" w:ascii="宋体" w:hAnsi="宋体" w:cs="宋体"/>
          <w:sz w:val="22"/>
          <w:szCs w:val="22"/>
          <w:u w:val="single"/>
          <w:lang w:val="zh-CN"/>
        </w:rPr>
        <w:t xml:space="preserve">       </w:t>
      </w:r>
      <w:r>
        <w:rPr>
          <w:rFonts w:hint="eastAsia" w:ascii="宋体" w:hAnsi="宋体" w:cs="宋体"/>
          <w:sz w:val="22"/>
          <w:szCs w:val="22"/>
          <w:lang w:val="zh-CN"/>
        </w:rPr>
        <w:t>年</w:t>
      </w:r>
      <w:r>
        <w:rPr>
          <w:rFonts w:hint="eastAsia" w:ascii="宋体" w:hAnsi="宋体" w:cs="宋体"/>
          <w:sz w:val="22"/>
          <w:szCs w:val="22"/>
          <w:u w:val="single"/>
          <w:lang w:val="zh-CN"/>
        </w:rPr>
        <w:t xml:space="preserve">    </w:t>
      </w:r>
      <w:r>
        <w:rPr>
          <w:rFonts w:hint="eastAsia" w:ascii="宋体" w:hAnsi="宋体" w:cs="宋体"/>
          <w:sz w:val="22"/>
          <w:szCs w:val="22"/>
          <w:lang w:val="zh-CN"/>
        </w:rPr>
        <w:t>月</w:t>
      </w:r>
      <w:r>
        <w:rPr>
          <w:rFonts w:hint="eastAsia" w:ascii="宋体" w:hAnsi="宋体" w:cs="宋体"/>
          <w:sz w:val="22"/>
          <w:szCs w:val="22"/>
          <w:u w:val="single"/>
          <w:lang w:val="zh-CN"/>
        </w:rPr>
        <w:t xml:space="preserve">    </w:t>
      </w:r>
      <w:r>
        <w:rPr>
          <w:rFonts w:hint="eastAsia" w:ascii="宋体" w:hAnsi="宋体" w:cs="宋体"/>
          <w:sz w:val="22"/>
          <w:szCs w:val="22"/>
          <w:lang w:val="zh-CN"/>
        </w:rPr>
        <w:t>日</w:t>
      </w:r>
    </w:p>
    <w:p w14:paraId="2A105CD9">
      <w:pPr>
        <w:rPr>
          <w:sz w:val="22"/>
          <w:szCs w:val="22"/>
        </w:rPr>
      </w:pPr>
    </w:p>
    <w:p w14:paraId="67DEDF08">
      <w:pPr>
        <w:pStyle w:val="42"/>
        <w:rPr>
          <w:sz w:val="22"/>
          <w:szCs w:val="22"/>
        </w:rPr>
      </w:pPr>
    </w:p>
    <w:p w14:paraId="3107850C">
      <w:pPr>
        <w:spacing w:line="360" w:lineRule="auto"/>
        <w:ind w:firstLine="422"/>
        <w:rPr>
          <w:rFonts w:hint="eastAsia" w:ascii="宋体" w:hAnsi="宋体" w:eastAsia="宋体" w:cs="宋体"/>
          <w:b/>
          <w:bCs/>
          <w:sz w:val="22"/>
          <w:szCs w:val="22"/>
        </w:rPr>
      </w:pPr>
      <w:r>
        <w:rPr>
          <w:rFonts w:hint="eastAsia" w:ascii="宋体" w:hAnsi="宋体" w:eastAsia="宋体" w:cs="宋体"/>
          <w:b/>
          <w:bCs/>
          <w:sz w:val="22"/>
          <w:szCs w:val="22"/>
        </w:rPr>
        <w:t>备注：1.从业人员、营业收入、资产总额填报上一年度数据，无上一年度数据的新成立企业可不填报。</w:t>
      </w:r>
    </w:p>
    <w:p w14:paraId="11362D04">
      <w:pPr>
        <w:spacing w:line="360" w:lineRule="auto"/>
        <w:ind w:firstLine="843"/>
        <w:rPr>
          <w:rFonts w:hint="eastAsia" w:ascii="宋体" w:hAnsi="宋体" w:eastAsia="宋体" w:cs="宋体"/>
          <w:b/>
          <w:bCs/>
          <w:sz w:val="22"/>
          <w:szCs w:val="22"/>
        </w:rPr>
      </w:pPr>
      <w:r>
        <w:rPr>
          <w:rFonts w:hint="eastAsia" w:ascii="宋体" w:hAnsi="宋体" w:eastAsia="宋体" w:cs="宋体"/>
          <w:b/>
          <w:bCs/>
          <w:sz w:val="22"/>
          <w:szCs w:val="22"/>
        </w:rPr>
        <w:t>2.在政府采购活动中，供应商提供的货物、工程或者服务符合下列情形的，享受本办法规定的中小企业扶持政策：</w:t>
      </w:r>
    </w:p>
    <w:p w14:paraId="415E3938">
      <w:pPr>
        <w:spacing w:line="360" w:lineRule="auto"/>
        <w:ind w:firstLine="422"/>
        <w:rPr>
          <w:rFonts w:hint="eastAsia" w:ascii="宋体" w:hAnsi="宋体" w:eastAsia="宋体" w:cs="宋体"/>
          <w:b/>
          <w:bCs/>
          <w:sz w:val="22"/>
          <w:szCs w:val="22"/>
        </w:rPr>
      </w:pPr>
      <w:r>
        <w:rPr>
          <w:rFonts w:hint="eastAsia" w:ascii="宋体" w:hAnsi="宋体" w:eastAsia="宋体" w:cs="宋体"/>
          <w:b/>
          <w:bCs/>
          <w:sz w:val="22"/>
          <w:szCs w:val="22"/>
        </w:rPr>
        <w:t>（一）在货物采购项目中，货物由中小企业制造，即货物由中小企业生产且使用该中小企业商号或者注册商标；</w:t>
      </w:r>
    </w:p>
    <w:p w14:paraId="1DA9C8CC">
      <w:pPr>
        <w:spacing w:line="360" w:lineRule="auto"/>
        <w:ind w:firstLine="422"/>
        <w:rPr>
          <w:rFonts w:hint="eastAsia" w:ascii="宋体" w:hAnsi="宋体" w:eastAsia="宋体" w:cs="宋体"/>
          <w:b/>
          <w:bCs/>
          <w:sz w:val="22"/>
          <w:szCs w:val="22"/>
        </w:rPr>
      </w:pPr>
      <w:r>
        <w:rPr>
          <w:rFonts w:hint="eastAsia" w:ascii="宋体" w:hAnsi="宋体" w:eastAsia="宋体" w:cs="宋体"/>
          <w:b/>
          <w:bCs/>
          <w:sz w:val="22"/>
          <w:szCs w:val="22"/>
        </w:rPr>
        <w:t>（二）在工程采购项目中，工程由中小企业承建，即工程施工单位为中小企业；</w:t>
      </w:r>
    </w:p>
    <w:p w14:paraId="2985BD73">
      <w:pPr>
        <w:spacing w:line="360" w:lineRule="auto"/>
        <w:ind w:firstLine="422"/>
        <w:rPr>
          <w:rFonts w:hint="eastAsia" w:ascii="宋体" w:hAnsi="宋体" w:eastAsia="宋体" w:cs="宋体"/>
          <w:b/>
          <w:bCs/>
          <w:sz w:val="22"/>
          <w:szCs w:val="22"/>
        </w:rPr>
      </w:pPr>
      <w:r>
        <w:rPr>
          <w:rFonts w:hint="eastAsia" w:ascii="宋体" w:hAnsi="宋体" w:eastAsia="宋体" w:cs="宋体"/>
          <w:b/>
          <w:bCs/>
          <w:sz w:val="22"/>
          <w:szCs w:val="22"/>
        </w:rPr>
        <w:t>（三）在服务采购项目中，服务由中小企业承接，即提供服务的人员为中小企业依照《中华人民共和国劳动合同法》 订立劳动合同的从业人员。</w:t>
      </w:r>
    </w:p>
    <w:p w14:paraId="70E466C2">
      <w:pPr>
        <w:spacing w:line="360" w:lineRule="auto"/>
        <w:ind w:firstLine="422"/>
        <w:rPr>
          <w:rFonts w:hint="eastAsia" w:ascii="宋体" w:hAnsi="宋体" w:eastAsia="宋体" w:cs="宋体"/>
          <w:b/>
          <w:bCs/>
          <w:sz w:val="22"/>
          <w:szCs w:val="22"/>
        </w:rPr>
      </w:pPr>
      <w:r>
        <w:rPr>
          <w:rFonts w:hint="eastAsia" w:ascii="宋体" w:hAnsi="宋体" w:eastAsia="宋体" w:cs="宋体"/>
          <w:b/>
          <w:bCs/>
          <w:sz w:val="22"/>
          <w:szCs w:val="22"/>
        </w:rPr>
        <w:t>在货物采购项目中，供应商提供的货物既有中小企业制造货物，也有大型企业制造货物的，不享受本办法规定的中小企业扶持政策。</w:t>
      </w:r>
    </w:p>
    <w:p w14:paraId="0BE15279">
      <w:pPr>
        <w:spacing w:line="360" w:lineRule="auto"/>
        <w:ind w:firstLine="422"/>
        <w:rPr>
          <w:rFonts w:hint="eastAsia" w:ascii="宋体" w:hAnsi="宋体" w:eastAsia="宋体" w:cs="宋体"/>
          <w:b/>
          <w:bCs/>
          <w:sz w:val="22"/>
          <w:szCs w:val="22"/>
        </w:rPr>
      </w:pPr>
      <w:r>
        <w:rPr>
          <w:rFonts w:hint="eastAsia" w:ascii="宋体" w:hAnsi="宋体" w:eastAsia="宋体" w:cs="宋体"/>
          <w:b/>
          <w:bCs/>
          <w:sz w:val="22"/>
          <w:szCs w:val="22"/>
        </w:rPr>
        <w:t>以联合体形式参加政府采购活动，联合体各方均为中小企业的，联合体视同中小企业。其中，联合体各方均为小微企业的，联合体视同小微企业。</w:t>
      </w:r>
    </w:p>
    <w:p w14:paraId="38CB67EB">
      <w:pPr>
        <w:spacing w:line="360" w:lineRule="auto"/>
        <w:ind w:firstLine="422"/>
        <w:rPr>
          <w:rFonts w:hint="eastAsia" w:ascii="宋体" w:hAnsi="宋体" w:eastAsia="宋体" w:cs="宋体"/>
          <w:b/>
          <w:bCs/>
          <w:sz w:val="22"/>
          <w:szCs w:val="22"/>
        </w:rPr>
      </w:pPr>
      <w:r>
        <w:rPr>
          <w:rFonts w:hint="eastAsia" w:ascii="宋体" w:hAnsi="宋体" w:eastAsia="宋体" w:cs="宋体"/>
          <w:b/>
          <w:bCs/>
          <w:sz w:val="22"/>
          <w:szCs w:val="22"/>
        </w:rPr>
        <w:t>3.《中小企业声明函》中所填的行业应与本采购标的对应的中小企业划分标准所属行业一致，不一致的不可享受相应政策优惠。本采购标的对应的中小企业划分标准所属行业，以采购文件第四章《招标书》规定为准。</w:t>
      </w:r>
    </w:p>
    <w:p w14:paraId="4E074E90">
      <w:pPr>
        <w:spacing w:line="360" w:lineRule="auto"/>
        <w:ind w:firstLine="422"/>
        <w:rPr>
          <w:rFonts w:hint="eastAsia" w:ascii="宋体" w:hAnsi="宋体" w:eastAsia="宋体" w:cs="宋体"/>
          <w:b/>
          <w:bCs/>
          <w:sz w:val="22"/>
          <w:szCs w:val="22"/>
        </w:rPr>
      </w:pPr>
      <w:r>
        <w:rPr>
          <w:rFonts w:hint="eastAsia" w:ascii="宋体" w:hAnsi="宋体" w:eastAsia="宋体" w:cs="宋体"/>
          <w:b/>
          <w:bCs/>
          <w:sz w:val="22"/>
          <w:szCs w:val="22"/>
        </w:rPr>
        <w:t>4.如未对（中型企业、小型企业、微型企业）进行勾选，视同非小微企业，不可享受相应扶持政策。</w:t>
      </w:r>
    </w:p>
    <w:p w14:paraId="263DEB3D">
      <w:pPr>
        <w:spacing w:line="360" w:lineRule="auto"/>
        <w:ind w:firstLine="422"/>
        <w:rPr>
          <w:rFonts w:hint="eastAsia" w:ascii="宋体" w:hAnsi="宋体" w:eastAsia="宋体" w:cs="宋体"/>
          <w:b/>
          <w:bCs/>
          <w:sz w:val="22"/>
          <w:szCs w:val="22"/>
        </w:rPr>
      </w:pPr>
      <w:r>
        <w:rPr>
          <w:rFonts w:hint="eastAsia" w:ascii="宋体" w:hAnsi="宋体" w:eastAsia="宋体" w:cs="宋体"/>
          <w:b/>
          <w:bCs/>
          <w:sz w:val="22"/>
          <w:szCs w:val="22"/>
        </w:rPr>
        <w:t>5.中标单位为中小企业的，《中小企业声明函》将随中标结果同时公告。</w:t>
      </w:r>
    </w:p>
    <w:p w14:paraId="0D4E6332">
      <w:pPr>
        <w:spacing w:line="360" w:lineRule="auto"/>
        <w:ind w:left="0"/>
        <w:rPr>
          <w:rFonts w:hint="eastAsia" w:ascii="宋体" w:hAnsi="宋体" w:eastAsia="宋体" w:cs="宋体"/>
          <w:b/>
          <w:sz w:val="22"/>
          <w:szCs w:val="22"/>
        </w:rPr>
      </w:pPr>
    </w:p>
    <w:p w14:paraId="15AB315C">
      <w:pPr>
        <w:spacing w:line="360" w:lineRule="auto"/>
        <w:ind w:left="0"/>
        <w:rPr>
          <w:rFonts w:hint="eastAsia" w:ascii="宋体" w:hAnsi="宋体" w:eastAsia="宋体" w:cs="宋体"/>
          <w:b/>
          <w:sz w:val="22"/>
          <w:szCs w:val="22"/>
        </w:rPr>
      </w:pPr>
      <w:r>
        <w:rPr>
          <w:rFonts w:hint="eastAsia" w:ascii="宋体" w:hAnsi="宋体" w:eastAsia="宋体" w:cs="宋体"/>
          <w:b/>
          <w:sz w:val="22"/>
          <w:szCs w:val="22"/>
        </w:rPr>
        <w:t>附：中小企业划型标准规定</w:t>
      </w:r>
    </w:p>
    <w:p w14:paraId="005D675D">
      <w:pPr>
        <w:spacing w:line="360" w:lineRule="auto"/>
        <w:ind w:left="0" w:firstLine="422"/>
        <w:rPr>
          <w:rFonts w:hint="eastAsia" w:ascii="宋体" w:hAnsi="宋体" w:eastAsia="宋体" w:cs="宋体"/>
          <w:sz w:val="22"/>
          <w:szCs w:val="22"/>
        </w:rPr>
      </w:pPr>
      <w:r>
        <w:rPr>
          <w:rFonts w:hint="eastAsia" w:ascii="宋体" w:hAnsi="宋体" w:eastAsia="宋体" w:cs="宋体"/>
          <w:b/>
          <w:sz w:val="22"/>
          <w:szCs w:val="22"/>
        </w:rPr>
        <w:t>（一）农、林、牧、渔业。</w:t>
      </w:r>
      <w:r>
        <w:rPr>
          <w:rFonts w:hint="eastAsia" w:ascii="宋体" w:hAnsi="宋体" w:eastAsia="宋体" w:cs="宋体"/>
          <w:sz w:val="22"/>
          <w:szCs w:val="22"/>
        </w:rPr>
        <w:t>营业收入20000万元以下的为中小微型企业。其中，营业收入500万元及以上的为中型企业，营业收入50万元及以上的为小型企业，营业收入50万元以下的为微型企业。</w:t>
      </w:r>
    </w:p>
    <w:p w14:paraId="24706C5C">
      <w:pPr>
        <w:spacing w:line="360" w:lineRule="auto"/>
        <w:ind w:left="0" w:firstLine="422"/>
        <w:rPr>
          <w:rFonts w:hint="eastAsia" w:ascii="宋体" w:hAnsi="宋体" w:eastAsia="宋体" w:cs="宋体"/>
          <w:sz w:val="22"/>
          <w:szCs w:val="22"/>
        </w:rPr>
      </w:pPr>
      <w:r>
        <w:rPr>
          <w:rFonts w:hint="eastAsia" w:ascii="宋体" w:hAnsi="宋体" w:eastAsia="宋体" w:cs="宋体"/>
          <w:b/>
          <w:sz w:val="22"/>
          <w:szCs w:val="22"/>
        </w:rPr>
        <w:t>（二）工业。</w:t>
      </w:r>
      <w:r>
        <w:rPr>
          <w:rFonts w:hint="eastAsia" w:ascii="宋体" w:hAnsi="宋体" w:eastAsia="宋体" w:cs="宋体"/>
          <w:sz w:val="22"/>
          <w:szCs w:val="22"/>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07AA9CB">
      <w:pPr>
        <w:spacing w:line="360" w:lineRule="auto"/>
        <w:ind w:left="0" w:firstLine="422"/>
        <w:rPr>
          <w:rFonts w:hint="eastAsia" w:ascii="宋体" w:hAnsi="宋体" w:eastAsia="宋体" w:cs="宋体"/>
          <w:sz w:val="22"/>
          <w:szCs w:val="22"/>
        </w:rPr>
      </w:pPr>
      <w:r>
        <w:rPr>
          <w:rFonts w:hint="eastAsia" w:ascii="宋体" w:hAnsi="宋体" w:eastAsia="宋体" w:cs="宋体"/>
          <w:b/>
          <w:sz w:val="22"/>
          <w:szCs w:val="22"/>
        </w:rPr>
        <w:t>（三）建筑业。</w:t>
      </w:r>
      <w:r>
        <w:rPr>
          <w:rFonts w:hint="eastAsia" w:ascii="宋体" w:hAnsi="宋体" w:eastAsia="宋体" w:cs="宋体"/>
          <w:sz w:val="22"/>
          <w:szCs w:val="22"/>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44FA6265">
      <w:pPr>
        <w:spacing w:line="360" w:lineRule="auto"/>
        <w:ind w:left="0" w:firstLine="422"/>
        <w:rPr>
          <w:rFonts w:hint="eastAsia" w:ascii="宋体" w:hAnsi="宋体" w:eastAsia="宋体" w:cs="宋体"/>
          <w:sz w:val="22"/>
          <w:szCs w:val="22"/>
        </w:rPr>
      </w:pPr>
      <w:r>
        <w:rPr>
          <w:rFonts w:hint="eastAsia" w:ascii="宋体" w:hAnsi="宋体" w:eastAsia="宋体" w:cs="宋体"/>
          <w:b/>
          <w:sz w:val="22"/>
          <w:szCs w:val="22"/>
        </w:rPr>
        <w:t>（四）批发业。</w:t>
      </w:r>
      <w:r>
        <w:rPr>
          <w:rFonts w:hint="eastAsia" w:ascii="宋体" w:hAnsi="宋体" w:eastAsia="宋体" w:cs="宋体"/>
          <w:sz w:val="22"/>
          <w:szCs w:val="22"/>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07B18613">
      <w:pPr>
        <w:spacing w:line="360" w:lineRule="auto"/>
        <w:ind w:left="0" w:firstLine="422"/>
        <w:rPr>
          <w:rFonts w:hint="eastAsia" w:ascii="宋体" w:hAnsi="宋体" w:eastAsia="宋体" w:cs="宋体"/>
          <w:sz w:val="22"/>
          <w:szCs w:val="22"/>
        </w:rPr>
      </w:pPr>
      <w:r>
        <w:rPr>
          <w:rFonts w:hint="eastAsia" w:ascii="宋体" w:hAnsi="宋体" w:eastAsia="宋体" w:cs="宋体"/>
          <w:b/>
          <w:sz w:val="22"/>
          <w:szCs w:val="22"/>
        </w:rPr>
        <w:t>（五）零售业。</w:t>
      </w:r>
      <w:r>
        <w:rPr>
          <w:rFonts w:hint="eastAsia" w:ascii="宋体" w:hAnsi="宋体" w:eastAsia="宋体" w:cs="宋体"/>
          <w:sz w:val="22"/>
          <w:szCs w:val="22"/>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0CFEC183">
      <w:pPr>
        <w:spacing w:line="360" w:lineRule="auto"/>
        <w:ind w:left="0" w:firstLine="422"/>
        <w:rPr>
          <w:rFonts w:hint="eastAsia" w:ascii="宋体" w:hAnsi="宋体" w:eastAsia="宋体" w:cs="宋体"/>
          <w:sz w:val="22"/>
          <w:szCs w:val="22"/>
        </w:rPr>
      </w:pPr>
      <w:r>
        <w:rPr>
          <w:rFonts w:hint="eastAsia" w:ascii="宋体" w:hAnsi="宋体" w:eastAsia="宋体" w:cs="宋体"/>
          <w:b/>
          <w:sz w:val="22"/>
          <w:szCs w:val="22"/>
        </w:rPr>
        <w:t>（六）交通运输业。</w:t>
      </w:r>
      <w:r>
        <w:rPr>
          <w:rFonts w:hint="eastAsia" w:ascii="宋体" w:hAnsi="宋体" w:eastAsia="宋体" w:cs="宋体"/>
          <w:sz w:val="22"/>
          <w:szCs w:val="22"/>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F0E3B53">
      <w:pPr>
        <w:spacing w:line="360" w:lineRule="auto"/>
        <w:ind w:left="0" w:firstLine="422"/>
        <w:rPr>
          <w:rFonts w:hint="eastAsia" w:ascii="宋体" w:hAnsi="宋体" w:eastAsia="宋体" w:cs="宋体"/>
          <w:sz w:val="22"/>
          <w:szCs w:val="22"/>
        </w:rPr>
      </w:pPr>
      <w:r>
        <w:rPr>
          <w:rFonts w:hint="eastAsia" w:ascii="宋体" w:hAnsi="宋体" w:eastAsia="宋体" w:cs="宋体"/>
          <w:b/>
          <w:sz w:val="22"/>
          <w:szCs w:val="22"/>
        </w:rPr>
        <w:t>（七）仓储业。</w:t>
      </w:r>
      <w:r>
        <w:rPr>
          <w:rFonts w:hint="eastAsia" w:ascii="宋体" w:hAnsi="宋体" w:eastAsia="宋体" w:cs="宋体"/>
          <w:sz w:val="22"/>
          <w:szCs w:val="22"/>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B94C339">
      <w:pPr>
        <w:spacing w:line="360" w:lineRule="auto"/>
        <w:ind w:left="0" w:firstLine="422"/>
        <w:rPr>
          <w:rFonts w:hint="eastAsia" w:ascii="宋体" w:hAnsi="宋体" w:eastAsia="宋体" w:cs="宋体"/>
          <w:sz w:val="22"/>
          <w:szCs w:val="22"/>
        </w:rPr>
      </w:pPr>
      <w:r>
        <w:rPr>
          <w:rFonts w:hint="eastAsia" w:ascii="宋体" w:hAnsi="宋体" w:eastAsia="宋体" w:cs="宋体"/>
          <w:b/>
          <w:sz w:val="22"/>
          <w:szCs w:val="22"/>
        </w:rPr>
        <w:t>（八）邮政业。</w:t>
      </w:r>
      <w:r>
        <w:rPr>
          <w:rFonts w:hint="eastAsia" w:ascii="宋体" w:hAnsi="宋体" w:eastAsia="宋体" w:cs="宋体"/>
          <w:sz w:val="22"/>
          <w:szCs w:val="22"/>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301D090C">
      <w:pPr>
        <w:spacing w:line="360" w:lineRule="auto"/>
        <w:ind w:left="0" w:firstLine="422"/>
        <w:rPr>
          <w:rFonts w:hint="eastAsia" w:ascii="宋体" w:hAnsi="宋体" w:eastAsia="宋体" w:cs="宋体"/>
          <w:sz w:val="22"/>
          <w:szCs w:val="22"/>
        </w:rPr>
      </w:pPr>
      <w:r>
        <w:rPr>
          <w:rFonts w:hint="eastAsia" w:ascii="宋体" w:hAnsi="宋体" w:eastAsia="宋体" w:cs="宋体"/>
          <w:b/>
          <w:sz w:val="22"/>
          <w:szCs w:val="22"/>
        </w:rPr>
        <w:t>（九）住宿业。</w:t>
      </w:r>
      <w:r>
        <w:rPr>
          <w:rFonts w:hint="eastAsia" w:ascii="宋体" w:hAnsi="宋体" w:eastAsia="宋体" w:cs="宋体"/>
          <w:sz w:val="22"/>
          <w:szCs w:val="22"/>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1C4E8F4">
      <w:pPr>
        <w:spacing w:line="360" w:lineRule="auto"/>
        <w:ind w:left="0" w:firstLine="422"/>
        <w:rPr>
          <w:rFonts w:hint="eastAsia" w:ascii="宋体" w:hAnsi="宋体" w:eastAsia="宋体" w:cs="宋体"/>
          <w:sz w:val="22"/>
          <w:szCs w:val="22"/>
        </w:rPr>
      </w:pPr>
      <w:r>
        <w:rPr>
          <w:rFonts w:hint="eastAsia" w:ascii="宋体" w:hAnsi="宋体" w:eastAsia="宋体" w:cs="宋体"/>
          <w:b/>
          <w:sz w:val="22"/>
          <w:szCs w:val="22"/>
        </w:rPr>
        <w:t>（十）餐饮业。</w:t>
      </w:r>
      <w:r>
        <w:rPr>
          <w:rFonts w:hint="eastAsia" w:ascii="宋体" w:hAnsi="宋体" w:eastAsia="宋体" w:cs="宋体"/>
          <w:sz w:val="22"/>
          <w:szCs w:val="22"/>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4FAE8A2">
      <w:pPr>
        <w:spacing w:line="360" w:lineRule="auto"/>
        <w:ind w:left="0" w:firstLine="422"/>
        <w:rPr>
          <w:rFonts w:hint="eastAsia" w:ascii="宋体" w:hAnsi="宋体" w:eastAsia="宋体" w:cs="宋体"/>
          <w:sz w:val="22"/>
          <w:szCs w:val="22"/>
        </w:rPr>
      </w:pPr>
      <w:r>
        <w:rPr>
          <w:rFonts w:hint="eastAsia" w:ascii="宋体" w:hAnsi="宋体" w:eastAsia="宋体" w:cs="宋体"/>
          <w:b/>
          <w:sz w:val="22"/>
          <w:szCs w:val="22"/>
        </w:rPr>
        <w:t>（十一）信息传输业。</w:t>
      </w:r>
      <w:r>
        <w:rPr>
          <w:rFonts w:hint="eastAsia" w:ascii="宋体" w:hAnsi="宋体" w:eastAsia="宋体" w:cs="宋体"/>
          <w:sz w:val="22"/>
          <w:szCs w:val="22"/>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17DE430A">
      <w:pPr>
        <w:spacing w:line="360" w:lineRule="auto"/>
        <w:ind w:left="0" w:firstLine="422"/>
        <w:rPr>
          <w:rFonts w:hint="eastAsia" w:ascii="宋体" w:hAnsi="宋体" w:eastAsia="宋体" w:cs="宋体"/>
          <w:sz w:val="22"/>
          <w:szCs w:val="22"/>
        </w:rPr>
      </w:pPr>
      <w:r>
        <w:rPr>
          <w:rFonts w:hint="eastAsia" w:ascii="宋体" w:hAnsi="宋体" w:eastAsia="宋体" w:cs="宋体"/>
          <w:b/>
          <w:sz w:val="22"/>
          <w:szCs w:val="22"/>
        </w:rPr>
        <w:t>（十二）软件和信息技术服务业。</w:t>
      </w:r>
      <w:r>
        <w:rPr>
          <w:rFonts w:hint="eastAsia" w:ascii="宋体" w:hAnsi="宋体" w:eastAsia="宋体" w:cs="宋体"/>
          <w:sz w:val="22"/>
          <w:szCs w:val="22"/>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63B42E5">
      <w:pPr>
        <w:spacing w:line="360" w:lineRule="auto"/>
        <w:ind w:left="0" w:firstLine="422"/>
        <w:rPr>
          <w:rFonts w:hint="eastAsia" w:ascii="宋体" w:hAnsi="宋体" w:eastAsia="宋体" w:cs="宋体"/>
          <w:sz w:val="22"/>
          <w:szCs w:val="22"/>
        </w:rPr>
      </w:pPr>
      <w:r>
        <w:rPr>
          <w:rFonts w:hint="eastAsia" w:ascii="宋体" w:hAnsi="宋体" w:eastAsia="宋体" w:cs="宋体"/>
          <w:b/>
          <w:sz w:val="22"/>
          <w:szCs w:val="22"/>
        </w:rPr>
        <w:t>（十三）房地产开发经营。</w:t>
      </w:r>
      <w:r>
        <w:rPr>
          <w:rFonts w:hint="eastAsia" w:ascii="宋体" w:hAnsi="宋体" w:eastAsia="宋体" w:cs="宋体"/>
          <w:sz w:val="22"/>
          <w:szCs w:val="22"/>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B8EA2B7">
      <w:pPr>
        <w:spacing w:line="360" w:lineRule="auto"/>
        <w:ind w:left="0" w:firstLine="422"/>
        <w:rPr>
          <w:rFonts w:hint="eastAsia" w:ascii="宋体" w:hAnsi="宋体" w:eastAsia="宋体" w:cs="宋体"/>
          <w:sz w:val="22"/>
          <w:szCs w:val="22"/>
        </w:rPr>
      </w:pPr>
      <w:r>
        <w:rPr>
          <w:rFonts w:hint="eastAsia" w:ascii="宋体" w:hAnsi="宋体" w:eastAsia="宋体" w:cs="宋体"/>
          <w:b/>
          <w:sz w:val="22"/>
          <w:szCs w:val="22"/>
        </w:rPr>
        <w:t>（十四）物业管理。</w:t>
      </w:r>
      <w:r>
        <w:rPr>
          <w:rFonts w:hint="eastAsia" w:ascii="宋体" w:hAnsi="宋体" w:eastAsia="宋体" w:cs="宋体"/>
          <w:sz w:val="22"/>
          <w:szCs w:val="22"/>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56395B89">
      <w:pPr>
        <w:spacing w:line="360" w:lineRule="auto"/>
        <w:ind w:left="0" w:firstLine="422"/>
        <w:rPr>
          <w:rFonts w:hint="eastAsia" w:ascii="宋体" w:hAnsi="宋体" w:eastAsia="宋体" w:cs="宋体"/>
          <w:sz w:val="22"/>
          <w:szCs w:val="22"/>
        </w:rPr>
      </w:pPr>
      <w:r>
        <w:rPr>
          <w:rFonts w:hint="eastAsia" w:ascii="宋体" w:hAnsi="宋体" w:eastAsia="宋体" w:cs="宋体"/>
          <w:b/>
          <w:sz w:val="22"/>
          <w:szCs w:val="22"/>
        </w:rPr>
        <w:t>（十五）租赁和商务服务业。</w:t>
      </w:r>
      <w:r>
        <w:rPr>
          <w:rFonts w:hint="eastAsia" w:ascii="宋体" w:hAnsi="宋体" w:eastAsia="宋体" w:cs="宋体"/>
          <w:sz w:val="22"/>
          <w:szCs w:val="22"/>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6EB8D429">
      <w:pPr>
        <w:spacing w:line="360" w:lineRule="auto"/>
        <w:ind w:left="0" w:firstLine="422"/>
        <w:rPr>
          <w:rFonts w:hint="eastAsia" w:ascii="宋体" w:hAnsi="宋体" w:eastAsia="宋体" w:cs="宋体"/>
          <w:sz w:val="22"/>
          <w:szCs w:val="22"/>
        </w:rPr>
      </w:pPr>
      <w:r>
        <w:rPr>
          <w:rFonts w:hint="eastAsia" w:ascii="宋体" w:hAnsi="宋体" w:eastAsia="宋体" w:cs="宋体"/>
          <w:b/>
          <w:sz w:val="22"/>
          <w:szCs w:val="22"/>
        </w:rPr>
        <w:t>（十六）其他未列明行业。</w:t>
      </w:r>
      <w:r>
        <w:rPr>
          <w:rFonts w:hint="eastAsia" w:ascii="宋体" w:hAnsi="宋体" w:eastAsia="宋体" w:cs="宋体"/>
          <w:sz w:val="22"/>
          <w:szCs w:val="22"/>
        </w:rPr>
        <w:t>从业人员300人以下的为中小微型企业。其中，从业人员100人及以上的为中型企业；从业人员10人及以上的为小型企业；从业人员10人以下的为微型企业。</w:t>
      </w:r>
    </w:p>
    <w:p w14:paraId="722A40C5">
      <w:pPr>
        <w:spacing w:line="360" w:lineRule="auto"/>
        <w:ind w:firstLine="4200"/>
        <w:rPr>
          <w:rFonts w:hint="eastAsia" w:ascii="宋体" w:hAnsi="宋体" w:eastAsia="宋体" w:cs="宋体"/>
          <w:color w:val="000000"/>
          <w:sz w:val="22"/>
          <w:szCs w:val="22"/>
        </w:rPr>
      </w:pPr>
    </w:p>
    <w:p w14:paraId="636A592B">
      <w:pPr>
        <w:spacing w:before="120" w:after="48" w:line="360" w:lineRule="auto"/>
        <w:jc w:val="center"/>
        <w:rPr>
          <w:rFonts w:hint="eastAsia" w:ascii="宋体" w:hAnsi="宋体" w:cs="宋体"/>
          <w:b/>
          <w:sz w:val="22"/>
          <w:szCs w:val="22"/>
        </w:rPr>
      </w:pPr>
      <w:r>
        <w:rPr>
          <w:rFonts w:hint="eastAsia" w:ascii="宋体" w:hAnsi="宋体" w:cs="宋体"/>
          <w:b/>
          <w:sz w:val="22"/>
          <w:szCs w:val="22"/>
        </w:rPr>
        <w:t>残疾人福利性单位声明函声明</w:t>
      </w:r>
    </w:p>
    <w:p w14:paraId="03BFC236">
      <w:pPr>
        <w:spacing w:line="360" w:lineRule="auto"/>
        <w:rPr>
          <w:rFonts w:hint="eastAsia" w:ascii="宋体" w:hAnsi="宋体" w:cs="宋体"/>
          <w:sz w:val="22"/>
          <w:szCs w:val="22"/>
        </w:rPr>
      </w:pPr>
      <w:r>
        <w:rPr>
          <w:rFonts w:hint="eastAsia" w:ascii="宋体" w:hAnsi="宋体" w:cs="宋体"/>
          <w:sz w:val="22"/>
          <w:szCs w:val="22"/>
          <w:lang w:val="zh-CN"/>
        </w:rPr>
        <w:t>南京市江宁区交通运输局</w:t>
      </w:r>
      <w:r>
        <w:rPr>
          <w:rFonts w:hint="eastAsia" w:ascii="宋体" w:hAnsi="宋体" w:cs="宋体"/>
          <w:sz w:val="22"/>
          <w:szCs w:val="22"/>
        </w:rPr>
        <w:t>：</w:t>
      </w:r>
    </w:p>
    <w:p w14:paraId="2937A17B">
      <w:pPr>
        <w:spacing w:line="360" w:lineRule="auto"/>
        <w:ind w:firstLine="420"/>
        <w:rPr>
          <w:rFonts w:hint="eastAsia" w:ascii="宋体" w:hAnsi="宋体" w:cs="宋体"/>
          <w:sz w:val="22"/>
          <w:szCs w:val="22"/>
        </w:rPr>
      </w:pPr>
      <w:r>
        <w:rPr>
          <w:rFonts w:hint="eastAsia" w:ascii="宋体" w:hAnsi="宋体" w:cs="宋体"/>
          <w:sz w:val="22"/>
          <w:szCs w:val="22"/>
        </w:rPr>
        <w:t>我单位</w:t>
      </w:r>
      <w:r>
        <w:rPr>
          <w:rFonts w:hint="eastAsia" w:ascii="宋体" w:hAnsi="宋体" w:cs="宋体"/>
          <w:sz w:val="22"/>
          <w:szCs w:val="22"/>
          <w:u w:val="single"/>
        </w:rPr>
        <w:t xml:space="preserve"> （供应商名称）</w:t>
      </w:r>
      <w:r>
        <w:rPr>
          <w:rFonts w:hint="eastAsia" w:ascii="宋体" w:hAnsi="宋体" w:cs="宋体"/>
          <w:sz w:val="22"/>
          <w:szCs w:val="22"/>
        </w:rPr>
        <w:t>郑重声明，本公司为残疾人福利性单位。即，本单位同时满足以下条件：</w:t>
      </w:r>
    </w:p>
    <w:p w14:paraId="75FF68F7">
      <w:pPr>
        <w:shd w:val="clear" w:color="auto" w:fill="FFFFFF"/>
        <w:spacing w:line="360" w:lineRule="auto"/>
        <w:ind w:firstLine="420"/>
        <w:rPr>
          <w:rFonts w:hint="eastAsia" w:ascii="宋体" w:hAnsi="宋体" w:cs="宋体"/>
          <w:sz w:val="22"/>
          <w:szCs w:val="22"/>
        </w:rPr>
      </w:pPr>
      <w:r>
        <w:rPr>
          <w:rFonts w:hint="eastAsia" w:ascii="宋体" w:hAnsi="宋体" w:cs="宋体"/>
          <w:sz w:val="22"/>
          <w:szCs w:val="22"/>
        </w:rPr>
        <w:t>1、安置的残疾人占本单位在职职工人数的比例不低于25%（含25%），并且安置的残疾人人数不少于10人（含10人）；</w:t>
      </w:r>
    </w:p>
    <w:p w14:paraId="3ECCB99A">
      <w:pPr>
        <w:widowControl/>
        <w:shd w:val="clear" w:color="auto" w:fill="FFFFFF"/>
        <w:spacing w:line="360" w:lineRule="auto"/>
        <w:ind w:firstLine="420"/>
        <w:rPr>
          <w:rFonts w:hint="eastAsia" w:ascii="宋体" w:hAnsi="宋体" w:cs="宋体"/>
          <w:sz w:val="22"/>
          <w:szCs w:val="22"/>
        </w:rPr>
      </w:pPr>
      <w:r>
        <w:rPr>
          <w:rFonts w:hint="eastAsia" w:ascii="宋体" w:hAnsi="宋体" w:cs="宋体"/>
          <w:sz w:val="22"/>
          <w:szCs w:val="22"/>
        </w:rPr>
        <w:t>2、依法与安置的每位残疾人签订了一年以上（含一年）的劳动合同或服务协议；</w:t>
      </w:r>
    </w:p>
    <w:p w14:paraId="00DCB318">
      <w:pPr>
        <w:widowControl/>
        <w:shd w:val="clear" w:color="auto" w:fill="FFFFFF"/>
        <w:spacing w:line="360" w:lineRule="auto"/>
        <w:ind w:firstLine="420"/>
        <w:rPr>
          <w:rFonts w:hint="eastAsia" w:ascii="宋体" w:hAnsi="宋体" w:cs="宋体"/>
          <w:sz w:val="22"/>
          <w:szCs w:val="22"/>
        </w:rPr>
      </w:pPr>
      <w:r>
        <w:rPr>
          <w:rFonts w:hint="eastAsia" w:ascii="宋体" w:hAnsi="宋体" w:cs="宋体"/>
          <w:sz w:val="22"/>
          <w:szCs w:val="22"/>
        </w:rPr>
        <w:t>3、为安置的每位残疾人按月足额缴纳了基本养老保险、基本医疗保险、失业保险、工伤保险和生育保险等社会保险费；</w:t>
      </w:r>
    </w:p>
    <w:p w14:paraId="2064A201">
      <w:pPr>
        <w:widowControl/>
        <w:shd w:val="clear" w:color="auto" w:fill="FFFFFF"/>
        <w:spacing w:line="360" w:lineRule="auto"/>
        <w:ind w:firstLine="420"/>
        <w:rPr>
          <w:rFonts w:hint="eastAsia" w:ascii="宋体" w:hAnsi="宋体" w:cs="宋体"/>
          <w:sz w:val="22"/>
          <w:szCs w:val="22"/>
        </w:rPr>
      </w:pPr>
      <w:r>
        <w:rPr>
          <w:rFonts w:hint="eastAsia" w:ascii="宋体" w:hAnsi="宋体" w:cs="宋体"/>
          <w:sz w:val="22"/>
          <w:szCs w:val="22"/>
        </w:rPr>
        <w:t>4、通过银行等金融机构向安置的每位残疾人，按月支付了不低于单位所在区县适用的经省级人民政府批准的月最低工资标准的工资；</w:t>
      </w:r>
    </w:p>
    <w:p w14:paraId="4239C363">
      <w:pPr>
        <w:widowControl/>
        <w:shd w:val="clear" w:color="auto" w:fill="FFFFFF"/>
        <w:spacing w:line="360" w:lineRule="auto"/>
        <w:ind w:firstLine="420"/>
        <w:rPr>
          <w:rFonts w:hint="eastAsia" w:ascii="宋体" w:hAnsi="宋体" w:cs="宋体"/>
          <w:sz w:val="22"/>
          <w:szCs w:val="22"/>
        </w:rPr>
      </w:pPr>
      <w:r>
        <w:rPr>
          <w:rFonts w:hint="eastAsia" w:ascii="宋体" w:hAnsi="宋体" w:cs="宋体"/>
          <w:sz w:val="22"/>
          <w:szCs w:val="22"/>
        </w:rPr>
        <w:t>5、本单位参加______（项目编号）_______________（项目名称）采购活动提供本单位制造的货物、承担的工程或者服务（以下简称产品），或者提供其他残疾人福利性单位制造的货物（不包括使用非残疾人福利性单位注册商标的货物）。</w:t>
      </w:r>
    </w:p>
    <w:p w14:paraId="00D957BE">
      <w:pPr>
        <w:spacing w:line="360" w:lineRule="auto"/>
        <w:ind w:firstLine="420"/>
        <w:rPr>
          <w:rFonts w:hint="eastAsia" w:ascii="宋体" w:hAnsi="宋体" w:cs="宋体"/>
          <w:color w:val="000000"/>
          <w:sz w:val="22"/>
          <w:szCs w:val="22"/>
        </w:rPr>
      </w:pPr>
      <w:r>
        <w:rPr>
          <w:rFonts w:hint="eastAsia" w:ascii="宋体" w:hAnsi="宋体" w:cs="宋体"/>
          <w:sz w:val="22"/>
          <w:szCs w:val="22"/>
        </w:rPr>
        <w:t>本单位对上述声明的真实性负责。如有虚假，将依法承担相应责任。</w:t>
      </w:r>
    </w:p>
    <w:p w14:paraId="60A0BC3E">
      <w:pPr>
        <w:spacing w:line="360" w:lineRule="auto"/>
        <w:ind w:firstLine="420"/>
        <w:rPr>
          <w:rFonts w:hint="eastAsia" w:ascii="宋体" w:hAnsi="宋体" w:cs="宋体"/>
          <w:color w:val="000000"/>
          <w:sz w:val="22"/>
          <w:szCs w:val="22"/>
          <w:lang w:val="zh-CN"/>
        </w:rPr>
      </w:pPr>
      <w:r>
        <w:rPr>
          <w:rFonts w:hint="eastAsia" w:ascii="宋体" w:hAnsi="宋体" w:cs="宋体"/>
          <w:color w:val="000000"/>
          <w:sz w:val="22"/>
          <w:szCs w:val="22"/>
          <w:lang w:val="zh-CN"/>
        </w:rPr>
        <w:t>供应商名称：</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（盖章）</w:t>
      </w:r>
    </w:p>
    <w:p w14:paraId="7ED26156">
      <w:pPr>
        <w:widowControl/>
        <w:spacing w:line="360" w:lineRule="auto"/>
        <w:ind w:firstLine="420"/>
        <w:jc w:val="left"/>
        <w:rPr>
          <w:rFonts w:hint="eastAsia" w:ascii="宋体" w:hAnsi="宋体" w:cs="宋体"/>
          <w:sz w:val="22"/>
          <w:szCs w:val="22"/>
          <w:lang w:val="zh-CN"/>
        </w:rPr>
      </w:pPr>
      <w:r>
        <w:rPr>
          <w:rFonts w:hint="eastAsia" w:ascii="宋体" w:hAnsi="宋体" w:cs="宋体"/>
          <w:sz w:val="22"/>
          <w:szCs w:val="22"/>
          <w:lang w:val="zh-CN"/>
        </w:rPr>
        <w:t xml:space="preserve">    法定代表人或授权委托人签字：</w:t>
      </w:r>
      <w:r>
        <w:rPr>
          <w:rFonts w:hint="eastAsia" w:ascii="宋体" w:hAnsi="宋体" w:cs="宋体"/>
          <w:sz w:val="22"/>
          <w:szCs w:val="22"/>
          <w:u w:val="single"/>
        </w:rPr>
        <w:t xml:space="preserve">         </w:t>
      </w:r>
      <w:r>
        <w:rPr>
          <w:rFonts w:hint="eastAsia" w:ascii="宋体" w:hAnsi="宋体" w:cs="宋体"/>
          <w:sz w:val="22"/>
          <w:szCs w:val="22"/>
          <w:u w:val="single"/>
          <w:lang w:val="zh-CN"/>
        </w:rPr>
        <w:t xml:space="preserve">  </w:t>
      </w:r>
      <w:r>
        <w:rPr>
          <w:rFonts w:hint="eastAsia" w:ascii="宋体" w:hAnsi="宋体" w:cs="宋体"/>
          <w:sz w:val="22"/>
          <w:szCs w:val="22"/>
          <w:lang w:val="zh-CN"/>
        </w:rPr>
        <w:t xml:space="preserve">                  </w:t>
      </w:r>
    </w:p>
    <w:p w14:paraId="1730011E">
      <w:pPr>
        <w:spacing w:line="360" w:lineRule="auto"/>
        <w:ind w:firstLine="420"/>
        <w:rPr>
          <w:rFonts w:hint="eastAsia" w:ascii="宋体" w:hAnsi="宋体" w:cs="宋体"/>
          <w:color w:val="000000"/>
          <w:sz w:val="22"/>
          <w:szCs w:val="22"/>
          <w:lang w:val="zh-CN"/>
        </w:rPr>
      </w:pPr>
      <w:r>
        <w:rPr>
          <w:rFonts w:hint="eastAsia" w:ascii="宋体" w:hAnsi="宋体" w:cs="宋体"/>
          <w:color w:val="000000"/>
          <w:sz w:val="22"/>
          <w:szCs w:val="22"/>
          <w:lang w:val="zh-CN"/>
        </w:rPr>
        <w:t>日    期：</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年</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月</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日</w:t>
      </w:r>
    </w:p>
    <w:p w14:paraId="6679BDCD">
      <w:pPr>
        <w:jc w:val="left"/>
        <w:rPr>
          <w:rFonts w:hint="eastAsia" w:ascii="宋体" w:hAnsi="宋体" w:cs="宋体"/>
          <w:sz w:val="22"/>
          <w:szCs w:val="22"/>
        </w:rPr>
      </w:pPr>
    </w:p>
    <w:p w14:paraId="569E8387">
      <w:pPr>
        <w:spacing w:line="360" w:lineRule="auto"/>
        <w:jc w:val="center"/>
        <w:rPr>
          <w:rFonts w:hint="eastAsia" w:ascii="宋体" w:hAnsi="宋体" w:cs="宋体"/>
          <w:color w:val="000000"/>
          <w:sz w:val="22"/>
          <w:szCs w:val="22"/>
        </w:rPr>
      </w:pPr>
      <w:r>
        <w:rPr>
          <w:rFonts w:hint="eastAsia" w:ascii="宋体" w:hAnsi="宋体" w:cs="宋体"/>
          <w:color w:val="000000"/>
          <w:sz w:val="22"/>
          <w:szCs w:val="22"/>
        </w:rPr>
        <w:t>属于监狱企业的证明文件</w:t>
      </w:r>
    </w:p>
    <w:p w14:paraId="67486809">
      <w:pPr>
        <w:jc w:val="left"/>
        <w:rPr>
          <w:rFonts w:hint="eastAsia" w:ascii="宋体" w:hAnsi="宋体" w:cs="宋体"/>
          <w:sz w:val="22"/>
          <w:szCs w:val="22"/>
        </w:rPr>
      </w:pPr>
      <w:r>
        <w:rPr>
          <w:rFonts w:hint="eastAsia" w:ascii="宋体" w:hAnsi="宋体" w:cs="宋体"/>
          <w:sz w:val="22"/>
          <w:szCs w:val="22"/>
        </w:rPr>
        <w:t>（提供由省级以上监狱管理局、戒毒管理局(含新疆生产建设兵团)出具的属于监狱企业的证明</w:t>
      </w:r>
    </w:p>
    <w:p w14:paraId="6F479B2C">
      <w:pPr>
        <w:jc w:val="left"/>
        <w:rPr>
          <w:rFonts w:hint="eastAsia" w:ascii="宋体" w:hAnsi="宋体" w:cs="宋体"/>
          <w:sz w:val="22"/>
          <w:szCs w:val="22"/>
        </w:rPr>
      </w:pPr>
      <w:r>
        <w:rPr>
          <w:rFonts w:hint="eastAsia" w:ascii="宋体" w:hAnsi="宋体" w:cs="宋体"/>
          <w:sz w:val="22"/>
          <w:szCs w:val="22"/>
        </w:rPr>
        <w:t>文件）</w:t>
      </w:r>
    </w:p>
    <w:p w14:paraId="16F72173">
      <w:pPr>
        <w:jc w:val="center"/>
        <w:rPr>
          <w:rFonts w:hint="eastAsia" w:ascii="宋体" w:hAnsi="宋体" w:cs="宋体"/>
          <w:color w:val="000000"/>
          <w:sz w:val="22"/>
          <w:szCs w:val="22"/>
        </w:rPr>
      </w:pPr>
    </w:p>
    <w:p w14:paraId="2A12BFAC">
      <w:pPr>
        <w:spacing w:line="360" w:lineRule="auto"/>
        <w:jc w:val="center"/>
        <w:rPr>
          <w:rFonts w:hint="eastAsia" w:ascii="宋体" w:hAnsi="宋体" w:cs="宋体"/>
          <w:color w:val="000000"/>
          <w:sz w:val="22"/>
          <w:szCs w:val="22"/>
        </w:rPr>
      </w:pPr>
    </w:p>
    <w:p w14:paraId="4A939241">
      <w:pPr>
        <w:spacing w:line="360" w:lineRule="auto"/>
        <w:jc w:val="center"/>
        <w:rPr>
          <w:rFonts w:hint="eastAsia" w:ascii="宋体" w:hAnsi="宋体" w:cs="宋体"/>
          <w:color w:val="000000"/>
          <w:sz w:val="22"/>
          <w:szCs w:val="22"/>
        </w:rPr>
      </w:pPr>
      <w:r>
        <w:rPr>
          <w:rFonts w:hint="eastAsia" w:ascii="宋体" w:hAnsi="宋体" w:cs="宋体"/>
          <w:color w:val="000000"/>
          <w:sz w:val="22"/>
          <w:szCs w:val="22"/>
        </w:rPr>
        <w:t>节能产品认证证书</w:t>
      </w:r>
    </w:p>
    <w:p w14:paraId="04E125D5">
      <w:pPr>
        <w:jc w:val="left"/>
        <w:rPr>
          <w:rFonts w:hint="eastAsia" w:ascii="宋体" w:hAnsi="宋体" w:cs="宋体"/>
          <w:sz w:val="22"/>
          <w:szCs w:val="22"/>
        </w:rPr>
      </w:pPr>
      <w:r>
        <w:rPr>
          <w:rFonts w:hint="eastAsia" w:ascii="宋体" w:hAnsi="宋体" w:cs="宋体"/>
          <w:sz w:val="22"/>
          <w:szCs w:val="22"/>
        </w:rPr>
        <w:t>（提供国家确定的认证机构出具的、处于有效期之内的产品认证证书）</w:t>
      </w:r>
    </w:p>
    <w:p w14:paraId="37E19F17">
      <w:pPr>
        <w:jc w:val="left"/>
        <w:rPr>
          <w:rFonts w:hint="eastAsia" w:ascii="宋体" w:hAnsi="宋体" w:cs="宋体"/>
          <w:sz w:val="22"/>
          <w:szCs w:val="22"/>
        </w:rPr>
      </w:pPr>
    </w:p>
    <w:p w14:paraId="6FD3ECB5">
      <w:pPr>
        <w:jc w:val="center"/>
        <w:rPr>
          <w:rFonts w:hint="eastAsia" w:ascii="宋体" w:hAnsi="宋体" w:cs="宋体"/>
          <w:color w:val="000000"/>
          <w:sz w:val="22"/>
          <w:szCs w:val="22"/>
        </w:rPr>
      </w:pPr>
    </w:p>
    <w:p w14:paraId="4B1BE276">
      <w:pPr>
        <w:jc w:val="center"/>
        <w:rPr>
          <w:rFonts w:hint="eastAsia" w:ascii="宋体" w:hAnsi="宋体" w:cs="宋体"/>
          <w:color w:val="000000"/>
          <w:sz w:val="22"/>
          <w:szCs w:val="22"/>
        </w:rPr>
      </w:pPr>
    </w:p>
    <w:p w14:paraId="4917101A">
      <w:pPr>
        <w:spacing w:line="360" w:lineRule="auto"/>
        <w:jc w:val="center"/>
        <w:rPr>
          <w:rFonts w:hint="eastAsia" w:ascii="宋体" w:hAnsi="宋体" w:cs="宋体"/>
          <w:color w:val="000000"/>
          <w:sz w:val="22"/>
          <w:szCs w:val="22"/>
        </w:rPr>
      </w:pPr>
      <w:r>
        <w:rPr>
          <w:rFonts w:hint="eastAsia" w:ascii="宋体" w:hAnsi="宋体" w:cs="宋体"/>
          <w:color w:val="000000"/>
          <w:sz w:val="22"/>
          <w:szCs w:val="22"/>
        </w:rPr>
        <w:t>环境标志产品认证证书</w:t>
      </w:r>
    </w:p>
    <w:p w14:paraId="0A3A3915">
      <w:pPr>
        <w:spacing w:line="240" w:lineRule="atLeast"/>
        <w:rPr>
          <w:rFonts w:hint="eastAsia" w:ascii="宋体" w:hAnsi="宋体" w:cs="宋体"/>
          <w:sz w:val="22"/>
          <w:szCs w:val="22"/>
        </w:rPr>
      </w:pPr>
      <w:r>
        <w:rPr>
          <w:rFonts w:hint="eastAsia" w:ascii="宋体" w:hAnsi="宋体" w:cs="宋体"/>
          <w:sz w:val="22"/>
          <w:szCs w:val="22"/>
        </w:rPr>
        <w:t>（提供国家确定的认证机构出具的、处于有效期之内的产品认证证书）</w:t>
      </w:r>
    </w:p>
    <w:p w14:paraId="19C2494D">
      <w:pPr>
        <w:widowControl/>
        <w:spacing w:line="240" w:lineRule="atLeast"/>
        <w:rPr>
          <w:rFonts w:hint="eastAsia" w:ascii="宋体" w:hAnsi="宋体" w:cs="宋体"/>
          <w:b/>
          <w:color w:val="000000"/>
          <w:sz w:val="22"/>
          <w:szCs w:val="22"/>
        </w:rPr>
      </w:pPr>
    </w:p>
    <w:p w14:paraId="1010F0E8">
      <w:pPr>
        <w:widowControl/>
        <w:spacing w:line="240" w:lineRule="atLeast"/>
        <w:rPr>
          <w:rFonts w:hint="eastAsia" w:ascii="宋体" w:hAnsi="宋体" w:cs="宋体"/>
          <w:b/>
          <w:color w:val="000000"/>
          <w:sz w:val="22"/>
          <w:szCs w:val="22"/>
        </w:rPr>
      </w:pPr>
    </w:p>
    <w:p w14:paraId="1068AF75">
      <w:pPr>
        <w:widowControl/>
        <w:spacing w:line="240" w:lineRule="atLeast"/>
        <w:rPr>
          <w:rFonts w:hint="eastAsia" w:ascii="宋体" w:hAnsi="宋体" w:cs="宋体"/>
          <w:b/>
          <w:color w:val="000000"/>
          <w:sz w:val="22"/>
          <w:szCs w:val="22"/>
        </w:rPr>
      </w:pPr>
    </w:p>
    <w:p w14:paraId="39E31204">
      <w:pPr>
        <w:widowControl/>
        <w:spacing w:line="240" w:lineRule="atLeast"/>
        <w:rPr>
          <w:rFonts w:hint="eastAsia" w:ascii="宋体" w:hAnsi="宋体" w:cs="宋体"/>
          <w:b/>
          <w:color w:val="000000"/>
          <w:sz w:val="22"/>
          <w:szCs w:val="22"/>
        </w:rPr>
      </w:pPr>
    </w:p>
    <w:p w14:paraId="62B1304F">
      <w:pPr>
        <w:keepNext w:val="0"/>
        <w:keepLines w:val="0"/>
        <w:pageBreakBefore w:val="0"/>
        <w:widowControl/>
        <w:spacing w:after="0" w:line="360" w:lineRule="auto"/>
        <w:jc w:val="both"/>
        <w:outlineLvl w:val="1"/>
        <w:rPr>
          <w:rFonts w:hint="eastAsia" w:ascii="宋体" w:hAnsi="宋体" w:eastAsia="宋体" w:cs="Times New Roman"/>
          <w:b/>
          <w:sz w:val="22"/>
          <w:szCs w:val="22"/>
          <w:lang w:val="en-US" w:eastAsia="zh-CN" w:bidi="en-US"/>
        </w:rPr>
      </w:pPr>
      <w:r>
        <w:rPr>
          <w:rFonts w:hint="eastAsia" w:ascii="宋体" w:hAnsi="宋体" w:eastAsia="宋体" w:cs="Times New Roman"/>
          <w:b/>
          <w:sz w:val="22"/>
          <w:szCs w:val="22"/>
          <w:lang w:val="en-US" w:eastAsia="zh-CN" w:bidi="en-US"/>
        </w:rPr>
        <w:t>附件二、无重大违法记录声明格式</w:t>
      </w:r>
    </w:p>
    <w:p w14:paraId="60F4A253">
      <w:pPr>
        <w:widowControl/>
        <w:spacing w:line="240" w:lineRule="atLeast"/>
        <w:rPr>
          <w:rFonts w:hint="eastAsia" w:ascii="宋体" w:hAnsi="宋体" w:cs="宋体"/>
          <w:b/>
          <w:color w:val="000000"/>
          <w:sz w:val="22"/>
          <w:szCs w:val="22"/>
        </w:rPr>
      </w:pPr>
    </w:p>
    <w:p w14:paraId="2AD05B12">
      <w:pPr>
        <w:jc w:val="center"/>
        <w:rPr>
          <w:rFonts w:hint="eastAsia" w:ascii="宋体" w:hAnsi="宋体" w:cs="宋体"/>
          <w:color w:val="000000"/>
          <w:sz w:val="22"/>
          <w:szCs w:val="22"/>
        </w:rPr>
      </w:pPr>
      <w:r>
        <w:rPr>
          <w:rFonts w:hint="eastAsia" w:ascii="宋体" w:hAnsi="宋体" w:cs="宋体"/>
          <w:color w:val="000000"/>
          <w:sz w:val="22"/>
          <w:szCs w:val="22"/>
        </w:rPr>
        <w:t>无重大违法记录声明</w:t>
      </w:r>
    </w:p>
    <w:p w14:paraId="7884517F">
      <w:pPr>
        <w:spacing w:line="360" w:lineRule="auto"/>
        <w:rPr>
          <w:rFonts w:hint="eastAsia" w:ascii="宋体" w:hAnsi="宋体" w:cs="宋体"/>
          <w:color w:val="000000"/>
          <w:sz w:val="22"/>
          <w:szCs w:val="22"/>
        </w:rPr>
      </w:pPr>
    </w:p>
    <w:p w14:paraId="5D5A2A69">
      <w:pPr>
        <w:spacing w:line="360" w:lineRule="auto"/>
        <w:ind w:firstLine="420"/>
        <w:rPr>
          <w:rFonts w:hint="eastAsia" w:ascii="宋体" w:hAnsi="宋体" w:cs="宋体"/>
          <w:color w:val="000000"/>
          <w:sz w:val="22"/>
          <w:szCs w:val="22"/>
        </w:rPr>
      </w:pPr>
      <w:r>
        <w:rPr>
          <w:rFonts w:hint="eastAsia" w:ascii="宋体" w:hAnsi="宋体" w:cs="宋体"/>
          <w:color w:val="000000"/>
          <w:sz w:val="22"/>
          <w:szCs w:val="22"/>
          <w:lang w:eastAsia="zh-CN"/>
        </w:rPr>
        <w:t>南京市江宁区交通运输局</w:t>
      </w:r>
      <w:r>
        <w:rPr>
          <w:rFonts w:hint="eastAsia" w:ascii="宋体" w:hAnsi="宋体" w:cs="宋体"/>
          <w:color w:val="000000"/>
          <w:sz w:val="22"/>
          <w:szCs w:val="22"/>
        </w:rPr>
        <w:t xml:space="preserve"> ：</w:t>
      </w:r>
    </w:p>
    <w:p w14:paraId="1DFD519C">
      <w:pPr>
        <w:spacing w:line="360" w:lineRule="auto"/>
        <w:ind w:firstLine="420"/>
        <w:rPr>
          <w:rFonts w:hint="eastAsia" w:ascii="宋体" w:hAnsi="宋体" w:cs="宋体"/>
          <w:color w:val="000000"/>
          <w:sz w:val="22"/>
          <w:szCs w:val="22"/>
        </w:rPr>
      </w:pPr>
      <w:r>
        <w:rPr>
          <w:rFonts w:hint="eastAsia" w:ascii="宋体" w:hAnsi="宋体" w:cs="宋体"/>
          <w:color w:val="000000"/>
          <w:sz w:val="22"/>
          <w:szCs w:val="22"/>
        </w:rPr>
        <w:t xml:space="preserve">    我单位</w:t>
      </w:r>
      <w:r>
        <w:rPr>
          <w:rFonts w:hint="eastAsia" w:ascii="宋体" w:hAnsi="宋体" w:cs="宋体"/>
          <w:color w:val="000000"/>
          <w:sz w:val="22"/>
          <w:szCs w:val="22"/>
          <w:u w:val="single"/>
        </w:rPr>
        <w:t xml:space="preserve">                                       </w:t>
      </w:r>
      <w:r>
        <w:rPr>
          <w:rFonts w:hint="eastAsia" w:ascii="宋体" w:hAnsi="宋体" w:cs="宋体"/>
          <w:color w:val="000000"/>
          <w:sz w:val="22"/>
          <w:szCs w:val="22"/>
        </w:rPr>
        <w:t>（供应商名称）郑重声明：</w:t>
      </w:r>
    </w:p>
    <w:p w14:paraId="341C41D0">
      <w:pPr>
        <w:spacing w:line="360" w:lineRule="auto"/>
        <w:ind w:firstLine="420"/>
        <w:rPr>
          <w:rFonts w:hint="eastAsia" w:ascii="宋体" w:hAnsi="宋体" w:cs="宋体"/>
          <w:color w:val="000000"/>
          <w:sz w:val="22"/>
          <w:szCs w:val="22"/>
        </w:rPr>
      </w:pPr>
      <w:r>
        <w:rPr>
          <w:rFonts w:hint="eastAsia" w:ascii="宋体" w:hAnsi="宋体" w:cs="宋体"/>
          <w:color w:val="000000"/>
          <w:sz w:val="22"/>
          <w:szCs w:val="22"/>
        </w:rPr>
        <w:t xml:space="preserve">    参加政府采购活动前3年内在经营活动中</w:t>
      </w:r>
      <w:r>
        <w:rPr>
          <w:rFonts w:hint="eastAsia" w:ascii="宋体" w:hAnsi="宋体" w:cs="宋体"/>
          <w:color w:val="000000"/>
          <w:sz w:val="22"/>
          <w:szCs w:val="22"/>
          <w:u w:val="single"/>
        </w:rPr>
        <w:t xml:space="preserve">        </w:t>
      </w:r>
      <w:r>
        <w:rPr>
          <w:rFonts w:hint="eastAsia" w:ascii="宋体" w:hAnsi="宋体" w:cs="宋体"/>
          <w:color w:val="000000"/>
          <w:sz w:val="22"/>
          <w:szCs w:val="22"/>
        </w:rPr>
        <w:t>（在下划线上如实填写：有或没有）重大违法记录。</w:t>
      </w:r>
    </w:p>
    <w:p w14:paraId="52C80163">
      <w:pPr>
        <w:spacing w:line="360" w:lineRule="auto"/>
        <w:ind w:firstLine="420"/>
        <w:rPr>
          <w:rFonts w:hint="eastAsia" w:ascii="宋体" w:hAnsi="宋体" w:cs="宋体"/>
          <w:color w:val="000000"/>
          <w:sz w:val="22"/>
          <w:szCs w:val="22"/>
        </w:rPr>
      </w:pPr>
      <w:r>
        <w:rPr>
          <w:rFonts w:hint="eastAsia" w:ascii="宋体" w:hAnsi="宋体" w:cs="宋体"/>
          <w:color w:val="000000"/>
          <w:sz w:val="22"/>
          <w:szCs w:val="22"/>
        </w:rPr>
        <w:t>（说明：政府采购法第二十二条第一款第五项所称重大违法记录，是指供应商因违法经营受到刑事处罚或者责令停产停业、吊销许可证或者执照、较大数额罚款等行政处罚。）</w:t>
      </w:r>
    </w:p>
    <w:p w14:paraId="549D3637">
      <w:pPr>
        <w:spacing w:line="360" w:lineRule="auto"/>
        <w:ind w:firstLine="420"/>
        <w:rPr>
          <w:rFonts w:hint="eastAsia" w:ascii="宋体" w:hAnsi="宋体" w:cs="宋体"/>
          <w:color w:val="000000"/>
          <w:sz w:val="22"/>
          <w:szCs w:val="22"/>
        </w:rPr>
      </w:pPr>
    </w:p>
    <w:p w14:paraId="4C87E8FE">
      <w:pPr>
        <w:spacing w:line="360" w:lineRule="auto"/>
        <w:ind w:firstLine="420"/>
        <w:rPr>
          <w:rFonts w:hint="eastAsia" w:ascii="宋体" w:hAnsi="宋体" w:cs="宋体"/>
          <w:color w:val="000000"/>
          <w:sz w:val="22"/>
          <w:szCs w:val="22"/>
          <w:lang w:val="zh-CN"/>
        </w:rPr>
      </w:pPr>
      <w:r>
        <w:rPr>
          <w:rFonts w:hint="eastAsia" w:ascii="宋体" w:hAnsi="宋体" w:cs="宋体"/>
          <w:color w:val="000000"/>
          <w:sz w:val="22"/>
          <w:szCs w:val="22"/>
          <w:lang w:val="zh-CN"/>
        </w:rPr>
        <w:t>供应商名称：</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（盖章）</w:t>
      </w:r>
    </w:p>
    <w:p w14:paraId="0CAC0A97">
      <w:pPr>
        <w:widowControl/>
        <w:spacing w:line="360" w:lineRule="auto"/>
        <w:ind w:firstLine="420"/>
        <w:jc w:val="left"/>
        <w:rPr>
          <w:rFonts w:hint="eastAsia" w:ascii="宋体" w:hAnsi="宋体" w:cs="宋体"/>
          <w:sz w:val="22"/>
          <w:szCs w:val="22"/>
          <w:lang w:val="zh-CN"/>
        </w:rPr>
      </w:pPr>
      <w:r>
        <w:rPr>
          <w:rFonts w:hint="eastAsia" w:ascii="宋体" w:hAnsi="宋体" w:cs="宋体"/>
          <w:sz w:val="22"/>
          <w:szCs w:val="22"/>
          <w:lang w:val="zh-CN"/>
        </w:rPr>
        <w:t xml:space="preserve">    法定代表人或授权委托人签字：</w:t>
      </w:r>
      <w:r>
        <w:rPr>
          <w:rFonts w:hint="eastAsia" w:ascii="宋体" w:hAnsi="宋体" w:cs="宋体"/>
          <w:sz w:val="22"/>
          <w:szCs w:val="22"/>
          <w:u w:val="single"/>
        </w:rPr>
        <w:t xml:space="preserve">         </w:t>
      </w:r>
      <w:r>
        <w:rPr>
          <w:rFonts w:hint="eastAsia" w:ascii="宋体" w:hAnsi="宋体" w:cs="宋体"/>
          <w:sz w:val="22"/>
          <w:szCs w:val="22"/>
          <w:u w:val="single"/>
          <w:lang w:val="zh-CN"/>
        </w:rPr>
        <w:t xml:space="preserve">  </w:t>
      </w:r>
      <w:r>
        <w:rPr>
          <w:rFonts w:hint="eastAsia" w:ascii="宋体" w:hAnsi="宋体" w:cs="宋体"/>
          <w:sz w:val="22"/>
          <w:szCs w:val="22"/>
          <w:lang w:val="zh-CN"/>
        </w:rPr>
        <w:t xml:space="preserve">                  </w:t>
      </w:r>
    </w:p>
    <w:p w14:paraId="4DADAA1D">
      <w:pPr>
        <w:spacing w:line="360" w:lineRule="auto"/>
        <w:ind w:firstLine="420"/>
        <w:rPr>
          <w:rFonts w:hint="eastAsia" w:ascii="宋体" w:hAnsi="宋体" w:cs="宋体"/>
          <w:color w:val="000000"/>
          <w:sz w:val="22"/>
          <w:szCs w:val="22"/>
          <w:lang w:val="zh-CN"/>
        </w:rPr>
      </w:pPr>
      <w:r>
        <w:rPr>
          <w:rFonts w:hint="eastAsia" w:ascii="宋体" w:hAnsi="宋体" w:cs="宋体"/>
          <w:color w:val="000000"/>
          <w:sz w:val="22"/>
          <w:szCs w:val="22"/>
          <w:lang w:val="zh-CN"/>
        </w:rPr>
        <w:t>日    期：</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年</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月</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日</w:t>
      </w:r>
    </w:p>
    <w:p w14:paraId="2A8FDDBD">
      <w:pPr>
        <w:spacing w:line="360" w:lineRule="auto"/>
        <w:rPr>
          <w:rFonts w:hint="eastAsia" w:ascii="宋体" w:hAnsi="宋体" w:cs="宋体"/>
          <w:b/>
          <w:color w:val="000000"/>
          <w:sz w:val="22"/>
          <w:szCs w:val="22"/>
        </w:rPr>
      </w:pPr>
    </w:p>
    <w:p w14:paraId="253DC2F8">
      <w:pPr>
        <w:spacing w:line="360" w:lineRule="auto"/>
        <w:rPr>
          <w:rFonts w:hint="eastAsia" w:ascii="宋体" w:hAnsi="宋体" w:cs="宋体"/>
          <w:b/>
          <w:color w:val="000000"/>
          <w:sz w:val="22"/>
          <w:szCs w:val="22"/>
        </w:rPr>
      </w:pPr>
    </w:p>
    <w:p w14:paraId="37ECC266">
      <w:pPr>
        <w:keepNext w:val="0"/>
        <w:keepLines w:val="0"/>
        <w:pageBreakBefore w:val="0"/>
        <w:widowControl/>
        <w:spacing w:after="0" w:line="360" w:lineRule="auto"/>
        <w:jc w:val="both"/>
        <w:outlineLvl w:val="1"/>
        <w:rPr>
          <w:rFonts w:hint="eastAsia" w:ascii="宋体" w:hAnsi="宋体" w:eastAsia="宋体" w:cs="Times New Roman"/>
          <w:b/>
          <w:sz w:val="22"/>
          <w:szCs w:val="22"/>
          <w:lang w:val="en-US" w:eastAsia="zh-CN" w:bidi="en-US"/>
        </w:rPr>
      </w:pPr>
      <w:r>
        <w:rPr>
          <w:rFonts w:hint="eastAsia" w:ascii="宋体" w:hAnsi="宋体" w:eastAsia="宋体" w:cs="Times New Roman"/>
          <w:b/>
          <w:sz w:val="22"/>
          <w:szCs w:val="22"/>
          <w:lang w:val="en-US" w:eastAsia="zh-CN" w:bidi="en-US"/>
        </w:rPr>
        <w:t>附件三、具备履行合同所必需的设备和专业技术能力的声明格式及证明材料</w:t>
      </w:r>
    </w:p>
    <w:p w14:paraId="63AFD63A">
      <w:pPr>
        <w:spacing w:line="360" w:lineRule="auto"/>
        <w:jc w:val="center"/>
        <w:rPr>
          <w:rFonts w:hint="eastAsia" w:ascii="宋体" w:hAnsi="宋体" w:cs="宋体"/>
          <w:color w:val="000000"/>
          <w:sz w:val="22"/>
          <w:szCs w:val="22"/>
        </w:rPr>
      </w:pPr>
      <w:r>
        <w:rPr>
          <w:rFonts w:hint="eastAsia" w:ascii="宋体" w:hAnsi="宋体" w:cs="宋体"/>
          <w:color w:val="000000"/>
          <w:sz w:val="22"/>
          <w:szCs w:val="22"/>
        </w:rPr>
        <w:t>具备履行合同所必需的设备和专业技术能力的声明格式</w:t>
      </w:r>
    </w:p>
    <w:p w14:paraId="127DF273">
      <w:pPr>
        <w:spacing w:line="360" w:lineRule="auto"/>
        <w:rPr>
          <w:rFonts w:hint="eastAsia" w:ascii="宋体" w:hAnsi="宋体" w:cs="宋体"/>
          <w:color w:val="000000"/>
          <w:sz w:val="22"/>
          <w:szCs w:val="22"/>
        </w:rPr>
      </w:pPr>
      <w:r>
        <w:rPr>
          <w:rFonts w:hint="eastAsia" w:ascii="宋体" w:hAnsi="宋体" w:cs="宋体"/>
          <w:color w:val="000000"/>
          <w:sz w:val="22"/>
          <w:szCs w:val="22"/>
          <w:lang w:eastAsia="zh-CN"/>
        </w:rPr>
        <w:t>南京市江宁区交通运输局</w:t>
      </w:r>
      <w:r>
        <w:rPr>
          <w:rFonts w:hint="eastAsia" w:ascii="宋体" w:hAnsi="宋体" w:cs="宋体"/>
          <w:color w:val="000000"/>
          <w:sz w:val="22"/>
          <w:szCs w:val="22"/>
        </w:rPr>
        <w:t xml:space="preserve"> ：</w:t>
      </w:r>
    </w:p>
    <w:p w14:paraId="75A522AB">
      <w:pPr>
        <w:spacing w:line="360" w:lineRule="auto"/>
        <w:ind w:firstLine="420"/>
        <w:rPr>
          <w:rFonts w:hint="eastAsia" w:ascii="宋体" w:hAnsi="宋体" w:cs="宋体"/>
          <w:color w:val="000000"/>
          <w:sz w:val="22"/>
          <w:szCs w:val="22"/>
        </w:rPr>
      </w:pPr>
      <w:r>
        <w:rPr>
          <w:rFonts w:hint="eastAsia" w:ascii="宋体" w:hAnsi="宋体" w:cs="宋体"/>
          <w:color w:val="000000"/>
          <w:sz w:val="22"/>
          <w:szCs w:val="22"/>
        </w:rPr>
        <w:t>我单位</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 （供应商名称）郑重声明：我公司具备履行本项采购合同所必需的设备和专业技术能力，为履行本项采购合同我单位具备如下主要设备和主要专业技术能力：</w:t>
      </w:r>
    </w:p>
    <w:p w14:paraId="6B5E71B0">
      <w:pPr>
        <w:spacing w:line="360" w:lineRule="auto"/>
        <w:ind w:firstLine="422"/>
        <w:rPr>
          <w:rFonts w:hint="eastAsia" w:ascii="宋体" w:hAnsi="宋体" w:cs="宋体"/>
          <w:b/>
          <w:bCs/>
          <w:color w:val="000000"/>
          <w:sz w:val="22"/>
          <w:szCs w:val="22"/>
        </w:rPr>
      </w:pPr>
      <w:r>
        <w:rPr>
          <w:rFonts w:hint="eastAsia" w:ascii="宋体" w:hAnsi="宋体" w:cs="宋体"/>
          <w:b/>
          <w:bCs/>
          <w:color w:val="000000"/>
          <w:sz w:val="22"/>
          <w:szCs w:val="22"/>
        </w:rPr>
        <w:t xml:space="preserve">主要设备有：                       </w:t>
      </w:r>
      <w:r>
        <w:rPr>
          <w:rFonts w:hint="eastAsia" w:ascii="宋体" w:hAnsi="宋体" w:cs="宋体"/>
          <w:color w:val="000000"/>
          <w:sz w:val="22"/>
          <w:szCs w:val="22"/>
        </w:rPr>
        <w:t xml:space="preserve">   。</w:t>
      </w:r>
    </w:p>
    <w:p w14:paraId="35202BC5">
      <w:pPr>
        <w:spacing w:line="360" w:lineRule="auto"/>
        <w:ind w:firstLine="422"/>
        <w:rPr>
          <w:rFonts w:hint="eastAsia" w:ascii="宋体" w:hAnsi="宋体" w:cs="宋体"/>
          <w:color w:val="000000"/>
          <w:sz w:val="22"/>
          <w:szCs w:val="22"/>
        </w:rPr>
      </w:pPr>
      <w:r>
        <w:rPr>
          <w:rFonts w:hint="eastAsia" w:ascii="宋体" w:hAnsi="宋体" w:cs="宋体"/>
          <w:b/>
          <w:bCs/>
          <w:color w:val="000000"/>
          <w:sz w:val="22"/>
          <w:szCs w:val="22"/>
        </w:rPr>
        <w:t>主要专业技术能力有：</w:t>
      </w:r>
      <w:r>
        <w:rPr>
          <w:rFonts w:hint="eastAsia" w:ascii="宋体" w:hAnsi="宋体" w:cs="宋体"/>
          <w:color w:val="000000"/>
          <w:sz w:val="22"/>
          <w:szCs w:val="22"/>
        </w:rPr>
        <w:t xml:space="preserve">                  。</w:t>
      </w:r>
    </w:p>
    <w:p w14:paraId="6F556965">
      <w:pPr>
        <w:spacing w:line="360" w:lineRule="auto"/>
        <w:ind w:firstLine="420"/>
        <w:rPr>
          <w:rFonts w:hint="eastAsia" w:ascii="宋体" w:hAnsi="宋体" w:cs="宋体"/>
          <w:color w:val="000000"/>
          <w:sz w:val="22"/>
          <w:szCs w:val="22"/>
        </w:rPr>
      </w:pPr>
      <w:r>
        <w:rPr>
          <w:rFonts w:hint="eastAsia" w:ascii="宋体" w:hAnsi="宋体" w:cs="宋体"/>
          <w:color w:val="000000"/>
          <w:sz w:val="22"/>
          <w:szCs w:val="22"/>
        </w:rPr>
        <w:t xml:space="preserve">                                      </w:t>
      </w:r>
    </w:p>
    <w:p w14:paraId="0C6C28FA">
      <w:pPr>
        <w:spacing w:line="360" w:lineRule="auto"/>
        <w:ind w:firstLine="420"/>
        <w:rPr>
          <w:rFonts w:hint="eastAsia" w:ascii="宋体" w:hAnsi="宋体" w:cs="宋体"/>
          <w:color w:val="000000"/>
          <w:sz w:val="22"/>
          <w:szCs w:val="22"/>
          <w:lang w:val="zh-CN"/>
        </w:rPr>
      </w:pPr>
      <w:r>
        <w:rPr>
          <w:rFonts w:hint="eastAsia" w:ascii="宋体" w:hAnsi="宋体" w:cs="宋体"/>
          <w:color w:val="000000"/>
          <w:sz w:val="22"/>
          <w:szCs w:val="22"/>
          <w:lang w:val="zh-CN"/>
        </w:rPr>
        <w:t>供应商名称：</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（盖章）</w:t>
      </w:r>
    </w:p>
    <w:p w14:paraId="645059E4">
      <w:pPr>
        <w:widowControl/>
        <w:spacing w:line="360" w:lineRule="auto"/>
        <w:ind w:firstLine="420"/>
        <w:jc w:val="left"/>
        <w:rPr>
          <w:rFonts w:hint="eastAsia" w:ascii="宋体" w:hAnsi="宋体" w:cs="宋体"/>
          <w:sz w:val="22"/>
          <w:szCs w:val="22"/>
          <w:lang w:val="zh-CN"/>
        </w:rPr>
      </w:pPr>
      <w:r>
        <w:rPr>
          <w:rFonts w:hint="eastAsia" w:ascii="宋体" w:hAnsi="宋体" w:cs="宋体"/>
          <w:sz w:val="22"/>
          <w:szCs w:val="22"/>
          <w:lang w:val="zh-CN"/>
        </w:rPr>
        <w:t>法定代表人或授权委托人签字：</w:t>
      </w:r>
      <w:r>
        <w:rPr>
          <w:rFonts w:hint="eastAsia" w:ascii="宋体" w:hAnsi="宋体" w:cs="宋体"/>
          <w:sz w:val="22"/>
          <w:szCs w:val="22"/>
          <w:u w:val="single"/>
        </w:rPr>
        <w:t xml:space="preserve">         </w:t>
      </w:r>
      <w:r>
        <w:rPr>
          <w:rFonts w:hint="eastAsia" w:ascii="宋体" w:hAnsi="宋体" w:cs="宋体"/>
          <w:sz w:val="22"/>
          <w:szCs w:val="22"/>
          <w:u w:val="single"/>
          <w:lang w:val="zh-CN"/>
        </w:rPr>
        <w:t xml:space="preserve">  </w:t>
      </w:r>
      <w:r>
        <w:rPr>
          <w:rFonts w:hint="eastAsia" w:ascii="宋体" w:hAnsi="宋体" w:cs="宋体"/>
          <w:sz w:val="22"/>
          <w:szCs w:val="22"/>
          <w:lang w:val="zh-CN"/>
        </w:rPr>
        <w:t xml:space="preserve">                  </w:t>
      </w:r>
    </w:p>
    <w:p w14:paraId="6A4D06DA">
      <w:pPr>
        <w:spacing w:line="360" w:lineRule="auto"/>
        <w:ind w:firstLine="420"/>
        <w:rPr>
          <w:rFonts w:hint="eastAsia" w:ascii="宋体" w:hAnsi="宋体" w:cs="宋体"/>
          <w:color w:val="000000"/>
          <w:sz w:val="22"/>
          <w:szCs w:val="22"/>
          <w:lang w:val="zh-CN"/>
        </w:rPr>
      </w:pPr>
      <w:r>
        <w:rPr>
          <w:rFonts w:hint="eastAsia" w:ascii="宋体" w:hAnsi="宋体" w:cs="宋体"/>
          <w:color w:val="000000"/>
          <w:sz w:val="22"/>
          <w:szCs w:val="22"/>
          <w:lang w:val="zh-CN"/>
        </w:rPr>
        <w:t>日    期：</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年</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月</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日</w:t>
      </w:r>
    </w:p>
    <w:p w14:paraId="792E71A5">
      <w:pPr>
        <w:spacing w:line="360" w:lineRule="auto"/>
        <w:rPr>
          <w:rFonts w:hint="eastAsia" w:ascii="宋体" w:hAnsi="宋体" w:cs="宋体"/>
          <w:b/>
          <w:color w:val="000000"/>
          <w:sz w:val="22"/>
          <w:szCs w:val="22"/>
        </w:rPr>
      </w:pPr>
    </w:p>
    <w:p w14:paraId="0D1E2E4F">
      <w:pPr>
        <w:pStyle w:val="42"/>
        <w:ind w:firstLine="420"/>
        <w:rPr>
          <w:rFonts w:hint="eastAsia" w:ascii="宋体" w:hAnsi="宋体" w:eastAsia="宋体"/>
          <w:sz w:val="22"/>
          <w:szCs w:val="22"/>
        </w:rPr>
      </w:pPr>
    </w:p>
    <w:p w14:paraId="3C3EB476">
      <w:pPr>
        <w:spacing w:line="360" w:lineRule="auto"/>
        <w:rPr>
          <w:rFonts w:hint="eastAsia" w:ascii="宋体" w:hAnsi="宋体" w:cs="宋体"/>
          <w:b/>
          <w:color w:val="000000"/>
          <w:sz w:val="22"/>
          <w:szCs w:val="22"/>
        </w:rPr>
      </w:pPr>
    </w:p>
    <w:p w14:paraId="27D7274E">
      <w:pPr>
        <w:spacing w:line="360" w:lineRule="auto"/>
        <w:rPr>
          <w:rFonts w:hint="eastAsia" w:ascii="宋体" w:hAnsi="宋体" w:cs="宋体"/>
          <w:b/>
          <w:color w:val="000000"/>
          <w:sz w:val="22"/>
          <w:szCs w:val="22"/>
        </w:rPr>
      </w:pPr>
    </w:p>
    <w:p w14:paraId="27FD3306">
      <w:pPr>
        <w:keepNext w:val="0"/>
        <w:keepLines w:val="0"/>
        <w:pageBreakBefore w:val="0"/>
        <w:widowControl/>
        <w:spacing w:after="0" w:line="360" w:lineRule="auto"/>
        <w:jc w:val="both"/>
        <w:outlineLvl w:val="1"/>
        <w:rPr>
          <w:rFonts w:hint="eastAsia" w:ascii="宋体" w:hAnsi="宋体" w:eastAsia="宋体" w:cs="Times New Roman"/>
          <w:b/>
          <w:sz w:val="22"/>
          <w:szCs w:val="22"/>
          <w:lang w:val="en-US" w:eastAsia="zh-CN" w:bidi="en-US"/>
        </w:rPr>
      </w:pPr>
      <w:r>
        <w:rPr>
          <w:rFonts w:hint="eastAsia" w:ascii="宋体" w:hAnsi="宋体" w:eastAsia="宋体" w:cs="Times New Roman"/>
          <w:b/>
          <w:sz w:val="22"/>
          <w:szCs w:val="22"/>
          <w:lang w:val="en-US" w:eastAsia="zh-CN" w:bidi="en-US"/>
        </w:rPr>
        <w:t>附件四、承诺书</w:t>
      </w:r>
    </w:p>
    <w:p w14:paraId="1955642C">
      <w:pPr>
        <w:pStyle w:val="42"/>
        <w:ind w:firstLine="422"/>
        <w:jc w:val="center"/>
        <w:rPr>
          <w:rFonts w:hint="eastAsia" w:ascii="宋体" w:hAnsi="宋体" w:eastAsia="宋体"/>
          <w:b/>
          <w:color w:val="000000"/>
          <w:sz w:val="22"/>
          <w:szCs w:val="22"/>
        </w:rPr>
      </w:pPr>
      <w:r>
        <w:rPr>
          <w:rFonts w:hint="eastAsia" w:ascii="宋体" w:hAnsi="宋体" w:eastAsia="宋体"/>
          <w:b/>
          <w:color w:val="000000"/>
          <w:sz w:val="22"/>
          <w:szCs w:val="22"/>
        </w:rPr>
        <w:t>承诺书</w:t>
      </w:r>
    </w:p>
    <w:p w14:paraId="785AAE9D">
      <w:pPr>
        <w:spacing w:line="360" w:lineRule="auto"/>
        <w:rPr>
          <w:rFonts w:hint="eastAsia" w:ascii="宋体" w:hAnsi="宋体" w:cs="宋体"/>
          <w:b/>
          <w:bCs/>
          <w:sz w:val="22"/>
          <w:szCs w:val="22"/>
        </w:rPr>
      </w:pPr>
      <w:r>
        <w:rPr>
          <w:rFonts w:hint="eastAsia" w:ascii="宋体" w:hAnsi="宋体" w:cs="宋体"/>
          <w:b/>
          <w:bCs/>
          <w:sz w:val="22"/>
          <w:szCs w:val="22"/>
          <w:lang w:eastAsia="zh-CN"/>
        </w:rPr>
        <w:t>南京市江宁区交通运输局</w:t>
      </w:r>
      <w:r>
        <w:rPr>
          <w:rFonts w:hint="eastAsia" w:ascii="宋体" w:hAnsi="宋体" w:cs="宋体"/>
          <w:b/>
          <w:bCs/>
          <w:sz w:val="22"/>
          <w:szCs w:val="22"/>
        </w:rPr>
        <w:t>：</w:t>
      </w:r>
    </w:p>
    <w:p w14:paraId="29FE1367">
      <w:pPr>
        <w:spacing w:line="360" w:lineRule="auto"/>
        <w:ind w:firstLine="420"/>
        <w:rPr>
          <w:rFonts w:hint="eastAsia" w:ascii="宋体" w:hAnsi="宋体" w:cs="宋体"/>
          <w:b/>
          <w:color w:val="000000"/>
          <w:sz w:val="22"/>
          <w:szCs w:val="22"/>
        </w:rPr>
      </w:pPr>
      <w:r>
        <w:rPr>
          <w:rFonts w:hint="eastAsia" w:ascii="宋体" w:hAnsi="宋体" w:cs="宋体"/>
          <w:bCs/>
          <w:sz w:val="22"/>
          <w:szCs w:val="22"/>
        </w:rPr>
        <w:t>根据贵方组织的</w:t>
      </w:r>
      <w:r>
        <w:rPr>
          <w:rFonts w:hint="eastAsia" w:ascii="宋体" w:hAnsi="宋体" w:cs="宋体"/>
          <w:bCs/>
          <w:sz w:val="22"/>
          <w:szCs w:val="22"/>
          <w:u w:val="single"/>
        </w:rPr>
        <w:t xml:space="preserve">                            </w:t>
      </w:r>
      <w:r>
        <w:rPr>
          <w:rFonts w:hint="eastAsia" w:ascii="宋体" w:hAnsi="宋体" w:cs="宋体"/>
          <w:bCs/>
          <w:sz w:val="22"/>
          <w:szCs w:val="22"/>
        </w:rPr>
        <w:t>项目（项目名称）</w:t>
      </w:r>
      <w:r>
        <w:rPr>
          <w:rFonts w:hint="eastAsia" w:ascii="宋体" w:hAnsi="宋体" w:cs="宋体"/>
          <w:bCs/>
          <w:sz w:val="22"/>
          <w:szCs w:val="22"/>
          <w:u w:val="single"/>
        </w:rPr>
        <w:t xml:space="preserve">          </w:t>
      </w:r>
      <w:r>
        <w:rPr>
          <w:rFonts w:hint="eastAsia" w:ascii="宋体" w:hAnsi="宋体" w:cs="宋体"/>
          <w:bCs/>
          <w:sz w:val="22"/>
          <w:szCs w:val="22"/>
        </w:rPr>
        <w:t>（项目编号）的要求，我方承诺</w:t>
      </w:r>
      <w:r>
        <w:rPr>
          <w:rFonts w:hint="eastAsia" w:ascii="宋体" w:hAnsi="宋体" w:cs="宋体"/>
          <w:sz w:val="22"/>
          <w:szCs w:val="22"/>
          <w:shd w:val="clear" w:color="auto" w:fill="FFFFFF"/>
        </w:rPr>
        <w:t>对信用承诺内容的真实性、合法性、有效性负责。如作出虚假信用承诺，视同为“提供虚假材料谋取中标、成交”的违法行为。经调查核实后，按照《政府采购法》第七十七条规定，接受处以采购金额千分之五以上千分之十</w:t>
      </w:r>
      <w:r>
        <w:rPr>
          <w:rFonts w:hint="eastAsia" w:ascii="宋体" w:hAnsi="宋体" w:cs="宋体"/>
          <w:sz w:val="22"/>
          <w:szCs w:val="22"/>
          <w:shd w:val="clear" w:color="auto" w:fill="FFFFFF"/>
          <w:lang w:eastAsia="zh-CN"/>
        </w:rPr>
        <w:t>以</w:t>
      </w:r>
      <w:r>
        <w:rPr>
          <w:rFonts w:hint="eastAsia" w:ascii="宋体" w:hAnsi="宋体" w:cs="宋体"/>
          <w:sz w:val="22"/>
          <w:szCs w:val="22"/>
          <w:shd w:val="clear" w:color="auto" w:fill="FFFFFF"/>
        </w:rPr>
        <w:t>下的罚款，列入不良行为记录名单，在一年至三年内禁止参加政府采购活动；有违法所得的，并没收违法所得，情节严重的，由市场监管部门吊销营业执照；构成犯罪的，依法追究刑事责任。</w:t>
      </w:r>
    </w:p>
    <w:p w14:paraId="5A5846BC">
      <w:pPr>
        <w:spacing w:line="360" w:lineRule="auto"/>
        <w:ind w:firstLine="420"/>
        <w:rPr>
          <w:rFonts w:hint="eastAsia" w:ascii="宋体" w:hAnsi="宋体" w:cs="宋体"/>
          <w:color w:val="000000"/>
          <w:sz w:val="22"/>
          <w:szCs w:val="22"/>
          <w:lang w:val="zh-CN"/>
        </w:rPr>
      </w:pPr>
      <w:r>
        <w:rPr>
          <w:rFonts w:hint="eastAsia" w:ascii="宋体" w:hAnsi="宋体" w:cs="宋体"/>
          <w:color w:val="000000"/>
          <w:sz w:val="22"/>
          <w:szCs w:val="22"/>
          <w:lang w:val="zh-CN"/>
        </w:rPr>
        <w:t>供应商名称：</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（盖章）</w:t>
      </w:r>
    </w:p>
    <w:p w14:paraId="0966E72E">
      <w:pPr>
        <w:widowControl/>
        <w:spacing w:line="360" w:lineRule="auto"/>
        <w:ind w:firstLine="420"/>
        <w:jc w:val="left"/>
        <w:rPr>
          <w:rFonts w:hint="eastAsia" w:ascii="宋体" w:hAnsi="宋体" w:cs="宋体"/>
          <w:sz w:val="22"/>
          <w:szCs w:val="22"/>
          <w:lang w:val="zh-CN"/>
        </w:rPr>
      </w:pPr>
      <w:r>
        <w:rPr>
          <w:rFonts w:hint="eastAsia" w:ascii="宋体" w:hAnsi="宋体" w:cs="宋体"/>
          <w:sz w:val="22"/>
          <w:szCs w:val="22"/>
          <w:lang w:val="zh-CN"/>
        </w:rPr>
        <w:t xml:space="preserve">    法定代表人或授权委托人签字：</w:t>
      </w:r>
      <w:r>
        <w:rPr>
          <w:rFonts w:hint="eastAsia" w:ascii="宋体" w:hAnsi="宋体" w:cs="宋体"/>
          <w:sz w:val="22"/>
          <w:szCs w:val="22"/>
          <w:u w:val="single"/>
        </w:rPr>
        <w:t xml:space="preserve">         </w:t>
      </w:r>
      <w:r>
        <w:rPr>
          <w:rFonts w:hint="eastAsia" w:ascii="宋体" w:hAnsi="宋体" w:cs="宋体"/>
          <w:sz w:val="22"/>
          <w:szCs w:val="22"/>
          <w:u w:val="single"/>
          <w:lang w:val="zh-CN"/>
        </w:rPr>
        <w:t xml:space="preserve">  </w:t>
      </w:r>
      <w:r>
        <w:rPr>
          <w:rFonts w:hint="eastAsia" w:ascii="宋体" w:hAnsi="宋体" w:cs="宋体"/>
          <w:sz w:val="22"/>
          <w:szCs w:val="22"/>
          <w:lang w:val="zh-CN"/>
        </w:rPr>
        <w:t xml:space="preserve">                  </w:t>
      </w:r>
    </w:p>
    <w:p w14:paraId="337D4BCA">
      <w:pPr>
        <w:spacing w:line="360" w:lineRule="auto"/>
        <w:ind w:firstLine="420"/>
        <w:rPr>
          <w:rFonts w:hint="eastAsia" w:ascii="宋体" w:hAnsi="宋体" w:cs="宋体"/>
          <w:color w:val="000000"/>
          <w:sz w:val="22"/>
          <w:szCs w:val="22"/>
          <w:lang w:val="zh-CN"/>
        </w:rPr>
      </w:pPr>
      <w:r>
        <w:rPr>
          <w:rFonts w:hint="eastAsia" w:ascii="宋体" w:hAnsi="宋体" w:cs="宋体"/>
          <w:color w:val="000000"/>
          <w:sz w:val="22"/>
          <w:szCs w:val="22"/>
          <w:lang w:val="zh-CN"/>
        </w:rPr>
        <w:t>日    期：</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年</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月</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日</w:t>
      </w:r>
    </w:p>
    <w:p w14:paraId="76C854F8">
      <w:pPr>
        <w:spacing w:line="360" w:lineRule="auto"/>
        <w:rPr>
          <w:rFonts w:hint="eastAsia" w:ascii="宋体" w:hAnsi="宋体" w:cs="宋体"/>
          <w:b/>
          <w:color w:val="000000"/>
          <w:sz w:val="22"/>
          <w:szCs w:val="22"/>
        </w:rPr>
      </w:pPr>
    </w:p>
    <w:p w14:paraId="6BA1E71E">
      <w:pPr>
        <w:spacing w:line="360" w:lineRule="auto"/>
        <w:rPr>
          <w:rFonts w:hint="eastAsia" w:ascii="宋体" w:hAnsi="宋体" w:cs="宋体"/>
          <w:b/>
          <w:color w:val="000000"/>
          <w:sz w:val="22"/>
          <w:szCs w:val="22"/>
        </w:rPr>
      </w:pPr>
    </w:p>
    <w:p w14:paraId="1B0BF5FD">
      <w:pPr>
        <w:spacing w:line="360" w:lineRule="auto"/>
        <w:rPr>
          <w:rFonts w:hint="eastAsia" w:ascii="宋体" w:hAnsi="宋体" w:cs="宋体"/>
          <w:b/>
          <w:color w:val="000000"/>
          <w:sz w:val="22"/>
          <w:szCs w:val="22"/>
        </w:rPr>
      </w:pPr>
    </w:p>
    <w:p w14:paraId="443373EB">
      <w:pPr>
        <w:spacing w:line="360" w:lineRule="auto"/>
        <w:rPr>
          <w:rFonts w:hint="eastAsia" w:ascii="宋体" w:hAnsi="宋体" w:cs="宋体"/>
          <w:b/>
          <w:color w:val="000000"/>
          <w:sz w:val="22"/>
          <w:szCs w:val="22"/>
        </w:rPr>
      </w:pPr>
    </w:p>
    <w:p w14:paraId="7A76A6BE">
      <w:pPr>
        <w:rPr>
          <w:rFonts w:hint="eastAsia" w:ascii="宋体" w:hAnsi="宋体" w:eastAsia="宋体" w:cs="Times New Roman"/>
          <w:b/>
          <w:sz w:val="22"/>
          <w:szCs w:val="22"/>
          <w:lang w:val="en-US" w:eastAsia="zh-CN" w:bidi="en-US"/>
        </w:rPr>
      </w:pPr>
      <w:r>
        <w:rPr>
          <w:rFonts w:hint="eastAsia" w:ascii="宋体" w:hAnsi="宋体" w:eastAsia="宋体" w:cs="Times New Roman"/>
          <w:b/>
          <w:sz w:val="22"/>
          <w:szCs w:val="22"/>
          <w:lang w:val="en-US" w:eastAsia="zh-CN" w:bidi="en-US"/>
        </w:rPr>
        <w:br w:type="page" w:clear="all"/>
      </w:r>
    </w:p>
    <w:p w14:paraId="25C81713">
      <w:pPr>
        <w:keepNext w:val="0"/>
        <w:keepLines w:val="0"/>
        <w:pageBreakBefore w:val="0"/>
        <w:widowControl/>
        <w:spacing w:after="0" w:line="360" w:lineRule="auto"/>
        <w:jc w:val="both"/>
        <w:outlineLvl w:val="1"/>
        <w:rPr>
          <w:rFonts w:hint="eastAsia" w:ascii="宋体" w:hAnsi="宋体" w:eastAsia="宋体" w:cs="Times New Roman"/>
          <w:b/>
          <w:sz w:val="22"/>
          <w:szCs w:val="22"/>
          <w:lang w:val="en-US" w:eastAsia="zh-CN" w:bidi="en-US"/>
        </w:rPr>
      </w:pPr>
      <w:r>
        <w:rPr>
          <w:rFonts w:hint="eastAsia" w:ascii="宋体" w:hAnsi="宋体" w:eastAsia="宋体" w:cs="Times New Roman"/>
          <w:b/>
          <w:sz w:val="22"/>
          <w:szCs w:val="22"/>
          <w:lang w:val="en-US" w:eastAsia="zh-CN" w:bidi="en-US"/>
        </w:rPr>
        <w:t>附件五、承诺书</w:t>
      </w:r>
    </w:p>
    <w:p w14:paraId="39302CEC">
      <w:pPr>
        <w:pStyle w:val="42"/>
        <w:spacing w:line="360" w:lineRule="auto"/>
        <w:ind w:firstLine="422"/>
        <w:jc w:val="center"/>
        <w:rPr>
          <w:rFonts w:hint="eastAsia" w:ascii="宋体" w:hAnsi="宋体" w:eastAsia="宋体"/>
          <w:b/>
          <w:color w:val="000000"/>
          <w:sz w:val="22"/>
          <w:szCs w:val="22"/>
        </w:rPr>
      </w:pPr>
      <w:r>
        <w:rPr>
          <w:rFonts w:hint="eastAsia" w:ascii="宋体" w:hAnsi="宋体" w:eastAsia="宋体"/>
          <w:b/>
          <w:color w:val="000000"/>
          <w:sz w:val="22"/>
          <w:szCs w:val="22"/>
        </w:rPr>
        <w:t>承诺书</w:t>
      </w:r>
    </w:p>
    <w:p w14:paraId="6B796691">
      <w:pPr>
        <w:spacing w:line="360" w:lineRule="auto"/>
        <w:rPr>
          <w:rFonts w:hint="eastAsia" w:ascii="宋体" w:hAnsi="宋体" w:cs="宋体"/>
          <w:b/>
          <w:bCs/>
          <w:sz w:val="22"/>
          <w:szCs w:val="22"/>
        </w:rPr>
      </w:pPr>
      <w:r>
        <w:rPr>
          <w:rFonts w:hint="eastAsia" w:ascii="宋体" w:hAnsi="宋体" w:cs="宋体"/>
          <w:b/>
          <w:bCs/>
          <w:sz w:val="22"/>
          <w:szCs w:val="22"/>
          <w:lang w:eastAsia="zh-CN"/>
        </w:rPr>
        <w:t>南京市江宁区交通运输局</w:t>
      </w:r>
      <w:r>
        <w:rPr>
          <w:rFonts w:hint="eastAsia" w:ascii="宋体" w:hAnsi="宋体" w:cs="宋体"/>
          <w:b/>
          <w:bCs/>
          <w:sz w:val="22"/>
          <w:szCs w:val="22"/>
        </w:rPr>
        <w:t>：</w:t>
      </w:r>
    </w:p>
    <w:p w14:paraId="2C394055">
      <w:pPr>
        <w:spacing w:line="360" w:lineRule="auto"/>
        <w:ind w:firstLine="420"/>
        <w:rPr>
          <w:rFonts w:hint="eastAsia" w:ascii="宋体" w:hAnsi="宋体" w:cs="宋体"/>
          <w:bCs/>
          <w:sz w:val="22"/>
          <w:szCs w:val="22"/>
        </w:rPr>
      </w:pPr>
      <w:r>
        <w:rPr>
          <w:rFonts w:hint="eastAsia" w:ascii="宋体" w:hAnsi="宋体" w:cs="宋体"/>
          <w:bCs/>
          <w:sz w:val="22"/>
          <w:szCs w:val="22"/>
        </w:rPr>
        <w:t>根据贵方组织的</w:t>
      </w:r>
      <w:r>
        <w:rPr>
          <w:rFonts w:hint="eastAsia" w:ascii="宋体" w:hAnsi="宋体" w:cs="宋体"/>
          <w:bCs/>
          <w:sz w:val="22"/>
          <w:szCs w:val="22"/>
          <w:u w:val="single"/>
        </w:rPr>
        <w:t xml:space="preserve">                            </w:t>
      </w:r>
      <w:r>
        <w:rPr>
          <w:rFonts w:hint="eastAsia" w:ascii="宋体" w:hAnsi="宋体" w:cs="宋体"/>
          <w:bCs/>
          <w:sz w:val="22"/>
          <w:szCs w:val="22"/>
        </w:rPr>
        <w:t>项目（项目名称）</w:t>
      </w:r>
      <w:r>
        <w:rPr>
          <w:rFonts w:hint="eastAsia" w:ascii="宋体" w:hAnsi="宋体" w:cs="宋体"/>
          <w:bCs/>
          <w:sz w:val="22"/>
          <w:szCs w:val="22"/>
          <w:u w:val="single"/>
        </w:rPr>
        <w:t xml:space="preserve">          </w:t>
      </w:r>
      <w:r>
        <w:rPr>
          <w:rFonts w:hint="eastAsia" w:ascii="宋体" w:hAnsi="宋体" w:cs="宋体"/>
          <w:bCs/>
          <w:sz w:val="22"/>
          <w:szCs w:val="22"/>
        </w:rPr>
        <w:t xml:space="preserve">（项目编号）的要求，我方 </w:t>
      </w:r>
      <w:r>
        <w:rPr>
          <w:rFonts w:hint="eastAsia" w:ascii="宋体" w:hAnsi="宋体" w:cs="宋体"/>
          <w:bCs/>
          <w:sz w:val="22"/>
          <w:szCs w:val="22"/>
          <w:u w:val="single"/>
        </w:rPr>
        <w:t xml:space="preserve">              </w:t>
      </w:r>
      <w:r>
        <w:rPr>
          <w:rFonts w:hint="eastAsia" w:ascii="宋体" w:hAnsi="宋体" w:cs="宋体"/>
          <w:bCs/>
          <w:sz w:val="22"/>
          <w:szCs w:val="22"/>
        </w:rPr>
        <w:t>（投标供应商名称）作为供应商承诺</w:t>
      </w:r>
      <w:r>
        <w:rPr>
          <w:rFonts w:hint="eastAsia" w:ascii="宋体" w:hAnsi="宋体" w:cs="宋体"/>
          <w:b/>
          <w:sz w:val="22"/>
          <w:szCs w:val="22"/>
        </w:rPr>
        <w:t>不存在以下情况</w:t>
      </w:r>
      <w:r>
        <w:rPr>
          <w:rFonts w:hint="eastAsia" w:ascii="宋体" w:hAnsi="宋体" w:cs="宋体"/>
          <w:bCs/>
          <w:sz w:val="22"/>
          <w:szCs w:val="22"/>
        </w:rPr>
        <w:t>：</w:t>
      </w:r>
    </w:p>
    <w:p w14:paraId="4D4A672B">
      <w:pPr>
        <w:spacing w:line="360" w:lineRule="auto"/>
        <w:ind w:firstLine="420"/>
        <w:rPr>
          <w:rFonts w:hint="eastAsia" w:ascii="宋体" w:hAnsi="宋体" w:cs="宋体"/>
          <w:bCs/>
          <w:sz w:val="22"/>
          <w:szCs w:val="22"/>
        </w:rPr>
      </w:pPr>
      <w:r>
        <w:rPr>
          <w:rFonts w:hint="eastAsia" w:ascii="宋体" w:hAnsi="宋体" w:cs="宋体"/>
          <w:bCs/>
          <w:sz w:val="22"/>
          <w:szCs w:val="22"/>
        </w:rPr>
        <w:t xml:space="preserve"> </w:t>
      </w:r>
    </w:p>
    <w:p w14:paraId="5065EC8D">
      <w:pPr>
        <w:spacing w:line="360" w:lineRule="auto"/>
        <w:ind w:firstLine="420"/>
        <w:rPr>
          <w:rFonts w:hint="eastAsia" w:ascii="宋体" w:hAnsi="宋体" w:cs="宋体"/>
          <w:bCs/>
          <w:sz w:val="22"/>
          <w:szCs w:val="22"/>
        </w:rPr>
      </w:pPr>
      <w:r>
        <w:rPr>
          <w:rFonts w:hint="eastAsia" w:ascii="宋体" w:hAnsi="宋体" w:cs="宋体"/>
          <w:bCs/>
          <w:sz w:val="22"/>
          <w:szCs w:val="22"/>
        </w:rPr>
        <w:t>（1）供应商单位负责人为同一人或者存在直接控股、管理关系的不同供应商，不得参加同一合同项下的政府采购活动。</w:t>
      </w:r>
    </w:p>
    <w:p w14:paraId="5A36B759">
      <w:pPr>
        <w:spacing w:line="360" w:lineRule="auto"/>
        <w:ind w:firstLine="420"/>
        <w:rPr>
          <w:rFonts w:hint="eastAsia" w:ascii="宋体" w:hAnsi="宋体" w:cs="宋体"/>
          <w:bCs/>
          <w:sz w:val="22"/>
          <w:szCs w:val="22"/>
        </w:rPr>
      </w:pPr>
      <w:r>
        <w:rPr>
          <w:rFonts w:hint="eastAsia" w:ascii="宋体" w:hAnsi="宋体" w:cs="宋体"/>
          <w:bCs/>
          <w:sz w:val="22"/>
          <w:szCs w:val="22"/>
        </w:rPr>
        <w:t>（2）凡为采购项目提供整体设计、规范编制或者项目管理、监理、检测等服务的供应商，不得再参加本项目的采购活动。</w:t>
      </w:r>
    </w:p>
    <w:p w14:paraId="7D2F2974">
      <w:pPr>
        <w:spacing w:line="360" w:lineRule="auto"/>
        <w:ind w:firstLine="420"/>
        <w:rPr>
          <w:rFonts w:hint="eastAsia" w:ascii="宋体" w:hAnsi="宋体" w:cs="宋体"/>
          <w:bCs/>
          <w:sz w:val="22"/>
          <w:szCs w:val="22"/>
        </w:rPr>
      </w:pPr>
      <w:r>
        <w:rPr>
          <w:rFonts w:hint="eastAsia" w:ascii="宋体" w:hAnsi="宋体" w:cs="宋体"/>
          <w:bCs/>
          <w:sz w:val="22"/>
          <w:szCs w:val="22"/>
        </w:rPr>
        <w:t>（3）供应商被“信用中国”网站（www、creditchina、gov、cn）、“中国政府采购网"(www、ccgp、gov、cn)列入失信被执行人、重大税收违法案件当事人名单、政府采购严重违法失信行为记录名单。</w:t>
      </w:r>
    </w:p>
    <w:p w14:paraId="51895A11">
      <w:pPr>
        <w:spacing w:line="360" w:lineRule="auto"/>
        <w:ind w:firstLine="420"/>
        <w:rPr>
          <w:rFonts w:hint="eastAsia" w:ascii="宋体" w:hAnsi="宋体" w:cs="宋体"/>
          <w:color w:val="000000"/>
          <w:sz w:val="22"/>
          <w:szCs w:val="22"/>
          <w:lang w:val="zh-CN"/>
        </w:rPr>
      </w:pPr>
      <w:r>
        <w:rPr>
          <w:rFonts w:hint="eastAsia" w:ascii="宋体" w:hAnsi="宋体" w:cs="宋体"/>
          <w:color w:val="000000"/>
          <w:sz w:val="22"/>
          <w:szCs w:val="22"/>
          <w:lang w:val="zh-CN"/>
        </w:rPr>
        <w:t>供应商名称：</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（盖章）</w:t>
      </w:r>
    </w:p>
    <w:p w14:paraId="725CFE2D">
      <w:pPr>
        <w:widowControl/>
        <w:spacing w:line="360" w:lineRule="auto"/>
        <w:ind w:firstLine="420"/>
        <w:jc w:val="left"/>
        <w:rPr>
          <w:rFonts w:hint="eastAsia" w:ascii="宋体" w:hAnsi="宋体" w:cs="宋体"/>
          <w:sz w:val="22"/>
          <w:szCs w:val="22"/>
          <w:lang w:val="zh-CN"/>
        </w:rPr>
      </w:pPr>
      <w:r>
        <w:rPr>
          <w:rFonts w:hint="eastAsia" w:ascii="宋体" w:hAnsi="宋体" w:cs="宋体"/>
          <w:sz w:val="22"/>
          <w:szCs w:val="22"/>
          <w:lang w:val="zh-CN"/>
        </w:rPr>
        <w:t xml:space="preserve">    法定代表人或授权委托人签字：</w:t>
      </w:r>
      <w:r>
        <w:rPr>
          <w:rFonts w:hint="eastAsia" w:ascii="宋体" w:hAnsi="宋体" w:cs="宋体"/>
          <w:sz w:val="22"/>
          <w:szCs w:val="22"/>
          <w:u w:val="single"/>
        </w:rPr>
        <w:t xml:space="preserve">         </w:t>
      </w:r>
      <w:r>
        <w:rPr>
          <w:rFonts w:hint="eastAsia" w:ascii="宋体" w:hAnsi="宋体" w:cs="宋体"/>
          <w:sz w:val="22"/>
          <w:szCs w:val="22"/>
          <w:u w:val="single"/>
          <w:lang w:val="zh-CN"/>
        </w:rPr>
        <w:t xml:space="preserve">  </w:t>
      </w:r>
      <w:r>
        <w:rPr>
          <w:rFonts w:hint="eastAsia" w:ascii="宋体" w:hAnsi="宋体" w:cs="宋体"/>
          <w:sz w:val="22"/>
          <w:szCs w:val="22"/>
          <w:lang w:val="zh-CN"/>
        </w:rPr>
        <w:t xml:space="preserve">                  </w:t>
      </w:r>
    </w:p>
    <w:p w14:paraId="66179740">
      <w:pPr>
        <w:spacing w:line="360" w:lineRule="auto"/>
        <w:ind w:firstLine="420"/>
        <w:rPr>
          <w:rFonts w:hint="eastAsia" w:ascii="宋体" w:hAnsi="宋体" w:cs="宋体"/>
          <w:color w:val="000000"/>
          <w:sz w:val="22"/>
          <w:szCs w:val="22"/>
          <w:lang w:val="zh-CN"/>
        </w:rPr>
      </w:pPr>
      <w:r>
        <w:rPr>
          <w:rFonts w:hint="eastAsia" w:ascii="宋体" w:hAnsi="宋体" w:cs="宋体"/>
          <w:color w:val="000000"/>
          <w:sz w:val="22"/>
          <w:szCs w:val="22"/>
          <w:lang w:val="zh-CN"/>
        </w:rPr>
        <w:t>日    期：</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年</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月</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日</w:t>
      </w:r>
    </w:p>
    <w:p w14:paraId="6836699D">
      <w:pPr>
        <w:spacing w:line="360" w:lineRule="auto"/>
        <w:ind w:firstLine="420"/>
        <w:rPr>
          <w:rFonts w:hint="eastAsia" w:ascii="宋体" w:hAnsi="宋体" w:cs="宋体"/>
          <w:color w:val="000000"/>
          <w:sz w:val="22"/>
          <w:szCs w:val="22"/>
        </w:rPr>
      </w:pPr>
    </w:p>
    <w:p w14:paraId="4F3B8C21">
      <w:pPr>
        <w:widowControl/>
        <w:spacing w:line="240" w:lineRule="atLeast"/>
        <w:jc w:val="left"/>
        <w:rPr>
          <w:rFonts w:hint="eastAsia" w:ascii="宋体" w:hAnsi="宋体" w:cs="宋体"/>
          <w:color w:val="000000"/>
          <w:sz w:val="22"/>
          <w:szCs w:val="22"/>
          <w:lang w:val="zh-CN"/>
        </w:rPr>
      </w:pPr>
    </w:p>
    <w:p w14:paraId="58FE6D02">
      <w:pPr>
        <w:widowControl/>
        <w:spacing w:line="360" w:lineRule="auto"/>
        <w:outlineLvl w:val="1"/>
        <w:rPr>
          <w:rFonts w:hint="eastAsia" w:ascii="宋体" w:hAnsi="宋体" w:cs="Times New Roman"/>
          <w:b/>
          <w:color w:val="auto"/>
          <w:sz w:val="22"/>
          <w:szCs w:val="22"/>
          <w:lang w:bidi="en-US"/>
        </w:rPr>
      </w:pPr>
      <w:r>
        <w:rPr>
          <w:rFonts w:hint="eastAsia" w:ascii="宋体" w:hAnsi="宋体" w:cs="Times New Roman"/>
          <w:b/>
          <w:color w:val="auto"/>
          <w:sz w:val="22"/>
          <w:szCs w:val="22"/>
          <w:lang w:bidi="en-US"/>
        </w:rPr>
        <w:t>附件六、信用中国”（www、creditchina、gov、cn）、“中国政府采购网"(www、ccgp、gov、cn)网站截图</w:t>
      </w:r>
    </w:p>
    <w:p w14:paraId="1A0D2AD5">
      <w:pPr>
        <w:widowControl/>
        <w:spacing w:line="360" w:lineRule="auto"/>
        <w:jc w:val="left"/>
        <w:rPr>
          <w:rFonts w:hint="eastAsia" w:ascii="宋体" w:hAnsi="宋体" w:cs="宋体"/>
          <w:b/>
          <w:color w:val="000000"/>
          <w:sz w:val="22"/>
          <w:szCs w:val="22"/>
        </w:rPr>
      </w:pPr>
    </w:p>
    <w:p w14:paraId="2ED59D08">
      <w:pPr>
        <w:pStyle w:val="42"/>
        <w:rPr>
          <w:rFonts w:hint="eastAsia"/>
          <w:sz w:val="22"/>
          <w:szCs w:val="22"/>
        </w:rPr>
      </w:pPr>
    </w:p>
    <w:p w14:paraId="306A0D8E">
      <w:pPr>
        <w:rPr>
          <w:rFonts w:hint="eastAsia" w:ascii="宋体" w:hAnsi="宋体" w:eastAsia="宋体" w:cs="Times New Roman"/>
          <w:b/>
          <w:sz w:val="22"/>
          <w:szCs w:val="22"/>
          <w:lang w:val="en-US" w:eastAsia="zh-CN" w:bidi="en-US"/>
        </w:rPr>
      </w:pPr>
      <w:r>
        <w:rPr>
          <w:rFonts w:hint="eastAsia" w:ascii="宋体" w:hAnsi="宋体" w:eastAsia="宋体" w:cs="Times New Roman"/>
          <w:b/>
          <w:sz w:val="22"/>
          <w:szCs w:val="22"/>
          <w:lang w:val="en-US" w:eastAsia="zh-CN" w:bidi="en-US"/>
        </w:rPr>
        <w:br w:type="page" w:clear="all"/>
      </w:r>
    </w:p>
    <w:p w14:paraId="4B12A76B">
      <w:pPr>
        <w:keepNext w:val="0"/>
        <w:keepLines w:val="0"/>
        <w:pageBreakBefore w:val="0"/>
        <w:widowControl/>
        <w:spacing w:after="0" w:line="360" w:lineRule="auto"/>
        <w:jc w:val="both"/>
        <w:outlineLvl w:val="1"/>
        <w:rPr>
          <w:rFonts w:hint="eastAsia" w:ascii="宋体" w:hAnsi="宋体" w:eastAsia="宋体" w:cs="Times New Roman"/>
          <w:b/>
          <w:sz w:val="22"/>
          <w:szCs w:val="22"/>
          <w:lang w:val="en-US" w:eastAsia="zh-CN" w:bidi="en-US"/>
        </w:rPr>
      </w:pPr>
      <w:r>
        <w:rPr>
          <w:rFonts w:hint="eastAsia" w:ascii="宋体" w:hAnsi="宋体" w:eastAsia="宋体" w:cs="Times New Roman"/>
          <w:b/>
          <w:sz w:val="22"/>
          <w:szCs w:val="22"/>
          <w:lang w:val="en-US" w:eastAsia="zh-CN" w:bidi="en-US"/>
        </w:rPr>
        <w:t>附件七、服务承诺书</w:t>
      </w:r>
    </w:p>
    <w:p w14:paraId="4521C3C6">
      <w:pPr>
        <w:pStyle w:val="42"/>
        <w:ind w:firstLine="422"/>
        <w:rPr>
          <w:rFonts w:hint="eastAsia" w:ascii="宋体" w:hAnsi="宋体" w:eastAsia="宋体"/>
          <w:b/>
          <w:color w:val="000000"/>
          <w:sz w:val="22"/>
          <w:szCs w:val="22"/>
        </w:rPr>
      </w:pPr>
    </w:p>
    <w:p w14:paraId="05193F40">
      <w:pPr>
        <w:pStyle w:val="42"/>
        <w:ind w:firstLine="422"/>
        <w:jc w:val="center"/>
        <w:rPr>
          <w:rFonts w:hint="eastAsia" w:ascii="宋体" w:hAnsi="宋体" w:eastAsia="宋体"/>
          <w:b/>
          <w:color w:val="000000"/>
          <w:sz w:val="22"/>
          <w:szCs w:val="22"/>
          <w:highlight w:val="none"/>
        </w:rPr>
      </w:pPr>
      <w:r>
        <w:rPr>
          <w:rFonts w:hint="eastAsia" w:ascii="宋体" w:hAnsi="宋体" w:eastAsia="宋体"/>
          <w:b/>
          <w:color w:val="000000"/>
          <w:sz w:val="22"/>
          <w:szCs w:val="22"/>
          <w:highlight w:val="none"/>
        </w:rPr>
        <w:t>服务承诺书</w:t>
      </w:r>
    </w:p>
    <w:p w14:paraId="726EC788">
      <w:pPr>
        <w:pStyle w:val="42"/>
        <w:ind w:firstLine="422"/>
        <w:rPr>
          <w:rFonts w:hint="eastAsia" w:ascii="宋体" w:hAnsi="宋体" w:eastAsia="宋体"/>
          <w:b/>
          <w:color w:val="000000"/>
          <w:sz w:val="22"/>
          <w:szCs w:val="22"/>
          <w:highlight w:val="none"/>
        </w:rPr>
      </w:pPr>
    </w:p>
    <w:p w14:paraId="04EA9FBC">
      <w:pP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rPr>
        <w:t>南京市江宁区交通运输局</w:t>
      </w:r>
      <w:r>
        <w:rPr>
          <w:rFonts w:hint="eastAsia" w:ascii="宋体" w:hAnsi="宋体" w:cs="宋体"/>
          <w:color w:val="000000"/>
          <w:sz w:val="22"/>
          <w:szCs w:val="22"/>
          <w:highlight w:val="none"/>
        </w:rPr>
        <w:t xml:space="preserve"> ：</w:t>
      </w:r>
    </w:p>
    <w:p w14:paraId="72C4E3BA">
      <w:pPr>
        <w:spacing w:line="360" w:lineRule="auto"/>
        <w:ind w:firstLine="420"/>
        <w:rPr>
          <w:rFonts w:hint="eastAsia" w:ascii="宋体" w:hAnsi="宋体" w:cs="宋体"/>
          <w:b/>
          <w:color w:val="000000"/>
          <w:sz w:val="22"/>
          <w:szCs w:val="22"/>
          <w:highlight w:val="none"/>
        </w:rPr>
      </w:pPr>
      <w:r>
        <w:rPr>
          <w:rFonts w:hint="eastAsia" w:ascii="宋体" w:hAnsi="宋体" w:cs="宋体"/>
          <w:color w:val="000000"/>
          <w:sz w:val="22"/>
          <w:szCs w:val="22"/>
          <w:highlight w:val="none"/>
        </w:rPr>
        <w:t>我单位</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rPr>
        <w:t xml:space="preserve"> （供应商名称）郑重声明求：我单位本次投标。若中标会积极响应采购人以下要求：</w:t>
      </w:r>
    </w:p>
    <w:p w14:paraId="02D1BCF3">
      <w:pPr>
        <w:spacing w:line="360" w:lineRule="auto"/>
        <w:ind w:firstLine="420"/>
        <w:rPr>
          <w:rFonts w:hint="eastAsia" w:ascii="宋体" w:hAnsi="宋体" w:eastAsia="宋体" w:cs="Times New Roman"/>
          <w:sz w:val="22"/>
          <w:szCs w:val="22"/>
          <w:highlight w:val="none"/>
        </w:rPr>
      </w:pPr>
      <w:r>
        <w:rPr>
          <w:rFonts w:hint="eastAsia" w:ascii="宋体" w:hAnsi="宋体" w:eastAsia="宋体" w:cs="Times New Roman"/>
          <w:sz w:val="22"/>
          <w:szCs w:val="22"/>
          <w:highlight w:val="none"/>
          <w:lang w:eastAsia="zh-CN"/>
        </w:rPr>
        <w:t>我</w:t>
      </w:r>
      <w:r>
        <w:rPr>
          <w:rFonts w:hint="eastAsia" w:ascii="宋体" w:hAnsi="宋体" w:eastAsia="宋体" w:cs="Times New Roman"/>
          <w:sz w:val="22"/>
          <w:szCs w:val="22"/>
          <w:highlight w:val="none"/>
          <w:lang w:val="en-US" w:eastAsia="zh-CN"/>
        </w:rPr>
        <w:t>单位</w:t>
      </w:r>
      <w:r>
        <w:rPr>
          <w:rFonts w:hint="eastAsia" w:ascii="宋体" w:hAnsi="宋体" w:eastAsia="宋体" w:cs="Times New Roman"/>
          <w:sz w:val="22"/>
          <w:szCs w:val="22"/>
          <w:highlight w:val="none"/>
        </w:rPr>
        <w:t>承诺自主协调设施养护有关事宜（包含但不限于：交通违法处理、环卫、城管执法、环保等），遇应急抢险任务一个小时内到达现场的。</w:t>
      </w:r>
    </w:p>
    <w:p w14:paraId="63B1EC1B">
      <w:pPr>
        <w:spacing w:line="360" w:lineRule="auto"/>
        <w:ind w:firstLine="420"/>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供应商名称：</w:t>
      </w:r>
      <w:r>
        <w:rPr>
          <w:rFonts w:hint="eastAsia" w:ascii="宋体" w:hAnsi="宋体" w:cs="宋体"/>
          <w:color w:val="000000"/>
          <w:sz w:val="22"/>
          <w:szCs w:val="22"/>
          <w:highlight w:val="none"/>
          <w:u w:val="single"/>
          <w:lang w:val="zh-CN"/>
        </w:rPr>
        <w:t xml:space="preserve">                 </w:t>
      </w:r>
      <w:r>
        <w:rPr>
          <w:rFonts w:hint="eastAsia" w:ascii="宋体" w:hAnsi="宋体" w:cs="宋体"/>
          <w:color w:val="000000"/>
          <w:sz w:val="22"/>
          <w:szCs w:val="22"/>
          <w:highlight w:val="none"/>
          <w:lang w:val="zh-CN"/>
        </w:rPr>
        <w:t>（盖章）</w:t>
      </w:r>
    </w:p>
    <w:p w14:paraId="040469F9">
      <w:pPr>
        <w:widowControl/>
        <w:spacing w:line="360" w:lineRule="auto"/>
        <w:ind w:firstLine="420"/>
        <w:jc w:val="left"/>
        <w:rPr>
          <w:rFonts w:hint="eastAsia" w:ascii="宋体" w:hAnsi="宋体" w:cs="宋体"/>
          <w:sz w:val="22"/>
          <w:szCs w:val="22"/>
          <w:highlight w:val="none"/>
          <w:lang w:val="zh-CN"/>
        </w:rPr>
      </w:pPr>
      <w:r>
        <w:rPr>
          <w:rFonts w:hint="eastAsia" w:ascii="宋体" w:hAnsi="宋体" w:cs="宋体"/>
          <w:sz w:val="22"/>
          <w:szCs w:val="22"/>
          <w:highlight w:val="none"/>
          <w:lang w:val="zh-CN"/>
        </w:rPr>
        <w:t xml:space="preserve">    法定代表人或授权委托人签字：</w:t>
      </w:r>
      <w:r>
        <w:rPr>
          <w:rFonts w:hint="eastAsia" w:ascii="宋体" w:hAnsi="宋体" w:cs="宋体"/>
          <w:sz w:val="22"/>
          <w:szCs w:val="22"/>
          <w:highlight w:val="none"/>
          <w:u w:val="single"/>
        </w:rPr>
        <w:t xml:space="preserve">         </w:t>
      </w:r>
      <w:r>
        <w:rPr>
          <w:rFonts w:hint="eastAsia" w:ascii="宋体" w:hAnsi="宋体" w:cs="宋体"/>
          <w:sz w:val="22"/>
          <w:szCs w:val="22"/>
          <w:highlight w:val="none"/>
          <w:u w:val="single"/>
          <w:lang w:val="zh-CN"/>
        </w:rPr>
        <w:t xml:space="preserve">  </w:t>
      </w:r>
      <w:r>
        <w:rPr>
          <w:rFonts w:hint="eastAsia" w:ascii="宋体" w:hAnsi="宋体" w:cs="宋体"/>
          <w:sz w:val="22"/>
          <w:szCs w:val="22"/>
          <w:highlight w:val="none"/>
          <w:lang w:val="zh-CN"/>
        </w:rPr>
        <w:t xml:space="preserve">                  </w:t>
      </w:r>
    </w:p>
    <w:p w14:paraId="5D514A6D">
      <w:pPr>
        <w:spacing w:line="360" w:lineRule="auto"/>
        <w:ind w:firstLine="420"/>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日    期：</w:t>
      </w:r>
      <w:r>
        <w:rPr>
          <w:rFonts w:hint="eastAsia" w:ascii="宋体" w:hAnsi="宋体" w:cs="宋体"/>
          <w:color w:val="000000"/>
          <w:sz w:val="22"/>
          <w:szCs w:val="22"/>
          <w:highlight w:val="none"/>
          <w:u w:val="single"/>
          <w:lang w:val="zh-CN"/>
        </w:rPr>
        <w:t xml:space="preserve">       </w:t>
      </w:r>
      <w:r>
        <w:rPr>
          <w:rFonts w:hint="eastAsia" w:ascii="宋体" w:hAnsi="宋体" w:cs="宋体"/>
          <w:color w:val="000000"/>
          <w:sz w:val="22"/>
          <w:szCs w:val="22"/>
          <w:highlight w:val="none"/>
          <w:lang w:val="zh-CN"/>
        </w:rPr>
        <w:t>年</w:t>
      </w:r>
      <w:r>
        <w:rPr>
          <w:rFonts w:hint="eastAsia" w:ascii="宋体" w:hAnsi="宋体" w:cs="宋体"/>
          <w:color w:val="000000"/>
          <w:sz w:val="22"/>
          <w:szCs w:val="22"/>
          <w:highlight w:val="none"/>
          <w:u w:val="single"/>
          <w:lang w:val="zh-CN"/>
        </w:rPr>
        <w:t xml:space="preserve">    </w:t>
      </w:r>
      <w:r>
        <w:rPr>
          <w:rFonts w:hint="eastAsia" w:ascii="宋体" w:hAnsi="宋体" w:cs="宋体"/>
          <w:color w:val="000000"/>
          <w:sz w:val="22"/>
          <w:szCs w:val="22"/>
          <w:highlight w:val="none"/>
          <w:lang w:val="zh-CN"/>
        </w:rPr>
        <w:t>月</w:t>
      </w:r>
      <w:r>
        <w:rPr>
          <w:rFonts w:hint="eastAsia" w:ascii="宋体" w:hAnsi="宋体" w:cs="宋体"/>
          <w:color w:val="000000"/>
          <w:sz w:val="22"/>
          <w:szCs w:val="22"/>
          <w:highlight w:val="none"/>
          <w:u w:val="single"/>
          <w:lang w:val="zh-CN"/>
        </w:rPr>
        <w:t xml:space="preserve">    </w:t>
      </w:r>
      <w:r>
        <w:rPr>
          <w:rFonts w:hint="eastAsia" w:ascii="宋体" w:hAnsi="宋体" w:cs="宋体"/>
          <w:color w:val="000000"/>
          <w:sz w:val="22"/>
          <w:szCs w:val="22"/>
          <w:highlight w:val="none"/>
          <w:lang w:val="zh-CN"/>
        </w:rPr>
        <w:t>日</w:t>
      </w:r>
    </w:p>
    <w:p w14:paraId="5A5F4ABA">
      <w:pPr>
        <w:spacing w:line="360" w:lineRule="auto"/>
        <w:jc w:val="left"/>
        <w:rPr>
          <w:rFonts w:hint="eastAsia" w:ascii="宋体" w:hAnsi="宋体" w:cs="宋体"/>
          <w:b/>
          <w:color w:val="000000"/>
          <w:sz w:val="22"/>
          <w:szCs w:val="22"/>
        </w:rPr>
      </w:pPr>
    </w:p>
    <w:p w14:paraId="2B236C74">
      <w:pPr>
        <w:pStyle w:val="42"/>
        <w:ind w:firstLine="422"/>
        <w:rPr>
          <w:rFonts w:hint="eastAsia" w:ascii="宋体" w:hAnsi="宋体" w:eastAsia="宋体"/>
          <w:b/>
          <w:color w:val="000000"/>
          <w:sz w:val="22"/>
          <w:szCs w:val="22"/>
        </w:rPr>
      </w:pPr>
    </w:p>
    <w:p w14:paraId="16F61AEF">
      <w:pPr>
        <w:spacing w:line="360" w:lineRule="auto"/>
        <w:rPr>
          <w:rFonts w:hint="eastAsia" w:ascii="宋体" w:hAnsi="宋体" w:cs="宋体"/>
          <w:b/>
          <w:color w:val="000000"/>
          <w:sz w:val="22"/>
          <w:szCs w:val="22"/>
        </w:rPr>
      </w:pPr>
    </w:p>
    <w:p w14:paraId="1297E1E2">
      <w:pPr>
        <w:spacing w:line="360" w:lineRule="auto"/>
        <w:rPr>
          <w:rFonts w:hint="eastAsia" w:ascii="宋体" w:hAnsi="宋体" w:cs="宋体"/>
          <w:b/>
          <w:color w:val="000000"/>
          <w:sz w:val="22"/>
          <w:szCs w:val="22"/>
        </w:rPr>
      </w:pPr>
    </w:p>
    <w:p w14:paraId="0F8B1889">
      <w:pPr>
        <w:spacing w:line="360" w:lineRule="auto"/>
        <w:rPr>
          <w:rFonts w:hint="eastAsia" w:ascii="宋体" w:hAnsi="宋体" w:cs="宋体"/>
          <w:b/>
          <w:color w:val="000000"/>
          <w:sz w:val="22"/>
          <w:szCs w:val="22"/>
        </w:rPr>
      </w:pPr>
    </w:p>
    <w:p w14:paraId="5E6A2245">
      <w:pPr>
        <w:spacing w:line="360" w:lineRule="auto"/>
        <w:rPr>
          <w:rFonts w:hint="eastAsia" w:ascii="宋体" w:hAnsi="宋体" w:cs="宋体"/>
          <w:b/>
          <w:color w:val="000000"/>
          <w:sz w:val="22"/>
          <w:szCs w:val="22"/>
        </w:rPr>
      </w:pPr>
    </w:p>
    <w:p w14:paraId="1CE03E21">
      <w:pPr>
        <w:spacing w:line="360" w:lineRule="auto"/>
        <w:rPr>
          <w:rFonts w:hint="eastAsia" w:ascii="宋体" w:hAnsi="宋体" w:cs="宋体"/>
          <w:b/>
          <w:color w:val="000000"/>
          <w:sz w:val="22"/>
          <w:szCs w:val="22"/>
        </w:rPr>
      </w:pPr>
    </w:p>
    <w:p w14:paraId="4BD1C5D2">
      <w:pPr>
        <w:spacing w:line="360" w:lineRule="auto"/>
        <w:rPr>
          <w:rFonts w:hint="eastAsia" w:ascii="宋体" w:hAnsi="宋体" w:cs="宋体"/>
          <w:b/>
          <w:color w:val="000000"/>
          <w:sz w:val="22"/>
          <w:szCs w:val="22"/>
        </w:rPr>
      </w:pPr>
    </w:p>
    <w:p w14:paraId="48C8EE70">
      <w:pPr>
        <w:spacing w:line="360" w:lineRule="auto"/>
        <w:rPr>
          <w:rFonts w:hint="eastAsia" w:ascii="宋体" w:hAnsi="宋体" w:cs="宋体"/>
          <w:b/>
          <w:color w:val="000000"/>
          <w:sz w:val="22"/>
          <w:szCs w:val="22"/>
        </w:rPr>
      </w:pPr>
    </w:p>
    <w:p w14:paraId="71C0C556">
      <w:pPr>
        <w:spacing w:line="360" w:lineRule="auto"/>
        <w:rPr>
          <w:rFonts w:hint="eastAsia" w:ascii="宋体" w:hAnsi="宋体" w:cs="宋体"/>
          <w:b/>
          <w:color w:val="000000"/>
          <w:sz w:val="22"/>
          <w:szCs w:val="22"/>
        </w:rPr>
      </w:pPr>
    </w:p>
    <w:p w14:paraId="1D9A0D41">
      <w:pPr>
        <w:spacing w:line="360" w:lineRule="auto"/>
        <w:rPr>
          <w:rFonts w:hint="eastAsia" w:ascii="宋体" w:hAnsi="宋体" w:cs="宋体"/>
          <w:b/>
          <w:color w:val="000000"/>
          <w:sz w:val="22"/>
          <w:szCs w:val="22"/>
        </w:rPr>
      </w:pPr>
    </w:p>
    <w:p w14:paraId="371D34B2">
      <w:pPr>
        <w:spacing w:line="360" w:lineRule="auto"/>
        <w:rPr>
          <w:rFonts w:hint="eastAsia" w:ascii="宋体" w:hAnsi="宋体" w:cs="宋体"/>
          <w:b/>
          <w:color w:val="000000"/>
          <w:sz w:val="22"/>
          <w:szCs w:val="22"/>
        </w:rPr>
      </w:pPr>
    </w:p>
    <w:p w14:paraId="103828B5">
      <w:pPr>
        <w:spacing w:line="360" w:lineRule="auto"/>
        <w:rPr>
          <w:rFonts w:hint="eastAsia" w:ascii="宋体" w:hAnsi="宋体" w:cs="宋体"/>
          <w:b/>
          <w:color w:val="000000"/>
          <w:sz w:val="22"/>
          <w:szCs w:val="22"/>
        </w:rPr>
      </w:pPr>
    </w:p>
    <w:p w14:paraId="1B0A760A">
      <w:pPr>
        <w:spacing w:line="360" w:lineRule="auto"/>
        <w:rPr>
          <w:rFonts w:hint="eastAsia" w:ascii="宋体" w:hAnsi="宋体" w:cs="宋体"/>
          <w:b/>
          <w:color w:val="000000"/>
          <w:sz w:val="22"/>
          <w:szCs w:val="22"/>
        </w:rPr>
      </w:pPr>
    </w:p>
    <w:p w14:paraId="2087ABB6">
      <w:pPr>
        <w:spacing w:line="360" w:lineRule="auto"/>
        <w:rPr>
          <w:rFonts w:hint="eastAsia" w:ascii="宋体" w:hAnsi="宋体" w:cs="宋体"/>
          <w:b/>
          <w:color w:val="000000"/>
          <w:sz w:val="22"/>
          <w:szCs w:val="22"/>
        </w:rPr>
      </w:pPr>
    </w:p>
    <w:p w14:paraId="7089A42D">
      <w:pPr>
        <w:spacing w:line="360" w:lineRule="auto"/>
        <w:rPr>
          <w:rFonts w:hint="eastAsia" w:ascii="宋体" w:hAnsi="宋体" w:cs="宋体"/>
          <w:b/>
          <w:color w:val="000000"/>
          <w:sz w:val="22"/>
          <w:szCs w:val="22"/>
        </w:rPr>
      </w:pPr>
    </w:p>
    <w:p w14:paraId="71476385">
      <w:pPr>
        <w:spacing w:line="360" w:lineRule="auto"/>
        <w:rPr>
          <w:rFonts w:hint="eastAsia" w:ascii="宋体" w:hAnsi="宋体" w:cs="宋体"/>
          <w:b/>
          <w:color w:val="000000"/>
          <w:sz w:val="22"/>
          <w:szCs w:val="22"/>
        </w:rPr>
      </w:pPr>
    </w:p>
    <w:p w14:paraId="789A23D4">
      <w:pPr>
        <w:spacing w:line="360" w:lineRule="auto"/>
        <w:rPr>
          <w:rFonts w:hint="eastAsia" w:ascii="宋体" w:hAnsi="宋体" w:cs="宋体"/>
          <w:b/>
          <w:color w:val="000000"/>
          <w:sz w:val="22"/>
          <w:szCs w:val="22"/>
        </w:rPr>
      </w:pPr>
    </w:p>
    <w:p w14:paraId="34569A78">
      <w:pPr>
        <w:rPr>
          <w:rFonts w:hint="eastAsia" w:ascii="宋体" w:hAnsi="宋体" w:eastAsia="宋体" w:cs="Times New Roman"/>
          <w:b/>
          <w:sz w:val="22"/>
          <w:szCs w:val="22"/>
          <w:lang w:val="en-US" w:eastAsia="zh-CN" w:bidi="en-US"/>
        </w:rPr>
      </w:pPr>
      <w:r>
        <w:rPr>
          <w:rFonts w:hint="eastAsia" w:ascii="宋体" w:hAnsi="宋体" w:eastAsia="宋体" w:cs="Times New Roman"/>
          <w:b/>
          <w:sz w:val="22"/>
          <w:szCs w:val="22"/>
          <w:lang w:val="en-US" w:eastAsia="zh-CN" w:bidi="en-US"/>
        </w:rPr>
        <w:br w:type="page" w:clear="all"/>
      </w:r>
    </w:p>
    <w:p w14:paraId="0986FCB8">
      <w:pPr>
        <w:keepNext w:val="0"/>
        <w:keepLines w:val="0"/>
        <w:pageBreakBefore w:val="0"/>
        <w:widowControl/>
        <w:spacing w:after="0" w:line="360" w:lineRule="auto"/>
        <w:jc w:val="both"/>
        <w:outlineLvl w:val="1"/>
        <w:rPr>
          <w:rFonts w:hint="eastAsia" w:ascii="宋体" w:hAnsi="宋体" w:eastAsia="宋体" w:cs="Times New Roman"/>
          <w:b/>
          <w:sz w:val="22"/>
          <w:szCs w:val="22"/>
          <w:lang w:val="en-US" w:eastAsia="zh-CN" w:bidi="en-US"/>
        </w:rPr>
      </w:pPr>
      <w:r>
        <w:rPr>
          <w:rFonts w:hint="eastAsia" w:ascii="宋体" w:hAnsi="宋体" w:eastAsia="宋体" w:cs="Times New Roman"/>
          <w:b/>
          <w:sz w:val="22"/>
          <w:szCs w:val="22"/>
          <w:lang w:val="en-US" w:eastAsia="zh-CN" w:bidi="en-US"/>
        </w:rPr>
        <w:t>附件八、南京市政府采购供应商信用记录表</w:t>
      </w:r>
    </w:p>
    <w:p w14:paraId="30AA79B3">
      <w:pPr>
        <w:spacing w:line="360" w:lineRule="auto"/>
        <w:jc w:val="center"/>
        <w:rPr>
          <w:rFonts w:ascii="宋体" w:hAnsi="宋体" w:cs="宋体"/>
          <w:color w:val="000000"/>
          <w:sz w:val="22"/>
          <w:szCs w:val="22"/>
        </w:rPr>
      </w:pPr>
      <w:r>
        <w:rPr>
          <w:rFonts w:hint="eastAsia" w:ascii="宋体" w:hAnsi="宋体" w:cs="宋体"/>
          <w:color w:val="000000"/>
          <w:sz w:val="22"/>
          <w:szCs w:val="22"/>
        </w:rPr>
        <w:t>南京市政府采购供应商信用记录表</w:t>
      </w: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05"/>
        <w:gridCol w:w="2405"/>
        <w:gridCol w:w="2405"/>
        <w:gridCol w:w="2405"/>
      </w:tblGrid>
      <w:tr w14:paraId="5F9A4F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6" w:hRule="atLeast"/>
          <w:jc w:val="center"/>
        </w:trPr>
        <w:tc>
          <w:tcPr>
            <w:tcW w:w="2405" w:type="dxa"/>
            <w:noWrap w:val="0"/>
            <w:vAlign w:val="center"/>
          </w:tcPr>
          <w:p w14:paraId="7050CE47">
            <w:pPr>
              <w:spacing w:line="360" w:lineRule="auto"/>
              <w:rPr>
                <w:rFonts w:ascii="宋体" w:hAnsi="宋体" w:cs="宋体"/>
                <w:color w:val="000000"/>
                <w:sz w:val="22"/>
                <w:szCs w:val="22"/>
              </w:rPr>
            </w:pPr>
            <w:r>
              <w:rPr>
                <w:rFonts w:hint="eastAsia" w:ascii="宋体" w:hAnsi="宋体" w:cs="宋体"/>
                <w:color w:val="000000"/>
                <w:sz w:val="22"/>
                <w:szCs w:val="22"/>
              </w:rPr>
              <w:t>单位名称</w:t>
            </w:r>
          </w:p>
        </w:tc>
        <w:tc>
          <w:tcPr>
            <w:tcW w:w="2405" w:type="dxa"/>
            <w:noWrap w:val="0"/>
            <w:vAlign w:val="center"/>
          </w:tcPr>
          <w:p w14:paraId="6C387D45">
            <w:pPr>
              <w:spacing w:line="360" w:lineRule="auto"/>
              <w:rPr>
                <w:rFonts w:ascii="宋体" w:hAnsi="宋体" w:cs="宋体"/>
                <w:color w:val="000000"/>
                <w:sz w:val="22"/>
                <w:szCs w:val="22"/>
              </w:rPr>
            </w:pPr>
          </w:p>
        </w:tc>
        <w:tc>
          <w:tcPr>
            <w:tcW w:w="2405" w:type="dxa"/>
            <w:noWrap w:val="0"/>
            <w:vAlign w:val="center"/>
          </w:tcPr>
          <w:p w14:paraId="3F298875">
            <w:pPr>
              <w:spacing w:line="360" w:lineRule="auto"/>
              <w:rPr>
                <w:rFonts w:ascii="宋体" w:hAnsi="宋体" w:cs="宋体"/>
                <w:color w:val="000000"/>
                <w:sz w:val="22"/>
                <w:szCs w:val="22"/>
              </w:rPr>
            </w:pPr>
            <w:r>
              <w:rPr>
                <w:rFonts w:hint="eastAsia" w:ascii="宋体" w:hAnsi="宋体" w:cs="宋体"/>
                <w:color w:val="000000"/>
                <w:sz w:val="22"/>
                <w:szCs w:val="22"/>
              </w:rPr>
              <w:t>统一社会信用代码</w:t>
            </w:r>
          </w:p>
        </w:tc>
        <w:tc>
          <w:tcPr>
            <w:tcW w:w="2405" w:type="dxa"/>
            <w:noWrap w:val="0"/>
            <w:vAlign w:val="top"/>
          </w:tcPr>
          <w:p w14:paraId="1BB4CC6E">
            <w:pPr>
              <w:spacing w:line="360" w:lineRule="auto"/>
              <w:rPr>
                <w:rFonts w:ascii="宋体" w:hAnsi="宋体" w:cs="宋体"/>
                <w:color w:val="000000"/>
                <w:sz w:val="22"/>
                <w:szCs w:val="22"/>
              </w:rPr>
            </w:pPr>
          </w:p>
        </w:tc>
      </w:tr>
      <w:tr w14:paraId="194DC6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6" w:hRule="atLeast"/>
          <w:jc w:val="center"/>
        </w:trPr>
        <w:tc>
          <w:tcPr>
            <w:tcW w:w="2405" w:type="dxa"/>
            <w:noWrap w:val="0"/>
            <w:vAlign w:val="center"/>
          </w:tcPr>
          <w:p w14:paraId="4DCE42F1">
            <w:pPr>
              <w:spacing w:line="360" w:lineRule="auto"/>
              <w:rPr>
                <w:rFonts w:ascii="宋体" w:hAnsi="宋体" w:cs="宋体"/>
                <w:color w:val="000000"/>
                <w:sz w:val="22"/>
                <w:szCs w:val="22"/>
              </w:rPr>
            </w:pPr>
            <w:r>
              <w:rPr>
                <w:rFonts w:hint="eastAsia" w:ascii="宋体" w:hAnsi="宋体" w:cs="宋体"/>
                <w:color w:val="000000"/>
                <w:sz w:val="22"/>
                <w:szCs w:val="22"/>
              </w:rPr>
              <w:t>法定代表人</w:t>
            </w:r>
          </w:p>
        </w:tc>
        <w:tc>
          <w:tcPr>
            <w:tcW w:w="2405" w:type="dxa"/>
            <w:noWrap w:val="0"/>
            <w:vAlign w:val="center"/>
          </w:tcPr>
          <w:p w14:paraId="4F2041BE">
            <w:pPr>
              <w:spacing w:line="360" w:lineRule="auto"/>
              <w:rPr>
                <w:rFonts w:ascii="宋体" w:hAnsi="宋体" w:cs="宋体"/>
                <w:color w:val="000000"/>
                <w:sz w:val="22"/>
                <w:szCs w:val="22"/>
              </w:rPr>
            </w:pPr>
          </w:p>
        </w:tc>
        <w:tc>
          <w:tcPr>
            <w:tcW w:w="2405" w:type="dxa"/>
            <w:noWrap w:val="0"/>
            <w:vAlign w:val="center"/>
          </w:tcPr>
          <w:p w14:paraId="05BC2BDF">
            <w:pPr>
              <w:spacing w:line="360" w:lineRule="auto"/>
              <w:rPr>
                <w:rFonts w:ascii="宋体" w:hAnsi="宋体" w:cs="宋体"/>
                <w:color w:val="000000"/>
                <w:sz w:val="22"/>
                <w:szCs w:val="22"/>
              </w:rPr>
            </w:pPr>
            <w:r>
              <w:rPr>
                <w:rFonts w:hint="eastAsia" w:ascii="宋体" w:hAnsi="宋体" w:cs="宋体"/>
                <w:color w:val="000000"/>
                <w:sz w:val="22"/>
                <w:szCs w:val="22"/>
              </w:rPr>
              <w:t>联系人</w:t>
            </w:r>
          </w:p>
        </w:tc>
        <w:tc>
          <w:tcPr>
            <w:tcW w:w="2405" w:type="dxa"/>
            <w:noWrap w:val="0"/>
            <w:vAlign w:val="top"/>
          </w:tcPr>
          <w:p w14:paraId="39BC9DBE">
            <w:pPr>
              <w:spacing w:line="360" w:lineRule="auto"/>
              <w:rPr>
                <w:rFonts w:ascii="宋体" w:hAnsi="宋体" w:cs="宋体"/>
                <w:color w:val="000000"/>
                <w:sz w:val="22"/>
                <w:szCs w:val="22"/>
              </w:rPr>
            </w:pPr>
          </w:p>
        </w:tc>
      </w:tr>
      <w:tr w14:paraId="4FEAFC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4" w:hRule="atLeast"/>
          <w:jc w:val="center"/>
        </w:trPr>
        <w:tc>
          <w:tcPr>
            <w:tcW w:w="2405" w:type="dxa"/>
            <w:noWrap w:val="0"/>
            <w:vAlign w:val="center"/>
          </w:tcPr>
          <w:p w14:paraId="57B6AE7F">
            <w:pPr>
              <w:spacing w:line="360" w:lineRule="auto"/>
              <w:rPr>
                <w:rFonts w:ascii="宋体" w:hAnsi="宋体" w:cs="宋体"/>
                <w:color w:val="000000"/>
                <w:sz w:val="22"/>
                <w:szCs w:val="22"/>
              </w:rPr>
            </w:pPr>
            <w:r>
              <w:rPr>
                <w:rFonts w:hint="eastAsia" w:ascii="宋体" w:hAnsi="宋体" w:cs="宋体"/>
                <w:color w:val="000000"/>
                <w:sz w:val="22"/>
                <w:szCs w:val="22"/>
              </w:rPr>
              <w:t>联系地址</w:t>
            </w:r>
          </w:p>
        </w:tc>
        <w:tc>
          <w:tcPr>
            <w:tcW w:w="2405" w:type="dxa"/>
            <w:noWrap w:val="0"/>
            <w:vAlign w:val="center"/>
          </w:tcPr>
          <w:p w14:paraId="1F18E8CD">
            <w:pPr>
              <w:spacing w:line="360" w:lineRule="auto"/>
              <w:rPr>
                <w:rFonts w:ascii="宋体" w:hAnsi="宋体" w:cs="宋体"/>
                <w:color w:val="000000"/>
                <w:sz w:val="22"/>
                <w:szCs w:val="22"/>
              </w:rPr>
            </w:pPr>
          </w:p>
        </w:tc>
        <w:tc>
          <w:tcPr>
            <w:tcW w:w="2405" w:type="dxa"/>
            <w:noWrap w:val="0"/>
            <w:vAlign w:val="center"/>
          </w:tcPr>
          <w:p w14:paraId="7E63BA48">
            <w:pPr>
              <w:spacing w:line="360" w:lineRule="auto"/>
              <w:rPr>
                <w:rFonts w:ascii="宋体" w:hAnsi="宋体" w:cs="宋体"/>
                <w:color w:val="000000"/>
                <w:sz w:val="22"/>
                <w:szCs w:val="22"/>
              </w:rPr>
            </w:pPr>
            <w:r>
              <w:rPr>
                <w:rFonts w:hint="eastAsia" w:ascii="宋体" w:hAnsi="宋体" w:cs="宋体"/>
                <w:color w:val="000000"/>
                <w:sz w:val="22"/>
                <w:szCs w:val="22"/>
              </w:rPr>
              <w:t>联系电话</w:t>
            </w:r>
          </w:p>
        </w:tc>
        <w:tc>
          <w:tcPr>
            <w:tcW w:w="2405" w:type="dxa"/>
            <w:noWrap w:val="0"/>
            <w:vAlign w:val="top"/>
          </w:tcPr>
          <w:p w14:paraId="2322FE3A">
            <w:pPr>
              <w:spacing w:line="360" w:lineRule="auto"/>
              <w:rPr>
                <w:rFonts w:ascii="宋体" w:hAnsi="宋体" w:cs="宋体"/>
                <w:color w:val="000000"/>
                <w:sz w:val="22"/>
                <w:szCs w:val="22"/>
              </w:rPr>
            </w:pPr>
          </w:p>
        </w:tc>
      </w:tr>
      <w:tr w14:paraId="2889E3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18" w:hRule="atLeast"/>
          <w:jc w:val="center"/>
        </w:trPr>
        <w:tc>
          <w:tcPr>
            <w:tcW w:w="2405" w:type="dxa"/>
            <w:noWrap w:val="0"/>
            <w:vAlign w:val="center"/>
          </w:tcPr>
          <w:p w14:paraId="6E3FC1FE">
            <w:pPr>
              <w:spacing w:line="360" w:lineRule="auto"/>
              <w:rPr>
                <w:rFonts w:ascii="宋体" w:hAnsi="宋体" w:cs="宋体"/>
                <w:color w:val="000000"/>
                <w:sz w:val="22"/>
                <w:szCs w:val="22"/>
              </w:rPr>
            </w:pPr>
            <w:r>
              <w:rPr>
                <w:rFonts w:hint="eastAsia" w:ascii="宋体" w:hAnsi="宋体" w:cs="宋体"/>
                <w:color w:val="000000"/>
                <w:sz w:val="22"/>
                <w:szCs w:val="22"/>
              </w:rPr>
              <w:t>诚信档案记录情况</w:t>
            </w:r>
          </w:p>
        </w:tc>
        <w:tc>
          <w:tcPr>
            <w:tcW w:w="7215" w:type="dxa"/>
            <w:gridSpan w:val="3"/>
            <w:noWrap w:val="0"/>
            <w:vAlign w:val="top"/>
          </w:tcPr>
          <w:p w14:paraId="5B316370">
            <w:pPr>
              <w:spacing w:line="360" w:lineRule="auto"/>
              <w:rPr>
                <w:rFonts w:ascii="宋体" w:hAnsi="宋体" w:cs="宋体"/>
                <w:color w:val="000000"/>
                <w:sz w:val="22"/>
                <w:szCs w:val="22"/>
              </w:rPr>
            </w:pPr>
          </w:p>
        </w:tc>
      </w:tr>
      <w:tr w14:paraId="31FEA9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405" w:type="dxa"/>
            <w:noWrap w:val="0"/>
            <w:vAlign w:val="center"/>
          </w:tcPr>
          <w:p w14:paraId="1936B678">
            <w:pPr>
              <w:spacing w:line="360" w:lineRule="auto"/>
              <w:rPr>
                <w:rFonts w:ascii="宋体" w:hAnsi="宋体" w:cs="宋体"/>
                <w:color w:val="000000"/>
                <w:sz w:val="22"/>
                <w:szCs w:val="22"/>
              </w:rPr>
            </w:pPr>
            <w:r>
              <w:rPr>
                <w:rFonts w:hint="eastAsia" w:ascii="宋体" w:hAnsi="宋体" w:cs="宋体"/>
                <w:color w:val="000000"/>
                <w:sz w:val="22"/>
                <w:szCs w:val="22"/>
              </w:rPr>
              <w:t>信用承诺</w:t>
            </w:r>
          </w:p>
        </w:tc>
        <w:tc>
          <w:tcPr>
            <w:tcW w:w="7215" w:type="dxa"/>
            <w:gridSpan w:val="3"/>
            <w:noWrap w:val="0"/>
            <w:vAlign w:val="top"/>
          </w:tcPr>
          <w:p w14:paraId="121BCF04">
            <w:pPr>
              <w:spacing w:line="360" w:lineRule="auto"/>
              <w:ind w:firstLine="420"/>
              <w:rPr>
                <w:rFonts w:ascii="宋体" w:hAnsi="宋体" w:cs="宋体"/>
                <w:sz w:val="22"/>
                <w:szCs w:val="22"/>
              </w:rPr>
            </w:pPr>
            <w:r>
              <w:rPr>
                <w:rFonts w:hint="eastAsia" w:ascii="宋体" w:hAnsi="宋体" w:cs="宋体"/>
                <w:sz w:val="22"/>
                <w:szCs w:val="22"/>
              </w:rPr>
              <w:t>我公司自愿参加贵中心（公司）组织的本次政府采购活动，严格遵守《中华人民共和国</w:t>
            </w:r>
            <w:bookmarkStart w:id="7" w:name="_GoBack"/>
            <w:bookmarkEnd w:id="7"/>
            <w:r>
              <w:rPr>
                <w:rFonts w:hint="eastAsia" w:ascii="宋体" w:hAnsi="宋体" w:cs="宋体"/>
                <w:sz w:val="22"/>
                <w:szCs w:val="22"/>
              </w:rPr>
              <w:t>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法律、行政法规和采购文件规定的其他条件。</w:t>
            </w:r>
          </w:p>
          <w:p w14:paraId="6622EDFA">
            <w:pPr>
              <w:spacing w:line="360" w:lineRule="auto"/>
              <w:rPr>
                <w:rFonts w:ascii="宋体" w:hAnsi="宋体" w:cs="宋体"/>
                <w:sz w:val="22"/>
                <w:szCs w:val="22"/>
              </w:rPr>
            </w:pPr>
            <w:r>
              <w:rPr>
                <w:rFonts w:hint="eastAsia" w:ascii="宋体" w:hAnsi="宋体" w:cs="宋体"/>
                <w:sz w:val="22"/>
                <w:szCs w:val="22"/>
              </w:rPr>
              <w:t>如有弄虚作假或其他违法违规行为，愿承担一切法律责任，接受各级政府采购监管部门和有权机关的审查和处罚。</w:t>
            </w:r>
          </w:p>
          <w:p w14:paraId="1F8AADAE">
            <w:pPr>
              <w:spacing w:line="360" w:lineRule="auto"/>
              <w:rPr>
                <w:rFonts w:ascii="宋体" w:hAnsi="宋体" w:cs="宋体"/>
                <w:sz w:val="22"/>
                <w:szCs w:val="22"/>
              </w:rPr>
            </w:pPr>
            <w:r>
              <w:rPr>
                <w:rFonts w:hint="eastAsia" w:ascii="宋体" w:hAnsi="宋体" w:cs="宋体"/>
                <w:sz w:val="22"/>
                <w:szCs w:val="22"/>
              </w:rPr>
              <w:t xml:space="preserve">              </w:t>
            </w:r>
          </w:p>
          <w:p w14:paraId="677FF4C3">
            <w:pPr>
              <w:spacing w:line="360" w:lineRule="auto"/>
              <w:rPr>
                <w:rFonts w:ascii="宋体" w:hAnsi="宋体" w:cs="宋体"/>
                <w:sz w:val="22"/>
                <w:szCs w:val="22"/>
              </w:rPr>
            </w:pPr>
            <w:r>
              <w:rPr>
                <w:rFonts w:hint="eastAsia" w:ascii="宋体" w:hAnsi="宋体" w:cs="宋体"/>
                <w:sz w:val="22"/>
                <w:szCs w:val="22"/>
              </w:rPr>
              <w:t xml:space="preserve">                      供应商名称（盖章）：</w:t>
            </w:r>
          </w:p>
          <w:p w14:paraId="46FCCF18">
            <w:pPr>
              <w:spacing w:line="360" w:lineRule="auto"/>
              <w:rPr>
                <w:rFonts w:ascii="宋体" w:hAnsi="宋体" w:cs="宋体"/>
                <w:color w:val="000000"/>
                <w:sz w:val="22"/>
                <w:szCs w:val="22"/>
              </w:rPr>
            </w:pPr>
            <w:r>
              <w:rPr>
                <w:rFonts w:hint="eastAsia" w:ascii="宋体" w:hAnsi="宋体" w:cs="宋体"/>
                <w:color w:val="000000"/>
                <w:sz w:val="22"/>
                <w:szCs w:val="22"/>
              </w:rPr>
              <w:t xml:space="preserve">                      法定代表人（签字）：</w:t>
            </w:r>
          </w:p>
          <w:p w14:paraId="0A136DC8">
            <w:pPr>
              <w:spacing w:line="360" w:lineRule="auto"/>
              <w:rPr>
                <w:rFonts w:ascii="宋体" w:hAnsi="宋体" w:cs="宋体"/>
                <w:color w:val="000000"/>
                <w:sz w:val="22"/>
                <w:szCs w:val="22"/>
              </w:rPr>
            </w:pPr>
            <w:r>
              <w:rPr>
                <w:rFonts w:hint="eastAsia" w:ascii="宋体" w:hAnsi="宋体" w:cs="宋体"/>
                <w:color w:val="000000"/>
                <w:sz w:val="22"/>
                <w:szCs w:val="22"/>
              </w:rPr>
              <w:t xml:space="preserve">                      二〇    年  月    日</w:t>
            </w:r>
          </w:p>
        </w:tc>
      </w:tr>
    </w:tbl>
    <w:p w14:paraId="5828CF4C">
      <w:pPr>
        <w:spacing w:line="360" w:lineRule="auto"/>
        <w:rPr>
          <w:rFonts w:ascii="宋体" w:hAnsi="宋体" w:cs="宋体"/>
          <w:color w:val="000000"/>
          <w:sz w:val="22"/>
          <w:szCs w:val="22"/>
          <w:shd w:val="clear" w:color="auto" w:fill="FFFFFF"/>
        </w:rPr>
      </w:pPr>
      <w:r>
        <w:rPr>
          <w:rFonts w:hint="eastAsia" w:ascii="宋体" w:hAnsi="宋体" w:cs="宋体"/>
          <w:color w:val="000000"/>
          <w:sz w:val="22"/>
          <w:szCs w:val="22"/>
          <w:shd w:val="clear" w:color="auto" w:fill="FFFFFF"/>
        </w:rPr>
        <w:t>说明：供应商需每次参加政府采购活动时，在采购文件发布之日起至递交投标（响应）文件截止日前，应先登录“信用南京”</w:t>
      </w:r>
      <w:r>
        <w:rPr>
          <w:rFonts w:hint="eastAsia" w:ascii="宋体" w:hAnsi="宋体" w:cs="宋体"/>
          <w:b/>
          <w:bCs/>
          <w:color w:val="000000"/>
          <w:sz w:val="22"/>
          <w:szCs w:val="22"/>
          <w:shd w:val="clear" w:color="auto" w:fill="FFFFFF"/>
        </w:rPr>
        <w:t>在线打印</w:t>
      </w:r>
      <w:r>
        <w:rPr>
          <w:rFonts w:hint="eastAsia" w:ascii="宋体" w:hAnsi="宋体" w:cs="宋体"/>
          <w:color w:val="000000"/>
          <w:sz w:val="22"/>
          <w:szCs w:val="22"/>
          <w:shd w:val="clear" w:color="auto" w:fill="FFFFFF"/>
        </w:rPr>
        <w:t>其“南京市政府采购供应商信用记录表”，经</w:t>
      </w:r>
      <w:r>
        <w:rPr>
          <w:rFonts w:hint="eastAsia" w:ascii="宋体" w:hAnsi="宋体" w:cs="宋体"/>
          <w:b/>
          <w:bCs/>
          <w:color w:val="000000"/>
          <w:sz w:val="22"/>
          <w:szCs w:val="22"/>
          <w:shd w:val="clear" w:color="auto" w:fill="FFFFFF"/>
        </w:rPr>
        <w:t>法定代表人签名盖章</w:t>
      </w:r>
      <w:r>
        <w:rPr>
          <w:rFonts w:hint="eastAsia" w:ascii="宋体" w:hAnsi="宋体" w:cs="宋体"/>
          <w:b w:val="0"/>
          <w:bCs w:val="0"/>
          <w:color w:val="000000"/>
          <w:sz w:val="22"/>
          <w:szCs w:val="22"/>
          <w:shd w:val="clear" w:color="auto" w:fill="FFFFFF"/>
        </w:rPr>
        <w:t>后</w:t>
      </w:r>
      <w:r>
        <w:rPr>
          <w:rFonts w:hint="eastAsia" w:ascii="宋体" w:hAnsi="宋体" w:cs="宋体"/>
          <w:color w:val="000000"/>
          <w:sz w:val="22"/>
          <w:szCs w:val="22"/>
          <w:shd w:val="clear" w:color="auto" w:fill="FFFFFF"/>
        </w:rPr>
        <w:t>作为投标（响应）文件的组成部分提交给采购代理机构或采购人。</w:t>
      </w:r>
    </w:p>
    <w:p w14:paraId="1F6FD616">
      <w:pPr>
        <w:jc w:val="left"/>
        <w:rPr>
          <w:rFonts w:ascii="宋体" w:hAnsi="宋体" w:cs="宋体"/>
          <w:sz w:val="22"/>
          <w:szCs w:val="22"/>
        </w:rPr>
      </w:pPr>
    </w:p>
    <w:p w14:paraId="52C1729F">
      <w:pPr>
        <w:spacing w:line="360" w:lineRule="auto"/>
        <w:rPr>
          <w:rFonts w:hint="eastAsia" w:ascii="宋体" w:hAnsi="宋体" w:cs="宋体"/>
          <w:b/>
          <w:color w:val="000000"/>
          <w:sz w:val="22"/>
          <w:szCs w:val="22"/>
        </w:rPr>
      </w:pPr>
    </w:p>
    <w:sectPr>
      <w:endnotePr>
        <w:numFmt w:val="decimal"/>
      </w:endnotePr>
      <w:pgSz w:w="12240" w:h="15840"/>
      <w:pgMar w:top="1440" w:right="1134" w:bottom="1440" w:left="1134" w:header="720" w:footer="720"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Arial Unicode MS">
    <w:altName w:val="Arial"/>
    <w:panose1 w:val="020B0604020202020204"/>
    <w:charset w:val="00"/>
    <w:family w:val="auto"/>
    <w:pitch w:val="default"/>
    <w:sig w:usb0="0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font>
  <w:font w:name="Courier New">
    <w:panose1 w:val="02070309020205020404"/>
    <w:charset w:val="00"/>
    <w:family w:val="auto"/>
    <w:pitch w:val="default"/>
    <w:sig w:usb0="E0002EFF" w:usb1="C0007843" w:usb2="00000009" w:usb3="00000000" w:csb0="400001FF" w:csb1="FFFF0000"/>
  </w:font>
  <w:font w:name="Cambria">
    <w:panose1 w:val="02040503050406030204"/>
    <w:charset w:val="00"/>
    <w:family w:val="auto"/>
    <w:pitch w:val="default"/>
    <w:sig w:usb0="E00006FF" w:usb1="420024FF" w:usb2="02000000" w:usb3="00000000" w:csb0="2000019F" w:csb1="00000000"/>
  </w:font>
  <w:font w:name="monospace">
    <w:altName w:val="DejaVu Math TeX Gyre"/>
    <w:panose1 w:val="020B0503020202020204"/>
    <w:charset w:val="00"/>
    <w:family w:val="auto"/>
    <w:pitch w:val="default"/>
    <w:sig w:usb0="00000000" w:usb1="00000000" w:usb2="00000000" w:usb3="00000000" w:csb0="00000000" w:csb1="00000000"/>
  </w:font>
  <w:font w:name="方正大黑简体">
    <w:altName w:val="黑体"/>
    <w:panose1 w:val="020B0503020202020204"/>
    <w:charset w:val="00"/>
    <w:family w:val="auto"/>
    <w:pitch w:val="default"/>
    <w:sig w:usb0="00000000" w:usb1="00000000" w:usb2="00000000" w:usb3="00000000" w:csb0="00000000" w:csb1="00000000"/>
  </w:font>
  <w:font w:name="??">
    <w:altName w:val="DejaVu Math TeX Gyre"/>
    <w:panose1 w:val="020B0503020202020204"/>
    <w:charset w:val="00"/>
    <w:family w:val="auto"/>
    <w:pitch w:val="default"/>
    <w:sig w:usb0="00000000" w:usb1="00000000" w:usb2="00000000" w:usb3="00000000" w:csb0="00000000" w:csb1="00000000"/>
  </w:font>
  <w:font w:name="Georgia">
    <w:panose1 w:val="02040502050405020303"/>
    <w:charset w:val="00"/>
    <w:family w:val="auto"/>
    <w:pitch w:val="default"/>
    <w:sig w:usb0="00000287" w:usb1="00000000" w:usb2="00000000" w:usb3="00000000" w:csb0="2000009F" w:csb1="00000000"/>
  </w:font>
  <w:font w:name="KNLe">
    <w:altName w:val="DejaVu Math TeX Gyre"/>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auto"/>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楷体_GB2312">
    <w:altName w:val="楷体"/>
    <w:panose1 w:val="02010609060101010101"/>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20B0503020202020204"/>
    <w:charset w:val="00"/>
    <w:family w:val="auto"/>
    <w:pitch w:val="default"/>
    <w:sig w:usb0="00000000" w:usb1="00000000" w:usb2="00000000" w:usb3="00000000" w:csb0="00000000" w:csb1="00000000"/>
  </w:font>
  <w:font w:name="HYDaHeiJ">
    <w:altName w:val="DejaVu Math TeX Gyre"/>
    <w:panose1 w:val="020B0503020202020204"/>
    <w:charset w:val="00"/>
    <w:family w:val="auto"/>
    <w:pitch w:val="default"/>
    <w:sig w:usb0="00000000" w:usb1="00000000" w:usb2="00000000" w:usb3="00000000" w:csb0="00000000" w:csb1="00000000"/>
  </w:font>
  <w:font w:name="Trebuchet MS">
    <w:panose1 w:val="020B0603020202020204"/>
    <w:charset w:val="00"/>
    <w:family w:val="auto"/>
    <w:pitch w:val="default"/>
    <w:sig w:usb0="00000687" w:usb1="00000000" w:usb2="00000000" w:usb3="00000000" w:csb0="2000009F" w:csb1="00000000"/>
  </w:font>
  <w:font w:name="SimSong Bold">
    <w:altName w:val="DejaVu Math TeX Gyre"/>
    <w:panose1 w:val="020B0503020202020204"/>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 w:name="DejaVu Math TeX Gyre">
    <w:panose1 w:val="02000503000000000000"/>
    <w:charset w:val="00"/>
    <w:family w:val="auto"/>
    <w:pitch w:val="default"/>
    <w:sig w:usb0="A10000EF" w:usb1="4201F9EE" w:usb2="02000000" w:usb3="00000000" w:csb0="60000193" w:csb1="0DD40000"/>
  </w:font>
  <w:font w:name="KSOF8080F95D">
    <w:panose1 w:val="020B0503020204020204"/>
    <w:charset w:val="86"/>
    <w:family w:val="auto"/>
    <w:pitch w:val="default"/>
    <w:sig w:usb0="00000001"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845748">
    <w:pPr>
      <w:pStyle w:val="21"/>
      <w:tabs>
        <w:tab w:val="center" w:pos="4819"/>
        <w:tab w:val="clear" w:pos="7143"/>
      </w:tabs>
    </w:pPr>
    <w:r>
      <w:rPr>
        <w:rFonts w:hint="eastAsia"/>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02637B">
    <w:pPr>
      <w:pStyle w:val="21"/>
      <w:tabs>
        <w:tab w:val="center" w:pos="4819"/>
        <w:tab w:val="clear" w:pos="7143"/>
      </w:tabs>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A940E0">
                          <w:pPr>
                            <w:pStyle w:val="2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8"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CzSVju0AAAAAUBAAAPAAAAAAAAAAEAIAAAACIAAABkcnMvZG93&#10;bnJldi54bWxQSwECFAAUAAAACACHTuJAtLazG0ECAAB9BAAADgAAAAAAAAABACAAAAAfAQAAZHJz&#10;L2Uyb0RvYy54bWxQSwUGAAAAAAYABgBZAQAA0gUAAAAA&#10;">
              <v:fill on="f" focussize="0,0"/>
              <v:stroke on="f" weight="0.5pt"/>
              <v:imagedata o:title=""/>
              <o:lock v:ext="edit" aspectratio="f"/>
              <v:textbox inset="0mm,0mm,0mm,0mm" style="mso-fit-shape-to-text:t;">
                <w:txbxContent>
                  <w:p w14:paraId="55A940E0">
                    <w:pPr>
                      <w:pStyle w:val="21"/>
                    </w:pPr>
                    <w:r>
                      <w:fldChar w:fldCharType="begin"/>
                    </w:r>
                    <w:r>
                      <w:instrText xml:space="preserve"> PAGE  \* MERGEFORMAT </w:instrText>
                    </w:r>
                    <w:r>
                      <w:fldChar w:fldCharType="separate"/>
                    </w:r>
                    <w:r>
                      <w:t>2</w:t>
                    </w:r>
                    <w:r>
                      <w:fldChar w:fldCharType="end"/>
                    </w:r>
                  </w:p>
                </w:txbxContent>
              </v:textbox>
            </v:shape>
          </w:pict>
        </mc:Fallback>
      </mc:AlternateContent>
    </w:r>
    <w:r>
      <w:rPr>
        <w:rFonts w:hint="eastAsia"/>
        <w:lang w:eastAsia="zh-CN"/>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C8072E">
    <w:pPr>
      <w:pStyle w:val="21"/>
      <w:tabs>
        <w:tab w:val="center" w:pos="4819"/>
        <w:tab w:val="clear" w:pos="7143"/>
      </w:tabs>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71B236B">
                          <w:pPr>
                            <w:pStyle w:val="2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s0lY7tAAAAAFAQAADwAAAAAAAAABACAAAAAiAAAAZHJzL2Rv&#10;d25yZXYueG1sUEsBAhQAFAAAAAgAh07iQCHQWYlCAgAAfQQAAA4AAAAAAAAAAQAgAAAAHwEAAGRy&#10;cy9lMm9Eb2MueG1sUEsFBgAAAAAGAAYAWQEAANMFAAAAAA==&#10;">
              <v:fill on="f" focussize="0,0"/>
              <v:stroke on="f" weight="0.5pt"/>
              <v:imagedata o:title=""/>
              <o:lock v:ext="edit" aspectratio="f"/>
              <v:textbox inset="0mm,0mm,0mm,0mm" style="mso-fit-shape-to-text:t;">
                <w:txbxContent>
                  <w:p w14:paraId="671B236B">
                    <w:pPr>
                      <w:pStyle w:val="21"/>
                    </w:pPr>
                    <w:r>
                      <w:fldChar w:fldCharType="begin"/>
                    </w:r>
                    <w:r>
                      <w:instrText xml:space="preserve"> PAGE  \* MERGEFORMAT </w:instrText>
                    </w:r>
                    <w:r>
                      <w:fldChar w:fldCharType="separate"/>
                    </w:r>
                    <w:r>
                      <w:t>2</w:t>
                    </w:r>
                    <w:r>
                      <w:fldChar w:fldCharType="end"/>
                    </w:r>
                  </w:p>
                </w:txbxContent>
              </v:textbox>
            </v:shape>
          </w:pict>
        </mc:Fallback>
      </mc:AlternateContent>
    </w:r>
    <w:r>
      <w:rPr>
        <w:rFonts w:hint="eastAsia"/>
        <w:lang w:eastAsia="zh-CN"/>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44021E">
    <w:pPr>
      <w:pStyle w:val="24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2C6EC2">
                          <w:pPr>
                            <w:pStyle w:val="21"/>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CYH3vmPQIAAG8EAAAOAAAAAAAAAAEAIAAAAB8BAABkcnMvZTJv&#10;RG9jLnhtbFBLBQYAAAAABgAGAFkBAADOBQAAAAA=&#10;">
              <v:fill on="f" focussize="0,0"/>
              <v:stroke on="f" weight="0.5pt"/>
              <v:imagedata o:title=""/>
              <o:lock v:ext="edit" aspectratio="f"/>
              <v:textbox inset="0mm,0mm,0mm,0mm" style="mso-fit-shape-to-text:t;">
                <w:txbxContent>
                  <w:p w14:paraId="712C6EC2">
                    <w:pPr>
                      <w:pStyle w:val="21"/>
                    </w:pPr>
                    <w:r>
                      <w:fldChar w:fldCharType="begin"/>
                    </w:r>
                    <w:r>
                      <w:instrText xml:space="preserve"> PAGE  \* MERGEFORMAT </w:instrText>
                    </w:r>
                    <w:r>
                      <w:fldChar w:fldCharType="separate"/>
                    </w:r>
                    <w:r>
                      <w:t>41</w:t>
                    </w:r>
                    <w:r>
                      <w:fldChar w:fldCharType="end"/>
                    </w:r>
                  </w:p>
                </w:txbxContent>
              </v:textbox>
            </v:shape>
          </w:pict>
        </mc:Fallback>
      </mc:AlternateContent>
    </w:r>
  </w:p>
  <w:p w14:paraId="04719DBA"/>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B0F28E">
    <w:pPr>
      <w:tabs>
        <w:tab w:val="center" w:pos="4153"/>
        <w:tab w:val="right" w:pos="8306"/>
      </w:tabs>
      <w:jc w:val="center"/>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japaneseCounting"/>
      <w:pStyle w:val="649"/>
      <w:lvlText w:val="%1、"/>
      <w:lvlJc w:val="left"/>
      <w:pPr>
        <w:tabs>
          <w:tab w:val="left" w:pos="2280"/>
        </w:tabs>
        <w:ind w:left="2280" w:hanging="720"/>
      </w:pPr>
      <w:rPr>
        <w:rFonts w:hint="eastAsia" w:ascii="宋体" w:hAnsi="宋体" w:eastAsia="宋体"/>
      </w:rPr>
    </w:lvl>
    <w:lvl w:ilvl="1" w:tentative="0">
      <w:start w:val="1"/>
      <w:numFmt w:val="lowerLetter"/>
      <w:lvlText w:val="%2)"/>
      <w:lvlJc w:val="left"/>
      <w:pPr>
        <w:tabs>
          <w:tab w:val="left" w:pos="2400"/>
        </w:tabs>
        <w:ind w:left="2400" w:hanging="420"/>
      </w:pPr>
      <w:rPr>
        <w:rFonts w:ascii="Times New Roman" w:hAnsi="Times New Roman" w:cs="Times New Roman"/>
      </w:rPr>
    </w:lvl>
    <w:lvl w:ilvl="2" w:tentative="0">
      <w:start w:val="1"/>
      <w:numFmt w:val="lowerRoman"/>
      <w:pStyle w:val="675"/>
      <w:lvlText w:val="%3."/>
      <w:lvlJc w:val="right"/>
      <w:pPr>
        <w:tabs>
          <w:tab w:val="left" w:pos="2820"/>
        </w:tabs>
        <w:ind w:left="2820" w:hanging="420"/>
      </w:pPr>
      <w:rPr>
        <w:rFonts w:ascii="Times New Roman" w:hAnsi="Times New Roman" w:cs="Times New Roman"/>
      </w:rPr>
    </w:lvl>
    <w:lvl w:ilvl="3" w:tentative="0">
      <w:start w:val="1"/>
      <w:numFmt w:val="decimal"/>
      <w:lvlText w:val="%4."/>
      <w:lvlJc w:val="left"/>
      <w:pPr>
        <w:tabs>
          <w:tab w:val="left" w:pos="3240"/>
        </w:tabs>
        <w:ind w:left="3240" w:hanging="420"/>
      </w:pPr>
      <w:rPr>
        <w:rFonts w:ascii="Times New Roman" w:hAnsi="Times New Roman" w:cs="Times New Roman"/>
      </w:rPr>
    </w:lvl>
    <w:lvl w:ilvl="4" w:tentative="0">
      <w:start w:val="1"/>
      <w:numFmt w:val="lowerLetter"/>
      <w:lvlText w:val="%5)"/>
      <w:lvlJc w:val="left"/>
      <w:pPr>
        <w:tabs>
          <w:tab w:val="left" w:pos="3660"/>
        </w:tabs>
        <w:ind w:left="3660" w:hanging="420"/>
      </w:pPr>
      <w:rPr>
        <w:rFonts w:ascii="Times New Roman" w:hAnsi="Times New Roman" w:cs="Times New Roman"/>
      </w:rPr>
    </w:lvl>
    <w:lvl w:ilvl="5" w:tentative="0">
      <w:start w:val="1"/>
      <w:numFmt w:val="lowerRoman"/>
      <w:lvlText w:val="%6."/>
      <w:lvlJc w:val="right"/>
      <w:pPr>
        <w:tabs>
          <w:tab w:val="left" w:pos="4080"/>
        </w:tabs>
        <w:ind w:left="4080" w:hanging="420"/>
      </w:pPr>
      <w:rPr>
        <w:rFonts w:ascii="Times New Roman" w:hAnsi="Times New Roman" w:cs="Times New Roman"/>
      </w:rPr>
    </w:lvl>
    <w:lvl w:ilvl="6" w:tentative="0">
      <w:start w:val="1"/>
      <w:numFmt w:val="decimal"/>
      <w:lvlText w:val="%7."/>
      <w:lvlJc w:val="left"/>
      <w:pPr>
        <w:tabs>
          <w:tab w:val="left" w:pos="4500"/>
        </w:tabs>
        <w:ind w:left="4500" w:hanging="420"/>
      </w:pPr>
      <w:rPr>
        <w:rFonts w:ascii="Times New Roman" w:hAnsi="Times New Roman" w:cs="Times New Roman"/>
      </w:rPr>
    </w:lvl>
    <w:lvl w:ilvl="7" w:tentative="0">
      <w:start w:val="1"/>
      <w:numFmt w:val="lowerLetter"/>
      <w:lvlText w:val="%8)"/>
      <w:lvlJc w:val="left"/>
      <w:pPr>
        <w:tabs>
          <w:tab w:val="left" w:pos="4920"/>
        </w:tabs>
        <w:ind w:left="4920" w:hanging="420"/>
      </w:pPr>
      <w:rPr>
        <w:rFonts w:ascii="Times New Roman" w:hAnsi="Times New Roman" w:cs="Times New Roman"/>
      </w:rPr>
    </w:lvl>
    <w:lvl w:ilvl="8" w:tentative="0">
      <w:start w:val="1"/>
      <w:numFmt w:val="lowerRoman"/>
      <w:lvlText w:val="%9."/>
      <w:lvlJc w:val="right"/>
      <w:pPr>
        <w:tabs>
          <w:tab w:val="left" w:pos="5340"/>
        </w:tabs>
        <w:ind w:left="5340" w:hanging="420"/>
      </w:pPr>
      <w:rPr>
        <w:rFonts w:ascii="Times New Roman" w:hAnsi="Times New Roman" w:cs="Times New Roman"/>
      </w:rPr>
    </w:lvl>
  </w:abstractNum>
  <w:abstractNum w:abstractNumId="1">
    <w:nsid w:val="CF092B84"/>
    <w:multiLevelType w:val="multilevel"/>
    <w:tmpl w:val="CF092B84"/>
    <w:lvl w:ilvl="0" w:tentative="0">
      <w:start w:val="1"/>
      <w:numFmt w:val="decimal"/>
      <w:pStyle w:val="496"/>
      <w:lvlText w:val="%1、"/>
      <w:lvlJc w:val="left"/>
      <w:pPr>
        <w:ind w:left="360" w:hanging="36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53208E"/>
    <w:multiLevelType w:val="multilevel"/>
    <w:tmpl w:val="0053208E"/>
    <w:lvl w:ilvl="0" w:tentative="0">
      <w:start w:val="1"/>
      <w:numFmt w:val="decimal"/>
      <w:pStyle w:val="470"/>
      <w:lvlText w:val="(%1)"/>
      <w:lvlJc w:val="left"/>
      <w:pPr>
        <w:ind w:left="-1290" w:hanging="855"/>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
    <w:nsid w:val="0248C179"/>
    <w:multiLevelType w:val="multilevel"/>
    <w:tmpl w:val="0248C179"/>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3D62ECE"/>
    <w:multiLevelType w:val="multilevel"/>
    <w:tmpl w:val="03D62ECE"/>
    <w:lvl w:ilvl="0" w:tentative="0">
      <w:start w:val="3"/>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25B654F3"/>
    <w:multiLevelType w:val="multilevel"/>
    <w:tmpl w:val="25B654F3"/>
    <w:lvl w:ilvl="0" w:tentative="0">
      <w:start w:val="1"/>
      <w:numFmt w:val="decimal"/>
      <w:suff w:val="nothing"/>
      <w:lvlText w:val="%1、"/>
      <w:lvlJc w:val="left"/>
      <w:rPr>
        <w:rFonts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59ADCABA"/>
    <w:multiLevelType w:val="multilevel"/>
    <w:tmpl w:val="59ADCABA"/>
    <w:lvl w:ilvl="0" w:tentative="0">
      <w:start w:val="1"/>
      <w:numFmt w:val="decimal"/>
      <w:pStyle w:val="642"/>
      <w:lvlText w:val="%1."/>
      <w:lvlJc w:val="left"/>
      <w:pPr>
        <w:ind w:left="360" w:hanging="36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72183CF9"/>
    <w:multiLevelType w:val="multilevel"/>
    <w:tmpl w:val="72183CF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6"/>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5"/>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F8523A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696"/>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link w:val="43"/>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4"/>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5"/>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6"/>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7"/>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8"/>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9"/>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0"/>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1"/>
    <w:unhideWhenUsed/>
    <w:qFormat/>
    <w:uiPriority w:val="9"/>
    <w:pPr>
      <w:keepNext/>
      <w:keepLines/>
      <w:spacing w:before="320" w:after="200"/>
      <w:outlineLvl w:val="8"/>
    </w:pPr>
    <w:rPr>
      <w:rFonts w:ascii="Arial" w:hAnsi="Arial" w:eastAsia="Arial" w:cs="Arial"/>
      <w:i/>
      <w:iCs/>
      <w:sz w:val="21"/>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2">
    <w:name w:val="Body Text Indent 2"/>
    <w:basedOn w:val="1"/>
    <w:next w:val="1"/>
    <w:qFormat/>
    <w:uiPriority w:val="0"/>
    <w:pPr>
      <w:spacing w:after="120" w:line="480" w:lineRule="auto"/>
      <w:ind w:left="420"/>
    </w:pPr>
  </w:style>
  <w:style w:type="paragraph" w:styleId="12">
    <w:name w:val="toc 7"/>
    <w:basedOn w:val="1"/>
    <w:next w:val="1"/>
    <w:unhideWhenUsed/>
    <w:qFormat/>
    <w:uiPriority w:val="39"/>
    <w:pPr>
      <w:spacing w:after="57"/>
      <w:ind w:left="1701" w:right="0" w:firstLine="0"/>
    </w:pPr>
  </w:style>
  <w:style w:type="paragraph" w:styleId="13">
    <w:name w:val="Normal Indent"/>
    <w:basedOn w:val="1"/>
    <w:link w:val="295"/>
    <w:qFormat/>
    <w:uiPriority w:val="0"/>
    <w:pPr>
      <w:ind w:firstLine="420"/>
    </w:pPr>
    <w:rPr>
      <w:sz w:val="20"/>
      <w:szCs w:val="20"/>
    </w:r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semiHidden/>
    <w:unhideWhenUsed/>
    <w:qFormat/>
    <w:uiPriority w:val="99"/>
    <w:pPr>
      <w:jc w:val="left"/>
    </w:pPr>
  </w:style>
  <w:style w:type="paragraph" w:styleId="16">
    <w:name w:val="Body Text"/>
    <w:basedOn w:val="1"/>
    <w:qFormat/>
    <w:uiPriority w:val="0"/>
    <w:pPr>
      <w:spacing w:before="133"/>
      <w:ind w:left="118"/>
    </w:pPr>
    <w:rPr>
      <w:rFonts w:ascii="宋体" w:hAnsi="宋体" w:eastAsia="宋体"/>
      <w:sz w:val="21"/>
      <w:szCs w:val="21"/>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toc 8"/>
    <w:basedOn w:val="1"/>
    <w:next w:val="1"/>
    <w:unhideWhenUsed/>
    <w:qFormat/>
    <w:uiPriority w:val="39"/>
    <w:pPr>
      <w:spacing w:after="57"/>
      <w:ind w:left="1984" w:right="0" w:firstLine="0"/>
    </w:pPr>
  </w:style>
  <w:style w:type="paragraph" w:styleId="20">
    <w:name w:val="endnote text"/>
    <w:basedOn w:val="1"/>
    <w:link w:val="183"/>
    <w:semiHidden/>
    <w:unhideWhenUsed/>
    <w:qFormat/>
    <w:uiPriority w:val="99"/>
    <w:pPr>
      <w:spacing w:after="0" w:line="240" w:lineRule="auto"/>
    </w:pPr>
    <w:rPr>
      <w:sz w:val="20"/>
    </w:rPr>
  </w:style>
  <w:style w:type="paragraph" w:styleId="21">
    <w:name w:val="footer"/>
    <w:basedOn w:val="1"/>
    <w:link w:val="56"/>
    <w:unhideWhenUsed/>
    <w:qFormat/>
    <w:uiPriority w:val="99"/>
    <w:pPr>
      <w:tabs>
        <w:tab w:val="center" w:pos="7143"/>
        <w:tab w:val="right" w:pos="14287"/>
      </w:tabs>
      <w:spacing w:after="0" w:line="240" w:lineRule="auto"/>
    </w:pPr>
  </w:style>
  <w:style w:type="paragraph" w:styleId="22">
    <w:name w:val="header"/>
    <w:basedOn w:val="1"/>
    <w:link w:val="54"/>
    <w:unhideWhenUsed/>
    <w:qFormat/>
    <w:uiPriority w:val="99"/>
    <w:pPr>
      <w:tabs>
        <w:tab w:val="center" w:pos="7143"/>
        <w:tab w:val="right" w:pos="14287"/>
      </w:tabs>
      <w:spacing w:after="0" w:line="240" w:lineRule="auto"/>
    </w:pPr>
  </w:style>
  <w:style w:type="paragraph" w:styleId="23">
    <w:name w:val="toc 1"/>
    <w:basedOn w:val="1"/>
    <w:next w:val="1"/>
    <w:unhideWhenUsed/>
    <w:qFormat/>
    <w:uiPriority w:val="39"/>
    <w:pPr>
      <w:spacing w:after="57"/>
      <w:ind w:left="0" w:right="0" w:firstLine="0"/>
    </w:pPr>
  </w:style>
  <w:style w:type="paragraph" w:styleId="24">
    <w:name w:val="toc 4"/>
    <w:basedOn w:val="1"/>
    <w:next w:val="1"/>
    <w:unhideWhenUsed/>
    <w:qFormat/>
    <w:uiPriority w:val="39"/>
    <w:pPr>
      <w:spacing w:after="57"/>
      <w:ind w:left="850" w:right="0" w:firstLine="0"/>
    </w:pPr>
  </w:style>
  <w:style w:type="paragraph" w:styleId="25">
    <w:name w:val="Subtitle"/>
    <w:basedOn w:val="1"/>
    <w:next w:val="1"/>
    <w:link w:val="53"/>
    <w:qFormat/>
    <w:uiPriority w:val="11"/>
    <w:pPr>
      <w:spacing w:before="200" w:after="200"/>
    </w:pPr>
    <w:rPr>
      <w:sz w:val="24"/>
      <w:szCs w:val="24"/>
    </w:rPr>
  </w:style>
  <w:style w:type="paragraph" w:styleId="26">
    <w:name w:val="footnote text"/>
    <w:basedOn w:val="1"/>
    <w:link w:val="182"/>
    <w:semiHidden/>
    <w:unhideWhenUsed/>
    <w:qFormat/>
    <w:uiPriority w:val="99"/>
    <w:pPr>
      <w:spacing w:after="40" w:line="240" w:lineRule="auto"/>
    </w:pPr>
    <w:rPr>
      <w:sz w:val="18"/>
    </w:rPr>
  </w:style>
  <w:style w:type="paragraph" w:styleId="27">
    <w:name w:val="toc 6"/>
    <w:basedOn w:val="1"/>
    <w:next w:val="1"/>
    <w:unhideWhenUsed/>
    <w:qFormat/>
    <w:uiPriority w:val="39"/>
    <w:pPr>
      <w:spacing w:after="57"/>
      <w:ind w:left="1417" w:right="0" w:firstLine="0"/>
    </w:pPr>
  </w:style>
  <w:style w:type="paragraph" w:styleId="28">
    <w:name w:val="Body Text Indent 3"/>
    <w:basedOn w:val="1"/>
    <w:qFormat/>
    <w:uiPriority w:val="0"/>
    <w:pPr>
      <w:tabs>
        <w:tab w:val="left" w:pos="0"/>
      </w:tabs>
      <w:spacing w:line="360" w:lineRule="auto"/>
      <w:ind w:firstLine="504"/>
    </w:pPr>
    <w:rPr>
      <w:rFonts w:ascii="宋体" w:hAnsi="Calibri" w:eastAsia="Calibri" w:cs="宋体"/>
      <w:b/>
      <w:bCs/>
      <w:sz w:val="24"/>
      <w:lang w:val="zh-CN"/>
    </w:r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Body Text 2"/>
    <w:basedOn w:val="1"/>
    <w:qFormat/>
    <w:uiPriority w:val="0"/>
    <w:pPr>
      <w:widowControl/>
      <w:ind w:left="720" w:hanging="720"/>
    </w:pPr>
    <w:rPr>
      <w:rFonts w:ascii="Calibri" w:hAnsi="Calibri" w:eastAsia="Calibri" w:cs="宋体"/>
      <w:sz w:val="24"/>
      <w:szCs w:val="20"/>
      <w:lang w:val="en-GB"/>
    </w:rPr>
  </w:style>
  <w:style w:type="paragraph" w:styleId="33">
    <w:name w:val="Normal (Web)"/>
    <w:basedOn w:val="1"/>
    <w:qFormat/>
    <w:uiPriority w:val="99"/>
    <w:pPr>
      <w:widowControl/>
      <w:spacing w:before="100" w:beforeAutospacing="1" w:after="100" w:afterAutospacing="1"/>
      <w:jc w:val="left"/>
    </w:pPr>
    <w:rPr>
      <w:rFonts w:ascii="宋体" w:hAnsi="宋体" w:cs="宋体"/>
      <w:sz w:val="24"/>
    </w:rPr>
  </w:style>
  <w:style w:type="paragraph" w:styleId="34">
    <w:name w:val="Title"/>
    <w:basedOn w:val="1"/>
    <w:next w:val="1"/>
    <w:link w:val="52"/>
    <w:qFormat/>
    <w:uiPriority w:val="10"/>
    <w:pPr>
      <w:spacing w:before="300" w:after="200"/>
      <w:contextualSpacing/>
    </w:pPr>
    <w:rPr>
      <w:sz w:val="48"/>
      <w:szCs w:val="48"/>
    </w:rPr>
  </w:style>
  <w:style w:type="table" w:styleId="36">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endnote reference"/>
    <w:semiHidden/>
    <w:unhideWhenUsed/>
    <w:qFormat/>
    <w:uiPriority w:val="99"/>
    <w:rPr>
      <w:vertAlign w:val="superscript"/>
    </w:rPr>
  </w:style>
  <w:style w:type="character" w:styleId="39">
    <w:name w:val="Hyperlink"/>
    <w:unhideWhenUsed/>
    <w:qFormat/>
    <w:uiPriority w:val="99"/>
    <w:rPr>
      <w:color w:val="0000FF" w:themeColor="hyperlink"/>
      <w:u w:val="single"/>
      <w14:textFill>
        <w14:solidFill>
          <w14:schemeClr w14:val="hlink"/>
        </w14:solidFill>
      </w14:textFill>
    </w:rPr>
  </w:style>
  <w:style w:type="character" w:styleId="40">
    <w:name w:val="footnote reference"/>
    <w:unhideWhenUsed/>
    <w:qFormat/>
    <w:uiPriority w:val="99"/>
    <w:rPr>
      <w:vertAlign w:val="superscript"/>
    </w:rPr>
  </w:style>
  <w:style w:type="paragraph" w:styleId="41">
    <w:name w:val="List Paragraph"/>
    <w:basedOn w:val="1"/>
    <w:qFormat/>
    <w:uiPriority w:val="0"/>
    <w:pPr>
      <w:ind w:firstLine="420"/>
    </w:pPr>
    <w:rPr>
      <w:rFonts w:ascii="Calibri" w:hAnsi="Calibri"/>
      <w:szCs w:val="22"/>
    </w:rPr>
  </w:style>
  <w:style w:type="paragraph" w:customStyle="1" w:styleId="42">
    <w:name w:val="首行缩进"/>
    <w:basedOn w:val="1"/>
    <w:qFormat/>
    <w:uiPriority w:val="0"/>
    <w:pPr>
      <w:ind w:firstLine="480"/>
    </w:pPr>
    <w:rPr>
      <w:rFonts w:ascii="Calibri" w:hAnsi="Calibri" w:eastAsia="Calibri" w:cs="宋体"/>
      <w:sz w:val="20"/>
      <w:szCs w:val="20"/>
      <w:lang w:val="zh-CN"/>
    </w:rPr>
  </w:style>
  <w:style w:type="character" w:customStyle="1" w:styleId="43">
    <w:name w:val="Heading 1 Char"/>
    <w:link w:val="3"/>
    <w:qFormat/>
    <w:uiPriority w:val="9"/>
    <w:rPr>
      <w:rFonts w:ascii="Arial" w:hAnsi="Arial" w:eastAsia="Arial" w:cs="Arial"/>
      <w:sz w:val="40"/>
      <w:szCs w:val="40"/>
    </w:rPr>
  </w:style>
  <w:style w:type="character" w:customStyle="1" w:styleId="44">
    <w:name w:val="Heading 2 Char"/>
    <w:link w:val="4"/>
    <w:qFormat/>
    <w:uiPriority w:val="9"/>
    <w:rPr>
      <w:rFonts w:ascii="Arial" w:hAnsi="Arial" w:eastAsia="Arial" w:cs="Arial"/>
      <w:sz w:val="34"/>
    </w:rPr>
  </w:style>
  <w:style w:type="character" w:customStyle="1" w:styleId="45">
    <w:name w:val="Heading 3 Char"/>
    <w:link w:val="5"/>
    <w:qFormat/>
    <w:uiPriority w:val="9"/>
    <w:rPr>
      <w:rFonts w:ascii="Arial" w:hAnsi="Arial" w:eastAsia="Arial" w:cs="Arial"/>
      <w:sz w:val="30"/>
      <w:szCs w:val="30"/>
    </w:rPr>
  </w:style>
  <w:style w:type="character" w:customStyle="1" w:styleId="46">
    <w:name w:val="Heading 4 Char"/>
    <w:link w:val="6"/>
    <w:qFormat/>
    <w:uiPriority w:val="9"/>
    <w:rPr>
      <w:rFonts w:ascii="Arial" w:hAnsi="Arial" w:eastAsia="Arial" w:cs="Arial"/>
      <w:b/>
      <w:bCs/>
      <w:sz w:val="26"/>
      <w:szCs w:val="26"/>
    </w:rPr>
  </w:style>
  <w:style w:type="character" w:customStyle="1" w:styleId="47">
    <w:name w:val="Heading 5 Char"/>
    <w:link w:val="7"/>
    <w:qFormat/>
    <w:uiPriority w:val="9"/>
    <w:rPr>
      <w:rFonts w:ascii="Arial" w:hAnsi="Arial" w:eastAsia="Arial" w:cs="Arial"/>
      <w:b/>
      <w:bCs/>
      <w:sz w:val="24"/>
      <w:szCs w:val="24"/>
    </w:rPr>
  </w:style>
  <w:style w:type="character" w:customStyle="1" w:styleId="48">
    <w:name w:val="Heading 6 Char"/>
    <w:link w:val="8"/>
    <w:qFormat/>
    <w:uiPriority w:val="9"/>
    <w:rPr>
      <w:rFonts w:ascii="Arial" w:hAnsi="Arial" w:eastAsia="Arial" w:cs="Arial"/>
      <w:b/>
      <w:bCs/>
      <w:sz w:val="22"/>
      <w:szCs w:val="22"/>
    </w:rPr>
  </w:style>
  <w:style w:type="character" w:customStyle="1" w:styleId="49">
    <w:name w:val="Heading 7 Char"/>
    <w:link w:val="9"/>
    <w:qFormat/>
    <w:uiPriority w:val="9"/>
    <w:rPr>
      <w:rFonts w:ascii="Arial" w:hAnsi="Arial" w:eastAsia="Arial" w:cs="Arial"/>
      <w:b/>
      <w:bCs/>
      <w:i/>
      <w:iCs/>
      <w:sz w:val="22"/>
      <w:szCs w:val="22"/>
    </w:rPr>
  </w:style>
  <w:style w:type="character" w:customStyle="1" w:styleId="50">
    <w:name w:val="Heading 8 Char"/>
    <w:link w:val="10"/>
    <w:qFormat/>
    <w:uiPriority w:val="9"/>
    <w:rPr>
      <w:rFonts w:ascii="Arial" w:hAnsi="Arial" w:eastAsia="Arial" w:cs="Arial"/>
      <w:i/>
      <w:iCs/>
      <w:sz w:val="22"/>
      <w:szCs w:val="22"/>
    </w:rPr>
  </w:style>
  <w:style w:type="character" w:customStyle="1" w:styleId="51">
    <w:name w:val="Heading 9 Char"/>
    <w:link w:val="11"/>
    <w:qFormat/>
    <w:uiPriority w:val="9"/>
    <w:rPr>
      <w:rFonts w:ascii="Arial" w:hAnsi="Arial" w:eastAsia="Arial" w:cs="Arial"/>
      <w:i/>
      <w:iCs/>
      <w:sz w:val="21"/>
      <w:szCs w:val="21"/>
    </w:rPr>
  </w:style>
  <w:style w:type="character" w:customStyle="1" w:styleId="52">
    <w:name w:val="Title Char"/>
    <w:link w:val="34"/>
    <w:qFormat/>
    <w:uiPriority w:val="10"/>
    <w:rPr>
      <w:sz w:val="48"/>
      <w:szCs w:val="48"/>
    </w:rPr>
  </w:style>
  <w:style w:type="character" w:customStyle="1" w:styleId="53">
    <w:name w:val="Subtitle Char"/>
    <w:link w:val="25"/>
    <w:qFormat/>
    <w:uiPriority w:val="11"/>
    <w:rPr>
      <w:sz w:val="24"/>
      <w:szCs w:val="24"/>
    </w:rPr>
  </w:style>
  <w:style w:type="character" w:customStyle="1" w:styleId="54">
    <w:name w:val="Header Char"/>
    <w:link w:val="22"/>
    <w:qFormat/>
    <w:uiPriority w:val="99"/>
  </w:style>
  <w:style w:type="character" w:customStyle="1" w:styleId="55">
    <w:name w:val="Footer Char"/>
    <w:link w:val="21"/>
    <w:qFormat/>
    <w:uiPriority w:val="99"/>
  </w:style>
  <w:style w:type="character" w:customStyle="1" w:styleId="56">
    <w:name w:val="Caption Char"/>
    <w:link w:val="21"/>
    <w:qFormat/>
    <w:uiPriority w:val="99"/>
  </w:style>
  <w:style w:type="table" w:customStyle="1" w:styleId="57">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8">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9">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0">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4">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5">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6">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7">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8">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9">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0">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2">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3">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4">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5">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6">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7">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9">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6">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2">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3">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4">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5">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6">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7">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8">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9">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0">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1">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2">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3">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4">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5">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7">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8">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9">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0">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1">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2">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3">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4">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5">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6">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7">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8">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9">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0">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1">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2">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3">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4">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5">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6">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7">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8">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9">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0">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1">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2">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3">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4">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5">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6">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7">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8">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9">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0">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1">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2">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3">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4">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5">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6">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7">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8">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9">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0">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1">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2">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3">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4">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5">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6">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8">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0">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1">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2">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3">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4">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5">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6">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7">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8">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0">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1">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2">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3">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4">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5">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6">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7">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8">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9">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0">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1">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2">
    <w:name w:val="Footnote Text Char"/>
    <w:link w:val="26"/>
    <w:qFormat/>
    <w:uiPriority w:val="99"/>
    <w:rPr>
      <w:sz w:val="18"/>
    </w:rPr>
  </w:style>
  <w:style w:type="character" w:customStyle="1" w:styleId="183">
    <w:name w:val="Endnote Text Char"/>
    <w:link w:val="20"/>
    <w:qFormat/>
    <w:uiPriority w:val="99"/>
    <w:rPr>
      <w:sz w:val="20"/>
    </w:rPr>
  </w:style>
  <w:style w:type="paragraph" w:customStyle="1" w:styleId="184">
    <w:name w:val="TOC Heading"/>
    <w:unhideWhenUsed/>
    <w:qFormat/>
    <w:uiPriority w:val="39"/>
    <w:rPr>
      <w:rFonts w:hint="default" w:ascii="Times New Roman" w:hAnsi="Times New Roman" w:eastAsia="宋体" w:cs="Times New Roman"/>
    </w:rPr>
  </w:style>
  <w:style w:type="paragraph" w:customStyle="1" w:styleId="185">
    <w:name w:val="标题 11"/>
    <w:basedOn w:val="186"/>
    <w:next w:val="1"/>
    <w:link w:val="199"/>
    <w:qFormat/>
    <w:uiPriority w:val="0"/>
    <w:pPr>
      <w:keepNext/>
      <w:keepLines/>
      <w:spacing w:before="340" w:after="330" w:line="576" w:lineRule="auto"/>
      <w:outlineLvl w:val="0"/>
    </w:pPr>
    <w:rPr>
      <w:b w:val="0"/>
      <w:bCs w:val="0"/>
      <w:sz w:val="44"/>
      <w:szCs w:val="44"/>
    </w:rPr>
  </w:style>
  <w:style w:type="paragraph" w:customStyle="1" w:styleId="186">
    <w:name w:val="标题 21"/>
    <w:basedOn w:val="1"/>
    <w:next w:val="1"/>
    <w:link w:val="198"/>
    <w:qFormat/>
    <w:uiPriority w:val="0"/>
    <w:pPr>
      <w:keepNext/>
      <w:keepLines/>
      <w:spacing w:before="260" w:after="260" w:line="413" w:lineRule="auto"/>
      <w:outlineLvl w:val="1"/>
    </w:pPr>
    <w:rPr>
      <w:rFonts w:ascii="Arial" w:hAnsi="Arial" w:eastAsia="黑体"/>
      <w:b/>
      <w:bCs/>
      <w:sz w:val="32"/>
      <w:szCs w:val="32"/>
    </w:rPr>
  </w:style>
  <w:style w:type="paragraph" w:customStyle="1" w:styleId="187">
    <w:name w:val="标题 31"/>
    <w:basedOn w:val="1"/>
    <w:next w:val="1"/>
    <w:link w:val="200"/>
    <w:qFormat/>
    <w:uiPriority w:val="0"/>
    <w:pPr>
      <w:keepNext/>
      <w:keepLines/>
      <w:spacing w:before="260" w:after="260" w:line="413" w:lineRule="auto"/>
      <w:outlineLvl w:val="2"/>
    </w:pPr>
    <w:rPr>
      <w:b/>
      <w:bCs/>
      <w:sz w:val="32"/>
      <w:szCs w:val="32"/>
    </w:rPr>
  </w:style>
  <w:style w:type="paragraph" w:customStyle="1" w:styleId="188">
    <w:name w:val="标题 41"/>
    <w:basedOn w:val="1"/>
    <w:next w:val="189"/>
    <w:link w:val="201"/>
    <w:qFormat/>
    <w:uiPriority w:val="0"/>
    <w:pPr>
      <w:keepNext/>
      <w:keepLines/>
      <w:spacing w:before="120" w:after="120"/>
      <w:outlineLvl w:val="3"/>
    </w:pPr>
    <w:rPr>
      <w:rFonts w:ascii="Arial" w:hAnsi="Arial" w:eastAsia="黑体"/>
      <w:b/>
      <w:sz w:val="20"/>
      <w:szCs w:val="20"/>
    </w:rPr>
  </w:style>
  <w:style w:type="paragraph" w:customStyle="1" w:styleId="189">
    <w:name w:val="正文 A"/>
    <w:next w:val="190"/>
    <w:qFormat/>
    <w:uiPriority w:val="0"/>
    <w:pPr>
      <w:widowControl w:val="0"/>
      <w:jc w:val="both"/>
    </w:pPr>
    <w:rPr>
      <w:rFonts w:hint="default" w:ascii="Times New Roman" w:hAnsi="Times New Roman" w:eastAsia="Arial Unicode MS" w:cs="Arial Unicode MS"/>
      <w:color w:val="000000"/>
      <w:sz w:val="21"/>
      <w:szCs w:val="21"/>
      <w:lang w:val="en-US" w:eastAsia="zh-CN" w:bidi="ar-SA"/>
    </w:rPr>
  </w:style>
  <w:style w:type="paragraph" w:customStyle="1" w:styleId="190">
    <w:name w:val="正文文本1"/>
    <w:basedOn w:val="1"/>
    <w:link w:val="202"/>
    <w:unhideWhenUsed/>
    <w:qFormat/>
    <w:uiPriority w:val="0"/>
    <w:pPr>
      <w:spacing w:after="120"/>
    </w:pPr>
    <w:rPr>
      <w:sz w:val="24"/>
    </w:rPr>
  </w:style>
  <w:style w:type="paragraph" w:customStyle="1" w:styleId="191">
    <w:name w:val="标题 51"/>
    <w:basedOn w:val="1"/>
    <w:next w:val="1"/>
    <w:link w:val="203"/>
    <w:qFormat/>
    <w:uiPriority w:val="0"/>
    <w:pPr>
      <w:keepNext/>
      <w:keepLines/>
      <w:tabs>
        <w:tab w:val="left" w:pos="1008"/>
      </w:tabs>
      <w:spacing w:before="280" w:after="290" w:line="372" w:lineRule="auto"/>
      <w:ind w:left="1008" w:hanging="1008"/>
      <w:outlineLvl w:val="4"/>
    </w:pPr>
    <w:rPr>
      <w:b/>
      <w:bCs/>
      <w:sz w:val="28"/>
      <w:szCs w:val="28"/>
    </w:rPr>
  </w:style>
  <w:style w:type="paragraph" w:customStyle="1" w:styleId="192">
    <w:name w:val="标题 61"/>
    <w:basedOn w:val="1"/>
    <w:next w:val="1"/>
    <w:link w:val="204"/>
    <w:qFormat/>
    <w:uiPriority w:val="0"/>
    <w:pPr>
      <w:keepNext/>
      <w:keepLines/>
      <w:tabs>
        <w:tab w:val="left" w:pos="1152"/>
      </w:tabs>
      <w:spacing w:before="240" w:after="64" w:line="317" w:lineRule="auto"/>
      <w:ind w:left="1152" w:hanging="1152"/>
      <w:outlineLvl w:val="5"/>
    </w:pPr>
    <w:rPr>
      <w:rFonts w:ascii="Arial" w:hAnsi="Arial" w:eastAsia="黑体"/>
      <w:b/>
      <w:bCs/>
      <w:sz w:val="24"/>
    </w:rPr>
  </w:style>
  <w:style w:type="paragraph" w:customStyle="1" w:styleId="193">
    <w:name w:val="标题 71"/>
    <w:basedOn w:val="1"/>
    <w:next w:val="1"/>
    <w:link w:val="205"/>
    <w:qFormat/>
    <w:uiPriority w:val="0"/>
    <w:pPr>
      <w:keepNext/>
      <w:keepLines/>
      <w:tabs>
        <w:tab w:val="left" w:pos="1296"/>
      </w:tabs>
      <w:spacing w:before="240" w:after="64" w:line="317" w:lineRule="auto"/>
      <w:ind w:left="1296" w:hanging="1296"/>
      <w:outlineLvl w:val="6"/>
    </w:pPr>
    <w:rPr>
      <w:b/>
      <w:bCs/>
      <w:sz w:val="24"/>
    </w:rPr>
  </w:style>
  <w:style w:type="paragraph" w:customStyle="1" w:styleId="194">
    <w:name w:val="标题 81"/>
    <w:basedOn w:val="1"/>
    <w:next w:val="1"/>
    <w:link w:val="206"/>
    <w:qFormat/>
    <w:uiPriority w:val="0"/>
    <w:pPr>
      <w:keepNext/>
      <w:keepLines/>
      <w:tabs>
        <w:tab w:val="left" w:pos="1440"/>
      </w:tabs>
      <w:spacing w:before="240" w:after="64" w:line="317" w:lineRule="auto"/>
      <w:ind w:left="1440" w:hanging="1440"/>
      <w:outlineLvl w:val="7"/>
    </w:pPr>
    <w:rPr>
      <w:rFonts w:ascii="Arial" w:hAnsi="Arial" w:eastAsia="黑体"/>
      <w:sz w:val="24"/>
    </w:rPr>
  </w:style>
  <w:style w:type="paragraph" w:customStyle="1" w:styleId="195">
    <w:name w:val="标题 91"/>
    <w:basedOn w:val="1"/>
    <w:next w:val="1"/>
    <w:link w:val="207"/>
    <w:qFormat/>
    <w:uiPriority w:val="0"/>
    <w:pPr>
      <w:keepNext/>
      <w:keepLines/>
      <w:tabs>
        <w:tab w:val="left" w:pos="1584"/>
      </w:tabs>
      <w:spacing w:before="240" w:after="64" w:line="317" w:lineRule="auto"/>
      <w:ind w:left="1584" w:hanging="1584"/>
      <w:outlineLvl w:val="8"/>
    </w:pPr>
    <w:rPr>
      <w:rFonts w:ascii="Arial" w:hAnsi="Arial" w:eastAsia="黑体"/>
      <w:szCs w:val="21"/>
    </w:rPr>
  </w:style>
  <w:style w:type="character" w:customStyle="1" w:styleId="196">
    <w:name w:val="默认段落字体1"/>
    <w:link w:val="1"/>
    <w:unhideWhenUsed/>
    <w:qFormat/>
    <w:uiPriority w:val="1"/>
  </w:style>
  <w:style w:type="table" w:customStyle="1" w:styleId="197">
    <w:name w:val="普通表格1"/>
    <w:unhideWhenUsed/>
    <w:qFormat/>
    <w:uiPriority w:val="99"/>
    <w:pPr>
      <w:keepNext w:val="0"/>
      <w:keepLines w:val="0"/>
      <w:widowControl/>
      <w:suppressLineNumbers w:val="0"/>
      <w:spacing w:before="0" w:beforeAutospacing="0" w:after="0" w:afterAutospacing="0"/>
      <w:ind w:left="0" w:right="0"/>
    </w:pPr>
    <w:rPr>
      <w:rFonts w:ascii="Calibri" w:hAnsi="Calibri" w:cs="Times New Roman"/>
      <w:sz w:val="21"/>
      <w:szCs w:val="22"/>
    </w:rPr>
  </w:style>
  <w:style w:type="character" w:customStyle="1" w:styleId="198">
    <w:name w:val="标题 2 Char"/>
    <w:link w:val="186"/>
    <w:qFormat/>
    <w:uiPriority w:val="0"/>
    <w:rPr>
      <w:rFonts w:ascii="Arial" w:hAnsi="Arial" w:eastAsia="黑体" w:cs="Times New Roman"/>
      <w:b/>
      <w:bCs/>
      <w:sz w:val="32"/>
      <w:szCs w:val="32"/>
    </w:rPr>
  </w:style>
  <w:style w:type="character" w:customStyle="1" w:styleId="199">
    <w:name w:val="标题 1 Char"/>
    <w:link w:val="185"/>
    <w:qFormat/>
    <w:uiPriority w:val="0"/>
    <w:rPr>
      <w:rFonts w:ascii="Times New Roman" w:hAnsi="Times New Roman" w:eastAsia="宋体" w:cs="Times New Roman"/>
      <w:b/>
      <w:bCs/>
      <w:sz w:val="44"/>
      <w:szCs w:val="44"/>
    </w:rPr>
  </w:style>
  <w:style w:type="character" w:customStyle="1" w:styleId="200">
    <w:name w:val="标题 3 Char"/>
    <w:link w:val="187"/>
    <w:qFormat/>
    <w:uiPriority w:val="0"/>
    <w:rPr>
      <w:rFonts w:ascii="Times New Roman" w:hAnsi="Times New Roman" w:eastAsia="宋体" w:cs="Times New Roman"/>
      <w:b/>
      <w:bCs/>
      <w:sz w:val="32"/>
      <w:szCs w:val="32"/>
    </w:rPr>
  </w:style>
  <w:style w:type="character" w:customStyle="1" w:styleId="201">
    <w:name w:val="标题 4 Char"/>
    <w:link w:val="188"/>
    <w:qFormat/>
    <w:uiPriority w:val="0"/>
    <w:rPr>
      <w:rFonts w:ascii="Arial" w:hAnsi="Arial" w:eastAsia="黑体" w:cs="Times New Roman"/>
      <w:b/>
      <w:sz w:val="20"/>
      <w:szCs w:val="20"/>
    </w:rPr>
  </w:style>
  <w:style w:type="character" w:customStyle="1" w:styleId="202">
    <w:name w:val="正文文本 Char"/>
    <w:link w:val="190"/>
    <w:qFormat/>
    <w:uiPriority w:val="0"/>
    <w:rPr>
      <w:rFonts w:ascii="Times New Roman" w:hAnsi="Times New Roman" w:eastAsia="宋体" w:cs="Times New Roman"/>
      <w:sz w:val="24"/>
      <w:szCs w:val="24"/>
    </w:rPr>
  </w:style>
  <w:style w:type="character" w:customStyle="1" w:styleId="203">
    <w:name w:val="标题 5 Char"/>
    <w:link w:val="191"/>
    <w:qFormat/>
    <w:uiPriority w:val="0"/>
    <w:rPr>
      <w:rFonts w:ascii="Times New Roman" w:hAnsi="Times New Roman" w:eastAsia="宋体" w:cs="Times New Roman"/>
      <w:b/>
      <w:bCs/>
      <w:sz w:val="28"/>
      <w:szCs w:val="28"/>
    </w:rPr>
  </w:style>
  <w:style w:type="character" w:customStyle="1" w:styleId="204">
    <w:name w:val="标题 6 Char"/>
    <w:link w:val="192"/>
    <w:qFormat/>
    <w:uiPriority w:val="0"/>
    <w:rPr>
      <w:rFonts w:ascii="Arial" w:hAnsi="Arial" w:eastAsia="黑体" w:cs="Times New Roman"/>
      <w:b/>
      <w:bCs/>
      <w:sz w:val="24"/>
      <w:szCs w:val="24"/>
    </w:rPr>
  </w:style>
  <w:style w:type="character" w:customStyle="1" w:styleId="205">
    <w:name w:val="标题 7 Char"/>
    <w:link w:val="193"/>
    <w:qFormat/>
    <w:uiPriority w:val="0"/>
    <w:rPr>
      <w:rFonts w:ascii="Times New Roman" w:hAnsi="Times New Roman" w:eastAsia="宋体" w:cs="Times New Roman"/>
      <w:b/>
      <w:bCs/>
      <w:sz w:val="24"/>
      <w:szCs w:val="24"/>
    </w:rPr>
  </w:style>
  <w:style w:type="character" w:customStyle="1" w:styleId="206">
    <w:name w:val="标题 8 Char"/>
    <w:link w:val="194"/>
    <w:qFormat/>
    <w:uiPriority w:val="0"/>
    <w:rPr>
      <w:rFonts w:ascii="Arial" w:hAnsi="Arial" w:eastAsia="黑体" w:cs="Times New Roman"/>
      <w:sz w:val="24"/>
      <w:szCs w:val="24"/>
    </w:rPr>
  </w:style>
  <w:style w:type="character" w:customStyle="1" w:styleId="207">
    <w:name w:val="标题 9 Char"/>
    <w:link w:val="195"/>
    <w:qFormat/>
    <w:uiPriority w:val="0"/>
    <w:rPr>
      <w:rFonts w:ascii="Arial" w:hAnsi="Arial" w:eastAsia="黑体" w:cs="Times New Roman"/>
      <w:sz w:val="21"/>
      <w:szCs w:val="21"/>
    </w:rPr>
  </w:style>
  <w:style w:type="paragraph" w:customStyle="1" w:styleId="208">
    <w:name w:val="列表 31"/>
    <w:basedOn w:val="1"/>
    <w:qFormat/>
    <w:uiPriority w:val="0"/>
    <w:pPr>
      <w:ind w:left="1260" w:hanging="420"/>
    </w:pPr>
    <w:rPr>
      <w:szCs w:val="20"/>
    </w:rPr>
  </w:style>
  <w:style w:type="paragraph" w:customStyle="1" w:styleId="209">
    <w:name w:val="目录 71"/>
    <w:basedOn w:val="1"/>
    <w:next w:val="1"/>
    <w:semiHidden/>
    <w:qFormat/>
    <w:uiPriority w:val="39"/>
    <w:pPr>
      <w:ind w:left="1260"/>
      <w:jc w:val="left"/>
    </w:pPr>
    <w:rPr>
      <w:szCs w:val="21"/>
    </w:rPr>
  </w:style>
  <w:style w:type="paragraph" w:customStyle="1" w:styleId="210">
    <w:name w:val="列表编号 21"/>
    <w:basedOn w:val="1"/>
    <w:qFormat/>
    <w:uiPriority w:val="0"/>
    <w:pPr>
      <w:tabs>
        <w:tab w:val="left" w:pos="1440"/>
      </w:tabs>
      <w:spacing w:line="360" w:lineRule="auto"/>
      <w:ind w:left="1440" w:hanging="1440"/>
    </w:pPr>
    <w:rPr>
      <w:sz w:val="24"/>
    </w:rPr>
  </w:style>
  <w:style w:type="paragraph" w:customStyle="1" w:styleId="211">
    <w:name w:val="列表编号1"/>
    <w:basedOn w:val="1"/>
    <w:qFormat/>
    <w:uiPriority w:val="0"/>
    <w:pPr>
      <w:tabs>
        <w:tab w:val="left" w:pos="2952"/>
      </w:tabs>
      <w:ind w:left="2952" w:hanging="432"/>
    </w:pPr>
  </w:style>
  <w:style w:type="paragraph" w:customStyle="1" w:styleId="212">
    <w:name w:val="正文缩进1"/>
    <w:basedOn w:val="1"/>
    <w:qFormat/>
    <w:uiPriority w:val="0"/>
    <w:pPr>
      <w:ind w:firstLine="420"/>
    </w:pPr>
    <w:rPr>
      <w:szCs w:val="20"/>
    </w:rPr>
  </w:style>
  <w:style w:type="paragraph" w:customStyle="1" w:styleId="213">
    <w:name w:val="文档结构图1"/>
    <w:basedOn w:val="1"/>
    <w:link w:val="214"/>
    <w:semiHidden/>
    <w:qFormat/>
    <w:uiPriority w:val="0"/>
    <w:pPr>
      <w:shd w:val="clear" w:color="auto" w:fill="000080"/>
    </w:pPr>
    <w:rPr>
      <w:sz w:val="24"/>
    </w:rPr>
  </w:style>
  <w:style w:type="character" w:customStyle="1" w:styleId="214">
    <w:name w:val="文档结构图 Char"/>
    <w:link w:val="213"/>
    <w:semiHidden/>
    <w:qFormat/>
    <w:uiPriority w:val="0"/>
    <w:rPr>
      <w:rFonts w:ascii="Times New Roman" w:hAnsi="Times New Roman" w:eastAsia="宋体" w:cs="Times New Roman"/>
      <w:sz w:val="24"/>
      <w:szCs w:val="24"/>
      <w:shd w:val="clear" w:color="auto" w:fill="000080"/>
    </w:rPr>
  </w:style>
  <w:style w:type="paragraph" w:customStyle="1" w:styleId="215">
    <w:name w:val="批注文字1"/>
    <w:basedOn w:val="1"/>
    <w:link w:val="216"/>
    <w:qFormat/>
    <w:uiPriority w:val="99"/>
    <w:pPr>
      <w:jc w:val="left"/>
    </w:pPr>
    <w:rPr>
      <w:sz w:val="20"/>
      <w:szCs w:val="20"/>
    </w:rPr>
  </w:style>
  <w:style w:type="character" w:customStyle="1" w:styleId="216">
    <w:name w:val="批注文字 Char"/>
    <w:link w:val="215"/>
    <w:qFormat/>
    <w:uiPriority w:val="99"/>
    <w:rPr>
      <w:rFonts w:ascii="Times New Roman" w:hAnsi="Times New Roman" w:eastAsia="宋体" w:cs="Times New Roman"/>
      <w:sz w:val="20"/>
      <w:szCs w:val="20"/>
    </w:rPr>
  </w:style>
  <w:style w:type="paragraph" w:customStyle="1" w:styleId="217">
    <w:name w:val="称呼1"/>
    <w:basedOn w:val="1"/>
    <w:next w:val="1"/>
    <w:link w:val="218"/>
    <w:qFormat/>
    <w:uiPriority w:val="0"/>
    <w:rPr>
      <w:rFonts w:ascii="仿宋_GB2312" w:eastAsia="仿宋_GB2312"/>
      <w:sz w:val="20"/>
      <w:szCs w:val="20"/>
    </w:rPr>
  </w:style>
  <w:style w:type="character" w:customStyle="1" w:styleId="218">
    <w:name w:val="称呼 Char"/>
    <w:link w:val="217"/>
    <w:qFormat/>
    <w:uiPriority w:val="0"/>
    <w:rPr>
      <w:rFonts w:ascii="仿宋_GB2312" w:hAnsi="Times New Roman" w:eastAsia="仿宋_GB2312" w:cs="Times New Roman"/>
      <w:sz w:val="20"/>
      <w:szCs w:val="20"/>
    </w:rPr>
  </w:style>
  <w:style w:type="paragraph" w:customStyle="1" w:styleId="219">
    <w:name w:val="正文文本 31"/>
    <w:basedOn w:val="1"/>
    <w:link w:val="220"/>
    <w:qFormat/>
    <w:uiPriority w:val="0"/>
    <w:pPr>
      <w:spacing w:after="120"/>
    </w:pPr>
    <w:rPr>
      <w:sz w:val="16"/>
      <w:szCs w:val="16"/>
    </w:rPr>
  </w:style>
  <w:style w:type="character" w:customStyle="1" w:styleId="220">
    <w:name w:val="正文文本 3 Char"/>
    <w:link w:val="219"/>
    <w:qFormat/>
    <w:uiPriority w:val="0"/>
    <w:rPr>
      <w:rFonts w:ascii="Times New Roman" w:hAnsi="Times New Roman" w:eastAsia="宋体" w:cs="Times New Roman"/>
      <w:sz w:val="16"/>
      <w:szCs w:val="16"/>
    </w:rPr>
  </w:style>
  <w:style w:type="paragraph" w:customStyle="1" w:styleId="221">
    <w:name w:val="正文文本缩进11"/>
    <w:basedOn w:val="1"/>
    <w:link w:val="222"/>
    <w:qFormat/>
    <w:uiPriority w:val="0"/>
    <w:pPr>
      <w:spacing w:after="120"/>
      <w:ind w:left="420"/>
    </w:pPr>
    <w:rPr>
      <w:sz w:val="24"/>
    </w:rPr>
  </w:style>
  <w:style w:type="character" w:customStyle="1" w:styleId="222">
    <w:name w:val="正文文本缩进 Char"/>
    <w:link w:val="221"/>
    <w:qFormat/>
    <w:uiPriority w:val="0"/>
    <w:rPr>
      <w:rFonts w:ascii="Times New Roman" w:hAnsi="Times New Roman" w:eastAsia="宋体" w:cs="Times New Roman"/>
      <w:sz w:val="24"/>
      <w:szCs w:val="24"/>
    </w:rPr>
  </w:style>
  <w:style w:type="paragraph" w:customStyle="1" w:styleId="223">
    <w:name w:val="列表 21"/>
    <w:basedOn w:val="1"/>
    <w:qFormat/>
    <w:uiPriority w:val="99"/>
    <w:pPr>
      <w:ind w:left="100" w:hanging="200"/>
    </w:pPr>
    <w:rPr>
      <w:szCs w:val="21"/>
    </w:rPr>
  </w:style>
  <w:style w:type="paragraph" w:customStyle="1" w:styleId="224">
    <w:name w:val="文本块1"/>
    <w:basedOn w:val="185"/>
    <w:next w:val="1"/>
    <w:qFormat/>
    <w:uiPriority w:val="0"/>
    <w:pPr>
      <w:spacing w:after="120"/>
      <w:ind w:left="1440" w:right="1440"/>
    </w:pPr>
    <w:rPr>
      <w:szCs w:val="20"/>
    </w:rPr>
  </w:style>
  <w:style w:type="paragraph" w:customStyle="1" w:styleId="225">
    <w:name w:val="索引 41"/>
    <w:basedOn w:val="1"/>
    <w:next w:val="1"/>
    <w:unhideWhenUsed/>
    <w:qFormat/>
    <w:uiPriority w:val="0"/>
    <w:pPr>
      <w:ind w:left="600"/>
    </w:pPr>
    <w:rPr>
      <w:szCs w:val="24"/>
    </w:rPr>
  </w:style>
  <w:style w:type="paragraph" w:customStyle="1" w:styleId="226">
    <w:name w:val="目录 51"/>
    <w:basedOn w:val="1"/>
    <w:next w:val="1"/>
    <w:semiHidden/>
    <w:qFormat/>
    <w:uiPriority w:val="39"/>
    <w:pPr>
      <w:ind w:left="840"/>
      <w:jc w:val="left"/>
    </w:pPr>
    <w:rPr>
      <w:szCs w:val="21"/>
    </w:rPr>
  </w:style>
  <w:style w:type="paragraph" w:customStyle="1" w:styleId="227">
    <w:name w:val="目录 31"/>
    <w:basedOn w:val="1"/>
    <w:next w:val="1"/>
    <w:semiHidden/>
    <w:qFormat/>
    <w:uiPriority w:val="39"/>
    <w:pPr>
      <w:ind w:left="840"/>
    </w:pPr>
  </w:style>
  <w:style w:type="paragraph" w:customStyle="1" w:styleId="228">
    <w:name w:val="纯文本11"/>
    <w:basedOn w:val="1"/>
    <w:link w:val="229"/>
    <w:qFormat/>
    <w:uiPriority w:val="0"/>
    <w:rPr>
      <w:rFonts w:ascii="宋体" w:hAnsi="Courier New"/>
      <w:szCs w:val="21"/>
    </w:rPr>
  </w:style>
  <w:style w:type="character" w:customStyle="1" w:styleId="229">
    <w:name w:val="纯文本 Char"/>
    <w:link w:val="228"/>
    <w:qFormat/>
    <w:uiPriority w:val="0"/>
    <w:rPr>
      <w:rFonts w:ascii="宋体" w:hAnsi="Courier New" w:eastAsia="宋体" w:cs="Times New Roman"/>
      <w:sz w:val="21"/>
      <w:szCs w:val="21"/>
    </w:rPr>
  </w:style>
  <w:style w:type="paragraph" w:customStyle="1" w:styleId="230">
    <w:name w:val="目录 81"/>
    <w:basedOn w:val="1"/>
    <w:next w:val="1"/>
    <w:semiHidden/>
    <w:qFormat/>
    <w:uiPriority w:val="39"/>
    <w:pPr>
      <w:ind w:left="1470"/>
      <w:jc w:val="left"/>
    </w:pPr>
    <w:rPr>
      <w:szCs w:val="21"/>
    </w:rPr>
  </w:style>
  <w:style w:type="paragraph" w:customStyle="1" w:styleId="231">
    <w:name w:val="索引 31"/>
    <w:basedOn w:val="1"/>
    <w:next w:val="1"/>
    <w:semiHidden/>
    <w:qFormat/>
    <w:uiPriority w:val="99"/>
    <w:pPr>
      <w:ind w:left="840"/>
    </w:pPr>
    <w:rPr>
      <w:szCs w:val="20"/>
    </w:rPr>
  </w:style>
  <w:style w:type="paragraph" w:customStyle="1" w:styleId="232">
    <w:name w:val="日期1"/>
    <w:basedOn w:val="1"/>
    <w:next w:val="1"/>
    <w:link w:val="233"/>
    <w:qFormat/>
    <w:uiPriority w:val="0"/>
    <w:pPr>
      <w:ind w:left="100"/>
    </w:pPr>
    <w:rPr>
      <w:sz w:val="20"/>
      <w:szCs w:val="20"/>
    </w:rPr>
  </w:style>
  <w:style w:type="character" w:customStyle="1" w:styleId="233">
    <w:name w:val="日期 Char"/>
    <w:link w:val="232"/>
    <w:qFormat/>
    <w:uiPriority w:val="0"/>
    <w:rPr>
      <w:rFonts w:ascii="Times New Roman" w:hAnsi="Times New Roman" w:eastAsia="宋体" w:cs="Times New Roman"/>
      <w:sz w:val="20"/>
      <w:szCs w:val="20"/>
    </w:rPr>
  </w:style>
  <w:style w:type="paragraph" w:customStyle="1" w:styleId="234">
    <w:name w:val="正文文本缩进 21"/>
    <w:basedOn w:val="1"/>
    <w:link w:val="235"/>
    <w:qFormat/>
    <w:uiPriority w:val="0"/>
    <w:pPr>
      <w:spacing w:line="400" w:lineRule="exact"/>
      <w:ind w:firstLine="480"/>
    </w:pPr>
    <w:rPr>
      <w:rFonts w:ascii="宋体" w:hAnsi="宋体"/>
      <w:sz w:val="24"/>
    </w:rPr>
  </w:style>
  <w:style w:type="character" w:customStyle="1" w:styleId="235">
    <w:name w:val="正文文本缩进 2 Char"/>
    <w:link w:val="234"/>
    <w:qFormat/>
    <w:uiPriority w:val="0"/>
    <w:rPr>
      <w:rFonts w:ascii="宋体" w:hAnsi="宋体" w:eastAsia="宋体" w:cs="Times New Roman"/>
      <w:sz w:val="24"/>
      <w:szCs w:val="24"/>
    </w:rPr>
  </w:style>
  <w:style w:type="paragraph" w:customStyle="1" w:styleId="236">
    <w:name w:val="尾注文本1"/>
    <w:basedOn w:val="1"/>
    <w:link w:val="237"/>
    <w:qFormat/>
    <w:uiPriority w:val="0"/>
    <w:pPr>
      <w:jc w:val="left"/>
    </w:pPr>
    <w:rPr>
      <w:sz w:val="24"/>
    </w:rPr>
  </w:style>
  <w:style w:type="character" w:customStyle="1" w:styleId="237">
    <w:name w:val="尾注文本 Char"/>
    <w:link w:val="236"/>
    <w:qFormat/>
    <w:uiPriority w:val="0"/>
    <w:rPr>
      <w:rFonts w:ascii="Times New Roman" w:hAnsi="Times New Roman" w:eastAsia="宋体" w:cs="Times New Roman"/>
      <w:sz w:val="24"/>
      <w:szCs w:val="24"/>
    </w:rPr>
  </w:style>
  <w:style w:type="paragraph" w:customStyle="1" w:styleId="238">
    <w:name w:val="批注框文本11"/>
    <w:basedOn w:val="1"/>
    <w:link w:val="239"/>
    <w:semiHidden/>
    <w:qFormat/>
    <w:uiPriority w:val="0"/>
    <w:rPr>
      <w:sz w:val="18"/>
      <w:szCs w:val="18"/>
    </w:rPr>
  </w:style>
  <w:style w:type="character" w:customStyle="1" w:styleId="239">
    <w:name w:val="批注框文本 Char"/>
    <w:link w:val="238"/>
    <w:semiHidden/>
    <w:qFormat/>
    <w:uiPriority w:val="0"/>
    <w:rPr>
      <w:rFonts w:ascii="Times New Roman" w:hAnsi="Times New Roman" w:eastAsia="宋体" w:cs="Times New Roman"/>
      <w:sz w:val="18"/>
      <w:szCs w:val="18"/>
    </w:rPr>
  </w:style>
  <w:style w:type="paragraph" w:customStyle="1" w:styleId="240">
    <w:name w:val="页脚1"/>
    <w:basedOn w:val="1"/>
    <w:link w:val="241"/>
    <w:unhideWhenUsed/>
    <w:qFormat/>
    <w:uiPriority w:val="0"/>
    <w:pPr>
      <w:tabs>
        <w:tab w:val="center" w:pos="4153"/>
        <w:tab w:val="right" w:pos="8306"/>
      </w:tabs>
      <w:jc w:val="left"/>
    </w:pPr>
    <w:rPr>
      <w:sz w:val="18"/>
      <w:szCs w:val="18"/>
    </w:rPr>
  </w:style>
  <w:style w:type="character" w:customStyle="1" w:styleId="241">
    <w:name w:val="页脚 Char"/>
    <w:link w:val="240"/>
    <w:qFormat/>
    <w:uiPriority w:val="0"/>
    <w:rPr>
      <w:rFonts w:cs="Times New Roman"/>
      <w:sz w:val="18"/>
      <w:szCs w:val="18"/>
    </w:rPr>
  </w:style>
  <w:style w:type="paragraph" w:customStyle="1" w:styleId="242">
    <w:name w:val="寄信人地址1"/>
    <w:basedOn w:val="1"/>
    <w:qFormat/>
    <w:uiPriority w:val="0"/>
    <w:rPr>
      <w:rFonts w:ascii="Arial" w:hAnsi="Arial"/>
    </w:rPr>
  </w:style>
  <w:style w:type="paragraph" w:customStyle="1" w:styleId="243">
    <w:name w:val="页眉1"/>
    <w:basedOn w:val="1"/>
    <w:link w:val="244"/>
    <w:unhideWhenUsed/>
    <w:qFormat/>
    <w:uiPriority w:val="0"/>
    <w:pPr>
      <w:pBdr>
        <w:bottom w:val="single" w:color="000000" w:sz="6" w:space="1"/>
      </w:pBdr>
      <w:tabs>
        <w:tab w:val="center" w:pos="4153"/>
        <w:tab w:val="right" w:pos="8306"/>
      </w:tabs>
      <w:jc w:val="center"/>
    </w:pPr>
    <w:rPr>
      <w:sz w:val="18"/>
      <w:szCs w:val="18"/>
    </w:rPr>
  </w:style>
  <w:style w:type="character" w:customStyle="1" w:styleId="244">
    <w:name w:val="页眉 Char"/>
    <w:link w:val="243"/>
    <w:qFormat/>
    <w:uiPriority w:val="0"/>
    <w:rPr>
      <w:rFonts w:cs="Times New Roman"/>
      <w:sz w:val="18"/>
      <w:szCs w:val="18"/>
    </w:rPr>
  </w:style>
  <w:style w:type="paragraph" w:customStyle="1" w:styleId="245">
    <w:name w:val="签名1"/>
    <w:basedOn w:val="1"/>
    <w:link w:val="246"/>
    <w:qFormat/>
    <w:uiPriority w:val="0"/>
    <w:pPr>
      <w:spacing w:after="600" w:line="312" w:lineRule="atLeast"/>
      <w:jc w:val="center"/>
    </w:pPr>
    <w:rPr>
      <w:rFonts w:eastAsia="仿宋_GB2312"/>
      <w:sz w:val="20"/>
      <w:szCs w:val="20"/>
    </w:rPr>
  </w:style>
  <w:style w:type="character" w:customStyle="1" w:styleId="246">
    <w:name w:val="签名 Char"/>
    <w:link w:val="245"/>
    <w:qFormat/>
    <w:uiPriority w:val="0"/>
    <w:rPr>
      <w:rFonts w:ascii="Times New Roman" w:hAnsi="Times New Roman" w:eastAsia="仿宋_GB2312" w:cs="Times New Roman"/>
      <w:sz w:val="20"/>
      <w:szCs w:val="20"/>
    </w:rPr>
  </w:style>
  <w:style w:type="paragraph" w:customStyle="1" w:styleId="247">
    <w:name w:val="目录 11"/>
    <w:basedOn w:val="1"/>
    <w:next w:val="1"/>
    <w:semiHidden/>
    <w:qFormat/>
    <w:uiPriority w:val="39"/>
  </w:style>
  <w:style w:type="paragraph" w:customStyle="1" w:styleId="248">
    <w:name w:val="目录 41"/>
    <w:basedOn w:val="1"/>
    <w:next w:val="1"/>
    <w:semiHidden/>
    <w:qFormat/>
    <w:uiPriority w:val="39"/>
    <w:pPr>
      <w:ind w:left="630"/>
      <w:jc w:val="left"/>
    </w:pPr>
    <w:rPr>
      <w:szCs w:val="21"/>
    </w:rPr>
  </w:style>
  <w:style w:type="paragraph" w:customStyle="1" w:styleId="249">
    <w:name w:val="索引标题1"/>
    <w:basedOn w:val="1"/>
    <w:next w:val="250"/>
    <w:semiHidden/>
    <w:qFormat/>
    <w:uiPriority w:val="99"/>
    <w:rPr>
      <w:szCs w:val="20"/>
    </w:rPr>
  </w:style>
  <w:style w:type="paragraph" w:customStyle="1" w:styleId="250">
    <w:name w:val="索引 11"/>
    <w:basedOn w:val="1"/>
    <w:next w:val="1"/>
    <w:semiHidden/>
    <w:qFormat/>
    <w:uiPriority w:val="99"/>
    <w:pPr>
      <w:tabs>
        <w:tab w:val="left" w:pos="1260"/>
      </w:tabs>
      <w:jc w:val="center"/>
    </w:pPr>
    <w:rPr>
      <w:rFonts w:ascii="仿宋_GB2312" w:hAnsi="宋体" w:eastAsia="仿宋_GB2312"/>
      <w:sz w:val="30"/>
      <w:szCs w:val="20"/>
    </w:rPr>
  </w:style>
  <w:style w:type="paragraph" w:customStyle="1" w:styleId="251">
    <w:name w:val="副标题1"/>
    <w:basedOn w:val="1"/>
    <w:next w:val="1"/>
    <w:link w:val="252"/>
    <w:qFormat/>
    <w:uiPriority w:val="0"/>
    <w:pPr>
      <w:widowControl/>
      <w:spacing w:after="600" w:line="276" w:lineRule="auto"/>
      <w:jc w:val="left"/>
    </w:pPr>
    <w:rPr>
      <w:rFonts w:ascii="Cambria" w:hAnsi="Cambria"/>
      <w:i/>
      <w:iCs/>
      <w:spacing w:val="13"/>
      <w:sz w:val="24"/>
      <w:lang w:eastAsia="en-US"/>
    </w:rPr>
  </w:style>
  <w:style w:type="character" w:customStyle="1" w:styleId="252">
    <w:name w:val="副标题 Char"/>
    <w:link w:val="251"/>
    <w:qFormat/>
    <w:uiPriority w:val="0"/>
    <w:rPr>
      <w:rFonts w:ascii="Cambria" w:hAnsi="Cambria" w:eastAsia="宋体" w:cs="Times New Roman"/>
      <w:i/>
      <w:iCs/>
      <w:spacing w:val="13"/>
      <w:sz w:val="24"/>
      <w:szCs w:val="24"/>
      <w:lang w:eastAsia="en-US"/>
    </w:rPr>
  </w:style>
  <w:style w:type="paragraph" w:customStyle="1" w:styleId="253">
    <w:name w:val="列表1"/>
    <w:basedOn w:val="1"/>
    <w:qFormat/>
    <w:uiPriority w:val="99"/>
    <w:pPr>
      <w:ind w:left="200" w:hanging="200"/>
    </w:pPr>
    <w:rPr>
      <w:szCs w:val="21"/>
    </w:rPr>
  </w:style>
  <w:style w:type="paragraph" w:customStyle="1" w:styleId="254">
    <w:name w:val="脚注文本1"/>
    <w:basedOn w:val="185"/>
    <w:next w:val="224"/>
    <w:link w:val="255"/>
    <w:qFormat/>
    <w:uiPriority w:val="0"/>
    <w:pPr>
      <w:jc w:val="left"/>
    </w:pPr>
    <w:rPr>
      <w:sz w:val="18"/>
      <w:szCs w:val="18"/>
    </w:rPr>
  </w:style>
  <w:style w:type="character" w:customStyle="1" w:styleId="255">
    <w:name w:val="脚注文本 Char"/>
    <w:link w:val="254"/>
    <w:qFormat/>
    <w:uiPriority w:val="0"/>
    <w:rPr>
      <w:rFonts w:ascii="Times New Roman" w:hAnsi="Times New Roman" w:eastAsia="宋体" w:cs="Times New Roman"/>
      <w:sz w:val="18"/>
      <w:szCs w:val="18"/>
    </w:rPr>
  </w:style>
  <w:style w:type="paragraph" w:customStyle="1" w:styleId="256">
    <w:name w:val="目录 61"/>
    <w:basedOn w:val="1"/>
    <w:next w:val="1"/>
    <w:semiHidden/>
    <w:qFormat/>
    <w:uiPriority w:val="39"/>
    <w:pPr>
      <w:ind w:left="1050"/>
      <w:jc w:val="left"/>
    </w:pPr>
    <w:rPr>
      <w:szCs w:val="21"/>
    </w:rPr>
  </w:style>
  <w:style w:type="paragraph" w:customStyle="1" w:styleId="257">
    <w:name w:val="正文文本缩进 31"/>
    <w:basedOn w:val="1"/>
    <w:link w:val="258"/>
    <w:qFormat/>
    <w:uiPriority w:val="0"/>
    <w:pPr>
      <w:spacing w:before="120" w:after="120" w:line="264" w:lineRule="auto"/>
      <w:ind w:left="480"/>
    </w:pPr>
    <w:rPr>
      <w:b/>
      <w:bCs/>
      <w:sz w:val="20"/>
      <w:szCs w:val="20"/>
    </w:rPr>
  </w:style>
  <w:style w:type="character" w:customStyle="1" w:styleId="258">
    <w:name w:val="正文文本缩进 3 Char"/>
    <w:link w:val="257"/>
    <w:qFormat/>
    <w:uiPriority w:val="0"/>
    <w:rPr>
      <w:rFonts w:ascii="Times New Roman" w:hAnsi="Times New Roman" w:eastAsia="宋体" w:cs="Times New Roman"/>
      <w:b/>
      <w:bCs/>
      <w:sz w:val="20"/>
      <w:szCs w:val="20"/>
    </w:rPr>
  </w:style>
  <w:style w:type="paragraph" w:customStyle="1" w:styleId="259">
    <w:name w:val="图表目录1"/>
    <w:basedOn w:val="1"/>
    <w:next w:val="1"/>
    <w:semiHidden/>
    <w:qFormat/>
    <w:uiPriority w:val="99"/>
    <w:pPr>
      <w:ind w:left="840" w:hanging="420"/>
    </w:pPr>
    <w:rPr>
      <w:szCs w:val="21"/>
    </w:rPr>
  </w:style>
  <w:style w:type="paragraph" w:customStyle="1" w:styleId="260">
    <w:name w:val="目录 21"/>
    <w:basedOn w:val="1"/>
    <w:next w:val="1"/>
    <w:semiHidden/>
    <w:qFormat/>
    <w:uiPriority w:val="39"/>
    <w:pPr>
      <w:ind w:left="420"/>
    </w:pPr>
  </w:style>
  <w:style w:type="paragraph" w:customStyle="1" w:styleId="261">
    <w:name w:val="目录 91"/>
    <w:basedOn w:val="1"/>
    <w:next w:val="1"/>
    <w:semiHidden/>
    <w:qFormat/>
    <w:uiPriority w:val="39"/>
    <w:pPr>
      <w:ind w:left="1680"/>
      <w:jc w:val="left"/>
    </w:pPr>
    <w:rPr>
      <w:szCs w:val="21"/>
    </w:rPr>
  </w:style>
  <w:style w:type="paragraph" w:customStyle="1" w:styleId="262">
    <w:name w:val="正文文本 211"/>
    <w:basedOn w:val="1"/>
    <w:link w:val="263"/>
    <w:qFormat/>
    <w:uiPriority w:val="0"/>
    <w:pPr>
      <w:jc w:val="center"/>
    </w:pPr>
    <w:rPr>
      <w:b/>
      <w:bCs/>
      <w:sz w:val="20"/>
      <w:szCs w:val="20"/>
    </w:rPr>
  </w:style>
  <w:style w:type="character" w:customStyle="1" w:styleId="263">
    <w:name w:val="正文文本 2 Char"/>
    <w:link w:val="262"/>
    <w:qFormat/>
    <w:uiPriority w:val="0"/>
    <w:rPr>
      <w:rFonts w:ascii="Times New Roman" w:hAnsi="Times New Roman" w:eastAsia="宋体" w:cs="Times New Roman"/>
      <w:b/>
      <w:bCs/>
      <w:sz w:val="20"/>
      <w:szCs w:val="20"/>
    </w:rPr>
  </w:style>
  <w:style w:type="paragraph" w:customStyle="1" w:styleId="264">
    <w:name w:val="HTML 预设格式1"/>
    <w:basedOn w:val="1"/>
    <w:link w:val="26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character" w:customStyle="1" w:styleId="265">
    <w:name w:val="HTML 预设格式 Char"/>
    <w:link w:val="264"/>
    <w:qFormat/>
    <w:uiPriority w:val="0"/>
    <w:rPr>
      <w:rFonts w:ascii="宋体" w:hAnsi="宋体" w:eastAsia="宋体" w:cs="宋体"/>
      <w:sz w:val="24"/>
      <w:szCs w:val="24"/>
    </w:rPr>
  </w:style>
  <w:style w:type="paragraph" w:customStyle="1" w:styleId="266">
    <w:name w:val="普通(网站)1"/>
    <w:basedOn w:val="1"/>
    <w:qFormat/>
    <w:uiPriority w:val="0"/>
    <w:pPr>
      <w:widowControl/>
      <w:spacing w:before="100" w:beforeAutospacing="1" w:after="100" w:afterAutospacing="1"/>
      <w:jc w:val="left"/>
    </w:pPr>
    <w:rPr>
      <w:rFonts w:ascii="宋体" w:hAnsi="宋体" w:cs="宋体"/>
      <w:sz w:val="24"/>
    </w:rPr>
  </w:style>
  <w:style w:type="paragraph" w:customStyle="1" w:styleId="267">
    <w:name w:val="索引 21"/>
    <w:basedOn w:val="1"/>
    <w:next w:val="1"/>
    <w:semiHidden/>
    <w:qFormat/>
    <w:uiPriority w:val="99"/>
    <w:pPr>
      <w:ind w:left="420"/>
      <w:jc w:val="center"/>
    </w:pPr>
    <w:rPr>
      <w:rFonts w:ascii="宋体" w:hAnsi="宋体"/>
      <w:b/>
      <w:sz w:val="32"/>
      <w:szCs w:val="20"/>
    </w:rPr>
  </w:style>
  <w:style w:type="paragraph" w:customStyle="1" w:styleId="268">
    <w:name w:val="标题11"/>
    <w:basedOn w:val="1"/>
    <w:link w:val="269"/>
    <w:qFormat/>
    <w:uiPriority w:val="0"/>
    <w:pPr>
      <w:widowControl/>
      <w:spacing w:line="420" w:lineRule="exact"/>
      <w:jc w:val="center"/>
    </w:pPr>
    <w:rPr>
      <w:rFonts w:eastAsia="黑体"/>
      <w:b/>
      <w:sz w:val="20"/>
      <w:szCs w:val="20"/>
      <w:lang w:val="en-GB"/>
    </w:rPr>
  </w:style>
  <w:style w:type="character" w:customStyle="1" w:styleId="269">
    <w:name w:val="标题 Char"/>
    <w:link w:val="268"/>
    <w:qFormat/>
    <w:uiPriority w:val="0"/>
    <w:rPr>
      <w:rFonts w:ascii="Times New Roman" w:hAnsi="Times New Roman" w:eastAsia="黑体" w:cs="Times New Roman"/>
      <w:b/>
      <w:sz w:val="20"/>
      <w:szCs w:val="20"/>
      <w:lang w:val="en-GB"/>
    </w:rPr>
  </w:style>
  <w:style w:type="paragraph" w:customStyle="1" w:styleId="270">
    <w:name w:val="批注主题11"/>
    <w:basedOn w:val="215"/>
    <w:next w:val="215"/>
    <w:link w:val="271"/>
    <w:semiHidden/>
    <w:qFormat/>
    <w:uiPriority w:val="0"/>
    <w:rPr>
      <w:b/>
      <w:bCs/>
      <w:sz w:val="24"/>
      <w:szCs w:val="24"/>
    </w:rPr>
  </w:style>
  <w:style w:type="character" w:customStyle="1" w:styleId="271">
    <w:name w:val="批注主题 Char"/>
    <w:link w:val="270"/>
    <w:semiHidden/>
    <w:qFormat/>
    <w:uiPriority w:val="0"/>
    <w:rPr>
      <w:rFonts w:ascii="Times New Roman" w:hAnsi="Times New Roman" w:eastAsia="宋体" w:cs="Times New Roman"/>
      <w:b/>
      <w:bCs/>
      <w:sz w:val="24"/>
      <w:szCs w:val="24"/>
    </w:rPr>
  </w:style>
  <w:style w:type="paragraph" w:customStyle="1" w:styleId="272">
    <w:name w:val="正文首行缩进1"/>
    <w:basedOn w:val="190"/>
    <w:link w:val="273"/>
    <w:qFormat/>
    <w:uiPriority w:val="0"/>
    <w:pPr>
      <w:ind w:firstLine="420"/>
    </w:pPr>
  </w:style>
  <w:style w:type="character" w:customStyle="1" w:styleId="273">
    <w:name w:val="正文首行缩进 Char"/>
    <w:link w:val="272"/>
    <w:qFormat/>
    <w:uiPriority w:val="0"/>
  </w:style>
  <w:style w:type="paragraph" w:customStyle="1" w:styleId="274">
    <w:name w:val="正文首行缩进 21"/>
    <w:basedOn w:val="221"/>
    <w:next w:val="1"/>
    <w:link w:val="275"/>
    <w:qFormat/>
    <w:uiPriority w:val="99"/>
    <w:pPr>
      <w:spacing w:after="0" w:line="360" w:lineRule="auto"/>
      <w:ind w:left="0" w:firstLine="420"/>
    </w:pPr>
    <w:rPr>
      <w:rFonts w:ascii="宋体" w:hAnsi="宋体"/>
      <w:sz w:val="20"/>
      <w:szCs w:val="20"/>
    </w:rPr>
  </w:style>
  <w:style w:type="character" w:customStyle="1" w:styleId="275">
    <w:name w:val="正文首行缩进 2 Char"/>
    <w:link w:val="274"/>
    <w:qFormat/>
    <w:uiPriority w:val="99"/>
    <w:rPr>
      <w:rFonts w:ascii="宋体" w:hAnsi="宋体" w:eastAsia="宋体" w:cs="Times New Roman"/>
      <w:sz w:val="20"/>
      <w:szCs w:val="20"/>
    </w:rPr>
  </w:style>
  <w:style w:type="table" w:customStyle="1" w:styleId="276">
    <w:name w:val="网格型1"/>
    <w:basedOn w:val="197"/>
    <w:unhideWhenUsed/>
    <w:qFormat/>
    <w:uiPriority w:val="0"/>
    <w:pPr>
      <w:widowControl w:val="0"/>
      <w:jc w:val="both"/>
    </w:pPr>
    <w:rPr>
      <w:rFonts w:ascii="Times New Roman" w:hAnsi="Times New Roman" w:eastAsia="Times New Roman"/>
      <w:sz w:val="20"/>
      <w:szCs w:val="20"/>
    </w:rPr>
  </w:style>
  <w:style w:type="character" w:customStyle="1" w:styleId="277">
    <w:name w:val="要点1"/>
    <w:basedOn w:val="196"/>
    <w:link w:val="1"/>
    <w:qFormat/>
    <w:uiPriority w:val="0"/>
    <w:rPr>
      <w:b/>
    </w:rPr>
  </w:style>
  <w:style w:type="character" w:customStyle="1" w:styleId="278">
    <w:name w:val="尾注引用1"/>
    <w:link w:val="1"/>
    <w:qFormat/>
    <w:uiPriority w:val="0"/>
    <w:rPr>
      <w:vertAlign w:val="superscript"/>
    </w:rPr>
  </w:style>
  <w:style w:type="character" w:customStyle="1" w:styleId="279">
    <w:name w:val="页码1"/>
    <w:basedOn w:val="196"/>
    <w:link w:val="1"/>
    <w:qFormat/>
    <w:uiPriority w:val="0"/>
    <w:rPr>
      <w:rFonts w:cs="Times New Roman"/>
    </w:rPr>
  </w:style>
  <w:style w:type="character" w:customStyle="1" w:styleId="280">
    <w:name w:val="已访问的超链接11"/>
    <w:link w:val="1"/>
    <w:qFormat/>
    <w:uiPriority w:val="99"/>
    <w:rPr>
      <w:color w:val="800080"/>
      <w:u w:val="none"/>
    </w:rPr>
  </w:style>
  <w:style w:type="character" w:customStyle="1" w:styleId="281">
    <w:name w:val="强调1"/>
    <w:link w:val="1"/>
    <w:qFormat/>
    <w:uiPriority w:val="0"/>
    <w:rPr>
      <w:b/>
      <w:i/>
      <w:spacing w:val="10"/>
      <w:shd w:val="clear" w:color="auto" w:fill="auto"/>
    </w:rPr>
  </w:style>
  <w:style w:type="character" w:customStyle="1" w:styleId="282">
    <w:name w:val="行号1"/>
    <w:link w:val="1"/>
    <w:qFormat/>
    <w:uiPriority w:val="0"/>
    <w:rPr>
      <w:rFonts w:cs="Times New Roman"/>
    </w:rPr>
  </w:style>
  <w:style w:type="character" w:customStyle="1" w:styleId="283">
    <w:name w:val="HTML 打字机1"/>
    <w:link w:val="1"/>
    <w:qFormat/>
    <w:uiPriority w:val="0"/>
    <w:rPr>
      <w:rFonts w:ascii="宋体" w:hAnsi="宋体" w:eastAsia="宋体"/>
      <w:sz w:val="24"/>
    </w:rPr>
  </w:style>
  <w:style w:type="character" w:customStyle="1" w:styleId="284">
    <w:name w:val="HTML 缩写1"/>
    <w:basedOn w:val="196"/>
    <w:link w:val="1"/>
    <w:unhideWhenUsed/>
    <w:qFormat/>
    <w:uiPriority w:val="99"/>
  </w:style>
  <w:style w:type="character" w:customStyle="1" w:styleId="285">
    <w:name w:val="超链接1"/>
    <w:link w:val="1"/>
    <w:qFormat/>
    <w:uiPriority w:val="0"/>
    <w:rPr>
      <w:color w:val="0000FF"/>
      <w:u w:val="none"/>
    </w:rPr>
  </w:style>
  <w:style w:type="character" w:customStyle="1" w:styleId="286">
    <w:name w:val="HTML 代码1"/>
    <w:link w:val="1"/>
    <w:unhideWhenUsed/>
    <w:qFormat/>
    <w:uiPriority w:val="99"/>
    <w:rPr>
      <w:rFonts w:ascii="monospace" w:hAnsi="monospace" w:eastAsia="monospace" w:cs="monospace"/>
      <w:sz w:val="20"/>
    </w:rPr>
  </w:style>
  <w:style w:type="character" w:customStyle="1" w:styleId="287">
    <w:name w:val="批注引用1"/>
    <w:link w:val="1"/>
    <w:qFormat/>
    <w:uiPriority w:val="0"/>
    <w:rPr>
      <w:sz w:val="21"/>
    </w:rPr>
  </w:style>
  <w:style w:type="character" w:customStyle="1" w:styleId="288">
    <w:name w:val="脚注引用1"/>
    <w:link w:val="1"/>
    <w:qFormat/>
    <w:uiPriority w:val="0"/>
    <w:rPr>
      <w:vertAlign w:val="superscript"/>
    </w:rPr>
  </w:style>
  <w:style w:type="character" w:customStyle="1" w:styleId="289">
    <w:name w:val="HTML 键盘1"/>
    <w:link w:val="1"/>
    <w:unhideWhenUsed/>
    <w:qFormat/>
    <w:uiPriority w:val="99"/>
    <w:rPr>
      <w:rFonts w:ascii="monospace" w:hAnsi="monospace" w:eastAsia="monospace" w:cs="monospace"/>
      <w:sz w:val="20"/>
    </w:rPr>
  </w:style>
  <w:style w:type="character" w:customStyle="1" w:styleId="290">
    <w:name w:val="HTML 样本1"/>
    <w:link w:val="1"/>
    <w:qFormat/>
    <w:uiPriority w:val="0"/>
    <w:rPr>
      <w:rFonts w:ascii="Courier New" w:hAnsi="宋体" w:eastAsia="宋体"/>
    </w:rPr>
  </w:style>
  <w:style w:type="character" w:customStyle="1" w:styleId="291">
    <w:name w:val="Intense Quote Char"/>
    <w:link w:val="292"/>
    <w:qFormat/>
    <w:uiPriority w:val="30"/>
    <w:rPr>
      <w:rFonts w:ascii="Calibri" w:hAnsi="Calibri" w:eastAsia="宋体" w:cs="Times New Roman"/>
      <w:b/>
      <w:bCs/>
      <w:i/>
      <w:iCs/>
      <w:sz w:val="22"/>
      <w:lang w:eastAsia="en-US"/>
    </w:rPr>
  </w:style>
  <w:style w:type="paragraph" w:styleId="292">
    <w:name w:val="Intense Quote"/>
    <w:basedOn w:val="1"/>
    <w:next w:val="1"/>
    <w:link w:val="291"/>
    <w:qFormat/>
    <w:uiPriority w:val="30"/>
    <w:pPr>
      <w:widowControl/>
      <w:pBdr>
        <w:bottom w:val="single" w:color="000000" w:sz="4" w:space="1"/>
      </w:pBdr>
      <w:spacing w:before="200" w:after="280" w:line="276" w:lineRule="auto"/>
      <w:ind w:left="1008" w:right="1152"/>
    </w:pPr>
    <w:rPr>
      <w:rFonts w:ascii="Calibri" w:hAnsi="Calibri"/>
      <w:b/>
      <w:bCs/>
      <w:i/>
      <w:iCs/>
      <w:sz w:val="22"/>
      <w:szCs w:val="20"/>
      <w:lang w:eastAsia="en-US"/>
    </w:rPr>
  </w:style>
  <w:style w:type="character" w:customStyle="1" w:styleId="293">
    <w:name w:val="纯文本 Char1"/>
    <w:link w:val="1"/>
    <w:qFormat/>
    <w:uiPriority w:val="0"/>
    <w:rPr>
      <w:rFonts w:ascii="宋体" w:hAnsi="Courier New"/>
      <w:sz w:val="21"/>
    </w:rPr>
  </w:style>
  <w:style w:type="character" w:customStyle="1" w:styleId="294">
    <w:name w:val="Char Char4"/>
    <w:link w:val="1"/>
    <w:qFormat/>
    <w:uiPriority w:val="0"/>
    <w:rPr>
      <w:rFonts w:ascii="方正大黑简体" w:eastAsia="方正大黑简体"/>
      <w:position w:val="6"/>
      <w:sz w:val="30"/>
      <w:lang w:val="en-US" w:eastAsia="zh-CN"/>
    </w:rPr>
  </w:style>
  <w:style w:type="character" w:customStyle="1" w:styleId="295">
    <w:name w:val="正文缩进 Char1"/>
    <w:link w:val="13"/>
    <w:qFormat/>
    <w:uiPriority w:val="0"/>
    <w:rPr>
      <w:rFonts w:eastAsia="宋体"/>
    </w:rPr>
  </w:style>
  <w:style w:type="character" w:customStyle="1" w:styleId="296">
    <w:name w:val=" Char Char17"/>
    <w:link w:val="1"/>
    <w:qFormat/>
    <w:uiPriority w:val="0"/>
    <w:rPr>
      <w:rFonts w:ascii="宋体" w:hAnsi="Courier New"/>
      <w:sz w:val="21"/>
      <w:szCs w:val="21"/>
    </w:rPr>
  </w:style>
  <w:style w:type="character" w:customStyle="1" w:styleId="297">
    <w:name w:val="apple-style-span"/>
    <w:link w:val="1"/>
    <w:qFormat/>
    <w:uiPriority w:val="0"/>
    <w:rPr>
      <w:rFonts w:cs="Times New Roman"/>
    </w:rPr>
  </w:style>
  <w:style w:type="character" w:customStyle="1" w:styleId="298">
    <w:name w:val="Subtle Reference"/>
    <w:link w:val="1"/>
    <w:qFormat/>
    <w:uiPriority w:val="31"/>
    <w:rPr>
      <w:smallCaps/>
    </w:rPr>
  </w:style>
  <w:style w:type="character" w:customStyle="1" w:styleId="299">
    <w:name w:val="Char Char8"/>
    <w:link w:val="1"/>
    <w:qFormat/>
    <w:uiPriority w:val="0"/>
    <w:rPr>
      <w:rFonts w:eastAsia="宋体"/>
      <w:sz w:val="18"/>
      <w:lang w:val="en-US" w:eastAsia="zh-CN"/>
    </w:rPr>
  </w:style>
  <w:style w:type="character" w:customStyle="1" w:styleId="300">
    <w:name w:val="normalfont1"/>
    <w:link w:val="1"/>
    <w:qFormat/>
    <w:uiPriority w:val="0"/>
    <w:rPr>
      <w:rFonts w:ascii="??" w:hAnsi="??"/>
      <w:sz w:val="18"/>
      <w:u w:val="none"/>
    </w:rPr>
  </w:style>
  <w:style w:type="character" w:customStyle="1" w:styleId="301">
    <w:name w:val="subtitle1"/>
    <w:link w:val="1"/>
    <w:qFormat/>
    <w:uiPriority w:val="0"/>
    <w:rPr>
      <w:rFonts w:ascii="Georgia" w:hAnsi="Georgia"/>
      <w:b/>
      <w:color w:val="666666"/>
      <w:sz w:val="18"/>
    </w:rPr>
  </w:style>
  <w:style w:type="character" w:customStyle="1" w:styleId="302">
    <w:name w:val="Book Title"/>
    <w:link w:val="1"/>
    <w:qFormat/>
    <w:uiPriority w:val="33"/>
    <w:rPr>
      <w:i/>
      <w:smallCaps/>
      <w:spacing w:val="5"/>
    </w:rPr>
  </w:style>
  <w:style w:type="character" w:customStyle="1" w:styleId="303">
    <w:name w:val="rvts19"/>
    <w:link w:val="1"/>
    <w:qFormat/>
    <w:uiPriority w:val="0"/>
    <w:rPr>
      <w:rFonts w:ascii="KNLe" w:hAnsi="KNLe"/>
      <w:color w:val="000000"/>
      <w:sz w:val="24"/>
      <w:szCs w:val="24"/>
    </w:rPr>
  </w:style>
  <w:style w:type="character" w:customStyle="1" w:styleId="304">
    <w:name w:val="标准文本 Char"/>
    <w:link w:val="1"/>
    <w:qFormat/>
    <w:uiPriority w:val="0"/>
    <w:rPr>
      <w:rFonts w:eastAsia="宋体"/>
      <w:sz w:val="24"/>
      <w:lang w:val="en-US" w:eastAsia="zh-CN"/>
    </w:rPr>
  </w:style>
  <w:style w:type="character" w:customStyle="1" w:styleId="305">
    <w:name w:val="3zw"/>
    <w:link w:val="1"/>
    <w:qFormat/>
    <w:uiPriority w:val="0"/>
    <w:rPr>
      <w:rFonts w:cs="Times New Roman"/>
    </w:rPr>
  </w:style>
  <w:style w:type="character" w:customStyle="1" w:styleId="306">
    <w:name w:val="Char Char7"/>
    <w:link w:val="1"/>
    <w:qFormat/>
    <w:uiPriority w:val="0"/>
    <w:rPr>
      <w:rFonts w:eastAsia="宋体"/>
      <w:b/>
      <w:sz w:val="24"/>
      <w:lang w:val="en-US" w:eastAsia="zh-CN"/>
    </w:rPr>
  </w:style>
  <w:style w:type="character" w:customStyle="1" w:styleId="307">
    <w:name w:val="引用 Char1"/>
    <w:link w:val="1"/>
    <w:qFormat/>
    <w:uiPriority w:val="29"/>
    <w:rPr>
      <w:i/>
      <w:iCs/>
      <w:color w:val="000000"/>
      <w:sz w:val="21"/>
      <w:szCs w:val="24"/>
    </w:rPr>
  </w:style>
  <w:style w:type="character" w:customStyle="1" w:styleId="308">
    <w:name w:val="Default 字符"/>
    <w:link w:val="309"/>
    <w:qFormat/>
    <w:uiPriority w:val="0"/>
    <w:rPr>
      <w:rFonts w:ascii="宋体"/>
      <w:color w:val="000000"/>
      <w:sz w:val="24"/>
      <w:szCs w:val="24"/>
      <w:lang w:val="en-US" w:eastAsia="zh-CN" w:bidi="ar-SA"/>
    </w:rPr>
  </w:style>
  <w:style w:type="paragraph" w:customStyle="1" w:styleId="309">
    <w:name w:val="Default"/>
    <w:link w:val="308"/>
    <w:qFormat/>
    <w:uiPriority w:val="0"/>
    <w:pPr>
      <w:widowControl w:val="0"/>
    </w:pPr>
    <w:rPr>
      <w:rFonts w:hint="default" w:ascii="宋体" w:hAnsi="Times New Roman" w:eastAsia="宋体" w:cs="Times New Roman"/>
      <w:color w:val="000000"/>
      <w:sz w:val="24"/>
      <w:szCs w:val="24"/>
      <w:lang w:val="en-US" w:eastAsia="zh-CN" w:bidi="ar-SA"/>
    </w:rPr>
  </w:style>
  <w:style w:type="character" w:customStyle="1" w:styleId="310">
    <w:name w:val="Char Char9"/>
    <w:link w:val="1"/>
    <w:qFormat/>
    <w:uiPriority w:val="0"/>
    <w:rPr>
      <w:rFonts w:eastAsia="宋体"/>
      <w:sz w:val="21"/>
      <w:lang w:val="en-US" w:eastAsia="zh-CN"/>
    </w:rPr>
  </w:style>
  <w:style w:type="character" w:customStyle="1" w:styleId="311">
    <w:name w:val="不明显参考"/>
    <w:link w:val="1"/>
    <w:qFormat/>
    <w:uiPriority w:val="0"/>
    <w:rPr>
      <w:color w:val="000000"/>
      <w:sz w:val="21"/>
    </w:rPr>
  </w:style>
  <w:style w:type="character" w:customStyle="1" w:styleId="312">
    <w:name w:val="批注文字 字符"/>
    <w:link w:val="1"/>
    <w:qFormat/>
    <w:uiPriority w:val="99"/>
    <w:rPr>
      <w:rFonts w:ascii="Times New Roman" w:hAnsi="Times New Roman" w:cs="Times New Roman"/>
    </w:rPr>
  </w:style>
  <w:style w:type="character" w:customStyle="1" w:styleId="313">
    <w:name w:val="Char Char34"/>
    <w:link w:val="1"/>
    <w:qFormat/>
    <w:uiPriority w:val="0"/>
    <w:rPr>
      <w:rFonts w:eastAsia="宋体"/>
      <w:b/>
      <w:sz w:val="44"/>
      <w:lang w:val="en-US" w:eastAsia="zh-CN"/>
    </w:rPr>
  </w:style>
  <w:style w:type="character" w:customStyle="1" w:styleId="314">
    <w:name w:val="111111 Char Char"/>
    <w:link w:val="1"/>
    <w:qFormat/>
    <w:uiPriority w:val="0"/>
    <w:rPr>
      <w:rFonts w:ascii="宋体" w:hAnsi="宋体" w:eastAsia="黑体"/>
      <w:b/>
      <w:sz w:val="21"/>
      <w:lang w:val="en-US" w:eastAsia="zh-CN"/>
    </w:rPr>
  </w:style>
  <w:style w:type="character" w:customStyle="1" w:styleId="315">
    <w:name w:val="小四 段落 宋体 Char Char Char Char Char Char Char Char"/>
    <w:link w:val="1"/>
    <w:qFormat/>
    <w:uiPriority w:val="0"/>
    <w:rPr>
      <w:rFonts w:eastAsia="宋体"/>
      <w:sz w:val="24"/>
      <w:lang w:val="en-US" w:eastAsia="zh-CN"/>
    </w:rPr>
  </w:style>
  <w:style w:type="character" w:customStyle="1" w:styleId="316">
    <w:name w:val="style13"/>
    <w:link w:val="1"/>
    <w:qFormat/>
    <w:uiPriority w:val="0"/>
    <w:rPr>
      <w:sz w:val="18"/>
      <w:szCs w:val="18"/>
    </w:rPr>
  </w:style>
  <w:style w:type="character" w:customStyle="1" w:styleId="317">
    <w:name w:val="纯文本 Char Char Char"/>
    <w:link w:val="1"/>
    <w:qFormat/>
    <w:uiPriority w:val="0"/>
    <w:rPr>
      <w:rFonts w:ascii="宋体" w:hAnsi="Courier New" w:eastAsia="宋体"/>
      <w:sz w:val="21"/>
      <w:lang w:val="en-US" w:eastAsia="zh-CN"/>
    </w:rPr>
  </w:style>
  <w:style w:type="character" w:customStyle="1" w:styleId="318">
    <w:name w:val="样式 宋体 小四"/>
    <w:link w:val="1"/>
    <w:qFormat/>
    <w:uiPriority w:val="0"/>
    <w:rPr>
      <w:rFonts w:ascii="宋体" w:eastAsia="宋体"/>
      <w:sz w:val="24"/>
    </w:rPr>
  </w:style>
  <w:style w:type="character" w:customStyle="1" w:styleId="319">
    <w:name w:val="小四 段落 宋体 Char Char Char Char Char Char"/>
    <w:link w:val="1"/>
    <w:qFormat/>
    <w:uiPriority w:val="0"/>
    <w:rPr>
      <w:rFonts w:eastAsia="宋体"/>
      <w:sz w:val="24"/>
      <w:lang w:val="en-US" w:eastAsia="zh-CN"/>
    </w:rPr>
  </w:style>
  <w:style w:type="character" w:customStyle="1" w:styleId="320">
    <w:name w:val="Char Char20"/>
    <w:link w:val="1"/>
    <w:qFormat/>
    <w:uiPriority w:val="0"/>
    <w:rPr>
      <w:rFonts w:ascii="Arial" w:hAnsi="Arial" w:eastAsia="黑体"/>
      <w:sz w:val="21"/>
    </w:rPr>
  </w:style>
  <w:style w:type="character" w:customStyle="1" w:styleId="321">
    <w:name w:val="font5 Char Char"/>
    <w:link w:val="1"/>
    <w:qFormat/>
    <w:uiPriority w:val="0"/>
    <w:rPr>
      <w:rFonts w:ascii="宋体" w:hAnsi="宋体" w:eastAsia="宋体"/>
      <w:sz w:val="28"/>
      <w:lang w:val="en-US" w:eastAsia="zh-CN"/>
    </w:rPr>
  </w:style>
  <w:style w:type="character" w:customStyle="1" w:styleId="322">
    <w:name w:val="A2"/>
    <w:link w:val="1"/>
    <w:qFormat/>
    <w:uiPriority w:val="0"/>
    <w:rPr>
      <w:color w:val="000000"/>
      <w:sz w:val="18"/>
    </w:rPr>
  </w:style>
  <w:style w:type="character" w:customStyle="1" w:styleId="323">
    <w:name w:val="Char Char32"/>
    <w:link w:val="1"/>
    <w:qFormat/>
    <w:uiPriority w:val="0"/>
    <w:rPr>
      <w:rFonts w:eastAsia="宋体"/>
      <w:b/>
      <w:sz w:val="32"/>
      <w:lang w:val="en-US" w:eastAsia="zh-CN"/>
    </w:rPr>
  </w:style>
  <w:style w:type="character" w:customStyle="1" w:styleId="324">
    <w:name w:val=" Char Char26"/>
    <w:link w:val="1"/>
    <w:qFormat/>
    <w:uiPriority w:val="0"/>
    <w:rPr>
      <w:b/>
      <w:bCs/>
      <w:sz w:val="32"/>
      <w:szCs w:val="32"/>
    </w:rPr>
  </w:style>
  <w:style w:type="character" w:customStyle="1" w:styleId="325">
    <w:name w:val="标准文本 Char Char"/>
    <w:link w:val="1"/>
    <w:qFormat/>
    <w:uiPriority w:val="0"/>
    <w:rPr>
      <w:rFonts w:eastAsia="宋体"/>
      <w:sz w:val="24"/>
      <w:lang w:val="en-US" w:eastAsia="zh-CN"/>
    </w:rPr>
  </w:style>
  <w:style w:type="character" w:customStyle="1" w:styleId="326">
    <w:name w:val="小四 段落 宋体 Char Char Char Char Char"/>
    <w:link w:val="1"/>
    <w:qFormat/>
    <w:uiPriority w:val="0"/>
    <w:rPr>
      <w:rFonts w:eastAsia="宋体"/>
      <w:sz w:val="24"/>
      <w:lang w:val="en-US" w:eastAsia="zh-CN"/>
    </w:rPr>
  </w:style>
  <w:style w:type="character" w:customStyle="1" w:styleId="327">
    <w:name w:val="引用 Char"/>
    <w:link w:val="328"/>
    <w:qFormat/>
    <w:uiPriority w:val="0"/>
    <w:rPr>
      <w:rFonts w:ascii="Calibri" w:hAnsi="Calibri" w:eastAsia="宋体"/>
      <w:i/>
      <w:sz w:val="22"/>
      <w:lang w:val="en-US" w:eastAsia="en-US"/>
    </w:rPr>
  </w:style>
  <w:style w:type="paragraph" w:customStyle="1" w:styleId="328">
    <w:name w:val="引用"/>
    <w:basedOn w:val="1"/>
    <w:next w:val="1"/>
    <w:link w:val="327"/>
    <w:qFormat/>
    <w:uiPriority w:val="0"/>
    <w:pPr>
      <w:widowControl/>
      <w:spacing w:before="200" w:line="276" w:lineRule="auto"/>
      <w:ind w:left="360" w:right="360"/>
      <w:jc w:val="left"/>
    </w:pPr>
    <w:rPr>
      <w:rFonts w:ascii="Calibri" w:hAnsi="Calibri"/>
      <w:i/>
      <w:sz w:val="22"/>
      <w:szCs w:val="20"/>
      <w:lang w:eastAsia="en-US"/>
    </w:rPr>
  </w:style>
  <w:style w:type="character" w:customStyle="1" w:styleId="329">
    <w:name w:val="小四 段落 宋体 Char Char Char Char1"/>
    <w:link w:val="1"/>
    <w:qFormat/>
    <w:uiPriority w:val="0"/>
    <w:rPr>
      <w:rFonts w:eastAsia="宋体"/>
      <w:sz w:val="24"/>
      <w:lang w:val="en-US" w:eastAsia="zh-CN"/>
    </w:rPr>
  </w:style>
  <w:style w:type="character" w:customStyle="1" w:styleId="330">
    <w:name w:val="case31"/>
    <w:link w:val="1"/>
    <w:qFormat/>
    <w:uiPriority w:val="0"/>
    <w:rPr>
      <w:sz w:val="21"/>
    </w:rPr>
  </w:style>
  <w:style w:type="character" w:customStyle="1" w:styleId="331">
    <w:name w:val="Char Char17"/>
    <w:link w:val="1"/>
    <w:qFormat/>
    <w:uiPriority w:val="0"/>
    <w:rPr>
      <w:rFonts w:ascii="宋体" w:hAnsi="Courier New"/>
      <w:sz w:val="21"/>
    </w:rPr>
  </w:style>
  <w:style w:type="character" w:customStyle="1" w:styleId="332">
    <w:name w:val="concon"/>
    <w:link w:val="1"/>
    <w:qFormat/>
    <w:uiPriority w:val="0"/>
  </w:style>
  <w:style w:type="character" w:customStyle="1" w:styleId="333">
    <w:name w:val="Char Char27"/>
    <w:link w:val="1"/>
    <w:qFormat/>
    <w:uiPriority w:val="0"/>
    <w:rPr>
      <w:b/>
      <w:sz w:val="44"/>
    </w:rPr>
  </w:style>
  <w:style w:type="character" w:customStyle="1" w:styleId="334">
    <w:name w:val="标题 Char1"/>
    <w:link w:val="1"/>
    <w:qFormat/>
    <w:uiPriority w:val="0"/>
    <w:rPr>
      <w:rFonts w:ascii="Cambria" w:eastAsia="宋体"/>
      <w:b/>
      <w:sz w:val="32"/>
    </w:rPr>
  </w:style>
  <w:style w:type="character" w:customStyle="1" w:styleId="335">
    <w:name w:val="listbenefit"/>
    <w:link w:val="1"/>
    <w:qFormat/>
    <w:uiPriority w:val="0"/>
  </w:style>
  <w:style w:type="character" w:customStyle="1" w:styleId="336">
    <w:name w:val="Char Char18"/>
    <w:link w:val="1"/>
    <w:qFormat/>
    <w:uiPriority w:val="0"/>
    <w:rPr>
      <w:rFonts w:eastAsia="宋体"/>
      <w:b/>
      <w:sz w:val="24"/>
      <w:lang w:val="en-US" w:eastAsia="zh-CN"/>
    </w:rPr>
  </w:style>
  <w:style w:type="character" w:customStyle="1" w:styleId="337">
    <w:name w:val="特点 Char1"/>
    <w:link w:val="1"/>
    <w:qFormat/>
    <w:uiPriority w:val="0"/>
    <w:rPr>
      <w:rFonts w:eastAsia="宋体"/>
      <w:sz w:val="21"/>
      <w:lang w:val="en-US" w:eastAsia="zh-CN"/>
    </w:rPr>
  </w:style>
  <w:style w:type="character" w:customStyle="1" w:styleId="338">
    <w:name w:val="标题 3 Char Char Char Char Char Char Char Char Char Char Char Char Char Char Char Char Char Char Char Char Char Char Char Char Char Char Char Char Char Char Char Char Char Char Char Char Char Char Char Char Char Char Char Char Char Char Char Char Cha Cha"/>
    <w:link w:val="1"/>
    <w:qFormat/>
    <w:uiPriority w:val="0"/>
    <w:rPr>
      <w:rFonts w:eastAsia="宋体"/>
      <w:b/>
      <w:sz w:val="32"/>
      <w:lang w:val="en-US" w:eastAsia="zh-CN"/>
    </w:rPr>
  </w:style>
  <w:style w:type="character" w:customStyle="1" w:styleId="339">
    <w:name w:val="Char Char29"/>
    <w:link w:val="1"/>
    <w:qFormat/>
    <w:uiPriority w:val="0"/>
    <w:rPr>
      <w:rFonts w:ascii="Times New Roman" w:hAnsi="Times New Roman" w:eastAsia="宋体"/>
      <w:b/>
      <w:sz w:val="44"/>
    </w:rPr>
  </w:style>
  <w:style w:type="character" w:customStyle="1" w:styleId="340">
    <w:name w:val="rvts54"/>
    <w:link w:val="1"/>
    <w:qFormat/>
    <w:uiPriority w:val="0"/>
    <w:rPr>
      <w:rFonts w:ascii="Times New Roman" w:hAnsi="Times New Roman" w:cs="Times New Roman"/>
      <w:color w:val="000000"/>
      <w:sz w:val="24"/>
      <w:szCs w:val="24"/>
    </w:rPr>
  </w:style>
  <w:style w:type="character" w:customStyle="1" w:styleId="341">
    <w:name w:val="Char Char30"/>
    <w:link w:val="1"/>
    <w:qFormat/>
    <w:uiPriority w:val="0"/>
    <w:rPr>
      <w:rFonts w:eastAsia="宋体"/>
      <w:b/>
      <w:sz w:val="28"/>
      <w:lang w:val="en-US" w:eastAsia="zh-CN"/>
    </w:rPr>
  </w:style>
  <w:style w:type="character" w:customStyle="1" w:styleId="342">
    <w:name w:val="para_small"/>
    <w:link w:val="1"/>
    <w:qFormat/>
    <w:uiPriority w:val="0"/>
  </w:style>
  <w:style w:type="character" w:customStyle="1" w:styleId="343">
    <w:name w:val="华宇段落1 Char Char Char Char"/>
    <w:link w:val="1"/>
    <w:qFormat/>
    <w:uiPriority w:val="0"/>
    <w:rPr>
      <w:rFonts w:eastAsia="宋体"/>
      <w:sz w:val="24"/>
      <w:lang w:val="en-US" w:eastAsia="zh-CN"/>
    </w:rPr>
  </w:style>
  <w:style w:type="character" w:customStyle="1" w:styleId="344">
    <w:name w:val="样式 非加粗"/>
    <w:link w:val="1"/>
    <w:qFormat/>
    <w:uiPriority w:val="0"/>
    <w:rPr>
      <w:rFonts w:eastAsia="宋体"/>
      <w:sz w:val="28"/>
    </w:rPr>
  </w:style>
  <w:style w:type="character" w:customStyle="1" w:styleId="345">
    <w:name w:val=" Char Char20"/>
    <w:link w:val="1"/>
    <w:qFormat/>
    <w:uiPriority w:val="0"/>
    <w:rPr>
      <w:rFonts w:ascii="Arial" w:hAnsi="Arial" w:eastAsia="黑体"/>
      <w:sz w:val="21"/>
      <w:szCs w:val="21"/>
    </w:rPr>
  </w:style>
  <w:style w:type="character" w:customStyle="1" w:styleId="346">
    <w:name w:val="h Char Char"/>
    <w:link w:val="1"/>
    <w:qFormat/>
    <w:uiPriority w:val="0"/>
    <w:rPr>
      <w:rFonts w:eastAsia="宋体"/>
      <w:sz w:val="18"/>
      <w:lang w:val="en-US" w:eastAsia="zh-CN"/>
    </w:rPr>
  </w:style>
  <w:style w:type="character" w:customStyle="1" w:styleId="347">
    <w:name w:val="Char Char14"/>
    <w:link w:val="1"/>
    <w:qFormat/>
    <w:uiPriority w:val="0"/>
    <w:rPr>
      <w:rFonts w:eastAsia="黑体"/>
      <w:b/>
      <w:sz w:val="28"/>
      <w:lang w:val="en-GB" w:eastAsia="zh-CN"/>
    </w:rPr>
  </w:style>
  <w:style w:type="character" w:customStyle="1" w:styleId="348">
    <w:name w:val="明显引用 Char"/>
    <w:link w:val="349"/>
    <w:qFormat/>
    <w:uiPriority w:val="0"/>
    <w:rPr>
      <w:rFonts w:ascii="Calibri" w:hAnsi="Calibri" w:eastAsia="宋体"/>
      <w:b/>
      <w:i/>
      <w:sz w:val="22"/>
      <w:lang w:val="en-US" w:eastAsia="en-US"/>
    </w:rPr>
  </w:style>
  <w:style w:type="paragraph" w:customStyle="1" w:styleId="349">
    <w:name w:val="明显引用"/>
    <w:basedOn w:val="1"/>
    <w:next w:val="1"/>
    <w:link w:val="348"/>
    <w:qFormat/>
    <w:uiPriority w:val="0"/>
    <w:pPr>
      <w:widowControl/>
      <w:pBdr>
        <w:bottom w:val="single" w:color="000000" w:sz="4" w:space="1"/>
      </w:pBdr>
      <w:spacing w:before="200" w:after="280" w:line="276" w:lineRule="auto"/>
      <w:ind w:left="1008" w:right="1152"/>
    </w:pPr>
    <w:rPr>
      <w:rFonts w:ascii="Calibri" w:hAnsi="Calibri"/>
      <w:b/>
      <w:i/>
      <w:sz w:val="22"/>
      <w:szCs w:val="20"/>
      <w:lang w:eastAsia="en-US"/>
    </w:rPr>
  </w:style>
  <w:style w:type="character" w:customStyle="1" w:styleId="350">
    <w:name w:val="Char Char13"/>
    <w:link w:val="1"/>
    <w:qFormat/>
    <w:uiPriority w:val="0"/>
    <w:rPr>
      <w:rFonts w:ascii="宋体" w:hAnsi="宋体" w:eastAsia="宋体"/>
      <w:sz w:val="24"/>
      <w:lang w:val="en-US" w:eastAsia="zh-CN"/>
    </w:rPr>
  </w:style>
  <w:style w:type="character" w:customStyle="1" w:styleId="351">
    <w:name w:val="param-value"/>
    <w:link w:val="1"/>
    <w:qFormat/>
    <w:uiPriority w:val="0"/>
  </w:style>
  <w:style w:type="character" w:customStyle="1" w:styleId="352">
    <w:name w:val="列出段落 Char"/>
    <w:link w:val="353"/>
    <w:qFormat/>
    <w:uiPriority w:val="0"/>
    <w:rPr>
      <w:rFonts w:cs="宋体"/>
      <w:sz w:val="21"/>
      <w:szCs w:val="22"/>
    </w:rPr>
  </w:style>
  <w:style w:type="paragraph" w:customStyle="1" w:styleId="353">
    <w:name w:val="列出段落1"/>
    <w:basedOn w:val="1"/>
    <w:link w:val="352"/>
    <w:qFormat/>
    <w:uiPriority w:val="0"/>
    <w:pPr>
      <w:ind w:firstLine="200"/>
    </w:pPr>
    <w:rPr>
      <w:szCs w:val="22"/>
    </w:rPr>
  </w:style>
  <w:style w:type="character" w:customStyle="1" w:styleId="354">
    <w:name w:val="style131"/>
    <w:link w:val="1"/>
    <w:qFormat/>
    <w:uiPriority w:val="0"/>
    <w:rPr>
      <w:sz w:val="18"/>
    </w:rPr>
  </w:style>
  <w:style w:type="character" w:customStyle="1" w:styleId="355">
    <w:name w:val="正文 + 宋体 Char"/>
    <w:link w:val="1"/>
    <w:qFormat/>
    <w:uiPriority w:val="0"/>
    <w:rPr>
      <w:rFonts w:eastAsia="宋体"/>
      <w:sz w:val="24"/>
      <w:lang w:val="en-US" w:eastAsia="zh-CN"/>
    </w:rPr>
  </w:style>
  <w:style w:type="character" w:customStyle="1" w:styleId="356">
    <w:name w:val="表格抬头 Char"/>
    <w:link w:val="357"/>
    <w:qFormat/>
    <w:uiPriority w:val="0"/>
    <w:rPr>
      <w:rFonts w:ascii="黑体" w:eastAsia="黑体"/>
      <w:b/>
    </w:rPr>
  </w:style>
  <w:style w:type="paragraph" w:customStyle="1" w:styleId="357">
    <w:name w:val="表格抬头"/>
    <w:basedOn w:val="1"/>
    <w:link w:val="356"/>
    <w:qFormat/>
    <w:uiPriority w:val="0"/>
    <w:pPr>
      <w:jc w:val="center"/>
    </w:pPr>
    <w:rPr>
      <w:rFonts w:ascii="黑体" w:eastAsia="黑体"/>
      <w:b/>
      <w:sz w:val="20"/>
      <w:szCs w:val="20"/>
    </w:rPr>
  </w:style>
  <w:style w:type="character" w:customStyle="1" w:styleId="358">
    <w:name w:val="已访问的超链接1"/>
    <w:link w:val="1"/>
    <w:qFormat/>
    <w:uiPriority w:val="0"/>
    <w:rPr>
      <w:color w:val="000000"/>
      <w:u w:val="none"/>
    </w:rPr>
  </w:style>
  <w:style w:type="character" w:customStyle="1" w:styleId="359">
    <w:name w:val="2nd level Char"/>
    <w:link w:val="1"/>
    <w:qFormat/>
    <w:uiPriority w:val="0"/>
    <w:rPr>
      <w:rFonts w:ascii="Arial" w:hAnsi="Arial" w:eastAsia="黑体"/>
      <w:b/>
      <w:sz w:val="32"/>
      <w:lang w:val="en-US" w:eastAsia="zh-CN"/>
    </w:rPr>
  </w:style>
  <w:style w:type="character" w:customStyle="1" w:styleId="360">
    <w:name w:val="纯文本 Char Char"/>
    <w:link w:val="1"/>
    <w:qFormat/>
    <w:uiPriority w:val="0"/>
    <w:rPr>
      <w:rFonts w:ascii="宋体" w:hAnsi="Courier New" w:eastAsia="宋体"/>
      <w:sz w:val="21"/>
      <w:lang w:val="en-US" w:eastAsia="zh-CN"/>
    </w:rPr>
  </w:style>
  <w:style w:type="character" w:customStyle="1" w:styleId="361">
    <w:name w:val="content_lineheight1"/>
    <w:link w:val="1"/>
    <w:qFormat/>
    <w:uiPriority w:val="0"/>
    <w:rPr>
      <w:rFonts w:cs="Times New Roman"/>
    </w:rPr>
  </w:style>
  <w:style w:type="character" w:customStyle="1" w:styleId="362">
    <w:name w:val=" Char Char29"/>
    <w:link w:val="1"/>
    <w:qFormat/>
    <w:uiPriority w:val="0"/>
    <w:rPr>
      <w:rFonts w:ascii="Times New Roman" w:hAnsi="Times New Roman" w:eastAsia="宋体" w:cs="Times New Roman"/>
      <w:b/>
      <w:bCs/>
      <w:sz w:val="44"/>
      <w:szCs w:val="44"/>
    </w:rPr>
  </w:style>
  <w:style w:type="character" w:customStyle="1" w:styleId="363">
    <w:name w:val="Char Char24"/>
    <w:link w:val="1"/>
    <w:qFormat/>
    <w:uiPriority w:val="0"/>
    <w:rPr>
      <w:b/>
      <w:sz w:val="28"/>
    </w:rPr>
  </w:style>
  <w:style w:type="character" w:customStyle="1" w:styleId="364">
    <w:name w:val="无间隔 Char"/>
    <w:link w:val="1"/>
    <w:qFormat/>
    <w:uiPriority w:val="0"/>
    <w:rPr>
      <w:rFonts w:ascii="Calibri" w:hAnsi="Calibri" w:eastAsia="微软雅黑"/>
      <w:sz w:val="22"/>
      <w:lang w:val="en-US" w:eastAsia="zh-CN"/>
    </w:rPr>
  </w:style>
  <w:style w:type="character" w:customStyle="1" w:styleId="365">
    <w:name w:val="Char Char26"/>
    <w:link w:val="1"/>
    <w:qFormat/>
    <w:uiPriority w:val="0"/>
    <w:rPr>
      <w:b/>
      <w:sz w:val="32"/>
    </w:rPr>
  </w:style>
  <w:style w:type="character" w:customStyle="1" w:styleId="366">
    <w:name w:val="不明显强调"/>
    <w:link w:val="1"/>
    <w:qFormat/>
    <w:uiPriority w:val="0"/>
    <w:rPr>
      <w:i/>
      <w:color w:val="000000"/>
      <w:sz w:val="21"/>
    </w:rPr>
  </w:style>
  <w:style w:type="character" w:customStyle="1" w:styleId="367">
    <w:name w:val="Char Char2"/>
    <w:link w:val="1"/>
    <w:qFormat/>
    <w:uiPriority w:val="0"/>
    <w:rPr>
      <w:rFonts w:ascii="宋体" w:hAnsi="Courier New" w:eastAsia="宋体"/>
      <w:sz w:val="21"/>
      <w:lang w:val="en-US" w:eastAsia="zh-CN"/>
    </w:rPr>
  </w:style>
  <w:style w:type="character" w:customStyle="1" w:styleId="368">
    <w:name w:val="样式 首行缩进:  2 字符 Char Char"/>
    <w:link w:val="1"/>
    <w:qFormat/>
    <w:uiPriority w:val="0"/>
    <w:rPr>
      <w:rFonts w:eastAsia="宋体"/>
      <w:sz w:val="24"/>
      <w:lang w:val="en-US" w:eastAsia="zh-CN"/>
    </w:rPr>
  </w:style>
  <w:style w:type="character" w:customStyle="1" w:styleId="369">
    <w:name w:val="content"/>
    <w:link w:val="1"/>
    <w:qFormat/>
    <w:uiPriority w:val="0"/>
    <w:rPr>
      <w:rFonts w:cs="Times New Roman"/>
    </w:rPr>
  </w:style>
  <w:style w:type="character" w:customStyle="1" w:styleId="370">
    <w:name w:val="Char Char31"/>
    <w:link w:val="1"/>
    <w:qFormat/>
    <w:uiPriority w:val="0"/>
    <w:rPr>
      <w:rFonts w:ascii="Arial" w:hAnsi="Arial" w:eastAsia="黑体"/>
      <w:b/>
      <w:sz w:val="28"/>
      <w:lang w:val="en-US" w:eastAsia="zh-CN"/>
    </w:rPr>
  </w:style>
  <w:style w:type="character" w:customStyle="1" w:styleId="371">
    <w:name w:val="普通文字1 Char"/>
    <w:link w:val="1"/>
    <w:qFormat/>
    <w:uiPriority w:val="0"/>
    <w:rPr>
      <w:rFonts w:ascii="宋体" w:eastAsia="宋体"/>
      <w:sz w:val="21"/>
      <w:lang w:val="en-US" w:eastAsia="zh-CN"/>
    </w:rPr>
  </w:style>
  <w:style w:type="character" w:customStyle="1" w:styleId="372">
    <w:name w:val="标题 3 Char1"/>
    <w:link w:val="1"/>
    <w:qFormat/>
    <w:uiPriority w:val="0"/>
    <w:rPr>
      <w:rFonts w:eastAsia="宋体"/>
      <w:b/>
      <w:sz w:val="32"/>
      <w:lang w:val="en-US" w:eastAsia="zh-CN"/>
    </w:rPr>
  </w:style>
  <w:style w:type="character" w:customStyle="1" w:styleId="373">
    <w:name w:val="Char Char12"/>
    <w:link w:val="1"/>
    <w:qFormat/>
    <w:uiPriority w:val="0"/>
    <w:rPr>
      <w:rFonts w:ascii="Arial" w:hAnsi="Arial" w:eastAsia="黑体"/>
      <w:sz w:val="21"/>
      <w:lang w:val="en-US" w:eastAsia="zh-CN"/>
    </w:rPr>
  </w:style>
  <w:style w:type="character" w:customStyle="1" w:styleId="374">
    <w:name w:val="Char Char3"/>
    <w:link w:val="1"/>
    <w:qFormat/>
    <w:uiPriority w:val="0"/>
    <w:rPr>
      <w:rFonts w:eastAsia="宋体"/>
      <w:sz w:val="18"/>
      <w:lang w:val="en-US" w:eastAsia="zh-CN"/>
    </w:rPr>
  </w:style>
  <w:style w:type="character" w:customStyle="1" w:styleId="375">
    <w:name w:val="Intense Emphasis"/>
    <w:link w:val="1"/>
    <w:qFormat/>
    <w:uiPriority w:val="21"/>
    <w:rPr>
      <w:b/>
    </w:rPr>
  </w:style>
  <w:style w:type="character" w:customStyle="1" w:styleId="376">
    <w:name w:val="明显参考"/>
    <w:link w:val="1"/>
    <w:qFormat/>
    <w:uiPriority w:val="0"/>
    <w:rPr>
      <w:b/>
      <w:color w:val="000000"/>
      <w:sz w:val="21"/>
    </w:rPr>
  </w:style>
  <w:style w:type="character" w:customStyle="1" w:styleId="377">
    <w:name w:val="标题 Char2"/>
    <w:link w:val="1"/>
    <w:qFormat/>
    <w:uiPriority w:val="10"/>
    <w:rPr>
      <w:rFonts w:ascii="Cambria" w:hAnsi="Cambria" w:eastAsia="宋体" w:cs="Times New Roman"/>
      <w:b/>
      <w:bCs/>
      <w:sz w:val="32"/>
      <w:szCs w:val="32"/>
      <w:lang w:val="zh-CN"/>
    </w:rPr>
  </w:style>
  <w:style w:type="character" w:customStyle="1" w:styleId="378">
    <w:name w:val="方案文档 Char Char"/>
    <w:link w:val="1"/>
    <w:qFormat/>
    <w:uiPriority w:val="0"/>
    <w:rPr>
      <w:rFonts w:ascii="宋体" w:hAnsi="宋体" w:eastAsia="宋体"/>
      <w:sz w:val="24"/>
      <w:lang w:val="zh-CN" w:eastAsia="zh-CN"/>
    </w:rPr>
  </w:style>
  <w:style w:type="character" w:customStyle="1" w:styleId="379">
    <w:name w:val="title_emph1"/>
    <w:link w:val="1"/>
    <w:qFormat/>
    <w:uiPriority w:val="0"/>
    <w:rPr>
      <w:rFonts w:ascii="Arial"/>
      <w:b/>
      <w:sz w:val="18"/>
    </w:rPr>
  </w:style>
  <w:style w:type="character" w:customStyle="1" w:styleId="380">
    <w:name w:val="纯文本 Char Char Char1"/>
    <w:link w:val="1"/>
    <w:qFormat/>
    <w:uiPriority w:val="0"/>
    <w:rPr>
      <w:rFonts w:ascii="宋体" w:hAnsi="Courier New" w:eastAsia="宋体"/>
      <w:sz w:val="21"/>
      <w:lang w:val="en-US" w:eastAsia="zh-CN"/>
    </w:rPr>
  </w:style>
  <w:style w:type="character" w:customStyle="1" w:styleId="381">
    <w:name w:val="样式 首行缩进:  2 字符 Char"/>
    <w:link w:val="1"/>
    <w:qFormat/>
    <w:uiPriority w:val="0"/>
    <w:rPr>
      <w:rFonts w:eastAsia="宋体"/>
      <w:sz w:val="24"/>
      <w:lang w:val="en-US" w:eastAsia="zh-CN"/>
    </w:rPr>
  </w:style>
  <w:style w:type="character" w:customStyle="1" w:styleId="382">
    <w:name w:val="ih151"/>
    <w:link w:val="1"/>
    <w:qFormat/>
    <w:uiPriority w:val="0"/>
    <w:rPr>
      <w:color w:val="666666"/>
      <w:sz w:val="18"/>
      <w:u w:val="none"/>
    </w:rPr>
  </w:style>
  <w:style w:type="character" w:customStyle="1" w:styleId="383">
    <w:name w:val="Char Char22"/>
    <w:link w:val="1"/>
    <w:qFormat/>
    <w:uiPriority w:val="0"/>
    <w:rPr>
      <w:b/>
      <w:sz w:val="24"/>
    </w:rPr>
  </w:style>
  <w:style w:type="character" w:customStyle="1" w:styleId="384">
    <w:name w:val="华宇段落1 Char Char"/>
    <w:link w:val="1"/>
    <w:qFormat/>
    <w:uiPriority w:val="0"/>
    <w:rPr>
      <w:rFonts w:eastAsia="宋体"/>
      <w:sz w:val="24"/>
      <w:lang w:val="en-US" w:eastAsia="zh-CN"/>
    </w:rPr>
  </w:style>
  <w:style w:type="character" w:customStyle="1" w:styleId="385">
    <w:name w:val=" Char Char22"/>
    <w:link w:val="1"/>
    <w:qFormat/>
    <w:uiPriority w:val="0"/>
    <w:rPr>
      <w:b/>
      <w:bCs/>
      <w:sz w:val="24"/>
      <w:szCs w:val="24"/>
    </w:rPr>
  </w:style>
  <w:style w:type="character" w:customStyle="1" w:styleId="386">
    <w:name w:val=" Char Char28"/>
    <w:link w:val="1"/>
    <w:qFormat/>
    <w:uiPriority w:val="0"/>
    <w:rPr>
      <w:rFonts w:ascii="Arial" w:hAnsi="Arial" w:eastAsia="黑体" w:cs="Arial"/>
      <w:b/>
      <w:bCs/>
      <w:sz w:val="32"/>
      <w:szCs w:val="32"/>
    </w:rPr>
  </w:style>
  <w:style w:type="character" w:customStyle="1" w:styleId="387">
    <w:name w:val=" Char Char21"/>
    <w:link w:val="1"/>
    <w:qFormat/>
    <w:uiPriority w:val="0"/>
    <w:rPr>
      <w:rFonts w:ascii="Arial" w:hAnsi="Arial" w:eastAsia="黑体"/>
      <w:sz w:val="24"/>
      <w:szCs w:val="24"/>
    </w:rPr>
  </w:style>
  <w:style w:type="character" w:customStyle="1" w:styleId="388">
    <w:name w:val="Char Char25"/>
    <w:link w:val="1"/>
    <w:qFormat/>
    <w:uiPriority w:val="0"/>
    <w:rPr>
      <w:rFonts w:ascii="Arial" w:hAnsi="Arial" w:eastAsia="黑体"/>
      <w:b/>
      <w:sz w:val="28"/>
    </w:rPr>
  </w:style>
  <w:style w:type="character" w:customStyle="1" w:styleId="389">
    <w:name w:val="Char Char23"/>
    <w:link w:val="1"/>
    <w:qFormat/>
    <w:uiPriority w:val="0"/>
    <w:rPr>
      <w:rFonts w:ascii="Arial" w:hAnsi="Arial" w:eastAsia="黑体"/>
      <w:b/>
      <w:sz w:val="24"/>
    </w:rPr>
  </w:style>
  <w:style w:type="character" w:customStyle="1" w:styleId="390">
    <w:name w:val="华宇段落1 Char Char Char"/>
    <w:link w:val="1"/>
    <w:qFormat/>
    <w:uiPriority w:val="0"/>
    <w:rPr>
      <w:rFonts w:eastAsia="宋体"/>
      <w:sz w:val="24"/>
      <w:lang w:val="en-US" w:eastAsia="zh-CN"/>
    </w:rPr>
  </w:style>
  <w:style w:type="character" w:customStyle="1" w:styleId="391">
    <w:name w:val="明显引用 Char1"/>
    <w:link w:val="1"/>
    <w:qFormat/>
    <w:uiPriority w:val="30"/>
    <w:rPr>
      <w:b/>
      <w:bCs/>
      <w:i/>
      <w:iCs/>
      <w:color w:val="4F81BD"/>
      <w:sz w:val="21"/>
      <w:szCs w:val="24"/>
    </w:rPr>
  </w:style>
  <w:style w:type="character" w:customStyle="1" w:styleId="392">
    <w:name w:val="Char Char21"/>
    <w:link w:val="1"/>
    <w:qFormat/>
    <w:uiPriority w:val="0"/>
    <w:rPr>
      <w:rFonts w:ascii="Arial" w:hAnsi="Arial" w:eastAsia="黑体"/>
      <w:sz w:val="24"/>
    </w:rPr>
  </w:style>
  <w:style w:type="character" w:customStyle="1" w:styleId="393">
    <w:name w:val=" Char Char2"/>
    <w:link w:val="1"/>
    <w:qFormat/>
    <w:uiPriority w:val="0"/>
    <w:rPr>
      <w:rFonts w:ascii="宋体" w:hAnsi="Courier New" w:eastAsia="宋体"/>
      <w:sz w:val="21"/>
      <w:szCs w:val="21"/>
      <w:lang w:val="en-US" w:eastAsia="zh-CN" w:bidi="ar-SA"/>
    </w:rPr>
  </w:style>
  <w:style w:type="character" w:customStyle="1" w:styleId="394">
    <w:name w:val="mh-map_new-info"/>
    <w:link w:val="1"/>
    <w:qFormat/>
    <w:uiPriority w:val="0"/>
  </w:style>
  <w:style w:type="character" w:customStyle="1" w:styleId="395">
    <w:name w:val="标准小四 Char Char"/>
    <w:link w:val="1"/>
    <w:qFormat/>
    <w:uiPriority w:val="0"/>
    <w:rPr>
      <w:rFonts w:ascii="Arial" w:hAnsi="Arial" w:eastAsia="宋体"/>
      <w:sz w:val="21"/>
      <w:lang w:val="en-US" w:eastAsia="zh-CN"/>
    </w:rPr>
  </w:style>
  <w:style w:type="character" w:customStyle="1" w:styleId="396">
    <w:name w:val="Char Char33"/>
    <w:link w:val="1"/>
    <w:qFormat/>
    <w:uiPriority w:val="0"/>
    <w:rPr>
      <w:rFonts w:ascii="Arial" w:hAnsi="Arial" w:eastAsia="黑体"/>
      <w:b/>
      <w:sz w:val="32"/>
      <w:lang w:val="en-US" w:eastAsia="zh-CN"/>
    </w:rPr>
  </w:style>
  <w:style w:type="character" w:customStyle="1" w:styleId="397">
    <w:name w:val="Char Char6"/>
    <w:link w:val="1"/>
    <w:qFormat/>
    <w:uiPriority w:val="0"/>
    <w:rPr>
      <w:rFonts w:eastAsia="宋体"/>
      <w:sz w:val="24"/>
      <w:lang w:val="en-US" w:eastAsia="zh-CN"/>
    </w:rPr>
  </w:style>
  <w:style w:type="character" w:customStyle="1" w:styleId="398">
    <w:name w:val="Char Char28"/>
    <w:link w:val="1"/>
    <w:qFormat/>
    <w:uiPriority w:val="0"/>
    <w:rPr>
      <w:rFonts w:ascii="Arial" w:hAnsi="Arial" w:eastAsia="黑体"/>
      <w:b/>
      <w:sz w:val="32"/>
    </w:rPr>
  </w:style>
  <w:style w:type="character" w:customStyle="1" w:styleId="399">
    <w:name w:val="样式 首行缩进:  2 字符 Char Char Char"/>
    <w:link w:val="1"/>
    <w:qFormat/>
    <w:uiPriority w:val="0"/>
    <w:rPr>
      <w:rFonts w:eastAsia="宋体"/>
      <w:sz w:val="24"/>
      <w:lang w:val="en-US" w:eastAsia="zh-CN"/>
    </w:rPr>
  </w:style>
  <w:style w:type="character" w:customStyle="1" w:styleId="400">
    <w:name w:val="明显强调"/>
    <w:link w:val="1"/>
    <w:qFormat/>
    <w:uiPriority w:val="0"/>
    <w:rPr>
      <w:i/>
      <w:color w:val="000000"/>
      <w:sz w:val="21"/>
    </w:rPr>
  </w:style>
  <w:style w:type="character" w:customStyle="1" w:styleId="401">
    <w:name w:val="Intense Reference"/>
    <w:link w:val="1"/>
    <w:qFormat/>
    <w:uiPriority w:val="32"/>
    <w:rPr>
      <w:smallCaps/>
      <w:spacing w:val="5"/>
      <w:u w:val="single"/>
    </w:rPr>
  </w:style>
  <w:style w:type="character" w:customStyle="1" w:styleId="402">
    <w:name w:val="标准文本 Char Char Char"/>
    <w:link w:val="1"/>
    <w:qFormat/>
    <w:uiPriority w:val="0"/>
    <w:rPr>
      <w:rFonts w:eastAsia="宋体"/>
      <w:sz w:val="24"/>
      <w:lang w:val="en-US" w:eastAsia="zh-CN"/>
    </w:rPr>
  </w:style>
  <w:style w:type="character" w:customStyle="1" w:styleId="403">
    <w:name w:val="Char Char5"/>
    <w:link w:val="1"/>
    <w:qFormat/>
    <w:uiPriority w:val="0"/>
    <w:rPr>
      <w:rFonts w:eastAsia="宋体"/>
      <w:sz w:val="24"/>
      <w:lang w:val="en-US" w:eastAsia="zh-CN"/>
    </w:rPr>
  </w:style>
  <w:style w:type="character" w:customStyle="1" w:styleId="404">
    <w:name w:val="Char Char11"/>
    <w:link w:val="1"/>
    <w:qFormat/>
    <w:uiPriority w:val="0"/>
    <w:rPr>
      <w:rFonts w:ascii="宋体" w:hAnsi="宋体" w:eastAsia="宋体"/>
      <w:sz w:val="24"/>
      <w:lang w:val="en-US" w:eastAsia="zh-CN"/>
    </w:rPr>
  </w:style>
  <w:style w:type="character" w:customStyle="1" w:styleId="405">
    <w:name w:val="标准小四 Char Char Char"/>
    <w:link w:val="1"/>
    <w:qFormat/>
    <w:uiPriority w:val="0"/>
    <w:rPr>
      <w:rFonts w:ascii="Arial" w:hAnsi="Arial" w:eastAsia="宋体"/>
      <w:sz w:val="21"/>
      <w:lang w:val="en-US" w:eastAsia="zh-CN"/>
    </w:rPr>
  </w:style>
  <w:style w:type="character" w:customStyle="1" w:styleId="406">
    <w:name w:val=" Char Char27"/>
    <w:link w:val="1"/>
    <w:qFormat/>
    <w:uiPriority w:val="0"/>
    <w:rPr>
      <w:b/>
      <w:bCs/>
      <w:sz w:val="44"/>
      <w:szCs w:val="44"/>
    </w:rPr>
  </w:style>
  <w:style w:type="character" w:customStyle="1" w:styleId="407">
    <w:name w:val="标题 3 Char2"/>
    <w:link w:val="1"/>
    <w:qFormat/>
    <w:uiPriority w:val="0"/>
    <w:rPr>
      <w:rFonts w:ascii="宋体" w:hAnsi="宋体" w:eastAsia="宋体" w:cs="Times New Roman"/>
      <w:b/>
      <w:szCs w:val="21"/>
      <w:shd w:val="clear" w:color="auto" w:fill="FFFFFF"/>
      <w:lang w:val="zh-CN"/>
    </w:rPr>
  </w:style>
  <w:style w:type="character" w:customStyle="1" w:styleId="408">
    <w:name w:val="小四 段落 宋体 Char1"/>
    <w:link w:val="1"/>
    <w:qFormat/>
    <w:uiPriority w:val="0"/>
    <w:rPr>
      <w:rFonts w:eastAsia="宋体"/>
      <w:sz w:val="24"/>
      <w:lang w:val="en-US" w:eastAsia="zh-CN"/>
    </w:rPr>
  </w:style>
  <w:style w:type="character" w:customStyle="1" w:styleId="409">
    <w:name w:val=" Char Char23"/>
    <w:link w:val="1"/>
    <w:qFormat/>
    <w:uiPriority w:val="0"/>
    <w:rPr>
      <w:rFonts w:ascii="Arial" w:hAnsi="Arial" w:eastAsia="黑体"/>
      <w:b/>
      <w:bCs/>
      <w:sz w:val="24"/>
      <w:szCs w:val="24"/>
    </w:rPr>
  </w:style>
  <w:style w:type="character" w:customStyle="1" w:styleId="410">
    <w:name w:val="批注文字 Char1"/>
    <w:link w:val="1"/>
    <w:semiHidden/>
    <w:qFormat/>
    <w:uiPriority w:val="99"/>
    <w:rPr>
      <w:rFonts w:ascii="Times New Roman" w:hAnsi="Times New Roman" w:eastAsia="宋体" w:cs="Times New Roman"/>
      <w:szCs w:val="20"/>
    </w:rPr>
  </w:style>
  <w:style w:type="character" w:customStyle="1" w:styleId="411">
    <w:name w:val="标题 3 Char Char"/>
    <w:link w:val="1"/>
    <w:qFormat/>
    <w:uiPriority w:val="0"/>
    <w:rPr>
      <w:rFonts w:eastAsia="仿宋_GB2312"/>
      <w:b/>
      <w:sz w:val="32"/>
      <w:lang w:val="en-US" w:eastAsia="zh-CN"/>
    </w:rPr>
  </w:style>
  <w:style w:type="character" w:customStyle="1" w:styleId="412">
    <w:name w:val="medium_text1"/>
    <w:link w:val="1"/>
    <w:qFormat/>
    <w:uiPriority w:val="0"/>
    <w:rPr>
      <w:sz w:val="24"/>
    </w:rPr>
  </w:style>
  <w:style w:type="character" w:customStyle="1" w:styleId="413">
    <w:name w:val="Char Char16"/>
    <w:link w:val="1"/>
    <w:qFormat/>
    <w:uiPriority w:val="0"/>
    <w:rPr>
      <w:rFonts w:ascii="Arial" w:hAnsi="Arial" w:eastAsia="黑体"/>
      <w:sz w:val="24"/>
      <w:lang w:val="en-US" w:eastAsia="zh-CN"/>
    </w:rPr>
  </w:style>
  <w:style w:type="character" w:customStyle="1" w:styleId="414">
    <w:name w:val="标题 3 Char Char Char Char Char Char Char Char Char Char Char Char Char Char Char Char Char Char Char Char Char Char Char Char Char Char Char Char Char Char Char Char Char Char Char Char Char Char Char Char Char Char Char Char Char Char Char Char Cha Char"/>
    <w:link w:val="1"/>
    <w:qFormat/>
    <w:uiPriority w:val="0"/>
    <w:rPr>
      <w:rFonts w:eastAsia="宋体"/>
      <w:b/>
      <w:bCs/>
      <w:sz w:val="32"/>
      <w:szCs w:val="32"/>
      <w:lang w:val="en-US" w:eastAsia="zh-CN" w:bidi="ar-SA"/>
    </w:rPr>
  </w:style>
  <w:style w:type="character" w:customStyle="1" w:styleId="415">
    <w:name w:val="Char Char10"/>
    <w:link w:val="1"/>
    <w:qFormat/>
    <w:uiPriority w:val="0"/>
    <w:rPr>
      <w:rFonts w:eastAsia="宋体"/>
      <w:b/>
      <w:sz w:val="24"/>
      <w:lang w:val="en-US" w:eastAsia="zh-CN"/>
    </w:rPr>
  </w:style>
  <w:style w:type="character" w:customStyle="1" w:styleId="416">
    <w:name w:val="小四 段落 宋体 Char Char Char1"/>
    <w:link w:val="1"/>
    <w:qFormat/>
    <w:uiPriority w:val="0"/>
    <w:rPr>
      <w:rFonts w:ascii="宋体" w:hAnsi="宋体" w:eastAsia="宋体"/>
      <w:sz w:val="24"/>
      <w:lang w:val="en-US" w:eastAsia="zh-CN"/>
    </w:rPr>
  </w:style>
  <w:style w:type="character" w:customStyle="1" w:styleId="417">
    <w:name w:val="111111 Char"/>
    <w:link w:val="418"/>
    <w:qFormat/>
    <w:uiPriority w:val="0"/>
    <w:rPr>
      <w:rFonts w:ascii="宋体" w:hAnsi="宋体" w:eastAsia="黑体" w:cs="宋体"/>
      <w:b/>
      <w:bCs/>
      <w:sz w:val="21"/>
      <w:szCs w:val="21"/>
    </w:rPr>
  </w:style>
  <w:style w:type="paragraph" w:customStyle="1" w:styleId="418">
    <w:name w:val="111111"/>
    <w:basedOn w:val="1"/>
    <w:link w:val="417"/>
    <w:qFormat/>
    <w:uiPriority w:val="0"/>
    <w:pPr>
      <w:spacing w:before="120" w:after="120"/>
      <w:jc w:val="center"/>
    </w:pPr>
    <w:rPr>
      <w:rFonts w:ascii="宋体" w:hAnsi="宋体" w:eastAsia="黑体"/>
      <w:b/>
      <w:bCs/>
      <w:szCs w:val="21"/>
    </w:rPr>
  </w:style>
  <w:style w:type="character" w:customStyle="1" w:styleId="419">
    <w:name w:val="书籍标题"/>
    <w:link w:val="1"/>
    <w:qFormat/>
    <w:uiPriority w:val="0"/>
    <w:rPr>
      <w:b/>
      <w:i/>
      <w:sz w:val="21"/>
    </w:rPr>
  </w:style>
  <w:style w:type="character" w:customStyle="1" w:styleId="420">
    <w:name w:val="Char Char15"/>
    <w:link w:val="1"/>
    <w:qFormat/>
    <w:uiPriority w:val="0"/>
    <w:rPr>
      <w:rFonts w:ascii="Arial" w:hAnsi="Arial" w:eastAsia="黑体"/>
      <w:sz w:val="21"/>
      <w:lang w:val="en-US" w:eastAsia="zh-CN"/>
    </w:rPr>
  </w:style>
  <w:style w:type="character" w:customStyle="1" w:styleId="421">
    <w:name w:val=" Char Char25"/>
    <w:link w:val="1"/>
    <w:qFormat/>
    <w:uiPriority w:val="0"/>
    <w:rPr>
      <w:rFonts w:ascii="Arial" w:hAnsi="Arial" w:eastAsia="黑体"/>
      <w:b/>
      <w:sz w:val="28"/>
    </w:rPr>
  </w:style>
  <w:style w:type="character" w:customStyle="1" w:styleId="422">
    <w:name w:val="font31"/>
    <w:link w:val="1"/>
    <w:qFormat/>
    <w:uiPriority w:val="0"/>
    <w:rPr>
      <w:rFonts w:ascii="Arial" w:hAnsi="Arial" w:cs="Arial"/>
      <w:b/>
      <w:color w:val="000000"/>
      <w:sz w:val="22"/>
      <w:szCs w:val="22"/>
      <w:u w:val="none"/>
    </w:rPr>
  </w:style>
  <w:style w:type="character" w:customStyle="1" w:styleId="423">
    <w:name w:val="t1"/>
    <w:link w:val="1"/>
    <w:qFormat/>
    <w:uiPriority w:val="0"/>
  </w:style>
  <w:style w:type="character" w:customStyle="1" w:styleId="424">
    <w:name w:val="Subtle Emphasis"/>
    <w:link w:val="1"/>
    <w:qFormat/>
    <w:uiPriority w:val="19"/>
    <w:rPr>
      <w:i/>
    </w:rPr>
  </w:style>
  <w:style w:type="character" w:customStyle="1" w:styleId="425">
    <w:name w:val="apple-converted-space"/>
    <w:link w:val="1"/>
    <w:qFormat/>
    <w:uiPriority w:val="0"/>
    <w:rPr>
      <w:rFonts w:cs="Times New Roman"/>
    </w:rPr>
  </w:style>
  <w:style w:type="character" w:customStyle="1" w:styleId="426">
    <w:name w:val="point_normal1"/>
    <w:link w:val="1"/>
    <w:qFormat/>
    <w:uiPriority w:val="0"/>
    <w:rPr>
      <w:rFonts w:ascii="Arial" w:hAnsi="Arial" w:cs="Arial"/>
      <w:sz w:val="18"/>
      <w:szCs w:val="18"/>
    </w:rPr>
  </w:style>
  <w:style w:type="character" w:customStyle="1" w:styleId="427">
    <w:name w:val="标准小四 Char"/>
    <w:link w:val="1"/>
    <w:qFormat/>
    <w:uiPriority w:val="0"/>
    <w:rPr>
      <w:rFonts w:ascii="Arial" w:hAnsi="Arial" w:eastAsia="宋体"/>
      <w:sz w:val="21"/>
      <w:lang w:val="en-US" w:eastAsia="zh-CN"/>
    </w:rPr>
  </w:style>
  <w:style w:type="character" w:customStyle="1" w:styleId="428">
    <w:name w:val=" Char Char24"/>
    <w:link w:val="1"/>
    <w:qFormat/>
    <w:uiPriority w:val="0"/>
    <w:rPr>
      <w:b/>
      <w:bCs/>
      <w:sz w:val="28"/>
      <w:szCs w:val="28"/>
    </w:rPr>
  </w:style>
  <w:style w:type="character" w:customStyle="1" w:styleId="429">
    <w:name w:val="Quote Char"/>
    <w:link w:val="430"/>
    <w:qFormat/>
    <w:uiPriority w:val="29"/>
    <w:rPr>
      <w:rFonts w:ascii="Calibri" w:hAnsi="Calibri" w:eastAsia="宋体" w:cs="Times New Roman"/>
      <w:i/>
      <w:iCs/>
      <w:sz w:val="22"/>
      <w:lang w:eastAsia="en-US"/>
    </w:rPr>
  </w:style>
  <w:style w:type="paragraph" w:styleId="430">
    <w:name w:val="Quote"/>
    <w:basedOn w:val="1"/>
    <w:next w:val="1"/>
    <w:link w:val="429"/>
    <w:qFormat/>
    <w:uiPriority w:val="29"/>
    <w:pPr>
      <w:widowControl/>
      <w:spacing w:before="200" w:line="276" w:lineRule="auto"/>
      <w:ind w:left="360" w:right="360"/>
      <w:jc w:val="left"/>
    </w:pPr>
    <w:rPr>
      <w:rFonts w:ascii="Calibri" w:hAnsi="Calibri"/>
      <w:i/>
      <w:iCs/>
      <w:sz w:val="22"/>
      <w:szCs w:val="20"/>
      <w:lang w:eastAsia="en-US"/>
    </w:rPr>
  </w:style>
  <w:style w:type="character" w:customStyle="1" w:styleId="431">
    <w:name w:val="Char Char19"/>
    <w:link w:val="1"/>
    <w:qFormat/>
    <w:uiPriority w:val="0"/>
    <w:rPr>
      <w:rFonts w:ascii="Arial" w:hAnsi="Arial" w:eastAsia="黑体"/>
      <w:b/>
      <w:sz w:val="24"/>
      <w:lang w:val="en-US" w:eastAsia="zh-CN"/>
    </w:rPr>
  </w:style>
  <w:style w:type="character" w:customStyle="1" w:styleId="432">
    <w:name w:val="font51"/>
    <w:link w:val="1"/>
    <w:qFormat/>
    <w:uiPriority w:val="0"/>
    <w:rPr>
      <w:rFonts w:hint="eastAsia" w:ascii="宋体" w:hAnsi="宋体" w:eastAsia="宋体" w:cs="宋体"/>
      <w:color w:val="FF0000"/>
      <w:sz w:val="22"/>
      <w:szCs w:val="22"/>
      <w:u w:val="none"/>
    </w:rPr>
  </w:style>
  <w:style w:type="character" w:customStyle="1" w:styleId="433">
    <w:name w:val="新图表正文 Char Char"/>
    <w:link w:val="434"/>
    <w:qFormat/>
    <w:uiPriority w:val="0"/>
    <w:rPr>
      <w:rFonts w:ascii="宋体" w:hAnsi="宋体"/>
      <w:sz w:val="18"/>
      <w:szCs w:val="21"/>
      <w:lang w:val="en-US" w:eastAsia="zh-CN" w:bidi="ar-SA"/>
    </w:rPr>
  </w:style>
  <w:style w:type="paragraph" w:customStyle="1" w:styleId="434">
    <w:name w:val="新图表正文"/>
    <w:link w:val="433"/>
    <w:qFormat/>
    <w:uiPriority w:val="0"/>
    <w:pPr>
      <w:jc w:val="both"/>
    </w:pPr>
    <w:rPr>
      <w:rFonts w:hint="default" w:ascii="宋体" w:hAnsi="宋体" w:eastAsia="宋体" w:cs="Times New Roman"/>
      <w:sz w:val="18"/>
      <w:szCs w:val="21"/>
      <w:lang w:val="en-US" w:eastAsia="zh-CN" w:bidi="ar-SA"/>
    </w:rPr>
  </w:style>
  <w:style w:type="character" w:customStyle="1" w:styleId="435">
    <w:name w:val="普通文字 Char Char3"/>
    <w:link w:val="1"/>
    <w:qFormat/>
    <w:uiPriority w:val="0"/>
    <w:rPr>
      <w:rFonts w:ascii="宋体" w:hAnsi="Courier New" w:eastAsia="宋体"/>
      <w:sz w:val="21"/>
      <w:lang w:val="en-US" w:eastAsia="zh-CN"/>
    </w:rPr>
  </w:style>
  <w:style w:type="character" w:customStyle="1" w:styleId="436">
    <w:name w:val="小四 段落 宋体 Char Char Char Char Char Char Char"/>
    <w:link w:val="1"/>
    <w:qFormat/>
    <w:uiPriority w:val="0"/>
    <w:rPr>
      <w:rFonts w:eastAsia="宋体"/>
      <w:sz w:val="24"/>
      <w:lang w:val="en-US" w:eastAsia="zh-CN"/>
    </w:rPr>
  </w:style>
  <w:style w:type="character" w:customStyle="1" w:styleId="437">
    <w:name w:val="font21"/>
    <w:link w:val="1"/>
    <w:qFormat/>
    <w:uiPriority w:val="0"/>
    <w:rPr>
      <w:rFonts w:hint="eastAsia" w:ascii="宋体" w:hAnsi="宋体" w:eastAsia="宋体" w:cs="宋体"/>
      <w:b/>
      <w:color w:val="000000"/>
      <w:sz w:val="22"/>
      <w:szCs w:val="22"/>
      <w:u w:val="none"/>
    </w:rPr>
  </w:style>
  <w:style w:type="character" w:customStyle="1" w:styleId="438">
    <w:name w:val="textcontents"/>
    <w:link w:val="1"/>
    <w:qFormat/>
    <w:uiPriority w:val="0"/>
    <w:rPr>
      <w:rFonts w:cs="Times New Roman"/>
    </w:rPr>
  </w:style>
  <w:style w:type="character" w:customStyle="1" w:styleId="439">
    <w:name w:val="Title1 Char"/>
    <w:link w:val="1"/>
    <w:qFormat/>
    <w:uiPriority w:val="0"/>
    <w:rPr>
      <w:rFonts w:eastAsia="宋体"/>
      <w:b/>
      <w:sz w:val="44"/>
      <w:lang w:val="en-US" w:eastAsia="zh-CN"/>
    </w:rPr>
  </w:style>
  <w:style w:type="paragraph" w:customStyle="1" w:styleId="440">
    <w:name w:val="font7"/>
    <w:basedOn w:val="1"/>
    <w:qFormat/>
    <w:uiPriority w:val="0"/>
    <w:pPr>
      <w:widowControl/>
      <w:spacing w:before="100" w:beforeAutospacing="1" w:after="100" w:afterAutospacing="1"/>
      <w:jc w:val="left"/>
    </w:pPr>
    <w:rPr>
      <w:rFonts w:ascii="宋体" w:hAnsi="宋体"/>
      <w:b/>
      <w:bCs/>
      <w:sz w:val="24"/>
    </w:rPr>
  </w:style>
  <w:style w:type="paragraph" w:customStyle="1" w:styleId="441">
    <w:name w:val="Char Char Char1"/>
    <w:basedOn w:val="213"/>
    <w:qFormat/>
    <w:uiPriority w:val="0"/>
    <w:pPr>
      <w:spacing w:line="436" w:lineRule="exact"/>
    </w:pPr>
  </w:style>
  <w:style w:type="paragraph" w:customStyle="1" w:styleId="442">
    <w:name w:val="标题3，章节第三层"/>
    <w:basedOn w:val="1"/>
    <w:next w:val="443"/>
    <w:qFormat/>
    <w:uiPriority w:val="0"/>
    <w:pPr>
      <w:spacing w:before="78" w:line="300" w:lineRule="auto"/>
      <w:outlineLvl w:val="2"/>
    </w:pPr>
    <w:rPr>
      <w:rFonts w:ascii="Arial" w:hAnsi="Arial" w:eastAsia="华文细黑"/>
      <w:sz w:val="30"/>
    </w:rPr>
  </w:style>
  <w:style w:type="paragraph" w:customStyle="1" w:styleId="443">
    <w:name w:val="正文格式"/>
    <w:basedOn w:val="1"/>
    <w:qFormat/>
    <w:uiPriority w:val="0"/>
    <w:pPr>
      <w:widowControl/>
      <w:spacing w:line="360" w:lineRule="auto"/>
      <w:ind w:left="178" w:right="44" w:hanging="178"/>
      <w:jc w:val="left"/>
    </w:pPr>
    <w:rPr>
      <w:rFonts w:ascii="宋体" w:hAnsi="宋体"/>
      <w:bCs/>
      <w:szCs w:val="21"/>
    </w:rPr>
  </w:style>
  <w:style w:type="paragraph" w:customStyle="1" w:styleId="444">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445">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szCs w:val="20"/>
    </w:rPr>
  </w:style>
  <w:style w:type="paragraph" w:customStyle="1" w:styleId="446">
    <w:name w:val="Char1 Char Char Char"/>
    <w:basedOn w:val="1"/>
    <w:qFormat/>
    <w:uiPriority w:val="0"/>
    <w:rPr>
      <w:rFonts w:ascii="Tahoma" w:hAnsi="Tahoma" w:cs="Tahoma"/>
      <w:sz w:val="24"/>
      <w:szCs w:val="20"/>
    </w:rPr>
  </w:style>
  <w:style w:type="paragraph" w:customStyle="1" w:styleId="447">
    <w:name w:val="xl45"/>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448">
    <w:name w:val="Char Char Char Char"/>
    <w:basedOn w:val="213"/>
    <w:qFormat/>
    <w:uiPriority w:val="0"/>
    <w:pPr>
      <w:spacing w:line="360" w:lineRule="auto"/>
    </w:pPr>
    <w:rPr>
      <w:rFonts w:ascii="Tahoma" w:hAnsi="Tahoma"/>
      <w:sz w:val="24"/>
    </w:rPr>
  </w:style>
  <w:style w:type="paragraph" w:customStyle="1" w:styleId="449">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i/>
      <w:iCs/>
      <w:sz w:val="20"/>
      <w:szCs w:val="20"/>
    </w:rPr>
  </w:style>
  <w:style w:type="paragraph" w:customStyle="1" w:styleId="450">
    <w:name w:val="样式3"/>
    <w:basedOn w:val="1"/>
    <w:next w:val="1"/>
    <w:qFormat/>
    <w:uiPriority w:val="0"/>
    <w:pPr>
      <w:spacing w:line="360" w:lineRule="auto"/>
    </w:pPr>
    <w:rPr>
      <w:szCs w:val="20"/>
    </w:rPr>
  </w:style>
  <w:style w:type="paragraph" w:customStyle="1" w:styleId="451">
    <w:name w:val="4"/>
    <w:basedOn w:val="1"/>
    <w:next w:val="257"/>
    <w:qFormat/>
    <w:uiPriority w:val="0"/>
    <w:pPr>
      <w:spacing w:line="360" w:lineRule="auto"/>
      <w:ind w:firstLine="420"/>
    </w:pPr>
    <w:rPr>
      <w:color w:val="FF0000"/>
      <w:sz w:val="24"/>
    </w:rPr>
  </w:style>
  <w:style w:type="paragraph" w:customStyle="1" w:styleId="452">
    <w:name w:val="Body Text 211"/>
    <w:basedOn w:val="1"/>
    <w:qFormat/>
    <w:uiPriority w:val="0"/>
    <w:pPr>
      <w:widowControl/>
      <w:ind w:left="720" w:hanging="720"/>
    </w:pPr>
    <w:rPr>
      <w:sz w:val="24"/>
      <w:szCs w:val="20"/>
      <w:lang w:val="en-GB"/>
    </w:rPr>
  </w:style>
  <w:style w:type="paragraph" w:customStyle="1" w:styleId="453">
    <w:name w:val="项目符号，二级"/>
    <w:basedOn w:val="443"/>
    <w:next w:val="443"/>
    <w:qFormat/>
    <w:uiPriority w:val="0"/>
    <w:pPr>
      <w:tabs>
        <w:tab w:val="left" w:pos="1211"/>
        <w:tab w:val="left" w:pos="1337"/>
      </w:tabs>
      <w:ind w:left="1337" w:right="-27" w:firstLine="480"/>
    </w:pPr>
    <w:rPr>
      <w:bCs w:val="0"/>
      <w:color w:val="000000"/>
      <w:sz w:val="24"/>
      <w:szCs w:val="24"/>
    </w:rPr>
  </w:style>
  <w:style w:type="paragraph" w:customStyle="1" w:styleId="454">
    <w:name w:val="xl4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55">
    <w:name w:val="表格文字"/>
    <w:basedOn w:val="1"/>
    <w:qFormat/>
    <w:uiPriority w:val="0"/>
    <w:pPr>
      <w:spacing w:line="360" w:lineRule="auto"/>
      <w:ind w:firstLine="200"/>
      <w:jc w:val="left"/>
    </w:pPr>
    <w:rPr>
      <w:rFonts w:ascii="Arial" w:hAnsi="Arial" w:eastAsia="Calibri" w:cs="宋体"/>
      <w:sz w:val="24"/>
      <w:szCs w:val="20"/>
      <w:lang w:val="zh-CN"/>
    </w:rPr>
  </w:style>
  <w:style w:type="paragraph" w:customStyle="1" w:styleId="456">
    <w:name w:val="xl52"/>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szCs w:val="20"/>
    </w:rPr>
  </w:style>
  <w:style w:type="paragraph" w:customStyle="1" w:styleId="457">
    <w:name w:val="列出段落2"/>
    <w:basedOn w:val="1"/>
    <w:qFormat/>
    <w:uiPriority w:val="0"/>
    <w:pPr>
      <w:widowControl/>
      <w:ind w:left="720"/>
      <w:jc w:val="left"/>
    </w:pPr>
    <w:rPr>
      <w:rFonts w:ascii="Arial" w:hAnsi="Arial" w:eastAsia="黑体" w:cs="Arial"/>
      <w:sz w:val="24"/>
      <w:lang w:eastAsia="en-US"/>
    </w:rPr>
  </w:style>
  <w:style w:type="paragraph" w:customStyle="1" w:styleId="458">
    <w:name w:val="Char Char Char Char Char"/>
    <w:basedOn w:val="1"/>
    <w:qFormat/>
    <w:uiPriority w:val="0"/>
    <w:rPr>
      <w:rFonts w:ascii="Tahoma" w:hAnsi="Tahoma"/>
      <w:sz w:val="24"/>
      <w:szCs w:val="20"/>
    </w:rPr>
  </w:style>
  <w:style w:type="paragraph" w:customStyle="1" w:styleId="459">
    <w:name w:val="xl49"/>
    <w:basedOn w:val="1"/>
    <w:qFormat/>
    <w:uiPriority w:val="0"/>
    <w:pPr>
      <w:widowControl/>
      <w:pBdr>
        <w:left w:val="single" w:color="000000" w:sz="4" w:space="0"/>
        <w:right w:val="single" w:color="000000" w:sz="4" w:space="0"/>
      </w:pBdr>
      <w:spacing w:before="100" w:beforeAutospacing="1" w:after="100" w:afterAutospacing="1"/>
      <w:jc w:val="center"/>
    </w:pPr>
    <w:rPr>
      <w:b/>
      <w:bCs/>
      <w:sz w:val="20"/>
      <w:szCs w:val="20"/>
    </w:rPr>
  </w:style>
  <w:style w:type="paragraph" w:customStyle="1" w:styleId="460">
    <w:name w:val="table_lines"/>
    <w:basedOn w:val="1"/>
    <w:qFormat/>
    <w:uiPriority w:val="0"/>
    <w:pPr>
      <w:widowControl/>
      <w:jc w:val="left"/>
    </w:pPr>
    <w:rPr>
      <w:sz w:val="20"/>
      <w:szCs w:val="20"/>
      <w:lang w:val="de-DE" w:eastAsia="de-DE"/>
    </w:rPr>
  </w:style>
  <w:style w:type="paragraph" w:customStyle="1" w:styleId="461">
    <w:name w:val="Char Char Char Char Char Char Char Char Char"/>
    <w:basedOn w:val="1"/>
    <w:qFormat/>
    <w:uiPriority w:val="0"/>
    <w:pPr>
      <w:tabs>
        <w:tab w:val="left" w:pos="360"/>
      </w:tabs>
      <w:ind w:left="200" w:hanging="200"/>
    </w:pPr>
    <w:rPr>
      <w:sz w:val="24"/>
    </w:rPr>
  </w:style>
  <w:style w:type="paragraph" w:customStyle="1" w:styleId="462">
    <w:name w:val="二级条标题"/>
    <w:basedOn w:val="1"/>
    <w:next w:val="463"/>
    <w:qFormat/>
    <w:uiPriority w:val="0"/>
    <w:pPr>
      <w:widowControl/>
      <w:tabs>
        <w:tab w:val="left" w:pos="2240"/>
      </w:tabs>
      <w:ind w:hanging="420"/>
      <w:outlineLvl w:val="3"/>
    </w:pPr>
    <w:rPr>
      <w:rFonts w:eastAsia="黑体"/>
      <w:szCs w:val="20"/>
    </w:rPr>
  </w:style>
  <w:style w:type="paragraph" w:customStyle="1" w:styleId="463">
    <w:name w:val="段"/>
    <w:qFormat/>
    <w:uiPriority w:val="0"/>
    <w:pPr>
      <w:ind w:firstLine="200"/>
      <w:jc w:val="both"/>
    </w:pPr>
    <w:rPr>
      <w:rFonts w:hint="default" w:ascii="宋体" w:hAnsi="Times New Roman" w:eastAsia="宋体" w:cs="Times New Roman"/>
      <w:sz w:val="21"/>
      <w:lang w:val="en-US" w:eastAsia="zh-CN" w:bidi="ar-SA"/>
    </w:rPr>
  </w:style>
  <w:style w:type="paragraph" w:customStyle="1" w:styleId="464">
    <w:name w:val="font8"/>
    <w:basedOn w:val="1"/>
    <w:qFormat/>
    <w:uiPriority w:val="0"/>
    <w:pPr>
      <w:widowControl/>
      <w:spacing w:before="100" w:beforeAutospacing="1" w:after="100" w:afterAutospacing="1"/>
      <w:jc w:val="left"/>
    </w:pPr>
    <w:rPr>
      <w:rFonts w:ascii="宋体" w:hAnsi="宋体" w:cs="宋体"/>
      <w:b/>
      <w:bCs/>
      <w:i/>
      <w:iCs/>
      <w:sz w:val="20"/>
      <w:szCs w:val="20"/>
    </w:rPr>
  </w:style>
  <w:style w:type="paragraph" w:customStyle="1" w:styleId="465">
    <w:name w:val="Normal1"/>
    <w:basedOn w:val="1"/>
    <w:qFormat/>
    <w:uiPriority w:val="0"/>
    <w:rPr>
      <w:rFonts w:ascii="Calibri" w:hAnsi="Calibri" w:eastAsia="Calibri" w:cs="宋体"/>
      <w:sz w:val="20"/>
      <w:szCs w:val="20"/>
      <w:lang w:val="zh-CN"/>
    </w:rPr>
  </w:style>
  <w:style w:type="paragraph" w:customStyle="1" w:styleId="466">
    <w:name w:val="默认段落字体 Para Char Char Char Char Char Char Char Char Char1 Char Char Char Char Char Char Char"/>
    <w:basedOn w:val="213"/>
    <w:qFormat/>
    <w:uiPriority w:val="0"/>
    <w:rPr>
      <w:szCs w:val="20"/>
    </w:rPr>
  </w:style>
  <w:style w:type="paragraph" w:customStyle="1" w:styleId="467">
    <w:name w:val="正文文本 New New"/>
    <w:basedOn w:val="1"/>
    <w:qFormat/>
    <w:uiPriority w:val="0"/>
    <w:pPr>
      <w:widowControl/>
      <w:spacing w:before="60" w:after="60" w:line="360" w:lineRule="auto"/>
      <w:ind w:firstLine="200"/>
    </w:pPr>
    <w:rPr>
      <w:rFonts w:eastAsia="华文楷体"/>
      <w:sz w:val="24"/>
    </w:rPr>
  </w:style>
  <w:style w:type="paragraph" w:customStyle="1" w:styleId="468">
    <w:name w:val="华宇段落1 Char"/>
    <w:basedOn w:val="1"/>
    <w:qFormat/>
    <w:uiPriority w:val="0"/>
    <w:pPr>
      <w:spacing w:line="360" w:lineRule="auto"/>
      <w:ind w:firstLine="200"/>
    </w:pPr>
    <w:rPr>
      <w:bCs/>
      <w:sz w:val="24"/>
    </w:rPr>
  </w:style>
  <w:style w:type="paragraph" w:customStyle="1" w:styleId="469">
    <w:name w:val="标准小四"/>
    <w:basedOn w:val="1"/>
    <w:qFormat/>
    <w:uiPriority w:val="0"/>
    <w:pPr>
      <w:spacing w:line="360" w:lineRule="auto"/>
      <w:ind w:firstLine="480"/>
    </w:pPr>
    <w:rPr>
      <w:rFonts w:ascii="Arial" w:hAnsi="Arial"/>
      <w:sz w:val="24"/>
      <w:szCs w:val="21"/>
    </w:rPr>
  </w:style>
  <w:style w:type="paragraph" w:customStyle="1" w:styleId="470">
    <w:name w:val="Item Step in Table"/>
    <w:qFormat/>
    <w:uiPriority w:val="0"/>
    <w:pPr>
      <w:numPr>
        <w:ilvl w:val="0"/>
        <w:numId w:val="1"/>
      </w:numPr>
      <w:tabs>
        <w:tab w:val="left" w:pos="397"/>
      </w:tabs>
      <w:spacing w:before="40" w:after="40"/>
      <w:jc w:val="both"/>
    </w:pPr>
    <w:rPr>
      <w:rFonts w:hint="default" w:ascii="Arial" w:hAnsi="Arial" w:eastAsia="宋体" w:cs="Arial"/>
      <w:sz w:val="18"/>
      <w:szCs w:val="18"/>
      <w:lang w:val="en-US" w:eastAsia="zh-CN" w:bidi="ar-SA"/>
    </w:rPr>
  </w:style>
  <w:style w:type="paragraph" w:customStyle="1" w:styleId="471">
    <w:name w:val="xl43"/>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472">
    <w:name w:val="qw"/>
    <w:qFormat/>
    <w:uiPriority w:val="0"/>
    <w:pPr>
      <w:widowControl w:val="0"/>
      <w:spacing w:line="312" w:lineRule="atLeast"/>
      <w:jc w:val="both"/>
    </w:pPr>
    <w:rPr>
      <w:rFonts w:hint="default" w:ascii="宋体" w:hAnsi="Times New Roman" w:eastAsia="宋体" w:cs="Times New Roman"/>
      <w:sz w:val="24"/>
      <w:lang w:val="en-US" w:eastAsia="zh-CN" w:bidi="ar-SA"/>
    </w:rPr>
  </w:style>
  <w:style w:type="paragraph" w:customStyle="1" w:styleId="473">
    <w:name w:val="font14"/>
    <w:basedOn w:val="1"/>
    <w:qFormat/>
    <w:uiPriority w:val="0"/>
    <w:pPr>
      <w:widowControl/>
      <w:spacing w:before="100" w:beforeAutospacing="1" w:after="100" w:afterAutospacing="1"/>
      <w:jc w:val="left"/>
    </w:pPr>
    <w:rPr>
      <w:sz w:val="36"/>
      <w:szCs w:val="36"/>
    </w:rPr>
  </w:style>
  <w:style w:type="paragraph" w:customStyle="1" w:styleId="474">
    <w:name w:val="font13"/>
    <w:basedOn w:val="1"/>
    <w:qFormat/>
    <w:uiPriority w:val="0"/>
    <w:pPr>
      <w:widowControl/>
      <w:spacing w:before="100" w:beforeAutospacing="1" w:after="100" w:afterAutospacing="1"/>
      <w:jc w:val="left"/>
    </w:pPr>
    <w:rPr>
      <w:i/>
      <w:iCs/>
      <w:sz w:val="36"/>
      <w:szCs w:val="36"/>
    </w:rPr>
  </w:style>
  <w:style w:type="paragraph" w:customStyle="1" w:styleId="475">
    <w:name w:val="flType"/>
    <w:basedOn w:val="476"/>
    <w:qFormat/>
    <w:uiPriority w:val="0"/>
    <w:pPr>
      <w:spacing w:after="284"/>
    </w:pPr>
    <w:rPr>
      <w:rFonts w:eastAsia="宋体"/>
    </w:rPr>
  </w:style>
  <w:style w:type="paragraph" w:customStyle="1" w:styleId="476">
    <w:name w:val="flName"/>
    <w:basedOn w:val="477"/>
    <w:qFormat/>
    <w:uiPriority w:val="0"/>
    <w:pPr>
      <w:spacing w:before="0" w:line="113" w:lineRule="atLeast"/>
    </w:pPr>
  </w:style>
  <w:style w:type="paragraph" w:customStyle="1" w:styleId="477">
    <w:name w:val="flNote"/>
    <w:basedOn w:val="1"/>
    <w:qFormat/>
    <w:uiPriority w:val="0"/>
    <w:pPr>
      <w:spacing w:before="567" w:line="360" w:lineRule="atLeast"/>
      <w:jc w:val="center"/>
    </w:pPr>
    <w:rPr>
      <w:rFonts w:eastAsia="黑体"/>
      <w:b/>
      <w:sz w:val="24"/>
      <w:szCs w:val="20"/>
    </w:rPr>
  </w:style>
  <w:style w:type="paragraph" w:customStyle="1" w:styleId="478">
    <w:name w:val="默认段落字体 Para Char"/>
    <w:basedOn w:val="1"/>
    <w:qFormat/>
    <w:uiPriority w:val="0"/>
    <w:pPr>
      <w:spacing w:line="360" w:lineRule="auto"/>
    </w:pPr>
    <w:rPr>
      <w:sz w:val="24"/>
    </w:rPr>
  </w:style>
  <w:style w:type="paragraph" w:customStyle="1" w:styleId="479">
    <w:name w:val="xl51"/>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szCs w:val="20"/>
    </w:rPr>
  </w:style>
  <w:style w:type="paragraph" w:customStyle="1" w:styleId="480">
    <w:name w:val="项目符号，一级"/>
    <w:basedOn w:val="443"/>
    <w:next w:val="443"/>
    <w:qFormat/>
    <w:uiPriority w:val="0"/>
    <w:pPr>
      <w:tabs>
        <w:tab w:val="left" w:pos="1320"/>
      </w:tabs>
      <w:spacing w:line="240" w:lineRule="atLeast"/>
      <w:ind w:left="376" w:firstLine="0"/>
    </w:pPr>
    <w:rPr>
      <w:bCs w:val="0"/>
      <w:color w:val="000000"/>
      <w:szCs w:val="24"/>
    </w:rPr>
  </w:style>
  <w:style w:type="paragraph" w:customStyle="1" w:styleId="481">
    <w:name w:val="font12"/>
    <w:basedOn w:val="1"/>
    <w:qFormat/>
    <w:uiPriority w:val="0"/>
    <w:pPr>
      <w:widowControl/>
      <w:spacing w:before="100" w:beforeAutospacing="1" w:after="100" w:afterAutospacing="1"/>
      <w:jc w:val="left"/>
    </w:pPr>
    <w:rPr>
      <w:rFonts w:ascii="宋体" w:hAnsi="宋体" w:cs="宋体"/>
      <w:sz w:val="36"/>
      <w:szCs w:val="36"/>
    </w:rPr>
  </w:style>
  <w:style w:type="paragraph" w:customStyle="1" w:styleId="482">
    <w:name w:val=" Char Char Char Char Char Char Char Char Char Char Char Char Char"/>
    <w:basedOn w:val="213"/>
    <w:qFormat/>
    <w:uiPriority w:val="0"/>
    <w:rPr>
      <w:rFonts w:ascii="Tahoma" w:hAnsi="Tahoma"/>
    </w:rPr>
  </w:style>
  <w:style w:type="paragraph" w:customStyle="1" w:styleId="483">
    <w:name w:val="Char Char Char Char Char Char"/>
    <w:basedOn w:val="1"/>
    <w:qFormat/>
    <w:uiPriority w:val="0"/>
    <w:rPr>
      <w:rFonts w:ascii="Tahoma" w:hAnsi="Tahoma" w:eastAsia="Calibri" w:cs="Tahoma"/>
      <w:sz w:val="24"/>
      <w:szCs w:val="20"/>
      <w:lang w:val="zh-CN"/>
    </w:rPr>
  </w:style>
  <w:style w:type="paragraph" w:customStyle="1" w:styleId="484">
    <w:name w:val="Char2 Char Char Char Char Char Char1"/>
    <w:basedOn w:val="1"/>
    <w:qFormat/>
    <w:uiPriority w:val="0"/>
    <w:pPr>
      <w:keepNext/>
      <w:widowControl/>
      <w:tabs>
        <w:tab w:val="left" w:pos="425"/>
      </w:tabs>
      <w:spacing w:before="80" w:after="80"/>
      <w:ind w:hanging="425"/>
    </w:pPr>
    <w:rPr>
      <w:rFonts w:ascii="Arial" w:hAnsi="Arial" w:cs="Arial"/>
      <w:sz w:val="20"/>
      <w:szCs w:val="20"/>
    </w:rPr>
  </w:style>
  <w:style w:type="paragraph" w:customStyle="1" w:styleId="485">
    <w:name w:val="章标题"/>
    <w:next w:val="463"/>
    <w:qFormat/>
    <w:uiPriority w:val="0"/>
    <w:pPr>
      <w:jc w:val="both"/>
      <w:outlineLvl w:val="1"/>
    </w:pPr>
    <w:rPr>
      <w:rFonts w:hint="default" w:ascii="Times New Roman" w:hAnsi="Times New Roman" w:eastAsia="黑体" w:cs="Times New Roman"/>
      <w:sz w:val="21"/>
      <w:lang w:val="en-US" w:eastAsia="zh-CN" w:bidi="ar-SA"/>
    </w:rPr>
  </w:style>
  <w:style w:type="paragraph" w:customStyle="1" w:styleId="486">
    <w:name w:val="表格内文字"/>
    <w:basedOn w:val="1"/>
    <w:qFormat/>
    <w:uiPriority w:val="0"/>
    <w:pPr>
      <w:spacing w:line="300" w:lineRule="atLeast"/>
    </w:pPr>
    <w:rPr>
      <w:sz w:val="18"/>
    </w:rPr>
  </w:style>
  <w:style w:type="paragraph" w:customStyle="1" w:styleId="487">
    <w:name w:val="_Style 42"/>
    <w:basedOn w:val="1"/>
    <w:next w:val="190"/>
    <w:qFormat/>
    <w:uiPriority w:val="0"/>
    <w:rPr>
      <w:rFonts w:ascii="楷体_GB2312" w:hAnsi="Arial" w:eastAsia="楷体_GB2312" w:cs="宋体"/>
      <w:sz w:val="28"/>
      <w:szCs w:val="20"/>
      <w:lang w:val="zh-CN"/>
    </w:rPr>
  </w:style>
  <w:style w:type="paragraph" w:customStyle="1" w:styleId="488">
    <w:name w:val="_Style 283"/>
    <w:next w:val="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89">
    <w:name w:val=" Char Char Char Char Char Char Char Char Char Char Char"/>
    <w:basedOn w:val="1"/>
    <w:qFormat/>
    <w:uiPriority w:val="0"/>
    <w:rPr>
      <w:rFonts w:ascii="Tahoma" w:hAnsi="Tahoma" w:eastAsia="Calibri" w:cs="宋体"/>
      <w:sz w:val="24"/>
      <w:szCs w:val="20"/>
      <w:lang w:val="zh-CN"/>
    </w:rPr>
  </w:style>
  <w:style w:type="paragraph" w:customStyle="1" w:styleId="490">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491">
    <w:name w:val=" Char1 Char Char Char"/>
    <w:basedOn w:val="1"/>
    <w:qFormat/>
    <w:uiPriority w:val="0"/>
    <w:rPr>
      <w:rFonts w:ascii="Tahoma" w:hAnsi="Tahoma" w:eastAsia="Calibri" w:cs="宋体"/>
      <w:sz w:val="24"/>
      <w:szCs w:val="20"/>
      <w:lang w:val="zh-CN"/>
    </w:rPr>
  </w:style>
  <w:style w:type="paragraph" w:customStyle="1" w:styleId="492">
    <w:name w:val="xl5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sz w:val="20"/>
      <w:szCs w:val="20"/>
    </w:rPr>
  </w:style>
  <w:style w:type="paragraph" w:customStyle="1" w:styleId="493">
    <w:name w:val="xl61"/>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szCs w:val="20"/>
    </w:rPr>
  </w:style>
  <w:style w:type="paragraph" w:customStyle="1" w:styleId="494">
    <w:name w:val="标题2，章节第二层"/>
    <w:basedOn w:val="1"/>
    <w:next w:val="443"/>
    <w:qFormat/>
    <w:uiPriority w:val="0"/>
    <w:pPr>
      <w:tabs>
        <w:tab w:val="left" w:pos="630"/>
        <w:tab w:val="left" w:pos="992"/>
      </w:tabs>
      <w:spacing w:line="300" w:lineRule="auto"/>
      <w:ind w:left="992" w:hanging="567"/>
      <w:outlineLvl w:val="1"/>
    </w:pPr>
    <w:rPr>
      <w:rFonts w:ascii="Arial" w:hAnsi="Arial" w:eastAsia="黑体"/>
      <w:sz w:val="32"/>
    </w:rPr>
  </w:style>
  <w:style w:type="paragraph" w:customStyle="1" w:styleId="495">
    <w:name w:val="样式 加点正文 + 段前: 0.5 行 段后: 0.5 行1"/>
    <w:basedOn w:val="1"/>
    <w:qFormat/>
    <w:uiPriority w:val="0"/>
    <w:pPr>
      <w:tabs>
        <w:tab w:val="left" w:pos="1268"/>
      </w:tabs>
      <w:spacing w:line="300" w:lineRule="auto"/>
      <w:ind w:left="1268" w:hanging="420"/>
    </w:pPr>
    <w:rPr>
      <w:sz w:val="24"/>
      <w:szCs w:val="20"/>
    </w:rPr>
  </w:style>
  <w:style w:type="paragraph" w:customStyle="1" w:styleId="496">
    <w:name w:val="标题6"/>
    <w:basedOn w:val="191"/>
    <w:qFormat/>
    <w:uiPriority w:val="0"/>
    <w:pPr>
      <w:numPr>
        <w:ilvl w:val="0"/>
        <w:numId w:val="2"/>
      </w:numPr>
      <w:tabs>
        <w:tab w:val="left" w:pos="420"/>
      </w:tabs>
      <w:spacing w:before="156" w:after="156" w:line="240" w:lineRule="auto"/>
    </w:pPr>
    <w:rPr>
      <w:rFonts w:eastAsia="黑体"/>
      <w:b w:val="0"/>
      <w:sz w:val="24"/>
      <w:lang w:val="en-US" w:eastAsia="zh-CN"/>
    </w:rPr>
  </w:style>
  <w:style w:type="paragraph" w:styleId="497">
    <w:name w:val="No Spacing"/>
    <w:qFormat/>
    <w:uiPriority w:val="0"/>
    <w:pPr>
      <w:widowControl w:val="0"/>
      <w:jc w:val="both"/>
    </w:pPr>
    <w:rPr>
      <w:rFonts w:hint="default" w:ascii="Times New Roman" w:hAnsi="Times New Roman" w:eastAsia="微软雅黑" w:cs="Times New Roman"/>
      <w:sz w:val="24"/>
      <w:szCs w:val="22"/>
      <w:lang w:val="en-US" w:eastAsia="zh-CN" w:bidi="ar-SA"/>
    </w:rPr>
  </w:style>
  <w:style w:type="paragraph" w:customStyle="1" w:styleId="498">
    <w:name w:val="我的正文"/>
    <w:basedOn w:val="1"/>
    <w:qFormat/>
    <w:uiPriority w:val="0"/>
    <w:pPr>
      <w:widowControl/>
      <w:spacing w:line="360" w:lineRule="auto"/>
      <w:ind w:firstLine="420"/>
      <w:jc w:val="left"/>
    </w:pPr>
    <w:rPr>
      <w:rFonts w:ascii="宋体" w:hAnsi="宋体" w:cs="宋体"/>
      <w:szCs w:val="21"/>
    </w:rPr>
  </w:style>
  <w:style w:type="paragraph" w:customStyle="1" w:styleId="499">
    <w:name w:val="xl54"/>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cs="宋体"/>
      <w:b/>
      <w:bCs/>
      <w:sz w:val="20"/>
      <w:szCs w:val="20"/>
    </w:rPr>
  </w:style>
  <w:style w:type="paragraph" w:customStyle="1" w:styleId="500">
    <w:name w:val="正文 首行缩进:  2 字符 Char"/>
    <w:basedOn w:val="1"/>
    <w:qFormat/>
    <w:uiPriority w:val="0"/>
    <w:pPr>
      <w:spacing w:line="360" w:lineRule="auto"/>
      <w:ind w:firstLine="480"/>
    </w:pPr>
    <w:rPr>
      <w:rFonts w:cs="宋体"/>
      <w:sz w:val="24"/>
      <w:szCs w:val="20"/>
    </w:rPr>
  </w:style>
  <w:style w:type="paragraph" w:customStyle="1" w:styleId="501">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502">
    <w:name w:val="修订"/>
    <w:unhideWhenUsed/>
    <w:qFormat/>
    <w:uiPriority w:val="0"/>
    <w:rPr>
      <w:rFonts w:hint="default" w:ascii="Times New Roman" w:hAnsi="Times New Roman" w:eastAsia="宋体" w:cs="Times New Roman"/>
      <w:sz w:val="21"/>
      <w:szCs w:val="24"/>
      <w:lang w:val="en-US" w:eastAsia="zh-CN" w:bidi="ar-SA"/>
    </w:rPr>
  </w:style>
  <w:style w:type="paragraph" w:customStyle="1" w:styleId="503">
    <w:name w:val="样式 样式 标题 3H3sect1.2.3BOD 0Heading 3 - oldh3l3CTLevel 3 Head... +..."/>
    <w:basedOn w:val="1"/>
    <w:qFormat/>
    <w:uiPriority w:val="0"/>
    <w:pPr>
      <w:keepNext/>
      <w:keepLines/>
      <w:jc w:val="left"/>
      <w:outlineLvl w:val="2"/>
    </w:pPr>
    <w:rPr>
      <w:rFonts w:cs="宋体"/>
      <w:b/>
      <w:bCs/>
      <w:sz w:val="24"/>
      <w:szCs w:val="20"/>
    </w:rPr>
  </w:style>
  <w:style w:type="paragraph" w:customStyle="1" w:styleId="504">
    <w:name w:val="CM16"/>
    <w:basedOn w:val="309"/>
    <w:next w:val="309"/>
    <w:qFormat/>
    <w:uiPriority w:val="99"/>
    <w:rPr>
      <w:rFonts w:ascii="Arial" w:hAnsi="Arial" w:cs="Arial"/>
      <w:color w:val="000000"/>
    </w:rPr>
  </w:style>
  <w:style w:type="paragraph" w:customStyle="1" w:styleId="505">
    <w:name w:val="xl46"/>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506">
    <w:name w:val="正文 首行缩进:  2 字符 Char Char"/>
    <w:basedOn w:val="1"/>
    <w:qFormat/>
    <w:uiPriority w:val="0"/>
    <w:pPr>
      <w:spacing w:line="360" w:lineRule="auto"/>
      <w:ind w:firstLine="480"/>
    </w:pPr>
    <w:rPr>
      <w:rFonts w:ascii="楷体_GB2312" w:eastAsia="楷体_GB2312"/>
      <w:bCs/>
      <w:sz w:val="24"/>
    </w:rPr>
  </w:style>
  <w:style w:type="paragraph" w:customStyle="1" w:styleId="507">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508">
    <w:name w:val="普通 (Web)"/>
    <w:basedOn w:val="1"/>
    <w:qFormat/>
    <w:uiPriority w:val="0"/>
    <w:pPr>
      <w:widowControl/>
      <w:spacing w:before="100" w:beforeAutospacing="1" w:after="100" w:afterAutospacing="1"/>
      <w:jc w:val="left"/>
    </w:pPr>
    <w:rPr>
      <w:rFonts w:ascii="宋体" w:hAnsi="宋体"/>
      <w:sz w:val="24"/>
    </w:rPr>
  </w:style>
  <w:style w:type="paragraph" w:customStyle="1" w:styleId="509">
    <w:name w:val="无间隔"/>
    <w:qFormat/>
    <w:uiPriority w:val="0"/>
    <w:rPr>
      <w:rFonts w:hint="default" w:ascii="Times New Roman" w:hAnsi="Times New Roman" w:eastAsia="宋体" w:cs="Times New Roman"/>
      <w:sz w:val="22"/>
      <w:szCs w:val="22"/>
      <w:lang w:val="en-US" w:eastAsia="zh-CN" w:bidi="ar-SA"/>
    </w:rPr>
  </w:style>
  <w:style w:type="paragraph" w:customStyle="1" w:styleId="510">
    <w:name w:val="正文lzq"/>
    <w:basedOn w:val="1"/>
    <w:qFormat/>
    <w:uiPriority w:val="0"/>
    <w:pPr>
      <w:spacing w:line="360" w:lineRule="auto"/>
      <w:ind w:firstLine="480"/>
    </w:pPr>
    <w:rPr>
      <w:sz w:val="24"/>
      <w:szCs w:val="20"/>
    </w:rPr>
  </w:style>
  <w:style w:type="paragraph" w:customStyle="1" w:styleId="511">
    <w:name w:val="中等深浅网格 1 - 强调文字颜色 21"/>
    <w:basedOn w:val="1"/>
    <w:qFormat/>
    <w:uiPriority w:val="0"/>
    <w:pPr>
      <w:ind w:firstLine="420"/>
    </w:pPr>
    <w:rPr>
      <w:rFonts w:ascii="Calibri" w:hAnsi="Calibri" w:eastAsia="Calibri" w:cs="宋体"/>
      <w:sz w:val="20"/>
      <w:szCs w:val="22"/>
      <w:lang w:val="zh-CN"/>
    </w:rPr>
  </w:style>
  <w:style w:type="paragraph" w:customStyle="1" w:styleId="512">
    <w:name w:val="马刚标题4"/>
    <w:basedOn w:val="513"/>
    <w:next w:val="1"/>
    <w:qFormat/>
    <w:uiPriority w:val="0"/>
    <w:pPr>
      <w:tabs>
        <w:tab w:val="left" w:pos="567"/>
        <w:tab w:val="left" w:pos="735"/>
        <w:tab w:val="left" w:pos="1050"/>
      </w:tabs>
      <w:spacing w:before="100" w:after="40"/>
      <w:outlineLvl w:val="3"/>
    </w:pPr>
    <w:rPr>
      <w:b w:val="0"/>
    </w:rPr>
  </w:style>
  <w:style w:type="paragraph" w:customStyle="1" w:styleId="513">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szCs w:val="20"/>
    </w:rPr>
  </w:style>
  <w:style w:type="paragraph" w:customStyle="1" w:styleId="514">
    <w:name w:val="插图"/>
    <w:basedOn w:val="1"/>
    <w:qFormat/>
    <w:uiPriority w:val="0"/>
    <w:pPr>
      <w:tabs>
        <w:tab w:val="left" w:pos="1620"/>
      </w:tabs>
      <w:jc w:val="center"/>
    </w:pPr>
    <w:rPr>
      <w:bCs/>
      <w:color w:val="000000"/>
      <w:szCs w:val="22"/>
    </w:rPr>
  </w:style>
  <w:style w:type="paragraph" w:customStyle="1" w:styleId="515">
    <w:name w:val="Char Char1 Char Char2 Char Char"/>
    <w:basedOn w:val="1"/>
    <w:qFormat/>
    <w:uiPriority w:val="0"/>
    <w:pPr>
      <w:widowControl/>
      <w:spacing w:after="160" w:line="240" w:lineRule="exact"/>
      <w:jc w:val="left"/>
    </w:pPr>
  </w:style>
  <w:style w:type="paragraph" w:customStyle="1" w:styleId="516">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sz w:val="20"/>
      <w:szCs w:val="20"/>
    </w:rPr>
  </w:style>
  <w:style w:type="paragraph" w:customStyle="1" w:styleId="517">
    <w:name w:val="Char Char1 Char Char Char Char Char Char Char"/>
    <w:basedOn w:val="1"/>
    <w:qFormat/>
    <w:uiPriority w:val="0"/>
    <w:rPr>
      <w:rFonts w:ascii="Tahoma" w:hAnsi="Tahoma" w:cs="Tahoma"/>
      <w:sz w:val="24"/>
      <w:szCs w:val="20"/>
    </w:rPr>
  </w:style>
  <w:style w:type="paragraph" w:customStyle="1" w:styleId="518">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20"/>
      <w:szCs w:val="20"/>
    </w:rPr>
  </w:style>
  <w:style w:type="paragraph" w:customStyle="1" w:styleId="519">
    <w:name w:val="Char Char1"/>
    <w:basedOn w:val="1"/>
    <w:qFormat/>
    <w:uiPriority w:val="0"/>
    <w:rPr>
      <w:rFonts w:ascii="Tahoma" w:hAnsi="Tahoma"/>
      <w:sz w:val="24"/>
      <w:szCs w:val="20"/>
    </w:rPr>
  </w:style>
  <w:style w:type="paragraph" w:customStyle="1" w:styleId="520">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521">
    <w:name w:val="p0"/>
    <w:basedOn w:val="1"/>
    <w:qFormat/>
    <w:uiPriority w:val="0"/>
    <w:pPr>
      <w:widowControl/>
      <w:spacing w:before="100" w:beforeAutospacing="1" w:after="100" w:afterAutospacing="1"/>
      <w:jc w:val="left"/>
    </w:pPr>
    <w:rPr>
      <w:rFonts w:ascii="宋体" w:hAnsi="宋体" w:cs="宋体"/>
      <w:sz w:val="24"/>
    </w:rPr>
  </w:style>
  <w:style w:type="paragraph" w:customStyle="1" w:styleId="522">
    <w:name w:val="符号与编号 Char"/>
    <w:basedOn w:val="1"/>
    <w:qFormat/>
    <w:uiPriority w:val="0"/>
    <w:pPr>
      <w:tabs>
        <w:tab w:val="left" w:pos="720"/>
      </w:tabs>
      <w:spacing w:line="400" w:lineRule="atLeast"/>
      <w:ind w:left="720"/>
    </w:pPr>
    <w:rPr>
      <w:sz w:val="24"/>
    </w:rPr>
  </w:style>
  <w:style w:type="paragraph" w:customStyle="1" w:styleId="523">
    <w:name w:val="正文--wdh"/>
    <w:basedOn w:val="1"/>
    <w:qFormat/>
    <w:uiPriority w:val="0"/>
    <w:pPr>
      <w:spacing w:line="360" w:lineRule="auto"/>
    </w:pPr>
    <w:rPr>
      <w:sz w:val="24"/>
    </w:rPr>
  </w:style>
  <w:style w:type="paragraph" w:customStyle="1" w:styleId="524">
    <w:name w:val="Char Char1 Char Char Char Char1 Char Char Char Char Char Char"/>
    <w:basedOn w:val="1"/>
    <w:qFormat/>
    <w:uiPriority w:val="0"/>
    <w:rPr>
      <w:rFonts w:ascii="Tahoma" w:hAnsi="Tahoma"/>
      <w:sz w:val="24"/>
      <w:szCs w:val="20"/>
    </w:rPr>
  </w:style>
  <w:style w:type="paragraph" w:customStyle="1" w:styleId="525">
    <w:name w:val="正文 + Arial Char"/>
    <w:basedOn w:val="1"/>
    <w:qFormat/>
    <w:uiPriority w:val="0"/>
    <w:pPr>
      <w:widowControl/>
      <w:tabs>
        <w:tab w:val="left" w:pos="315"/>
      </w:tabs>
      <w:spacing w:line="300" w:lineRule="auto"/>
      <w:ind w:left="315" w:hanging="315"/>
    </w:pPr>
    <w:rPr>
      <w:rFonts w:ascii="Arial" w:hAnsi="Arial" w:cs="Arial"/>
      <w:b/>
      <w:color w:val="000000"/>
      <w:szCs w:val="20"/>
    </w:rPr>
  </w:style>
  <w:style w:type="paragraph" w:customStyle="1" w:styleId="526">
    <w:name w:val="方案正文"/>
    <w:basedOn w:val="1"/>
    <w:qFormat/>
    <w:uiPriority w:val="0"/>
    <w:pPr>
      <w:spacing w:before="156" w:line="360" w:lineRule="auto"/>
      <w:ind w:firstLine="359"/>
      <w:jc w:val="left"/>
    </w:pPr>
    <w:rPr>
      <w:rFonts w:ascii="Arial" w:hAnsi="Arial" w:cs="宋体"/>
      <w:sz w:val="24"/>
      <w:szCs w:val="21"/>
    </w:rPr>
  </w:style>
  <w:style w:type="paragraph" w:customStyle="1" w:styleId="527">
    <w:name w:val="正文 居中"/>
    <w:basedOn w:val="1"/>
    <w:qFormat/>
    <w:uiPriority w:val="0"/>
    <w:pPr>
      <w:spacing w:line="360" w:lineRule="auto"/>
      <w:jc w:val="center"/>
    </w:pPr>
    <w:rPr>
      <w:sz w:val="24"/>
      <w:szCs w:val="20"/>
    </w:rPr>
  </w:style>
  <w:style w:type="paragraph" w:customStyle="1" w:styleId="528">
    <w:name w:val="样式 标题 2H2h2sect 1.2Heading 2 HiddenHeading 2 CCBSheading 2..."/>
    <w:basedOn w:val="186"/>
    <w:qFormat/>
    <w:uiPriority w:val="0"/>
    <w:pPr>
      <w:tabs>
        <w:tab w:val="left" w:pos="576"/>
      </w:tabs>
      <w:spacing w:line="240" w:lineRule="auto"/>
      <w:ind w:left="576" w:hanging="36"/>
      <w:jc w:val="left"/>
    </w:pPr>
    <w:rPr>
      <w:rFonts w:ascii="宋体" w:hAnsi="宋体" w:eastAsia="宋体"/>
      <w:sz w:val="28"/>
      <w:szCs w:val="20"/>
    </w:rPr>
  </w:style>
  <w:style w:type="paragraph" w:customStyle="1" w:styleId="529">
    <w:name w:val="Char Char Char Char Char Char Char Char Char Char Char Char Char"/>
    <w:basedOn w:val="1"/>
    <w:qFormat/>
    <w:uiPriority w:val="0"/>
    <w:pPr>
      <w:widowControl/>
      <w:spacing w:after="160" w:line="240" w:lineRule="exact"/>
      <w:jc w:val="left"/>
    </w:pPr>
  </w:style>
  <w:style w:type="paragraph" w:customStyle="1" w:styleId="530">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szCs w:val="20"/>
    </w:rPr>
  </w:style>
  <w:style w:type="paragraph" w:customStyle="1" w:styleId="531">
    <w:name w:val="xl44"/>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532">
    <w:name w:val="正文2"/>
    <w:basedOn w:val="1"/>
    <w:qFormat/>
    <w:uiPriority w:val="0"/>
    <w:pPr>
      <w:spacing w:before="156" w:line="360" w:lineRule="auto"/>
      <w:ind w:firstLine="510"/>
    </w:pPr>
    <w:rPr>
      <w:sz w:val="24"/>
      <w:szCs w:val="20"/>
    </w:rPr>
  </w:style>
  <w:style w:type="paragraph" w:customStyle="1" w:styleId="533">
    <w:name w:val="xl6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b/>
      <w:bCs/>
      <w:sz w:val="20"/>
      <w:szCs w:val="20"/>
    </w:rPr>
  </w:style>
  <w:style w:type="paragraph" w:customStyle="1" w:styleId="534">
    <w:name w:val="Char Char Char Char Char Char Char Char Char Char Char"/>
    <w:basedOn w:val="1"/>
    <w:qFormat/>
    <w:uiPriority w:val="0"/>
    <w:rPr>
      <w:rFonts w:ascii="Tahoma" w:hAnsi="Tahoma"/>
      <w:sz w:val="24"/>
      <w:szCs w:val="20"/>
    </w:rPr>
  </w:style>
  <w:style w:type="paragraph" w:customStyle="1" w:styleId="535">
    <w:name w:val="批注框文本1"/>
    <w:basedOn w:val="1"/>
    <w:qFormat/>
    <w:uiPriority w:val="0"/>
    <w:rPr>
      <w:sz w:val="18"/>
      <w:szCs w:val="18"/>
    </w:rPr>
  </w:style>
  <w:style w:type="paragraph" w:customStyle="1" w:styleId="536">
    <w:name w:val="retrait3"/>
    <w:basedOn w:val="1"/>
    <w:qFormat/>
    <w:uiPriority w:val="0"/>
    <w:pPr>
      <w:widowControl/>
      <w:spacing w:before="20" w:after="20"/>
      <w:ind w:left="851"/>
      <w:jc w:val="left"/>
    </w:pPr>
    <w:rPr>
      <w:rFonts w:ascii="Arial" w:hAnsi="Arial"/>
      <w:sz w:val="24"/>
      <w:szCs w:val="20"/>
      <w:lang w:val="en-GB"/>
    </w:rPr>
  </w:style>
  <w:style w:type="paragraph" w:customStyle="1" w:styleId="537">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sz w:val="30"/>
    </w:rPr>
  </w:style>
  <w:style w:type="paragraph" w:customStyle="1" w:styleId="538">
    <w:name w:val="表格内容"/>
    <w:basedOn w:val="1"/>
    <w:qFormat/>
    <w:uiPriority w:val="0"/>
    <w:pPr>
      <w:widowControl/>
      <w:spacing w:before="60" w:line="300" w:lineRule="auto"/>
      <w:jc w:val="center"/>
    </w:pPr>
    <w:rPr>
      <w:szCs w:val="20"/>
    </w:rPr>
  </w:style>
  <w:style w:type="paragraph" w:customStyle="1" w:styleId="539">
    <w:name w:val="正文 New"/>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540">
    <w:name w:val="表蕊"/>
    <w:basedOn w:val="1"/>
    <w:qFormat/>
    <w:uiPriority w:val="0"/>
    <w:pPr>
      <w:spacing w:line="320" w:lineRule="atLeast"/>
      <w:jc w:val="left"/>
    </w:pPr>
    <w:rPr>
      <w:rFonts w:eastAsia="楷体_GB2312"/>
      <w:spacing w:val="-10"/>
      <w:szCs w:val="20"/>
    </w:rPr>
  </w:style>
  <w:style w:type="paragraph" w:customStyle="1" w:styleId="541">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楷体_GB2312" w:hAnsi="宋体" w:eastAsia="楷体_GB2312" w:cs="宋体"/>
      <w:b/>
      <w:bCs/>
      <w:sz w:val="24"/>
    </w:rPr>
  </w:style>
  <w:style w:type="paragraph" w:customStyle="1" w:styleId="542">
    <w:name w:val=" Char Char Char"/>
    <w:basedOn w:val="213"/>
    <w:qFormat/>
    <w:uiPriority w:val="0"/>
    <w:pPr>
      <w:spacing w:line="436" w:lineRule="exact"/>
    </w:pPr>
    <w:rPr>
      <w:rFonts w:ascii="Calibri" w:hAnsi="Calibri"/>
      <w:sz w:val="20"/>
    </w:rPr>
  </w:style>
  <w:style w:type="paragraph" w:customStyle="1" w:styleId="543">
    <w:name w:val="样式"/>
    <w:basedOn w:val="1"/>
    <w:qFormat/>
    <w:uiPriority w:val="0"/>
    <w:pPr>
      <w:spacing w:before="120" w:after="120" w:line="360" w:lineRule="auto"/>
    </w:pPr>
    <w:rPr>
      <w:rFonts w:ascii="宋体"/>
      <w:sz w:val="24"/>
      <w:szCs w:val="20"/>
    </w:rPr>
  </w:style>
  <w:style w:type="paragraph" w:customStyle="1" w:styleId="544">
    <w:name w:val="部分1"/>
    <w:basedOn w:val="1"/>
    <w:qFormat/>
    <w:uiPriority w:val="0"/>
    <w:pPr>
      <w:keepNext/>
      <w:pageBreakBefore/>
      <w:tabs>
        <w:tab w:val="left" w:pos="360"/>
      </w:tabs>
      <w:spacing w:line="360" w:lineRule="auto"/>
      <w:jc w:val="center"/>
      <w:outlineLvl w:val="0"/>
    </w:pPr>
    <w:rPr>
      <w:rFonts w:eastAsia="黑体"/>
      <w:b/>
      <w:sz w:val="36"/>
      <w:szCs w:val="20"/>
    </w:rPr>
  </w:style>
  <w:style w:type="paragraph" w:customStyle="1" w:styleId="545">
    <w:name w:val="font6"/>
    <w:basedOn w:val="1"/>
    <w:qFormat/>
    <w:uiPriority w:val="0"/>
    <w:pPr>
      <w:widowControl/>
      <w:spacing w:before="100" w:beforeAutospacing="1" w:after="100" w:afterAutospacing="1"/>
      <w:jc w:val="left"/>
    </w:pPr>
    <w:rPr>
      <w:rFonts w:ascii="宋体" w:hAnsi="宋体" w:cs="宋体"/>
      <w:b/>
      <w:bCs/>
      <w:sz w:val="20"/>
      <w:szCs w:val="20"/>
    </w:rPr>
  </w:style>
  <w:style w:type="paragraph" w:customStyle="1" w:styleId="546">
    <w:name w:val="xl25"/>
    <w:basedOn w:val="1"/>
    <w:qFormat/>
    <w:uiPriority w:val="0"/>
    <w:pPr>
      <w:widowControl/>
      <w:pBdr>
        <w:right w:val="single" w:color="000000" w:sz="4" w:space="0"/>
      </w:pBdr>
      <w:spacing w:before="100" w:beforeAutospacing="1" w:after="100" w:afterAutospacing="1"/>
      <w:jc w:val="center"/>
    </w:pPr>
    <w:rPr>
      <w:szCs w:val="21"/>
    </w:rPr>
  </w:style>
  <w:style w:type="paragraph" w:customStyle="1" w:styleId="547">
    <w:name w:val="小四 段落 宋体 Char Char Char Char"/>
    <w:basedOn w:val="1"/>
    <w:qFormat/>
    <w:uiPriority w:val="0"/>
    <w:pPr>
      <w:spacing w:line="360" w:lineRule="auto"/>
      <w:ind w:right="-33" w:firstLine="480"/>
      <w:jc w:val="left"/>
    </w:pPr>
    <w:rPr>
      <w:sz w:val="24"/>
    </w:rPr>
  </w:style>
  <w:style w:type="paragraph" w:customStyle="1" w:styleId="548">
    <w:name w:val="小四 段落 宋体 Char Char"/>
    <w:basedOn w:val="1"/>
    <w:qFormat/>
    <w:uiPriority w:val="0"/>
    <w:pPr>
      <w:spacing w:line="360" w:lineRule="auto"/>
      <w:ind w:firstLine="480"/>
    </w:pPr>
    <w:rPr>
      <w:rFonts w:ascii="宋体" w:hAnsi="宋体"/>
      <w:sz w:val="24"/>
    </w:rPr>
  </w:style>
  <w:style w:type="paragraph" w:customStyle="1" w:styleId="549">
    <w:name w:val="Table Text Char"/>
    <w:qFormat/>
    <w:uiPriority w:val="0"/>
    <w:pPr>
      <w:spacing w:before="80" w:after="80"/>
    </w:pPr>
    <w:rPr>
      <w:rFonts w:hint="default" w:ascii="Arial" w:hAnsi="Arial" w:eastAsia="宋体" w:cs="Arial"/>
      <w:sz w:val="18"/>
      <w:szCs w:val="28"/>
      <w:lang w:val="en-US" w:eastAsia="zh-CN" w:bidi="ar-SA"/>
    </w:rPr>
  </w:style>
  <w:style w:type="paragraph" w:customStyle="1" w:styleId="550">
    <w:name w:val="Char Char Char Char Char Char Char1 Char"/>
    <w:basedOn w:val="1"/>
    <w:qFormat/>
    <w:uiPriority w:val="0"/>
    <w:rPr>
      <w:rFonts w:ascii="Tahoma" w:hAnsi="Tahoma" w:cs="Tahoma"/>
      <w:sz w:val="24"/>
      <w:szCs w:val="20"/>
    </w:rPr>
  </w:style>
  <w:style w:type="paragraph" w:customStyle="1" w:styleId="551">
    <w:name w:val="小四 段落 宋体 Char Char Char"/>
    <w:basedOn w:val="211"/>
    <w:qFormat/>
    <w:uiPriority w:val="0"/>
    <w:pPr>
      <w:tabs>
        <w:tab w:val="clear" w:pos="2952"/>
      </w:tabs>
      <w:spacing w:line="360" w:lineRule="auto"/>
      <w:ind w:left="0" w:right="-33" w:firstLine="545"/>
      <w:jc w:val="left"/>
    </w:pPr>
    <w:rPr>
      <w:sz w:val="24"/>
    </w:rPr>
  </w:style>
  <w:style w:type="paragraph" w:customStyle="1" w:styleId="552">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szCs w:val="20"/>
    </w:rPr>
  </w:style>
  <w:style w:type="paragraph" w:customStyle="1" w:styleId="553">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554">
    <w:name w:val="标准文本"/>
    <w:basedOn w:val="1"/>
    <w:qFormat/>
    <w:uiPriority w:val="0"/>
    <w:pPr>
      <w:spacing w:line="360" w:lineRule="auto"/>
      <w:ind w:firstLine="480"/>
    </w:pPr>
    <w:rPr>
      <w:rFonts w:cs="宋体"/>
      <w:sz w:val="24"/>
    </w:rPr>
  </w:style>
  <w:style w:type="paragraph" w:customStyle="1" w:styleId="555">
    <w:name w:val="Char Char Char"/>
    <w:basedOn w:val="1"/>
    <w:qFormat/>
    <w:uiPriority w:val="0"/>
    <w:rPr>
      <w:rFonts w:ascii="Tahoma" w:hAnsi="Tahoma"/>
      <w:sz w:val="24"/>
      <w:szCs w:val="20"/>
    </w:rPr>
  </w:style>
  <w:style w:type="paragraph" w:customStyle="1" w:styleId="556">
    <w:name w:val="普通正文"/>
    <w:basedOn w:val="1"/>
    <w:qFormat/>
    <w:uiPriority w:val="0"/>
    <w:pPr>
      <w:spacing w:before="120" w:after="120" w:line="360" w:lineRule="auto"/>
      <w:ind w:firstLine="480"/>
      <w:jc w:val="left"/>
    </w:pPr>
    <w:rPr>
      <w:rFonts w:ascii="Arial" w:hAnsi="Arial"/>
      <w:sz w:val="24"/>
    </w:rPr>
  </w:style>
  <w:style w:type="paragraph" w:customStyle="1" w:styleId="557">
    <w:name w:val="xl60"/>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szCs w:val="20"/>
    </w:rPr>
  </w:style>
  <w:style w:type="paragraph" w:customStyle="1" w:styleId="558">
    <w:name w:val="Char Char Char Char Char Char Char Char Char Char Char1 Char Char Char1"/>
    <w:basedOn w:val="1"/>
    <w:qFormat/>
    <w:uiPriority w:val="0"/>
    <w:pPr>
      <w:ind w:firstLine="200"/>
      <w:jc w:val="left"/>
    </w:pPr>
    <w:rPr>
      <w:rFonts w:ascii="Tahoma" w:hAnsi="Tahoma"/>
      <w:sz w:val="24"/>
    </w:rPr>
  </w:style>
  <w:style w:type="paragraph" w:customStyle="1" w:styleId="559">
    <w:name w:val="xl55"/>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sz w:val="20"/>
      <w:szCs w:val="20"/>
    </w:rPr>
  </w:style>
  <w:style w:type="paragraph" w:customStyle="1" w:styleId="560">
    <w:name w:val="样式 段后: 0.25 行"/>
    <w:basedOn w:val="1"/>
    <w:qFormat/>
    <w:uiPriority w:val="0"/>
    <w:pPr>
      <w:widowControl/>
      <w:spacing w:line="300" w:lineRule="auto"/>
      <w:ind w:firstLine="420"/>
      <w:jc w:val="left"/>
    </w:pPr>
    <w:rPr>
      <w:rFonts w:ascii="Arial" w:hAnsi="Arial" w:cs="宋体"/>
      <w:sz w:val="22"/>
      <w:szCs w:val="20"/>
      <w:lang w:eastAsia="en-US"/>
    </w:rPr>
  </w:style>
  <w:style w:type="paragraph" w:customStyle="1" w:styleId="561">
    <w:name w:val="符号与编号"/>
    <w:basedOn w:val="1"/>
    <w:qFormat/>
    <w:uiPriority w:val="0"/>
    <w:pPr>
      <w:tabs>
        <w:tab w:val="left" w:pos="900"/>
      </w:tabs>
      <w:spacing w:line="400" w:lineRule="atLeast"/>
      <w:ind w:left="900" w:hanging="420"/>
    </w:pPr>
    <w:rPr>
      <w:sz w:val="24"/>
    </w:rPr>
  </w:style>
  <w:style w:type="paragraph" w:customStyle="1" w:styleId="562">
    <w:name w:val="丁华正文"/>
    <w:basedOn w:val="257"/>
    <w:qFormat/>
    <w:uiPriority w:val="0"/>
    <w:pPr>
      <w:spacing w:before="0" w:after="0" w:line="360" w:lineRule="auto"/>
      <w:ind w:left="0" w:firstLine="510"/>
    </w:pPr>
    <w:rPr>
      <w:rFonts w:ascii="宋体" w:hAnsi="Arial"/>
      <w:bCs w:val="0"/>
      <w:color w:val="000000"/>
      <w:szCs w:val="16"/>
    </w:rPr>
  </w:style>
  <w:style w:type="paragraph" w:customStyle="1" w:styleId="563">
    <w:name w:val=" Char Char1 Char Char Char Char1 Char Char Char Char Char Char"/>
    <w:basedOn w:val="1"/>
    <w:qFormat/>
    <w:uiPriority w:val="0"/>
    <w:rPr>
      <w:rFonts w:ascii="Tahoma" w:hAnsi="Tahoma" w:eastAsia="Calibri" w:cs="宋体"/>
      <w:sz w:val="24"/>
      <w:szCs w:val="20"/>
      <w:lang w:val="zh-CN"/>
    </w:rPr>
  </w:style>
  <w:style w:type="paragraph" w:customStyle="1" w:styleId="564">
    <w:name w:val="xl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20"/>
      <w:szCs w:val="20"/>
    </w:rPr>
  </w:style>
  <w:style w:type="paragraph" w:customStyle="1" w:styleId="565">
    <w:name w:val="7"/>
    <w:basedOn w:val="1"/>
    <w:next w:val="266"/>
    <w:qFormat/>
    <w:uiPriority w:val="0"/>
    <w:pPr>
      <w:widowControl/>
      <w:spacing w:before="100" w:beforeAutospacing="1" w:after="100" w:afterAutospacing="1"/>
      <w:jc w:val="left"/>
    </w:pPr>
    <w:rPr>
      <w:rFonts w:ascii="宋体" w:hAnsi="宋体"/>
      <w:sz w:val="24"/>
      <w:szCs w:val="20"/>
    </w:rPr>
  </w:style>
  <w:style w:type="paragraph" w:customStyle="1" w:styleId="566">
    <w:name w:val="样式4 Char"/>
    <w:basedOn w:val="1"/>
    <w:qFormat/>
    <w:uiPriority w:val="0"/>
    <w:pPr>
      <w:widowControl/>
      <w:spacing w:line="360" w:lineRule="auto"/>
      <w:ind w:firstLine="480"/>
      <w:jc w:val="left"/>
    </w:pPr>
    <w:rPr>
      <w:rFonts w:cs="宋体"/>
      <w:color w:val="000000"/>
      <w:sz w:val="24"/>
    </w:rPr>
  </w:style>
  <w:style w:type="paragraph" w:customStyle="1" w:styleId="567">
    <w:name w:val="正文缩进2字符"/>
    <w:basedOn w:val="1"/>
    <w:qFormat/>
    <w:uiPriority w:val="0"/>
    <w:pPr>
      <w:spacing w:line="300" w:lineRule="auto"/>
      <w:ind w:firstLine="200"/>
    </w:pPr>
    <w:rPr>
      <w:rFonts w:ascii="仿宋_GB2312" w:eastAsia="仿宋_GB2312"/>
      <w:sz w:val="32"/>
      <w:szCs w:val="32"/>
    </w:rPr>
  </w:style>
  <w:style w:type="paragraph" w:customStyle="1" w:styleId="568">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569">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570">
    <w:name w:val="Char2"/>
    <w:basedOn w:val="213"/>
    <w:qFormat/>
    <w:uiPriority w:val="0"/>
    <w:rPr>
      <w:rFonts w:ascii="Tahoma" w:hAnsi="Tahoma"/>
      <w:sz w:val="24"/>
    </w:rPr>
  </w:style>
  <w:style w:type="paragraph" w:customStyle="1" w:styleId="571">
    <w:name w:val="正文 New New New New New New New New New New New New New New"/>
    <w:qFormat/>
    <w:uiPriority w:val="0"/>
    <w:pPr>
      <w:widowControl w:val="0"/>
      <w:jc w:val="both"/>
    </w:pPr>
    <w:rPr>
      <w:rFonts w:hint="eastAsia" w:ascii="Times New Roman" w:hAnsi="Times New Roman" w:eastAsia="宋体" w:cs="Times New Roman"/>
      <w:sz w:val="21"/>
      <w:lang w:val="en-US" w:eastAsia="zh-CN" w:bidi="ar-SA"/>
    </w:rPr>
  </w:style>
  <w:style w:type="paragraph" w:customStyle="1" w:styleId="572">
    <w:name w:val="xl5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i/>
      <w:iCs/>
      <w:sz w:val="20"/>
      <w:szCs w:val="20"/>
    </w:rPr>
  </w:style>
  <w:style w:type="paragraph" w:customStyle="1" w:styleId="573">
    <w:name w:val=" Char Char1"/>
    <w:basedOn w:val="1"/>
    <w:qFormat/>
    <w:uiPriority w:val="0"/>
    <w:rPr>
      <w:rFonts w:ascii="Tahoma" w:hAnsi="Tahoma" w:eastAsia="Calibri" w:cs="宋体"/>
      <w:sz w:val="24"/>
      <w:szCs w:val="20"/>
      <w:lang w:val="zh-CN"/>
    </w:rPr>
  </w:style>
  <w:style w:type="paragraph" w:customStyle="1" w:styleId="574">
    <w:name w:val="Char Char Char Char Char Char Char Char Char Char Char Char Char Char"/>
    <w:basedOn w:val="1"/>
    <w:qFormat/>
    <w:uiPriority w:val="0"/>
    <w:rPr>
      <w:rFonts w:ascii="Tahoma" w:hAnsi="Tahoma"/>
      <w:sz w:val="24"/>
      <w:szCs w:val="20"/>
    </w:rPr>
  </w:style>
  <w:style w:type="paragraph" w:customStyle="1" w:styleId="575">
    <w:name w:val="xl58"/>
    <w:basedOn w:val="1"/>
    <w:qFormat/>
    <w:uiPriority w:val="0"/>
    <w:pPr>
      <w:widowControl/>
      <w:pBdr>
        <w:left w:val="single" w:color="000000" w:sz="4" w:space="0"/>
        <w:right w:val="single" w:color="000000" w:sz="4" w:space="0"/>
      </w:pBdr>
      <w:spacing w:before="100" w:beforeAutospacing="1" w:after="100" w:afterAutospacing="1"/>
      <w:jc w:val="center"/>
    </w:pPr>
    <w:rPr>
      <w:b/>
      <w:bCs/>
      <w:i/>
      <w:iCs/>
      <w:sz w:val="20"/>
      <w:szCs w:val="20"/>
    </w:rPr>
  </w:style>
  <w:style w:type="paragraph" w:customStyle="1" w:styleId="576">
    <w:name w:val="Char Char1 Char"/>
    <w:basedOn w:val="1"/>
    <w:qFormat/>
    <w:uiPriority w:val="0"/>
    <w:pPr>
      <w:widowControl/>
      <w:spacing w:after="160" w:line="240" w:lineRule="exact"/>
      <w:jc w:val="left"/>
    </w:pPr>
    <w:rPr>
      <w:rFonts w:ascii="Verdana" w:hAnsi="Verdana"/>
      <w:sz w:val="20"/>
      <w:szCs w:val="20"/>
      <w:lang w:eastAsia="en-US"/>
    </w:rPr>
  </w:style>
  <w:style w:type="paragraph" w:customStyle="1" w:styleId="577">
    <w:name w:val="_Style 3"/>
    <w:basedOn w:val="1"/>
    <w:qFormat/>
    <w:uiPriority w:val="34"/>
    <w:pPr>
      <w:ind w:firstLine="420"/>
    </w:pPr>
    <w:rPr>
      <w:rFonts w:ascii="Calibri" w:hAnsi="Calibri"/>
      <w:szCs w:val="22"/>
    </w:rPr>
  </w:style>
  <w:style w:type="paragraph" w:customStyle="1" w:styleId="578">
    <w:name w:val="样式 首行缩进:  2 字符"/>
    <w:basedOn w:val="1"/>
    <w:qFormat/>
    <w:uiPriority w:val="0"/>
    <w:pPr>
      <w:spacing w:line="360" w:lineRule="auto"/>
      <w:ind w:firstLine="480"/>
    </w:pPr>
    <w:rPr>
      <w:rFonts w:cs="宋体"/>
      <w:sz w:val="24"/>
      <w:szCs w:val="20"/>
    </w:rPr>
  </w:style>
  <w:style w:type="paragraph" w:customStyle="1" w:styleId="579">
    <w:name w:val="Item List Char Char"/>
    <w:qFormat/>
    <w:uiPriority w:val="0"/>
    <w:pPr>
      <w:spacing w:line="288" w:lineRule="auto"/>
      <w:jc w:val="both"/>
    </w:pPr>
    <w:rPr>
      <w:rFonts w:hint="default" w:ascii="Arial" w:hAnsi="Arial" w:eastAsia="宋体" w:cs="Arial"/>
      <w:b/>
      <w:bCs/>
      <w:sz w:val="21"/>
      <w:szCs w:val="28"/>
      <w:lang w:val="en-US" w:eastAsia="zh-CN" w:bidi="ar-SA"/>
    </w:rPr>
  </w:style>
  <w:style w:type="paragraph" w:customStyle="1" w:styleId="580">
    <w:name w:val="公文标题 2"/>
    <w:basedOn w:val="1"/>
    <w:next w:val="581"/>
    <w:qFormat/>
    <w:uiPriority w:val="0"/>
    <w:pPr>
      <w:outlineLvl w:val="1"/>
    </w:pPr>
    <w:rPr>
      <w:rFonts w:ascii="仿宋_GB2312" w:hAnsi="宋体" w:eastAsia="仿宋_GB2312"/>
      <w:sz w:val="28"/>
    </w:rPr>
  </w:style>
  <w:style w:type="paragraph" w:customStyle="1" w:styleId="581">
    <w:name w:val="公文正文"/>
    <w:basedOn w:val="221"/>
    <w:qFormat/>
    <w:uiPriority w:val="0"/>
    <w:pPr>
      <w:spacing w:after="0"/>
      <w:ind w:left="0" w:firstLine="200"/>
    </w:pPr>
    <w:rPr>
      <w:rFonts w:ascii="仿宋_GB2312" w:hAnsi="宋体" w:eastAsia="仿宋_GB2312"/>
      <w:sz w:val="28"/>
    </w:rPr>
  </w:style>
  <w:style w:type="paragraph" w:customStyle="1" w:styleId="582">
    <w:name w:val="表格1"/>
    <w:basedOn w:val="1"/>
    <w:qFormat/>
    <w:uiPriority w:val="0"/>
    <w:rPr>
      <w:rFonts w:ascii="宋体" w:hAnsi="Calibri" w:eastAsia="Calibri" w:cs="宋体"/>
      <w:sz w:val="20"/>
      <w:szCs w:val="21"/>
      <w:lang w:val="zh-CN"/>
    </w:rPr>
  </w:style>
  <w:style w:type="paragraph" w:customStyle="1" w:styleId="583">
    <w:name w:val="段 Char"/>
    <w:qFormat/>
    <w:uiPriority w:val="0"/>
    <w:pPr>
      <w:ind w:firstLine="200"/>
      <w:jc w:val="both"/>
    </w:pPr>
    <w:rPr>
      <w:rFonts w:hint="default" w:ascii="宋体" w:hAnsi="Times New Roman" w:eastAsia="宋体" w:cs="Times New Roman"/>
      <w:sz w:val="21"/>
      <w:lang w:val="en-US" w:eastAsia="zh-CN" w:bidi="ar-SA"/>
    </w:rPr>
  </w:style>
  <w:style w:type="paragraph" w:customStyle="1" w:styleId="584">
    <w:name w:val="样式 样式 首行缩进:  0.74 厘米 行距: 1.5 倍行距 + 段后: 0.5 行"/>
    <w:basedOn w:val="1"/>
    <w:qFormat/>
    <w:uiPriority w:val="0"/>
    <w:pPr>
      <w:spacing w:line="360" w:lineRule="auto"/>
      <w:ind w:firstLine="420"/>
    </w:pPr>
    <w:rPr>
      <w:rFonts w:ascii="楷体_GB2312" w:eastAsia="楷体_GB2312"/>
      <w:bCs/>
      <w:sz w:val="24"/>
      <w:szCs w:val="20"/>
    </w:rPr>
  </w:style>
  <w:style w:type="paragraph" w:customStyle="1" w:styleId="585">
    <w:name w:val="1"/>
    <w:basedOn w:val="1"/>
    <w:next w:val="262"/>
    <w:qFormat/>
    <w:uiPriority w:val="0"/>
    <w:pPr>
      <w:spacing w:line="360" w:lineRule="auto"/>
    </w:pPr>
    <w:rPr>
      <w:rFonts w:eastAsia="仿宋_GB2312"/>
      <w:sz w:val="24"/>
    </w:rPr>
  </w:style>
  <w:style w:type="paragraph" w:customStyle="1" w:styleId="586">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20"/>
      <w:szCs w:val="20"/>
    </w:rPr>
  </w:style>
  <w:style w:type="paragraph" w:customStyle="1" w:styleId="587">
    <w:name w:val=" Char Char Char Char Char Char Char Char Char Char Char Char Char Char Char Char Char Char Char Char Char Char Char"/>
    <w:basedOn w:val="1"/>
    <w:qFormat/>
    <w:uiPriority w:val="0"/>
    <w:rPr>
      <w:rFonts w:ascii="Tahoma" w:hAnsi="Tahoma" w:eastAsia="Calibri" w:cs="宋体"/>
      <w:sz w:val="24"/>
      <w:szCs w:val="20"/>
      <w:lang w:val="zh-CN"/>
    </w:rPr>
  </w:style>
  <w:style w:type="paragraph" w:customStyle="1" w:styleId="588">
    <w:name w:val="列出段落"/>
    <w:basedOn w:val="1"/>
    <w:qFormat/>
    <w:uiPriority w:val="34"/>
    <w:pPr>
      <w:ind w:firstLine="420"/>
    </w:pPr>
  </w:style>
  <w:style w:type="paragraph" w:customStyle="1" w:styleId="589">
    <w:name w:val="greytypebeni"/>
    <w:basedOn w:val="1"/>
    <w:qFormat/>
    <w:uiPriority w:val="0"/>
    <w:pPr>
      <w:widowControl/>
      <w:jc w:val="left"/>
    </w:pPr>
    <w:rPr>
      <w:rFonts w:ascii="宋体" w:hAnsi="宋体" w:cs="宋体"/>
      <w:sz w:val="24"/>
    </w:rPr>
  </w:style>
  <w:style w:type="paragraph" w:customStyle="1" w:styleId="590">
    <w:name w:val="正文 New New New New New"/>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91">
    <w:name w:val="文档正文"/>
    <w:basedOn w:val="1"/>
    <w:qFormat/>
    <w:uiPriority w:val="0"/>
    <w:pPr>
      <w:spacing w:line="360" w:lineRule="auto"/>
    </w:pPr>
    <w:rPr>
      <w:rFonts w:ascii="宋体" w:hAnsi="宋体"/>
      <w:b/>
      <w:bCs/>
    </w:rPr>
  </w:style>
  <w:style w:type="paragraph" w:customStyle="1" w:styleId="592">
    <w:name w:val="a"/>
    <w:basedOn w:val="1"/>
    <w:qFormat/>
    <w:uiPriority w:val="0"/>
    <w:pPr>
      <w:widowControl/>
      <w:spacing w:before="100" w:beforeAutospacing="1" w:after="100" w:afterAutospacing="1"/>
    </w:pPr>
    <w:rPr>
      <w:rFonts w:ascii="宋体" w:hAnsi="宋体" w:cs="宋体"/>
      <w:sz w:val="24"/>
    </w:rPr>
  </w:style>
  <w:style w:type="paragraph" w:customStyle="1" w:styleId="593">
    <w:name w:val="符号与编号 Char Char"/>
    <w:basedOn w:val="1"/>
    <w:qFormat/>
    <w:uiPriority w:val="0"/>
    <w:pPr>
      <w:tabs>
        <w:tab w:val="left" w:pos="840"/>
      </w:tabs>
      <w:spacing w:line="400" w:lineRule="atLeast"/>
      <w:ind w:left="839" w:hanging="419"/>
    </w:pPr>
    <w:rPr>
      <w:sz w:val="24"/>
    </w:rPr>
  </w:style>
  <w:style w:type="paragraph" w:customStyle="1" w:styleId="594">
    <w:name w:val="默认段落字体 Para Char Char Char Char Char Char Char"/>
    <w:basedOn w:val="1"/>
    <w:qFormat/>
    <w:uiPriority w:val="0"/>
    <w:rPr>
      <w:rFonts w:ascii="Tahoma" w:hAnsi="Tahoma"/>
      <w:sz w:val="24"/>
      <w:szCs w:val="20"/>
    </w:rPr>
  </w:style>
  <w:style w:type="paragraph" w:customStyle="1" w:styleId="595">
    <w:name w:val=" Char Char Char Char Char Char Char Char Char Char Char Char Char Char"/>
    <w:basedOn w:val="1"/>
    <w:qFormat/>
    <w:uiPriority w:val="0"/>
    <w:rPr>
      <w:rFonts w:ascii="Tahoma" w:hAnsi="Tahoma" w:eastAsia="Calibri" w:cs="宋体"/>
      <w:sz w:val="24"/>
      <w:szCs w:val="20"/>
      <w:lang w:val="zh-CN"/>
    </w:rPr>
  </w:style>
  <w:style w:type="paragraph" w:customStyle="1" w:styleId="596">
    <w:name w:val=" Char1"/>
    <w:basedOn w:val="1"/>
    <w:qFormat/>
    <w:uiPriority w:val="0"/>
    <w:pPr>
      <w:widowControl/>
      <w:spacing w:after="160" w:line="240" w:lineRule="exact"/>
      <w:jc w:val="left"/>
    </w:pPr>
    <w:rPr>
      <w:rFonts w:ascii="Verdana" w:hAnsi="Verdana" w:eastAsia="仿宋_GB2312" w:cs="宋体"/>
      <w:sz w:val="24"/>
      <w:szCs w:val="20"/>
      <w:lang w:val="zh-CN" w:eastAsia="en-US"/>
    </w:rPr>
  </w:style>
  <w:style w:type="paragraph" w:customStyle="1" w:styleId="597">
    <w:name w:val=" Char Char Char Char"/>
    <w:basedOn w:val="1"/>
    <w:qFormat/>
    <w:uiPriority w:val="0"/>
    <w:pPr>
      <w:widowControl/>
      <w:spacing w:after="160" w:line="240" w:lineRule="exact"/>
      <w:jc w:val="center"/>
    </w:pPr>
    <w:rPr>
      <w:rFonts w:ascii="黑体" w:hAnsi="Verdana" w:eastAsia="黑体" w:cs="宋体"/>
      <w:sz w:val="32"/>
      <w:szCs w:val="32"/>
      <w:lang w:val="zh-CN" w:eastAsia="en-US"/>
    </w:rPr>
  </w:style>
  <w:style w:type="paragraph" w:customStyle="1" w:styleId="598">
    <w:name w:val="Char Char Char Char Char Char Char Char Char Char Char Char Char Char Char Char Char Char Char Char Char Char Char1"/>
    <w:basedOn w:val="1"/>
    <w:qFormat/>
    <w:uiPriority w:val="0"/>
    <w:rPr>
      <w:rFonts w:ascii="Tahoma" w:hAnsi="Tahoma" w:cs="Tahoma"/>
      <w:sz w:val="24"/>
      <w:szCs w:val="20"/>
    </w:rPr>
  </w:style>
  <w:style w:type="paragraph" w:customStyle="1" w:styleId="599">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600">
    <w:name w:val="一级标题"/>
    <w:basedOn w:val="1"/>
    <w:qFormat/>
    <w:uiPriority w:val="0"/>
    <w:pPr>
      <w:tabs>
        <w:tab w:val="left" w:pos="903"/>
      </w:tabs>
      <w:spacing w:line="360" w:lineRule="auto"/>
      <w:ind w:left="900" w:hanging="420"/>
    </w:pPr>
    <w:rPr>
      <w:rFonts w:ascii="Arial" w:hAnsi="Arial" w:cs="Arial"/>
      <w:sz w:val="24"/>
      <w:szCs w:val="20"/>
    </w:rPr>
  </w:style>
  <w:style w:type="paragraph" w:customStyle="1" w:styleId="601">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i/>
      <w:iCs/>
      <w:sz w:val="20"/>
      <w:szCs w:val="20"/>
    </w:rPr>
  </w:style>
  <w:style w:type="paragraph" w:customStyle="1" w:styleId="602">
    <w:name w:val="Char Char1 Char1"/>
    <w:basedOn w:val="1"/>
    <w:qFormat/>
    <w:uiPriority w:val="0"/>
    <w:pPr>
      <w:widowControl/>
      <w:spacing w:after="160" w:line="240" w:lineRule="exact"/>
      <w:jc w:val="left"/>
    </w:pPr>
    <w:rPr>
      <w:rFonts w:ascii="Verdana" w:hAnsi="Verdana"/>
      <w:sz w:val="20"/>
      <w:szCs w:val="20"/>
      <w:lang w:eastAsia="en-US"/>
    </w:rPr>
  </w:style>
  <w:style w:type="paragraph" w:customStyle="1" w:styleId="603">
    <w:name w:val="Char Char Char Char1"/>
    <w:basedOn w:val="213"/>
    <w:qFormat/>
    <w:uiPriority w:val="0"/>
    <w:pPr>
      <w:spacing w:line="360" w:lineRule="auto"/>
    </w:pPr>
    <w:rPr>
      <w:rFonts w:ascii="Tahoma" w:hAnsi="Tahoma"/>
      <w:sz w:val="24"/>
    </w:rPr>
  </w:style>
  <w:style w:type="paragraph" w:customStyle="1" w:styleId="604">
    <w:name w:val="马刚标题1"/>
    <w:basedOn w:val="185"/>
    <w:next w:val="1"/>
    <w:qFormat/>
    <w:uiPriority w:val="0"/>
    <w:pPr>
      <w:tabs>
        <w:tab w:val="left" w:pos="315"/>
        <w:tab w:val="left" w:pos="567"/>
      </w:tabs>
      <w:spacing w:before="400" w:after="120"/>
      <w:ind w:left="567" w:hanging="567"/>
      <w:jc w:val="left"/>
    </w:pPr>
    <w:rPr>
      <w:rFonts w:eastAsia="黑体"/>
      <w:b/>
      <w:bCs/>
      <w:sz w:val="32"/>
      <w:szCs w:val="20"/>
    </w:rPr>
  </w:style>
  <w:style w:type="paragraph" w:customStyle="1" w:styleId="605">
    <w:name w:val="Char Char Char Char Char Char Char Char Char Char Char Char Char Char Char Char Char Char Char Char Char Char Char"/>
    <w:basedOn w:val="1"/>
    <w:qFormat/>
    <w:uiPriority w:val="0"/>
    <w:rPr>
      <w:rFonts w:ascii="Tahoma" w:hAnsi="Tahoma"/>
      <w:sz w:val="24"/>
      <w:szCs w:val="20"/>
    </w:rPr>
  </w:style>
  <w:style w:type="paragraph" w:customStyle="1" w:styleId="606">
    <w:name w:val="xl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i/>
      <w:iCs/>
      <w:sz w:val="20"/>
      <w:szCs w:val="20"/>
    </w:rPr>
  </w:style>
  <w:style w:type="paragraph" w:customStyle="1" w:styleId="607">
    <w:name w:val="样式 标题 3H3sect1.2.3BOD 0Heading 3 - oldh3l3CTLevel 3 Head..."/>
    <w:basedOn w:val="187"/>
    <w:qFormat/>
    <w:uiPriority w:val="0"/>
    <w:pPr>
      <w:spacing w:line="240" w:lineRule="auto"/>
      <w:jc w:val="left"/>
    </w:pPr>
    <w:rPr>
      <w:rFonts w:cs="宋体"/>
      <w:sz w:val="30"/>
      <w:szCs w:val="20"/>
    </w:rPr>
  </w:style>
  <w:style w:type="paragraph" w:customStyle="1" w:styleId="608">
    <w:name w:val="content_lineheight"/>
    <w:basedOn w:val="1"/>
    <w:qFormat/>
    <w:uiPriority w:val="0"/>
    <w:pPr>
      <w:widowControl/>
      <w:spacing w:before="100" w:beforeAutospacing="1" w:after="100" w:afterAutospacing="1"/>
      <w:jc w:val="left"/>
    </w:pPr>
    <w:rPr>
      <w:rFonts w:ascii="宋体" w:hAnsi="宋体"/>
      <w:sz w:val="24"/>
    </w:rPr>
  </w:style>
  <w:style w:type="paragraph" w:customStyle="1" w:styleId="609">
    <w:name w:val="Body Text 21"/>
    <w:basedOn w:val="1"/>
    <w:qFormat/>
    <w:uiPriority w:val="0"/>
    <w:pPr>
      <w:widowControl/>
      <w:ind w:left="720" w:hanging="720"/>
    </w:pPr>
    <w:rPr>
      <w:sz w:val="24"/>
      <w:szCs w:val="20"/>
      <w:lang w:val="en-GB"/>
    </w:rPr>
  </w:style>
  <w:style w:type="paragraph" w:customStyle="1" w:styleId="610">
    <w:name w:val="正文 + 宋体"/>
    <w:basedOn w:val="1"/>
    <w:qFormat/>
    <w:uiPriority w:val="0"/>
    <w:pPr>
      <w:spacing w:line="360" w:lineRule="auto"/>
      <w:ind w:firstLine="420"/>
    </w:pPr>
  </w:style>
  <w:style w:type="paragraph" w:customStyle="1" w:styleId="611">
    <w:name w:val="table_1stline"/>
    <w:basedOn w:val="1"/>
    <w:qFormat/>
    <w:uiPriority w:val="0"/>
    <w:pPr>
      <w:widowControl/>
      <w:spacing w:before="120"/>
      <w:jc w:val="left"/>
    </w:pPr>
    <w:rPr>
      <w:bCs/>
      <w:sz w:val="20"/>
      <w:szCs w:val="20"/>
      <w:lang w:val="de-DE" w:eastAsia="de-DE"/>
    </w:rPr>
  </w:style>
  <w:style w:type="paragraph" w:customStyle="1" w:styleId="612">
    <w:name w:val="Char Char Char Char Char Char Char Char Char Char"/>
    <w:basedOn w:val="1"/>
    <w:qFormat/>
    <w:uiPriority w:val="0"/>
    <w:pPr>
      <w:spacing w:line="360" w:lineRule="auto"/>
    </w:pPr>
    <w:rPr>
      <w:sz w:val="24"/>
      <w:szCs w:val="20"/>
    </w:rPr>
  </w:style>
  <w:style w:type="paragraph" w:customStyle="1" w:styleId="613">
    <w:name w:val="Char1 Char Char Char1"/>
    <w:basedOn w:val="1"/>
    <w:qFormat/>
    <w:uiPriority w:val="0"/>
    <w:rPr>
      <w:rFonts w:ascii="Tahoma" w:hAnsi="Tahoma"/>
      <w:sz w:val="24"/>
      <w:szCs w:val="20"/>
    </w:rPr>
  </w:style>
  <w:style w:type="paragraph" w:customStyle="1" w:styleId="614">
    <w:name w:val="表格"/>
    <w:basedOn w:val="1"/>
    <w:qFormat/>
    <w:uiPriority w:val="0"/>
    <w:pPr>
      <w:ind w:firstLine="21"/>
    </w:pPr>
    <w:rPr>
      <w:rFonts w:ascii="宋体" w:hAnsi="宋体" w:cs="宋体"/>
      <w:sz w:val="20"/>
      <w:szCs w:val="20"/>
    </w:rPr>
  </w:style>
  <w:style w:type="paragraph" w:customStyle="1" w:styleId="615">
    <w:name w:val="样式 标题 2第一章 标题 2Heading 2 HiddenHeading 2 CCBSheading 2H2h2..."/>
    <w:basedOn w:val="186"/>
    <w:qFormat/>
    <w:uiPriority w:val="0"/>
    <w:pPr>
      <w:keepLines w:val="0"/>
      <w:tabs>
        <w:tab w:val="left" w:pos="360"/>
      </w:tabs>
      <w:spacing w:line="240" w:lineRule="auto"/>
      <w:ind w:left="360" w:hanging="360"/>
      <w:jc w:val="center"/>
    </w:pPr>
    <w:rPr>
      <w:rFonts w:ascii="黑体" w:hAnsi="Times New Roman" w:cs="宋体"/>
      <w:b w:val="0"/>
      <w:bCs w:val="0"/>
      <w:szCs w:val="20"/>
    </w:rPr>
  </w:style>
  <w:style w:type="paragraph" w:customStyle="1" w:styleId="616">
    <w:name w:val="Char Char Char Char Char Char Char Char Char Char Char Char Char Char Char Char Char Char Char Char Char"/>
    <w:basedOn w:val="1"/>
    <w:qFormat/>
    <w:uiPriority w:val="0"/>
    <w:rPr>
      <w:rFonts w:ascii="Tahoma" w:hAnsi="Tahoma" w:cs="Tahoma"/>
      <w:sz w:val="24"/>
      <w:szCs w:val="20"/>
    </w:rPr>
  </w:style>
  <w:style w:type="paragraph" w:customStyle="1" w:styleId="617">
    <w:name w:val=" Char"/>
    <w:basedOn w:val="1"/>
    <w:qFormat/>
    <w:uiPriority w:val="0"/>
    <w:pPr>
      <w:spacing w:after="156" w:line="360" w:lineRule="auto"/>
    </w:pPr>
    <w:rPr>
      <w:rFonts w:ascii="Tahoma" w:hAnsi="Tahoma" w:eastAsia="Calibri" w:cs="宋体"/>
      <w:sz w:val="24"/>
      <w:szCs w:val="20"/>
      <w:lang w:val="zh-CN"/>
    </w:rPr>
  </w:style>
  <w:style w:type="paragraph" w:customStyle="1" w:styleId="618">
    <w:name w:val="正文表标题"/>
    <w:next w:val="463"/>
    <w:qFormat/>
    <w:uiPriority w:val="0"/>
    <w:pPr>
      <w:tabs>
        <w:tab w:val="left" w:pos="900"/>
      </w:tabs>
      <w:ind w:left="900" w:hanging="420"/>
      <w:jc w:val="center"/>
    </w:pPr>
    <w:rPr>
      <w:rFonts w:hint="default" w:ascii="黑体" w:hAnsi="Times New Roman" w:eastAsia="黑体" w:cs="Times New Roman"/>
      <w:sz w:val="21"/>
      <w:lang w:val="en-US" w:eastAsia="zh-CN" w:bidi="ar-SA"/>
    </w:rPr>
  </w:style>
  <w:style w:type="paragraph" w:customStyle="1" w:styleId="619">
    <w:name w:val="样式 样式 首行缩进:  2 字符 + 行距: 1.5 倍行距"/>
    <w:basedOn w:val="1"/>
    <w:qFormat/>
    <w:uiPriority w:val="0"/>
    <w:pPr>
      <w:spacing w:line="360" w:lineRule="auto"/>
      <w:ind w:firstLine="470"/>
    </w:pPr>
    <w:rPr>
      <w:sz w:val="24"/>
      <w:szCs w:val="20"/>
    </w:rPr>
  </w:style>
  <w:style w:type="paragraph" w:customStyle="1" w:styleId="620">
    <w:name w:val="Body Text(ch)"/>
    <w:basedOn w:val="1"/>
    <w:next w:val="190"/>
    <w:qFormat/>
    <w:uiPriority w:val="0"/>
    <w:pPr>
      <w:spacing w:after="120"/>
    </w:pPr>
    <w:rPr>
      <w:rFonts w:ascii="宋体" w:hAnsi="Arial"/>
      <w:bCs/>
      <w:iCs/>
    </w:rPr>
  </w:style>
  <w:style w:type="paragraph" w:customStyle="1" w:styleId="621">
    <w:name w:val="正文文本缩进1"/>
    <w:basedOn w:val="1"/>
    <w:qFormat/>
    <w:uiPriority w:val="0"/>
    <w:pPr>
      <w:spacing w:after="120"/>
      <w:ind w:left="420"/>
    </w:pPr>
  </w:style>
  <w:style w:type="paragraph" w:customStyle="1" w:styleId="622">
    <w:name w:val="正文--表格内正文"/>
    <w:basedOn w:val="1"/>
    <w:qFormat/>
    <w:uiPriority w:val="0"/>
    <w:pPr>
      <w:spacing w:line="240" w:lineRule="atLeast"/>
      <w:jc w:val="center"/>
    </w:pPr>
    <w:rPr>
      <w:rFonts w:ascii="宋体" w:hAnsi="宋体"/>
      <w:color w:val="000000"/>
      <w:sz w:val="24"/>
    </w:rPr>
  </w:style>
  <w:style w:type="paragraph" w:customStyle="1" w:styleId="623">
    <w:name w:val="Test2"/>
    <w:basedOn w:val="186"/>
    <w:qFormat/>
    <w:uiPriority w:val="0"/>
    <w:pPr>
      <w:widowControl/>
      <w:spacing w:line="480" w:lineRule="exact"/>
      <w:jc w:val="center"/>
    </w:pPr>
    <w:rPr>
      <w:rFonts w:ascii="黑体"/>
      <w:sz w:val="24"/>
      <w:szCs w:val="24"/>
    </w:rPr>
  </w:style>
  <w:style w:type="paragraph" w:customStyle="1" w:styleId="624">
    <w:name w:val="标题 4宋体"/>
    <w:basedOn w:val="188"/>
    <w:qFormat/>
    <w:uiPriority w:val="0"/>
    <w:pPr>
      <w:keepLines w:val="0"/>
      <w:spacing w:before="0" w:after="0" w:line="360" w:lineRule="auto"/>
      <w:jc w:val="left"/>
    </w:pPr>
    <w:rPr>
      <w:rFonts w:ascii="宋体" w:hAnsi="宋体" w:eastAsia="宋体"/>
      <w:bCs/>
      <w:color w:val="000000"/>
      <w:sz w:val="24"/>
    </w:rPr>
  </w:style>
  <w:style w:type="paragraph" w:customStyle="1" w:styleId="625">
    <w:name w:val=" Char Char Char Char Char Char Char Char"/>
    <w:basedOn w:val="1"/>
    <w:qFormat/>
    <w:uiPriority w:val="0"/>
    <w:rPr>
      <w:rFonts w:ascii="Tahoma" w:hAnsi="Tahoma" w:eastAsia="Calibri" w:cs="宋体"/>
      <w:sz w:val="24"/>
      <w:szCs w:val="20"/>
      <w:lang w:val="zh-CN"/>
    </w:rPr>
  </w:style>
  <w:style w:type="paragraph" w:customStyle="1" w:styleId="626">
    <w:name w:val="tableau"/>
    <w:basedOn w:val="1"/>
    <w:qFormat/>
    <w:uiPriority w:val="0"/>
    <w:pPr>
      <w:widowControl/>
      <w:spacing w:before="20" w:after="20"/>
      <w:jc w:val="center"/>
    </w:pPr>
    <w:rPr>
      <w:rFonts w:ascii="Arial" w:hAnsi="Arial"/>
      <w:sz w:val="16"/>
      <w:szCs w:val="20"/>
      <w:lang w:val="en-GB" w:eastAsia="en-US"/>
    </w:rPr>
  </w:style>
  <w:style w:type="paragraph" w:customStyle="1" w:styleId="627">
    <w:name w:val=" Char Char Char Char Char Char Char Char Char Char Char Char Char Char Char Char Char Char Char Char Char"/>
    <w:basedOn w:val="1"/>
    <w:qFormat/>
    <w:uiPriority w:val="0"/>
    <w:rPr>
      <w:rFonts w:ascii="Tahoma" w:hAnsi="Tahoma" w:eastAsia="Calibri" w:cs="宋体"/>
      <w:sz w:val="24"/>
      <w:szCs w:val="20"/>
      <w:lang w:val="zh-CN"/>
    </w:rPr>
  </w:style>
  <w:style w:type="paragraph" w:customStyle="1" w:styleId="628">
    <w:name w:val="正文文本 21"/>
    <w:basedOn w:val="1"/>
    <w:qFormat/>
    <w:uiPriority w:val="0"/>
    <w:pPr>
      <w:widowControl/>
      <w:ind w:left="720" w:hanging="720"/>
    </w:pPr>
    <w:rPr>
      <w:sz w:val="24"/>
      <w:szCs w:val="20"/>
      <w:lang w:val="en-GB"/>
    </w:rPr>
  </w:style>
  <w:style w:type="paragraph" w:customStyle="1" w:styleId="629">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szCs w:val="20"/>
    </w:rPr>
  </w:style>
  <w:style w:type="paragraph" w:customStyle="1" w:styleId="630">
    <w:name w:val="List Paragraph1"/>
    <w:basedOn w:val="1"/>
    <w:qFormat/>
    <w:uiPriority w:val="0"/>
    <w:pPr>
      <w:widowControl/>
      <w:ind w:left="720"/>
      <w:jc w:val="left"/>
    </w:pPr>
    <w:rPr>
      <w:rFonts w:ascii="Arial" w:hAnsi="Arial" w:eastAsia="黑体"/>
      <w:sz w:val="24"/>
      <w:lang w:eastAsia="en-US"/>
    </w:rPr>
  </w:style>
  <w:style w:type="paragraph" w:customStyle="1" w:styleId="631">
    <w:name w:val="Char Char Char Char Char Char Char Char Char1"/>
    <w:basedOn w:val="1"/>
    <w:qFormat/>
    <w:uiPriority w:val="0"/>
    <w:pPr>
      <w:tabs>
        <w:tab w:val="left" w:pos="360"/>
      </w:tabs>
      <w:ind w:left="360" w:hanging="360"/>
    </w:pPr>
    <w:rPr>
      <w:sz w:val="24"/>
    </w:rPr>
  </w:style>
  <w:style w:type="paragraph" w:customStyle="1" w:styleId="632">
    <w:name w:val="xl56"/>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sz w:val="20"/>
      <w:szCs w:val="20"/>
    </w:rPr>
  </w:style>
  <w:style w:type="paragraph" w:customStyle="1" w:styleId="633">
    <w:name w:val=" Char Char"/>
    <w:basedOn w:val="1"/>
    <w:qFormat/>
    <w:uiPriority w:val="0"/>
    <w:rPr>
      <w:rFonts w:ascii="Tahoma" w:hAnsi="Tahoma" w:eastAsia="Calibri" w:cs="宋体"/>
      <w:sz w:val="24"/>
      <w:szCs w:val="20"/>
      <w:lang w:val="zh-CN"/>
    </w:rPr>
  </w:style>
  <w:style w:type="paragraph" w:customStyle="1" w:styleId="634">
    <w:name w:val="Char Char Char Char Char Char Char Char Char Char Char1"/>
    <w:basedOn w:val="1"/>
    <w:qFormat/>
    <w:uiPriority w:val="0"/>
    <w:rPr>
      <w:rFonts w:ascii="Tahoma" w:hAnsi="Tahoma" w:cs="Tahoma"/>
      <w:sz w:val="24"/>
      <w:szCs w:val="20"/>
    </w:rPr>
  </w:style>
  <w:style w:type="paragraph" w:customStyle="1" w:styleId="635">
    <w:name w:val="批注主题1"/>
    <w:basedOn w:val="215"/>
    <w:next w:val="215"/>
    <w:qFormat/>
    <w:uiPriority w:val="0"/>
    <w:rPr>
      <w:b/>
      <w:bCs/>
      <w:szCs w:val="24"/>
    </w:rPr>
  </w:style>
  <w:style w:type="paragraph" w:customStyle="1" w:styleId="636">
    <w:name w:val="Pa6"/>
    <w:basedOn w:val="1"/>
    <w:next w:val="1"/>
    <w:qFormat/>
    <w:uiPriority w:val="0"/>
    <w:pPr>
      <w:spacing w:line="241" w:lineRule="atLeast"/>
      <w:jc w:val="left"/>
    </w:pPr>
    <w:rPr>
      <w:rFonts w:ascii="HYDaHeiJ" w:eastAsia="HYDaHeiJ"/>
      <w:sz w:val="24"/>
    </w:rPr>
  </w:style>
  <w:style w:type="paragraph" w:customStyle="1" w:styleId="637">
    <w:name w:val="font11"/>
    <w:basedOn w:val="1"/>
    <w:qFormat/>
    <w:uiPriority w:val="0"/>
    <w:pPr>
      <w:widowControl/>
      <w:spacing w:before="100" w:beforeAutospacing="1" w:after="100" w:afterAutospacing="1"/>
      <w:jc w:val="left"/>
    </w:pPr>
    <w:rPr>
      <w:b/>
      <w:bCs/>
      <w:sz w:val="18"/>
      <w:szCs w:val="18"/>
    </w:rPr>
  </w:style>
  <w:style w:type="paragraph" w:customStyle="1" w:styleId="638">
    <w:name w:val="方案文档"/>
    <w:basedOn w:val="1"/>
    <w:qFormat/>
    <w:uiPriority w:val="0"/>
    <w:pPr>
      <w:spacing w:before="60" w:after="60" w:line="360" w:lineRule="auto"/>
      <w:jc w:val="center"/>
    </w:pPr>
    <w:rPr>
      <w:rFonts w:ascii="宋体" w:hAnsi="宋体"/>
      <w:sz w:val="24"/>
      <w:szCs w:val="20"/>
      <w:lang w:val="zh-CN"/>
    </w:rPr>
  </w:style>
  <w:style w:type="paragraph" w:customStyle="1" w:styleId="639">
    <w:name w:val="af17cgridlangnp1033langf"/>
    <w:qFormat/>
    <w:uiPriority w:val="0"/>
    <w:pPr>
      <w:widowControl w:val="0"/>
      <w:spacing w:before="156" w:line="360" w:lineRule="atLeast"/>
      <w:ind w:left="567" w:firstLine="510"/>
      <w:jc w:val="both"/>
    </w:pPr>
    <w:rPr>
      <w:rFonts w:hint="default" w:ascii="Times New Roman" w:hAnsi="Times New Roman" w:eastAsia="宋体" w:cs="Times New Roman"/>
      <w:lang w:val="en-US" w:eastAsia="zh-CN" w:bidi="ar-SA"/>
    </w:rPr>
  </w:style>
  <w:style w:type="paragraph" w:customStyle="1" w:styleId="640">
    <w:name w:val="丁华标题2"/>
    <w:basedOn w:val="186"/>
    <w:next w:val="562"/>
    <w:qFormat/>
    <w:uiPriority w:val="0"/>
    <w:pPr>
      <w:tabs>
        <w:tab w:val="left" w:pos="567"/>
      </w:tabs>
      <w:spacing w:before="120" w:after="120"/>
      <w:ind w:left="567" w:hanging="567"/>
      <w:jc w:val="left"/>
    </w:pPr>
    <w:rPr>
      <w:color w:val="000000"/>
      <w:sz w:val="28"/>
      <w:szCs w:val="20"/>
    </w:rPr>
  </w:style>
  <w:style w:type="paragraph" w:customStyle="1" w:styleId="641">
    <w:name w:val="小四 段落 宋体 Char"/>
    <w:basedOn w:val="211"/>
    <w:qFormat/>
    <w:uiPriority w:val="0"/>
    <w:pPr>
      <w:tabs>
        <w:tab w:val="clear" w:pos="2952"/>
      </w:tabs>
      <w:ind w:left="0" w:right="-33" w:firstLine="600"/>
      <w:jc w:val="left"/>
    </w:pPr>
    <w:rPr>
      <w:rFonts w:ascii="仿宋_GB2312" w:eastAsia="仿宋_GB2312"/>
      <w:sz w:val="30"/>
      <w:szCs w:val="30"/>
    </w:rPr>
  </w:style>
  <w:style w:type="paragraph" w:customStyle="1" w:styleId="642">
    <w:name w:val="Bullets L1"/>
    <w:basedOn w:val="1"/>
    <w:qFormat/>
    <w:uiPriority w:val="0"/>
    <w:pPr>
      <w:widowControl/>
      <w:numPr>
        <w:ilvl w:val="0"/>
        <w:numId w:val="3"/>
      </w:numPr>
      <w:tabs>
        <w:tab w:val="left" w:pos="360"/>
      </w:tabs>
      <w:spacing w:before="60" w:after="60"/>
      <w:jc w:val="left"/>
    </w:pPr>
    <w:rPr>
      <w:rFonts w:ascii="Arial" w:hAnsi="Arial" w:eastAsia="Calibri" w:cs="宋体"/>
      <w:sz w:val="20"/>
      <w:szCs w:val="20"/>
      <w:lang w:val="zh-CN"/>
    </w:rPr>
  </w:style>
  <w:style w:type="paragraph" w:customStyle="1" w:styleId="643">
    <w:name w:val="Char1"/>
    <w:basedOn w:val="1"/>
    <w:qFormat/>
    <w:uiPriority w:val="0"/>
    <w:rPr>
      <w:rFonts w:ascii="仿宋_GB2312" w:hAnsi="宋体" w:eastAsia="仿宋_GB2312" w:cs="宋体"/>
      <w:b/>
      <w:sz w:val="32"/>
      <w:szCs w:val="32"/>
    </w:rPr>
  </w:style>
  <w:style w:type="paragraph" w:customStyle="1" w:styleId="644">
    <w:name w:val="zw"/>
    <w:basedOn w:val="1"/>
    <w:qFormat/>
    <w:uiPriority w:val="0"/>
    <w:pPr>
      <w:widowControl/>
      <w:spacing w:line="360" w:lineRule="auto"/>
      <w:ind w:firstLine="480"/>
      <w:jc w:val="left"/>
    </w:pPr>
    <w:rPr>
      <w:rFonts w:ascii="宋体" w:hAnsi="宋体"/>
      <w:bCs/>
      <w:sz w:val="24"/>
      <w:szCs w:val="20"/>
    </w:rPr>
  </w:style>
  <w:style w:type="paragraph" w:customStyle="1" w:styleId="645">
    <w:name w:val="a0"/>
    <w:basedOn w:val="1"/>
    <w:qFormat/>
    <w:uiPriority w:val="0"/>
    <w:pPr>
      <w:widowControl/>
      <w:spacing w:before="100" w:beforeAutospacing="1" w:after="100" w:afterAutospacing="1"/>
    </w:pPr>
    <w:rPr>
      <w:rFonts w:ascii="宋体" w:hAnsi="宋体" w:cs="宋体"/>
      <w:sz w:val="24"/>
    </w:rPr>
  </w:style>
  <w:style w:type="paragraph" w:customStyle="1" w:styleId="646">
    <w:name w:val="Char Char Char Char Char Char Char Char Char Char Char Char Char Char Char Char Char Char Char Char Char1"/>
    <w:basedOn w:val="1"/>
    <w:qFormat/>
    <w:uiPriority w:val="0"/>
    <w:rPr>
      <w:rFonts w:ascii="Tahoma" w:hAnsi="Tahoma"/>
      <w:sz w:val="24"/>
      <w:szCs w:val="20"/>
    </w:rPr>
  </w:style>
  <w:style w:type="paragraph" w:customStyle="1" w:styleId="647">
    <w:name w:val="Char Char Char Char Char Char Char Char Char Char Char Char Char Char1"/>
    <w:basedOn w:val="1"/>
    <w:qFormat/>
    <w:uiPriority w:val="0"/>
    <w:rPr>
      <w:rFonts w:ascii="Tahoma" w:hAnsi="Tahoma" w:cs="Tahoma"/>
      <w:sz w:val="24"/>
      <w:szCs w:val="20"/>
    </w:rPr>
  </w:style>
  <w:style w:type="paragraph" w:customStyle="1" w:styleId="648">
    <w:name w:val="纯文本1"/>
    <w:basedOn w:val="1"/>
    <w:qFormat/>
    <w:uiPriority w:val="0"/>
    <w:rPr>
      <w:rFonts w:ascii="宋体" w:hAnsi="宋体" w:eastAsia="楷体_GB2312" w:cs="宋体"/>
      <w:sz w:val="28"/>
      <w:szCs w:val="20"/>
    </w:rPr>
  </w:style>
  <w:style w:type="paragraph" w:customStyle="1" w:styleId="649">
    <w:name w:val="丁华标题1"/>
    <w:basedOn w:val="185"/>
    <w:next w:val="562"/>
    <w:qFormat/>
    <w:uiPriority w:val="0"/>
    <w:pPr>
      <w:numPr>
        <w:ilvl w:val="0"/>
        <w:numId w:val="4"/>
      </w:numPr>
      <w:tabs>
        <w:tab w:val="left" w:pos="567"/>
      </w:tabs>
      <w:spacing w:before="600" w:after="120" w:line="578" w:lineRule="auto"/>
      <w:jc w:val="left"/>
    </w:pPr>
    <w:rPr>
      <w:rFonts w:eastAsia="黑体"/>
      <w:b/>
      <w:bCs/>
      <w:sz w:val="32"/>
      <w:szCs w:val="20"/>
      <w:lang w:val="en-US" w:eastAsia="zh-CN"/>
    </w:rPr>
  </w:style>
  <w:style w:type="paragraph" w:customStyle="1" w:styleId="650">
    <w:name w:val="xl5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i/>
      <w:iCs/>
      <w:sz w:val="20"/>
      <w:szCs w:val="20"/>
    </w:rPr>
  </w:style>
  <w:style w:type="paragraph" w:customStyle="1" w:styleId="651">
    <w:name w:val="Normal Indent1"/>
    <w:basedOn w:val="1"/>
    <w:qFormat/>
    <w:uiPriority w:val="0"/>
    <w:pPr>
      <w:ind w:firstLine="420"/>
    </w:pPr>
    <w:rPr>
      <w:sz w:val="20"/>
      <w:szCs w:val="20"/>
    </w:rPr>
  </w:style>
  <w:style w:type="paragraph" w:customStyle="1" w:styleId="652">
    <w:name w:val="段落"/>
    <w:qFormat/>
    <w:uiPriority w:val="0"/>
    <w:pPr>
      <w:spacing w:before="120" w:after="120" w:line="360" w:lineRule="auto"/>
      <w:ind w:firstLine="480"/>
      <w:jc w:val="both"/>
    </w:pPr>
    <w:rPr>
      <w:rFonts w:hint="default" w:ascii="Times New Roman" w:hAnsi="Times New Roman" w:eastAsia="仿宋_GB2312" w:cs="Times New Roman"/>
      <w:sz w:val="24"/>
      <w:szCs w:val="24"/>
      <w:lang w:val="en-US" w:eastAsia="zh-CN" w:bidi="ar-SA"/>
    </w:rPr>
  </w:style>
  <w:style w:type="paragraph" w:customStyle="1" w:styleId="653">
    <w:name w:val="font10"/>
    <w:basedOn w:val="1"/>
    <w:qFormat/>
    <w:uiPriority w:val="0"/>
    <w:pPr>
      <w:widowControl/>
      <w:spacing w:before="100" w:beforeAutospacing="1" w:after="100" w:afterAutospacing="1"/>
      <w:jc w:val="left"/>
    </w:pPr>
    <w:rPr>
      <w:rFonts w:ascii="楷体_GB2312" w:hAnsi="宋体" w:eastAsia="楷体_GB2312" w:cs="宋体"/>
      <w:b/>
      <w:bCs/>
      <w:sz w:val="18"/>
      <w:szCs w:val="18"/>
    </w:rPr>
  </w:style>
  <w:style w:type="paragraph" w:customStyle="1" w:styleId="654">
    <w:name w:val=" Char Char Char Char Char Char Char Char Char"/>
    <w:basedOn w:val="1"/>
    <w:qFormat/>
    <w:uiPriority w:val="0"/>
    <w:pPr>
      <w:tabs>
        <w:tab w:val="left" w:pos="360"/>
      </w:tabs>
      <w:ind w:left="360" w:hanging="360"/>
    </w:pPr>
    <w:rPr>
      <w:rFonts w:ascii="Calibri" w:hAnsi="Calibri" w:eastAsia="Calibri" w:cs="宋体"/>
      <w:sz w:val="24"/>
      <w:lang w:val="zh-CN"/>
    </w:rPr>
  </w:style>
  <w:style w:type="paragraph" w:customStyle="1" w:styleId="655">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szCs w:val="20"/>
    </w:rPr>
  </w:style>
  <w:style w:type="paragraph" w:customStyle="1" w:styleId="656">
    <w:name w:val="标题3"/>
    <w:basedOn w:val="187"/>
    <w:qFormat/>
    <w:uiPriority w:val="0"/>
    <w:pPr>
      <w:keepNext w:val="0"/>
      <w:keepLines w:val="0"/>
      <w:spacing w:before="0" w:after="0" w:line="360" w:lineRule="auto"/>
    </w:pPr>
    <w:rPr>
      <w:rFonts w:eastAsia="仿宋_GB2312"/>
      <w:b w:val="0"/>
      <w:sz w:val="30"/>
    </w:rPr>
  </w:style>
  <w:style w:type="paragraph" w:customStyle="1" w:styleId="657">
    <w:name w:val="font9"/>
    <w:basedOn w:val="1"/>
    <w:qFormat/>
    <w:uiPriority w:val="0"/>
    <w:pPr>
      <w:widowControl/>
      <w:spacing w:before="100" w:beforeAutospacing="1" w:after="100" w:afterAutospacing="1"/>
      <w:jc w:val="left"/>
    </w:pPr>
    <w:rPr>
      <w:b/>
      <w:bCs/>
      <w:sz w:val="20"/>
      <w:szCs w:val="20"/>
    </w:rPr>
  </w:style>
  <w:style w:type="paragraph" w:customStyle="1" w:styleId="658">
    <w:name w:val="Pa5"/>
    <w:basedOn w:val="1"/>
    <w:next w:val="1"/>
    <w:qFormat/>
    <w:uiPriority w:val="0"/>
    <w:pPr>
      <w:spacing w:line="241" w:lineRule="atLeast"/>
      <w:jc w:val="left"/>
    </w:pPr>
    <w:rPr>
      <w:rFonts w:ascii="HYDaHeiJ" w:eastAsia="HYDaHeiJ"/>
      <w:sz w:val="24"/>
    </w:rPr>
  </w:style>
  <w:style w:type="paragraph" w:customStyle="1" w:styleId="659">
    <w:name w:val="Char Char Char Char Char Char Char1"/>
    <w:basedOn w:val="1"/>
    <w:qFormat/>
    <w:uiPriority w:val="0"/>
    <w:rPr>
      <w:rFonts w:ascii="Tahoma" w:hAnsi="Tahoma"/>
      <w:sz w:val="24"/>
      <w:szCs w:val="20"/>
    </w:rPr>
  </w:style>
  <w:style w:type="paragraph" w:customStyle="1" w:styleId="660">
    <w:name w:val="样式 段后: 0.5 行 左  0.75 字符"/>
    <w:basedOn w:val="1"/>
    <w:qFormat/>
    <w:uiPriority w:val="0"/>
    <w:pPr>
      <w:widowControl/>
      <w:spacing w:line="360" w:lineRule="auto"/>
      <w:ind w:firstLine="420"/>
    </w:pPr>
    <w:rPr>
      <w:rFonts w:hAnsi="Arial" w:cs="Arial"/>
      <w:szCs w:val="21"/>
    </w:rPr>
  </w:style>
  <w:style w:type="paragraph" w:customStyle="1" w:styleId="661">
    <w:name w:val="大标题"/>
    <w:basedOn w:val="1"/>
    <w:next w:val="1"/>
    <w:qFormat/>
    <w:uiPriority w:val="0"/>
    <w:pPr>
      <w:pageBreakBefore/>
      <w:tabs>
        <w:tab w:val="left" w:pos="420"/>
      </w:tabs>
      <w:spacing w:line="360" w:lineRule="auto"/>
      <w:ind w:hanging="420"/>
      <w:outlineLvl w:val="0"/>
    </w:pPr>
    <w:rPr>
      <w:b/>
      <w:iCs/>
      <w:sz w:val="44"/>
    </w:rPr>
  </w:style>
  <w:style w:type="paragraph" w:customStyle="1" w:styleId="662">
    <w:name w:val="正文1"/>
    <w:basedOn w:val="1"/>
    <w:next w:val="1"/>
    <w:qFormat/>
    <w:uiPriority w:val="0"/>
    <w:pPr>
      <w:spacing w:before="156" w:line="360" w:lineRule="auto"/>
      <w:ind w:firstLine="510"/>
    </w:pPr>
    <w:rPr>
      <w:sz w:val="24"/>
      <w:szCs w:val="20"/>
    </w:rPr>
  </w:style>
  <w:style w:type="paragraph" w:customStyle="1" w:styleId="663">
    <w:name w:val="标题4，章节第四层"/>
    <w:basedOn w:val="1"/>
    <w:next w:val="1"/>
    <w:qFormat/>
    <w:uiPriority w:val="0"/>
    <w:pPr>
      <w:tabs>
        <w:tab w:val="left" w:pos="0"/>
      </w:tabs>
      <w:spacing w:line="360" w:lineRule="auto"/>
      <w:outlineLvl w:val="3"/>
    </w:pPr>
    <w:rPr>
      <w:rFonts w:ascii="宋体" w:hAnsi="宋体"/>
      <w:b/>
      <w:sz w:val="24"/>
    </w:rPr>
  </w:style>
  <w:style w:type="paragraph" w:customStyle="1" w:styleId="664">
    <w:name w:val="论文正文"/>
    <w:basedOn w:val="234"/>
    <w:qFormat/>
    <w:uiPriority w:val="0"/>
    <w:pPr>
      <w:spacing w:line="360" w:lineRule="auto"/>
      <w:ind w:firstLine="200"/>
      <w:jc w:val="left"/>
    </w:pPr>
    <w:rPr>
      <w:rFonts w:ascii="Times New Roman" w:hAnsi="Times New Roman" w:eastAsia="仿宋_GB2312"/>
      <w:sz w:val="28"/>
    </w:rPr>
  </w:style>
  <w:style w:type="paragraph" w:customStyle="1" w:styleId="665">
    <w:name w:val=" Char Char1 Char"/>
    <w:basedOn w:val="1"/>
    <w:qFormat/>
    <w:uiPriority w:val="0"/>
    <w:pPr>
      <w:widowControl/>
      <w:spacing w:after="160" w:line="240" w:lineRule="exact"/>
      <w:jc w:val="left"/>
    </w:pPr>
    <w:rPr>
      <w:rFonts w:ascii="Verdana" w:hAnsi="Verdana" w:eastAsia="Calibri" w:cs="宋体"/>
      <w:sz w:val="20"/>
      <w:szCs w:val="20"/>
      <w:lang w:val="zh-CN" w:eastAsia="en-US"/>
    </w:rPr>
  </w:style>
  <w:style w:type="paragraph" w:customStyle="1" w:styleId="666">
    <w:name w:val="Char Char1 Char Char Char Char"/>
    <w:basedOn w:val="213"/>
    <w:qFormat/>
    <w:uiPriority w:val="0"/>
    <w:pPr>
      <w:spacing w:line="436" w:lineRule="exact"/>
      <w:ind w:left="357"/>
      <w:jc w:val="left"/>
      <w:outlineLvl w:val="3"/>
    </w:pPr>
    <w:rPr>
      <w:rFonts w:ascii="Tahoma" w:hAnsi="Tahoma" w:cs="Tahoma"/>
      <w:b/>
      <w:sz w:val="24"/>
    </w:rPr>
  </w:style>
  <w:style w:type="paragraph" w:customStyle="1" w:styleId="667">
    <w:name w:val="样式2"/>
    <w:basedOn w:val="1"/>
    <w:qFormat/>
    <w:uiPriority w:val="0"/>
    <w:pPr>
      <w:spacing w:line="360" w:lineRule="auto"/>
      <w:ind w:left="200"/>
    </w:pPr>
    <w:rPr>
      <w:rFonts w:ascii="宋体" w:hAnsi="宋体"/>
      <w:b/>
      <w:sz w:val="24"/>
    </w:rPr>
  </w:style>
  <w:style w:type="paragraph" w:customStyle="1" w:styleId="668">
    <w:name w:val="条1"/>
    <w:basedOn w:val="1"/>
    <w:qFormat/>
    <w:uiPriority w:val="0"/>
    <w:pPr>
      <w:tabs>
        <w:tab w:val="left" w:pos="780"/>
      </w:tabs>
      <w:spacing w:before="156" w:line="360" w:lineRule="auto"/>
      <w:ind w:left="780" w:hanging="360"/>
    </w:pPr>
    <w:rPr>
      <w:rFonts w:eastAsia="黑体"/>
      <w:sz w:val="24"/>
      <w:szCs w:val="20"/>
    </w:rPr>
  </w:style>
  <w:style w:type="paragraph" w:customStyle="1" w:styleId="669">
    <w:name w:val=" Char Char Char Char Char"/>
    <w:basedOn w:val="1"/>
    <w:qFormat/>
    <w:uiPriority w:val="0"/>
    <w:rPr>
      <w:rFonts w:ascii="Tahoma" w:hAnsi="Tahoma" w:eastAsia="Calibri" w:cs="宋体"/>
      <w:sz w:val="24"/>
      <w:szCs w:val="20"/>
      <w:lang w:val="zh-CN"/>
    </w:rPr>
  </w:style>
  <w:style w:type="paragraph" w:customStyle="1" w:styleId="670">
    <w:name w:val="TOC 标题"/>
    <w:basedOn w:val="185"/>
    <w:next w:val="1"/>
    <w:qFormat/>
    <w:uiPriority w:val="39"/>
    <w:pPr>
      <w:spacing w:line="578" w:lineRule="auto"/>
      <w:outlineLvl w:val="9"/>
    </w:pPr>
    <w:rPr>
      <w:lang w:val="en-US" w:eastAsia="zh-CN"/>
    </w:rPr>
  </w:style>
  <w:style w:type="paragraph" w:customStyle="1" w:styleId="671">
    <w:name w:val="标题1，章节第一层"/>
    <w:basedOn w:val="443"/>
    <w:next w:val="443"/>
    <w:qFormat/>
    <w:uiPriority w:val="0"/>
    <w:pPr>
      <w:tabs>
        <w:tab w:val="left" w:pos="693"/>
      </w:tabs>
      <w:ind w:left="482"/>
      <w:outlineLvl w:val="0"/>
    </w:pPr>
    <w:rPr>
      <w:color w:val="000000"/>
      <w:sz w:val="24"/>
      <w:szCs w:val="24"/>
    </w:rPr>
  </w:style>
  <w:style w:type="paragraph" w:customStyle="1" w:styleId="672">
    <w:name w:val="xl62"/>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szCs w:val="20"/>
    </w:rPr>
  </w:style>
  <w:style w:type="paragraph" w:customStyle="1" w:styleId="673">
    <w:name w:val="样式1"/>
    <w:basedOn w:val="1"/>
    <w:qFormat/>
    <w:uiPriority w:val="0"/>
    <w:pPr>
      <w:spacing w:line="300" w:lineRule="auto"/>
      <w:ind w:firstLine="480"/>
    </w:pPr>
    <w:rPr>
      <w:sz w:val="24"/>
    </w:rPr>
  </w:style>
  <w:style w:type="paragraph" w:customStyle="1" w:styleId="674">
    <w:name w:val="Char11"/>
    <w:basedOn w:val="1"/>
    <w:qFormat/>
    <w:uiPriority w:val="0"/>
    <w:rPr>
      <w:rFonts w:ascii="仿宋_GB2312" w:eastAsia="仿宋_GB2312"/>
      <w:b/>
      <w:sz w:val="32"/>
      <w:szCs w:val="32"/>
    </w:rPr>
  </w:style>
  <w:style w:type="paragraph" w:customStyle="1" w:styleId="675">
    <w:name w:val="丁华标题3"/>
    <w:basedOn w:val="640"/>
    <w:next w:val="562"/>
    <w:qFormat/>
    <w:uiPriority w:val="0"/>
    <w:pPr>
      <w:numPr>
        <w:ilvl w:val="2"/>
        <w:numId w:val="4"/>
      </w:numPr>
      <w:tabs>
        <w:tab w:val="left" w:pos="1470"/>
        <w:tab w:val="left" w:pos="1980"/>
      </w:tabs>
      <w:spacing w:after="0" w:line="415" w:lineRule="auto"/>
      <w:ind w:left="1980" w:hanging="420"/>
      <w:outlineLvl w:val="2"/>
    </w:pPr>
    <w:rPr>
      <w:b w:val="0"/>
      <w:bCs w:val="0"/>
      <w:color w:val="000000"/>
      <w:sz w:val="24"/>
      <w:lang w:val="en-US" w:eastAsia="zh-CN"/>
    </w:rPr>
  </w:style>
  <w:style w:type="paragraph" w:customStyle="1" w:styleId="676">
    <w:name w:val="列表内容"/>
    <w:basedOn w:val="1"/>
    <w:next w:val="1"/>
    <w:qFormat/>
    <w:uiPriority w:val="0"/>
    <w:pPr>
      <w:widowControl/>
      <w:tabs>
        <w:tab w:val="left" w:pos="840"/>
      </w:tabs>
      <w:ind w:left="840" w:hanging="420"/>
      <w:jc w:val="left"/>
    </w:pPr>
    <w:rPr>
      <w:sz w:val="18"/>
    </w:rPr>
  </w:style>
  <w:style w:type="paragraph" w:customStyle="1" w:styleId="677">
    <w:name w:val="表头_5"/>
    <w:basedOn w:val="1"/>
    <w:qFormat/>
    <w:uiPriority w:val="0"/>
    <w:pPr>
      <w:spacing w:line="360" w:lineRule="auto"/>
    </w:pPr>
    <w:rPr>
      <w:b/>
      <w:bCs/>
      <w:sz w:val="28"/>
      <w:szCs w:val="21"/>
    </w:rPr>
  </w:style>
  <w:style w:type="paragraph" w:customStyle="1" w:styleId="678">
    <w:name w:val="小四 段落 宋体"/>
    <w:basedOn w:val="211"/>
    <w:qFormat/>
    <w:uiPriority w:val="0"/>
    <w:pPr>
      <w:tabs>
        <w:tab w:val="clear" w:pos="2952"/>
      </w:tabs>
      <w:spacing w:line="360" w:lineRule="auto"/>
      <w:ind w:left="113" w:right="113" w:firstLine="425"/>
      <w:jc w:val="left"/>
    </w:pPr>
    <w:rPr>
      <w:sz w:val="24"/>
    </w:rPr>
  </w:style>
  <w:style w:type="paragraph" w:customStyle="1" w:styleId="679">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szCs w:val="20"/>
    </w:rPr>
  </w:style>
  <w:style w:type="paragraph" w:customStyle="1" w:styleId="680">
    <w:name w:val="附录1"/>
    <w:qFormat/>
    <w:uiPriority w:val="0"/>
    <w:pPr>
      <w:tabs>
        <w:tab w:val="left" w:pos="907"/>
      </w:tabs>
      <w:spacing w:before="240" w:line="600" w:lineRule="atLeast"/>
      <w:ind w:left="902" w:hanging="420"/>
    </w:pPr>
    <w:rPr>
      <w:rFonts w:hint="default" w:ascii="Times New Roman" w:hAnsi="Times New Roman" w:eastAsia="宋体" w:cs="Times New Roman"/>
      <w:b/>
      <w:i/>
      <w:sz w:val="28"/>
      <w:lang w:val="en-US" w:eastAsia="zh-CN" w:bidi="ar-SA"/>
    </w:rPr>
  </w:style>
  <w:style w:type="paragraph" w:customStyle="1" w:styleId="681">
    <w:name w:val="二级目录"/>
    <w:next w:val="1"/>
    <w:qFormat/>
    <w:uiPriority w:val="0"/>
    <w:pPr>
      <w:tabs>
        <w:tab w:val="left" w:pos="360"/>
        <w:tab w:val="left" w:pos="1145"/>
      </w:tabs>
      <w:outlineLvl w:val="1"/>
    </w:pPr>
    <w:rPr>
      <w:rFonts w:hint="default" w:ascii="Times New Roman" w:hAnsi="Times New Roman" w:eastAsia="宋体" w:cs="Times New Roman"/>
      <w:b/>
      <w:sz w:val="30"/>
      <w:szCs w:val="28"/>
      <w:lang w:val="en-US" w:eastAsia="zh-CN" w:bidi="ar-SA"/>
    </w:rPr>
  </w:style>
  <w:style w:type="paragraph" w:customStyle="1" w:styleId="682">
    <w:name w:val="Char Char"/>
    <w:basedOn w:val="1"/>
    <w:qFormat/>
    <w:uiPriority w:val="0"/>
    <w:rPr>
      <w:rFonts w:ascii="Tahoma" w:hAnsi="Tahoma"/>
      <w:sz w:val="24"/>
      <w:szCs w:val="20"/>
    </w:rPr>
  </w:style>
  <w:style w:type="paragraph" w:customStyle="1" w:styleId="683">
    <w:name w:val="Normal11"/>
    <w:basedOn w:val="1"/>
    <w:qFormat/>
    <w:uiPriority w:val="0"/>
    <w:rPr>
      <w:rFonts w:ascii="Calibri" w:hAnsi="Calibri" w:eastAsia="Calibri" w:cs="宋体"/>
      <w:sz w:val="20"/>
      <w:szCs w:val="20"/>
      <w:lang w:val="zh-CN"/>
    </w:rPr>
  </w:style>
  <w:style w:type="paragraph" w:customStyle="1" w:styleId="684">
    <w:name w:val=" Char Char Char Char Char Char Char"/>
    <w:basedOn w:val="1"/>
    <w:qFormat/>
    <w:uiPriority w:val="0"/>
    <w:rPr>
      <w:rFonts w:ascii="Tahoma" w:hAnsi="Tahoma" w:eastAsia="Calibri" w:cs="宋体"/>
      <w:sz w:val="24"/>
      <w:szCs w:val="20"/>
      <w:lang w:val="zh-CN"/>
    </w:rPr>
  </w:style>
  <w:style w:type="paragraph" w:customStyle="1" w:styleId="685">
    <w:name w:val="Char Char Char Char Char Char Char"/>
    <w:basedOn w:val="1"/>
    <w:qFormat/>
    <w:uiPriority w:val="0"/>
    <w:pPr>
      <w:jc w:val="left"/>
    </w:pPr>
    <w:rPr>
      <w:rFonts w:ascii="Tahoma" w:hAnsi="Tahoma"/>
      <w:sz w:val="24"/>
      <w:szCs w:val="20"/>
    </w:rPr>
  </w:style>
  <w:style w:type="paragraph" w:customStyle="1" w:styleId="686">
    <w:name w:val="Char"/>
    <w:basedOn w:val="1"/>
    <w:qFormat/>
    <w:uiPriority w:val="0"/>
    <w:pPr>
      <w:spacing w:line="360" w:lineRule="auto"/>
    </w:pPr>
    <w:rPr>
      <w:rFonts w:ascii="Tahoma" w:hAnsi="Tahoma"/>
      <w:sz w:val="24"/>
      <w:szCs w:val="20"/>
    </w:rPr>
  </w:style>
  <w:style w:type="paragraph" w:customStyle="1" w:styleId="687">
    <w:name w:val="普通文字"/>
    <w:basedOn w:val="1"/>
    <w:next w:val="1"/>
    <w:qFormat/>
    <w:uiPriority w:val="0"/>
    <w:rPr>
      <w:rFonts w:ascii="宋体" w:hAnsi="宋体" w:cs="宋体"/>
      <w:sz w:val="24"/>
      <w:szCs w:val="20"/>
    </w:rPr>
  </w:style>
  <w:style w:type="paragraph" w:customStyle="1" w:styleId="688">
    <w:name w:val="Char Char110"/>
    <w:basedOn w:val="1"/>
    <w:qFormat/>
    <w:uiPriority w:val="0"/>
    <w:rPr>
      <w:rFonts w:ascii="Tahoma" w:hAnsi="Tahoma" w:cs="Tahoma"/>
      <w:sz w:val="24"/>
      <w:szCs w:val="20"/>
    </w:rPr>
  </w:style>
  <w:style w:type="paragraph" w:customStyle="1" w:styleId="689">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sz w:val="20"/>
      <w:szCs w:val="20"/>
    </w:rPr>
  </w:style>
  <w:style w:type="paragraph" w:customStyle="1" w:styleId="690">
    <w:name w:val="xl53"/>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szCs w:val="20"/>
    </w:rPr>
  </w:style>
  <w:style w:type="paragraph" w:customStyle="1" w:styleId="691">
    <w:name w:val="项目符号：一级"/>
    <w:basedOn w:val="443"/>
    <w:next w:val="443"/>
    <w:qFormat/>
    <w:uiPriority w:val="0"/>
    <w:pPr>
      <w:ind w:right="-134"/>
    </w:pPr>
    <w:rPr>
      <w:bCs w:val="0"/>
    </w:rPr>
  </w:style>
  <w:style w:type="paragraph" w:customStyle="1" w:styleId="692">
    <w:name w:val="Default Text"/>
    <w:basedOn w:val="1"/>
    <w:qFormat/>
    <w:uiPriority w:val="0"/>
    <w:pPr>
      <w:widowControl/>
      <w:jc w:val="left"/>
    </w:pPr>
    <w:rPr>
      <w:sz w:val="24"/>
      <w:szCs w:val="20"/>
      <w:lang w:eastAsia="en-US"/>
    </w:rPr>
  </w:style>
  <w:style w:type="paragraph" w:customStyle="1" w:styleId="693">
    <w:name w:val="Heading #2|1"/>
    <w:basedOn w:val="1"/>
    <w:qFormat/>
    <w:uiPriority w:val="0"/>
    <w:pPr>
      <w:spacing w:after="500" w:line="571" w:lineRule="exact"/>
      <w:jc w:val="center"/>
      <w:outlineLvl w:val="1"/>
    </w:pPr>
    <w:rPr>
      <w:rFonts w:ascii="宋体" w:hAnsi="宋体" w:cs="宋体"/>
      <w:sz w:val="34"/>
      <w:szCs w:val="34"/>
      <w:lang w:val="zh-TW" w:eastAsia="zh-TW" w:bidi="zh-TW"/>
    </w:rPr>
  </w:style>
  <w:style w:type="paragraph" w:customStyle="1" w:styleId="694">
    <w:name w:val="Body text|1"/>
    <w:basedOn w:val="1"/>
    <w:qFormat/>
    <w:uiPriority w:val="0"/>
    <w:pPr>
      <w:spacing w:line="400" w:lineRule="auto"/>
      <w:ind w:firstLine="400"/>
      <w:jc w:val="left"/>
    </w:pPr>
    <w:rPr>
      <w:rFonts w:ascii="宋体" w:hAnsi="宋体" w:cs="宋体"/>
      <w:sz w:val="28"/>
      <w:szCs w:val="28"/>
      <w:lang w:val="zh-TW" w:eastAsia="zh-TW" w:bidi="zh-TW"/>
    </w:rPr>
  </w:style>
  <w:style w:type="paragraph" w:customStyle="1" w:styleId="695">
    <w:name w:val="BodyText1"/>
    <w:basedOn w:val="1"/>
    <w:qFormat/>
    <w:uiPriority w:val="0"/>
    <w:pPr>
      <w:spacing w:line="500" w:lineRule="exact"/>
    </w:pPr>
    <w:rPr>
      <w:rFonts w:ascii="Calibri" w:hAnsi="Calibri" w:eastAsia="楷体_GB2312"/>
      <w:sz w:val="30"/>
      <w:szCs w:val="30"/>
    </w:rPr>
  </w:style>
  <w:style w:type="character" w:customStyle="1" w:styleId="696">
    <w:name w:val="font01"/>
    <w:link w:val="1"/>
    <w:qFormat/>
    <w:uiPriority w:val="0"/>
    <w:rPr>
      <w:rFonts w:hint="eastAsia" w:ascii="宋体" w:hAnsi="宋体" w:eastAsia="宋体" w:cs="宋体"/>
      <w:color w:val="000000"/>
      <w:sz w:val="22"/>
      <w:szCs w:val="22"/>
      <w:u w:val="none"/>
    </w:rPr>
  </w:style>
  <w:style w:type="paragraph" w:customStyle="1" w:styleId="697">
    <w:name w:val="_Style 32"/>
    <w:basedOn w:val="1"/>
    <w:next w:val="588"/>
    <w:qFormat/>
    <w:uiPriority w:val="0"/>
    <w:pPr>
      <w:widowControl w:val="0"/>
      <w:ind w:firstLine="420"/>
      <w:jc w:val="both"/>
    </w:pPr>
    <w:rPr>
      <w:rFonts w:eastAsia="宋体" w:cs="Times New Roman"/>
      <w:color w:val="000000"/>
      <w:sz w:val="21"/>
      <w:lang w:val="zh-CN"/>
    </w:rPr>
  </w:style>
  <w:style w:type="paragraph" w:customStyle="1" w:styleId="698">
    <w:name w:val="格式10"/>
    <w:basedOn w:val="1"/>
    <w:qFormat/>
    <w:uiPriority w:val="0"/>
    <w:pPr>
      <w:spacing w:line="360" w:lineRule="exact"/>
      <w:ind w:left="480"/>
    </w:pPr>
    <w:rPr>
      <w:sz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Company>
  <Pages>98</Pages>
  <Words>8826</Words>
  <Characters>9387</Characters>
  <TotalTime>1</TotalTime>
  <ScaleCrop>false</ScaleCrop>
  <LinksUpToDate>false</LinksUpToDate>
  <CharactersWithSpaces>9402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2021-10-19T06:56:00Z</dcterms:created>
  <dc:creator>吴</dc:creator>
  <cp:lastModifiedBy>Z.</cp:lastModifiedBy>
  <dcterms:modified xsi:type="dcterms:W3CDTF">2026-05-26T07:51:24Z</dcterms:modified>
  <dc:title>公开招</dc:title>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eyJoZGlkIjoiYzliOTZjZjk2YzUzOGMyZDgyZDRmY2NjZjYzYjViNzYiLCJ1c2VySWQiOiI1MzU0NzA1NDcifQ==</vt:lpwstr>
  </property>
  <property fmtid="{D5CDD505-2E9C-101B-9397-08002B2CF9AE}" pid="4" name="ICV">
    <vt:lpwstr>B82077827A0943F5B4897AB0BFD6AE8F_13</vt:lpwstr>
  </property>
</Properties>
</file>