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rPr>
      </w:pPr>
      <w:r>
        <w:rPr>
          <w:rFonts w:hint="eastAsia"/>
        </w:rPr>
      </w:r>
      <w:r/>
    </w:p>
    <w:p>
      <w:pPr>
        <w:pStyle w:val="955"/>
        <w:ind w:firstLine="0"/>
        <w:jc w:val="center"/>
        <w:rPr>
          <w:rFonts w:hint="eastAsia" w:eastAsia="黑体"/>
          <w:b/>
          <w:bCs/>
          <w:sz w:val="84"/>
        </w:rPr>
      </w:pPr>
      <w:r>
        <w:rPr>
          <w:rFonts w:hint="eastAsia" w:eastAsia="黑体"/>
          <w:b/>
          <w:bCs/>
          <w:sz w:val="84"/>
        </w:rPr>
        <w:t xml:space="preserve">招　标　文　件</w:t>
      </w:r>
      <w:r/>
    </w:p>
    <w:p>
      <w:pPr>
        <w:pStyle w:val="955"/>
        <w:ind w:firstLine="0"/>
        <w:jc w:val="center"/>
        <w:rPr>
          <w:rFonts w:hint="eastAsia"/>
          <w:b/>
          <w:bCs/>
          <w:sz w:val="32"/>
        </w:rPr>
      </w:pPr>
      <w:r>
        <w:rPr>
          <w:rFonts w:hint="eastAsia"/>
          <w:b/>
          <w:bCs/>
          <w:sz w:val="32"/>
        </w:rPr>
      </w:r>
      <w:r/>
    </w:p>
    <w:p>
      <w:pPr>
        <w:pStyle w:val="955"/>
        <w:ind w:firstLine="0"/>
        <w:jc w:val="center"/>
        <w:rPr>
          <w:rFonts w:hint="eastAsia"/>
          <w:b/>
          <w:bCs/>
          <w:sz w:val="32"/>
        </w:rPr>
      </w:pPr>
      <w:r>
        <w:rPr>
          <w:rFonts w:hint="eastAsia"/>
          <w:b/>
          <w:bCs/>
          <w:sz w:val="32"/>
        </w:rPr>
      </w:r>
      <w:r/>
    </w:p>
    <w:p>
      <w:pPr>
        <w:pStyle w:val="955"/>
        <w:ind w:firstLine="0"/>
        <w:jc w:val="center"/>
        <w:rPr>
          <w:rFonts w:hint="eastAsia"/>
          <w:b/>
          <w:bCs/>
          <w:sz w:val="32"/>
        </w:rPr>
      </w:pPr>
      <w:r>
        <w:rPr>
          <w:rFonts w:hint="eastAsia"/>
          <w:b/>
          <w:bCs/>
          <w:sz w:val="32"/>
        </w:rPr>
        <w:t xml:space="preserve">项目名称：江苏省人民医院城市人群癌症机会性筛查系统</w:t>
      </w:r>
      <w:r/>
    </w:p>
    <w:p>
      <w:pPr>
        <w:pStyle w:val="955"/>
        <w:ind w:firstLine="0"/>
        <w:jc w:val="center"/>
        <w:rPr>
          <w:rFonts w:hint="eastAsia"/>
          <w:b/>
          <w:bCs/>
          <w:sz w:val="32"/>
        </w:rPr>
      </w:pPr>
      <w:r>
        <w:rPr>
          <w:rFonts w:hint="eastAsia"/>
          <w:b/>
          <w:bCs/>
          <w:sz w:val="32"/>
        </w:rPr>
        <w:t xml:space="preserve">采购项目</w:t>
      </w:r>
      <w:r/>
    </w:p>
    <w:p>
      <w:pPr>
        <w:jc w:val="center"/>
        <w:rPr>
          <w:rFonts w:hint="eastAsia" w:ascii="Times New Roman" w:hAnsi="Times New Roman" w:eastAsia="宋体"/>
          <w:b/>
          <w:color w:val="ff0000"/>
          <w:sz w:val="24"/>
          <w:szCs w:val="24"/>
          <w:lang w:val="en-US" w:eastAsia="zh-CN"/>
        </w:rPr>
      </w:pPr>
      <w:r>
        <w:rPr>
          <w:rFonts w:hint="eastAsia"/>
          <w:b/>
          <w:bCs/>
          <w:sz w:val="32"/>
          <w:lang w:eastAsia="zh-CN"/>
        </w:rPr>
        <w:t xml:space="preserve">采购编号</w:t>
      </w:r>
      <w:r>
        <w:rPr>
          <w:rFonts w:hint="eastAsia"/>
          <w:b/>
          <w:bCs/>
          <w:sz w:val="32"/>
        </w:rPr>
        <w:t xml:space="preserve">：JSZC-320000-SCZX-G2026-0109</w:t>
      </w:r>
      <w:r/>
    </w:p>
    <w:p>
      <w:pPr>
        <w:pStyle w:val="955"/>
        <w:ind w:firstLine="0"/>
        <w:spacing w:before="0" w:after="0"/>
        <w:rPr>
          <w:rFonts w:hint="eastAsia" w:ascii="宋体" w:hAnsi="宋体"/>
        </w:rPr>
      </w:pPr>
      <w:r>
        <w:rPr>
          <w:rFonts w:hint="eastAsia" w:ascii="宋体" w:hAnsi="宋体"/>
        </w:rPr>
      </w:r>
      <w:r/>
    </w:p>
    <w:p>
      <w:pPr>
        <w:pStyle w:val="955"/>
        <w:ind w:firstLine="0"/>
        <w:spacing w:before="0" w:after="0"/>
        <w:rPr>
          <w:rFonts w:hint="eastAsia" w:ascii="宋体" w:hAnsi="宋体"/>
        </w:rPr>
      </w:pPr>
      <w:r>
        <w:rPr>
          <w:rFonts w:hint="eastAsia" w:ascii="宋体" w:hAnsi="宋体"/>
        </w:rPr>
      </w:r>
      <w:r/>
    </w:p>
    <w:p>
      <w:pPr>
        <w:pStyle w:val="955"/>
        <w:ind w:firstLine="0"/>
        <w:spacing w:before="0" w:after="0"/>
        <w:rPr>
          <w:rFonts w:hint="eastAsia" w:ascii="宋体" w:hAnsi="宋体"/>
        </w:rPr>
      </w:pPr>
      <w:r>
        <w:rPr>
          <w:rFonts w:hint="eastAsia" w:ascii="宋体" w:hAnsi="宋体"/>
        </w:rPr>
      </w:r>
      <w:r/>
    </w:p>
    <w:p>
      <w:pPr>
        <w:pStyle w:val="955"/>
        <w:ind w:firstLine="0"/>
        <w:spacing w:before="0" w:after="0"/>
        <w:rPr>
          <w:rFonts w:hint="eastAsia" w:ascii="宋体" w:hAnsi="宋体"/>
        </w:rPr>
      </w:pPr>
      <w:r>
        <w:rPr>
          <w:rFonts w:hint="eastAsia" w:ascii="宋体" w:hAnsi="宋体"/>
        </w:rPr>
      </w:r>
      <w:r/>
    </w:p>
    <w:p>
      <w:pPr>
        <w:pStyle w:val="955"/>
        <w:ind w:firstLine="0"/>
        <w:spacing w:before="0" w:after="0"/>
        <w:rPr>
          <w:rFonts w:hint="eastAsia" w:ascii="宋体" w:hAnsi="宋体"/>
        </w:rPr>
      </w:pPr>
      <w:r>
        <w:rPr>
          <w:rFonts w:hint="eastAsia" w:ascii="宋体" w:hAnsi="宋体"/>
        </w:rPr>
      </w:r>
      <w:r/>
    </w:p>
    <w:p>
      <w:pPr>
        <w:pStyle w:val="955"/>
        <w:ind w:firstLine="0"/>
        <w:spacing w:before="0" w:after="0"/>
        <w:rPr>
          <w:rFonts w:hint="eastAsia" w:ascii="宋体" w:hAnsi="宋体"/>
        </w:rPr>
      </w:pPr>
      <w:r>
        <w:rPr>
          <w:rFonts w:hint="eastAsia" w:ascii="宋体" w:hAnsi="宋体"/>
        </w:rPr>
      </w:r>
      <w:r/>
    </w:p>
    <w:p>
      <w:pPr>
        <w:pStyle w:val="955"/>
        <w:ind w:firstLine="0"/>
        <w:spacing w:before="0" w:after="0"/>
        <w:rPr>
          <w:rFonts w:hint="eastAsia" w:ascii="宋体" w:hAnsi="宋体"/>
        </w:rPr>
      </w:pPr>
      <w:r>
        <w:rPr>
          <w:rFonts w:hint="eastAsia" w:ascii="宋体" w:hAnsi="宋体"/>
        </w:rPr>
      </w:r>
      <w:r/>
    </w:p>
    <w:p>
      <w:pPr>
        <w:pStyle w:val="955"/>
        <w:ind w:firstLine="0"/>
        <w:jc w:val="center"/>
        <w:rPr>
          <w:rFonts w:hint="eastAsia"/>
          <w:b/>
          <w:bCs/>
          <w:sz w:val="32"/>
        </w:rPr>
      </w:pPr>
      <w:r>
        <w:rPr>
          <w:rFonts w:hint="eastAsia"/>
          <w:b/>
          <w:bCs/>
          <w:sz w:val="32"/>
        </w:rPr>
        <w:t xml:space="preserve">江苏省政府采购中心</w:t>
      </w:r>
      <w:r/>
    </w:p>
    <w:p>
      <w:pPr>
        <w:pStyle w:val="955"/>
        <w:ind w:firstLine="0"/>
        <w:jc w:val="center"/>
        <w:rPr>
          <w:rFonts w:hint="eastAsia"/>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4</w:t>
      </w:r>
      <w:r>
        <w:rPr>
          <w:rFonts w:hint="eastAsia"/>
          <w:b/>
          <w:bCs/>
          <w:sz w:val="32"/>
        </w:rPr>
        <w:t xml:space="preserve">月</w:t>
      </w:r>
      <w:r/>
    </w:p>
    <w:p>
      <w:pPr>
        <w:pStyle w:val="955"/>
        <w:ind w:firstLine="0"/>
        <w:rPr>
          <w:rFonts w:hint="eastAsia"/>
          <w:u w:val="single"/>
        </w:rPr>
      </w:pPr>
      <w:r>
        <w:rPr>
          <w:rFonts w:hint="eastAsia"/>
        </w:rPr>
        <w:t xml:space="preserve">                        </w:t>
      </w:r>
      <w:r/>
    </w:p>
    <w:p>
      <w:pPr>
        <w:pStyle w:val="955"/>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479757206"/>
      <w:r/>
      <w:bookmarkStart w:id="3" w:name="_Toc523127445"/>
      <w:r/>
      <w:bookmarkStart w:id="4" w:name="_Toc513029200"/>
      <w:r/>
      <w:bookmarkStart w:id="5" w:name="_Toc20823272"/>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3</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15</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18</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31</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35</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7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400" w:lineRule="exact"/>
        <w:rPr>
          <w:rFonts w:ascii="宋体" w:hAnsi="宋体"/>
          <w:sz w:val="24"/>
          <w:szCs w:val="24"/>
        </w:rPr>
      </w:pPr>
      <w:r>
        <w:rPr>
          <w:rFonts w:hint="eastAsia" w:ascii="宋体" w:hAnsi="宋体"/>
          <w:sz w:val="24"/>
          <w:szCs w:val="24"/>
        </w:rPr>
        <w:t xml:space="preserve">受江苏省人民医院的委托，江苏省政府采购中心就江苏省人民医院城市人群癌症机会性筛查系统采购项目(JSZC-320000-SCZX-G2026-0109)进行公开招标采购，欢迎符合条件的供应商投标。</w:t>
      </w:r>
      <w:r/>
    </w:p>
    <w:p>
      <w:pPr>
        <w:ind w:firstLine="480"/>
        <w:spacing w:line="40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 (江苏省人民医院城市人群癌症机会性筛查系统采购项</w:t>
      </w:r>
      <w:r>
        <w:rPr>
          <w:rFonts w:ascii="宋体" w:hAnsi="宋体"/>
          <w:sz w:val="24"/>
          <w:szCs w:val="24"/>
          <w:u w:val="single"/>
        </w:rPr>
        <w:t xml:space="preserve">)</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lang w:val="en-US" w:eastAsia="zh-CN"/>
        </w:rPr>
        <w:t xml:space="preserve">2026</w:t>
      </w:r>
      <w:r>
        <w:rPr>
          <w:rFonts w:ascii="宋体" w:hAnsi="宋体"/>
          <w:sz w:val="24"/>
          <w:szCs w:val="24"/>
          <w:u w:val="single"/>
        </w:rPr>
        <w:t xml:space="preserve">  </w:t>
      </w:r>
      <w:r>
        <w:rPr>
          <w:rFonts w:hint="eastAsia" w:ascii="宋体" w:hAnsi="宋体"/>
          <w:bCs/>
          <w:sz w:val="24"/>
          <w:szCs w:val="24"/>
          <w:u w:val="single"/>
        </w:rPr>
        <w:t xml:space="preserve">年 </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 月 24 日    9点  30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72"/>
        <w:ind w:firstLine="498"/>
        <w:spacing w:before="145" w:after="145" w:line="400" w:lineRule="exact"/>
      </w:pPr>
      <w:r/>
      <w:bookmarkStart w:id="6" w:name="_Toc28359002"/>
      <w:r/>
      <w:bookmarkStart w:id="7" w:name="_Toc35393790"/>
      <w:r/>
      <w:bookmarkStart w:id="8" w:name="_Toc28359079"/>
      <w:r/>
      <w:bookmarkStart w:id="9" w:name="_Toc35393621"/>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采购编号</w:t>
      </w:r>
      <w:r>
        <w:rPr>
          <w:rFonts w:hint="eastAsia" w:ascii="宋体" w:hAnsi="宋体"/>
          <w:sz w:val="24"/>
          <w:szCs w:val="24"/>
        </w:rPr>
        <w:t xml:space="preserve">：</w:t>
      </w:r>
      <w:r>
        <w:rPr>
          <w:rFonts w:hint="eastAsia" w:ascii="宋体" w:hAnsi="宋体" w:eastAsia="宋体" w:cs="Times New Roman"/>
          <w:sz w:val="24"/>
          <w:szCs w:val="24"/>
          <w:lang w:eastAsia="zh-CN"/>
        </w:rPr>
        <w:t xml:space="preserve">JSZC-320000-</w:t>
      </w:r>
      <w:r>
        <w:rPr>
          <w:rFonts w:hint="eastAsia" w:ascii="宋体" w:hAnsi="宋体" w:eastAsia="宋体" w:cs="Times New Roman"/>
          <w:sz w:val="24"/>
          <w:szCs w:val="24"/>
          <w:lang w:val="en-US" w:eastAsia="zh-CN"/>
        </w:rPr>
        <w:t xml:space="preserve">SCZX-G2026-0109</w:t>
      </w:r>
      <w:r>
        <w:rPr>
          <w:rFonts w:hint="eastAsia" w:ascii="宋体" w:hAnsi="宋体" w:eastAsia="宋体" w:cs="Times New Roman"/>
          <w:sz w:val="24"/>
          <w:szCs w:val="24"/>
          <w:lang w:eastAsia="zh-CN"/>
        </w:rPr>
        <w:t xml:space="preserve">  </w:t>
      </w:r>
      <w:r/>
    </w:p>
    <w:p>
      <w:pPr>
        <w:ind w:firstLine="480"/>
        <w:spacing w:line="400" w:lineRule="exact"/>
        <w:rPr>
          <w:rFonts w:ascii="宋体" w:hAnsi="宋体"/>
          <w:sz w:val="24"/>
          <w:szCs w:val="24"/>
        </w:rPr>
      </w:pPr>
      <w:r>
        <w:rPr>
          <w:rFonts w:hint="eastAsia" w:ascii="宋体" w:hAnsi="宋体"/>
          <w:sz w:val="24"/>
          <w:szCs w:val="24"/>
        </w:rPr>
        <w:t xml:space="preserve">2.项目名称：江苏省人民医院城市人群癌症机会性筛查系统采购项目</w:t>
      </w:r>
      <w:bookmarkEnd w:id="11"/>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880"/>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2800" w:type="dxa"/>
            <w:vAlign w:val="top"/>
            <w:textDirection w:val="lrTb"/>
            <w:noWrap w:val="false"/>
          </w:tcPr>
          <w:p>
            <w:pPr>
              <w:jc w:val="center"/>
              <w:spacing w:line="400" w:lineRule="exact"/>
              <w:rPr>
                <w:rFonts w:hint="default" w:ascii="宋体" w:hAnsi="宋体" w:eastAsia="宋体"/>
                <w:lang w:val="en-US" w:eastAsia="zh-CN"/>
              </w:rPr>
            </w:pPr>
            <w:r>
              <w:rPr>
                <w:rFonts w:hint="eastAsia" w:ascii="宋体" w:hAnsi="宋体"/>
                <w:lang w:val="en-US" w:eastAsia="zh-CN"/>
              </w:rPr>
              <w:t xml:space="preserve">180</w:t>
            </w:r>
            <w:r/>
          </w:p>
        </w:tc>
      </w:tr>
    </w:tbl>
    <w:p>
      <w:pPr>
        <w:ind w:firstLine="480"/>
        <w:spacing w:line="400" w:lineRule="exact"/>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4.最高限价</w:t>
      </w:r>
      <w:r/>
    </w:p>
    <w:tbl>
      <w:tblPr>
        <w:tblStyle w:val="880"/>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66"/>
      </w:tblGrid>
      <w:tr>
        <w:trPr/>
        <w:tc>
          <w:tcPr>
            <w:tcW w:w="1148" w:type="dxa"/>
            <w:vAlign w:val="top"/>
            <w:textDirection w:val="lrTb"/>
            <w:noWrap w:val="false"/>
          </w:tcPr>
          <w:p>
            <w:pPr>
              <w:jc w:val="center"/>
              <w:spacing w:line="0" w:lineRule="atLeast"/>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采购</w:t>
            </w:r>
            <w:r/>
          </w:p>
          <w:p>
            <w:pPr>
              <w:jc w:val="center"/>
              <w:spacing w:line="0" w:lineRule="atLeast"/>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包号</w:t>
            </w:r>
            <w:r/>
          </w:p>
        </w:tc>
        <w:tc>
          <w:tcPr>
            <w:tcW w:w="2866" w:type="dxa"/>
            <w:vAlign w:val="top"/>
            <w:textDirection w:val="lrTb"/>
            <w:noWrap w:val="false"/>
          </w:tcPr>
          <w:p>
            <w:pPr>
              <w:jc w:val="center"/>
              <w:spacing w:line="0" w:lineRule="atLeast"/>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最高限价（人民币：万元）</w:t>
            </w:r>
            <w:r/>
          </w:p>
        </w:tc>
      </w:tr>
      <w:tr>
        <w:trPr/>
        <w:tc>
          <w:tcPr>
            <w:tcW w:w="1148" w:type="dxa"/>
            <w:vAlign w:val="top"/>
            <w:textDirection w:val="lrTb"/>
            <w:noWrap w:val="false"/>
          </w:tcPr>
          <w:p>
            <w:pPr>
              <w:jc w:val="center"/>
              <w:spacing w:line="0" w:lineRule="atLeast"/>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1</w:t>
            </w:r>
            <w:r/>
          </w:p>
        </w:tc>
        <w:tc>
          <w:tcPr>
            <w:tcW w:w="2866" w:type="dxa"/>
            <w:vAlign w:val="top"/>
            <w:textDirection w:val="lrTb"/>
            <w:noWrap w:val="false"/>
          </w:tcPr>
          <w:p>
            <w:pPr>
              <w:jc w:val="center"/>
              <w:spacing w:line="0" w:lineRule="atLeast"/>
              <w:rPr>
                <w:rFonts w:hint="default" w:ascii="方正魏碑_GBK" w:hAnsi="方正魏碑_GBK" w:eastAsia="方正魏碑_GBK" w:cs="方正魏碑_GBK"/>
                <w:color w:val="auto"/>
                <w:sz w:val="24"/>
                <w:szCs w:val="24"/>
                <w:lang w:val="en-US" w:eastAsia="zh-CN"/>
              </w:rPr>
            </w:pPr>
            <w:r>
              <w:rPr>
                <w:rFonts w:hint="eastAsia" w:ascii="方正魏碑_GBK" w:hAnsi="方正魏碑_GBK" w:eastAsia="方正魏碑_GBK" w:cs="方正魏碑_GBK"/>
                <w:color w:val="auto"/>
                <w:sz w:val="24"/>
                <w:szCs w:val="24"/>
                <w:lang w:val="en-US" w:eastAsia="zh-CN"/>
              </w:rPr>
              <w:t xml:space="preserve">180</w:t>
            </w:r>
            <w:r/>
          </w:p>
        </w:tc>
      </w:tr>
    </w:tbl>
    <w:p>
      <w:pPr>
        <w:ind w:firstLine="480"/>
        <w:spacing w:line="40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 </w:t>
      </w:r>
      <w:r/>
    </w:p>
    <w:p>
      <w:pPr>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hint="eastAsia" w:ascii="宋体" w:hAnsi="宋体" w:cs="宋体"/>
          <w:sz w:val="24"/>
          <w:szCs w:val="24"/>
        </w:rPr>
        <w:t xml:space="preserve">详细内容见本招标文件第四章 </w:t>
      </w:r>
      <w:r/>
    </w:p>
    <w:p>
      <w:pPr>
        <w:pStyle w:val="872"/>
        <w:ind w:firstLine="498"/>
        <w:spacing w:before="145" w:after="145" w:line="400" w:lineRule="exact"/>
      </w:pPr>
      <w:r/>
      <w:bookmarkStart w:id="12" w:name="_Toc28359080"/>
      <w:r/>
      <w:bookmarkStart w:id="13" w:name="_Toc35393791"/>
      <w:r/>
      <w:bookmarkStart w:id="14" w:name="_Toc35393622"/>
      <w:r/>
      <w:bookmarkStart w:id="15" w:name="_Toc38985264"/>
      <w:r/>
      <w:bookmarkStart w:id="16" w:name="_Toc28359003"/>
      <w:r>
        <w:rPr>
          <w:rFonts w:hint="eastAsia"/>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sz w:val="24"/>
          <w:szCs w:val="24"/>
        </w:rPr>
      </w:pPr>
      <w:r/>
      <w:bookmarkStart w:id="17" w:name="_Toc38985265"/>
      <w:r/>
      <w:bookmarkStart w:id="18" w:name="_Toc35393623"/>
      <w:r/>
      <w:bookmarkStart w:id="19" w:name="_Toc28359004"/>
      <w:r/>
      <w:bookmarkStart w:id="20" w:name="_Toc35393792"/>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1.2上一年度</w:t>
      </w:r>
      <w:r>
        <w:rPr>
          <w:rFonts w:hint="eastAsia" w:ascii="宋体" w:hAnsi="宋体"/>
          <w:sz w:val="24"/>
          <w:szCs w:val="24"/>
          <w:lang w:eastAsia="zh-CN"/>
        </w:rPr>
        <w:t xml:space="preserve">（</w:t>
      </w:r>
      <w:r>
        <w:rPr>
          <w:rFonts w:hint="eastAsia" w:ascii="宋体" w:hAnsi="宋体"/>
          <w:sz w:val="24"/>
          <w:szCs w:val="24"/>
          <w:lang w:val="en-US" w:eastAsia="zh-CN"/>
        </w:rPr>
        <w:t xml:space="preserve">2024或2025</w:t>
      </w:r>
      <w:r>
        <w:rPr>
          <w:rFonts w:hint="eastAsia" w:ascii="宋体" w:hAnsi="宋体"/>
          <w:sz w:val="24"/>
          <w:szCs w:val="24"/>
          <w:lang w:eastAsia="zh-CN"/>
        </w:rPr>
        <w:t xml:space="preserve">）</w:t>
      </w:r>
      <w:r>
        <w:rPr>
          <w:rFonts w:hint="eastAsia" w:ascii="宋体" w:hAnsi="宋体"/>
          <w:sz w:val="24"/>
          <w:szCs w:val="24"/>
        </w:rPr>
        <w:t xml:space="preserve">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sz w:val="24"/>
          <w:szCs w:val="24"/>
        </w:rPr>
      </w:pPr>
      <w:r>
        <w:rPr>
          <w:rFonts w:hint="eastAsia" w:ascii="宋体" w:hAnsi="宋体"/>
          <w:sz w:val="24"/>
          <w:szCs w:val="24"/>
        </w:rPr>
        <w:t xml:space="preserve">3.落实政府采购政策需满足的资格要求：无</w:t>
      </w:r>
      <w:r/>
    </w:p>
    <w:p>
      <w:pPr>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880"/>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2968" w:type="dxa"/>
            <w:vAlign w:val="top"/>
            <w:textDirection w:val="lrTb"/>
            <w:noWrap w:val="false"/>
          </w:tcPr>
          <w:p>
            <w:pPr>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p>
        </w:tc>
        <w:tc>
          <w:tcPr>
            <w:tcW w:w="3191" w:type="dxa"/>
            <w:vAlign w:val="top"/>
            <w:textDirection w:val="lrTb"/>
            <w:noWrap w:val="false"/>
          </w:tcPr>
          <w:p>
            <w:pPr>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2968" w:type="dxa"/>
            <w:vAlign w:val="top"/>
            <w:textDirection w:val="lrTb"/>
            <w:noWrap w:val="false"/>
          </w:tcPr>
          <w:p>
            <w:pPr>
              <w:jc w:val="center"/>
              <w:spacing w:line="400" w:lineRule="exact"/>
              <w:rPr>
                <w:rFonts w:hint="eastAsia" w:ascii="宋体" w:hAnsi="宋体" w:eastAsia="宋体"/>
                <w:lang w:eastAsia="zh-CN"/>
              </w:rPr>
            </w:pPr>
            <w:r>
              <w:rPr>
                <w:rFonts w:hint="eastAsia" w:ascii="宋体" w:hAnsi="宋体"/>
                <w:lang w:eastAsia="zh-CN"/>
              </w:rPr>
              <w:t xml:space="preserve">否</w:t>
            </w:r>
            <w:r/>
          </w:p>
        </w:tc>
        <w:tc>
          <w:tcPr>
            <w:tcW w:w="3191" w:type="dxa"/>
            <w:vAlign w:val="top"/>
            <w:textDirection w:val="lrTb"/>
            <w:noWrap w:val="false"/>
          </w:tcPr>
          <w:p>
            <w:pPr>
              <w:jc w:val="center"/>
              <w:spacing w:line="400" w:lineRule="exact"/>
              <w:rPr>
                <w:rFonts w:hint="eastAsia" w:ascii="宋体" w:hAnsi="宋体" w:eastAsia="宋体"/>
                <w:lang w:eastAsia="zh-CN"/>
              </w:rPr>
            </w:pPr>
            <w:r>
              <w:rPr>
                <w:rFonts w:hint="eastAsia" w:ascii="宋体" w:hAnsi="宋体"/>
                <w:lang w:val="en-US" w:eastAsia="zh-CN"/>
              </w:rPr>
              <w:t xml:space="preserve">/</w:t>
            </w:r>
            <w:r/>
          </w:p>
        </w:tc>
      </w:tr>
    </w:tbl>
    <w:p>
      <w:pPr>
        <w:ind w:firstLine="480"/>
        <w:spacing w:line="400" w:lineRule="exact"/>
        <w:rPr>
          <w:rFonts w:ascii="宋体" w:hAnsi="宋体"/>
          <w:sz w:val="24"/>
          <w:szCs w:val="24"/>
        </w:rPr>
      </w:pPr>
      <w:r>
        <w:rPr>
          <w:rFonts w:hint="eastAsia" w:ascii="宋体" w:hAnsi="宋体"/>
          <w:sz w:val="24"/>
          <w:szCs w:val="24"/>
        </w:rPr>
        <w:t xml:space="preserve">（二）本项目的特定资格要求</w:t>
      </w:r>
      <w:r/>
    </w:p>
    <w:tbl>
      <w:tblPr>
        <w:tblStyle w:val="880"/>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6145" w:type="dxa"/>
            <w:vAlign w:val="top"/>
            <w:textDirection w:val="lrTb"/>
            <w:noWrap w:val="false"/>
          </w:tcPr>
          <w:p>
            <w:pPr>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6145" w:type="dxa"/>
            <w:vAlign w:val="top"/>
            <w:textDirection w:val="lrTb"/>
            <w:noWrap w:val="false"/>
          </w:tcPr>
          <w:p>
            <w:pPr>
              <w:jc w:val="center"/>
              <w:spacing w:line="400" w:lineRule="exact"/>
              <w:rPr>
                <w:rFonts w:hint="eastAsia" w:ascii="宋体" w:hAnsi="宋体" w:eastAsia="宋体"/>
                <w:lang w:eastAsia="zh-CN"/>
              </w:rPr>
            </w:pPr>
            <w:r>
              <w:rPr>
                <w:rFonts w:hint="eastAsia" w:ascii="宋体" w:hAnsi="宋体"/>
                <w:lang w:val="en-US" w:eastAsia="zh-CN"/>
              </w:rPr>
              <w:t xml:space="preserve">/</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bookmarkEnd w:id="17"/>
      <w:r/>
      <w:bookmarkEnd w:id="18"/>
      <w:r/>
      <w:bookmarkEnd w:id="19"/>
      <w:r/>
      <w:bookmarkEnd w:id="20"/>
      <w:r/>
      <w:bookmarkEnd w:id="21"/>
      <w:r/>
      <w:r/>
    </w:p>
    <w:p>
      <w:pPr>
        <w:pStyle w:val="872"/>
        <w:ind w:firstLine="498"/>
        <w:spacing w:before="145" w:after="145" w:line="400" w:lineRule="exact"/>
      </w:pPr>
      <w:r/>
      <w:bookmarkStart w:id="22" w:name="_Toc28359082"/>
      <w:r/>
      <w:bookmarkStart w:id="23" w:name="_Toc28359005"/>
      <w:r/>
      <w:bookmarkStart w:id="24" w:name="_Toc35393624"/>
      <w:r/>
      <w:bookmarkStart w:id="25" w:name="_Toc38985266"/>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400" w:lineRule="exact"/>
        <w:rPr>
          <w:rFonts w:ascii="宋体" w:hAnsi="宋体"/>
          <w:bCs/>
          <w:sz w:val="24"/>
          <w:szCs w:val="24"/>
          <w:u w:val="single"/>
        </w:rPr>
      </w:pPr>
      <w:r>
        <w:rPr>
          <w:rFonts w:hint="eastAsia" w:ascii="宋体" w:hAnsi="宋体"/>
          <w:bCs/>
          <w:sz w:val="24"/>
          <w:szCs w:val="24"/>
          <w:u w:val="single"/>
        </w:rPr>
        <w:t xml:space="preserve">1.  </w:t>
      </w:r>
      <w:r>
        <w:rPr>
          <w:rFonts w:hint="eastAsia" w:ascii="宋体" w:hAnsi="宋体"/>
          <w:bCs/>
          <w:sz w:val="24"/>
          <w:szCs w:val="24"/>
          <w:u w:val="single"/>
          <w:lang w:val="en-US" w:eastAsia="zh-CN"/>
        </w:rPr>
        <w:t xml:space="preserve">2026</w:t>
      </w:r>
      <w:r>
        <w:rPr>
          <w:rFonts w:hint="eastAsia" w:ascii="宋体" w:hAnsi="宋体"/>
          <w:bCs/>
          <w:sz w:val="24"/>
          <w:szCs w:val="24"/>
          <w:u w:val="single"/>
        </w:rPr>
        <w:t xml:space="preserve">  年 </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 月 24 日  9  点  30  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35393794"/>
      <w:r/>
      <w:bookmarkStart w:id="28" w:name="_Toc28359084"/>
      <w:r/>
      <w:bookmarkStart w:id="29" w:name="_Toc35393625"/>
      <w:r/>
      <w:bookmarkStart w:id="30" w:name="_Toc28359007"/>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72"/>
        <w:ind w:firstLine="498"/>
        <w:spacing w:before="145" w:after="145" w:line="400" w:lineRule="exact"/>
      </w:pPr>
      <w:r/>
      <w:bookmarkStart w:id="32" w:name="_Toc35393626"/>
      <w:r/>
      <w:bookmarkStart w:id="33" w:name="_Toc38985268"/>
      <w:r/>
      <w:bookmarkStart w:id="34" w:name="_Toc35393795"/>
      <w:r>
        <w:rPr>
          <w:rFonts w:hint="eastAsia"/>
        </w:rPr>
        <w:t xml:space="preserve">六、其他补充事宜</w:t>
      </w:r>
      <w:bookmarkEnd w:id="32"/>
      <w:r/>
      <w:bookmarkEnd w:id="33"/>
      <w:r/>
      <w:bookmarkEnd w:id="34"/>
      <w:r/>
      <w:r/>
    </w:p>
    <w:p>
      <w:pPr>
        <w:ind w:firstLine="480"/>
        <w:spacing w:line="400" w:lineRule="exact"/>
        <w:rPr>
          <w:rFonts w:ascii="宋体" w:hAnsi="宋体" w:cs="宋体"/>
          <w:sz w:val="24"/>
          <w:szCs w:val="24"/>
        </w:rPr>
      </w:pPr>
      <w:r>
        <w:rPr>
          <w:rFonts w:hint="eastAsia" w:ascii="宋体" w:hAnsi="宋体" w:cs="宋体"/>
          <w:sz w:val="24"/>
          <w:szCs w:val="24"/>
        </w:rPr>
        <w:t xml:space="preserve">无</w:t>
      </w:r>
      <w:r/>
    </w:p>
    <w:p>
      <w:pPr>
        <w:pStyle w:val="872"/>
        <w:ind w:firstLine="498"/>
        <w:spacing w:before="145" w:after="145" w:line="400" w:lineRule="exact"/>
      </w:pPr>
      <w:r/>
      <w:bookmarkStart w:id="35" w:name="_Toc38985269"/>
      <w:r/>
      <w:bookmarkStart w:id="36" w:name="_Toc28359008"/>
      <w:r/>
      <w:bookmarkStart w:id="37" w:name="_Toc35393627"/>
      <w:r/>
      <w:bookmarkStart w:id="38" w:name="_Toc35393796"/>
      <w:r/>
      <w:bookmarkStart w:id="39" w:name="_Toc28359085"/>
      <w:r>
        <w:rPr>
          <w:rFonts w:hint="eastAsia"/>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江苏省人民医院</w:t>
      </w:r>
      <w:r/>
    </w:p>
    <w:p>
      <w:pPr>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江苏省南京市广州路300号</w:t>
      </w:r>
      <w:r/>
    </w:p>
    <w:p>
      <w:pPr>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缪老师 </w:t>
      </w:r>
      <w:r/>
    </w:p>
    <w:p>
      <w:pPr>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bookmarkStart w:id="40" w:name="_Toc28359009"/>
      <w:r/>
      <w:bookmarkStart w:id="41" w:name="_Toc28359086"/>
      <w:r>
        <w:rPr>
          <w:rFonts w:hint="eastAsia" w:ascii="宋体" w:hAnsi="宋体"/>
          <w:sz w:val="24"/>
          <w:szCs w:val="24"/>
          <w:u w:val="single"/>
        </w:rPr>
        <w:t xml:space="preserve">025-68303888</w:t>
      </w:r>
      <w:r/>
    </w:p>
    <w:p>
      <w:pPr>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
    </w:p>
    <w:p>
      <w:pPr>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江苏省南京市汉中门大街145号　</w:t>
      </w:r>
      <w:r/>
    </w:p>
    <w:p>
      <w:pPr>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时富荣、许滢                   </w:t>
      </w:r>
      <w:r/>
    </w:p>
    <w:p>
      <w:pPr>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u w:val="single"/>
        </w:rPr>
        <w:t xml:space="preserve">　　025-83668559　　　　　　　　　</w:t>
      </w:r>
      <w:bookmarkEnd w:id="42"/>
      <w:r/>
      <w:bookmarkEnd w:id="43"/>
      <w:r/>
      <w:r/>
    </w:p>
    <w:p>
      <w:pPr>
        <w:pStyle w:val="872"/>
        <w:ind w:firstLine="498"/>
        <w:spacing w:before="145" w:after="145" w:line="400" w:lineRule="exact"/>
      </w:pPr>
      <w:r>
        <w:rPr>
          <w:rFonts w:hint="eastAsia"/>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color w:val="auto"/>
          <w:u w:val="none"/>
        </w:rPr>
        <w:t xml:space="preserve">http://www.ccgp-jiangsu.gov.cn/jiangsu/zlxz/ee/ee3a4bc5a3454aa2b0d9312230633ce9.html</w:t>
      </w:r>
      <w:r>
        <w:rPr>
          <w:bCs/>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right="840"/>
        <w:rPr>
          <w:rFonts w:hint="eastAsia" w:ascii="宋体" w:hAnsi="宋体"/>
          <w:sz w:val="24"/>
          <w:szCs w:val="24"/>
        </w:rPr>
      </w:pPr>
      <w:r>
        <w:rPr>
          <w:rFonts w:ascii="宋体" w:hAnsi="宋体"/>
          <w:sz w:val="24"/>
          <w:szCs w:val="24"/>
        </w:rPr>
        <w:br w:type="page" w:clear="all"/>
      </w:r>
      <w:r/>
    </w:p>
    <w:p>
      <w:pPr>
        <w:pStyle w:val="871"/>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120614213"/>
      <w:r/>
      <w:bookmarkStart w:id="47" w:name="_Toc20823274"/>
      <w:r/>
      <w:bookmarkStart w:id="48" w:name="_Toc513029202"/>
      <w:r>
        <w:rPr>
          <w:rFonts w:hint="eastAsia" w:ascii="黑体" w:eastAsia="黑体"/>
        </w:rPr>
        <w:t xml:space="preserve">投标人须知</w:t>
      </w:r>
      <w:bookmarkEnd w:id="45"/>
      <w:r/>
      <w:bookmarkEnd w:id="46"/>
      <w:r/>
      <w:bookmarkEnd w:id="47"/>
      <w:r/>
      <w:bookmarkEnd w:id="48"/>
      <w:r/>
      <w:r/>
    </w:p>
    <w:p>
      <w:pPr>
        <w:pStyle w:val="872"/>
        <w:ind w:firstLine="498"/>
        <w:spacing w:before="145" w:after="145" w:line="400" w:lineRule="exact"/>
        <w:rPr>
          <w:rFonts w:hint="eastAsia"/>
        </w:rPr>
      </w:pPr>
      <w:r/>
      <w:bookmarkStart w:id="49" w:name="_Toc16938519"/>
      <w:r/>
      <w:bookmarkStart w:id="50" w:name="_Toc513029203"/>
      <w:r/>
      <w:bookmarkStart w:id="51" w:name="_Toc20823275"/>
      <w:r/>
      <w:bookmarkStart w:id="52" w:name="_Toc120614214"/>
      <w:r>
        <w:rPr>
          <w:rFonts w:hint="eastAsia"/>
        </w:rPr>
        <w:t xml:space="preserve">一、总则</w:t>
      </w:r>
      <w:bookmarkEnd w:id="49"/>
      <w:r/>
      <w:bookmarkEnd w:id="50"/>
      <w:r/>
      <w:bookmarkEnd w:id="51"/>
      <w:r/>
      <w:bookmarkEnd w:id="52"/>
      <w:r/>
      <w:r/>
    </w:p>
    <w:p>
      <w:pPr>
        <w:pStyle w:val="873"/>
        <w:ind w:firstLine="420"/>
        <w:spacing w:before="0" w:after="0" w:line="400" w:lineRule="exact"/>
        <w:rPr>
          <w:rFonts w:hint="eastAsia"/>
          <w:b w:val="0"/>
          <w:bCs w:val="0"/>
        </w:rPr>
      </w:pPr>
      <w:r/>
      <w:bookmarkStart w:id="53" w:name="_Hlt16619475"/>
      <w:r/>
      <w:bookmarkEnd w:id="53"/>
      <w:r/>
      <w:bookmarkStart w:id="54" w:name="_Toc458694821"/>
      <w:r/>
      <w:bookmarkStart w:id="55" w:name="_Toc20823276"/>
      <w:r/>
      <w:bookmarkStart w:id="56" w:name="_Toc513029204"/>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73"/>
        <w:ind w:firstLine="420"/>
        <w:spacing w:before="0" w:after="0" w:line="400" w:lineRule="exact"/>
        <w:rPr>
          <w:rFonts w:hint="eastAsia"/>
          <w:b w:val="0"/>
          <w:bCs w:val="0"/>
        </w:rPr>
      </w:pPr>
      <w:r/>
      <w:bookmarkStart w:id="58" w:name="_Toc513029205"/>
      <w:r/>
      <w:bookmarkStart w:id="59" w:name="_Toc20823277"/>
      <w:r/>
      <w:bookmarkStart w:id="60" w:name="_Toc16938521"/>
      <w:r>
        <w:rPr>
          <w:rFonts w:hint="eastAsia"/>
          <w:b w:val="0"/>
          <w:bCs w:val="0"/>
        </w:rPr>
        <w:t xml:space="preserve">2、合格的投标人</w:t>
      </w:r>
      <w:bookmarkEnd w:id="58"/>
      <w:r/>
      <w:bookmarkEnd w:id="59"/>
      <w:r/>
      <w:bookmarkEnd w:id="60"/>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73"/>
        <w:ind w:firstLine="422"/>
        <w:spacing w:before="0" w:after="0" w:line="400" w:lineRule="exact"/>
        <w:rPr>
          <w:rFonts w:hint="eastAsia" w:ascii="Arial" w:hAnsi="Arial" w:cs="Arial"/>
          <w:b/>
          <w:bCs/>
          <w:lang w:eastAsia="zh-CN"/>
        </w:rPr>
      </w:pPr>
      <w:r/>
      <w:bookmarkStart w:id="61" w:name="_Toc513029206"/>
      <w:r/>
      <w:bookmarkStart w:id="62" w:name="_Toc20823278"/>
      <w:r/>
      <w:bookmarkStart w:id="63" w:name="_Toc16938522"/>
      <w:r>
        <w:rPr>
          <w:rFonts w:hint="eastAsia" w:ascii="Arial" w:hAnsi="Arial" w:cs="Arial"/>
          <w:b/>
          <w:bCs/>
        </w:rPr>
        <w:t xml:space="preserve">3、适用法律</w:t>
      </w:r>
      <w:bookmarkEnd w:id="61"/>
      <w:r/>
      <w:bookmarkEnd w:id="62"/>
      <w:r/>
      <w:bookmarkEnd w:id="63"/>
      <w:r>
        <w:rPr>
          <w:rFonts w:hint="eastAsia" w:ascii="Arial" w:hAnsi="Arial" w:cs="Arial"/>
          <w:b/>
          <w:bCs/>
          <w:lang w:eastAsia="zh-CN"/>
        </w:rPr>
        <w:t xml:space="preserve">和标准</w:t>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hint="eastAsia" w:ascii="宋体" w:hAnsi="宋体" w:eastAsia="宋体" w:cs="Times New Roman"/>
          <w:sz w:val="24"/>
          <w:lang w:val="en-US" w:eastAsia="zh-CN"/>
        </w:rPr>
      </w:pPr>
      <w:r/>
      <w:bookmarkStart w:id="64" w:name="_Toc20823279"/>
      <w:r/>
      <w:bookmarkStart w:id="65" w:name="_Toc462564067"/>
      <w:r/>
      <w:bookmarkStart w:id="66" w:name="_Toc16938523"/>
      <w:r/>
      <w:bookmarkStart w:id="67" w:name="_Toc513029207"/>
      <w:r>
        <w:rPr>
          <w:rFonts w:hint="eastAsia" w:ascii="宋体" w:hAnsi="宋体" w:eastAsia="宋体" w:cs="Times New Roman"/>
          <w:sz w:val="24"/>
          <w:lang w:val="en-US" w:eastAsia="zh-CN"/>
        </w:rPr>
        <w:t xml:space="preserve">3.2 在本项目政府采购活动过程中，如果所执行的标准有更新的，按照最新标准执行。</w:t>
      </w:r>
      <w:r/>
    </w:p>
    <w:p>
      <w:pPr>
        <w:pStyle w:val="873"/>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73"/>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72"/>
        <w:ind w:firstLine="321"/>
        <w:spacing w:before="145" w:after="145" w:line="400" w:lineRule="exact"/>
        <w:rPr>
          <w:rFonts w:hint="eastAsia"/>
        </w:rPr>
      </w:pPr>
      <w:r/>
      <w:bookmarkStart w:id="68" w:name="_Toc120614215"/>
      <w:r/>
      <w:bookmarkStart w:id="69" w:name="_Toc16938525"/>
      <w:r/>
      <w:bookmarkStart w:id="70" w:name="_Toc20823281"/>
      <w:r/>
      <w:bookmarkStart w:id="71" w:name="_Toc513029209"/>
      <w:r>
        <w:rPr>
          <w:rFonts w:hint="eastAsia"/>
        </w:rPr>
        <w:t xml:space="preserve">二、招标文件</w:t>
      </w:r>
      <w:bookmarkEnd w:id="68"/>
      <w:r/>
      <w:bookmarkEnd w:id="69"/>
      <w:r/>
      <w:bookmarkEnd w:id="70"/>
      <w:r/>
      <w:bookmarkEnd w:id="71"/>
      <w:r/>
      <w:r/>
    </w:p>
    <w:p>
      <w:pPr>
        <w:pStyle w:val="873"/>
        <w:ind w:firstLine="420"/>
        <w:spacing w:before="0" w:after="0" w:line="400" w:lineRule="exact"/>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3"/>
        <w:ind w:firstLine="560"/>
        <w:spacing w:before="0" w:after="0" w:line="400" w:lineRule="exact"/>
        <w:rPr>
          <w:rFonts w:hint="eastAsia"/>
          <w:b w:val="0"/>
          <w:bCs w:val="0"/>
        </w:rPr>
      </w:pPr>
      <w:r/>
      <w:bookmarkStart w:id="75" w:name="_Toc513029212"/>
      <w:r/>
      <w:bookmarkStart w:id="76" w:name="_Toc16938528"/>
      <w:r/>
      <w:bookmarkStart w:id="77" w:name="_Toc20823284"/>
      <w:r/>
      <w:bookmarkStart w:id="78" w:name="_Toc462564071"/>
      <w:r>
        <w:rPr>
          <w:b w:val="0"/>
          <w:bCs w:val="0"/>
        </w:rPr>
        <w:t xml:space="preserve">7</w:t>
      </w:r>
      <w:r>
        <w:rPr>
          <w:rFonts w:hint="eastAsia"/>
          <w:b w:val="0"/>
          <w:bCs w:val="0"/>
        </w:rPr>
        <w:t xml:space="preserve">、招标文件的修改</w:t>
      </w:r>
      <w:bookmarkEnd w:id="75"/>
      <w:r/>
      <w:bookmarkEnd w:id="76"/>
      <w:r/>
      <w:bookmarkEnd w:id="77"/>
      <w:r/>
      <w:bookmarkEnd w:id="78"/>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72"/>
        <w:ind w:firstLine="482"/>
        <w:spacing w:before="145" w:after="145" w:line="400" w:lineRule="exact"/>
        <w:rPr>
          <w:rFonts w:hint="eastAsia"/>
        </w:rPr>
      </w:pPr>
      <w:r/>
      <w:bookmarkStart w:id="79" w:name="_Toc16938529"/>
      <w:r/>
      <w:bookmarkStart w:id="80" w:name="_Toc120614216"/>
      <w:r/>
      <w:bookmarkStart w:id="81" w:name="_Toc462564072"/>
      <w:r/>
      <w:bookmarkStart w:id="82" w:name="_Toc513029213"/>
      <w:r/>
      <w:bookmarkStart w:id="83" w:name="_Toc20823285"/>
      <w:r>
        <w:rPr>
          <w:rFonts w:hint="eastAsia"/>
        </w:rPr>
        <w:t xml:space="preserve">三、投标文件的编制</w:t>
      </w:r>
      <w:bookmarkEnd w:id="79"/>
      <w:r/>
      <w:bookmarkEnd w:id="80"/>
      <w:r/>
      <w:bookmarkEnd w:id="81"/>
      <w:r/>
      <w:bookmarkEnd w:id="82"/>
      <w:r/>
      <w:bookmarkEnd w:id="83"/>
      <w:r/>
      <w:r/>
    </w:p>
    <w:p>
      <w:pPr>
        <w:pStyle w:val="873"/>
        <w:ind w:firstLine="560"/>
        <w:spacing w:before="0" w:after="0" w:line="400" w:lineRule="exact"/>
        <w:rPr>
          <w:rFonts w:hint="eastAsia"/>
          <w:bCs w:val="0"/>
        </w:rPr>
      </w:pPr>
      <w:r/>
      <w:bookmarkStart w:id="84" w:name="_Toc513029214"/>
      <w:r/>
      <w:bookmarkStart w:id="85" w:name="_Toc462564073"/>
      <w:r/>
      <w:bookmarkStart w:id="86" w:name="_Toc20823286"/>
      <w:r/>
      <w:bookmarkStart w:id="87" w:name="_Toc16938530"/>
      <w:r>
        <w:rPr>
          <w:b w:val="0"/>
          <w:bCs w:val="0"/>
        </w:rPr>
        <w:t xml:space="preserve">8</w:t>
      </w:r>
      <w:r>
        <w:rPr>
          <w:rFonts w:hint="eastAsia"/>
          <w:b w:val="0"/>
          <w:bCs w:val="0"/>
        </w:rPr>
        <w:t xml:space="preserve">、投标文件的语言及度量衡单位</w:t>
      </w:r>
      <w:bookmarkEnd w:id="84"/>
      <w:r/>
      <w:bookmarkEnd w:id="85"/>
      <w:r/>
      <w:bookmarkEnd w:id="86"/>
      <w:r/>
      <w:bookmarkEnd w:id="87"/>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873"/>
        <w:ind w:firstLine="420"/>
        <w:spacing w:before="0" w:after="0" w:line="400" w:lineRule="exact"/>
        <w:rPr>
          <w:rFonts w:hint="eastAsia"/>
          <w:b w:val="0"/>
          <w:bCs w:val="0"/>
        </w:rPr>
      </w:pPr>
      <w:r/>
      <w:bookmarkStart w:id="88" w:name="_Toc513029215"/>
      <w:r/>
      <w:bookmarkStart w:id="89" w:name="_Toc16938531"/>
      <w:r/>
      <w:bookmarkStart w:id="90" w:name="_Toc462564074"/>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873"/>
        <w:ind w:firstLine="420"/>
        <w:spacing w:before="0" w:after="0" w:line="400" w:lineRule="exact"/>
        <w:rPr>
          <w:rFonts w:hint="eastAsia"/>
          <w:b w:val="0"/>
          <w:bCs w:val="0"/>
        </w:rPr>
      </w:pPr>
      <w:r/>
      <w:bookmarkStart w:id="92" w:name="_Hlt26954838"/>
      <w:r/>
      <w:bookmarkEnd w:id="92"/>
      <w:r/>
      <w:bookmarkStart w:id="93" w:name="_Hlt26668975"/>
      <w:r/>
      <w:bookmarkEnd w:id="93"/>
      <w:r/>
      <w:bookmarkStart w:id="94" w:name="_Hlt26670360"/>
      <w:r/>
      <w:bookmarkEnd w:id="94"/>
      <w:r/>
      <w:bookmarkStart w:id="95" w:name="_Toc513029219"/>
      <w:r/>
      <w:bookmarkStart w:id="96" w:name="_Toc49090509"/>
      <w:r/>
      <w:bookmarkStart w:id="97" w:name="_Toc14577357"/>
      <w:r/>
      <w:bookmarkStart w:id="98" w:name="_Toc14577354"/>
      <w:r/>
      <w:bookmarkStart w:id="99" w:name="_Toc513029216"/>
      <w:r/>
      <w:bookmarkStart w:id="100" w:name="_Toc4909050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bookmarkEnd w:id="98"/>
      <w:r/>
      <w:bookmarkEnd w:id="99"/>
      <w:r/>
      <w:bookmarkEnd w:id="100"/>
      <w:r/>
      <w:r/>
    </w:p>
    <w:p>
      <w:pPr>
        <w:spacing w:line="400" w:lineRule="exact"/>
        <w:rPr>
          <w:rFonts w:hint="eastAsia" w:ascii="宋体" w:hAnsi="宋体"/>
          <w:sz w:val="24"/>
          <w:szCs w:val="24"/>
        </w:rPr>
      </w:pPr>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873"/>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73"/>
        <w:ind w:firstLine="420"/>
        <w:spacing w:before="0" w:after="0" w:line="400" w:lineRule="exact"/>
        <w:rPr>
          <w:rFonts w:hint="eastAsia"/>
          <w:b w:val="0"/>
          <w:bCs w:val="0"/>
        </w:rPr>
      </w:pPr>
      <w:r/>
      <w:bookmarkStart w:id="106" w:name="_Hlt26954731"/>
      <w:r/>
      <w:bookmarkEnd w:id="106"/>
      <w:r/>
      <w:bookmarkStart w:id="107" w:name="_Hlt26670425"/>
      <w:r/>
      <w:bookmarkEnd w:id="107"/>
      <w:r/>
      <w:bookmarkStart w:id="108" w:name="_Hlt26954848"/>
      <w:r/>
      <w:bookmarkEnd w:id="108"/>
      <w:r/>
      <w:bookmarkStart w:id="109" w:name="_Hlt26670486"/>
      <w:r/>
      <w:bookmarkEnd w:id="109"/>
      <w:r/>
      <w:bookmarkStart w:id="110" w:name="_Hlt26954846"/>
      <w:r/>
      <w:bookmarkEnd w:id="110"/>
      <w:r/>
      <w:bookmarkStart w:id="111" w:name="_Hlt26670403"/>
      <w:r/>
      <w:bookmarkEnd w:id="111"/>
      <w:r/>
      <w:bookmarkStart w:id="112" w:name="_Hlt26954844"/>
      <w:r/>
      <w:bookmarkEnd w:id="112"/>
      <w:r/>
      <w:bookmarkStart w:id="113" w:name="_Hlt26670482"/>
      <w:r/>
      <w:bookmarkEnd w:id="113"/>
      <w:r/>
      <w:bookmarkStart w:id="114" w:name="_Hlt26954842"/>
      <w:r/>
      <w:bookmarkEnd w:id="114"/>
      <w:r/>
      <w:bookmarkStart w:id="115" w:name="_Hlt26668983"/>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873"/>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6"/>
      <w:r/>
      <w:bookmarkEnd w:id="117"/>
      <w:r/>
      <w:r/>
    </w:p>
    <w:p>
      <w:pPr>
        <w:pStyle w:val="873"/>
        <w:ind w:firstLine="420"/>
        <w:spacing w:before="0" w:after="0" w:line="400" w:lineRule="exact"/>
        <w:rPr>
          <w:rFonts w:hint="eastAsia"/>
          <w:b w:val="0"/>
          <w:bCs w:val="0"/>
        </w:rPr>
      </w:pPr>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73"/>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72"/>
        <w:ind w:firstLine="482"/>
        <w:spacing w:before="145" w:after="145" w:line="400" w:lineRule="exact"/>
        <w:rPr>
          <w:rFonts w:hint="eastAsia"/>
        </w:rPr>
      </w:pPr>
      <w:r/>
      <w:bookmarkStart w:id="123" w:name="_Hlt26954852"/>
      <w:r/>
      <w:bookmarkEnd w:id="123"/>
      <w:r/>
      <w:bookmarkStart w:id="124" w:name="_Hlt26954739"/>
      <w:r/>
      <w:bookmarkEnd w:id="124"/>
      <w:r/>
      <w:bookmarkStart w:id="125" w:name="_Toc16938540"/>
      <w:r/>
      <w:bookmarkStart w:id="126" w:name="_Toc513029224"/>
      <w:r/>
      <w:bookmarkStart w:id="127" w:name="_Toc120614217"/>
      <w:r/>
      <w:bookmarkStart w:id="128" w:name="_Toc20823296"/>
      <w:r>
        <w:rPr>
          <w:rFonts w:hint="eastAsia"/>
        </w:rPr>
        <w:t xml:space="preserve">四、投标文件的递交</w:t>
      </w:r>
      <w:bookmarkEnd w:id="125"/>
      <w:r/>
      <w:bookmarkEnd w:id="126"/>
      <w:r/>
      <w:bookmarkEnd w:id="127"/>
      <w:r/>
      <w:bookmarkEnd w:id="128"/>
      <w:r/>
      <w:r/>
    </w:p>
    <w:p>
      <w:pPr>
        <w:pStyle w:val="873"/>
        <w:ind w:firstLine="560"/>
        <w:spacing w:before="0" w:after="0" w:line="400" w:lineRule="exact"/>
        <w:rPr>
          <w:rFonts w:hint="eastAsia" w:ascii="黑体"/>
          <w:b w:val="0"/>
          <w:bCs w:val="0"/>
        </w:rPr>
      </w:pPr>
      <w:r/>
      <w:bookmarkStart w:id="129" w:name="_Toc462564084"/>
      <w:r/>
      <w:bookmarkStart w:id="130" w:name="_Toc513029225"/>
      <w:r/>
      <w:bookmarkStart w:id="131" w:name="_Toc16938541"/>
      <w:r/>
      <w:bookmarkStart w:id="132" w:name="_Toc20823297"/>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980"/>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16938542"/>
      <w:r/>
      <w:bookmarkStart w:id="135" w:name="_Toc20823298"/>
      <w:r/>
      <w:r/>
    </w:p>
    <w:p>
      <w:pPr>
        <w:pStyle w:val="873"/>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73"/>
        <w:ind w:firstLine="420"/>
        <w:spacing w:before="0" w:after="0" w:line="400" w:lineRule="exact"/>
        <w:rPr>
          <w:rFonts w:hint="eastAsia"/>
          <w:b w:val="0"/>
          <w:bCs w:val="0"/>
        </w:rPr>
      </w:pPr>
      <w:r/>
      <w:bookmarkStart w:id="136" w:name="_Toc16938543"/>
      <w:r/>
      <w:bookmarkStart w:id="137" w:name="_Toc513029227"/>
      <w:r/>
      <w:bookmarkStart w:id="138" w:name="_Toc20823299"/>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873"/>
        <w:ind w:firstLine="420"/>
        <w:spacing w:before="0" w:after="0" w:line="400" w:lineRule="exact"/>
        <w:rPr>
          <w:rFonts w:hint="eastAsia"/>
          <w:b w:val="0"/>
          <w:bCs w:val="0"/>
        </w:rPr>
      </w:pPr>
      <w:r/>
      <w:bookmarkStart w:id="139" w:name="_Toc16938544"/>
      <w:r/>
      <w:bookmarkStart w:id="140" w:name="_Toc513029228"/>
      <w:r/>
      <w:bookmarkStart w:id="141" w:name="_Toc20823300"/>
      <w:r>
        <w:rPr>
          <w:b w:val="0"/>
          <w:bCs w:val="0"/>
        </w:rPr>
        <w:t xml:space="preserve">19</w:t>
      </w:r>
      <w:r>
        <w:rPr>
          <w:rFonts w:hint="eastAsia"/>
          <w:b w:val="0"/>
          <w:bCs w:val="0"/>
        </w:rPr>
        <w:t xml:space="preserve">、投标文件的撤回和修改</w:t>
      </w:r>
      <w:bookmarkEnd w:id="139"/>
      <w:r/>
      <w:bookmarkEnd w:id="140"/>
      <w:r/>
      <w:bookmarkEnd w:id="141"/>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872"/>
        <w:ind w:firstLine="482"/>
        <w:spacing w:before="145" w:after="145" w:line="400" w:lineRule="exact"/>
        <w:rPr>
          <w:rFonts w:hint="eastAsia"/>
        </w:rPr>
      </w:pPr>
      <w:r/>
      <w:bookmarkStart w:id="142" w:name="_Toc20823301"/>
      <w:r/>
      <w:bookmarkStart w:id="143" w:name="_Toc120614218"/>
      <w:r/>
      <w:bookmarkStart w:id="144" w:name="_Toc16938545"/>
      <w:r/>
      <w:bookmarkStart w:id="145" w:name="_Toc513029229"/>
      <w:r>
        <w:rPr>
          <w:rFonts w:hint="eastAsia"/>
        </w:rPr>
        <w:t xml:space="preserve">五、开标与评标</w:t>
      </w:r>
      <w:bookmarkEnd w:id="142"/>
      <w:r/>
      <w:bookmarkEnd w:id="143"/>
      <w:r/>
      <w:bookmarkEnd w:id="144"/>
      <w:r/>
      <w:bookmarkEnd w:id="145"/>
      <w:r/>
      <w:r/>
    </w:p>
    <w:p>
      <w:pPr>
        <w:pStyle w:val="873"/>
        <w:ind w:firstLine="420"/>
        <w:spacing w:before="0" w:after="0" w:line="400" w:lineRule="exact"/>
        <w:rPr>
          <w:rFonts w:hint="eastAsia"/>
          <w:b w:val="0"/>
          <w:bCs w:val="0"/>
        </w:rPr>
      </w:pPr>
      <w:r/>
      <w:bookmarkStart w:id="146" w:name="_Toc20823302"/>
      <w:r/>
      <w:bookmarkStart w:id="147" w:name="_Toc513029230"/>
      <w:r/>
      <w:bookmarkStart w:id="148" w:name="_Toc16938546"/>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
    </w:p>
    <w:p>
      <w:pPr>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873"/>
        <w:ind w:firstLine="420"/>
        <w:spacing w:before="0" w:after="0" w:line="400" w:lineRule="exact"/>
        <w:rPr>
          <w:rFonts w:hint="eastAsia"/>
          <w:b w:val="0"/>
          <w:bCs w:val="0"/>
        </w:rPr>
      </w:pPr>
      <w:r/>
      <w:bookmarkStart w:id="149" w:name="_Toc513029231"/>
      <w:r/>
      <w:bookmarkStart w:id="150" w:name="_Toc20823303"/>
      <w:r/>
      <w:bookmarkStart w:id="151" w:name="_Toc16938547"/>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w:t>
      </w:r>
      <w:r>
        <w:rPr>
          <w:rFonts w:hint="eastAsia" w:ascii="宋体" w:hAnsi="宋体"/>
          <w:sz w:val="24"/>
          <w:szCs w:val="24"/>
          <w:lang w:eastAsia="zh-CN"/>
        </w:rPr>
        <w:t xml:space="preserve">评标委员会</w:t>
      </w:r>
      <w:r>
        <w:rPr>
          <w:rFonts w:hint="eastAsia" w:ascii="宋体" w:hAnsi="宋体"/>
          <w:sz w:val="24"/>
          <w:szCs w:val="24"/>
        </w:rPr>
        <w:t xml:space="preserve">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w:t>
      </w:r>
      <w:r>
        <w:rPr>
          <w:rFonts w:hint="eastAsia" w:ascii="宋体" w:hAnsi="宋体"/>
          <w:sz w:val="24"/>
          <w:szCs w:val="24"/>
          <w:lang w:eastAsia="zh-CN"/>
        </w:rPr>
        <w:t xml:space="preserve">评标委员会</w:t>
      </w:r>
      <w:r>
        <w:rPr>
          <w:rFonts w:hint="eastAsia" w:ascii="宋体" w:hAnsi="宋体"/>
          <w:sz w:val="24"/>
          <w:szCs w:val="24"/>
        </w:rPr>
        <w:t xml:space="preserve">独立工作，负责评审所有投标文件并确定中标侯选人。</w:t>
      </w:r>
      <w:r/>
    </w:p>
    <w:p>
      <w:pPr>
        <w:pStyle w:val="873"/>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49"/>
      <w:r/>
      <w:bookmarkEnd w:id="150"/>
      <w:r/>
      <w:bookmarkEnd w:id="151"/>
      <w:r/>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873"/>
        <w:ind w:firstLine="420"/>
        <w:spacing w:before="0" w:after="0" w:line="400" w:lineRule="exact"/>
        <w:rPr>
          <w:rFonts w:hint="eastAsia"/>
          <w:b w:val="0"/>
          <w:bCs w:val="0"/>
        </w:rPr>
      </w:pPr>
      <w:r/>
      <w:bookmarkStart w:id="152" w:name="_Toc16938548"/>
      <w:r/>
      <w:bookmarkStart w:id="153" w:name="_Toc20823304"/>
      <w:r/>
      <w:bookmarkStart w:id="154" w:name="_Toc513029232"/>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w:t>
      </w:r>
      <w:r>
        <w:rPr>
          <w:rFonts w:hint="eastAsia" w:ascii="宋体" w:hAnsi="宋体"/>
          <w:sz w:val="24"/>
          <w:szCs w:val="24"/>
          <w:lang w:eastAsia="zh-CN"/>
        </w:rPr>
        <w:t xml:space="preserve">评标委员会</w:t>
      </w:r>
      <w:r>
        <w:rPr>
          <w:rFonts w:hint="eastAsia" w:ascii="宋体" w:hAnsi="宋体"/>
          <w:sz w:val="24"/>
          <w:szCs w:val="24"/>
        </w:rPr>
        <w:t xml:space="preserve">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w:t>
      </w:r>
      <w:r>
        <w:rPr>
          <w:rFonts w:hint="eastAsia" w:ascii="宋体" w:hAnsi="宋体"/>
          <w:sz w:val="24"/>
          <w:szCs w:val="24"/>
          <w:lang w:eastAsia="zh-CN"/>
        </w:rPr>
        <w:t xml:space="preserve">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w:t>
      </w:r>
      <w:r>
        <w:rPr>
          <w:rFonts w:hint="eastAsia" w:ascii="宋体" w:hAnsi="宋体"/>
          <w:sz w:val="24"/>
          <w:szCs w:val="24"/>
          <w:lang w:eastAsia="zh-CN"/>
        </w:rPr>
        <w:t xml:space="preserve">评标委员会</w:t>
      </w:r>
      <w:r>
        <w:rPr>
          <w:rFonts w:hint="eastAsia" w:ascii="宋体" w:hAnsi="宋体"/>
          <w:sz w:val="24"/>
          <w:szCs w:val="24"/>
        </w:rPr>
        <w:t xml:space="preserve">澄清、说明和补正要求的投标人如未按规定做出澄清、说明和补正，其风险由投标人自行承担。</w:t>
      </w:r>
      <w:r/>
    </w:p>
    <w:p>
      <w:pPr>
        <w:pStyle w:val="873"/>
        <w:ind w:firstLine="420"/>
        <w:spacing w:before="0" w:after="0" w:line="400" w:lineRule="exact"/>
        <w:rPr>
          <w:rFonts w:hint="eastAsia"/>
          <w:b w:val="0"/>
          <w:bCs w:val="0"/>
        </w:rPr>
      </w:pPr>
      <w:r/>
      <w:bookmarkStart w:id="155" w:name="_Toc513029233"/>
      <w:r/>
      <w:bookmarkStart w:id="156" w:name="_Toc20823305"/>
      <w:r/>
      <w:bookmarkStart w:id="157" w:name="_Toc16938549"/>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w:t>
      </w:r>
      <w:r>
        <w:rPr>
          <w:rFonts w:hint="eastAsia" w:ascii="宋体" w:hAnsi="宋体"/>
          <w:bCs/>
          <w:sz w:val="24"/>
          <w:lang w:eastAsia="zh-CN"/>
        </w:rPr>
        <w:t xml:space="preserve">评标委员会</w:t>
      </w:r>
      <w:r>
        <w:rPr>
          <w:rFonts w:hint="eastAsia" w:ascii="宋体" w:hAnsi="宋体"/>
          <w:bCs/>
          <w:sz w:val="24"/>
        </w:rPr>
        <w:t xml:space="preserve">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w:t>
      </w:r>
      <w:r>
        <w:rPr>
          <w:rFonts w:hint="eastAsia" w:ascii="宋体" w:hAnsi="宋体"/>
          <w:bCs/>
          <w:sz w:val="24"/>
          <w:lang w:eastAsia="zh-CN"/>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w:t>
      </w:r>
      <w:r>
        <w:rPr>
          <w:rFonts w:hint="eastAsia" w:ascii="宋体" w:hAnsi="宋体"/>
          <w:sz w:val="24"/>
          <w:lang w:eastAsia="zh-CN"/>
        </w:rPr>
        <w:t xml:space="preserve">评标委员会</w:t>
      </w:r>
      <w:r>
        <w:rPr>
          <w:rFonts w:hint="eastAsia" w:ascii="宋体" w:hAnsi="宋体"/>
          <w:sz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sz w:val="24"/>
          <w:lang w:eastAsia="zh-CN"/>
        </w:rPr>
        <w:t xml:space="preserve">评标委员会</w:t>
      </w:r>
      <w:r>
        <w:rPr>
          <w:rFonts w:hint="eastAsia" w:ascii="宋体" w:hAnsi="宋体"/>
          <w:sz w:val="24"/>
        </w:rPr>
        <w:t xml:space="preserve">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24.3如果投标文件实质上没有响应招标文件的要求，</w:t>
      </w:r>
      <w:r>
        <w:rPr>
          <w:rFonts w:hint="eastAsia" w:ascii="宋体" w:hAnsi="宋体"/>
          <w:sz w:val="24"/>
          <w:lang w:eastAsia="zh-CN"/>
        </w:rPr>
        <w:t xml:space="preserve">评标委员会</w:t>
      </w:r>
      <w:r>
        <w:rPr>
          <w:rFonts w:hint="eastAsia" w:ascii="宋体" w:hAnsi="宋体"/>
          <w:sz w:val="24"/>
        </w:rPr>
        <w:t xml:space="preserve">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lang w:eastAsia="zh-CN"/>
        </w:rPr>
        <w:t xml:space="preserve">评标委员会</w:t>
      </w:r>
      <w:r>
        <w:rPr>
          <w:rFonts w:hint="eastAsia" w:ascii="宋体" w:hAnsi="宋体"/>
          <w:bCs/>
          <w:sz w:val="24"/>
        </w:rPr>
        <w:t xml:space="preserve">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lang w:eastAsia="zh-CN"/>
        </w:rPr>
        <w:t xml:space="preserve">评标委员会</w:t>
      </w:r>
      <w:r>
        <w:rPr>
          <w:rFonts w:hint="eastAsia" w:ascii="宋体" w:hAnsi="宋体"/>
          <w:bCs/>
          <w:sz w:val="24"/>
        </w:rPr>
        <w:t xml:space="preserve">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bookmarkStart w:id="158" w:name="_Toc20823306"/>
      <w:r/>
      <w:bookmarkStart w:id="159" w:name="_Toc16938550"/>
      <w:r/>
      <w:bookmarkStart w:id="160"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hint="eastAsia" w:ascii="方正魏碑_GBK" w:hAnsi="方正魏碑_GBK" w:eastAsia="方正魏碑_GBK" w:cs="方正魏碑_GBK"/>
          <w:color w:val="auto"/>
          <w:sz w:val="24"/>
          <w:szCs w:val="21"/>
        </w:rPr>
      </w:pPr>
      <w:r>
        <w:rPr>
          <w:rFonts w:hint="eastAsia" w:ascii="方正魏碑_GBK" w:hAnsi="方正魏碑_GBK" w:eastAsia="方正魏碑_GBK" w:cs="方正魏碑_GBK"/>
          <w:color w:val="auto"/>
          <w:sz w:val="24"/>
          <w:szCs w:val="21"/>
        </w:rPr>
        <w:t xml:space="preserve">2</w:t>
      </w:r>
      <w:r>
        <w:rPr>
          <w:rFonts w:hint="eastAsia" w:ascii="方正魏碑_GBK" w:hAnsi="方正魏碑_GBK" w:eastAsia="方正魏碑_GBK" w:cs="方正魏碑_GBK"/>
          <w:color w:val="auto"/>
          <w:sz w:val="24"/>
          <w:szCs w:val="21"/>
          <w:lang w:val="en-US" w:eastAsia="zh-CN"/>
        </w:rPr>
        <w:t xml:space="preserve">4</w:t>
      </w:r>
      <w:r>
        <w:rPr>
          <w:rFonts w:hint="eastAsia" w:ascii="方正魏碑_GBK" w:hAnsi="方正魏碑_GBK" w:eastAsia="方正魏碑_GBK" w:cs="方正魏碑_GBK"/>
          <w:color w:val="auto"/>
          <w:sz w:val="24"/>
          <w:szCs w:val="21"/>
        </w:rPr>
        <w:t xml:space="preserve">.</w:t>
      </w:r>
      <w:r>
        <w:rPr>
          <w:rFonts w:hint="eastAsia" w:ascii="方正魏碑_GBK" w:hAnsi="方正魏碑_GBK" w:eastAsia="方正魏碑_GBK" w:cs="方正魏碑_GBK"/>
          <w:color w:val="auto"/>
          <w:sz w:val="24"/>
          <w:szCs w:val="21"/>
          <w:lang w:val="en-US" w:eastAsia="zh-CN"/>
        </w:rPr>
        <w:t xml:space="preserve">7</w:t>
      </w:r>
      <w:r>
        <w:rPr>
          <w:rFonts w:hint="eastAsia" w:ascii="方正魏碑_GBK" w:hAnsi="方正魏碑_GBK" w:eastAsia="方正魏碑_GBK" w:cs="方正魏碑_GBK"/>
          <w:color w:val="auto"/>
          <w:sz w:val="24"/>
          <w:szCs w:val="21"/>
        </w:rPr>
        <w:t xml:space="preserve"> 异常低价投标审查</w:t>
      </w:r>
      <w:r/>
    </w:p>
    <w:p>
      <w:pPr>
        <w:ind w:firstLine="420"/>
        <w:spacing w:line="400" w:lineRule="exact"/>
        <w:rPr>
          <w:rFonts w:hint="eastAsia" w:ascii="方正魏碑_GBK" w:hAnsi="方正魏碑_GBK" w:eastAsia="方正魏碑_GBK" w:cs="方正魏碑_GBK"/>
          <w:color w:val="auto"/>
          <w:sz w:val="24"/>
          <w:szCs w:val="21"/>
        </w:rPr>
      </w:pPr>
      <w:r>
        <w:rPr>
          <w:rFonts w:hint="eastAsia" w:ascii="方正魏碑_GBK" w:hAnsi="方正魏碑_GBK" w:eastAsia="方正魏碑_GBK" w:cs="方正魏碑_GBK"/>
          <w:color w:val="auto"/>
          <w:sz w:val="24"/>
          <w:szCs w:val="21"/>
        </w:rPr>
        <w:t xml:space="preserve">2</w:t>
      </w:r>
      <w:r>
        <w:rPr>
          <w:rFonts w:hint="eastAsia" w:ascii="方正魏碑_GBK" w:hAnsi="方正魏碑_GBK" w:eastAsia="方正魏碑_GBK" w:cs="方正魏碑_GBK"/>
          <w:color w:val="auto"/>
          <w:sz w:val="24"/>
          <w:szCs w:val="21"/>
          <w:lang w:val="en-US" w:eastAsia="zh-CN"/>
        </w:rPr>
        <w:t xml:space="preserve">4</w:t>
      </w:r>
      <w:r>
        <w:rPr>
          <w:rFonts w:hint="eastAsia" w:ascii="方正魏碑_GBK" w:hAnsi="方正魏碑_GBK" w:eastAsia="方正魏碑_GBK" w:cs="方正魏碑_GBK"/>
          <w:color w:val="auto"/>
          <w:sz w:val="24"/>
          <w:szCs w:val="21"/>
        </w:rPr>
        <w:t xml:space="preserve">.</w:t>
      </w:r>
      <w:r>
        <w:rPr>
          <w:rFonts w:hint="eastAsia" w:ascii="方正魏碑_GBK" w:hAnsi="方正魏碑_GBK" w:eastAsia="方正魏碑_GBK" w:cs="方正魏碑_GBK"/>
          <w:color w:val="auto"/>
          <w:sz w:val="24"/>
          <w:szCs w:val="21"/>
          <w:lang w:val="en-US" w:eastAsia="zh-CN"/>
        </w:rPr>
        <w:t xml:space="preserve">7</w:t>
      </w:r>
      <w:r>
        <w:rPr>
          <w:rFonts w:hint="eastAsia" w:ascii="方正魏碑_GBK" w:hAnsi="方正魏碑_GBK" w:eastAsia="方正魏碑_GBK" w:cs="方正魏碑_GBK"/>
          <w:color w:val="auto"/>
          <w:sz w:val="24"/>
          <w:szCs w:val="21"/>
        </w:rPr>
        <w:t xml:space="preserve">.1 评标过程中出现下列情形之一的，评标委员会应当启动异常低价投标审查程序：</w:t>
      </w:r>
      <w:r/>
    </w:p>
    <w:p>
      <w:pPr>
        <w:ind w:firstLine="420"/>
        <w:spacing w:line="400" w:lineRule="exact"/>
        <w:rPr>
          <w:rFonts w:hint="eastAsia" w:ascii="方正魏碑_GBK" w:hAnsi="方正魏碑_GBK" w:eastAsia="方正魏碑_GBK" w:cs="方正魏碑_GBK"/>
          <w:color w:val="auto"/>
          <w:sz w:val="24"/>
          <w:szCs w:val="21"/>
        </w:rPr>
      </w:pPr>
      <w:r>
        <w:rPr>
          <w:rFonts w:hint="eastAsia" w:ascii="方正魏碑_GBK" w:hAnsi="方正魏碑_GBK" w:eastAsia="方正魏碑_GBK" w:cs="方正魏碑_GBK"/>
          <w:color w:val="auto"/>
          <w:sz w:val="24"/>
          <w:szCs w:val="21"/>
        </w:rPr>
        <w:t xml:space="preserve">（1）投标报价低于全部通过符合性审查供应商投标报价平均值</w:t>
      </w:r>
      <w:r>
        <w:rPr>
          <w:rFonts w:hint="eastAsia" w:ascii="方正魏碑_GBK" w:hAnsi="方正魏碑_GBK" w:eastAsia="方正魏碑_GBK" w:cs="方正魏碑_GBK"/>
          <w:color w:val="auto"/>
          <w:sz w:val="24"/>
          <w:szCs w:val="21"/>
          <w:u w:val="single"/>
        </w:rPr>
        <w:t xml:space="preserve">50%</w:t>
      </w:r>
      <w:r>
        <w:rPr>
          <w:rFonts w:hint="eastAsia" w:ascii="方正魏碑_GBK" w:hAnsi="方正魏碑_GBK" w:eastAsia="方正魏碑_GBK" w:cs="方正魏碑_GBK"/>
          <w:color w:val="auto"/>
          <w:sz w:val="24"/>
          <w:szCs w:val="21"/>
        </w:rPr>
        <w:t xml:space="preserve">的，即投标报价&lt;全部通过符合性审查供应商投标报价平均值×</w:t>
      </w:r>
      <w:r>
        <w:rPr>
          <w:rFonts w:hint="eastAsia" w:ascii="方正魏碑_GBK" w:hAnsi="方正魏碑_GBK" w:eastAsia="方正魏碑_GBK" w:cs="方正魏碑_GBK"/>
          <w:color w:val="auto"/>
          <w:sz w:val="24"/>
          <w:szCs w:val="21"/>
          <w:u w:val="single"/>
        </w:rPr>
        <w:t xml:space="preserve">50%</w:t>
      </w:r>
      <w:r>
        <w:rPr>
          <w:rFonts w:hint="eastAsia" w:ascii="方正魏碑_GBK" w:hAnsi="方正魏碑_GBK" w:eastAsia="方正魏碑_GBK" w:cs="方正魏碑_GBK"/>
          <w:color w:val="auto"/>
          <w:sz w:val="24"/>
          <w:szCs w:val="21"/>
        </w:rPr>
        <w:t xml:space="preserve">；</w:t>
      </w:r>
      <w:r/>
    </w:p>
    <w:p>
      <w:pPr>
        <w:ind w:firstLine="420"/>
        <w:spacing w:line="400" w:lineRule="exact"/>
        <w:rPr>
          <w:rFonts w:hint="eastAsia" w:ascii="方正魏碑_GBK" w:hAnsi="方正魏碑_GBK" w:eastAsia="方正魏碑_GBK" w:cs="方正魏碑_GBK"/>
          <w:color w:val="auto"/>
          <w:sz w:val="24"/>
          <w:szCs w:val="21"/>
        </w:rPr>
      </w:pPr>
      <w:r>
        <w:rPr>
          <w:rFonts w:hint="eastAsia" w:ascii="方正魏碑_GBK" w:hAnsi="方正魏碑_GBK" w:eastAsia="方正魏碑_GBK" w:cs="方正魏碑_GBK"/>
          <w:color w:val="auto"/>
          <w:sz w:val="24"/>
          <w:szCs w:val="21"/>
        </w:rPr>
        <w:t xml:space="preserve">（2）投标报价低于通过符合性审查的次低报价供应商投标报价</w:t>
      </w:r>
      <w:r>
        <w:rPr>
          <w:rFonts w:hint="eastAsia" w:ascii="方正魏碑_GBK" w:hAnsi="方正魏碑_GBK" w:eastAsia="方正魏碑_GBK" w:cs="方正魏碑_GBK"/>
          <w:color w:val="auto"/>
          <w:sz w:val="24"/>
          <w:szCs w:val="21"/>
          <w:u w:val="single"/>
        </w:rPr>
        <w:t xml:space="preserve">50%</w:t>
      </w:r>
      <w:r>
        <w:rPr>
          <w:rFonts w:hint="eastAsia" w:ascii="方正魏碑_GBK" w:hAnsi="方正魏碑_GBK" w:eastAsia="方正魏碑_GBK" w:cs="方正魏碑_GBK"/>
          <w:color w:val="auto"/>
          <w:sz w:val="24"/>
          <w:szCs w:val="21"/>
        </w:rPr>
        <w:t xml:space="preserve">的，即投标报价&lt;通过符合性审查的次低报价供应商投标报价×</w:t>
      </w:r>
      <w:r>
        <w:rPr>
          <w:rFonts w:hint="eastAsia" w:ascii="方正魏碑_GBK" w:hAnsi="方正魏碑_GBK" w:eastAsia="方正魏碑_GBK" w:cs="方正魏碑_GBK"/>
          <w:color w:val="auto"/>
          <w:sz w:val="24"/>
          <w:szCs w:val="21"/>
          <w:u w:val="single"/>
        </w:rPr>
        <w:t xml:space="preserve">50%</w:t>
      </w:r>
      <w:r>
        <w:rPr>
          <w:rFonts w:hint="eastAsia" w:ascii="方正魏碑_GBK" w:hAnsi="方正魏碑_GBK" w:eastAsia="方正魏碑_GBK" w:cs="方正魏碑_GBK"/>
          <w:color w:val="auto"/>
          <w:sz w:val="24"/>
          <w:szCs w:val="21"/>
        </w:rPr>
        <w:t xml:space="preserve">；</w:t>
      </w:r>
      <w:r/>
    </w:p>
    <w:p>
      <w:pPr>
        <w:ind w:firstLine="420"/>
        <w:spacing w:line="400" w:lineRule="exact"/>
        <w:rPr>
          <w:rFonts w:hint="eastAsia" w:ascii="方正魏碑_GBK" w:hAnsi="方正魏碑_GBK" w:eastAsia="方正魏碑_GBK" w:cs="方正魏碑_GBK"/>
          <w:color w:val="auto"/>
          <w:sz w:val="24"/>
          <w:szCs w:val="21"/>
          <w:lang w:eastAsia="zh-CN"/>
        </w:rPr>
      </w:pPr>
      <w:r>
        <w:rPr>
          <w:rFonts w:hint="eastAsia" w:ascii="方正魏碑_GBK" w:hAnsi="方正魏碑_GBK" w:eastAsia="方正魏碑_GBK" w:cs="方正魏碑_GBK"/>
          <w:color w:val="auto"/>
          <w:sz w:val="24"/>
          <w:szCs w:val="21"/>
          <w:lang w:eastAsia="zh-CN"/>
        </w:rPr>
        <w:t xml:space="preserve">（</w:t>
      </w:r>
      <w:r>
        <w:rPr>
          <w:rFonts w:hint="eastAsia" w:ascii="方正魏碑_GBK" w:hAnsi="方正魏碑_GBK" w:eastAsia="方正魏碑_GBK" w:cs="方正魏碑_GBK"/>
          <w:color w:val="auto"/>
          <w:sz w:val="24"/>
          <w:szCs w:val="21"/>
          <w:lang w:val="en-US" w:eastAsia="zh-CN"/>
        </w:rPr>
        <w:t xml:space="preserve">3</w:t>
      </w:r>
      <w:r>
        <w:rPr>
          <w:rFonts w:hint="eastAsia" w:ascii="方正魏碑_GBK" w:hAnsi="方正魏碑_GBK" w:eastAsia="方正魏碑_GBK" w:cs="方正魏碑_GBK"/>
          <w:color w:val="auto"/>
          <w:sz w:val="24"/>
          <w:szCs w:val="21"/>
          <w:lang w:eastAsia="zh-CN"/>
        </w:rPr>
        <w:t xml:space="preserve">）投标报价低于采购项目最高限价</w:t>
      </w:r>
      <w:r>
        <w:rPr>
          <w:rFonts w:hint="eastAsia" w:ascii="方正魏碑_GBK" w:hAnsi="方正魏碑_GBK" w:eastAsia="方正魏碑_GBK" w:cs="方正魏碑_GBK"/>
          <w:color w:val="auto"/>
          <w:sz w:val="24"/>
          <w:szCs w:val="21"/>
          <w:u w:val="single"/>
          <w:lang w:eastAsia="zh-CN"/>
        </w:rPr>
        <w:t xml:space="preserve">45%</w:t>
      </w:r>
      <w:r>
        <w:rPr>
          <w:rFonts w:hint="eastAsia" w:ascii="方正魏碑_GBK" w:hAnsi="方正魏碑_GBK" w:eastAsia="方正魏碑_GBK" w:cs="方正魏碑_GBK"/>
          <w:color w:val="auto"/>
          <w:sz w:val="24"/>
          <w:szCs w:val="21"/>
          <w:lang w:eastAsia="zh-CN"/>
        </w:rPr>
        <w:t xml:space="preserve">的，即投标报价&lt;采购项目最高限价×</w:t>
      </w:r>
      <w:r>
        <w:rPr>
          <w:rFonts w:hint="eastAsia" w:ascii="方正魏碑_GBK" w:hAnsi="方正魏碑_GBK" w:eastAsia="方正魏碑_GBK" w:cs="方正魏碑_GBK"/>
          <w:color w:val="auto"/>
          <w:sz w:val="24"/>
          <w:szCs w:val="21"/>
          <w:u w:val="single"/>
          <w:lang w:eastAsia="zh-CN"/>
        </w:rPr>
        <w:t xml:space="preserve">45%</w:t>
      </w:r>
      <w:r>
        <w:rPr>
          <w:rFonts w:hint="eastAsia" w:ascii="方正魏碑_GBK" w:hAnsi="方正魏碑_GBK" w:eastAsia="方正魏碑_GBK" w:cs="方正魏碑_GBK"/>
          <w:color w:val="auto"/>
          <w:sz w:val="24"/>
          <w:szCs w:val="21"/>
          <w:lang w:eastAsia="zh-CN"/>
        </w:rPr>
        <w:t xml:space="preserve">；</w:t>
      </w:r>
      <w:r/>
    </w:p>
    <w:p>
      <w:pPr>
        <w:ind w:firstLine="420"/>
        <w:spacing w:line="400" w:lineRule="exact"/>
        <w:rPr>
          <w:rFonts w:hint="eastAsia" w:ascii="方正魏碑_GBK" w:hAnsi="方正魏碑_GBK" w:eastAsia="方正魏碑_GBK" w:cs="方正魏碑_GBK"/>
          <w:color w:val="auto"/>
          <w:sz w:val="24"/>
          <w:szCs w:val="21"/>
        </w:rPr>
      </w:pPr>
      <w:r>
        <w:rPr>
          <w:rFonts w:hint="eastAsia" w:ascii="方正魏碑_GBK" w:hAnsi="方正魏碑_GBK" w:eastAsia="方正魏碑_GBK" w:cs="方正魏碑_GBK"/>
          <w:color w:val="auto"/>
          <w:sz w:val="24"/>
          <w:szCs w:val="21"/>
        </w:rPr>
        <w:t xml:space="preserve">（</w:t>
      </w:r>
      <w:r>
        <w:rPr>
          <w:rFonts w:hint="eastAsia" w:ascii="方正魏碑_GBK" w:hAnsi="方正魏碑_GBK" w:eastAsia="方正魏碑_GBK" w:cs="方正魏碑_GBK"/>
          <w:color w:val="auto"/>
          <w:sz w:val="24"/>
          <w:szCs w:val="21"/>
          <w:lang w:val="en-US" w:eastAsia="zh-CN"/>
        </w:rPr>
        <w:t xml:space="preserve">4</w:t>
      </w:r>
      <w:r>
        <w:rPr>
          <w:rFonts w:hint="eastAsia" w:ascii="方正魏碑_GBK" w:hAnsi="方正魏碑_GBK" w:eastAsia="方正魏碑_GBK" w:cs="方正魏碑_GBK"/>
          <w:color w:val="auto"/>
          <w:sz w:val="24"/>
          <w:szCs w:val="21"/>
        </w:rPr>
        <w:t xml:space="preserve">）</w:t>
      </w:r>
      <w:r>
        <w:rPr>
          <w:rFonts w:hint="eastAsia" w:ascii="方正魏碑_GBK" w:hAnsi="方正魏碑_GBK" w:eastAsia="方正魏碑_GBK" w:cs="方正魏碑_GBK"/>
          <w:color w:val="auto"/>
          <w:sz w:val="24"/>
          <w:szCs w:val="21"/>
          <w:lang w:eastAsia="zh-CN"/>
        </w:rPr>
        <w:t xml:space="preserve">评标</w:t>
      </w:r>
      <w:r>
        <w:rPr>
          <w:rFonts w:hint="eastAsia" w:ascii="方正魏碑_GBK" w:hAnsi="方正魏碑_GBK" w:eastAsia="方正魏碑_GBK" w:cs="方正魏碑_GBK"/>
          <w:color w:val="auto"/>
          <w:sz w:val="24"/>
          <w:szCs w:val="21"/>
        </w:rPr>
        <w:t xml:space="preserve">委员会基于专业判断，认为供应商报价过低，有可能影响产品质量或者不能诚信履约的其他情形。</w:t>
      </w:r>
      <w:r/>
    </w:p>
    <w:p>
      <w:pPr>
        <w:ind w:firstLine="420"/>
        <w:spacing w:line="400" w:lineRule="exact"/>
        <w:rPr>
          <w:rFonts w:hint="eastAsia" w:ascii="方正魏碑_GBK" w:hAnsi="方正魏碑_GBK" w:eastAsia="方正魏碑_GBK" w:cs="方正魏碑_GBK"/>
          <w:color w:val="auto"/>
          <w:sz w:val="24"/>
          <w:szCs w:val="21"/>
          <w:lang w:val="en-US" w:eastAsia="zh-CN"/>
        </w:rPr>
      </w:pPr>
      <w:r>
        <w:rPr>
          <w:rFonts w:hint="eastAsia" w:ascii="方正魏碑_GBK" w:hAnsi="方正魏碑_GBK" w:eastAsia="方正魏碑_GBK" w:cs="方正魏碑_GBK"/>
          <w:color w:val="auto"/>
          <w:sz w:val="24"/>
          <w:szCs w:val="21"/>
        </w:rPr>
        <w:t xml:space="preserve">2</w:t>
      </w:r>
      <w:r>
        <w:rPr>
          <w:rFonts w:hint="eastAsia" w:ascii="方正魏碑_GBK" w:hAnsi="方正魏碑_GBK" w:eastAsia="方正魏碑_GBK" w:cs="方正魏碑_GBK"/>
          <w:color w:val="auto"/>
          <w:sz w:val="24"/>
          <w:szCs w:val="21"/>
          <w:lang w:val="en-US" w:eastAsia="zh-CN"/>
        </w:rPr>
        <w:t xml:space="preserve">4</w:t>
      </w:r>
      <w:r>
        <w:rPr>
          <w:rFonts w:hint="eastAsia" w:ascii="方正魏碑_GBK" w:hAnsi="方正魏碑_GBK" w:eastAsia="方正魏碑_GBK" w:cs="方正魏碑_GBK"/>
          <w:color w:val="auto"/>
          <w:sz w:val="24"/>
          <w:szCs w:val="21"/>
        </w:rPr>
        <w:t xml:space="preserve">.</w:t>
      </w:r>
      <w:r>
        <w:rPr>
          <w:rFonts w:hint="eastAsia" w:ascii="方正魏碑_GBK" w:hAnsi="方正魏碑_GBK" w:eastAsia="方正魏碑_GBK" w:cs="方正魏碑_GBK"/>
          <w:color w:val="auto"/>
          <w:sz w:val="24"/>
          <w:szCs w:val="21"/>
          <w:lang w:val="en-US" w:eastAsia="zh-CN"/>
        </w:rPr>
        <w:t xml:space="preserve">7</w:t>
      </w:r>
      <w:r>
        <w:rPr>
          <w:rFonts w:hint="eastAsia" w:ascii="方正魏碑_GBK" w:hAnsi="方正魏碑_GBK" w:eastAsia="方正魏碑_GBK" w:cs="方正魏碑_GBK"/>
          <w:color w:val="auto"/>
          <w:sz w:val="24"/>
          <w:szCs w:val="21"/>
        </w:rPr>
        <w:t xml:space="preserve">.2 </w:t>
      </w:r>
      <w:r>
        <w:rPr>
          <w:rFonts w:hint="eastAsia" w:ascii="方正魏碑_GBK" w:hAnsi="方正魏碑_GBK" w:eastAsia="方正魏碑_GBK" w:cs="方正魏碑_GBK"/>
          <w:color w:val="auto"/>
          <w:sz w:val="24"/>
          <w:szCs w:val="21"/>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hint="eastAsia" w:ascii="方正魏碑_GBK" w:hAnsi="方正魏碑_GBK" w:eastAsia="方正魏碑_GBK" w:cs="方正魏碑_GBK"/>
          <w:color w:val="auto"/>
          <w:sz w:val="24"/>
          <w:szCs w:val="21"/>
          <w:lang w:val="en-US" w:eastAsia="zh-CN"/>
        </w:rPr>
      </w:pPr>
      <w:r>
        <w:rPr>
          <w:rFonts w:hint="eastAsia" w:ascii="方正魏碑_GBK" w:hAnsi="方正魏碑_GBK" w:eastAsia="方正魏碑_GBK" w:cs="方正魏碑_GBK"/>
          <w:color w:val="auto"/>
          <w:sz w:val="24"/>
          <w:szCs w:val="21"/>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73"/>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p>
    <w:p>
      <w:pPr>
        <w:ind w:left="479"/>
        <w:spacing w:line="400" w:lineRule="exact"/>
        <w:rPr>
          <w:rFonts w:hint="eastAsia" w:ascii="宋体" w:hAnsi="宋体"/>
          <w:bCs/>
          <w:sz w:val="24"/>
        </w:rPr>
      </w:pPr>
      <w:r/>
      <w:bookmarkStart w:id="161" w:name="_Toc20823307"/>
      <w:r/>
      <w:bookmarkStart w:id="162" w:name="_Toc16938551"/>
      <w:r/>
      <w:bookmarkStart w:id="163" w:name="_Toc513029235"/>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hint="eastAsia" w:ascii="宋体" w:hAnsi="宋体" w:eastAsia="宋体" w:cs="Times New Roman"/>
          <w:bCs/>
          <w:sz w:val="24"/>
        </w:rPr>
      </w:pPr>
      <w:r>
        <w:rPr>
          <w:rFonts w:hint="eastAsia" w:ascii="宋体" w:hAnsi="宋体" w:eastAsia="宋体" w:cs="Times New Roman"/>
          <w:bCs/>
          <w:sz w:val="24"/>
          <w:lang w:val="en-US" w:eastAsia="zh-CN"/>
        </w:rPr>
        <w:t xml:space="preserve">25.1.12 投标人所提供的服务不符合招标文件中所列国家强制性标准的。</w:t>
      </w:r>
      <w:r/>
    </w:p>
    <w:p>
      <w:pPr>
        <w:ind w:firstLine="480"/>
        <w:spacing w:line="400" w:lineRule="exact"/>
        <w:rPr>
          <w:rFonts w:hint="eastAsia" w:ascii="宋体" w:hAnsi="宋体"/>
          <w:bCs/>
          <w:sz w:val="24"/>
        </w:rPr>
      </w:pPr>
      <w:r>
        <w:rPr>
          <w:rFonts w:hint="eastAsia" w:ascii="宋体" w:hAnsi="宋体"/>
          <w:bCs/>
          <w:sz w:val="24"/>
        </w:rPr>
        <w:t xml:space="preserve">25.1.1</w:t>
      </w:r>
      <w:r>
        <w:rPr>
          <w:rFonts w:hint="eastAsia" w:ascii="宋体" w:hAnsi="宋体"/>
          <w:bCs/>
          <w:sz w:val="24"/>
          <w:lang w:val="en-US" w:eastAsia="zh-CN"/>
        </w:rPr>
        <w:t xml:space="preserve">3</w:t>
      </w:r>
      <w:r>
        <w:rPr>
          <w:rFonts w:hint="eastAsia" w:ascii="宋体" w:hAnsi="宋体"/>
          <w:bCs/>
          <w:sz w:val="24"/>
        </w:rPr>
        <w:t xml:space="preserve">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872"/>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
    </w:p>
    <w:p>
      <w:pPr>
        <w:pStyle w:val="873"/>
        <w:ind w:firstLine="600"/>
        <w:spacing w:before="0" w:after="0" w:line="400" w:lineRule="exact"/>
        <w:rPr>
          <w:rFonts w:hint="eastAsia" w:ascii="黑体" w:hAnsi="宋体" w:cs="Times New Roman"/>
          <w:b w:val="0"/>
          <w:sz w:val="30"/>
          <w:szCs w:val="30"/>
        </w:rPr>
      </w:pPr>
      <w:r/>
      <w:bookmarkStart w:id="165" w:name="_Toc513029238"/>
      <w:r/>
      <w:bookmarkStart w:id="166" w:name="_Toc16938554"/>
      <w:r/>
      <w:bookmarkStart w:id="167"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w:t>
      </w:r>
      <w:r>
        <w:rPr>
          <w:rFonts w:hint="eastAsia" w:ascii="宋体" w:hAnsi="宋体"/>
          <w:bCs/>
          <w:sz w:val="24"/>
          <w:lang w:eastAsia="zh-CN"/>
        </w:rPr>
        <w:t xml:space="preserve">评标委员会</w:t>
      </w:r>
      <w:r>
        <w:rPr>
          <w:rFonts w:hint="eastAsia" w:ascii="宋体" w:hAnsi="宋体"/>
          <w:bCs/>
          <w:sz w:val="24"/>
        </w:rPr>
        <w:t xml:space="preserve">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w:t>
      </w:r>
      <w:r>
        <w:rPr>
          <w:rFonts w:hint="eastAsia" w:ascii="宋体" w:hAnsi="宋体"/>
          <w:sz w:val="24"/>
          <w:szCs w:val="24"/>
          <w:lang w:eastAsia="zh-CN"/>
        </w:rPr>
        <w:t xml:space="preserve">评标委员会</w:t>
      </w:r>
      <w:r>
        <w:rPr>
          <w:rFonts w:hint="eastAsia" w:ascii="宋体" w:hAnsi="宋体"/>
          <w:sz w:val="24"/>
          <w:szCs w:val="24"/>
        </w:rPr>
        <w:t xml:space="preserve">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87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8"/>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7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72"/>
        <w:spacing w:before="145" w:after="145" w:line="400" w:lineRule="exact"/>
        <w:rPr>
          <w:rFonts w:hint="eastAsia"/>
        </w:rPr>
      </w:pPr>
      <w:r/>
      <w:bookmarkStart w:id="169" w:name="_Toc120614220"/>
      <w:r/>
      <w:bookmarkStart w:id="170" w:name="_Toc16938552"/>
      <w:r/>
      <w:bookmarkStart w:id="171" w:name="_Toc20823308"/>
      <w:r/>
      <w:bookmarkStart w:id="172" w:name="_Toc513029236"/>
      <w:r>
        <w:rPr>
          <w:rFonts w:hint="eastAsia"/>
        </w:rPr>
        <w:t xml:space="preserve">七、授予合同</w:t>
      </w:r>
      <w:bookmarkEnd w:id="169"/>
      <w:r/>
      <w:bookmarkEnd w:id="170"/>
      <w:r/>
      <w:bookmarkEnd w:id="171"/>
      <w:r/>
      <w:bookmarkEnd w:id="172"/>
      <w:r/>
      <w:r/>
    </w:p>
    <w:p>
      <w:pPr>
        <w:pStyle w:val="873"/>
        <w:ind w:firstLine="600"/>
        <w:spacing w:before="0" w:after="0" w:line="400" w:lineRule="exact"/>
        <w:rPr>
          <w:rFonts w:hint="eastAsia" w:ascii="黑体" w:hAnsi="宋体" w:cs="Times New Roman"/>
          <w:b w:val="0"/>
          <w:sz w:val="30"/>
          <w:szCs w:val="30"/>
        </w:rPr>
      </w:pPr>
      <w:r/>
      <w:bookmarkStart w:id="173" w:name="_Toc20823309"/>
      <w:r/>
      <w:bookmarkStart w:id="174" w:name="_Toc16938553"/>
      <w:r/>
      <w:bookmarkStart w:id="175" w:name="_Toc51302923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7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3"/>
      <w:r/>
      <w:bookmarkEnd w:id="174"/>
      <w:r/>
      <w:bookmarkEnd w:id="175"/>
      <w:r/>
      <w:r/>
    </w:p>
    <w:p>
      <w:pPr>
        <w:pStyle w:val="873"/>
        <w:ind w:firstLine="600"/>
        <w:spacing w:before="0" w:after="0" w:line="400" w:lineRule="exact"/>
        <w:rPr>
          <w:rFonts w:ascii="黑体" w:hAnsi="宋体" w:cs="Times New Roman"/>
          <w:b w:val="0"/>
          <w:sz w:val="30"/>
          <w:szCs w:val="30"/>
        </w:rPr>
      </w:pPr>
      <w:r/>
      <w:bookmarkStart w:id="176" w:name="_Toc20823314"/>
      <w:r/>
      <w:bookmarkStart w:id="177" w:name="_Toc479757207"/>
      <w:r/>
      <w:bookmarkStart w:id="178" w:name="_Toc513029242"/>
      <w:r/>
      <w:bookmarkStart w:id="179" w:name="_Toc120614221"/>
      <w:r/>
      <w:bookmarkStart w:id="180" w:name="_Toc16938558"/>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881"/>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881"/>
        <w:spacing w:line="400" w:lineRule="exact"/>
        <w:rPr>
          <w:rFonts w:hint="eastAsia" w:ascii="宋体" w:hAnsi="宋体"/>
          <w:bCs/>
          <w:sz w:val="24"/>
        </w:rPr>
      </w:pPr>
      <w:r>
        <w:rPr>
          <w:rFonts w:hint="eastAsia" w:ascii="宋体" w:hAnsi="宋体"/>
          <w:bCs/>
          <w:sz w:val="24"/>
        </w:rPr>
      </w:r>
      <w:r/>
    </w:p>
    <w:p>
      <w:pPr>
        <w:pStyle w:val="881"/>
        <w:spacing w:line="400" w:lineRule="exact"/>
        <w:rPr>
          <w:rFonts w:hint="eastAsia" w:ascii="宋体" w:hAnsi="宋体"/>
          <w:bCs/>
          <w:sz w:val="24"/>
        </w:rPr>
      </w:pPr>
      <w:r>
        <w:rPr>
          <w:rFonts w:hint="eastAsia" w:ascii="宋体" w:hAnsi="宋体"/>
          <w:bCs/>
          <w:sz w:val="24"/>
        </w:rPr>
      </w:r>
      <w:r/>
    </w:p>
    <w:p>
      <w:pPr>
        <w:pStyle w:val="870"/>
        <w:rPr>
          <w:rFonts w:hint="eastAsia"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p>
    <w:p>
      <w:pPr>
        <w:jc w:val="center"/>
        <w:spacing w:before="145" w:after="145"/>
        <w:rPr>
          <w:rFonts w:hint="eastAsia" w:ascii="宋体" w:hAnsi="宋体"/>
          <w:b/>
          <w:sz w:val="30"/>
        </w:rPr>
        <w:outlineLvl w:val="0"/>
      </w:pPr>
      <w:r/>
      <w:bookmarkStart w:id="181" w:name="_Toc20823315"/>
      <w:r/>
      <w:bookmarkStart w:id="182" w:name="_Toc513029243"/>
      <w:r/>
      <w:bookmarkStart w:id="183" w:name="_Toc16938559"/>
      <w:r/>
      <w:r/>
    </w:p>
    <w:p>
      <w:pPr>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ff0000"/>
          <w:sz w:val="24"/>
          <w:szCs w:val="24"/>
        </w:rPr>
      </w:pPr>
      <w:r>
        <w:rPr>
          <w:rFonts w:hint="eastAsia" w:ascii="宋体" w:hAnsi="宋体" w:cs="Courier New"/>
          <w:color w:val="000000"/>
          <w:sz w:val="24"/>
          <w:szCs w:val="24"/>
          <w:lang w:eastAsia="zh-CN"/>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892"/>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892"/>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892"/>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892"/>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92"/>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92"/>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892"/>
        <w:spacing w:before="120" w:after="120"/>
        <w:rPr>
          <w:rFonts w:hint="eastAsia" w:hAnsi="宋体"/>
          <w:sz w:val="24"/>
          <w:szCs w:val="24"/>
        </w:rPr>
      </w:pPr>
      <w:r>
        <w:rPr>
          <w:rFonts w:hint="eastAsia" w:hAnsi="宋体"/>
          <w:sz w:val="24"/>
          <w:szCs w:val="24"/>
        </w:rPr>
        <w:t xml:space="preserve">1.3 标的数量（规模）：</w:t>
      </w:r>
      <w:r/>
    </w:p>
    <w:p>
      <w:pPr>
        <w:pStyle w:val="892"/>
        <w:spacing w:before="120" w:after="120"/>
        <w:rPr>
          <w:rFonts w:hint="eastAsia" w:hAnsi="宋体"/>
          <w:sz w:val="24"/>
          <w:szCs w:val="24"/>
        </w:rPr>
      </w:pPr>
      <w:r>
        <w:rPr>
          <w:rFonts w:hint="eastAsia" w:hAnsi="宋体"/>
          <w:sz w:val="24"/>
          <w:szCs w:val="24"/>
        </w:rPr>
        <w:t xml:space="preserve">1.4 履行时间（期限）：</w:t>
      </w:r>
      <w:r/>
    </w:p>
    <w:p>
      <w:pPr>
        <w:pStyle w:val="892"/>
        <w:spacing w:before="120" w:after="120"/>
        <w:rPr>
          <w:rFonts w:hAnsi="宋体"/>
          <w:sz w:val="24"/>
          <w:szCs w:val="24"/>
        </w:rPr>
      </w:pPr>
      <w:r>
        <w:rPr>
          <w:rFonts w:hint="eastAsia" w:hAnsi="宋体"/>
          <w:sz w:val="24"/>
          <w:szCs w:val="24"/>
        </w:rPr>
        <w:t xml:space="preserve">1.5 履行地点：</w:t>
      </w:r>
      <w:r/>
    </w:p>
    <w:p>
      <w:pPr>
        <w:pStyle w:val="892"/>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892"/>
        <w:spacing w:before="120" w:after="120"/>
        <w:rPr>
          <w:rFonts w:hAnsi="宋体"/>
          <w:b/>
          <w:sz w:val="24"/>
          <w:szCs w:val="24"/>
        </w:rPr>
      </w:pPr>
      <w:r>
        <w:rPr>
          <w:rFonts w:hAnsi="宋体"/>
          <w:b/>
          <w:sz w:val="24"/>
          <w:szCs w:val="24"/>
        </w:rPr>
        <w:t xml:space="preserve">二、合同金额</w:t>
      </w:r>
      <w:r/>
    </w:p>
    <w:p>
      <w:pPr>
        <w:pStyle w:val="892"/>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892"/>
        <w:spacing w:before="120" w:after="120"/>
        <w:rPr>
          <w:rFonts w:hAnsi="宋体"/>
          <w:b/>
          <w:sz w:val="24"/>
          <w:szCs w:val="24"/>
        </w:rPr>
      </w:pPr>
      <w:r>
        <w:rPr>
          <w:rFonts w:hAnsi="宋体"/>
          <w:b/>
          <w:sz w:val="24"/>
          <w:szCs w:val="24"/>
        </w:rPr>
        <w:t xml:space="preserve">三、技术资料</w:t>
      </w:r>
      <w:r/>
    </w:p>
    <w:p>
      <w:pPr>
        <w:pStyle w:val="892"/>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892"/>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2"/>
        <w:ind w:left="412" w:hanging="412"/>
        <w:spacing w:before="120" w:after="120"/>
        <w:rPr>
          <w:rFonts w:hAnsi="宋体"/>
          <w:b/>
          <w:sz w:val="24"/>
          <w:szCs w:val="24"/>
        </w:rPr>
      </w:pPr>
      <w:r>
        <w:rPr>
          <w:rFonts w:hAnsi="宋体"/>
          <w:b/>
          <w:sz w:val="24"/>
          <w:szCs w:val="24"/>
        </w:rPr>
        <w:t xml:space="preserve">四、知识产权</w:t>
      </w:r>
      <w:r/>
    </w:p>
    <w:p>
      <w:pPr>
        <w:pStyle w:val="892"/>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92"/>
        <w:spacing w:before="120" w:after="120"/>
        <w:rPr>
          <w:rFonts w:hAnsi="宋体"/>
          <w:sz w:val="24"/>
          <w:szCs w:val="24"/>
          <w:u w:val="single"/>
        </w:rPr>
      </w:pPr>
      <w:r>
        <w:rPr>
          <w:rFonts w:hAnsi="宋体"/>
          <w:b/>
          <w:sz w:val="24"/>
          <w:szCs w:val="24"/>
        </w:rPr>
        <w:t xml:space="preserve">五、产权担保</w:t>
      </w:r>
      <w:r/>
    </w:p>
    <w:p>
      <w:pPr>
        <w:pStyle w:val="892"/>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892"/>
        <w:ind w:left="410" w:hanging="410"/>
        <w:spacing w:before="120" w:after="120"/>
        <w:rPr>
          <w:rFonts w:hAnsi="宋体"/>
          <w:b/>
          <w:sz w:val="24"/>
          <w:szCs w:val="24"/>
        </w:rPr>
      </w:pPr>
      <w:r>
        <w:rPr>
          <w:rFonts w:hAnsi="宋体"/>
          <w:b/>
          <w:sz w:val="24"/>
          <w:szCs w:val="24"/>
        </w:rPr>
        <w:t xml:space="preserve">六、履约保证金</w:t>
      </w:r>
      <w:r/>
    </w:p>
    <w:p>
      <w:pPr>
        <w:pStyle w:val="892"/>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892"/>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892"/>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p>
    <w:p>
      <w:pPr>
        <w:pStyle w:val="892"/>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p>
    <w:p>
      <w:pPr>
        <w:pStyle w:val="892"/>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p>
    <w:p>
      <w:pPr>
        <w:pStyle w:val="892"/>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892"/>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892"/>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892"/>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892"/>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92"/>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892"/>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892"/>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92"/>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9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9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89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89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9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92"/>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9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9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9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9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892"/>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92"/>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89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9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89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八</w:t>
      </w:r>
      <w:r>
        <w:rPr>
          <w:rFonts w:hAnsi="宋体"/>
          <w:sz w:val="24"/>
          <w:szCs w:val="24"/>
        </w:rPr>
        <w:t xml:space="preserve">份，具有同等法律效力，</w:t>
      </w:r>
      <w:r>
        <w:rPr>
          <w:rFonts w:hAnsi="宋体"/>
          <w:sz w:val="24"/>
          <w:szCs w:val="24"/>
        </w:rPr>
        <w:t xml:space="preserve">甲方执六份，乙方执两份</w:t>
      </w:r>
      <w:r>
        <w:rPr>
          <w:rFonts w:hAnsi="宋体"/>
          <w:sz w:val="24"/>
          <w:szCs w:val="24"/>
        </w:rPr>
        <w:t xml:space="preserve">。</w:t>
      </w:r>
      <w:r/>
    </w:p>
    <w:p>
      <w:pPr>
        <w:pStyle w:val="892"/>
        <w:ind w:left="480" w:hanging="480"/>
        <w:spacing w:before="120" w:after="120" w:line="0" w:lineRule="atLeast"/>
        <w:rPr>
          <w:rFonts w:hAnsi="宋体"/>
          <w:sz w:val="24"/>
          <w:szCs w:val="24"/>
        </w:rPr>
      </w:pPr>
      <w:r>
        <w:rPr>
          <w:rFonts w:hAnsi="宋体"/>
          <w:sz w:val="24"/>
          <w:szCs w:val="24"/>
        </w:rPr>
        <w:t xml:space="preserve">  甲方：                        乙方： </w:t>
      </w:r>
      <w:r/>
    </w:p>
    <w:p>
      <w:pPr>
        <w:pStyle w:val="89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9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92"/>
        <w:ind w:firstLine="240"/>
        <w:spacing w:before="120" w:after="120" w:line="0" w:lineRule="atLeast"/>
        <w:rPr>
          <w:rFonts w:hint="eastAsia"/>
        </w:rPr>
      </w:pPr>
      <w:r>
        <w:rPr>
          <w:rFonts w:hint="eastAsia" w:hAnsi="宋体"/>
          <w:sz w:val="24"/>
          <w:szCs w:val="24"/>
        </w:rPr>
        <w:t xml:space="preserve">联系电话：                    联系电话：          </w:t>
      </w:r>
      <w:r/>
    </w:p>
    <w:p>
      <w:pPr>
        <w:pStyle w:val="892"/>
        <w:jc w:val="center"/>
        <w:spacing w:before="120" w:after="120" w:line="0" w:lineRule="atLeast"/>
      </w:pPr>
      <w:r>
        <w:rPr>
          <w:rFonts w:hint="eastAsia"/>
        </w:rPr>
        <w:t xml:space="preserve">                                         </w:t>
      </w:r>
      <w:r/>
    </w:p>
    <w:p>
      <w:pPr>
        <w:pStyle w:val="892"/>
        <w:jc w:val="right"/>
        <w:spacing w:before="120" w:after="120" w:line="0" w:lineRule="atLeast"/>
        <w:rPr>
          <w:sz w:val="24"/>
          <w:szCs w:val="24"/>
        </w:rPr>
      </w:pPr>
      <w:r>
        <w:rPr>
          <w:rFonts w:hint="eastAsia"/>
          <w:sz w:val="24"/>
          <w:szCs w:val="24"/>
        </w:rPr>
        <w:t xml:space="preserve"> </w:t>
      </w:r>
      <w:r/>
    </w:p>
    <w:p>
      <w:pPr>
        <w:pStyle w:val="892"/>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
    </w:p>
    <w:p>
      <w:pPr>
        <w:spacing w:line="480" w:lineRule="atLeast"/>
        <w:rPr>
          <w:rFonts w:hint="eastAsia" w:ascii="宋体" w:hAnsi="宋体"/>
          <w:b/>
          <w:sz w:val="24"/>
          <w:szCs w:val="24"/>
        </w:rPr>
        <w:outlineLvl w:val="1"/>
      </w:pPr>
      <w:r/>
      <w:bookmarkStart w:id="191" w:name="_Toc26554093"/>
      <w:r/>
      <w:bookmarkStart w:id="192" w:name="_Toc49090575"/>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p>
    <w:tbl>
      <w:tblPr>
        <w:tblStyle w:val="8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477"/>
        <w:gridCol w:w="2666"/>
      </w:tblGrid>
      <w:tr>
        <w:trPr>
          <w:cantSplit/>
          <w:jc w:val="center"/>
        </w:trPr>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5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34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6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723"/>
        </w:trPr>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一</w:t>
            </w:r>
            <w:r/>
          </w:p>
        </w:tc>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3477" w:type="dxa"/>
            <w:vAlign w:val="center"/>
            <w:textDirection w:val="lrTb"/>
            <w:noWrap w:val="false"/>
          </w:tcPr>
          <w:p>
            <w:pPr>
              <w:jc w:val="center"/>
              <w:spacing w:line="240" w:lineRule="exact"/>
              <w:tabs>
                <w:tab w:val="left" w:pos="2020" w:leader="none"/>
              </w:tabs>
              <w:rPr>
                <w:rFonts w:hint="eastAsia" w:ascii="宋体" w:hAnsi="宋体"/>
                <w:sz w:val="24"/>
                <w:szCs w:val="24"/>
              </w:rPr>
            </w:pPr>
            <w:r>
              <w:rPr>
                <w:rFonts w:hint="eastAsia" w:ascii="宋体" w:hAnsi="宋体"/>
                <w:sz w:val="24"/>
                <w:szCs w:val="24"/>
              </w:rPr>
              <w:t xml:space="preserve">城市人群癌症机会性筛查系统</w:t>
            </w:r>
            <w:r/>
          </w:p>
        </w:tc>
        <w:tc>
          <w:tcPr>
            <w:tcW w:w="2666" w:type="dxa"/>
            <w:vAlign w:val="center"/>
            <w:textDirection w:val="lrTb"/>
            <w:noWrap w:val="false"/>
          </w:tcPr>
          <w:p>
            <w:pPr>
              <w:jc w:val="center"/>
              <w:spacing w:line="240" w:lineRule="exact"/>
              <w:rPr>
                <w:rFonts w:hint="eastAsia" w:ascii="宋体" w:hAnsi="宋体"/>
                <w:sz w:val="24"/>
                <w:szCs w:val="24"/>
              </w:rPr>
            </w:pPr>
            <w:r>
              <w:fldChar w:fldCharType="begin"/>
            </w:r>
            <w:r>
              <w:instrText xml:space="preserve"> HYPERLINK "https://baike.baidu.com/item/%E8%BD%AF%E4%BB%B6%E5%92%8C%E4%BF%A1%E6%81%AF%E6%8A%80%E6%9C%AF%E6%9C%8D%E5%8A%A1%E4%B8%9A/60200450?fromModule=lemma_inlink" \t "https://baike.baidu.com/item/%E4%B8%AD%E5%B0%8F%E4%BC%81%E4%B8%9A/_blank" </w:instrText>
            </w:r>
            <w:r>
              <w:fldChar w:fldCharType="separate"/>
            </w:r>
            <w:r>
              <w:rPr>
                <w:rFonts w:ascii="宋体" w:hAnsi="宋体"/>
                <w:sz w:val="24"/>
                <w:szCs w:val="24"/>
              </w:rPr>
              <w:t xml:space="preserve">软件和信息技术服务业</w:t>
            </w:r>
            <w:r>
              <w:rPr>
                <w:rFonts w:ascii="宋体" w:hAnsi="宋体"/>
                <w:sz w:val="24"/>
                <w:szCs w:val="24"/>
              </w:rPr>
              <w:fldChar w:fldCharType="end"/>
            </w:r>
            <w:r/>
          </w:p>
        </w:tc>
      </w:tr>
    </w:tbl>
    <w:p>
      <w:pPr>
        <w:spacing w:line="0" w:lineRule="atLeast"/>
        <w:rPr>
          <w:rFonts w:hint="eastAsia" w:ascii="宋体" w:hAnsi="宋体"/>
          <w:b/>
          <w:color w:val="000000"/>
          <w:sz w:val="24"/>
          <w:szCs w:val="24"/>
        </w:rPr>
      </w:pPr>
      <w:r>
        <w:rPr>
          <w:rFonts w:hint="eastAsia" w:ascii="宋体" w:hAnsi="宋体"/>
          <w:b/>
          <w:color w:val="000000"/>
          <w:sz w:val="24"/>
          <w:szCs w:val="24"/>
        </w:rPr>
      </w:r>
      <w:r/>
    </w:p>
    <w:p>
      <w:pPr>
        <w:numPr>
          <w:ilvl w:val="0"/>
          <w:numId w:val="0"/>
        </w:numPr>
        <w:spacing w:line="520" w:lineRule="exact"/>
        <w:rPr>
          <w:rFonts w:hint="eastAsia" w:ascii="宋体" w:hAnsi="宋体"/>
          <w:b/>
          <w:sz w:val="24"/>
          <w:szCs w:val="24"/>
        </w:rPr>
        <w:outlineLvl w:val="1"/>
      </w:pPr>
      <w:r>
        <w:rPr>
          <w:rFonts w:hint="eastAsia" w:ascii="宋体" w:hAnsi="宋体" w:eastAsia="宋体" w:cs="Times New Roman"/>
          <w:b/>
          <w:sz w:val="24"/>
          <w:szCs w:val="24"/>
          <w:lang w:val="en-US" w:eastAsia="zh-CN" w:bidi="ar-SA"/>
        </w:rPr>
        <w:t xml:space="preserve">二、</w:t>
      </w:r>
      <w:r>
        <w:rPr>
          <w:rFonts w:ascii="宋体" w:hAnsi="宋体"/>
          <w:b/>
          <w:sz w:val="24"/>
          <w:szCs w:val="24"/>
        </w:rPr>
        <w:t xml:space="preserve">技术要求</w:t>
      </w:r>
      <w:r/>
    </w:p>
    <w:p>
      <w:pPr>
        <w:spacing w:line="520" w:lineRule="exact"/>
        <w:rPr>
          <w:rFonts w:hint="eastAsia" w:ascii="宋体" w:hAnsi="宋体"/>
          <w:b/>
          <w:sz w:val="24"/>
          <w:szCs w:val="24"/>
        </w:rPr>
        <w:outlineLvl w:val="1"/>
      </w:pPr>
      <w:r>
        <w:rPr>
          <w:rFonts w:hint="eastAsia" w:ascii="宋体" w:hAnsi="宋体"/>
          <w:b/>
          <w:sz w:val="24"/>
          <w:szCs w:val="24"/>
        </w:rPr>
        <w:t xml:space="preserve"> </w:t>
      </w:r>
      <w:r/>
    </w:p>
    <w:tbl>
      <w:tblPr>
        <w:tblStyle w:val="88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758"/>
        <w:gridCol w:w="923"/>
        <w:gridCol w:w="923"/>
        <w:gridCol w:w="1228"/>
        <w:gridCol w:w="5147"/>
      </w:tblGrid>
      <w:tr>
        <w:trPr>
          <w:trHeight w:val="470"/>
        </w:trPr>
        <w:tc>
          <w:tcPr>
            <w:tcW w:w="422" w:type="pct"/>
            <w:vAlign w:val="center"/>
            <w:textDirection w:val="lrTb"/>
            <w:noWrap w:val="false"/>
          </w:tcPr>
          <w:p>
            <w:pPr>
              <w:widowControl/>
              <w:rPr>
                <w:rFonts w:hint="eastAsia" w:cs="宋体" w:asciiTheme="minorEastAsia" w:hAnsiTheme="minorEastAsia" w:eastAsiaTheme="minorEastAsia"/>
                <w:b/>
                <w:bCs/>
                <w:lang w:bidi="ar"/>
              </w:rPr>
            </w:pPr>
            <w:r>
              <w:rPr>
                <w:rFonts w:hint="eastAsia" w:cs="宋体" w:asciiTheme="minorEastAsia" w:hAnsiTheme="minorEastAsia" w:eastAsiaTheme="minorEastAsia"/>
                <w:b/>
                <w:bCs/>
                <w:lang w:bidi="ar"/>
              </w:rPr>
              <w:t xml:space="preserve">模块</w:t>
            </w:r>
            <w:r/>
          </w:p>
        </w:tc>
        <w:tc>
          <w:tcPr>
            <w:tcW w:w="514" w:type="pct"/>
            <w:vAlign w:val="center"/>
            <w:textDirection w:val="lrTb"/>
            <w:noWrap w:val="false"/>
          </w:tcPr>
          <w:p>
            <w:pPr>
              <w:widowControl/>
              <w:rPr>
                <w:rFonts w:hint="eastAsia" w:cs="宋体" w:asciiTheme="minorEastAsia" w:hAnsiTheme="minorEastAsia" w:eastAsiaTheme="minorEastAsia"/>
                <w:b/>
                <w:bCs/>
                <w:lang w:bidi="ar"/>
              </w:rPr>
            </w:pPr>
            <w:r>
              <w:rPr>
                <w:rFonts w:hint="eastAsia" w:cs="宋体" w:asciiTheme="minorEastAsia" w:hAnsiTheme="minorEastAsia" w:eastAsiaTheme="minorEastAsia"/>
                <w:b/>
                <w:bCs/>
                <w:lang w:bidi="ar"/>
              </w:rPr>
              <w:t xml:space="preserve">一级功能</w:t>
            </w:r>
            <w:r/>
          </w:p>
        </w:tc>
        <w:tc>
          <w:tcPr>
            <w:tcW w:w="514" w:type="pct"/>
            <w:vAlign w:val="center"/>
            <w:textDirection w:val="lrTb"/>
            <w:noWrap w:val="false"/>
          </w:tcPr>
          <w:p>
            <w:pPr>
              <w:widowControl/>
              <w:rPr>
                <w:rFonts w:hint="eastAsia" w:cs="宋体" w:asciiTheme="minorEastAsia" w:hAnsiTheme="minorEastAsia" w:eastAsiaTheme="minorEastAsia"/>
                <w:b/>
                <w:bCs/>
                <w:lang w:bidi="ar"/>
              </w:rPr>
            </w:pPr>
            <w:r>
              <w:rPr>
                <w:rFonts w:hint="eastAsia" w:cs="宋体" w:asciiTheme="minorEastAsia" w:hAnsiTheme="minorEastAsia" w:eastAsiaTheme="minorEastAsia"/>
                <w:b/>
                <w:bCs/>
                <w:lang w:bidi="ar"/>
              </w:rPr>
              <w:t xml:space="preserve">二级功能</w:t>
            </w:r>
            <w:r/>
          </w:p>
        </w:tc>
        <w:tc>
          <w:tcPr>
            <w:tcW w:w="684" w:type="pct"/>
            <w:vAlign w:val="center"/>
            <w:textDirection w:val="lrTb"/>
            <w:noWrap w:val="false"/>
          </w:tcPr>
          <w:p>
            <w:pPr>
              <w:widowControl/>
              <w:rPr>
                <w:rFonts w:hint="eastAsia" w:cs="宋体" w:asciiTheme="minorEastAsia" w:hAnsiTheme="minorEastAsia" w:eastAsiaTheme="minorEastAsia"/>
                <w:b/>
                <w:bCs/>
                <w:lang w:bidi="ar"/>
              </w:rPr>
            </w:pPr>
            <w:r>
              <w:rPr>
                <w:rFonts w:hint="eastAsia" w:cs="宋体" w:asciiTheme="minorEastAsia" w:hAnsiTheme="minorEastAsia" w:eastAsiaTheme="minorEastAsia"/>
                <w:b/>
                <w:bCs/>
                <w:lang w:bidi="ar"/>
              </w:rPr>
              <w:t xml:space="preserve">三级功能</w:t>
            </w:r>
            <w:r/>
          </w:p>
        </w:tc>
        <w:tc>
          <w:tcPr>
            <w:tcW w:w="2866" w:type="pct"/>
            <w:vAlign w:val="center"/>
            <w:textDirection w:val="lrTb"/>
            <w:noWrap w:val="false"/>
          </w:tcPr>
          <w:p>
            <w:pPr>
              <w:widowControl/>
              <w:rPr>
                <w:rFonts w:hint="eastAsia" w:cs="宋体" w:asciiTheme="minorEastAsia" w:hAnsiTheme="minorEastAsia" w:eastAsiaTheme="minorEastAsia"/>
                <w:b/>
                <w:bCs/>
                <w:lang w:bidi="ar"/>
              </w:rPr>
            </w:pPr>
            <w:r>
              <w:rPr>
                <w:rFonts w:hint="eastAsia" w:cs="宋体" w:asciiTheme="minorEastAsia" w:hAnsiTheme="minorEastAsia" w:eastAsiaTheme="minorEastAsia"/>
                <w:b/>
                <w:bCs/>
                <w:lang w:bidi="ar"/>
              </w:rPr>
              <w:t xml:space="preserve">功能详细描述</w:t>
            </w:r>
            <w:r/>
          </w:p>
        </w:tc>
      </w:tr>
      <w:tr>
        <w:trPr>
          <w:trHeight w:val="832"/>
        </w:trPr>
        <w:tc>
          <w:tcPr>
            <w:tcW w:w="422" w:type="pct"/>
            <w:vAlign w:val="center"/>
            <w:vMerge w:val="restart"/>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患者端</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登录/注册/跳转</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完成患者登录和注册的功能支撑；</w:t>
            </w:r>
            <w:r/>
          </w:p>
        </w:tc>
      </w:tr>
      <w:tr>
        <w:trPr>
          <w:trHeight w:val="823"/>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知情同意书</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知情同意书</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支持评估前知情同意书签署；</w:t>
            </w:r>
            <w:r/>
          </w:p>
        </w:tc>
      </w:tr>
      <w:tr>
        <w:trPr>
          <w:trHeight w:val="534"/>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restart"/>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风险评估</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评估列表</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患者可以查看自己的所有评估列表；</w:t>
            </w:r>
            <w:r/>
          </w:p>
        </w:tc>
      </w:tr>
      <w:tr>
        <w:trPr>
          <w:trHeight w:val="1133"/>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风险评估</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以问卷的形式，评估患者的癌症风险情况，支持查看评估数据来源、以及上次评估填写的内容；</w:t>
            </w:r>
            <w:r/>
          </w:p>
        </w:tc>
      </w:tr>
      <w:tr>
        <w:trPr>
          <w:trHeight w:val="90"/>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评估结果查看</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▲显示患者的各癌种的评估结果。</w:t>
            </w:r>
            <w:r>
              <w:rPr>
                <w:rFonts w:hint="eastAsia" w:cs="宋体" w:asciiTheme="minorEastAsia" w:hAnsiTheme="minorEastAsia" w:eastAsiaTheme="minorEastAsia"/>
                <w:lang w:bidi="ar"/>
              </w:rPr>
              <w:br/>
            </w:r>
            <w:r>
              <w:rPr>
                <w:rFonts w:hint="eastAsia" w:cs="宋体" w:asciiTheme="minorEastAsia" w:hAnsiTheme="minorEastAsia" w:eastAsiaTheme="minorEastAsia"/>
                <w:lang w:bidi="ar"/>
              </w:rPr>
              <w:t xml:space="preserve">1、当评估患者某癌种高风险时，显示该癌种命中的风险因素、预防措施、早期症状、科普知识、就医指南、推荐筛查项目；</w:t>
            </w:r>
            <w:r>
              <w:rPr>
                <w:rFonts w:hint="eastAsia" w:cs="宋体" w:asciiTheme="minorEastAsia" w:hAnsiTheme="minorEastAsia" w:eastAsiaTheme="minorEastAsia"/>
                <w:lang w:bidi="ar"/>
              </w:rPr>
              <w:br/>
            </w:r>
            <w:r>
              <w:rPr>
                <w:rFonts w:hint="eastAsia" w:cs="宋体" w:asciiTheme="minorEastAsia" w:hAnsiTheme="minorEastAsia" w:eastAsiaTheme="minorEastAsia"/>
                <w:lang w:bidi="ar"/>
              </w:rPr>
              <w:t xml:space="preserve">2、当评估患者某癌低风险时，显示该癌种的风险因素；</w:t>
            </w:r>
            <w:r>
              <w:rPr>
                <w:rFonts w:hint="eastAsia" w:cs="宋体" w:asciiTheme="minorEastAsia" w:hAnsiTheme="minorEastAsia" w:eastAsiaTheme="minorEastAsia"/>
                <w:lang w:bidi="ar"/>
              </w:rPr>
              <w:br/>
            </w:r>
            <w:r>
              <w:rPr>
                <w:rFonts w:hint="eastAsia" w:cs="宋体" w:asciiTheme="minorEastAsia" w:hAnsiTheme="minorEastAsia" w:eastAsiaTheme="minorEastAsia"/>
                <w:lang w:bidi="ar"/>
              </w:rPr>
              <w:t xml:space="preserve">3、当评估后仍无法评估时，支持再次评估。</w:t>
            </w:r>
            <w:r/>
          </w:p>
        </w:tc>
      </w:tr>
      <w:tr>
        <w:trPr>
          <w:trHeight w:val="856"/>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快速筛查预约</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支持患者根据推荐的筛查项目，快速进行预约筛查项目；</w:t>
            </w:r>
            <w:r/>
          </w:p>
        </w:tc>
      </w:tr>
      <w:tr>
        <w:trPr>
          <w:trHeight w:val="725"/>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评估问卷详情</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▲支持患者对本次评估结果进行修改；支持修改时间及次数配置；</w:t>
            </w:r>
            <w:r/>
          </w:p>
        </w:tc>
      </w:tr>
      <w:tr>
        <w:trPr>
          <w:trHeight w:val="641"/>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restart"/>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筛查管理</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筛查列表</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患者可以查看既往的所有筛查列表；</w:t>
            </w:r>
            <w:r/>
          </w:p>
        </w:tc>
      </w:tr>
      <w:tr>
        <w:trPr>
          <w:trHeight w:val="558"/>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智能预约</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系统智能预约筛查；</w:t>
            </w:r>
            <w:r/>
          </w:p>
        </w:tc>
      </w:tr>
      <w:tr>
        <w:trPr>
          <w:trHeight w:val="685"/>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筛查预约</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▲支持患者选择预约医院院区、筛查项目、以及预约的号源和时间；</w:t>
            </w:r>
            <w:r/>
          </w:p>
        </w:tc>
      </w:tr>
      <w:tr>
        <w:trPr>
          <w:trHeight w:val="1005"/>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预约院区</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选择不同院区时，与后台管理功能联动，支持根据用户自定义的逻辑、距离、既往筛查人数等条件进行过滤院区；</w:t>
            </w:r>
            <w:r/>
          </w:p>
        </w:tc>
      </w:tr>
      <w:tr>
        <w:trPr>
          <w:trHeight w:val="785"/>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预约项目</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可选择需要预约的筛查项目，支持查看项目价格、检查注意实现等信息；</w:t>
            </w:r>
            <w:r/>
          </w:p>
        </w:tc>
      </w:tr>
      <w:tr>
        <w:trPr>
          <w:trHeight w:val="914"/>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筛查号源及时间</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可选择筛查的预约时间，根据医院维护的号源情况，查看可预约时间以及各时间点的剩余号源情况；</w:t>
            </w:r>
            <w:r/>
          </w:p>
        </w:tc>
      </w:tr>
      <w:tr>
        <w:trPr>
          <w:trHeight w:val="485"/>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筛查报告</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▲支持查看患者的筛查报告结果，报告结果来源包含：筛查医院对接、系统自行抓取；</w:t>
            </w:r>
            <w:r/>
          </w:p>
        </w:tc>
      </w:tr>
      <w:tr>
        <w:trPr>
          <w:trHeight w:val="253"/>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restart"/>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健康管理</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健康管理列表</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患者可以查看自己的所有健康档案管理清单；</w:t>
            </w:r>
            <w:r/>
          </w:p>
        </w:tc>
      </w:tr>
      <w:tr>
        <w:trPr>
          <w:trHeight w:val="29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健康管理任务</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以问卷的形式，对患者进行随访；支持查看随访数据内容以及往次填写的内容；</w:t>
            </w:r>
            <w:r/>
          </w:p>
        </w:tc>
      </w:tr>
      <w:tr>
        <w:trPr>
          <w:trHeight w:val="654"/>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随访问卷详情</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支持患者对本次随访结果进行修改；支持修改时间及修改次数配置；</w:t>
            </w:r>
            <w:r/>
          </w:p>
        </w:tc>
      </w:tr>
      <w:tr>
        <w:trPr>
          <w:trHeight w:val="791"/>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复诊提醒</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当患者存在阳性报告时，提示患者进行复诊；</w:t>
            </w:r>
            <w:r/>
          </w:p>
        </w:tc>
      </w:tr>
      <w:tr>
        <w:trPr>
          <w:trHeight w:val="717"/>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快速筛查预约</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提示患者进行复诊时，支持快速进行预约筛查项目；</w:t>
            </w:r>
            <w:r/>
          </w:p>
        </w:tc>
      </w:tr>
      <w:tr>
        <w:trPr>
          <w:trHeight w:val="730"/>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消息提醒</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消息提醒</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提醒患者按时评估、筛查、随访等操作；</w:t>
            </w:r>
            <w:r/>
          </w:p>
        </w:tc>
      </w:tr>
      <w:tr>
        <w:trPr>
          <w:trHeight w:val="807"/>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支持与医院系统对接</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功能对接</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支持融入到医院的互联网医院；</w:t>
            </w:r>
            <w:r/>
          </w:p>
        </w:tc>
      </w:tr>
      <w:tr>
        <w:trPr>
          <w:trHeight w:val="1179"/>
        </w:trPr>
        <w:tc>
          <w:tcPr>
            <w:tcW w:w="422" w:type="pct"/>
            <w:vAlign w:val="center"/>
            <w:vMerge w:val="restart"/>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PC医生端</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信息问询</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在患者进行癌症智能评估时，支持当患者的一诉五史中信息模糊、不完整，或者医生的书写习惯导致信息缺失，无法完成完整的评估流程时，自动触发信息问询，提醒医生问询患者补充相关病史信息；医生补充后，将重新计算癌种风险；</w:t>
            </w:r>
            <w:r/>
          </w:p>
        </w:tc>
      </w:tr>
      <w:tr>
        <w:trPr>
          <w:trHeight w:val="654"/>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restart"/>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阳性提醒</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临床表现</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显示患者的临床表现异常的内容，支持进行数据溯源；</w:t>
            </w:r>
            <w:r/>
          </w:p>
        </w:tc>
      </w:tr>
      <w:tr>
        <w:trPr>
          <w:trHeight w:val="654"/>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体格检查</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显示患者的体格检查异常的内容，支持进行数据溯源；</w:t>
            </w:r>
            <w:r/>
          </w:p>
        </w:tc>
      </w:tr>
      <w:tr>
        <w:trPr>
          <w:trHeight w:val="667"/>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检查/检验结果</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显示阳性的检查检验报告，支持查看报告详情，支持进行数据溯源；</w:t>
            </w:r>
            <w:r/>
          </w:p>
        </w:tc>
      </w:tr>
      <w:tr>
        <w:trPr>
          <w:trHeight w:val="667"/>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病理/内镜结果</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▲显示阳性的病理内镜报告，支持查看报告详情，支持进行数据溯源；</w:t>
            </w:r>
            <w:r/>
          </w:p>
        </w:tc>
      </w:tr>
      <w:tr>
        <w:trPr>
          <w:trHeight w:val="539"/>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诊疗建议</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给患者提出诊疗建议；</w:t>
            </w:r>
            <w:r/>
          </w:p>
        </w:tc>
      </w:tr>
      <w:tr>
        <w:trPr>
          <w:trHeight w:val="886"/>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restart"/>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风险评估</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风险评估</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显示患者各肿瘤的风险评估结果和具体风险因素，支持进行数据溯源；</w:t>
            </w:r>
            <w:r/>
          </w:p>
        </w:tc>
      </w:tr>
      <w:tr>
        <w:trPr>
          <w:trHeight w:val="667"/>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推荐筛查</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▲当患者高危时，推荐患者具体的筛查项目，并显示相关筛查状态；</w:t>
            </w:r>
            <w:r/>
          </w:p>
        </w:tc>
      </w:tr>
      <w:tr>
        <w:trPr>
          <w:trHeight w:val="981"/>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筛查情况</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显示完成了具体哪个筛查项目，并显示项目是否异常，支持查看报告详情；</w:t>
            </w:r>
            <w:r/>
          </w:p>
        </w:tc>
      </w:tr>
      <w:tr>
        <w:trPr>
          <w:trHeight w:val="667"/>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restart"/>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筛查总结</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风险评估</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显示患者的临床表现异常的内容，支持进行数据溯源；</w:t>
            </w:r>
            <w:r/>
          </w:p>
        </w:tc>
      </w:tr>
      <w:tr>
        <w:trPr>
          <w:trHeight w:val="354"/>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临床表现</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显示患者的体格检查异常的内容，支持进行数据溯源；</w:t>
            </w:r>
            <w:r/>
          </w:p>
        </w:tc>
      </w:tr>
      <w:tr>
        <w:trPr>
          <w:trHeight w:val="354"/>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体格检查</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显示阳性的检查检验报告，支持查看报告详情，支持进行数据溯源；</w:t>
            </w:r>
            <w:r/>
          </w:p>
        </w:tc>
      </w:tr>
      <w:tr>
        <w:trPr>
          <w:trHeight w:val="667"/>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检查/检验结果</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显示阳性的病理内镜报告，支持查看报告详情，支持进行数据溯源；</w:t>
            </w:r>
            <w:r/>
          </w:p>
        </w:tc>
      </w:tr>
      <w:tr>
        <w:trPr>
          <w:trHeight w:val="667"/>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病理/内镜结果</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给患者提出诊疗建议；</w:t>
            </w:r>
            <w:r/>
          </w:p>
        </w:tc>
      </w:tr>
      <w:tr>
        <w:trPr>
          <w:trHeight w:val="354"/>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诊疗建议</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显示患者的临床表现异常的内容，支持进行数据溯源；</w:t>
            </w:r>
            <w:r/>
          </w:p>
        </w:tc>
      </w:tr>
      <w:tr>
        <w:trPr>
          <w:trHeight w:val="667"/>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早诊报告</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▲支持打印早诊报告，患者可通过报告一览自身的早诊情况；</w:t>
            </w:r>
            <w:r/>
          </w:p>
        </w:tc>
      </w:tr>
      <w:tr>
        <w:trPr>
          <w:trHeight w:val="74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患者360</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▲展示患者评估和筛查的时序图、风险因素推理过程、阳性判断推理过程及原始内容的溯源；</w:t>
            </w:r>
            <w:r/>
          </w:p>
        </w:tc>
      </w:tr>
      <w:tr>
        <w:trPr>
          <w:trHeight w:val="991"/>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我的患者</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展示用户所管辖的所有纳入机会筛查的患者，展示用户所处科室的人群评估及筛查情况；支持查看未纳入评估原因；</w:t>
            </w:r>
            <w:r/>
          </w:p>
        </w:tc>
      </w:tr>
      <w:tr>
        <w:trPr>
          <w:trHeight w:val="696"/>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支持与医院系统对接</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支持融入到医生的工作流程中；</w:t>
            </w:r>
            <w:r/>
          </w:p>
        </w:tc>
      </w:tr>
      <w:tr>
        <w:trPr>
          <w:trHeight w:val="1969"/>
        </w:trPr>
        <w:tc>
          <w:tcPr>
            <w:tcW w:w="422" w:type="pct"/>
            <w:vAlign w:val="center"/>
            <w:vMerge w:val="restart"/>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PC管理端</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总体概览</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支持用户添加平台功能快捷入口；</w:t>
            </w:r>
            <w:r/>
          </w:p>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支持浏览用户权限范围内的在院患者概览情况，风险评估概览情况，筛查结果概览情况，随访概览情况；</w:t>
            </w:r>
            <w:r/>
          </w:p>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支持展示高危因素触发概览情况</w:t>
            </w:r>
            <w:r/>
          </w:p>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支持展示消息内容，支持快速跳转到患者的页面；</w:t>
            </w:r>
            <w:r/>
          </w:p>
        </w:tc>
      </w:tr>
      <w:tr>
        <w:trPr>
          <w:trHeight w:val="1395"/>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restart"/>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在院分析</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患者列表</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分角色查看医生所负责的患者情况，以及具体的就诊情况，支持查看患者详情；支持按照患者就诊维度，显示就诊期间的风险评估、阳性、筛查情况；</w:t>
            </w:r>
            <w:r/>
          </w:p>
        </w:tc>
      </w:tr>
      <w:tr>
        <w:trPr>
          <w:trHeight w:val="53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restart"/>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患者全景</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概览时序图</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显示早诊早治相关事件的数据预览</w:t>
            </w:r>
            <w:r/>
          </w:p>
        </w:tc>
      </w:tr>
      <w:tr>
        <w:trPr>
          <w:trHeight w:val="160"/>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风险评估</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支持查看风险评估记录；支持查看风险因素内容；支持查看癌种高危规则；支持对触发的风险因素进行数据溯源；</w:t>
            </w:r>
            <w:r/>
          </w:p>
        </w:tc>
      </w:tr>
      <w:tr>
        <w:trPr>
          <w:trHeight w:val="160"/>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信息问询</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支持查询问询记录；支持查看问询详情；支持对问询结果进行数据溯源；</w:t>
            </w:r>
            <w:r/>
          </w:p>
        </w:tc>
      </w:tr>
      <w:tr>
        <w:trPr>
          <w:trHeight w:val="160"/>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筛查项目</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支持查看评估高危者筛查项目：包含筛查项目报告状态、筛查结果，支持对筛查结果进行数据溯源；</w:t>
            </w:r>
            <w:r/>
          </w:p>
        </w:tc>
      </w:tr>
      <w:tr>
        <w:trPr>
          <w:trHeight w:val="160"/>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阳性提醒</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支持查看阳性结果，支持对阳性结果进行数据溯源；</w:t>
            </w:r>
            <w:r/>
          </w:p>
        </w:tc>
      </w:tr>
      <w:tr>
        <w:trPr>
          <w:trHeight w:val="160"/>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随访记录</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支持查看患者随访记录；支持查看随访记录详情；</w:t>
            </w:r>
            <w:r/>
          </w:p>
        </w:tc>
      </w:tr>
      <w:tr>
        <w:trPr>
          <w:trHeight w:val="663"/>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restart"/>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人群管理</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患者注册管理</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支持查看注册情况，可查看患者自主注册人数、代注册人数，且支持通过多维度查询，支持下钻到具体人员;</w:t>
            </w:r>
            <w:r/>
          </w:p>
        </w:tc>
      </w:tr>
      <w:tr>
        <w:trPr>
          <w:trHeight w:val="663"/>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restart"/>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风险评估管理</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▲待评估</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支持展示待风险评估的人群清单，支持按照待评估癌种进行搜索，支持代患者完成风险评估；支持新建患者并为其测评评估；支持查看风险评估的详细信息；</w:t>
            </w:r>
            <w:r/>
          </w:p>
        </w:tc>
      </w:tr>
      <w:tr>
        <w:trPr>
          <w:trHeight w:val="663"/>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已评估</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针对风险评估的人群进行统计，支持展示评估人群的基本信息和癌种评估情况；支持查看患者评估问卷详情；支持多条件搜索；</w:t>
            </w:r>
            <w:r/>
          </w:p>
        </w:tc>
      </w:tr>
      <w:tr>
        <w:trPr>
          <w:trHeight w:val="663"/>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无需评估</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支持展示无需评估患者清单，支持查看无需评估的原因；</w:t>
            </w:r>
            <w:r/>
          </w:p>
        </w:tc>
      </w:tr>
      <w:tr>
        <w:trPr>
          <w:trHeight w:val="976"/>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restart"/>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筛查预约管理</w:t>
            </w:r>
            <w:r/>
          </w:p>
        </w:tc>
        <w:tc>
          <w:tcPr>
            <w:tcW w:w="684" w:type="pct"/>
            <w:vAlign w:val="center"/>
            <w:textDirection w:val="lrTb"/>
            <w:noWrap w:val="false"/>
          </w:tcPr>
          <w:p>
            <w:pPr>
              <w:jc w:val="left"/>
              <w:widowControl/>
              <w:rPr>
                <w:rFonts w:hint="eastAsia" w:cs="宋体" w:asciiTheme="minorEastAsia" w:hAnsiTheme="minorEastAsia" w:eastAsiaTheme="minorEastAsia"/>
                <w:lang w:bidi="ar"/>
              </w:rPr>
            </w:pPr>
            <w:r>
              <w:rPr>
                <w:rFonts w:hint="eastAsia" w:cs="宋体" w:asciiTheme="minorEastAsia" w:hAnsiTheme="minorEastAsia" w:eastAsiaTheme="minorEastAsia"/>
                <w:color w:val="000000"/>
                <w:lang w:bidi="ar"/>
              </w:rPr>
              <w:t xml:space="preserve">代预约管理</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▲支持代患者完成筛查预约；</w:t>
            </w:r>
            <w:r/>
          </w:p>
        </w:tc>
      </w:tr>
      <w:tr>
        <w:trPr>
          <w:trHeight w:val="961"/>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jc w:val="left"/>
              <w:widowControl/>
              <w:rPr>
                <w:rFonts w:hint="eastAsia" w:cs="宋体" w:asciiTheme="minorEastAsia" w:hAnsiTheme="minorEastAsia" w:eastAsiaTheme="minorEastAsia"/>
                <w:lang w:bidi="ar"/>
              </w:rPr>
            </w:pPr>
            <w:r>
              <w:rPr>
                <w:rFonts w:hint="eastAsia" w:cs="宋体" w:asciiTheme="minorEastAsia" w:hAnsiTheme="minorEastAsia" w:eastAsiaTheme="minorEastAsia"/>
                <w:color w:val="000000"/>
                <w:lang w:bidi="ar"/>
              </w:rPr>
              <w:t xml:space="preserve">到检管理</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支持按权限查询所有组织的预约数据；支持针对不同状态的预约数据进行到检操作；</w:t>
            </w:r>
            <w:r/>
          </w:p>
        </w:tc>
      </w:tr>
      <w:tr>
        <w:trPr>
          <w:trHeight w:val="961"/>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jc w:val="left"/>
              <w:widowControl/>
              <w:rPr>
                <w:rFonts w:hint="eastAsia" w:cs="宋体" w:asciiTheme="minorEastAsia" w:hAnsiTheme="minorEastAsia" w:eastAsiaTheme="minorEastAsia"/>
                <w:lang w:bidi="ar"/>
              </w:rPr>
            </w:pPr>
            <w:r>
              <w:rPr>
                <w:rFonts w:hint="eastAsia" w:cs="宋体" w:asciiTheme="minorEastAsia" w:hAnsiTheme="minorEastAsia" w:eastAsiaTheme="minorEastAsia"/>
                <w:color w:val="000000"/>
                <w:lang w:bidi="ar"/>
              </w:rPr>
              <w:t xml:space="preserve">弃检管理</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支持针对不同状态的预约数据进行弃检操作；</w:t>
            </w:r>
            <w:r/>
          </w:p>
        </w:tc>
      </w:tr>
      <w:tr>
        <w:trPr>
          <w:trHeight w:val="961"/>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jc w:val="left"/>
              <w:widowControl/>
              <w:rPr>
                <w:rFonts w:hint="eastAsia" w:cs="宋体" w:asciiTheme="minorEastAsia" w:hAnsiTheme="minorEastAsia" w:eastAsiaTheme="minorEastAsia"/>
                <w:color w:val="000000"/>
                <w:lang w:bidi="ar"/>
              </w:rPr>
            </w:pPr>
            <w:r>
              <w:rPr>
                <w:rFonts w:hint="eastAsia" w:cs="宋体" w:asciiTheme="minorEastAsia" w:hAnsiTheme="minorEastAsia" w:eastAsiaTheme="minorEastAsia"/>
                <w:color w:val="000000"/>
                <w:lang w:bidi="ar"/>
              </w:rPr>
              <w:t xml:space="preserve">报告上传管理</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支持针对已完成筛查的患者数据，进行手工上传筛查报告，支持上传图片和填写文字说明两种报告；</w:t>
            </w:r>
            <w:r/>
          </w:p>
        </w:tc>
      </w:tr>
      <w:tr>
        <w:trPr>
          <w:trHeight w:val="975"/>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restart"/>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健康随访管理</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随访任务分配</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支持按照系统生成的健康随访名单，进行随访任务分配，可分配给管理者有权限管辖组织机构的人员；</w:t>
            </w:r>
            <w:r/>
          </w:p>
        </w:tc>
      </w:tr>
      <w:tr>
        <w:trPr>
          <w:trHeight w:val="975"/>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待随访</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展示管理者分配级工作人员的随访清单，支持查看随访待随访患者清单和待随访内容；支持按照姓名、癌种、分配时间等条件搜索；</w:t>
            </w:r>
            <w:r/>
          </w:p>
        </w:tc>
      </w:tr>
      <w:tr>
        <w:trPr>
          <w:trHeight w:val="975"/>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已随访</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▲支持查看工作人员完成随访的患者清单，支持查看完成随访的问卷详情；支持按照姓名、癌种、分配时间、随访人员、随访时间等条件搜索；</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restart"/>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统计分析</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核心指标统计分析</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▲支持核心指标的统计，支持按照整体和各癌种做洞察决策分析；</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分癌种指标统计分析</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支持查看医院上线各癌种的评估人数、高危人数、筛查率、阳性检出率等分析；</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综合查询</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早诊早治患者列表</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▲支持按照人群维度显示风险评估过的所有患者；支持查看患者基本信息、评估情况、筛查情况；</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restart"/>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系统监控</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数据下载中心</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支持通过权限分配控制数据下载和导出，支持记录下载账号；</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日志统计</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记录平台用户操作记录</w:t>
            </w:r>
            <w:r/>
          </w:p>
        </w:tc>
      </w:tr>
      <w:tr>
        <w:trPr>
          <w:trHeight w:val="352"/>
        </w:trPr>
        <w:tc>
          <w:tcPr>
            <w:tcW w:w="422" w:type="pct"/>
            <w:vAlign w:val="center"/>
            <w:vMerge w:val="restart"/>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后台管理</w:t>
            </w:r>
            <w:r/>
          </w:p>
        </w:tc>
        <w:tc>
          <w:tcPr>
            <w:tcW w:w="514" w:type="pct"/>
            <w:vAlign w:val="center"/>
            <w:vMerge w:val="restart"/>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后台管理</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菜单管理</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配置平台所属菜单及路径</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角色管理</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支持新增/编辑/删除角色的功能菜单</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组织管理</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支持新增/编辑/删除组织</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用户管理</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给用户分配产品权限及数据权限</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上线癌种及指标管理</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控制上线癌种和考核监测指标的显隐</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restart"/>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知情同意书管理</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基础配置</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维护平台是否启用知情同意书</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模版管理</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维护平台使用的知情同意书模版内容，支持发布和停止发布等操作</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restart"/>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评估管理</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评估题目</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维护问卷的原始题目，支持单选题、多选题、填空题的设置</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评估纳排</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维护使用问卷的纳入和排除条件</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评估问卷</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通过引用评估题目和评估纳排条件，生成问卷</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高危因素</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▲维护七癌种的高危因素及触发条件</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评估结果</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维护评估结果的提示内容及筛查项目的推荐展示</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筛查报告管理</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报告结果推理</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▲维护推理筛查报告的各项阳性条件和推理过程维护</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restart"/>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筛查项目管理</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筛查设置</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维护关于筛查的基础配置信息，如患者端筛查自动预约开关、医生端自动推筛查开关等</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筛查项目维护</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▲维护七癌种内置的标准筛查项目和标准筛查项目关联的同类筛查项目的对照</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restart"/>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筛查机构管理</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机构列表管理</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筛查机构管理</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筛查项目匹配对照</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将医院的筛查项目与标准的筛查项目进行对照，并支持维护其他医院个性化字段，如支持医保标识等</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筛查号源维护</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维护筛查机构的号源开放情况等</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筛查任务管理</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按时间维度维护筛查任务，支持按照总量和癌种两种模式进行任务分配，并支持按筛查机构进行分配</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restart"/>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健康管理</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▲随访管理题目</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系统内置客户购买癌种的健康随访题目，支持对随访题目进行编辑、启用和停用操作</w:t>
            </w:r>
            <w:r/>
          </w:p>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支持按照题目名称和癌种及状态搜索评估题目</w:t>
            </w:r>
            <w:r/>
          </w:p>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支持新增和删除评估题目，删除评估评估题目时需要判断该题目是否被引用，如果被引用不允许删除</w:t>
            </w:r>
            <w:r/>
          </w:p>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支持维护题目名称、适配癌种</w:t>
            </w:r>
            <w:r/>
          </w:p>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支持设置填空题和选择题目，其中选择题目包括单选题和多选题</w:t>
            </w:r>
            <w:r/>
          </w:p>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支持对选择题目配置选项，支持调整选项的显示顺序和适配癌种</w:t>
            </w:r>
            <w:r/>
          </w:p>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支持新增和删除题目选项</w:t>
            </w:r>
            <w:r/>
          </w:p>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支持设置填空题的类型，包括数值类型和文字类型</w:t>
            </w:r>
            <w:r/>
          </w:p>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支持设置数值类型的最小长度和最大长度</w:t>
            </w:r>
            <w:r/>
          </w:p>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支持设置文字类型的单位</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健康管理问卷</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支持展示健康管理问卷，支持对问卷进行编辑、删除、复制、查看、发布和停止发布操作</w:t>
            </w:r>
            <w:r/>
          </w:p>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支持按健康管理问卷名称、问卷状态进行搜索过滤</w:t>
            </w:r>
            <w:r/>
          </w:p>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支持新增问卷，在新增问卷中支持调用健康管理题目</w:t>
            </w:r>
            <w:r/>
          </w:p>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支持设置健康管理问卷的名称</w:t>
            </w:r>
            <w:r/>
          </w:p>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支持对问卷中的题目调整显示顺序和显示隐藏，支持显示题目的附加信息如适配癌种</w:t>
            </w:r>
            <w:r/>
          </w:p>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支持设置题目之间的关联关系</w:t>
            </w:r>
            <w:r/>
          </w:p>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支持设置题目的选项之间的组关联关系</w:t>
            </w:r>
            <w:r/>
          </w:p>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支持设置当跳过题目时是否给题目赋予默认值</w:t>
            </w:r>
            <w:r/>
          </w:p>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支持配置跳过题目的依赖关系</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▲健康管理方案</w:t>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支持根据方案名称、方案类型、方案癌种等信息对随访方案进行查询</w:t>
            </w:r>
            <w:r/>
          </w:p>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支持新增、编辑、查看随访方案</w:t>
            </w:r>
            <w:r/>
          </w:p>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支持引入随访问卷，根据不同方案类型、患者标签等信息、维护随访方案</w:t>
            </w:r>
            <w:r/>
          </w:p>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支持设置不同的随访方案的随访计划</w:t>
            </w:r>
            <w:r/>
          </w:p>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支持配置随访方案的开始时间以及历次随访计划的开始时间</w:t>
            </w:r>
            <w:r/>
          </w:p>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支持设计每个随访计划的窗口期</w:t>
            </w:r>
            <w:r/>
          </w:p>
        </w:tc>
      </w:tr>
      <w:tr>
        <w:trPr>
          <w:trHeight w:val="352"/>
        </w:trPr>
        <w:tc>
          <w:tcPr>
            <w:tcW w:w="422" w:type="pct"/>
            <w:vAlign w:val="center"/>
            <w:vMerge w:val="restart"/>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智能算法要求和模型要求</w:t>
            </w:r>
            <w:r/>
          </w:p>
        </w:tc>
        <w:tc>
          <w:tcPr>
            <w:tcW w:w="514" w:type="pct"/>
            <w:vAlign w:val="center"/>
            <w:vMerge w:val="restart"/>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AI算法要求</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数据治理方法</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asciiTheme="minorEastAsia" w:hAnsiTheme="minorEastAsia" w:eastAsiaTheme="minorEastAsia"/>
              </w:rPr>
              <w:t xml:space="preserve">需要对患者的入院记录、病程记录、检查报告、病理报告等文本内容进行实体及关系的医学标注、标注审核、模型泛化调优、模型质量审核、跑数等流程。形成可推广人工智能</w:t>
            </w:r>
            <w:r>
              <w:rPr>
                <w:rFonts w:hint="eastAsia" w:asciiTheme="minorEastAsia" w:hAnsiTheme="minorEastAsia" w:eastAsiaTheme="minorEastAsia"/>
                <w:lang w:val="en-US" w:eastAsia="zh-CN"/>
              </w:rPr>
              <w:t xml:space="preserve">大</w:t>
            </w:r>
            <w:r>
              <w:rPr>
                <w:rFonts w:hint="eastAsia" w:asciiTheme="minorEastAsia" w:hAnsiTheme="minorEastAsia" w:eastAsiaTheme="minorEastAsia"/>
              </w:rPr>
              <w:t xml:space="preserve">模型和对应的高质量数据集。</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肺癌</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asciiTheme="minorEastAsia" w:hAnsiTheme="minorEastAsia" w:eastAsiaTheme="minorEastAsia"/>
              </w:rPr>
            </w:pPr>
            <w:r>
              <w:rPr>
                <w:rFonts w:hint="eastAsia" w:asciiTheme="minorEastAsia" w:hAnsiTheme="minorEastAsia" w:eastAsiaTheme="minorEastAsia"/>
              </w:rPr>
              <w:t xml:space="preserve">1）需从现病史、既往史、病程记录、检查结论等文本中完成肺癌诊断名称、部位、次级解剖部位、淋巴结、状态词、时间等相关实体提取，完成部位与诊断名称、诊断名称与状态词、部位与次级、诊断名称与时间等关系映射及诊断术语归一化处理、部位术语归一化处理、状态词术语归一化处理等。</w:t>
            </w:r>
            <w:r/>
          </w:p>
          <w:p>
            <w:pPr>
              <w:widowControl/>
              <w:rPr>
                <w:rFonts w:hint="eastAsia" w:cs="宋体" w:asciiTheme="minorEastAsia" w:hAnsiTheme="minorEastAsia" w:eastAsiaTheme="minorEastAsia"/>
                <w:lang w:bidi="ar"/>
              </w:rPr>
            </w:pPr>
            <w:r>
              <w:rPr>
                <w:rFonts w:hint="eastAsia" w:asciiTheme="minorEastAsia" w:hAnsiTheme="minorEastAsia" w:eastAsiaTheme="minorEastAsia"/>
              </w:rPr>
              <w:t xml:space="preserve">2）需完成肺癌随访年龄、随访时间、随访方式、随访状态、是否死亡、死亡时间、死亡原因、是否确诊癌症、确诊癌症分类、癌症分期、癌症分型、诊断癌症时间、诊断医院等字段加工。</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胃癌</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asciiTheme="minorEastAsia" w:hAnsiTheme="minorEastAsia" w:eastAsiaTheme="minorEastAsia"/>
              </w:rPr>
            </w:pPr>
            <w:r>
              <w:rPr>
                <w:rFonts w:hint="eastAsia" w:asciiTheme="minorEastAsia" w:hAnsiTheme="minorEastAsia" w:eastAsiaTheme="minorEastAsia"/>
              </w:rPr>
              <w:t xml:space="preserve">1）需从个人史、现病史、既往史等文本中完成胃癌个体行为、频率词、单次用量、数值、时间等相关实体提取，完成个体行为与状态词、个体行为与数值、个体行为与单次用量、个体行为与时间等关系映射及个体行为术语归一化处理、状态词术语归一化处理、频率词术语归一化处理、数值术语归一化处理、单次用量术语归一化处理等。</w:t>
            </w:r>
            <w:r/>
          </w:p>
          <w:p>
            <w:pPr>
              <w:widowControl/>
              <w:rPr>
                <w:rFonts w:hint="eastAsia" w:cs="宋体" w:asciiTheme="minorEastAsia" w:hAnsiTheme="minorEastAsia" w:eastAsiaTheme="minorEastAsia"/>
                <w:lang w:bidi="ar"/>
              </w:rPr>
            </w:pPr>
            <w:r>
              <w:rPr>
                <w:rFonts w:hint="eastAsia" w:asciiTheme="minorEastAsia" w:hAnsiTheme="minorEastAsia" w:eastAsiaTheme="minorEastAsia"/>
              </w:rPr>
              <w:t xml:space="preserve">2）需完成胃癌随访年龄、随访时间、随访方式、随访状态、是否死亡、死亡时间、死亡原因、是否确诊癌症、确诊癌症分类、癌症分期、癌症分型、诊断癌症时间、诊断医院等字段加工。</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肝癌</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1）需从家族史、病程记录等文本中完成肝癌亲属关系、诊断名称、年龄、数值、部位、次级解剖部位、状态词等相关实体提取，完成亲属与年龄、亲属与诊断、亲属与数值、亲属与年龄、亲属与数值等关系映射及亲属术语归一化处理、诊断名称术语归一化处理、年龄术语归一化处理、部位术语归一化处理、状态词术语归一化处理等。</w:t>
            </w:r>
            <w:r/>
          </w:p>
          <w:p>
            <w:pPr>
              <w:widowControl/>
              <w:rPr>
                <w:rFonts w:hint="eastAsia" w:cs="宋体" w:asciiTheme="minorEastAsia" w:hAnsiTheme="minorEastAsia" w:eastAsiaTheme="minorEastAsia"/>
                <w:lang w:bidi="ar"/>
              </w:rPr>
            </w:pPr>
            <w:r>
              <w:rPr>
                <w:rFonts w:hint="eastAsia" w:asciiTheme="minorEastAsia" w:hAnsiTheme="minorEastAsia" w:eastAsiaTheme="minorEastAsia"/>
              </w:rPr>
              <w:t xml:space="preserve">2）需完成肝癌随访年龄、随访时间、随访方式、随访状态、是否死亡、死亡时间、死亡原因、是否确诊癌症、确诊癌症分类、癌症分期、癌症分型、诊断癌症时间、诊断医院等字段加工。</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结直肠癌</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1）需从现病史、辅助检查、病程记录等文本中完成结直肠癌临床发现、体格检查、状态词、部位、次级解剖部位、淋巴结等相关实体提取，完成临床发现与部位、体格检查与临床发现、临床发现与状态词、临床发现与部位、部位与次级解剖部位等关系映射及临床发现术语归一化处理、体格检查术语归一化处理、状态词术语归一化处理、部位术语归一化处理等。</w:t>
            </w:r>
            <w:r/>
          </w:p>
          <w:p>
            <w:pPr>
              <w:widowControl/>
              <w:rPr>
                <w:rFonts w:hint="eastAsia" w:cs="宋体" w:asciiTheme="minorEastAsia" w:hAnsiTheme="minorEastAsia" w:eastAsiaTheme="minorEastAsia"/>
                <w:lang w:bidi="ar"/>
              </w:rPr>
            </w:pPr>
            <w:r>
              <w:rPr>
                <w:rFonts w:hint="eastAsia" w:asciiTheme="minorEastAsia" w:hAnsiTheme="minorEastAsia" w:eastAsiaTheme="minorEastAsia"/>
              </w:rPr>
              <w:t xml:space="preserve">2）需完成结直肠癌随访年龄、随访时间、随访方式、随访状态、是否死亡、死亡时间、死亡原因、是否确诊癌症、确诊癌症分类、癌症分期、癌症分型、诊断癌症时间、诊断医院等字段加工。</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乳腺癌</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1）需从现病史、辅助检查、病程记录等文本中完成乳腺癌体格检查、时间、状态词、部位、次级解剖部位、淋巴结、相对时间等相关实体提取，完成体格检查与部位、体格检查与状态词、部位与次级解剖部位、体格检查与时间、体格检查与相对时间等关系映射及体格检查术语归一化处理、状态词术语归一化处理、部位术语归一化处理等。</w:t>
            </w:r>
            <w:r/>
          </w:p>
          <w:p>
            <w:pPr>
              <w:widowControl/>
              <w:rPr>
                <w:rFonts w:hint="eastAsia" w:cs="宋体" w:asciiTheme="minorEastAsia" w:hAnsiTheme="minorEastAsia" w:eastAsiaTheme="minorEastAsia"/>
                <w:lang w:bidi="ar"/>
              </w:rPr>
            </w:pPr>
            <w:r>
              <w:rPr>
                <w:rFonts w:hint="eastAsia" w:asciiTheme="minorEastAsia" w:hAnsiTheme="minorEastAsia" w:eastAsiaTheme="minorEastAsia"/>
              </w:rPr>
              <w:t xml:space="preserve">2）需完成乳腺癌随访年龄、随访时间、随访方式、随访状态、是否死亡、死亡时间、死亡原因、是否确诊癌症、确诊癌症分类、癌症分期、癌症分型、诊断癌症时间、诊断医院等字段加工。</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食管癌</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需从辅助检查、体格检查等文本中完成食管癌生命体征、时间、数值、医院名称、相对时间等相关实体提取，完成生命体征与数值、生命体征与时间、生命体征与相对时间、生命体征与医院名称等关系映射及生命体征术语归一化处理、数值术语归一化处理、医院名称术语归一化处理等</w:t>
            </w:r>
            <w:r/>
          </w:p>
        </w:tc>
      </w:tr>
      <w:tr>
        <w:trPr>
          <w:trHeight w:val="352"/>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asciiTheme="minorEastAsia" w:hAnsiTheme="minorEastAsia" w:eastAsiaTheme="minorEastAsia"/>
              </w:rPr>
            </w:pPr>
            <w:r>
              <w:rPr>
                <w:rFonts w:hint="eastAsia" w:cs="宋体" w:asciiTheme="minorEastAsia" w:hAnsiTheme="minorEastAsia" w:eastAsiaTheme="minorEastAsia"/>
                <w:lang w:bidi="ar"/>
              </w:rPr>
              <w:t xml:space="preserve">宫颈癌</w:t>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需从检查类型、检查名称、现病史等文本中完成宫颈癌检查项目、部位、扫描类型、扫描参数、次级解剖部位等相关实体提取，完成检查项目与部位、检查与扫描类型、检查与扫描参数、部位与次级解剖部位等关系映射及检查项目术语归一化处理、部位术语归一化处理、扫描类型术语归一化处理、扫描参数术语归一化处理等</w:t>
            </w:r>
            <w:r/>
          </w:p>
        </w:tc>
      </w:tr>
      <w:tr>
        <w:trPr>
          <w:trHeight w:val="1328"/>
        </w:trPr>
        <w:tc>
          <w:tcPr>
            <w:tcW w:w="422" w:type="pct"/>
            <w:vAlign w:val="center"/>
            <w:vMerge w:val="restart"/>
            <w:textDirection w:val="lrTb"/>
            <w:noWrap w:val="false"/>
          </w:tcPr>
          <w:p>
            <w:pPr>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数据采集及治理质控服务</w:t>
            </w:r>
            <w:r/>
          </w:p>
        </w:tc>
        <w:tc>
          <w:tcPr>
            <w:tcW w:w="514" w:type="pct"/>
            <w:vAlign w:val="center"/>
            <w:textDirection w:val="lrTb"/>
            <w:noWrap w:val="false"/>
          </w:tcPr>
          <w:p>
            <w:pPr>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数据治理服务</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数据结构化及归一化服务、风险智能评估数据加工服务、筛查数据加工服务、随访数据加工服务（需包含2024-2025年两年及以后的数据治理）；</w:t>
            </w:r>
            <w:r/>
          </w:p>
        </w:tc>
      </w:tr>
      <w:tr>
        <w:trPr>
          <w:trHeight w:val="338"/>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数据采集服务</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离线数据采集服务、增量数据采集服务（需包含2024-2025年两年及以后的数据采集）；</w:t>
            </w:r>
            <w:r/>
          </w:p>
        </w:tc>
      </w:tr>
      <w:tr>
        <w:trPr>
          <w:trHeight w:val="338"/>
        </w:trPr>
        <w:tc>
          <w:tcPr>
            <w:tcW w:w="422" w:type="pct"/>
            <w:vAlign w:val="center"/>
            <w:vMerge w:val="continue"/>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数据质控及预处理服务</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文书拆解服务、数据清洗服务、数据质控服务（需包含2024-2025年两年及以后的数据清洗及质控）；</w:t>
            </w:r>
            <w:r/>
          </w:p>
        </w:tc>
      </w:tr>
      <w:tr>
        <w:trPr>
          <w:trHeight w:val="338"/>
        </w:trPr>
        <w:tc>
          <w:tcPr>
            <w:tcW w:w="422"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随访系统对接服务</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随访系统对接服务</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支持与医院现有随访系统进行对接</w:t>
            </w:r>
            <w:r/>
          </w:p>
        </w:tc>
      </w:tr>
      <w:tr>
        <w:trPr>
          <w:trHeight w:val="338"/>
        </w:trPr>
        <w:tc>
          <w:tcPr>
            <w:tcW w:w="422"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数据上传服务</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数据上传服务</w:t>
            </w:r>
            <w:r/>
          </w:p>
        </w:tc>
        <w:tc>
          <w:tcPr>
            <w:tcW w:w="51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684" w:type="pct"/>
            <w:vAlign w:val="center"/>
            <w:textDirection w:val="lrTb"/>
            <w:noWrap w:val="false"/>
          </w:tcPr>
          <w:p>
            <w:pPr>
              <w:widowControl/>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W w:w="2866" w:type="pct"/>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支持完成国家癌症中心要求的数据上传服务，主要包括以下工作：</w:t>
            </w:r>
            <w:r/>
          </w:p>
          <w:p>
            <w:pPr>
              <w:rPr>
                <w:rFonts w:hint="eastAsia" w:asciiTheme="minorEastAsia" w:hAnsiTheme="minorEastAsia" w:eastAsiaTheme="minorEastAsia"/>
              </w:rPr>
            </w:pPr>
            <w:r>
              <w:rPr>
                <w:rFonts w:hint="eastAsia" w:asciiTheme="minorEastAsia" w:hAnsiTheme="minorEastAsia" w:eastAsiaTheme="minorEastAsia"/>
              </w:rPr>
              <w:t xml:space="preserve">按照国家癌症中心标准要求</w:t>
            </w:r>
            <w:r>
              <w:rPr>
                <w:rFonts w:asciiTheme="minorEastAsia" w:hAnsiTheme="minorEastAsia" w:eastAsiaTheme="minorEastAsia"/>
              </w:rPr>
              <w:t xml:space="preserve">完成</w:t>
            </w:r>
            <w:r>
              <w:rPr>
                <w:rFonts w:hint="eastAsia" w:asciiTheme="minorEastAsia" w:hAnsiTheme="minorEastAsia" w:eastAsiaTheme="minorEastAsia"/>
              </w:rPr>
              <w:t xml:space="preserve">患者数据从医院上传到前置机；</w:t>
            </w:r>
            <w:r/>
          </w:p>
          <w:p>
            <w:pPr>
              <w:rPr>
                <w:rFonts w:hint="eastAsia" w:asciiTheme="minorEastAsia" w:hAnsiTheme="minorEastAsia" w:eastAsiaTheme="minorEastAsia"/>
              </w:rPr>
            </w:pPr>
            <w:r>
              <w:rPr>
                <w:rFonts w:hint="eastAsia" w:asciiTheme="minorEastAsia" w:hAnsiTheme="minorEastAsia" w:eastAsiaTheme="minorEastAsia"/>
              </w:rPr>
              <w:t xml:space="preserve">按照国家癌症中心标准要求完成患者数据从前置机上传到国家癌症中心。</w:t>
            </w:r>
            <w:r/>
          </w:p>
          <w:p>
            <w:pPr>
              <w:rPr>
                <w:rFonts w:hint="eastAsia" w:cs="宋体" w:asciiTheme="minorEastAsia" w:hAnsiTheme="minorEastAsia" w:eastAsiaTheme="minorEastAsia"/>
                <w:lang w:bidi="ar"/>
              </w:rPr>
            </w:pPr>
            <w:r>
              <w:rPr>
                <w:rFonts w:hint="eastAsia" w:asciiTheme="minorEastAsia" w:hAnsiTheme="minorEastAsia" w:eastAsiaTheme="minorEastAsia"/>
              </w:rPr>
              <w:t xml:space="preserve">（需包含2024-2025年两年</w:t>
            </w:r>
            <w:r>
              <w:rPr>
                <w:rFonts w:hint="eastAsia" w:cs="宋体" w:asciiTheme="minorEastAsia" w:hAnsiTheme="minorEastAsia" w:eastAsiaTheme="minorEastAsia"/>
                <w:lang w:bidi="ar"/>
              </w:rPr>
              <w:t xml:space="preserve">及以后</w:t>
            </w:r>
            <w:r>
              <w:rPr>
                <w:rFonts w:hint="eastAsia" w:asciiTheme="minorEastAsia" w:hAnsiTheme="minorEastAsia" w:eastAsiaTheme="minorEastAsia"/>
              </w:rPr>
              <w:t xml:space="preserve">的数据上传）</w:t>
            </w:r>
            <w:r/>
          </w:p>
        </w:tc>
      </w:tr>
    </w:tbl>
    <w:p>
      <w:pPr>
        <w:spacing w:line="520" w:lineRule="exact"/>
        <w:rPr>
          <w:rFonts w:hint="eastAsia" w:ascii="宋体" w:hAnsi="宋体"/>
          <w:b/>
          <w:sz w:val="24"/>
          <w:szCs w:val="24"/>
        </w:rPr>
        <w:outlineLvl w:val="1"/>
      </w:pPr>
      <w:r>
        <w:rPr>
          <w:rFonts w:hint="eastAsia" w:ascii="宋体" w:hAnsi="宋体"/>
          <w:b/>
          <w:sz w:val="24"/>
          <w:szCs w:val="24"/>
        </w:rPr>
        <w:t xml:space="preserve">三、项目升级与实施要求</w:t>
      </w:r>
      <w:r/>
    </w:p>
    <w:p>
      <w:pPr>
        <w:ind w:firstLine="480"/>
        <w:spacing w:line="520" w:lineRule="exact"/>
        <w:rPr>
          <w:rFonts w:hint="eastAsia" w:ascii="宋体" w:hAnsi="宋体"/>
          <w:sz w:val="24"/>
          <w:szCs w:val="24"/>
        </w:rPr>
      </w:pPr>
      <w:r>
        <w:rPr>
          <w:rFonts w:hint="eastAsia" w:ascii="宋体" w:hAnsi="宋体"/>
          <w:sz w:val="24"/>
          <w:szCs w:val="24"/>
        </w:rPr>
        <w:t xml:space="preserve">投标人应具有健全的项目管理制度和流程，以及合格的项目实施人员，对系统建设进行全过程质量管理，确保项目实施的顺利。</w:t>
      </w:r>
      <w:r/>
    </w:p>
    <w:p>
      <w:pPr>
        <w:ind w:firstLine="480"/>
        <w:spacing w:line="520" w:lineRule="exact"/>
        <w:rPr>
          <w:rFonts w:hint="eastAsia" w:ascii="宋体" w:hAnsi="宋体"/>
          <w:sz w:val="24"/>
          <w:szCs w:val="24"/>
        </w:rPr>
      </w:pPr>
      <w:r>
        <w:rPr>
          <w:rFonts w:hint="eastAsia" w:ascii="宋体" w:hAnsi="宋体"/>
          <w:sz w:val="24"/>
          <w:szCs w:val="24"/>
        </w:rPr>
        <w:t xml:space="preserve">项目实施周期：6个月。</w:t>
      </w:r>
      <w:r/>
    </w:p>
    <w:p>
      <w:pPr>
        <w:numPr>
          <w:ilvl w:val="0"/>
          <w:numId w:val="5"/>
        </w:numPr>
        <w:spacing w:line="520" w:lineRule="exact"/>
        <w:rPr>
          <w:rFonts w:hint="eastAsia" w:ascii="宋体" w:hAnsi="宋体"/>
          <w:b/>
          <w:bCs/>
          <w:sz w:val="24"/>
          <w:szCs w:val="24"/>
        </w:rPr>
      </w:pPr>
      <w:r>
        <w:rPr>
          <w:rFonts w:hint="eastAsia" w:ascii="宋体" w:hAnsi="宋体"/>
          <w:b/>
          <w:bCs/>
          <w:sz w:val="24"/>
          <w:szCs w:val="24"/>
        </w:rPr>
        <w:t xml:space="preserve">软件开发方案要求</w:t>
      </w:r>
      <w:r/>
    </w:p>
    <w:p>
      <w:pPr>
        <w:ind w:firstLine="480"/>
        <w:spacing w:line="520" w:lineRule="exact"/>
        <w:rPr>
          <w:rFonts w:hint="eastAsia" w:ascii="宋体" w:hAnsi="宋体"/>
          <w:sz w:val="24"/>
          <w:szCs w:val="24"/>
        </w:rPr>
      </w:pPr>
      <w:r>
        <w:rPr>
          <w:rFonts w:hint="eastAsia" w:ascii="宋体" w:hAnsi="宋体"/>
          <w:sz w:val="24"/>
          <w:szCs w:val="24"/>
        </w:rPr>
        <w:t xml:space="preserve">投标人应根据项目的采购技术需求提供详细的软件开发方案，包括系统架构设计、技术路线、功能实现等。</w:t>
      </w:r>
      <w:r/>
    </w:p>
    <w:p>
      <w:pPr>
        <w:ind w:firstLine="480"/>
        <w:spacing w:line="52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ab/>
      </w:r>
      <w:r>
        <w:rPr>
          <w:rFonts w:hint="eastAsia" w:ascii="宋体" w:hAnsi="宋体"/>
          <w:sz w:val="24"/>
          <w:szCs w:val="24"/>
        </w:rPr>
        <w:t xml:space="preserve">系统架构设计：要求采用模块化、可扩展的架构设计，确保系统能够灵活应对未来功能扩展和数据增长。</w:t>
      </w:r>
      <w:r/>
    </w:p>
    <w:p>
      <w:pPr>
        <w:ind w:firstLine="480"/>
        <w:spacing w:line="520" w:lineRule="exact"/>
        <w:rPr>
          <w:rFonts w:hint="eastAsia" w:ascii="宋体" w:hAnsi="宋体"/>
          <w:sz w:val="24"/>
          <w:szCs w:val="24"/>
        </w:rPr>
      </w:pPr>
      <w:r>
        <w:rPr>
          <w:rFonts w:hint="eastAsia" w:ascii="宋体" w:hAnsi="宋体"/>
          <w:sz w:val="24"/>
          <w:szCs w:val="24"/>
        </w:rPr>
        <w:t xml:space="preserve">2. 技术路线：要求制定有针对性、专业性符合采购人行业特殊需求的技术路线，通过合理分析提出的技术路线深化软件各功能的划分和体现。</w:t>
      </w:r>
      <w:r/>
    </w:p>
    <w:p>
      <w:pPr>
        <w:ind w:firstLine="480"/>
        <w:spacing w:line="52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ab/>
      </w:r>
      <w:r>
        <w:rPr>
          <w:rFonts w:hint="eastAsia" w:ascii="宋体" w:hAnsi="宋体"/>
          <w:sz w:val="24"/>
          <w:szCs w:val="24"/>
        </w:rPr>
        <w:t xml:space="preserve">功能实现：根据项目技术要求，详细列出实现功能模块的实施路径。</w:t>
      </w:r>
      <w:r/>
    </w:p>
    <w:p>
      <w:pPr>
        <w:ind w:firstLine="480"/>
        <w:spacing w:line="520" w:lineRule="exac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ab/>
      </w:r>
      <w:r>
        <w:rPr>
          <w:rFonts w:hint="eastAsia" w:ascii="宋体" w:hAnsi="宋体"/>
          <w:sz w:val="24"/>
          <w:szCs w:val="24"/>
        </w:rPr>
        <w:t xml:space="preserve">支持满足等保，密评和信创环境部署要求。</w:t>
      </w:r>
      <w:r/>
    </w:p>
    <w:p>
      <w:pPr>
        <w:numPr>
          <w:ilvl w:val="0"/>
          <w:numId w:val="5"/>
        </w:numPr>
        <w:spacing w:line="520" w:lineRule="exact"/>
        <w:rPr>
          <w:rFonts w:hint="eastAsia" w:ascii="宋体" w:hAnsi="宋体"/>
          <w:b/>
          <w:bCs/>
          <w:sz w:val="24"/>
          <w:szCs w:val="24"/>
        </w:rPr>
      </w:pPr>
      <w:r>
        <w:rPr>
          <w:rFonts w:hint="eastAsia" w:ascii="宋体" w:hAnsi="宋体"/>
          <w:b/>
          <w:bCs/>
          <w:sz w:val="24"/>
          <w:szCs w:val="24"/>
        </w:rPr>
        <w:t xml:space="preserve">项目进度管理方案要求</w:t>
      </w:r>
      <w:r/>
    </w:p>
    <w:p>
      <w:pPr>
        <w:ind w:firstLine="480"/>
        <w:spacing w:line="520" w:lineRule="exact"/>
        <w:rPr>
          <w:rFonts w:hint="eastAsia" w:ascii="宋体" w:hAnsi="宋体"/>
          <w:sz w:val="24"/>
          <w:szCs w:val="24"/>
        </w:rPr>
      </w:pPr>
      <w:r>
        <w:rPr>
          <w:rFonts w:hint="eastAsia" w:ascii="宋体" w:hAnsi="宋体"/>
          <w:sz w:val="24"/>
          <w:szCs w:val="24"/>
        </w:rPr>
        <w:t xml:space="preserve">为确保项目可以顺利地开展，投标人应详细阐述项目实施方案，包括进度安排、进度管理、测试、试运行、验收等。</w:t>
      </w:r>
      <w:r/>
    </w:p>
    <w:p>
      <w:pPr>
        <w:ind w:firstLine="480"/>
        <w:spacing w:line="520" w:lineRule="exact"/>
        <w:rPr>
          <w:rFonts w:hint="eastAsia" w:ascii="宋体" w:hAnsi="宋体"/>
          <w:sz w:val="24"/>
          <w:szCs w:val="24"/>
        </w:rPr>
      </w:pPr>
      <w:r>
        <w:rPr>
          <w:rFonts w:hint="eastAsia" w:ascii="宋体" w:hAnsi="宋体"/>
          <w:sz w:val="24"/>
          <w:szCs w:val="24"/>
        </w:rPr>
        <w:t xml:space="preserve">1. 进度安排：需要结合本项目的实际情况，制定项目实施计划，通过对每个环节的精准把控，确保项目可以平稳有序地推进。</w:t>
      </w:r>
      <w:r/>
    </w:p>
    <w:p>
      <w:pPr>
        <w:ind w:firstLine="480"/>
        <w:spacing w:line="520" w:lineRule="exact"/>
        <w:rPr>
          <w:rFonts w:hint="eastAsia" w:ascii="宋体" w:hAnsi="宋体"/>
          <w:sz w:val="24"/>
          <w:szCs w:val="24"/>
        </w:rPr>
      </w:pPr>
      <w:r>
        <w:rPr>
          <w:rFonts w:hint="eastAsia" w:ascii="宋体" w:hAnsi="宋体"/>
          <w:sz w:val="24"/>
          <w:szCs w:val="24"/>
        </w:rPr>
        <w:t xml:space="preserve">2.进度管理：投标人需建立完善的项目管理制度，包括组织分工、职责说明、例会制度、信息安全规章制度等，保证项目有序、有节奏地进行，在规定的时间内完成各项工作。</w:t>
      </w:r>
      <w:r/>
    </w:p>
    <w:p>
      <w:pPr>
        <w:ind w:firstLine="480"/>
        <w:spacing w:line="520" w:lineRule="exact"/>
        <w:rPr>
          <w:rFonts w:hint="eastAsia" w:ascii="宋体" w:hAnsi="宋体"/>
          <w:sz w:val="24"/>
          <w:szCs w:val="24"/>
        </w:rPr>
      </w:pPr>
      <w:r>
        <w:rPr>
          <w:rFonts w:hint="eastAsia" w:ascii="宋体" w:hAnsi="宋体"/>
          <w:sz w:val="24"/>
          <w:szCs w:val="24"/>
        </w:rPr>
        <w:t xml:space="preserve">3. 测试：为确保项目的软件质量，项目测试方案至关重要。投标人需详细阐述项目测试的具体要求，包括测试目标、测试方案、测试结果等。</w:t>
      </w:r>
      <w:r/>
    </w:p>
    <w:p>
      <w:pPr>
        <w:ind w:firstLine="480"/>
        <w:spacing w:line="520" w:lineRule="exact"/>
        <w:rPr>
          <w:rFonts w:hint="eastAsia" w:ascii="宋体" w:hAnsi="宋体"/>
          <w:sz w:val="24"/>
          <w:szCs w:val="24"/>
        </w:rPr>
      </w:pPr>
      <w:r>
        <w:rPr>
          <w:rFonts w:hint="eastAsia" w:ascii="宋体" w:hAnsi="宋体"/>
          <w:sz w:val="24"/>
          <w:szCs w:val="24"/>
        </w:rPr>
        <w:t xml:space="preserve">4. 试运行：本项目的试运行为期1个月。在试运行期间，投标人应制定完善的试运行方案，包括试运行目的、试运行准备、试运行结果输出等。</w:t>
      </w:r>
      <w:r/>
    </w:p>
    <w:p>
      <w:pPr>
        <w:ind w:firstLine="480"/>
        <w:spacing w:line="520" w:lineRule="exact"/>
        <w:rPr>
          <w:rFonts w:hint="eastAsia" w:ascii="宋体" w:hAnsi="宋体"/>
          <w:sz w:val="24"/>
          <w:szCs w:val="24"/>
        </w:rPr>
      </w:pPr>
      <w:r>
        <w:rPr>
          <w:rFonts w:hint="eastAsia" w:ascii="宋体" w:hAnsi="宋体"/>
          <w:sz w:val="24"/>
          <w:szCs w:val="24"/>
        </w:rPr>
        <w:t xml:space="preserve">5. 验收：软件项目验收是确认项目成果是否符合合同与需求规格的关键环节，投标人在编制验收方案时，应明确验收标准、验收指标、验收流程等，确保软件可稳定交付与使用。</w:t>
      </w:r>
      <w:r/>
    </w:p>
    <w:p>
      <w:pPr>
        <w:numPr>
          <w:ilvl w:val="0"/>
          <w:numId w:val="5"/>
        </w:numPr>
        <w:spacing w:line="520" w:lineRule="exact"/>
        <w:rPr>
          <w:rFonts w:hint="eastAsia" w:ascii="宋体" w:hAnsi="宋体"/>
          <w:b/>
          <w:bCs/>
          <w:sz w:val="24"/>
          <w:szCs w:val="24"/>
        </w:rPr>
      </w:pPr>
      <w:r>
        <w:rPr>
          <w:rFonts w:hint="eastAsia" w:ascii="宋体" w:hAnsi="宋体"/>
          <w:b/>
          <w:bCs/>
          <w:sz w:val="24"/>
          <w:szCs w:val="24"/>
        </w:rPr>
        <w:t xml:space="preserve">项目质量管理方案要求</w:t>
      </w:r>
      <w:r/>
    </w:p>
    <w:p>
      <w:pPr>
        <w:ind w:firstLine="480"/>
        <w:spacing w:line="520" w:lineRule="exact"/>
        <w:rPr>
          <w:rFonts w:hint="eastAsia" w:ascii="宋体" w:hAnsi="宋体"/>
          <w:sz w:val="24"/>
          <w:szCs w:val="24"/>
        </w:rPr>
      </w:pPr>
      <w:r>
        <w:rPr>
          <w:rFonts w:ascii="宋体" w:hAnsi="宋体"/>
          <w:sz w:val="24"/>
          <w:szCs w:val="24"/>
        </w:rPr>
        <w:t xml:space="preserve">为确保项目的质量达到既定标准，</w:t>
      </w:r>
      <w:r>
        <w:rPr>
          <w:rFonts w:hint="eastAsia" w:ascii="宋体" w:hAnsi="宋体"/>
          <w:sz w:val="24"/>
          <w:szCs w:val="24"/>
        </w:rPr>
        <w:t xml:space="preserve">投标人应</w:t>
      </w:r>
      <w:r>
        <w:rPr>
          <w:rFonts w:ascii="宋体" w:hAnsi="宋体"/>
          <w:sz w:val="24"/>
          <w:szCs w:val="24"/>
        </w:rPr>
        <w:t xml:space="preserve">详细阐述项目质量管理方案，包括质量标准、质量管理体系以及风险管理</w:t>
      </w:r>
      <w:r>
        <w:rPr>
          <w:rFonts w:hint="eastAsia" w:ascii="宋体" w:hAnsi="宋体"/>
          <w:sz w:val="24"/>
          <w:szCs w:val="24"/>
        </w:rPr>
        <w:t xml:space="preserve">等</w:t>
      </w:r>
      <w:r>
        <w:rPr>
          <w:rFonts w:ascii="宋体" w:hAnsi="宋体"/>
          <w:sz w:val="24"/>
          <w:szCs w:val="24"/>
        </w:rPr>
        <w:t xml:space="preserve">。</w:t>
      </w:r>
      <w:r/>
    </w:p>
    <w:p>
      <w:pPr>
        <w:numPr>
          <w:ilvl w:val="0"/>
          <w:numId w:val="6"/>
        </w:numPr>
        <w:ind w:firstLine="480"/>
        <w:spacing w:line="520" w:lineRule="exact"/>
        <w:rPr>
          <w:rFonts w:hint="eastAsia" w:ascii="宋体" w:hAnsi="宋体"/>
          <w:sz w:val="24"/>
          <w:szCs w:val="24"/>
        </w:rPr>
      </w:pPr>
      <w:r>
        <w:rPr>
          <w:rFonts w:hint="eastAsia" w:ascii="宋体" w:hAnsi="宋体"/>
          <w:sz w:val="24"/>
          <w:szCs w:val="24"/>
        </w:rPr>
        <w:t xml:space="preserve">质量标准：项目需严格遵守国家及行业关于信息安全、软件开发等方面的相关法律法规、标准规范及最佳实践。</w:t>
      </w:r>
      <w:r/>
    </w:p>
    <w:p>
      <w:pPr>
        <w:numPr>
          <w:ilvl w:val="0"/>
          <w:numId w:val="6"/>
        </w:numPr>
        <w:ind w:firstLine="480"/>
        <w:spacing w:line="520" w:lineRule="exact"/>
        <w:rPr>
          <w:rFonts w:hint="eastAsia" w:ascii="宋体" w:hAnsi="宋体"/>
          <w:sz w:val="24"/>
          <w:szCs w:val="24"/>
        </w:rPr>
      </w:pPr>
      <w:r>
        <w:rPr>
          <w:rFonts w:hint="eastAsia" w:ascii="宋体" w:hAnsi="宋体"/>
          <w:sz w:val="24"/>
          <w:szCs w:val="24"/>
        </w:rPr>
        <w:t xml:space="preserve">质量管理体系：投标人需建立完善的质量管理体系，包括质量保证目标、质量控制、质量保证和质量改进等环节，确保项目全生命周期的质量管理。</w:t>
      </w:r>
      <w:r/>
    </w:p>
    <w:p>
      <w:pPr>
        <w:numPr>
          <w:ilvl w:val="0"/>
          <w:numId w:val="6"/>
        </w:numPr>
        <w:ind w:firstLine="480"/>
        <w:spacing w:line="520" w:lineRule="exact"/>
        <w:rPr>
          <w:rFonts w:hint="eastAsia" w:ascii="宋体" w:hAnsi="宋体"/>
          <w:sz w:val="24"/>
          <w:szCs w:val="24"/>
        </w:rPr>
      </w:pPr>
      <w:r>
        <w:rPr>
          <w:rFonts w:hint="eastAsia" w:ascii="宋体" w:hAnsi="宋体"/>
          <w:sz w:val="24"/>
          <w:szCs w:val="24"/>
        </w:rPr>
        <w:t xml:space="preserve">风险管理：需对项目可能面临的风险进行全面识别和评估，包括项目全过程中多个阶段可能会面临的潜在风险，准确地识别风险并制定风险预防措施，降低风险对项目的影响。</w:t>
      </w:r>
      <w:r/>
    </w:p>
    <w:p>
      <w:pPr>
        <w:numPr>
          <w:ilvl w:val="0"/>
          <w:numId w:val="5"/>
        </w:numPr>
        <w:spacing w:line="520" w:lineRule="exact"/>
        <w:rPr>
          <w:rFonts w:hint="eastAsia" w:ascii="宋体" w:hAnsi="宋体"/>
          <w:b/>
          <w:bCs/>
          <w:sz w:val="24"/>
          <w:szCs w:val="24"/>
        </w:rPr>
      </w:pPr>
      <w:r>
        <w:rPr>
          <w:rFonts w:hint="eastAsia" w:ascii="宋体" w:hAnsi="宋体"/>
          <w:b/>
          <w:bCs/>
          <w:sz w:val="24"/>
          <w:szCs w:val="24"/>
        </w:rPr>
        <w:t xml:space="preserve">项目应急和安全服务方案要求</w:t>
      </w:r>
      <w:r/>
    </w:p>
    <w:p>
      <w:pPr>
        <w:ind w:firstLine="566"/>
        <w:spacing w:line="520" w:lineRule="exact"/>
        <w:rPr>
          <w:rFonts w:hint="eastAsia" w:ascii="宋体" w:hAnsi="宋体"/>
          <w:sz w:val="24"/>
          <w:szCs w:val="24"/>
        </w:rPr>
      </w:pPr>
      <w:r>
        <w:rPr>
          <w:rFonts w:hint="eastAsia" w:ascii="宋体" w:hAnsi="宋体"/>
          <w:sz w:val="24"/>
          <w:szCs w:val="24"/>
        </w:rPr>
        <w:t xml:space="preserve">结合本项目实际现场情况和安全服务需求，投标人应制定明确的应急管理方案和系统安全保障方案，确保快速解决安全问题，保障完全高效服务的目标。</w:t>
      </w:r>
      <w:r/>
    </w:p>
    <w:p>
      <w:pPr>
        <w:ind w:firstLine="566"/>
        <w:spacing w:line="520" w:lineRule="exact"/>
        <w:rPr>
          <w:rFonts w:hint="eastAsia" w:ascii="宋体" w:hAnsi="宋体"/>
          <w:sz w:val="24"/>
          <w:szCs w:val="24"/>
        </w:rPr>
      </w:pPr>
      <w:r>
        <w:rPr>
          <w:rFonts w:hint="eastAsia" w:ascii="宋体" w:hAnsi="宋体"/>
          <w:sz w:val="24"/>
          <w:szCs w:val="24"/>
        </w:rPr>
        <w:t xml:space="preserve">1. 应急管理方案：应急管理是一个系统工程，其核心要求包括：建立完善的责任体系和组织机构，提前制定预案并演练，对应急事件进行分类与分级，明确应急响应流程。</w:t>
      </w:r>
      <w:r/>
    </w:p>
    <w:p>
      <w:pPr>
        <w:ind w:firstLine="566"/>
        <w:spacing w:line="520" w:lineRule="exact"/>
        <w:rPr>
          <w:rFonts w:hint="eastAsia" w:ascii="宋体" w:hAnsi="宋体"/>
          <w:sz w:val="24"/>
          <w:szCs w:val="24"/>
        </w:rPr>
      </w:pPr>
      <w:r>
        <w:rPr>
          <w:rFonts w:hint="eastAsia" w:ascii="宋体" w:hAnsi="宋体"/>
          <w:sz w:val="24"/>
          <w:szCs w:val="24"/>
        </w:rPr>
        <w:t xml:space="preserve">2. 系统安全保障方案：信息系统安全管理要求包括物理安全、网络安全、主机安全、应用安全、数据安全，投标人应建立相应的安全管理制度，确保安全措施的有效施行。</w:t>
      </w:r>
      <w:r/>
    </w:p>
    <w:p>
      <w:pPr>
        <w:numPr>
          <w:ilvl w:val="0"/>
          <w:numId w:val="5"/>
        </w:numPr>
        <w:spacing w:line="520" w:lineRule="exact"/>
        <w:rPr>
          <w:rFonts w:hint="eastAsia" w:ascii="宋体" w:hAnsi="宋体"/>
          <w:b/>
          <w:bCs/>
          <w:sz w:val="24"/>
          <w:szCs w:val="24"/>
        </w:rPr>
      </w:pPr>
      <w:r>
        <w:rPr>
          <w:rFonts w:hint="eastAsia" w:ascii="宋体" w:hAnsi="宋体"/>
          <w:b/>
          <w:bCs/>
          <w:sz w:val="24"/>
          <w:szCs w:val="24"/>
        </w:rPr>
        <w:t xml:space="preserve">项目培训方案要求</w:t>
      </w:r>
      <w:r/>
    </w:p>
    <w:p>
      <w:pPr>
        <w:ind w:firstLine="480"/>
        <w:spacing w:line="520" w:lineRule="exact"/>
        <w:rPr>
          <w:rFonts w:hint="eastAsia" w:ascii="宋体" w:hAnsi="宋体"/>
          <w:sz w:val="24"/>
          <w:szCs w:val="24"/>
        </w:rPr>
      </w:pPr>
      <w:r>
        <w:rPr>
          <w:rFonts w:ascii="宋体" w:hAnsi="宋体"/>
          <w:sz w:val="24"/>
          <w:szCs w:val="24"/>
        </w:rPr>
        <w:t xml:space="preserve">为确保项目的顺利实施与后续高效运维，项目培训管理方案的设计与实施至关重要。</w:t>
      </w:r>
      <w:r>
        <w:rPr>
          <w:rFonts w:hint="eastAsia" w:ascii="宋体" w:hAnsi="宋体"/>
          <w:sz w:val="24"/>
          <w:szCs w:val="24"/>
        </w:rPr>
        <w:t xml:space="preserve">投标人需</w:t>
      </w:r>
      <w:r>
        <w:rPr>
          <w:rFonts w:ascii="宋体" w:hAnsi="宋体"/>
          <w:sz w:val="24"/>
          <w:szCs w:val="24"/>
        </w:rPr>
        <w:t xml:space="preserve">详细阐述项目培训管理的具体要求，包括培训方案、培训内容、培训材料、培训计划等方面。</w:t>
      </w:r>
      <w:r/>
    </w:p>
    <w:p>
      <w:pPr>
        <w:numPr>
          <w:ilvl w:val="0"/>
          <w:numId w:val="7"/>
        </w:numPr>
        <w:ind w:firstLine="480"/>
        <w:spacing w:line="520" w:lineRule="exact"/>
        <w:rPr>
          <w:rFonts w:hint="eastAsia" w:ascii="宋体" w:hAnsi="宋体"/>
          <w:sz w:val="24"/>
          <w:szCs w:val="24"/>
        </w:rPr>
      </w:pPr>
      <w:r>
        <w:rPr>
          <w:rFonts w:ascii="宋体" w:hAnsi="宋体"/>
          <w:sz w:val="24"/>
          <w:szCs w:val="24"/>
        </w:rPr>
        <w:t xml:space="preserve">培训方案</w:t>
      </w:r>
      <w:r>
        <w:rPr>
          <w:rFonts w:hint="eastAsia" w:ascii="宋体" w:hAnsi="宋体"/>
          <w:sz w:val="24"/>
          <w:szCs w:val="24"/>
        </w:rPr>
        <w:t xml:space="preserve">：应提供完善的培训方案，培训方案包含培训目的、培训方式、培训内容等。系统的培训工作要在系统上线试运行前实施，并在培训实施前编制专门的培训材料。</w:t>
      </w:r>
      <w:r/>
    </w:p>
    <w:p>
      <w:pPr>
        <w:numPr>
          <w:ilvl w:val="0"/>
          <w:numId w:val="7"/>
        </w:numPr>
        <w:ind w:firstLine="480"/>
        <w:spacing w:line="520" w:lineRule="exact"/>
        <w:rPr>
          <w:rFonts w:hint="eastAsia" w:ascii="宋体" w:hAnsi="宋体"/>
          <w:sz w:val="24"/>
          <w:szCs w:val="24"/>
        </w:rPr>
      </w:pPr>
      <w:r>
        <w:rPr>
          <w:rFonts w:ascii="宋体" w:hAnsi="宋体"/>
          <w:sz w:val="24"/>
          <w:szCs w:val="24"/>
        </w:rPr>
        <w:t xml:space="preserve">培训内容</w:t>
      </w:r>
      <w:r>
        <w:rPr>
          <w:rFonts w:hint="eastAsia" w:ascii="宋体" w:hAnsi="宋体"/>
          <w:sz w:val="24"/>
          <w:szCs w:val="24"/>
        </w:rPr>
        <w:t xml:space="preserve">：对采购人系统计算机管理人员培训，重点培训为软件的安装、维护、调试、配置及使用技能；业务人员培训，重点对相应应用的操作、使用等。</w:t>
      </w:r>
      <w:r/>
    </w:p>
    <w:p>
      <w:pPr>
        <w:numPr>
          <w:ilvl w:val="0"/>
          <w:numId w:val="7"/>
        </w:numPr>
        <w:ind w:firstLine="480"/>
        <w:spacing w:line="520" w:lineRule="exact"/>
        <w:rPr>
          <w:rFonts w:hint="eastAsia" w:ascii="宋体" w:hAnsi="宋体"/>
          <w:sz w:val="24"/>
          <w:szCs w:val="24"/>
        </w:rPr>
      </w:pPr>
      <w:r>
        <w:rPr>
          <w:rFonts w:hint="eastAsia" w:ascii="宋体" w:hAnsi="宋体"/>
          <w:sz w:val="24"/>
          <w:szCs w:val="24"/>
        </w:rPr>
        <w:t xml:space="preserve">培训材料：投标人在采购人现场的培训，投标人必须无偿提供培训资料、讲稿的电子稿、培训用文字资料和讲义等相关用品，所有的资料必须是中文书写，同时允许采购人在单位内部使用。</w:t>
      </w:r>
      <w:r/>
    </w:p>
    <w:p>
      <w:pPr>
        <w:numPr>
          <w:ilvl w:val="0"/>
          <w:numId w:val="7"/>
        </w:numPr>
        <w:ind w:firstLine="480"/>
        <w:spacing w:line="520" w:lineRule="exact"/>
        <w:rPr>
          <w:rFonts w:hint="eastAsia" w:ascii="宋体" w:hAnsi="宋体"/>
          <w:sz w:val="24"/>
          <w:szCs w:val="24"/>
        </w:rPr>
      </w:pPr>
      <w:r>
        <w:rPr>
          <w:rFonts w:hint="eastAsia" w:ascii="宋体" w:hAnsi="宋体"/>
          <w:sz w:val="24"/>
          <w:szCs w:val="24"/>
        </w:rPr>
        <w:t xml:space="preserve">培训计划：培训工作贯穿于项目的整个过程，所有的培训需提前制定培训计划，明确培训内容、培训时间、培训方式等，提供培训所需的资料、文档，针对培训，还需要制定培训用的PPT讲演稿。</w:t>
      </w:r>
      <w:r/>
    </w:p>
    <w:p>
      <w:pPr>
        <w:numPr>
          <w:ilvl w:val="0"/>
          <w:numId w:val="5"/>
        </w:numPr>
        <w:spacing w:line="520" w:lineRule="exact"/>
        <w:rPr>
          <w:rFonts w:hint="eastAsia" w:ascii="宋体" w:hAnsi="宋体"/>
          <w:b/>
          <w:bCs/>
          <w:sz w:val="24"/>
          <w:szCs w:val="24"/>
        </w:rPr>
      </w:pPr>
      <w:r>
        <w:rPr>
          <w:rFonts w:hint="eastAsia" w:ascii="宋体" w:hAnsi="宋体"/>
          <w:b/>
          <w:bCs/>
          <w:sz w:val="24"/>
          <w:szCs w:val="24"/>
        </w:rPr>
        <w:t xml:space="preserve">项目售后</w:t>
      </w:r>
      <w:r>
        <w:rPr>
          <w:rFonts w:hint="eastAsia" w:ascii="宋体" w:hAnsi="宋体"/>
          <w:b/>
          <w:bCs/>
          <w:sz w:val="24"/>
          <w:szCs w:val="24"/>
          <w:lang w:val="en-US" w:eastAsia="zh-CN"/>
        </w:rPr>
        <w:t xml:space="preserve">服务</w:t>
      </w:r>
      <w:r>
        <w:rPr>
          <w:rFonts w:hint="eastAsia" w:ascii="宋体" w:hAnsi="宋体"/>
          <w:b/>
          <w:bCs/>
          <w:sz w:val="24"/>
          <w:szCs w:val="24"/>
        </w:rPr>
        <w:t xml:space="preserve">方案要求</w:t>
      </w:r>
      <w:r/>
    </w:p>
    <w:p>
      <w:pPr>
        <w:ind w:firstLine="480"/>
        <w:spacing w:line="520" w:lineRule="exact"/>
        <w:rPr>
          <w:rFonts w:hint="eastAsia" w:ascii="宋体" w:hAnsi="宋体"/>
          <w:sz w:val="24"/>
          <w:szCs w:val="24"/>
        </w:rPr>
      </w:pPr>
      <w:r>
        <w:rPr>
          <w:rFonts w:ascii="宋体" w:hAnsi="宋体"/>
          <w:sz w:val="24"/>
          <w:szCs w:val="24"/>
        </w:rPr>
        <w:t xml:space="preserve">为了保障项目的长期稳定运行，提供高效、专业的售后服务至关重要。</w:t>
      </w:r>
      <w:r>
        <w:rPr>
          <w:rFonts w:hint="eastAsia" w:ascii="宋体" w:hAnsi="宋体"/>
          <w:sz w:val="24"/>
          <w:szCs w:val="24"/>
        </w:rPr>
        <w:t xml:space="preserve">投标人需</w:t>
      </w:r>
      <w:r>
        <w:rPr>
          <w:rFonts w:ascii="宋体" w:hAnsi="宋体"/>
          <w:sz w:val="24"/>
          <w:szCs w:val="24"/>
        </w:rPr>
        <w:t xml:space="preserve">详细阐述项目售后管理方案的具体要求，包括</w:t>
      </w:r>
      <w:r>
        <w:rPr>
          <w:rFonts w:hint="eastAsia" w:ascii="宋体" w:hAnsi="宋体"/>
          <w:sz w:val="24"/>
          <w:szCs w:val="24"/>
          <w:lang w:val="en-US" w:eastAsia="zh-CN"/>
        </w:rPr>
        <w:t xml:space="preserve">免费维保期</w:t>
      </w:r>
      <w:r>
        <w:rPr>
          <w:rFonts w:ascii="宋体" w:hAnsi="宋体"/>
          <w:sz w:val="24"/>
          <w:szCs w:val="24"/>
        </w:rPr>
        <w:t xml:space="preserve">、</w:t>
      </w:r>
      <w:r>
        <w:rPr>
          <w:rFonts w:hint="eastAsia" w:ascii="宋体" w:hAnsi="宋体"/>
          <w:sz w:val="24"/>
          <w:szCs w:val="24"/>
          <w:lang w:val="en-US" w:eastAsia="zh-CN"/>
        </w:rPr>
        <w:t xml:space="preserve">免费维保期后的维保费用、</w:t>
      </w:r>
      <w:r>
        <w:rPr>
          <w:rFonts w:ascii="宋体" w:hAnsi="宋体"/>
          <w:sz w:val="24"/>
          <w:szCs w:val="24"/>
        </w:rPr>
        <w:t xml:space="preserve">售后要求、售后内容以及售后人员</w:t>
      </w:r>
      <w:r>
        <w:rPr>
          <w:rFonts w:hint="eastAsia" w:ascii="宋体" w:hAnsi="宋体"/>
          <w:sz w:val="24"/>
          <w:szCs w:val="24"/>
        </w:rPr>
        <w:t xml:space="preserve">等</w:t>
      </w:r>
      <w:r>
        <w:rPr>
          <w:rFonts w:ascii="宋体" w:hAnsi="宋体"/>
          <w:sz w:val="24"/>
          <w:szCs w:val="24"/>
        </w:rPr>
        <w:t xml:space="preserve">。</w:t>
      </w:r>
      <w:r/>
    </w:p>
    <w:p>
      <w:pPr>
        <w:numPr>
          <w:ilvl w:val="0"/>
          <w:numId w:val="8"/>
        </w:numPr>
        <w:ind w:firstLine="480"/>
        <w:spacing w:line="520" w:lineRule="exact"/>
        <w:rPr>
          <w:rFonts w:hint="eastAsia" w:ascii="宋体" w:hAnsi="宋体"/>
          <w:sz w:val="24"/>
          <w:szCs w:val="24"/>
        </w:rPr>
      </w:pPr>
      <w:r>
        <w:rPr>
          <w:rFonts w:hint="eastAsia" w:ascii="宋体" w:hAnsi="宋体"/>
          <w:sz w:val="24"/>
          <w:szCs w:val="24"/>
          <w:lang w:val="en-US" w:eastAsia="zh-CN"/>
        </w:rPr>
        <w:t xml:space="preserve">免费维保期</w:t>
      </w:r>
      <w:r>
        <w:rPr>
          <w:rFonts w:hint="eastAsia" w:ascii="宋体" w:hAnsi="宋体"/>
          <w:sz w:val="24"/>
          <w:szCs w:val="24"/>
        </w:rPr>
        <w:t xml:space="preserve">：</w:t>
      </w:r>
      <w:r>
        <w:rPr>
          <w:rFonts w:hint="eastAsia" w:ascii="宋体" w:hAnsi="宋体"/>
          <w:color w:val="ff0000"/>
          <w:sz w:val="24"/>
          <w:szCs w:val="24"/>
        </w:rPr>
        <w:t xml:space="preserve">自交货验收完毕之日</w:t>
      </w:r>
      <w:r>
        <w:rPr>
          <w:rFonts w:hint="eastAsia" w:ascii="宋体" w:hAnsi="宋体"/>
          <w:color w:val="ff0000"/>
          <w:sz w:val="24"/>
          <w:szCs w:val="24"/>
          <w:lang w:val="en-US" w:eastAsia="zh-CN"/>
        </w:rPr>
        <w:t xml:space="preserve">起提供的免费维保期。</w:t>
      </w:r>
      <w:r/>
    </w:p>
    <w:p>
      <w:pPr>
        <w:numPr>
          <w:ilvl w:val="0"/>
          <w:numId w:val="8"/>
        </w:numPr>
        <w:ind w:firstLine="480"/>
        <w:spacing w:line="520" w:lineRule="exact"/>
        <w:rPr>
          <w:rFonts w:hint="eastAsia" w:ascii="宋体" w:hAnsi="宋体"/>
          <w:i w:val="0"/>
          <w:iCs w:val="0"/>
          <w:sz w:val="24"/>
          <w:szCs w:val="24"/>
          <w:u w:val="none"/>
        </w:rPr>
      </w:pPr>
      <w:r>
        <w:rPr>
          <w:rFonts w:hint="eastAsia" w:ascii="宋体" w:hAnsi="宋体"/>
          <w:sz w:val="24"/>
          <w:szCs w:val="24"/>
          <w:lang w:val="en-US" w:eastAsia="zh-CN"/>
        </w:rPr>
        <w:t xml:space="preserve">免费维保期后的维保费用：</w:t>
      </w:r>
      <w:r>
        <w:rPr>
          <w:rFonts w:hint="eastAsia" w:ascii="宋体" w:hAnsi="宋体"/>
          <w:i w:val="0"/>
          <w:iCs w:val="0"/>
          <w:sz w:val="24"/>
          <w:szCs w:val="24"/>
          <w:u w:val="none"/>
        </w:rPr>
        <w:t xml:space="preserve">免费维护期届满后，年度维保服务费</w:t>
      </w:r>
      <w:r>
        <w:rPr>
          <w:rFonts w:hint="eastAsia" w:ascii="宋体" w:hAnsi="宋体"/>
          <w:i w:val="0"/>
          <w:iCs w:val="0"/>
          <w:sz w:val="24"/>
          <w:szCs w:val="24"/>
          <w:u w:val="none"/>
          <w:lang w:val="en-US" w:eastAsia="zh-CN"/>
        </w:rPr>
        <w:t xml:space="preserve">占本项目</w:t>
      </w:r>
      <w:r>
        <w:rPr>
          <w:rFonts w:hint="eastAsia" w:ascii="宋体" w:hAnsi="宋体"/>
          <w:i w:val="0"/>
          <w:iCs w:val="0"/>
          <w:sz w:val="24"/>
          <w:szCs w:val="24"/>
          <w:u w:val="none"/>
        </w:rPr>
        <w:t xml:space="preserve">中标金额的</w:t>
      </w:r>
      <w:r>
        <w:rPr>
          <w:rFonts w:hint="eastAsia" w:ascii="宋体" w:hAnsi="宋体"/>
          <w:i w:val="0"/>
          <w:iCs w:val="0"/>
          <w:sz w:val="24"/>
          <w:szCs w:val="24"/>
          <w:u w:val="none"/>
          <w:lang w:val="en-US" w:eastAsia="zh-CN"/>
        </w:rPr>
        <w:t xml:space="preserve">百分比。</w:t>
      </w:r>
      <w:r/>
    </w:p>
    <w:p>
      <w:pPr>
        <w:numPr>
          <w:ilvl w:val="0"/>
          <w:numId w:val="8"/>
        </w:numPr>
        <w:ind w:firstLine="480"/>
        <w:spacing w:line="520" w:lineRule="exact"/>
        <w:rPr>
          <w:rFonts w:hint="eastAsia" w:ascii="宋体" w:hAnsi="宋体"/>
          <w:sz w:val="24"/>
          <w:szCs w:val="24"/>
        </w:rPr>
      </w:pPr>
      <w:r>
        <w:rPr>
          <w:rFonts w:hint="eastAsia" w:ascii="宋体" w:hAnsi="宋体"/>
          <w:sz w:val="24"/>
          <w:szCs w:val="24"/>
        </w:rPr>
        <w:t xml:space="preserve">售后要求：投标供应商须承诺，7*24小时立即响应，2小时内到现场，4小时内解决。</w:t>
      </w:r>
      <w:r/>
    </w:p>
    <w:p>
      <w:pPr>
        <w:numPr>
          <w:ilvl w:val="0"/>
          <w:numId w:val="8"/>
        </w:numPr>
        <w:ind w:firstLine="480"/>
        <w:spacing w:line="520" w:lineRule="exact"/>
        <w:rPr>
          <w:rFonts w:hint="eastAsia" w:ascii="宋体" w:hAnsi="宋体"/>
          <w:sz w:val="24"/>
          <w:szCs w:val="24"/>
        </w:rPr>
      </w:pPr>
      <w:r>
        <w:rPr>
          <w:rFonts w:hint="eastAsia" w:ascii="宋体" w:hAnsi="宋体"/>
          <w:sz w:val="24"/>
          <w:szCs w:val="24"/>
        </w:rPr>
        <w:t xml:space="preserve">售后内容：投标供应商须承诺提供该产品的技术培训、技术支持和维修巡检服务，并在投标文件中提供相应书面方案。</w:t>
      </w:r>
      <w:r/>
    </w:p>
    <w:p>
      <w:pPr>
        <w:numPr>
          <w:ilvl w:val="0"/>
          <w:numId w:val="9"/>
        </w:numPr>
        <w:ind w:left="0" w:firstLine="0"/>
        <w:spacing w:line="520" w:lineRule="exact"/>
        <w:rPr>
          <w:rFonts w:hint="eastAsia" w:ascii="宋体" w:hAnsi="宋体"/>
          <w:b/>
          <w:color w:val="auto"/>
          <w:sz w:val="24"/>
          <w:szCs w:val="24"/>
          <w:lang w:val="en-US" w:eastAsia="zh-CN"/>
        </w:rPr>
        <w:outlineLvl w:val="1"/>
      </w:pPr>
      <w:r>
        <w:rPr>
          <w:rFonts w:hint="eastAsia" w:ascii="宋体" w:hAnsi="宋体"/>
          <w:b/>
          <w:color w:val="auto"/>
          <w:sz w:val="24"/>
          <w:szCs w:val="24"/>
          <w:lang w:val="en-US" w:eastAsia="zh-CN"/>
        </w:rPr>
        <w:t xml:space="preserve">演示要求</w:t>
      </w:r>
      <w:r/>
    </w:p>
    <w:p>
      <w:pPr>
        <w:ind w:firstLine="480"/>
        <w:spacing w:line="520" w:lineRule="exact"/>
        <w:rPr>
          <w:rFonts w:hint="eastAsia" w:ascii="宋体" w:hAnsi="宋体"/>
          <w:color w:val="auto"/>
          <w:sz w:val="24"/>
          <w:szCs w:val="24"/>
          <w:lang w:val="en-US" w:eastAsia="zh-CN"/>
        </w:rPr>
      </w:pPr>
      <w:r>
        <w:rPr>
          <w:rFonts w:hint="eastAsia" w:ascii="宋体" w:hAnsi="宋体"/>
          <w:b/>
          <w:bCs/>
          <w:color w:val="auto"/>
          <w:sz w:val="24"/>
          <w:szCs w:val="24"/>
          <w:lang w:val="en-US" w:eastAsia="zh-CN"/>
        </w:rPr>
        <w:t xml:space="preserve">（一）演示方式：上传视频演示</w:t>
      </w:r>
      <w:r/>
    </w:p>
    <w:p>
      <w:pPr>
        <w:ind w:firstLine="480"/>
        <w:spacing w:line="520" w:lineRule="exact"/>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10分钟。使用真实系统或系统原型演示的最高可得满分，使用ppt、动画等其他形式演示的得分乘以0.5。</w:t>
      </w:r>
      <w:r/>
    </w:p>
    <w:p>
      <w:pPr>
        <w:ind w:firstLine="480"/>
        <w:spacing w:line="520" w:lineRule="exact"/>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（二）</w:t>
      </w:r>
      <w:r>
        <w:rPr>
          <w:rFonts w:hint="eastAsia" w:ascii="宋体" w:hAnsi="宋体"/>
          <w:b/>
          <w:bCs/>
          <w:color w:val="auto"/>
          <w:sz w:val="24"/>
          <w:szCs w:val="24"/>
          <w:lang w:val="en-US" w:eastAsia="zh-CN"/>
        </w:rPr>
        <w:t xml:space="preserve">演示内容如下：</w:t>
      </w:r>
      <w:r/>
    </w:p>
    <w:p>
      <w:pPr>
        <w:ind w:firstLine="480"/>
        <w:spacing w:line="520" w:lineRule="exact"/>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1.评估结果查看：显示患者的各癌种的评估结果，当评估患者某癌种高风险时，显示该癌种命中的风险因素、预防措施、早期症状、科普知识、就医指南、推荐筛查项目；当评估患者某癌低风险时，显示该癌种的风险因素；当评估后仍无法评估时，支持再次评估。</w:t>
      </w:r>
      <w:r/>
    </w:p>
    <w:p>
      <w:pPr>
        <w:ind w:firstLine="480"/>
        <w:spacing w:line="520" w:lineRule="exact"/>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2.信息问询：在患者进行癌症智能评估时，支持当患者的一诉五史中信息模糊、不完整，或者医生的书写习惯导致信息缺失，无法完成完整的评估流程时，自动触发信息问询，提醒医生问询患者补充相关病史信息；医生补充后，将重新计算癌种风险。</w:t>
      </w:r>
      <w:r/>
    </w:p>
    <w:p>
      <w:pPr>
        <w:ind w:firstLine="480"/>
        <w:spacing w:line="520" w:lineRule="exact"/>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3.患者360：展示患者评估和筛查的时序图、风险因素推理过程、阳性判断推理过程及原始内容的溯源。</w:t>
      </w:r>
      <w:r/>
    </w:p>
    <w:p>
      <w:pPr>
        <w:ind w:firstLine="480"/>
        <w:spacing w:line="520" w:lineRule="exact"/>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4.核心指标统计分析：支持核心指标的统计，支持按照整体和各癌种做洞察决策分析。</w:t>
      </w:r>
      <w:r/>
    </w:p>
    <w:p>
      <w:pPr>
        <w:ind w:firstLine="480"/>
        <w:spacing w:line="520" w:lineRule="exact"/>
        <w:rPr>
          <w:rFonts w:hint="default" w:ascii="宋体" w:hAnsi="宋体"/>
          <w:b/>
          <w:color w:val="auto"/>
          <w:sz w:val="24"/>
          <w:szCs w:val="24"/>
          <w:lang w:val="en-US" w:eastAsia="zh-CN"/>
        </w:rPr>
      </w:pPr>
      <w:r>
        <w:rPr>
          <w:rFonts w:hint="eastAsia" w:ascii="宋体" w:hAnsi="宋体"/>
          <w:color w:val="auto"/>
          <w:sz w:val="24"/>
          <w:szCs w:val="24"/>
          <w:lang w:val="en-US" w:eastAsia="zh-CN"/>
        </w:rPr>
        <w:t xml:space="preserve">5.报告结果推理：维护推理筛查报告的各项阳性条件和推理过程维护。</w:t>
      </w:r>
      <w:r/>
    </w:p>
    <w:p>
      <w:pPr>
        <w:spacing w:line="520" w:lineRule="exact"/>
        <w:rPr>
          <w:rFonts w:hint="eastAsia" w:ascii="宋体" w:hAnsi="宋体"/>
          <w:b/>
          <w:sz w:val="24"/>
          <w:szCs w:val="24"/>
        </w:rPr>
        <w:outlineLvl w:val="1"/>
      </w:pPr>
      <w:r>
        <w:rPr>
          <w:rFonts w:hint="eastAsia" w:ascii="宋体" w:hAnsi="宋体"/>
          <w:b/>
          <w:sz w:val="24"/>
          <w:szCs w:val="24"/>
          <w:lang w:val="en-US" w:eastAsia="zh-CN"/>
        </w:rPr>
        <w:t xml:space="preserve">五</w:t>
      </w:r>
      <w:r>
        <w:rPr>
          <w:rFonts w:hint="eastAsia" w:ascii="宋体" w:hAnsi="宋体"/>
          <w:b/>
          <w:sz w:val="24"/>
          <w:szCs w:val="24"/>
        </w:rPr>
        <w:t xml:space="preserve">、商务要求</w:t>
      </w:r>
      <w:r/>
    </w:p>
    <w:p>
      <w:pPr>
        <w:spacing w:line="520" w:lineRule="exact"/>
        <w:rPr>
          <w:rFonts w:hint="eastAsia" w:ascii="宋体" w:hAnsi="宋体"/>
          <w:b/>
          <w:bCs/>
          <w:color w:val="000000"/>
          <w:sz w:val="32"/>
          <w:szCs w:val="32"/>
          <w:u w:val="single"/>
        </w:rPr>
      </w:pPr>
      <w:r>
        <w:rPr>
          <w:rFonts w:hint="eastAsia" w:ascii="宋体" w:hAnsi="宋体"/>
          <w:b/>
          <w:bCs/>
          <w:i/>
          <w:color w:val="000000"/>
          <w:sz w:val="32"/>
          <w:szCs w:val="32"/>
          <w:u w:val="single"/>
        </w:rPr>
        <w:t xml:space="preserve">斜体且有下划线部分</w:t>
      </w:r>
      <w:r>
        <w:rPr>
          <w:rFonts w:hint="eastAsia" w:ascii="宋体" w:hAnsi="宋体"/>
          <w:b/>
          <w:bCs/>
          <w:color w:val="000000"/>
          <w:sz w:val="32"/>
          <w:szCs w:val="32"/>
          <w:u w:val="single"/>
        </w:rPr>
        <w:t xml:space="preserve">为实质性要求</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如不满足</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不能通过符合性审查</w:t>
      </w:r>
      <w:r>
        <w:rPr>
          <w:rFonts w:hint="eastAsia" w:ascii="宋体" w:hAnsi="宋体"/>
          <w:b/>
          <w:i/>
          <w:color w:val="000000"/>
          <w:sz w:val="32"/>
          <w:szCs w:val="32"/>
          <w:u w:val="single"/>
        </w:rPr>
        <w:t xml:space="preserve">。</w:t>
      </w:r>
      <w:r/>
    </w:p>
    <w:p>
      <w:pPr>
        <w:spacing w:line="520" w:lineRule="exact"/>
        <w:rPr>
          <w:rFonts w:hint="eastAsia" w:ascii="宋体" w:hAnsi="宋体"/>
          <w:color w:val="000000"/>
          <w:sz w:val="24"/>
          <w:szCs w:val="24"/>
        </w:rPr>
      </w:pPr>
      <w:r>
        <w:rPr>
          <w:rFonts w:hint="eastAsia" w:ascii="宋体" w:hAnsi="宋体"/>
          <w:color w:val="000000"/>
          <w:sz w:val="24"/>
          <w:szCs w:val="24"/>
        </w:rPr>
        <w:t xml:space="preserve">项目属性:服务类项目。</w:t>
      </w:r>
      <w:r/>
    </w:p>
    <w:p>
      <w:pPr>
        <w:spacing w:line="520" w:lineRule="exact"/>
        <w:rPr>
          <w:rFonts w:hint="eastAsia" w:ascii="宋体" w:hAnsi="宋体"/>
          <w:sz w:val="24"/>
          <w:szCs w:val="24"/>
        </w:rPr>
      </w:pP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p>
    <w:tbl>
      <w:tblPr>
        <w:tblStyle w:val="88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textDirection w:val="lrTb"/>
            <w:noWrap w:val="false"/>
          </w:tcPr>
          <w:p>
            <w:pPr>
              <w:jc w:val="center"/>
              <w:spacing w:line="520" w:lineRule="exact"/>
              <w:rPr>
                <w:rFonts w:hint="eastAsia" w:ascii="宋体" w:hAnsi="宋体"/>
              </w:rPr>
            </w:pPr>
            <w:r>
              <w:rPr>
                <w:rFonts w:hint="eastAsia" w:ascii="宋体" w:hAnsi="宋体"/>
              </w:rPr>
              <w:t xml:space="preserve">采购包号</w:t>
            </w:r>
            <w:r/>
          </w:p>
        </w:tc>
        <w:tc>
          <w:tcPr>
            <w:tcW w:w="3094" w:type="dxa"/>
            <w:textDirection w:val="lrTb"/>
            <w:noWrap w:val="false"/>
          </w:tcPr>
          <w:p>
            <w:pPr>
              <w:jc w:val="center"/>
              <w:spacing w:line="520" w:lineRule="exact"/>
              <w:rPr>
                <w:rFonts w:hint="eastAsia" w:ascii="宋体" w:hAnsi="宋体"/>
              </w:rPr>
            </w:pPr>
            <w:r>
              <w:rPr>
                <w:rFonts w:hint="eastAsia" w:ascii="宋体" w:hAnsi="宋体"/>
              </w:rPr>
              <w:t xml:space="preserve">是否接受</w:t>
            </w:r>
            <w:r>
              <w:rPr>
                <w:rFonts w:ascii="宋体" w:hAnsi="宋体"/>
              </w:rPr>
              <w:t xml:space="preserve">进口产品投标</w:t>
            </w:r>
            <w:r>
              <w:rPr>
                <w:rFonts w:hint="eastAsia" w:ascii="宋体" w:hAnsi="宋体"/>
              </w:rPr>
              <w:t xml:space="preserve">（是/否）</w:t>
            </w:r>
            <w:r/>
          </w:p>
        </w:tc>
      </w:tr>
      <w:tr>
        <w:trPr/>
        <w:tc>
          <w:tcPr>
            <w:tcW w:w="1148" w:type="dxa"/>
            <w:textDirection w:val="lrTb"/>
            <w:noWrap w:val="false"/>
          </w:tcPr>
          <w:p>
            <w:pPr>
              <w:jc w:val="center"/>
              <w:spacing w:line="520" w:lineRule="exact"/>
              <w:rPr>
                <w:rFonts w:hint="eastAsia" w:ascii="宋体" w:hAnsi="宋体"/>
              </w:rPr>
            </w:pPr>
            <w:r>
              <w:rPr>
                <w:rFonts w:hint="eastAsia" w:ascii="宋体" w:hAnsi="宋体"/>
              </w:rPr>
              <w:t xml:space="preserve">1</w:t>
            </w:r>
            <w:r/>
          </w:p>
        </w:tc>
        <w:tc>
          <w:tcPr>
            <w:tcW w:w="3094" w:type="dxa"/>
            <w:textDirection w:val="lrTb"/>
            <w:noWrap w:val="false"/>
          </w:tcPr>
          <w:p>
            <w:pPr>
              <w:jc w:val="center"/>
              <w:spacing w:line="520" w:lineRule="exact"/>
              <w:rPr>
                <w:rFonts w:hint="eastAsia" w:ascii="宋体" w:hAnsi="宋体"/>
              </w:rPr>
            </w:pPr>
            <w:r>
              <w:rPr>
                <w:rFonts w:hint="eastAsia" w:ascii="宋体" w:hAnsi="宋体"/>
              </w:rPr>
              <w:t xml:space="preserve">否</w:t>
            </w:r>
            <w:r/>
          </w:p>
        </w:tc>
      </w:tr>
    </w:tbl>
    <w:p>
      <w:pPr>
        <w:spacing w:line="520" w:lineRule="exact"/>
        <w:rPr>
          <w:rFonts w:hint="eastAsia" w:ascii="宋体" w:hAnsi="宋体"/>
          <w:b/>
          <w:bCs/>
          <w:color w:val="000000"/>
          <w:sz w:val="24"/>
          <w:szCs w:val="24"/>
        </w:rPr>
      </w:pPr>
      <w:r>
        <w:rPr>
          <w:rFonts w:hint="eastAsia" w:ascii="宋体" w:hAnsi="宋体"/>
          <w:b/>
          <w:bCs/>
          <w:color w:val="000000"/>
          <w:sz w:val="24"/>
          <w:szCs w:val="24"/>
        </w:rPr>
        <w:t xml:space="preserve">（一）项目人员要求</w:t>
      </w:r>
      <w:r/>
    </w:p>
    <w:p>
      <w:pPr>
        <w:ind w:firstLine="480"/>
        <w:spacing w:line="520" w:lineRule="exact"/>
        <w:rPr>
          <w:rFonts w:hint="eastAsia" w:ascii="宋体" w:hAnsi="宋体"/>
          <w:sz w:val="24"/>
          <w:szCs w:val="24"/>
        </w:rPr>
      </w:pPr>
      <w:r>
        <w:rPr>
          <w:rFonts w:hint="eastAsia" w:ascii="宋体" w:hAnsi="宋体"/>
          <w:sz w:val="24"/>
          <w:szCs w:val="24"/>
        </w:rPr>
        <w:t xml:space="preserve">中标人应成立针对本项目的项目工作组：</w:t>
      </w:r>
      <w:r/>
    </w:p>
    <w:p>
      <w:pPr>
        <w:numPr>
          <w:ilvl w:val="0"/>
          <w:numId w:val="0"/>
        </w:numPr>
        <w:ind w:firstLine="480"/>
        <w:spacing w:line="520" w:lineRule="exact"/>
        <w:rPr>
          <w:rFonts w:hint="eastAsia" w:ascii="宋体" w:hAnsi="宋体"/>
          <w:sz w:val="24"/>
          <w:szCs w:val="24"/>
        </w:rPr>
      </w:pPr>
      <w:r>
        <w:rPr>
          <w:rFonts w:hint="eastAsia" w:ascii="宋体" w:hAnsi="宋体" w:eastAsia="宋体" w:cs="Times New Roman"/>
          <w:b/>
          <w:bCs/>
          <w:sz w:val="24"/>
          <w:szCs w:val="24"/>
          <w:lang w:val="en-US" w:eastAsia="zh-CN" w:bidi="ar-SA"/>
        </w:rPr>
        <w:t xml:space="preserve">1、</w:t>
      </w:r>
      <w:r>
        <w:rPr>
          <w:rFonts w:hint="eastAsia" w:ascii="宋体" w:hAnsi="宋体"/>
          <w:b/>
          <w:bCs/>
          <w:sz w:val="24"/>
          <w:szCs w:val="24"/>
        </w:rPr>
        <w:t xml:space="preserve">项目配备项目经理一名</w:t>
      </w:r>
      <w:r>
        <w:rPr>
          <w:rFonts w:hint="eastAsia" w:ascii="宋体" w:hAnsi="宋体"/>
          <w:sz w:val="24"/>
          <w:szCs w:val="24"/>
        </w:rPr>
        <w:t xml:space="preserve">：需要项目经理具备信息系统项目管理师证书（中级或以上的），并具有</w:t>
      </w:r>
      <w:r>
        <w:rPr>
          <w:rFonts w:hint="eastAsia" w:ascii="宋体" w:hAnsi="宋体" w:cs="宋体"/>
          <w:sz w:val="24"/>
          <w:szCs w:val="24"/>
          <w:lang w:val="en-US" w:eastAsia="zh-CN"/>
        </w:rPr>
        <w:t xml:space="preserve">相关</w:t>
      </w:r>
      <w:r>
        <w:rPr>
          <w:rFonts w:hint="eastAsia" w:ascii="宋体" w:hAnsi="宋体" w:cs="宋体"/>
          <w:sz w:val="24"/>
          <w:szCs w:val="24"/>
        </w:rPr>
        <w:t xml:space="preserve">系统</w:t>
      </w:r>
      <w:r>
        <w:rPr>
          <w:rFonts w:hint="eastAsia" w:ascii="宋体" w:hAnsi="宋体"/>
          <w:sz w:val="24"/>
          <w:szCs w:val="24"/>
        </w:rPr>
        <w:t xml:space="preserve">建设经验的。</w:t>
      </w:r>
      <w:r/>
    </w:p>
    <w:p>
      <w:pPr>
        <w:numPr>
          <w:ilvl w:val="0"/>
          <w:numId w:val="0"/>
        </w:numPr>
        <w:ind w:firstLine="480"/>
        <w:spacing w:line="520" w:lineRule="exact"/>
        <w:rPr>
          <w:rFonts w:hint="eastAsia" w:ascii="宋体" w:hAnsi="宋体"/>
          <w:sz w:val="24"/>
          <w:szCs w:val="24"/>
        </w:rPr>
      </w:pPr>
      <w:r>
        <w:rPr>
          <w:rFonts w:hint="eastAsia" w:ascii="宋体" w:hAnsi="宋体" w:eastAsia="宋体" w:cs="Times New Roman"/>
          <w:b/>
          <w:bCs/>
          <w:sz w:val="24"/>
          <w:szCs w:val="24"/>
          <w:lang w:val="en-US" w:eastAsia="zh-CN" w:bidi="ar-SA"/>
        </w:rPr>
        <w:t xml:space="preserve">2、</w:t>
      </w:r>
      <w:r>
        <w:rPr>
          <w:rFonts w:hint="eastAsia" w:ascii="宋体" w:hAnsi="宋体"/>
          <w:b/>
          <w:bCs/>
          <w:sz w:val="24"/>
          <w:szCs w:val="24"/>
        </w:rPr>
        <w:t xml:space="preserve">项目配备项目实施工程师三名</w:t>
      </w:r>
      <w:r>
        <w:rPr>
          <w:rFonts w:hint="eastAsia" w:ascii="宋体" w:hAnsi="宋体"/>
          <w:sz w:val="24"/>
          <w:szCs w:val="24"/>
        </w:rPr>
        <w:t xml:space="preserve">：需要具备软件设计师（中级或以上的）、软件技术开发工程师或软件工程师证书、</w:t>
      </w:r>
      <w:r>
        <w:rPr>
          <w:rFonts w:hint="eastAsia" w:ascii="宋体" w:hAnsi="宋体"/>
          <w:sz w:val="24"/>
          <w:szCs w:val="24"/>
        </w:rPr>
        <w:t xml:space="preserve">具备医学、药学硕士及以上学历或具备执业证书或其他卫生专业技术资格证书。</w:t>
      </w:r>
      <w:r>
        <w:rPr>
          <w:rFonts w:hint="eastAsia" w:ascii="宋体" w:hAnsi="宋体"/>
          <w:sz w:val="24"/>
          <w:szCs w:val="24"/>
        </w:rPr>
      </w:r>
      <w:r/>
    </w:p>
    <w:p>
      <w:pPr>
        <w:spacing w:line="520" w:lineRule="exact"/>
        <w:rPr>
          <w:rFonts w:hint="eastAsia" w:ascii="宋体" w:hAnsi="宋体"/>
          <w:b/>
          <w:bCs/>
          <w:color w:val="000000"/>
          <w:sz w:val="24"/>
          <w:szCs w:val="24"/>
        </w:rPr>
      </w:pPr>
      <w:r>
        <w:rPr>
          <w:rFonts w:hint="eastAsia" w:ascii="宋体" w:hAnsi="宋体"/>
          <w:b/>
          <w:bCs/>
          <w:color w:val="000000"/>
          <w:sz w:val="24"/>
          <w:szCs w:val="24"/>
        </w:rPr>
        <w:t xml:space="preserve">（二）公司实力</w:t>
      </w:r>
      <w:r/>
    </w:p>
    <w:p>
      <w:pPr>
        <w:numPr>
          <w:ilvl w:val="0"/>
          <w:numId w:val="0"/>
        </w:numPr>
        <w:ind w:firstLine="480"/>
        <w:spacing w:line="520" w:lineRule="exact"/>
        <w:rPr>
          <w:rFonts w:hint="eastAsia" w:ascii="宋体" w:hAnsi="宋体"/>
          <w:b/>
          <w:bCs/>
          <w:sz w:val="24"/>
          <w:szCs w:val="24"/>
        </w:rPr>
      </w:pPr>
      <w:r>
        <w:rPr>
          <w:rFonts w:hint="eastAsia" w:ascii="宋体" w:hAnsi="宋体" w:eastAsia="宋体" w:cs="Times New Roman"/>
          <w:b/>
          <w:bCs/>
          <w:sz w:val="24"/>
          <w:szCs w:val="24"/>
          <w:lang w:val="en-US" w:eastAsia="zh-CN" w:bidi="ar-SA"/>
        </w:rPr>
        <w:t xml:space="preserve">1、</w:t>
      </w:r>
      <w:r>
        <w:rPr>
          <w:rFonts w:hint="eastAsia" w:ascii="宋体" w:hAnsi="宋体"/>
          <w:b/>
          <w:bCs/>
          <w:sz w:val="24"/>
          <w:szCs w:val="24"/>
        </w:rPr>
        <w:t xml:space="preserve">企业资质</w:t>
      </w:r>
      <w:r/>
    </w:p>
    <w:p>
      <w:pPr>
        <w:ind w:firstLine="480"/>
        <w:spacing w:line="520" w:lineRule="exact"/>
        <w:rPr>
          <w:rFonts w:hint="eastAsia" w:ascii="宋体" w:hAnsi="宋体"/>
          <w:sz w:val="24"/>
          <w:szCs w:val="24"/>
        </w:rPr>
      </w:pPr>
      <w:r>
        <w:rPr>
          <w:rFonts w:hint="eastAsia" w:ascii="宋体" w:hAnsi="宋体"/>
          <w:sz w:val="24"/>
          <w:szCs w:val="24"/>
        </w:rPr>
        <w:t xml:space="preserve">投标人需具</w:t>
      </w:r>
      <w:r>
        <w:rPr>
          <w:rFonts w:hint="eastAsia" w:ascii="宋体" w:hAnsi="宋体"/>
          <w:color w:val="000000"/>
          <w:sz w:val="24"/>
          <w:szCs w:val="24"/>
        </w:rPr>
        <w:t xml:space="preserve">有</w:t>
      </w:r>
      <w:r>
        <w:rPr>
          <w:rFonts w:hint="eastAsia" w:ascii="宋体" w:hAnsi="宋体" w:cs="宋体"/>
          <w:color w:val="000000"/>
          <w:sz w:val="24"/>
          <w:szCs w:val="24"/>
        </w:rPr>
        <w:t xml:space="preserve">国家认监委认可的机构颁发的有效期内的</w:t>
      </w:r>
      <w:r>
        <w:rPr>
          <w:rFonts w:hint="eastAsia" w:ascii="宋体" w:hAnsi="宋体"/>
          <w:color w:val="000000"/>
          <w:sz w:val="24"/>
          <w:szCs w:val="24"/>
        </w:rPr>
        <w:t xml:space="preserve">ISO900</w:t>
      </w:r>
      <w:r>
        <w:rPr>
          <w:rFonts w:hint="eastAsia" w:ascii="宋体" w:hAnsi="宋体"/>
          <w:sz w:val="24"/>
          <w:szCs w:val="24"/>
        </w:rPr>
        <w:t xml:space="preserve">1质量管理体系认证、ISO20000信息技术服务管理体系认证、ISO27001信息安全管理体系认证。</w:t>
      </w:r>
      <w:r/>
    </w:p>
    <w:p>
      <w:pPr>
        <w:numPr>
          <w:ilvl w:val="0"/>
          <w:numId w:val="0"/>
        </w:numPr>
        <w:ind w:firstLine="480"/>
        <w:spacing w:line="520" w:lineRule="exact"/>
        <w:rPr>
          <w:rFonts w:hint="eastAsia" w:ascii="宋体" w:hAnsi="宋体"/>
          <w:b/>
          <w:bCs/>
          <w:sz w:val="24"/>
          <w:szCs w:val="24"/>
        </w:rPr>
      </w:pPr>
      <w:r>
        <w:rPr>
          <w:rFonts w:hint="eastAsia" w:ascii="宋体" w:hAnsi="宋体" w:eastAsia="宋体" w:cs="Times New Roman"/>
          <w:b/>
          <w:bCs/>
          <w:sz w:val="24"/>
          <w:szCs w:val="24"/>
          <w:lang w:val="en-US" w:eastAsia="zh-CN" w:bidi="ar-SA"/>
        </w:rPr>
        <w:t xml:space="preserve">2、</w:t>
      </w:r>
      <w:r>
        <w:rPr>
          <w:rFonts w:hint="eastAsia" w:ascii="宋体" w:hAnsi="宋体"/>
          <w:b/>
          <w:bCs/>
          <w:sz w:val="24"/>
          <w:szCs w:val="24"/>
        </w:rPr>
        <w:t xml:space="preserve">相关业绩要求</w:t>
      </w:r>
      <w:r/>
    </w:p>
    <w:p>
      <w:pPr>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供应商提供自2023年1月1日（含）以来同类业绩案例合同。</w:t>
      </w:r>
      <w:r/>
    </w:p>
    <w:p>
      <w:pPr>
        <w:numPr>
          <w:ilvl w:val="0"/>
          <w:numId w:val="0"/>
        </w:numPr>
        <w:ind w:firstLine="480"/>
        <w:spacing w:line="520" w:lineRule="exact"/>
        <w:rPr>
          <w:rFonts w:hint="eastAsia" w:ascii="宋体" w:hAnsi="宋体"/>
          <w:b/>
          <w:bCs/>
          <w:color w:val="000000"/>
          <w:sz w:val="24"/>
          <w:szCs w:val="24"/>
        </w:rPr>
      </w:pPr>
      <w:r>
        <w:rPr>
          <w:rFonts w:hint="eastAsia" w:ascii="宋体" w:hAnsi="宋体" w:eastAsia="宋体" w:cs="Times New Roman"/>
          <w:b/>
          <w:bCs/>
          <w:color w:val="000000"/>
          <w:sz w:val="24"/>
          <w:szCs w:val="24"/>
          <w:lang w:val="en-US" w:eastAsia="zh-CN" w:bidi="ar-SA"/>
        </w:rPr>
        <w:t xml:space="preserve">3、</w:t>
      </w:r>
      <w:r>
        <w:rPr>
          <w:rFonts w:hint="eastAsia" w:ascii="宋体" w:hAnsi="宋体"/>
          <w:b/>
          <w:bCs/>
          <w:color w:val="000000"/>
          <w:sz w:val="24"/>
          <w:szCs w:val="24"/>
        </w:rPr>
        <w:t xml:space="preserve">企业能力</w:t>
      </w:r>
      <w:r/>
    </w:p>
    <w:p>
      <w:pPr>
        <w:ind w:firstLine="480"/>
        <w:spacing w:line="520" w:lineRule="exact"/>
        <w:rPr>
          <w:rFonts w:hint="eastAsia" w:ascii="宋体" w:hAnsi="宋体"/>
          <w:sz w:val="24"/>
          <w:szCs w:val="24"/>
        </w:rPr>
      </w:pPr>
      <w:r>
        <w:rPr>
          <w:rFonts w:hint="eastAsia" w:ascii="宋体" w:hAnsi="宋体"/>
          <w:sz w:val="24"/>
          <w:szCs w:val="24"/>
        </w:rPr>
        <w:t xml:space="preserve">投标人具有</w:t>
      </w:r>
      <w:r>
        <w:rPr>
          <w:rFonts w:hint="eastAsia" w:ascii="宋体" w:hAnsi="宋体"/>
          <w:color w:val="000000"/>
          <w:sz w:val="24"/>
          <w:szCs w:val="24"/>
        </w:rPr>
        <w:t xml:space="preserve">数据分析治理、机会性筛查</w:t>
      </w:r>
      <w:r>
        <w:rPr>
          <w:rFonts w:hint="eastAsia" w:ascii="宋体" w:hAnsi="宋体"/>
          <w:color w:val="000000"/>
          <w:sz w:val="24"/>
          <w:szCs w:val="24"/>
          <w:lang w:eastAsia="zh-CN"/>
        </w:rPr>
        <w:t xml:space="preserve">、</w:t>
      </w:r>
      <w:r>
        <w:rPr>
          <w:rFonts w:hint="eastAsia" w:ascii="宋体" w:hAnsi="宋体"/>
          <w:color w:val="auto"/>
          <w:sz w:val="24"/>
          <w:szCs w:val="24"/>
          <w:lang w:eastAsia="zh-CN"/>
        </w:rPr>
        <w:t xml:space="preserve">数据上报</w:t>
      </w:r>
      <w:r>
        <w:rPr>
          <w:rFonts w:hint="eastAsia" w:ascii="宋体" w:hAnsi="宋体"/>
          <w:color w:val="auto"/>
          <w:sz w:val="24"/>
          <w:szCs w:val="24"/>
          <w:lang w:val="en-US" w:eastAsia="zh-CN"/>
        </w:rPr>
        <w:t xml:space="preserve">等</w:t>
      </w:r>
      <w:r>
        <w:rPr>
          <w:rFonts w:hint="eastAsia" w:ascii="宋体" w:hAnsi="宋体"/>
          <w:color w:val="auto"/>
          <w:sz w:val="24"/>
          <w:szCs w:val="24"/>
        </w:rPr>
        <w:t xml:space="preserve">相</w:t>
      </w:r>
      <w:r>
        <w:rPr>
          <w:rFonts w:hint="eastAsia" w:ascii="宋体" w:hAnsi="宋体"/>
          <w:sz w:val="24"/>
          <w:szCs w:val="24"/>
        </w:rPr>
        <w:t xml:space="preserve">关软件著作权证书。</w:t>
      </w:r>
      <w:r/>
    </w:p>
    <w:p>
      <w:pPr>
        <w:spacing w:line="520" w:lineRule="exact"/>
        <w:rPr>
          <w:rFonts w:hint="eastAsia" w:ascii="宋体" w:hAnsi="宋体"/>
          <w:b/>
          <w:bCs/>
          <w:sz w:val="24"/>
          <w:szCs w:val="24"/>
        </w:rPr>
      </w:pPr>
      <w:r>
        <w:rPr>
          <w:rFonts w:hint="eastAsia" w:ascii="宋体" w:hAnsi="宋体"/>
          <w:b/>
          <w:bCs/>
          <w:sz w:val="24"/>
          <w:szCs w:val="24"/>
        </w:rPr>
        <w:t xml:space="preserve">（三）付款方式</w:t>
      </w:r>
      <w:r/>
    </w:p>
    <w:p>
      <w:pPr>
        <w:ind w:firstLine="480"/>
        <w:spacing w:line="520" w:lineRule="exact"/>
        <w:rPr>
          <w:rFonts w:hint="eastAsia" w:ascii="宋体" w:hAnsi="宋体"/>
          <w:sz w:val="24"/>
          <w:szCs w:val="24"/>
        </w:rPr>
      </w:pPr>
      <w:r>
        <w:rPr>
          <w:rFonts w:hint="eastAsia" w:ascii="宋体" w:hAnsi="宋体"/>
          <w:sz w:val="24"/>
          <w:szCs w:val="24"/>
        </w:rPr>
        <w:t xml:space="preserve">合同生效且收到合格发票后支付合同总金额的30%，验收合格且收到发票后支付合同总金额的60%，验收合格半年后且收到发票后支付剩余10%合同款项。</w:t>
      </w:r>
      <w:r/>
    </w:p>
    <w:p>
      <w:pPr>
        <w:spacing w:line="520" w:lineRule="exact"/>
        <w:rPr>
          <w:rFonts w:hint="default" w:ascii="宋体" w:hAnsi="宋体" w:eastAsia="宋体"/>
          <w:b/>
          <w:bCs/>
          <w:sz w:val="24"/>
          <w:szCs w:val="24"/>
          <w:lang w:val="en-US" w:eastAsia="zh-CN"/>
        </w:rPr>
      </w:pPr>
      <w:r>
        <w:rPr>
          <w:rFonts w:hint="eastAsia" w:ascii="宋体" w:hAnsi="宋体"/>
          <w:b/>
          <w:bCs/>
          <w:sz w:val="24"/>
          <w:szCs w:val="24"/>
        </w:rPr>
        <w:t xml:space="preserve">（</w:t>
      </w:r>
      <w:r>
        <w:rPr>
          <w:rFonts w:hint="eastAsia" w:ascii="宋体" w:hAnsi="宋体"/>
          <w:b/>
          <w:bCs/>
          <w:sz w:val="24"/>
          <w:szCs w:val="24"/>
          <w:lang w:val="en-US" w:eastAsia="zh-CN"/>
        </w:rPr>
        <w:t xml:space="preserve">四</w:t>
      </w:r>
      <w:r>
        <w:rPr>
          <w:rFonts w:hint="eastAsia" w:ascii="宋体" w:hAnsi="宋体"/>
          <w:b/>
          <w:bCs/>
          <w:sz w:val="24"/>
          <w:szCs w:val="24"/>
        </w:rPr>
        <w:t xml:space="preserve">）</w:t>
      </w:r>
      <w:r>
        <w:rPr>
          <w:rFonts w:hint="eastAsia" w:ascii="宋体" w:hAnsi="宋体"/>
          <w:b/>
          <w:bCs/>
          <w:sz w:val="24"/>
          <w:szCs w:val="24"/>
          <w:lang w:val="en-US" w:eastAsia="zh-CN"/>
        </w:rPr>
        <w:t xml:space="preserve">维保费用</w:t>
      </w:r>
      <w:r/>
    </w:p>
    <w:p>
      <w:pPr>
        <w:ind w:firstLine="482"/>
        <w:keepLines w:val="0"/>
        <w:keepNext w:val="0"/>
        <w:pageBreakBefore w:val="0"/>
        <w:spacing w:line="520" w:lineRule="exact"/>
        <w:widowControl w:val="off"/>
        <w:rPr>
          <w:rFonts w:hint="eastAsia" w:ascii="宋体" w:hAnsi="宋体"/>
          <w:b/>
          <w:bCs/>
          <w:sz w:val="24"/>
          <w:szCs w:val="24"/>
        </w:rPr>
      </w:pPr>
      <w:r>
        <w:rPr>
          <w:rFonts w:hint="eastAsia" w:ascii="宋体" w:hAnsi="宋体"/>
          <w:b/>
          <w:bCs/>
          <w:sz w:val="24"/>
          <w:szCs w:val="24"/>
          <w:lang w:val="en-US" w:eastAsia="zh-CN"/>
        </w:rPr>
        <w:t xml:space="preserve">1、</w:t>
      </w:r>
      <w:r>
        <w:rPr>
          <w:rFonts w:hint="eastAsia" w:ascii="宋体" w:hAnsi="宋体"/>
          <w:b/>
          <w:bCs/>
          <w:sz w:val="24"/>
          <w:szCs w:val="24"/>
        </w:rPr>
        <w:t xml:space="preserve">免费维护期</w:t>
      </w:r>
      <w:r/>
    </w:p>
    <w:p>
      <w:pPr>
        <w:ind w:firstLine="480"/>
        <w:keepLines w:val="0"/>
        <w:keepNext w:val="0"/>
        <w:pageBreakBefore w:val="0"/>
        <w:spacing w:line="520" w:lineRule="exact"/>
        <w:widowControl w:val="off"/>
        <w:rPr>
          <w:rFonts w:hint="eastAsia" w:ascii="宋体" w:hAnsi="宋体"/>
          <w:i/>
          <w:iCs/>
          <w:sz w:val="24"/>
          <w:szCs w:val="24"/>
          <w:u w:val="single"/>
        </w:rPr>
      </w:pPr>
      <w:r>
        <w:rPr>
          <w:rFonts w:hint="eastAsia" w:ascii="宋体" w:hAnsi="宋体"/>
          <w:i/>
          <w:iCs/>
          <w:sz w:val="24"/>
          <w:szCs w:val="24"/>
          <w:u w:val="single"/>
        </w:rPr>
        <w:t xml:space="preserve">自项目最终验收合格之日起算，中标人须为所供软件提供三年及以上免费维护、技术支持与故障处理服务，期间不收取任何费用。</w:t>
      </w:r>
      <w:r/>
    </w:p>
    <w:p>
      <w:pPr>
        <w:ind w:firstLine="482"/>
        <w:keepLines w:val="0"/>
        <w:keepNext w:val="0"/>
        <w:pageBreakBefore w:val="0"/>
        <w:spacing w:line="520" w:lineRule="exact"/>
        <w:widowControl w:val="off"/>
        <w:rPr>
          <w:rFonts w:hint="eastAsia" w:ascii="宋体" w:hAnsi="宋体"/>
          <w:b/>
          <w:bCs/>
          <w:sz w:val="24"/>
          <w:szCs w:val="24"/>
          <w:lang w:val="en-US" w:eastAsia="zh-CN"/>
        </w:rPr>
      </w:pPr>
      <w:r>
        <w:rPr>
          <w:rFonts w:hint="eastAsia" w:ascii="宋体" w:hAnsi="宋体"/>
          <w:b/>
          <w:bCs/>
          <w:sz w:val="24"/>
          <w:szCs w:val="24"/>
          <w:lang w:val="en-US" w:eastAsia="zh-CN"/>
        </w:rPr>
        <w:t xml:space="preserve">2、后续维保费用</w:t>
      </w:r>
      <w:r/>
    </w:p>
    <w:p>
      <w:pPr>
        <w:numPr>
          <w:ilvl w:val="0"/>
          <w:numId w:val="0"/>
        </w:numPr>
        <w:ind w:left="0" w:firstLine="480"/>
        <w:keepLines w:val="0"/>
        <w:keepNext w:val="0"/>
        <w:pageBreakBefore w:val="0"/>
        <w:spacing w:line="520" w:lineRule="exact"/>
        <w:widowControl w:val="off"/>
        <w:rPr>
          <w:rFonts w:hint="eastAsia" w:ascii="宋体" w:hAnsi="宋体"/>
          <w:i/>
          <w:iCs/>
          <w:sz w:val="24"/>
          <w:szCs w:val="24"/>
          <w:u w:val="single"/>
        </w:rPr>
      </w:pPr>
      <w:r>
        <w:rPr>
          <w:rFonts w:hint="eastAsia" w:ascii="宋体" w:hAnsi="宋体"/>
          <w:i/>
          <w:iCs/>
          <w:sz w:val="24"/>
          <w:szCs w:val="24"/>
          <w:u w:val="single"/>
        </w:rPr>
        <w:t xml:space="preserve">免费维护期届满后，年度维保服务费率不得高于</w:t>
      </w:r>
      <w:r>
        <w:rPr>
          <w:rFonts w:hint="eastAsia" w:ascii="宋体" w:hAnsi="宋体"/>
          <w:i/>
          <w:iCs/>
          <w:sz w:val="24"/>
          <w:szCs w:val="24"/>
          <w:u w:val="single"/>
          <w:lang w:val="en-US" w:eastAsia="zh-CN"/>
        </w:rPr>
        <w:t xml:space="preserve">本项目</w:t>
      </w:r>
      <w:r>
        <w:rPr>
          <w:rFonts w:hint="eastAsia" w:ascii="宋体" w:hAnsi="宋体"/>
          <w:i/>
          <w:iCs/>
          <w:sz w:val="24"/>
          <w:szCs w:val="24"/>
          <w:u w:val="single"/>
        </w:rPr>
        <w:t xml:space="preserve">中标金额的5%，具体服务标准由双方另行约定。</w:t>
      </w:r>
      <w:r/>
    </w:p>
    <w:p>
      <w:pPr>
        <w:ind w:firstLine="482"/>
        <w:spacing w:line="520" w:lineRule="exact"/>
        <w:rPr>
          <w:rFonts w:hint="eastAsia" w:ascii="宋体" w:hAnsi="宋体"/>
          <w:b/>
          <w:bCs/>
          <w:color w:val="000000"/>
          <w:sz w:val="24"/>
          <w:szCs w:val="24"/>
        </w:rPr>
      </w:pP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五</w:t>
      </w:r>
      <w:r>
        <w:rPr>
          <w:rFonts w:hint="eastAsia" w:ascii="宋体" w:hAnsi="宋体"/>
          <w:b/>
          <w:bCs/>
          <w:color w:val="000000"/>
          <w:sz w:val="24"/>
          <w:szCs w:val="24"/>
        </w:rPr>
        <w:t xml:space="preserve">）保密要求</w:t>
      </w:r>
      <w:r/>
    </w:p>
    <w:p>
      <w:pPr>
        <w:ind w:firstLine="480"/>
        <w:spacing w:line="520" w:lineRule="exact"/>
      </w:pPr>
      <w:r>
        <w:rPr>
          <w:rFonts w:hint="eastAsia" w:ascii="宋体" w:hAnsi="宋体"/>
          <w:i/>
          <w:iCs/>
          <w:sz w:val="24"/>
          <w:szCs w:val="24"/>
          <w:u w:val="single"/>
        </w:rPr>
        <w:t xml:space="preserve">投标供应商在参与本项目中，对于采购人披露和提供的所有信息应作为商业秘密对待并予以保护，未经采购人授权不得将任何信息泄漏给第三方，否则采购人有权追究供应商的责任。</w:t>
      </w:r>
      <w:r/>
    </w:p>
    <w:p>
      <w:pPr>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rPr>
      </w:pPr>
      <w:r>
        <w:rPr>
          <w:rFonts w:hint="eastAsia" w:ascii="宋体" w:hAnsi="宋体"/>
          <w:sz w:val="24"/>
        </w:rPr>
      </w:r>
      <w:r/>
    </w:p>
    <w:p>
      <w:pPr>
        <w:ind w:firstLine="602"/>
        <w:rPr>
          <w:rFonts w:hint="eastAsia"/>
          <w:b/>
          <w:i/>
          <w:sz w:val="30"/>
          <w:szCs w:val="32"/>
          <w:u w:val="single"/>
        </w:rPr>
      </w:pPr>
      <w:r>
        <w:rPr>
          <w:rFonts w:hint="eastAsia"/>
          <w:b/>
          <w:i/>
          <w:sz w:val="30"/>
          <w:szCs w:val="32"/>
          <w:u w:val="single"/>
        </w:rPr>
      </w:r>
      <w:r/>
    </w:p>
    <w:p>
      <w:pPr>
        <w:rPr>
          <w:rFonts w:hint="eastAsia" w:ascii="宋体" w:hAnsi="宋体"/>
          <w:b/>
          <w:sz w:val="28"/>
          <w:szCs w:val="28"/>
        </w:rPr>
      </w:pPr>
      <w:r>
        <w:rPr>
          <w:rFonts w:hint="eastAsia" w:ascii="宋体" w:hAnsi="宋体"/>
          <w:b/>
          <w:sz w:val="28"/>
          <w:szCs w:val="28"/>
        </w:rPr>
      </w:r>
      <w:r/>
    </w:p>
    <w:p>
      <w:pPr>
        <w:tabs>
          <w:tab w:val="left" w:pos="6200" w:leader="none"/>
        </w:tabs>
        <w:rPr>
          <w:rFonts w:ascii="Arial" w:hAnsi="Arial" w:cs="Arial"/>
          <w:b/>
          <w:sz w:val="32"/>
        </w:rPr>
      </w:pPr>
      <w:r>
        <w:rPr>
          <w:rFonts w:ascii="Arial" w:hAnsi="Arial" w:cs="Arial"/>
          <w:b/>
          <w:sz w:val="32"/>
        </w:rPr>
      </w:r>
      <w:r/>
    </w:p>
    <w:p>
      <w:pPr>
        <w:pStyle w:val="870"/>
        <w:jc w:val="both"/>
        <w:rPr>
          <w:rFonts w:hint="eastAsia" w:ascii="黑体" w:eastAsia="黑体"/>
          <w:bCs/>
          <w:sz w:val="44"/>
        </w:rPr>
      </w:pPr>
      <w:r/>
      <w:bookmarkStart w:id="193" w:name="_Toc120614281"/>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r/>
      <w:r/>
    </w:p>
    <w:p>
      <w:pPr>
        <w:rPr>
          <w:rFonts w:hint="eastAsia"/>
        </w:rPr>
      </w:pPr>
      <w:r>
        <w:rPr>
          <w:rFonts w:hint="eastAsia"/>
        </w:rPr>
      </w:r>
      <w:r/>
    </w:p>
    <w:p>
      <w:pPr>
        <w:pStyle w:val="870"/>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955"/>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Style w:val="880"/>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中标候选人数量</w:t>
            </w:r>
            <w:r/>
          </w:p>
        </w:tc>
        <w:tc>
          <w:tcPr>
            <w:tcW w:w="4325"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vAlign w:val="top"/>
            <w:textDirection w:val="lrTb"/>
            <w:noWrap w:val="false"/>
          </w:tcPr>
          <w:p>
            <w:pPr>
              <w:jc w:val="center"/>
              <w:rPr>
                <w:rFonts w:ascii="宋体" w:hAnsi="宋体"/>
              </w:rPr>
            </w:pPr>
            <w:r>
              <w:rPr>
                <w:rFonts w:hint="eastAsia" w:ascii="宋体" w:hAnsi="宋体"/>
              </w:rPr>
              <w:t xml:space="preserve">1</w:t>
            </w:r>
            <w:r/>
          </w:p>
        </w:tc>
        <w:tc>
          <w:tcPr>
            <w:tcW w:w="1610" w:type="dxa"/>
            <w:vAlign w:val="top"/>
            <w:textDirection w:val="lrTb"/>
            <w:noWrap w:val="false"/>
          </w:tcPr>
          <w:p>
            <w:pPr>
              <w:jc w:val="center"/>
              <w:rPr>
                <w:rFonts w:ascii="宋体" w:hAnsi="宋体"/>
              </w:rPr>
            </w:pPr>
            <w:r>
              <w:rPr>
                <w:rFonts w:hint="eastAsia" w:ascii="宋体" w:hAnsi="宋体"/>
              </w:rPr>
              <w:t xml:space="preserve">1</w:t>
            </w:r>
            <w:r/>
          </w:p>
        </w:tc>
        <w:tc>
          <w:tcPr>
            <w:tcW w:w="4325" w:type="dxa"/>
            <w:vAlign w:val="top"/>
            <w:textDirection w:val="lrTb"/>
            <w:noWrap w:val="false"/>
          </w:tcPr>
          <w:p>
            <w:pPr>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55"/>
        <w:ind w:firstLine="441"/>
        <w:spacing w:line="0" w:lineRule="atLeast"/>
        <w:rPr>
          <w:rFonts w:hint="eastAsia" w:ascii="宋体" w:hAnsi="宋体"/>
          <w:b/>
          <w:highlight w:val="yellow"/>
        </w:rPr>
      </w:pPr>
      <w:r>
        <w:rPr>
          <w:rFonts w:hint="eastAsia" w:ascii="宋体" w:hAnsi="宋体"/>
          <w:b/>
        </w:rPr>
        <w:t xml:space="preserve">政府采购政策功能落实</w:t>
      </w:r>
      <w:r/>
    </w:p>
    <w:p>
      <w:pPr>
        <w:pStyle w:val="955"/>
        <w:spacing w:line="0" w:lineRule="atLeast"/>
        <w:rPr>
          <w:rFonts w:hint="eastAsia" w:ascii="宋体" w:hAnsi="宋体"/>
        </w:rPr>
      </w:pPr>
      <w:r>
        <w:rPr>
          <w:rFonts w:hint="eastAsia" w:ascii="宋体" w:hAnsi="宋体"/>
        </w:rPr>
        <w:t xml:space="preserve">1、小微型企业价格扣除</w:t>
      </w:r>
      <w:r/>
    </w:p>
    <w:p>
      <w:pPr>
        <w:pStyle w:val="955"/>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55"/>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955"/>
        <w:spacing w:line="0" w:lineRule="atLeast"/>
        <w:rPr>
          <w:rFonts w:hint="eastAsia" w:ascii="宋体" w:hAnsi="宋体"/>
        </w:rPr>
      </w:pPr>
      <w:r>
        <w:rPr>
          <w:rFonts w:hint="eastAsia" w:ascii="宋体" w:hAnsi="宋体"/>
        </w:rPr>
        <w:t xml:space="preserve">2、残疾人福利单位价格扣除</w:t>
      </w:r>
      <w:r/>
    </w:p>
    <w:p>
      <w:pPr>
        <w:pStyle w:val="955"/>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55"/>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55"/>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55"/>
        <w:spacing w:line="0" w:lineRule="atLeast"/>
        <w:rPr>
          <w:rFonts w:hint="eastAsia" w:ascii="宋体" w:hAnsi="宋体"/>
        </w:rPr>
      </w:pPr>
      <w:r>
        <w:rPr>
          <w:rFonts w:hint="eastAsia" w:ascii="宋体" w:hAnsi="宋体"/>
        </w:rPr>
        <w:t xml:space="preserve">3、监狱和戒毒企业价格扣除</w:t>
      </w:r>
      <w:r/>
    </w:p>
    <w:p>
      <w:pPr>
        <w:pStyle w:val="955"/>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55"/>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55"/>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55"/>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55"/>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55"/>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55"/>
        <w:ind w:firstLine="482"/>
        <w:spacing w:line="0" w:lineRule="atLeast"/>
        <w:rPr>
          <w:rFonts w:hint="eastAsia" w:ascii="宋体" w:hAnsi="宋体"/>
          <w:b/>
          <w:highlight w:val="yellow"/>
        </w:rPr>
      </w:pPr>
      <w:r>
        <w:rPr>
          <w:rFonts w:hint="eastAsia" w:ascii="宋体" w:hAnsi="宋体"/>
          <w:b/>
        </w:rPr>
        <w:t xml:space="preserve">评标方法与评标标准</w:t>
      </w:r>
      <w:r/>
    </w:p>
    <w:p>
      <w:pPr>
        <w:ind w:left="150"/>
        <w:keepLines/>
        <w:keepNext/>
        <w:spacing w:after="160" w:line="360" w:lineRule="auto"/>
        <w:rPr>
          <w:rFonts w:ascii="宋体" w:hAnsi="宋体" w:cs="宋体"/>
          <w:b/>
          <w:bCs/>
          <w:sz w:val="24"/>
          <w:szCs w:val="24"/>
          <w:highlight w:val="none"/>
        </w:rPr>
        <w:outlineLvl w:val="1"/>
      </w:pPr>
      <w:r/>
      <w:bookmarkStart w:id="194" w:name="_Toc169700852"/>
      <w:r/>
      <w:bookmarkStart w:id="195" w:name="_Hlk162472265"/>
      <w:r>
        <w:rPr>
          <w:rFonts w:hint="eastAsia" w:ascii="宋体" w:hAnsi="宋体" w:cs="宋体"/>
          <w:b/>
          <w:bCs/>
          <w:sz w:val="24"/>
          <w:szCs w:val="24"/>
          <w:highlight w:val="none"/>
        </w:rPr>
        <w:t xml:space="preserve">1、价格部分（</w:t>
      </w:r>
      <w:r>
        <w:rPr>
          <w:rFonts w:hint="eastAsia" w:ascii="宋体" w:hAnsi="宋体" w:cs="宋体"/>
          <w:b/>
          <w:bCs/>
          <w:sz w:val="24"/>
          <w:szCs w:val="24"/>
          <w:highlight w:val="none"/>
          <w:lang w:val="en-US" w:eastAsia="zh-CN"/>
        </w:rPr>
        <w:t xml:space="preserve">10</w:t>
      </w:r>
      <w:r>
        <w:rPr>
          <w:rFonts w:hint="eastAsia" w:ascii="宋体" w:hAnsi="宋体" w:cs="宋体"/>
          <w:b/>
          <w:bCs/>
          <w:sz w:val="24"/>
          <w:szCs w:val="24"/>
          <w:highlight w:val="none"/>
        </w:rPr>
        <w:t xml:space="preserve">分）</w:t>
      </w:r>
      <w:bookmarkEnd w:id="194"/>
      <w:r/>
      <w:r/>
    </w:p>
    <w:tbl>
      <w:tblPr>
        <w:tblStyle w:val="880"/>
        <w:tblW w:w="94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829"/>
        <w:gridCol w:w="7318"/>
      </w:tblGrid>
      <w:tr>
        <w:trPr>
          <w:jc w:val="center"/>
        </w:trPr>
        <w:tc>
          <w:tcPr>
            <w:tcW w:w="1271" w:type="dxa"/>
            <w:vAlign w:val="center"/>
            <w:textDirection w:val="lrTb"/>
            <w:noWrap w:val="false"/>
          </w:tcPr>
          <w:p>
            <w:pPr>
              <w:spacing w:after="160" w:line="278" w:lineRule="auto"/>
              <w:rPr>
                <w:rFonts w:ascii="宋体" w:hAnsi="宋体" w:cs="宋体"/>
                <w:b/>
                <w:bCs/>
                <w:sz w:val="24"/>
                <w:szCs w:val="24"/>
                <w:highlight w:val="none"/>
              </w:rPr>
            </w:pPr>
            <w:r>
              <w:rPr>
                <w:rFonts w:hint="eastAsia" w:ascii="宋体" w:hAnsi="宋体" w:cs="宋体"/>
                <w:b/>
                <w:bCs/>
                <w:sz w:val="24"/>
                <w:szCs w:val="24"/>
                <w:highlight w:val="none"/>
              </w:rPr>
              <w:t xml:space="preserve">评分内容</w:t>
            </w:r>
            <w:r/>
          </w:p>
        </w:tc>
        <w:tc>
          <w:tcPr>
            <w:tcW w:w="829" w:type="dxa"/>
            <w:vAlign w:val="center"/>
            <w:textDirection w:val="lrTb"/>
            <w:noWrap w:val="false"/>
          </w:tcPr>
          <w:p>
            <w:pPr>
              <w:jc w:val="center"/>
              <w:spacing w:after="160" w:line="278" w:lineRule="auto"/>
              <w:rPr>
                <w:rFonts w:ascii="宋体" w:hAnsi="宋体" w:cs="宋体"/>
                <w:b/>
                <w:bCs/>
                <w:sz w:val="24"/>
                <w:szCs w:val="24"/>
                <w:highlight w:val="none"/>
              </w:rPr>
            </w:pPr>
            <w:r>
              <w:rPr>
                <w:rFonts w:hint="eastAsia" w:ascii="宋体" w:hAnsi="宋体" w:cs="宋体"/>
                <w:b/>
                <w:bCs/>
                <w:sz w:val="24"/>
                <w:szCs w:val="24"/>
                <w:highlight w:val="none"/>
              </w:rPr>
              <w:t xml:space="preserve">分值</w:t>
            </w:r>
            <w:r/>
          </w:p>
        </w:tc>
        <w:tc>
          <w:tcPr>
            <w:tcW w:w="7318" w:type="dxa"/>
            <w:vAlign w:val="center"/>
            <w:textDirection w:val="lrTb"/>
            <w:noWrap w:val="false"/>
          </w:tcPr>
          <w:p>
            <w:pPr>
              <w:jc w:val="center"/>
              <w:spacing w:after="160" w:line="278" w:lineRule="auto"/>
              <w:rPr>
                <w:rFonts w:ascii="宋体" w:hAnsi="宋体" w:cs="宋体"/>
                <w:b/>
                <w:bCs/>
                <w:sz w:val="24"/>
                <w:szCs w:val="24"/>
                <w:highlight w:val="none"/>
              </w:rPr>
            </w:pPr>
            <w:r>
              <w:rPr>
                <w:rFonts w:hint="eastAsia" w:ascii="宋体" w:hAnsi="宋体" w:cs="宋体"/>
                <w:b/>
                <w:bCs/>
                <w:sz w:val="24"/>
                <w:szCs w:val="24"/>
                <w:highlight w:val="none"/>
              </w:rPr>
              <w:t xml:space="preserve">评分标准</w:t>
            </w:r>
            <w:r/>
          </w:p>
        </w:tc>
      </w:tr>
      <w:tr>
        <w:trPr>
          <w:jc w:val="center"/>
        </w:trPr>
        <w:tc>
          <w:tcPr>
            <w:tcW w:w="1271" w:type="dxa"/>
            <w:vAlign w:val="center"/>
            <w:textDirection w:val="lrTb"/>
            <w:noWrap w:val="false"/>
          </w:tcPr>
          <w:p>
            <w:pPr>
              <w:spacing w:after="160" w:line="278" w:lineRule="auto"/>
              <w:rPr>
                <w:rFonts w:ascii="宋体" w:hAnsi="宋体" w:cs="宋体"/>
                <w:b/>
                <w:bCs/>
                <w:sz w:val="22"/>
                <w:szCs w:val="22"/>
                <w:highlight w:val="none"/>
              </w:rPr>
            </w:pPr>
            <w:r>
              <w:rPr>
                <w:rFonts w:hint="eastAsia" w:ascii="宋体" w:hAnsi="宋体" w:cs="宋体"/>
                <w:b/>
                <w:bCs/>
                <w:sz w:val="22"/>
                <w:szCs w:val="22"/>
                <w:highlight w:val="none"/>
              </w:rPr>
              <w:t xml:space="preserve">投标报价</w:t>
            </w:r>
            <w:r/>
          </w:p>
        </w:tc>
        <w:tc>
          <w:tcPr>
            <w:tcW w:w="829" w:type="dxa"/>
            <w:vAlign w:val="center"/>
            <w:textDirection w:val="lrTb"/>
            <w:noWrap w:val="false"/>
          </w:tcPr>
          <w:p>
            <w:pPr>
              <w:jc w:val="center"/>
              <w:spacing w:after="160" w:line="278" w:lineRule="auto"/>
              <w:rPr>
                <w:rFonts w:hint="default" w:ascii="宋体" w:hAnsi="宋体" w:eastAsia="宋体" w:cs="宋体"/>
                <w:sz w:val="22"/>
                <w:szCs w:val="22"/>
                <w:highlight w:val="none"/>
                <w:lang w:val="en-US" w:eastAsia="zh-CN"/>
              </w:rPr>
            </w:pPr>
            <w:r>
              <w:rPr>
                <w:rFonts w:hint="eastAsia" w:ascii="宋体" w:hAnsi="宋体" w:cs="宋体"/>
                <w:color w:val="auto"/>
                <w:sz w:val="22"/>
                <w:szCs w:val="22"/>
                <w:highlight w:val="none"/>
                <w:lang w:val="en-US" w:eastAsia="zh-CN"/>
              </w:rPr>
              <w:t xml:space="preserve">10</w:t>
            </w:r>
            <w:r/>
          </w:p>
        </w:tc>
        <w:tc>
          <w:tcPr>
            <w:tcW w:w="7318" w:type="dxa"/>
            <w:vAlign w:val="center"/>
            <w:textDirection w:val="lrTb"/>
            <w:noWrap w:val="false"/>
          </w:tcPr>
          <w:p>
            <w:pPr>
              <w:spacing w:after="160" w:line="278" w:lineRule="auto"/>
              <w:rPr>
                <w:rFonts w:ascii="宋体" w:hAnsi="宋体" w:cs="宋体"/>
                <w:sz w:val="22"/>
                <w:szCs w:val="22"/>
                <w:highlight w:val="none"/>
              </w:rPr>
            </w:pPr>
            <w:r>
              <w:rPr>
                <w:rFonts w:hint="eastAsia" w:ascii="宋体" w:hAnsi="宋体" w:cs="宋体"/>
                <w:sz w:val="22"/>
                <w:szCs w:val="22"/>
                <w:highlight w:val="none"/>
              </w:rPr>
              <w:t xml:space="preserve">价格分采用低价优先法计算，即满足招标文件要求且投标价格最低的投标报价为评标基准价，其价格分为满分。其他投标人的价格分统一按照下列公式计算：投标报价得分=(评标基准价／投标报价)×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cs="宋体"/>
                <w:sz w:val="22"/>
                <w:szCs w:val="22"/>
                <w:highlight w:val="none"/>
                <w:lang w:val="en-US" w:eastAsia="zh-CN"/>
              </w:rPr>
              <w:t xml:space="preserve">10</w:t>
            </w:r>
            <w:r>
              <w:rPr>
                <w:rFonts w:hint="eastAsia" w:ascii="宋体" w:hAnsi="宋体" w:cs="宋体"/>
                <w:sz w:val="22"/>
                <w:szCs w:val="22"/>
                <w:highlight w:val="none"/>
              </w:rPr>
              <w:t xml:space="preserve">（小数点保留两位）</w:t>
            </w:r>
            <w:r/>
          </w:p>
        </w:tc>
      </w:tr>
      <w:tr>
        <w:trPr>
          <w:jc w:val="center"/>
          <w:trHeight w:val="90"/>
        </w:trPr>
        <w:tc>
          <w:tcPr>
            <w:tcW w:w="1271" w:type="dxa"/>
            <w:vAlign w:val="center"/>
            <w:textDirection w:val="lrTb"/>
            <w:noWrap w:val="false"/>
          </w:tcPr>
          <w:p>
            <w:pPr>
              <w:spacing w:after="160" w:line="278" w:lineRule="auto"/>
              <w:rPr>
                <w:rFonts w:hint="eastAsia" w:ascii="宋体" w:hAnsi="宋体" w:cs="宋体"/>
                <w:b/>
                <w:bCs/>
                <w:sz w:val="22"/>
                <w:szCs w:val="22"/>
                <w:highlight w:val="none"/>
              </w:rPr>
            </w:pPr>
            <w:r>
              <w:rPr>
                <w:rFonts w:hint="eastAsia" w:ascii="宋体" w:hAnsi="宋体" w:cs="宋体"/>
                <w:b/>
                <w:bCs/>
                <w:sz w:val="22"/>
                <w:szCs w:val="22"/>
                <w:highlight w:val="none"/>
              </w:rPr>
              <w:t xml:space="preserve">2.1技术指标响应</w:t>
            </w:r>
            <w:r/>
          </w:p>
        </w:tc>
        <w:tc>
          <w:tcPr>
            <w:tcW w:w="829" w:type="dxa"/>
            <w:vAlign w:val="center"/>
            <w:textDirection w:val="lrTb"/>
            <w:noWrap w:val="false"/>
          </w:tcPr>
          <w:p>
            <w:pPr>
              <w:jc w:val="center"/>
              <w:spacing w:after="160" w:line="278" w:lineRule="auto"/>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35</w:t>
            </w:r>
            <w:r/>
          </w:p>
        </w:tc>
        <w:tc>
          <w:tcPr>
            <w:tcW w:w="7318" w:type="dxa"/>
            <w:vAlign w:val="center"/>
            <w:textDirection w:val="lrTb"/>
            <w:noWrap w:val="false"/>
          </w:tcPr>
          <w:p>
            <w:pPr>
              <w:spacing w:after="160" w:line="278" w:lineRule="auto"/>
              <w:rPr>
                <w:rFonts w:hint="eastAsia" w:ascii="宋体" w:hAnsi="宋体" w:cs="宋体"/>
                <w:sz w:val="22"/>
                <w:szCs w:val="22"/>
                <w:highlight w:val="none"/>
              </w:rPr>
            </w:pPr>
            <w:r>
              <w:rPr>
                <w:rFonts w:hint="eastAsia" w:ascii="宋体" w:hAnsi="宋体" w:cs="宋体"/>
                <w:sz w:val="22"/>
                <w:szCs w:val="22"/>
                <w:highlight w:val="none"/>
              </w:rPr>
              <w:t xml:space="preserve">投标人对招标文件第四章采购需求中“二、技术要求” 的响应进行评分，总分</w:t>
            </w:r>
            <w:r>
              <w:rPr>
                <w:rFonts w:hint="eastAsia" w:ascii="宋体" w:hAnsi="宋体" w:cs="宋体"/>
                <w:sz w:val="22"/>
                <w:szCs w:val="22"/>
                <w:highlight w:val="none"/>
                <w:lang w:val="en-US" w:eastAsia="zh-CN"/>
              </w:rPr>
              <w:t xml:space="preserve">35</w:t>
            </w:r>
            <w:r>
              <w:rPr>
                <w:rFonts w:hint="eastAsia" w:ascii="宋体" w:hAnsi="宋体" w:cs="宋体"/>
                <w:sz w:val="22"/>
                <w:szCs w:val="22"/>
                <w:highlight w:val="none"/>
              </w:rPr>
              <w:t xml:space="preserve">分。其中：标注 “▲”的参数每有一项不满足的，扣1分</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共计19项</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；其余未标注项的参数，不满足要求的，每一项扣0.2分</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共计80项</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，扣完本项得分为止。</w:t>
            </w:r>
            <w:r/>
          </w:p>
          <w:p>
            <w:pPr>
              <w:spacing w:after="160" w:line="278" w:lineRule="auto"/>
              <w:rPr>
                <w:rFonts w:hint="eastAsia" w:ascii="宋体" w:hAnsi="宋体" w:cs="宋体"/>
                <w:sz w:val="22"/>
                <w:szCs w:val="22"/>
                <w:highlight w:val="none"/>
              </w:rPr>
            </w:pPr>
            <w:r>
              <w:rPr>
                <w:rFonts w:hint="eastAsia" w:ascii="宋体" w:hAnsi="宋体" w:cs="宋体"/>
                <w:sz w:val="22"/>
                <w:szCs w:val="22"/>
                <w:highlight w:val="none"/>
              </w:rPr>
              <w:t xml:space="preserve">注：①以上“技术要求”响应情况均须在投标文件《技术要求响应及偏离表》中表述清楚，如表述不清或未按要求提供相关证明材料的，则按不满足（负偏离）处理。</w:t>
            </w:r>
            <w:r/>
          </w:p>
          <w:p>
            <w:pPr>
              <w:spacing w:after="160" w:line="278" w:lineRule="auto"/>
              <w:rPr>
                <w:rFonts w:hint="eastAsia" w:ascii="宋体" w:hAnsi="宋体" w:cs="宋体"/>
                <w:sz w:val="22"/>
                <w:szCs w:val="22"/>
                <w:highlight w:val="none"/>
              </w:rPr>
            </w:pPr>
            <w:r>
              <w:rPr>
                <w:rFonts w:hint="eastAsia" w:ascii="宋体" w:hAnsi="宋体" w:cs="宋体"/>
                <w:sz w:val="22"/>
                <w:szCs w:val="22"/>
                <w:highlight w:val="none"/>
              </w:rPr>
              <w:t xml:space="preserve">②《技术要求响应及偏离表》中的内容须是投标人投标产品的真实反映，投标人在投标时不得虚假响应和虚假承诺，否则将取消其投标资格；已中标的，将取消其中标资格，终止合同，对采购人造成损失的赔偿相应损失。</w:t>
            </w:r>
            <w:r/>
          </w:p>
        </w:tc>
      </w:tr>
      <w:tr>
        <w:trPr>
          <w:jc w:val="center"/>
          <w:trHeight w:val="90"/>
        </w:trPr>
        <w:tc>
          <w:tcPr>
            <w:tcW w:w="1271" w:type="dxa"/>
            <w:vAlign w:val="center"/>
            <w:textDirection w:val="lrTb"/>
            <w:noWrap w:val="false"/>
          </w:tcPr>
          <w:p>
            <w:pPr>
              <w:spacing w:after="160" w:line="278" w:lineRule="auto"/>
              <w:rPr>
                <w:rFonts w:hint="eastAsia" w:ascii="宋体" w:hAnsi="宋体" w:cs="宋体"/>
                <w:b/>
                <w:bCs/>
                <w:sz w:val="22"/>
                <w:szCs w:val="22"/>
                <w:highlight w:val="none"/>
              </w:rPr>
            </w:pPr>
            <w:r>
              <w:rPr>
                <w:rFonts w:hint="eastAsia" w:ascii="宋体" w:hAnsi="宋体" w:cs="宋体"/>
                <w:b/>
                <w:bCs/>
                <w:sz w:val="22"/>
                <w:szCs w:val="22"/>
                <w:highlight w:val="none"/>
              </w:rPr>
              <w:t xml:space="preserve">2.2 软件开发方案</w:t>
            </w:r>
            <w:r/>
          </w:p>
        </w:tc>
        <w:tc>
          <w:tcPr>
            <w:tcW w:w="829" w:type="dxa"/>
            <w:vAlign w:val="center"/>
            <w:textDirection w:val="lrTb"/>
            <w:noWrap w:val="false"/>
          </w:tcPr>
          <w:p>
            <w:pPr>
              <w:jc w:val="center"/>
              <w:spacing w:after="160" w:line="278" w:lineRule="auto"/>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5</w:t>
            </w:r>
            <w:r/>
          </w:p>
        </w:tc>
        <w:tc>
          <w:tcPr>
            <w:tcW w:w="7318" w:type="dxa"/>
            <w:vAlign w:val="center"/>
            <w:textDirection w:val="lrTb"/>
            <w:noWrap w:val="false"/>
          </w:tcPr>
          <w:p>
            <w:pPr>
              <w:spacing w:after="160" w:line="278" w:lineRule="auto"/>
              <w:rPr>
                <w:rFonts w:hint="eastAsia" w:ascii="宋体" w:hAnsi="宋体" w:cs="宋体"/>
                <w:sz w:val="22"/>
                <w:szCs w:val="22"/>
                <w:highlight w:val="none"/>
              </w:rPr>
            </w:pPr>
            <w:r>
              <w:rPr>
                <w:rFonts w:hint="eastAsia" w:ascii="宋体" w:hAnsi="宋体" w:cs="宋体"/>
                <w:sz w:val="22"/>
                <w:szCs w:val="22"/>
                <w:highlight w:val="none"/>
              </w:rPr>
              <w:t xml:space="preserve">投标人根据项目的采购技术需求提供详细的软件开发方案，投标人提供的方案优于招标文件要求的得</w:t>
            </w:r>
            <w:r>
              <w:rPr>
                <w:rFonts w:hint="eastAsia" w:ascii="宋体" w:hAnsi="宋体" w:cs="宋体"/>
                <w:sz w:val="22"/>
                <w:szCs w:val="22"/>
                <w:highlight w:val="none"/>
                <w:lang w:val="en-US" w:eastAsia="zh-CN"/>
              </w:rPr>
              <w:t xml:space="preserve">5</w:t>
            </w:r>
            <w:r>
              <w:rPr>
                <w:rFonts w:hint="eastAsia" w:ascii="宋体" w:hAnsi="宋体" w:cs="宋体"/>
                <w:sz w:val="22"/>
                <w:szCs w:val="22"/>
                <w:highlight w:val="none"/>
              </w:rPr>
              <w:t xml:space="preserve">分，符合招标文件要求的得</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分，不符合或不提供不得分。</w:t>
            </w:r>
            <w:r/>
          </w:p>
        </w:tc>
      </w:tr>
      <w:tr>
        <w:trPr>
          <w:jc w:val="center"/>
        </w:trPr>
        <w:tc>
          <w:tcPr>
            <w:tcW w:w="1271" w:type="dxa"/>
            <w:vAlign w:val="center"/>
            <w:textDirection w:val="lrTb"/>
            <w:noWrap w:val="false"/>
          </w:tcPr>
          <w:p>
            <w:pPr>
              <w:spacing w:after="160" w:line="278" w:lineRule="auto"/>
              <w:rPr>
                <w:rFonts w:hint="eastAsia" w:ascii="宋体" w:hAnsi="宋体" w:cs="宋体"/>
                <w:b/>
                <w:bCs/>
                <w:sz w:val="22"/>
                <w:szCs w:val="22"/>
                <w:highlight w:val="none"/>
              </w:rPr>
            </w:pPr>
            <w:r>
              <w:rPr>
                <w:rFonts w:hint="eastAsia" w:ascii="宋体" w:hAnsi="宋体" w:cs="宋体"/>
                <w:b/>
                <w:bCs/>
                <w:sz w:val="22"/>
                <w:szCs w:val="22"/>
                <w:highlight w:val="none"/>
              </w:rPr>
              <w:t xml:space="preserve">2.3项目进度管理方案</w:t>
            </w:r>
            <w:r/>
          </w:p>
        </w:tc>
        <w:tc>
          <w:tcPr>
            <w:tcW w:w="829" w:type="dxa"/>
            <w:vAlign w:val="center"/>
            <w:textDirection w:val="lrTb"/>
            <w:noWrap w:val="false"/>
          </w:tcPr>
          <w:p>
            <w:pPr>
              <w:jc w:val="center"/>
              <w:spacing w:after="160" w:line="278" w:lineRule="auto"/>
              <w:rPr>
                <w:rFonts w:hint="eastAsia" w:ascii="宋体" w:hAnsi="宋体" w:cs="宋体"/>
                <w:sz w:val="22"/>
                <w:szCs w:val="22"/>
                <w:highlight w:val="none"/>
                <w:lang w:eastAsia="zh-CN"/>
              </w:rPr>
            </w:pPr>
            <w:r>
              <w:rPr>
                <w:rFonts w:hint="eastAsia" w:ascii="宋体" w:hAnsi="宋体" w:cs="宋体"/>
                <w:sz w:val="22"/>
                <w:szCs w:val="22"/>
                <w:highlight w:val="none"/>
                <w:lang w:val="en-US" w:eastAsia="zh-CN"/>
              </w:rPr>
              <w:t xml:space="preserve">4</w:t>
            </w:r>
            <w:r/>
          </w:p>
        </w:tc>
        <w:tc>
          <w:tcPr>
            <w:tcW w:w="7318" w:type="dxa"/>
            <w:vAlign w:val="center"/>
            <w:textDirection w:val="lrTb"/>
            <w:noWrap w:val="false"/>
          </w:tcPr>
          <w:p>
            <w:pPr>
              <w:spacing w:after="160" w:line="278" w:lineRule="auto"/>
              <w:rPr>
                <w:rFonts w:hint="eastAsia" w:ascii="宋体" w:hAnsi="宋体" w:cs="宋体"/>
                <w:sz w:val="22"/>
                <w:szCs w:val="22"/>
                <w:highlight w:val="none"/>
              </w:rPr>
            </w:pPr>
            <w:r>
              <w:rPr>
                <w:rFonts w:hint="eastAsia" w:ascii="宋体" w:hAnsi="宋体" w:cs="宋体"/>
                <w:sz w:val="22"/>
                <w:szCs w:val="22"/>
                <w:highlight w:val="none"/>
              </w:rPr>
              <w:t xml:space="preserve">投标人根据招标文件要求提供进度管理方案，投标人提供的方案优于招标文件要求的得</w:t>
            </w:r>
            <w:r>
              <w:rPr>
                <w:rFonts w:hint="eastAsia" w:ascii="宋体" w:hAnsi="宋体" w:cs="宋体"/>
                <w:sz w:val="22"/>
                <w:szCs w:val="22"/>
                <w:highlight w:val="none"/>
                <w:lang w:val="en-US" w:eastAsia="zh-CN"/>
              </w:rPr>
              <w:t xml:space="preserve">4</w:t>
            </w:r>
            <w:r>
              <w:rPr>
                <w:rFonts w:hint="eastAsia" w:ascii="宋体" w:hAnsi="宋体" w:cs="宋体"/>
                <w:sz w:val="22"/>
                <w:szCs w:val="22"/>
                <w:highlight w:val="none"/>
              </w:rPr>
              <w:t xml:space="preserve">分，符合招标文件要求的得</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分，不符合或不提供不得分。</w:t>
            </w:r>
            <w:r/>
          </w:p>
        </w:tc>
      </w:tr>
      <w:tr>
        <w:trPr>
          <w:jc w:val="center"/>
          <w:trHeight w:val="867"/>
        </w:trPr>
        <w:tc>
          <w:tcPr>
            <w:tcW w:w="1271" w:type="dxa"/>
            <w:vAlign w:val="center"/>
            <w:textDirection w:val="lrTb"/>
            <w:noWrap w:val="false"/>
          </w:tcPr>
          <w:p>
            <w:pPr>
              <w:spacing w:after="160" w:line="278" w:lineRule="auto"/>
              <w:rPr>
                <w:rFonts w:hint="eastAsia" w:ascii="宋体" w:hAnsi="宋体" w:cs="宋体"/>
                <w:b/>
                <w:bCs/>
                <w:sz w:val="22"/>
                <w:szCs w:val="22"/>
                <w:highlight w:val="none"/>
              </w:rPr>
            </w:pPr>
            <w:r>
              <w:rPr>
                <w:rFonts w:hint="eastAsia" w:ascii="宋体" w:hAnsi="宋体" w:cs="宋体"/>
                <w:b/>
                <w:bCs/>
                <w:sz w:val="22"/>
                <w:szCs w:val="22"/>
                <w:highlight w:val="none"/>
              </w:rPr>
              <w:t xml:space="preserve">2.4项目质量管理方案</w:t>
            </w:r>
            <w:r/>
          </w:p>
        </w:tc>
        <w:tc>
          <w:tcPr>
            <w:tcW w:w="829" w:type="dxa"/>
            <w:vAlign w:val="center"/>
            <w:textDirection w:val="lrTb"/>
            <w:noWrap w:val="false"/>
          </w:tcPr>
          <w:p>
            <w:pPr>
              <w:jc w:val="center"/>
              <w:spacing w:after="160" w:line="278" w:lineRule="auto"/>
              <w:rPr>
                <w:rFonts w:hint="eastAsia" w:ascii="宋体" w:hAnsi="宋体" w:cs="宋体"/>
                <w:sz w:val="22"/>
                <w:szCs w:val="22"/>
                <w:highlight w:val="none"/>
                <w:lang w:eastAsia="zh-CN"/>
              </w:rPr>
            </w:pPr>
            <w:r>
              <w:rPr>
                <w:rFonts w:hint="eastAsia" w:ascii="宋体" w:hAnsi="宋体" w:cs="宋体"/>
                <w:sz w:val="22"/>
                <w:szCs w:val="22"/>
                <w:highlight w:val="none"/>
                <w:lang w:val="en-US" w:eastAsia="zh-CN"/>
              </w:rPr>
              <w:t xml:space="preserve">4</w:t>
            </w:r>
            <w:r/>
          </w:p>
        </w:tc>
        <w:tc>
          <w:tcPr>
            <w:tcW w:w="7318" w:type="dxa"/>
            <w:vAlign w:val="center"/>
            <w:textDirection w:val="lrTb"/>
            <w:noWrap w:val="false"/>
          </w:tcPr>
          <w:p>
            <w:pPr>
              <w:spacing w:after="160" w:line="278" w:lineRule="auto"/>
              <w:rPr>
                <w:rFonts w:hint="eastAsia" w:ascii="宋体" w:hAnsi="宋体" w:cs="宋体"/>
                <w:sz w:val="22"/>
                <w:szCs w:val="22"/>
                <w:highlight w:val="none"/>
              </w:rPr>
            </w:pPr>
            <w:r>
              <w:rPr>
                <w:rFonts w:hint="eastAsia" w:ascii="宋体" w:hAnsi="宋体" w:cs="宋体"/>
                <w:sz w:val="22"/>
                <w:szCs w:val="22"/>
                <w:highlight w:val="none"/>
              </w:rPr>
              <w:t xml:space="preserve">投标人根据招标文件要求提供质量管理方案，投标人提供的方案优于招标文件要求的得</w:t>
            </w:r>
            <w:r>
              <w:rPr>
                <w:rFonts w:hint="eastAsia" w:ascii="宋体" w:hAnsi="宋体" w:cs="宋体"/>
                <w:sz w:val="22"/>
                <w:szCs w:val="22"/>
                <w:highlight w:val="none"/>
                <w:lang w:val="en-US" w:eastAsia="zh-CN"/>
              </w:rPr>
              <w:t xml:space="preserve">4</w:t>
            </w:r>
            <w:r>
              <w:rPr>
                <w:rFonts w:hint="eastAsia" w:ascii="宋体" w:hAnsi="宋体" w:cs="宋体"/>
                <w:sz w:val="22"/>
                <w:szCs w:val="22"/>
                <w:highlight w:val="none"/>
              </w:rPr>
              <w:t xml:space="preserve">分，符合招标文件要求的得</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分，不符合或不提供不得分。</w:t>
            </w:r>
            <w:r/>
          </w:p>
        </w:tc>
      </w:tr>
      <w:tr>
        <w:trPr>
          <w:jc w:val="center"/>
          <w:trHeight w:val="482"/>
        </w:trPr>
        <w:tc>
          <w:tcPr>
            <w:tcW w:w="1271" w:type="dxa"/>
            <w:vAlign w:val="center"/>
            <w:textDirection w:val="lrTb"/>
            <w:noWrap w:val="false"/>
          </w:tcPr>
          <w:p>
            <w:pPr>
              <w:spacing w:after="160" w:line="278" w:lineRule="auto"/>
              <w:rPr>
                <w:rFonts w:hint="eastAsia" w:ascii="宋体" w:hAnsi="宋体" w:cs="宋体"/>
                <w:b/>
                <w:bCs/>
                <w:sz w:val="22"/>
                <w:szCs w:val="22"/>
                <w:highlight w:val="none"/>
              </w:rPr>
            </w:pPr>
            <w:r>
              <w:rPr>
                <w:rFonts w:hint="eastAsia" w:ascii="宋体" w:hAnsi="宋体" w:cs="宋体"/>
                <w:b/>
                <w:bCs/>
                <w:sz w:val="22"/>
                <w:szCs w:val="22"/>
                <w:highlight w:val="none"/>
              </w:rPr>
              <w:t xml:space="preserve">2.5项目应急和安全服务方案</w:t>
            </w:r>
            <w:r/>
          </w:p>
        </w:tc>
        <w:tc>
          <w:tcPr>
            <w:tcW w:w="829" w:type="dxa"/>
            <w:vAlign w:val="center"/>
            <w:textDirection w:val="lrTb"/>
            <w:noWrap w:val="false"/>
          </w:tcPr>
          <w:p>
            <w:pPr>
              <w:jc w:val="center"/>
              <w:spacing w:after="160" w:line="278" w:lineRule="auto"/>
              <w:rPr>
                <w:rFonts w:hint="eastAsia" w:ascii="宋体" w:hAnsi="宋体" w:cs="宋体"/>
                <w:sz w:val="22"/>
                <w:szCs w:val="22"/>
                <w:highlight w:val="none"/>
                <w:lang w:eastAsia="zh-CN"/>
              </w:rPr>
            </w:pPr>
            <w:r>
              <w:rPr>
                <w:rFonts w:hint="eastAsia" w:ascii="宋体" w:hAnsi="宋体" w:cs="宋体"/>
                <w:sz w:val="22"/>
                <w:szCs w:val="22"/>
                <w:highlight w:val="none"/>
                <w:lang w:val="en-US" w:eastAsia="zh-CN"/>
              </w:rPr>
              <w:t xml:space="preserve">4</w:t>
            </w:r>
            <w:r/>
          </w:p>
        </w:tc>
        <w:tc>
          <w:tcPr>
            <w:tcW w:w="7318" w:type="dxa"/>
            <w:vAlign w:val="center"/>
            <w:textDirection w:val="lrTb"/>
            <w:noWrap w:val="false"/>
          </w:tcPr>
          <w:p>
            <w:pPr>
              <w:spacing w:after="160" w:line="278" w:lineRule="auto"/>
              <w:rPr>
                <w:rFonts w:hint="eastAsia" w:ascii="宋体" w:hAnsi="宋体" w:cs="宋体"/>
                <w:sz w:val="22"/>
                <w:szCs w:val="22"/>
                <w:highlight w:val="none"/>
              </w:rPr>
            </w:pPr>
            <w:r>
              <w:rPr>
                <w:rFonts w:hint="eastAsia" w:ascii="宋体" w:hAnsi="宋体" w:cs="宋体"/>
                <w:sz w:val="22"/>
                <w:szCs w:val="22"/>
                <w:highlight w:val="none"/>
              </w:rPr>
              <w:t xml:space="preserve">投标人根据招标文件要求提供应急和安全服务方案，投标人提供的方案优于招标文件要求的得</w:t>
            </w:r>
            <w:r>
              <w:rPr>
                <w:rFonts w:hint="eastAsia" w:ascii="宋体" w:hAnsi="宋体" w:cs="宋体"/>
                <w:sz w:val="22"/>
                <w:szCs w:val="22"/>
                <w:highlight w:val="none"/>
                <w:lang w:val="en-US" w:eastAsia="zh-CN"/>
              </w:rPr>
              <w:t xml:space="preserve">4</w:t>
            </w:r>
            <w:r>
              <w:rPr>
                <w:rFonts w:hint="eastAsia" w:ascii="宋体" w:hAnsi="宋体" w:cs="宋体"/>
                <w:sz w:val="22"/>
                <w:szCs w:val="22"/>
                <w:highlight w:val="none"/>
              </w:rPr>
              <w:t xml:space="preserve">分，符合招标文件要求的得</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分，不符合或不提供不得分。</w:t>
            </w:r>
            <w:r/>
          </w:p>
        </w:tc>
      </w:tr>
      <w:tr>
        <w:trPr>
          <w:jc w:val="center"/>
          <w:trHeight w:val="482"/>
        </w:trPr>
        <w:tc>
          <w:tcPr>
            <w:tcW w:w="1271" w:type="dxa"/>
            <w:vAlign w:val="center"/>
            <w:textDirection w:val="lrTb"/>
            <w:noWrap w:val="false"/>
          </w:tcPr>
          <w:p>
            <w:pPr>
              <w:spacing w:after="160" w:line="278" w:lineRule="auto"/>
              <w:rPr>
                <w:rFonts w:hint="eastAsia" w:ascii="宋体" w:hAnsi="宋体" w:cs="宋体"/>
                <w:b/>
                <w:bCs/>
                <w:sz w:val="22"/>
                <w:szCs w:val="22"/>
                <w:highlight w:val="none"/>
              </w:rPr>
            </w:pPr>
            <w:r>
              <w:rPr>
                <w:rFonts w:hint="eastAsia" w:ascii="宋体" w:hAnsi="宋体" w:cs="宋体"/>
                <w:b/>
                <w:bCs/>
                <w:sz w:val="22"/>
                <w:szCs w:val="22"/>
                <w:highlight w:val="none"/>
              </w:rPr>
              <w:t xml:space="preserve">2.6项目培训方案</w:t>
            </w:r>
            <w:r/>
          </w:p>
        </w:tc>
        <w:tc>
          <w:tcPr>
            <w:tcW w:w="829" w:type="dxa"/>
            <w:vAlign w:val="center"/>
            <w:textDirection w:val="lrTb"/>
            <w:noWrap w:val="false"/>
          </w:tcPr>
          <w:p>
            <w:pPr>
              <w:jc w:val="center"/>
              <w:spacing w:after="160" w:line="278" w:lineRule="auto"/>
              <w:rPr>
                <w:rFonts w:hint="eastAsia" w:ascii="宋体" w:hAnsi="宋体" w:cs="宋体"/>
                <w:sz w:val="22"/>
                <w:szCs w:val="22"/>
                <w:highlight w:val="none"/>
                <w:lang w:eastAsia="zh-CN"/>
              </w:rPr>
            </w:pPr>
            <w:r>
              <w:rPr>
                <w:rFonts w:hint="eastAsia" w:ascii="宋体" w:hAnsi="宋体" w:cs="宋体"/>
                <w:sz w:val="22"/>
                <w:szCs w:val="22"/>
                <w:highlight w:val="none"/>
                <w:lang w:val="en-US" w:eastAsia="zh-CN"/>
              </w:rPr>
              <w:t xml:space="preserve">4</w:t>
            </w:r>
            <w:r/>
          </w:p>
        </w:tc>
        <w:tc>
          <w:tcPr>
            <w:tcW w:w="7318" w:type="dxa"/>
            <w:vAlign w:val="center"/>
            <w:textDirection w:val="lrTb"/>
            <w:noWrap w:val="false"/>
          </w:tcPr>
          <w:p>
            <w:pPr>
              <w:spacing w:after="160" w:line="278" w:lineRule="auto"/>
              <w:rPr>
                <w:rFonts w:hint="eastAsia" w:ascii="宋体" w:hAnsi="宋体" w:cs="宋体"/>
                <w:sz w:val="22"/>
                <w:szCs w:val="22"/>
                <w:highlight w:val="none"/>
              </w:rPr>
            </w:pPr>
            <w:r>
              <w:rPr>
                <w:rFonts w:hint="eastAsia" w:ascii="宋体" w:hAnsi="宋体" w:cs="宋体"/>
                <w:sz w:val="22"/>
                <w:szCs w:val="22"/>
                <w:highlight w:val="none"/>
              </w:rPr>
              <w:t xml:space="preserve">投标人根据招标文件要求提供培训方案，投标人提供的方案优于招标文件要求的得</w:t>
            </w:r>
            <w:r>
              <w:rPr>
                <w:rFonts w:hint="eastAsia" w:ascii="宋体" w:hAnsi="宋体" w:cs="宋体"/>
                <w:sz w:val="22"/>
                <w:szCs w:val="22"/>
                <w:highlight w:val="none"/>
                <w:lang w:val="en-US" w:eastAsia="zh-CN"/>
              </w:rPr>
              <w:t xml:space="preserve">4</w:t>
            </w:r>
            <w:r>
              <w:rPr>
                <w:rFonts w:hint="eastAsia" w:ascii="宋体" w:hAnsi="宋体" w:cs="宋体"/>
                <w:sz w:val="22"/>
                <w:szCs w:val="22"/>
                <w:highlight w:val="none"/>
              </w:rPr>
              <w:t xml:space="preserve">分，符合招标文件要求的得</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分，不符合或不提供不得分。</w:t>
            </w:r>
            <w:r/>
          </w:p>
        </w:tc>
      </w:tr>
      <w:tr>
        <w:trPr>
          <w:jc w:val="center"/>
        </w:trPr>
        <w:tc>
          <w:tcPr>
            <w:tcW w:w="1271" w:type="dxa"/>
            <w:vAlign w:val="center"/>
            <w:textDirection w:val="lrTb"/>
            <w:noWrap w:val="false"/>
          </w:tcPr>
          <w:p>
            <w:pPr>
              <w:spacing w:after="160" w:line="278" w:lineRule="auto"/>
              <w:rPr>
                <w:rFonts w:hint="eastAsia" w:ascii="宋体" w:hAnsi="宋体" w:cs="宋体"/>
                <w:b/>
                <w:bCs/>
                <w:sz w:val="22"/>
                <w:szCs w:val="22"/>
                <w:highlight w:val="none"/>
              </w:rPr>
            </w:pPr>
            <w:r>
              <w:rPr>
                <w:rFonts w:hint="eastAsia" w:ascii="宋体" w:hAnsi="宋体" w:cs="宋体"/>
                <w:b/>
                <w:bCs/>
                <w:sz w:val="22"/>
                <w:szCs w:val="22"/>
                <w:highlight w:val="none"/>
              </w:rPr>
              <w:t xml:space="preserve">2.7</w:t>
            </w:r>
            <w:r>
              <w:rPr>
                <w:rFonts w:hint="eastAsia" w:ascii="宋体" w:hAnsi="宋体" w:cs="宋体"/>
                <w:b/>
                <w:bCs/>
                <w:sz w:val="22"/>
                <w:szCs w:val="22"/>
                <w:highlight w:val="none"/>
                <w:lang w:val="en-US" w:eastAsia="zh-CN"/>
              </w:rPr>
              <w:t xml:space="preserve">项目</w:t>
            </w:r>
            <w:r>
              <w:rPr>
                <w:rFonts w:hint="eastAsia" w:ascii="宋体" w:hAnsi="宋体" w:cs="宋体"/>
                <w:b/>
                <w:bCs/>
                <w:sz w:val="22"/>
                <w:szCs w:val="22"/>
                <w:highlight w:val="none"/>
              </w:rPr>
              <w:t xml:space="preserve">售后</w:t>
            </w:r>
            <w:r>
              <w:rPr>
                <w:rFonts w:hint="eastAsia" w:ascii="宋体" w:hAnsi="宋体" w:cs="宋体"/>
                <w:b/>
                <w:bCs/>
                <w:sz w:val="22"/>
                <w:szCs w:val="22"/>
                <w:highlight w:val="none"/>
                <w:lang w:val="en-US" w:eastAsia="zh-CN"/>
              </w:rPr>
              <w:t xml:space="preserve">服务</w:t>
            </w:r>
            <w:r>
              <w:rPr>
                <w:rFonts w:hint="eastAsia" w:ascii="宋体" w:hAnsi="宋体" w:cs="宋体"/>
                <w:b/>
                <w:bCs/>
                <w:sz w:val="22"/>
                <w:szCs w:val="22"/>
                <w:highlight w:val="none"/>
              </w:rPr>
              <w:t xml:space="preserve">方案</w:t>
            </w:r>
            <w:r/>
          </w:p>
        </w:tc>
        <w:tc>
          <w:tcPr>
            <w:tcW w:w="829" w:type="dxa"/>
            <w:vAlign w:val="center"/>
            <w:textDirection w:val="lrTb"/>
            <w:noWrap w:val="false"/>
          </w:tcPr>
          <w:p>
            <w:pPr>
              <w:jc w:val="center"/>
              <w:spacing w:after="160" w:line="278" w:lineRule="auto"/>
              <w:rPr>
                <w:rFonts w:hint="eastAsia" w:ascii="宋体" w:hAnsi="宋体" w:cs="宋体"/>
                <w:sz w:val="22"/>
                <w:szCs w:val="22"/>
                <w:highlight w:val="none"/>
                <w:lang w:eastAsia="zh-CN"/>
              </w:rPr>
            </w:pPr>
            <w:r>
              <w:rPr>
                <w:rFonts w:hint="eastAsia" w:ascii="宋体" w:hAnsi="宋体" w:cs="宋体"/>
                <w:sz w:val="22"/>
                <w:szCs w:val="22"/>
                <w:highlight w:val="none"/>
                <w:lang w:val="en-US" w:eastAsia="zh-CN"/>
              </w:rPr>
              <w:t xml:space="preserve">4</w:t>
            </w:r>
            <w:r/>
          </w:p>
        </w:tc>
        <w:tc>
          <w:tcPr>
            <w:tcW w:w="7318" w:type="dxa"/>
            <w:vAlign w:val="center"/>
            <w:textDirection w:val="lrTb"/>
            <w:noWrap w:val="false"/>
          </w:tcPr>
          <w:p>
            <w:pPr>
              <w:spacing w:after="160" w:line="278" w:lineRule="auto"/>
              <w:rPr>
                <w:rFonts w:hint="eastAsia" w:ascii="宋体" w:hAnsi="宋体" w:cs="宋体"/>
                <w:sz w:val="22"/>
                <w:szCs w:val="22"/>
                <w:highlight w:val="none"/>
              </w:rPr>
            </w:pPr>
            <w:r>
              <w:rPr>
                <w:rFonts w:hint="eastAsia" w:ascii="宋体" w:hAnsi="宋体" w:cs="宋体"/>
                <w:sz w:val="22"/>
                <w:szCs w:val="22"/>
                <w:highlight w:val="none"/>
              </w:rPr>
              <w:t xml:space="preserve">投标人根据招标文件要求提供售后服务方案，投标人提供的方案优于招标文件要求的得</w:t>
            </w:r>
            <w:r>
              <w:rPr>
                <w:rFonts w:hint="eastAsia" w:ascii="宋体" w:hAnsi="宋体" w:cs="宋体"/>
                <w:sz w:val="22"/>
                <w:szCs w:val="22"/>
                <w:highlight w:val="none"/>
                <w:lang w:val="en-US" w:eastAsia="zh-CN"/>
              </w:rPr>
              <w:t xml:space="preserve">4</w:t>
            </w:r>
            <w:r>
              <w:rPr>
                <w:rFonts w:hint="eastAsia" w:ascii="宋体" w:hAnsi="宋体" w:cs="宋体"/>
                <w:sz w:val="22"/>
                <w:szCs w:val="22"/>
                <w:highlight w:val="none"/>
              </w:rPr>
              <w:t xml:space="preserve">分，符合招标文件要求的得</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分，不符合或不提供不得分。</w:t>
            </w:r>
            <w:r/>
          </w:p>
        </w:tc>
      </w:tr>
      <w:tr>
        <w:trPr>
          <w:jc w:val="center"/>
        </w:trPr>
        <w:tc>
          <w:tcPr>
            <w:tcW w:w="1271" w:type="dxa"/>
            <w:vAlign w:val="center"/>
            <w:textDirection w:val="lrTb"/>
            <w:noWrap w:val="false"/>
          </w:tcPr>
          <w:p>
            <w:pPr>
              <w:spacing w:after="160" w:line="278" w:lineRule="auto"/>
              <w:rPr>
                <w:rFonts w:hint="default" w:ascii="宋体" w:hAnsi="宋体" w:cs="宋体"/>
                <w:b/>
                <w:bCs/>
                <w:sz w:val="22"/>
                <w:szCs w:val="22"/>
                <w:highlight w:val="none"/>
                <w:lang w:val="en-US"/>
              </w:rPr>
            </w:pPr>
            <w:r/>
            <w:bookmarkStart w:id="196" w:name="_Toc169700853"/>
            <w:r>
              <w:rPr>
                <w:rFonts w:hint="eastAsia" w:ascii="宋体" w:hAnsi="宋体" w:cs="宋体"/>
                <w:b/>
                <w:bCs/>
                <w:sz w:val="22"/>
                <w:szCs w:val="22"/>
                <w:highlight w:val="none"/>
              </w:rPr>
              <w:t xml:space="preserve">2.</w:t>
            </w:r>
            <w:r>
              <w:rPr>
                <w:rFonts w:hint="eastAsia" w:ascii="宋体" w:hAnsi="宋体" w:cs="宋体"/>
                <w:b/>
                <w:bCs/>
                <w:sz w:val="22"/>
                <w:szCs w:val="22"/>
                <w:highlight w:val="none"/>
                <w:lang w:val="en-US" w:eastAsia="zh-CN"/>
              </w:rPr>
              <w:t xml:space="preserve">8视频演示</w:t>
            </w:r>
            <w:r/>
          </w:p>
        </w:tc>
        <w:tc>
          <w:tcPr>
            <w:tcW w:w="829" w:type="dxa"/>
            <w:vAlign w:val="center"/>
            <w:textDirection w:val="lrTb"/>
            <w:noWrap w:val="false"/>
          </w:tcPr>
          <w:p>
            <w:pPr>
              <w:jc w:val="center"/>
              <w:spacing w:after="160" w:line="278" w:lineRule="auto"/>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10</w:t>
            </w:r>
            <w:r/>
          </w:p>
        </w:tc>
        <w:tc>
          <w:tcPr>
            <w:tcW w:w="7318" w:type="dxa"/>
            <w:vAlign w:val="center"/>
            <w:textDirection w:val="lrTb"/>
            <w:noWrap w:val="false"/>
          </w:tcPr>
          <w:p>
            <w:pPr>
              <w:ind w:firstLine="440"/>
              <w:spacing w:after="160" w:line="278" w:lineRule="auto"/>
              <w:rPr>
                <w:rFonts w:hint="eastAsia" w:ascii="宋体" w:hAnsi="宋体" w:cs="宋体"/>
                <w:sz w:val="22"/>
                <w:szCs w:val="22"/>
                <w:highlight w:val="none"/>
              </w:rPr>
            </w:pPr>
            <w:r/>
            <w:bookmarkStart w:id="204" w:name="_GoBack"/>
            <w:r/>
            <w:bookmarkEnd w:id="204"/>
            <w:r>
              <w:rPr>
                <w:rFonts w:hint="eastAsia" w:ascii="宋体" w:hAnsi="宋体" w:cs="宋体"/>
                <w:sz w:val="22"/>
                <w:szCs w:val="22"/>
                <w:highlight w:val="none"/>
              </w:rPr>
              <w:t xml:space="preserve">投标人需按照招标文件规定的演示内容制作演示视频文件，视频文件的格式为*.mp4或*.avi，投标人须将视频文件分段压缩为*.zip文件上传（单个文件不得大于50M，所有文件总共不得大于300M）。视频时长总计不超过10分钟。每项功能能够完全满足招标要求得2分，不能完全满足则不得分，</w:t>
            </w:r>
            <w:r>
              <w:rPr>
                <w:rFonts w:hint="eastAsia" w:ascii="宋体" w:hAnsi="宋体" w:cs="宋体"/>
                <w:sz w:val="22"/>
                <w:szCs w:val="22"/>
                <w:highlight w:val="none"/>
                <w:lang w:val="en-US" w:eastAsia="zh-CN"/>
              </w:rPr>
              <w:t xml:space="preserve">本项最高得</w:t>
            </w:r>
            <w:r>
              <w:rPr>
                <w:rFonts w:hint="eastAsia" w:ascii="宋体" w:hAnsi="宋体" w:cs="宋体"/>
                <w:sz w:val="22"/>
                <w:szCs w:val="22"/>
                <w:highlight w:val="none"/>
              </w:rPr>
              <w:t xml:space="preserve">10分。使用真实系统或系统原型演示的最高可得满分，使用ppt、动画等其他形式演示的得分乘以0.5。</w:t>
            </w:r>
            <w:r/>
          </w:p>
          <w:p>
            <w:pPr>
              <w:spacing w:after="160" w:line="278" w:lineRule="auto"/>
              <w:rPr>
                <w:rFonts w:hint="eastAsia" w:ascii="宋体" w:hAnsi="宋体" w:cs="宋体"/>
                <w:sz w:val="22"/>
                <w:szCs w:val="22"/>
                <w:highlight w:val="none"/>
              </w:rPr>
            </w:pPr>
            <w:r>
              <w:rPr>
                <w:rFonts w:hint="eastAsia" w:ascii="宋体" w:hAnsi="宋体" w:cs="宋体"/>
                <w:sz w:val="22"/>
                <w:szCs w:val="22"/>
                <w:highlight w:val="none"/>
              </w:rPr>
              <w:t xml:space="preserve">演示内容如下：</w:t>
            </w:r>
            <w:r/>
          </w:p>
          <w:p>
            <w:pPr>
              <w:spacing w:after="160" w:line="278" w:lineRule="auto"/>
              <w:rPr>
                <w:rFonts w:hint="eastAsia" w:ascii="宋体" w:hAnsi="宋体" w:cs="宋体"/>
                <w:sz w:val="22"/>
                <w:szCs w:val="22"/>
                <w:highlight w:val="none"/>
              </w:rPr>
            </w:pPr>
            <w:r>
              <w:rPr>
                <w:rFonts w:hint="eastAsia" w:ascii="宋体" w:hAnsi="宋体" w:cs="宋体"/>
                <w:sz w:val="22"/>
                <w:szCs w:val="22"/>
                <w:highlight w:val="none"/>
              </w:rPr>
              <w:t xml:space="preserve">（1）评估结果查看：显示患者的各癌种的评估结果，当评估患者某癌种高风险时，显示该癌种命中的风险因素、预防措施、早期症状、科普知识、就医指南、推荐筛查项目；当评估患者某癌低风险时，显示该癌种的风险因素；当评估后仍无法评估时，支持再次评估。</w:t>
            </w:r>
            <w:r/>
          </w:p>
          <w:p>
            <w:pPr>
              <w:spacing w:after="160" w:line="278" w:lineRule="auto"/>
              <w:rPr>
                <w:rFonts w:hint="eastAsia" w:ascii="宋体" w:hAnsi="宋体" w:cs="宋体"/>
                <w:sz w:val="22"/>
                <w:szCs w:val="22"/>
                <w:highlight w:val="none"/>
              </w:rPr>
            </w:pPr>
            <w:r>
              <w:rPr>
                <w:rFonts w:hint="eastAsia" w:ascii="宋体" w:hAnsi="宋体" w:cs="宋体"/>
                <w:sz w:val="22"/>
                <w:szCs w:val="22"/>
                <w:highlight w:val="none"/>
              </w:rPr>
              <w:t xml:space="preserve">（2）信息问询：在患者进行癌症智能评估时，支持当患者的一诉五史中信息模糊、不完整，或者医生的书写习惯导致信息缺失，无法完成完整的评估流程时，自动触发信息问询，提醒医生问询患者补充相关病史信息；医生补充后，将重新计算癌种风险。</w:t>
            </w:r>
            <w:r/>
          </w:p>
          <w:p>
            <w:pPr>
              <w:spacing w:after="160" w:line="278" w:lineRule="auto"/>
              <w:rPr>
                <w:rFonts w:hint="eastAsia" w:ascii="宋体" w:hAnsi="宋体" w:cs="宋体"/>
                <w:sz w:val="22"/>
                <w:szCs w:val="22"/>
                <w:highlight w:val="none"/>
              </w:rPr>
            </w:pPr>
            <w:r>
              <w:rPr>
                <w:rFonts w:hint="eastAsia" w:ascii="宋体" w:hAnsi="宋体" w:cs="宋体"/>
                <w:sz w:val="22"/>
                <w:szCs w:val="22"/>
                <w:highlight w:val="none"/>
              </w:rPr>
              <w:t xml:space="preserve">（3）患者360：展示患者评估和筛查的时序图、风险因素推理过程、阳性判断推理过程及原始内容的溯源。</w:t>
            </w:r>
            <w:r/>
          </w:p>
          <w:p>
            <w:pPr>
              <w:spacing w:after="160" w:line="278" w:lineRule="auto"/>
              <w:rPr>
                <w:rFonts w:hint="eastAsia" w:ascii="宋体" w:hAnsi="宋体" w:cs="宋体"/>
                <w:sz w:val="22"/>
                <w:szCs w:val="22"/>
                <w:highlight w:val="none"/>
              </w:rPr>
            </w:pPr>
            <w:r>
              <w:rPr>
                <w:rFonts w:hint="eastAsia" w:ascii="宋体" w:hAnsi="宋体" w:cs="宋体"/>
                <w:sz w:val="22"/>
                <w:szCs w:val="22"/>
                <w:highlight w:val="none"/>
              </w:rPr>
              <w:t xml:space="preserve">（4）核心指标统计分析：支持核心指标的统计，支持按照整体和各癌种做洞察决策分析。</w:t>
            </w:r>
            <w:r/>
          </w:p>
          <w:p>
            <w:pPr>
              <w:spacing w:after="160" w:line="278" w:lineRule="auto"/>
              <w:rPr>
                <w:rFonts w:hint="eastAsia" w:ascii="宋体" w:hAnsi="宋体" w:cs="宋体"/>
                <w:sz w:val="22"/>
                <w:szCs w:val="22"/>
                <w:highlight w:val="none"/>
              </w:rPr>
            </w:pPr>
            <w:r>
              <w:rPr>
                <w:rFonts w:hint="eastAsia" w:ascii="宋体" w:hAnsi="宋体" w:cs="宋体"/>
                <w:sz w:val="22"/>
                <w:szCs w:val="22"/>
                <w:highlight w:val="none"/>
              </w:rPr>
              <w:t xml:space="preserve">（5）报告结果推理：维护推理筛查报告的各项阳性条件和推理过程维护。</w:t>
            </w:r>
            <w:bookmarkEnd w:id="196"/>
            <w:r/>
            <w:r/>
          </w:p>
        </w:tc>
      </w:tr>
      <w:tr>
        <w:trPr>
          <w:jc w:val="center"/>
          <w:trHeight w:val="983"/>
        </w:trPr>
        <w:tc>
          <w:tcPr>
            <w:tcW w:w="1271" w:type="dxa"/>
            <w:vAlign w:val="center"/>
            <w:textDirection w:val="lrTb"/>
            <w:noWrap w:val="false"/>
          </w:tcPr>
          <w:p>
            <w:pPr>
              <w:spacing w:after="160" w:line="278" w:lineRule="auto"/>
              <w:rPr>
                <w:rFonts w:hint="eastAsia" w:ascii="宋体" w:hAnsi="宋体" w:cs="宋体"/>
                <w:b/>
                <w:bCs/>
                <w:sz w:val="22"/>
                <w:szCs w:val="22"/>
                <w:highlight w:val="none"/>
              </w:rPr>
            </w:pPr>
            <w:r/>
            <w:bookmarkStart w:id="197" w:name="_Hlk216438166"/>
            <w:r>
              <w:rPr>
                <w:rFonts w:hint="eastAsia" w:ascii="宋体" w:hAnsi="宋体" w:cs="宋体"/>
                <w:b/>
                <w:bCs/>
                <w:sz w:val="22"/>
                <w:szCs w:val="22"/>
                <w:highlight w:val="none"/>
              </w:rPr>
              <w:t xml:space="preserve">3.1人员配备</w:t>
            </w:r>
            <w:r/>
          </w:p>
        </w:tc>
        <w:tc>
          <w:tcPr>
            <w:tcW w:w="829" w:type="dxa"/>
            <w:vAlign w:val="center"/>
            <w:textDirection w:val="lrTb"/>
            <w:noWrap w:val="false"/>
          </w:tcPr>
          <w:p>
            <w:pPr>
              <w:jc w:val="center"/>
              <w:spacing w:after="160" w:line="278" w:lineRule="auto"/>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8</w:t>
            </w:r>
            <w:r/>
          </w:p>
        </w:tc>
        <w:tc>
          <w:tcPr>
            <w:tcW w:w="7318" w:type="dxa"/>
            <w:vAlign w:val="top"/>
            <w:textDirection w:val="lrTb"/>
            <w:noWrap w:val="false"/>
          </w:tcPr>
          <w:p>
            <w:pPr>
              <w:spacing w:after="160" w:line="278" w:lineRule="auto"/>
              <w:rPr>
                <w:rFonts w:hint="eastAsia" w:ascii="宋体" w:hAnsi="宋体" w:cs="宋体"/>
                <w:sz w:val="22"/>
                <w:szCs w:val="22"/>
                <w:highlight w:val="none"/>
              </w:rPr>
            </w:pPr>
            <w:r>
              <w:rPr>
                <w:rFonts w:hint="eastAsia" w:ascii="宋体" w:hAnsi="宋体" w:cs="宋体"/>
                <w:sz w:val="22"/>
                <w:szCs w:val="22"/>
                <w:highlight w:val="none"/>
              </w:rPr>
              <w:t xml:space="preserve">3.1.1项目经理证书</w:t>
            </w:r>
            <w:r/>
          </w:p>
          <w:p>
            <w:pPr>
              <w:spacing w:after="160" w:line="278" w:lineRule="auto"/>
              <w:rPr>
                <w:rFonts w:hint="eastAsia" w:ascii="宋体" w:hAnsi="宋体" w:cs="宋体"/>
                <w:sz w:val="22"/>
                <w:szCs w:val="22"/>
                <w:highlight w:val="none"/>
              </w:rPr>
            </w:pPr>
            <w:r>
              <w:rPr>
                <w:rFonts w:hint="eastAsia" w:ascii="宋体" w:hAnsi="宋体" w:cs="宋体"/>
                <w:sz w:val="22"/>
                <w:szCs w:val="22"/>
                <w:highlight w:val="none"/>
              </w:rPr>
              <w:t xml:space="preserve">项目经理具备信息系统项目管理师高级证书的得2分；具备信息系统项目管理师中级证书的得1分。本项最高得</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分（提供证书扫描件</w:t>
            </w:r>
            <w:r>
              <w:rPr>
                <w:rFonts w:hint="eastAsia" w:ascii="宋体" w:hAnsi="宋体" w:cs="宋体"/>
                <w:sz w:val="22"/>
                <w:szCs w:val="22"/>
                <w:highlight w:val="none"/>
                <w:lang w:eastAsia="zh-CN"/>
              </w:rPr>
              <w:t xml:space="preserve">或复印件</w:t>
            </w:r>
            <w:r>
              <w:rPr>
                <w:rFonts w:hint="eastAsia" w:ascii="宋体" w:hAnsi="宋体" w:cs="宋体"/>
                <w:sz w:val="22"/>
                <w:szCs w:val="22"/>
                <w:highlight w:val="none"/>
              </w:rPr>
              <w:t xml:space="preserve">并加盖投标人公章。）</w:t>
            </w:r>
            <w:r/>
          </w:p>
          <w:p>
            <w:pPr>
              <w:spacing w:after="160" w:line="278" w:lineRule="auto"/>
              <w:rPr>
                <w:rFonts w:hint="eastAsia" w:ascii="宋体" w:hAnsi="宋体" w:cs="宋体"/>
                <w:sz w:val="22"/>
                <w:szCs w:val="22"/>
                <w:highlight w:val="none"/>
              </w:rPr>
            </w:pPr>
            <w:r>
              <w:rPr>
                <w:rFonts w:hint="eastAsia" w:ascii="宋体" w:hAnsi="宋体" w:cs="宋体"/>
                <w:sz w:val="22"/>
                <w:szCs w:val="22"/>
                <w:highlight w:val="none"/>
              </w:rPr>
              <w:t xml:space="preserve">3.1.2项目经理经验</w:t>
            </w:r>
            <w:r/>
          </w:p>
          <w:p>
            <w:pPr>
              <w:spacing w:after="160" w:line="278" w:lineRule="auto"/>
              <w:rPr>
                <w:rFonts w:hint="eastAsia" w:ascii="宋体" w:hAnsi="宋体" w:cs="宋体"/>
                <w:sz w:val="22"/>
                <w:szCs w:val="22"/>
                <w:highlight w:val="none"/>
              </w:rPr>
            </w:pPr>
            <w:r>
              <w:rPr>
                <w:rFonts w:hint="eastAsia" w:ascii="宋体" w:hAnsi="宋体" w:cs="宋体"/>
                <w:sz w:val="22"/>
                <w:szCs w:val="22"/>
                <w:highlight w:val="none"/>
              </w:rPr>
              <w:t xml:space="preserve">项目经理具有</w:t>
            </w:r>
            <w:r>
              <w:rPr>
                <w:rFonts w:hint="eastAsia" w:ascii="宋体" w:hAnsi="宋体" w:cs="宋体"/>
                <w:sz w:val="22"/>
                <w:szCs w:val="22"/>
                <w:highlight w:val="none"/>
                <w:lang w:val="en-US" w:eastAsia="zh-CN"/>
              </w:rPr>
              <w:t xml:space="preserve">相关</w:t>
            </w:r>
            <w:r>
              <w:rPr>
                <w:rFonts w:hint="eastAsia" w:ascii="宋体" w:hAnsi="宋体" w:cs="宋体"/>
                <w:sz w:val="22"/>
                <w:szCs w:val="22"/>
                <w:highlight w:val="none"/>
              </w:rPr>
              <w:t xml:space="preserve">系统建设经验的，每提供一份相关经验证明文件得</w:t>
            </w:r>
            <w:r>
              <w:rPr>
                <w:rFonts w:hint="eastAsia" w:ascii="宋体" w:hAnsi="宋体" w:cs="宋体"/>
                <w:sz w:val="22"/>
                <w:szCs w:val="22"/>
                <w:highlight w:val="none"/>
                <w:lang w:val="en-US" w:eastAsia="zh-CN"/>
              </w:rPr>
              <w:t xml:space="preserve">1</w:t>
            </w:r>
            <w:r>
              <w:rPr>
                <w:rFonts w:hint="eastAsia" w:ascii="宋体" w:hAnsi="宋体" w:cs="宋体"/>
                <w:sz w:val="22"/>
                <w:szCs w:val="22"/>
                <w:highlight w:val="none"/>
              </w:rPr>
              <w:t xml:space="preserve">分，本项最高得</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分。（注：本项须提供①项目经理曾参与建设的项目合同或项目验收报告，合同或验收报告需体现项目经理姓名</w:t>
            </w:r>
            <w:r>
              <w:rPr>
                <w:rFonts w:hint="eastAsia" w:ascii="宋体" w:hAnsi="宋体" w:cs="宋体"/>
                <w:sz w:val="22"/>
                <w:szCs w:val="22"/>
                <w:highlight w:val="none"/>
                <w:lang w:eastAsia="zh-CN"/>
              </w:rPr>
              <w:t xml:space="preserve">，相关材料</w:t>
            </w:r>
            <w:r>
              <w:rPr>
                <w:rFonts w:hint="eastAsia" w:ascii="宋体" w:hAnsi="宋体" w:cs="宋体"/>
                <w:sz w:val="22"/>
                <w:szCs w:val="22"/>
                <w:highlight w:val="none"/>
              </w:rPr>
              <w:t xml:space="preserve">加盖投标人公章</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②近三个月内任意一个月投标人为项目经理缴纳社保的证明文件并加盖投标人公章。上述两项需同时满足，否则不得分。）</w:t>
            </w:r>
            <w:r/>
          </w:p>
          <w:p>
            <w:pPr>
              <w:spacing w:after="160" w:line="278" w:lineRule="auto"/>
              <w:rPr>
                <w:rFonts w:hint="eastAsia" w:ascii="宋体" w:hAnsi="宋体" w:cs="宋体"/>
                <w:sz w:val="22"/>
                <w:szCs w:val="22"/>
                <w:highlight w:val="none"/>
              </w:rPr>
            </w:pPr>
            <w:r>
              <w:rPr>
                <w:rFonts w:hint="eastAsia" w:ascii="宋体" w:hAnsi="宋体" w:cs="宋体"/>
                <w:sz w:val="22"/>
                <w:szCs w:val="22"/>
                <w:highlight w:val="none"/>
              </w:rPr>
              <w:t xml:space="preserve">3.1.3项目实施人员</w:t>
            </w:r>
            <w:r/>
          </w:p>
          <w:p>
            <w:pPr>
              <w:spacing w:after="160" w:line="278" w:lineRule="auto"/>
              <w:rPr>
                <w:rFonts w:hint="eastAsia" w:ascii="宋体" w:hAnsi="宋体" w:cs="宋体"/>
                <w:sz w:val="22"/>
                <w:szCs w:val="22"/>
                <w:highlight w:val="none"/>
              </w:rPr>
            </w:pPr>
            <w:r>
              <w:rPr>
                <w:rFonts w:hint="eastAsia" w:ascii="宋体" w:hAnsi="宋体" w:cs="宋体"/>
                <w:sz w:val="22"/>
                <w:szCs w:val="22"/>
                <w:highlight w:val="none"/>
              </w:rPr>
              <w:t xml:space="preserve">项目组实施人员（项目经理除外）专业素质、技术能力、专业分布、经验等情况进行评价。项目实施人员中每有1人具有软件设计师（中级或以上的）证书或软件技术开发工程师证书或软件工程师证书的得1分，</w:t>
            </w:r>
            <w:r>
              <w:rPr>
                <w:rFonts w:ascii="SimSun" w:hAnsi="SimSun" w:eastAsia="SimSun" w:cs="SimSun"/>
                <w:color w:val="000000"/>
                <w:sz w:val="22"/>
              </w:rPr>
              <w:t xml:space="preserve">项目实施人员中每有1人具有具备医学、药学硕士及以上学历或具备执业证书或其他卫生专业技术资格证书的得1分</w:t>
            </w:r>
            <w:r>
              <w:rPr>
                <w:rFonts w:hint="eastAsia" w:ascii="宋体" w:hAnsi="宋体" w:cs="宋体"/>
                <w:sz w:val="22"/>
                <w:szCs w:val="22"/>
                <w:highlight w:val="none"/>
              </w:rPr>
              <w:t xml:space="preserve">，本项最高得3分（同一人仅算1项有效证书）。（注：须提供相关证书扫描件</w:t>
            </w:r>
            <w:r>
              <w:rPr>
                <w:rFonts w:hint="eastAsia" w:ascii="宋体" w:hAnsi="宋体" w:cs="宋体"/>
                <w:sz w:val="22"/>
                <w:szCs w:val="22"/>
                <w:highlight w:val="none"/>
                <w:lang w:eastAsia="zh-CN"/>
              </w:rPr>
              <w:t xml:space="preserve">或复印件</w:t>
            </w:r>
            <w:r>
              <w:rPr>
                <w:rFonts w:hint="eastAsia" w:ascii="宋体" w:hAnsi="宋体" w:cs="宋体"/>
                <w:sz w:val="22"/>
                <w:szCs w:val="22"/>
                <w:highlight w:val="none"/>
              </w:rPr>
              <w:t xml:space="preserve">及近三个月内任意一个月投标人为实施人员缴纳社保的证明文件</w:t>
            </w:r>
            <w:r>
              <w:rPr>
                <w:rFonts w:hint="eastAsia" w:ascii="宋体" w:hAnsi="宋体" w:cs="宋体"/>
                <w:sz w:val="22"/>
                <w:szCs w:val="22"/>
                <w:highlight w:val="none"/>
                <w:lang w:eastAsia="zh-CN"/>
              </w:rPr>
              <w:t xml:space="preserve">，上述材料</w:t>
            </w:r>
            <w:r>
              <w:rPr>
                <w:rFonts w:hint="eastAsia" w:ascii="宋体" w:hAnsi="宋体" w:cs="宋体"/>
                <w:sz w:val="22"/>
                <w:szCs w:val="22"/>
                <w:highlight w:val="none"/>
              </w:rPr>
              <w:t xml:space="preserve">加盖投标人公章。）</w:t>
            </w:r>
            <w:r/>
          </w:p>
        </w:tc>
      </w:tr>
      <w:tr>
        <w:trPr>
          <w:jc w:val="center"/>
        </w:trPr>
        <w:tc>
          <w:tcPr>
            <w:tcW w:w="1271" w:type="dxa"/>
            <w:vAlign w:val="center"/>
            <w:textDirection w:val="lrTb"/>
            <w:noWrap w:val="false"/>
          </w:tcPr>
          <w:p>
            <w:pPr>
              <w:spacing w:after="160" w:line="278" w:lineRule="auto"/>
              <w:rPr>
                <w:rFonts w:hint="default" w:ascii="宋体" w:hAnsi="宋体" w:cs="宋体"/>
                <w:b/>
                <w:bCs/>
                <w:sz w:val="22"/>
                <w:szCs w:val="22"/>
                <w:highlight w:val="none"/>
                <w:lang w:val="en-US" w:eastAsia="zh-CN"/>
              </w:rPr>
            </w:pPr>
            <w:r>
              <w:rPr>
                <w:rFonts w:hint="eastAsia" w:ascii="宋体" w:hAnsi="宋体" w:cs="宋体"/>
                <w:b/>
                <w:bCs/>
                <w:sz w:val="22"/>
                <w:szCs w:val="22"/>
                <w:highlight w:val="none"/>
              </w:rPr>
              <w:t xml:space="preserve">3.2</w:t>
            </w:r>
            <w:r>
              <w:rPr>
                <w:rFonts w:hint="eastAsia" w:ascii="宋体" w:hAnsi="宋体" w:cs="宋体"/>
                <w:b/>
                <w:bCs/>
                <w:sz w:val="22"/>
                <w:szCs w:val="22"/>
                <w:highlight w:val="none"/>
                <w:lang w:val="en-US" w:eastAsia="zh-CN"/>
              </w:rPr>
              <w:t xml:space="preserve">企业资质</w:t>
            </w:r>
            <w:r/>
          </w:p>
        </w:tc>
        <w:tc>
          <w:tcPr>
            <w:tcW w:w="829" w:type="dxa"/>
            <w:vAlign w:val="center"/>
            <w:textDirection w:val="lrTb"/>
            <w:noWrap w:val="false"/>
          </w:tcPr>
          <w:p>
            <w:pPr>
              <w:jc w:val="center"/>
              <w:spacing w:after="160" w:line="278" w:lineRule="auto"/>
              <w:rPr>
                <w:rFonts w:hint="eastAsia" w:ascii="宋体" w:hAnsi="宋体" w:cs="宋体"/>
                <w:sz w:val="22"/>
                <w:szCs w:val="22"/>
                <w:highlight w:val="none"/>
                <w:lang w:eastAsia="zh-CN"/>
              </w:rPr>
            </w:pPr>
            <w:r>
              <w:rPr>
                <w:rFonts w:hint="eastAsia" w:ascii="宋体" w:hAnsi="宋体" w:cs="宋体"/>
                <w:sz w:val="22"/>
                <w:szCs w:val="22"/>
                <w:highlight w:val="none"/>
                <w:lang w:val="en-US" w:eastAsia="zh-CN"/>
              </w:rPr>
              <w:t xml:space="preserve">3</w:t>
            </w:r>
            <w:r/>
          </w:p>
        </w:tc>
        <w:tc>
          <w:tcPr>
            <w:tcW w:w="7318" w:type="dxa"/>
            <w:vAlign w:val="top"/>
            <w:textDirection w:val="lrTb"/>
            <w:noWrap w:val="false"/>
          </w:tcPr>
          <w:p>
            <w:pPr>
              <w:spacing w:after="160" w:line="278" w:lineRule="auto"/>
              <w:rPr>
                <w:rFonts w:hint="eastAsia" w:ascii="宋体" w:hAnsi="宋体" w:cs="宋体"/>
                <w:sz w:val="22"/>
                <w:szCs w:val="22"/>
                <w:highlight w:val="none"/>
              </w:rPr>
            </w:pPr>
            <w:r>
              <w:rPr>
                <w:rFonts w:hint="eastAsia" w:ascii="宋体" w:hAnsi="宋体" w:cs="宋体"/>
                <w:sz w:val="22"/>
                <w:szCs w:val="22"/>
                <w:highlight w:val="none"/>
              </w:rPr>
              <w:t xml:space="preserve">投标人具有国家认监委认可的机构颁发的有效期内的ISO9001质量管理体系认证、ISO20000信息技术服务管理体系认证、ISO27001信息安全管理体系认证，每提供一个计</w:t>
            </w:r>
            <w:r>
              <w:rPr>
                <w:rFonts w:hint="eastAsia" w:ascii="宋体" w:hAnsi="宋体" w:cs="宋体"/>
                <w:sz w:val="22"/>
                <w:szCs w:val="22"/>
                <w:highlight w:val="none"/>
                <w:lang w:val="en-US" w:eastAsia="zh-CN"/>
              </w:rPr>
              <w:t xml:space="preserve">1</w:t>
            </w:r>
            <w:r>
              <w:rPr>
                <w:rFonts w:hint="eastAsia" w:ascii="宋体" w:hAnsi="宋体" w:cs="宋体"/>
                <w:sz w:val="22"/>
                <w:szCs w:val="22"/>
                <w:highlight w:val="none"/>
              </w:rPr>
              <w:t xml:space="preserve">分，最高计</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分。（注：投标时需同时提供相关证书扫描件或复印件并加盖投标人公章。）</w:t>
            </w:r>
            <w:r/>
          </w:p>
        </w:tc>
      </w:tr>
      <w:tr>
        <w:trPr>
          <w:jc w:val="center"/>
          <w:trHeight w:val="1690"/>
        </w:trPr>
        <w:tc>
          <w:tcPr>
            <w:tcW w:w="1271" w:type="dxa"/>
            <w:vAlign w:val="center"/>
            <w:textDirection w:val="lrTb"/>
            <w:noWrap w:val="false"/>
          </w:tcPr>
          <w:p>
            <w:pPr>
              <w:spacing w:after="160" w:line="278" w:lineRule="auto"/>
              <w:rPr>
                <w:rFonts w:hint="eastAsia" w:ascii="宋体" w:hAnsi="宋体" w:cs="宋体"/>
                <w:b/>
                <w:bCs/>
                <w:sz w:val="22"/>
                <w:szCs w:val="22"/>
                <w:highlight w:val="none"/>
              </w:rPr>
            </w:pPr>
            <w:r>
              <w:rPr>
                <w:rFonts w:hint="eastAsia" w:ascii="宋体" w:hAnsi="宋体" w:cs="宋体"/>
                <w:b/>
                <w:bCs/>
                <w:sz w:val="22"/>
                <w:szCs w:val="22"/>
                <w:highlight w:val="none"/>
              </w:rPr>
              <w:t xml:space="preserve">3.3业绩</w:t>
            </w:r>
            <w:r/>
          </w:p>
        </w:tc>
        <w:tc>
          <w:tcPr>
            <w:tcW w:w="829" w:type="dxa"/>
            <w:vAlign w:val="center"/>
            <w:textDirection w:val="lrTb"/>
            <w:noWrap w:val="false"/>
          </w:tcPr>
          <w:p>
            <w:pPr>
              <w:jc w:val="center"/>
              <w:spacing w:after="160" w:line="278" w:lineRule="auto"/>
              <w:rPr>
                <w:rFonts w:hint="eastAsia" w:ascii="宋体" w:hAnsi="宋体" w:cs="宋体"/>
                <w:sz w:val="22"/>
                <w:szCs w:val="22"/>
                <w:highlight w:val="none"/>
              </w:rPr>
            </w:pPr>
            <w:r>
              <w:rPr>
                <w:rFonts w:hint="eastAsia" w:ascii="宋体" w:hAnsi="宋体" w:cs="宋体"/>
                <w:sz w:val="22"/>
                <w:szCs w:val="22"/>
                <w:highlight w:val="none"/>
              </w:rPr>
              <w:t xml:space="preserve">6</w:t>
            </w:r>
            <w:r/>
          </w:p>
        </w:tc>
        <w:tc>
          <w:tcPr>
            <w:tcW w:w="7318" w:type="dxa"/>
            <w:vAlign w:val="top"/>
            <w:textDirection w:val="lrTb"/>
            <w:noWrap w:val="false"/>
          </w:tcPr>
          <w:p>
            <w:pPr>
              <w:spacing w:after="160" w:line="278" w:lineRule="auto"/>
              <w:rPr>
                <w:rFonts w:hint="eastAsia" w:ascii="宋体" w:hAnsi="宋体" w:cs="宋体"/>
                <w:sz w:val="22"/>
                <w:szCs w:val="22"/>
                <w:highlight w:val="none"/>
              </w:rPr>
            </w:pPr>
            <w:r>
              <w:rPr>
                <w:rFonts w:hint="eastAsia" w:ascii="宋体" w:hAnsi="宋体" w:cs="宋体"/>
                <w:sz w:val="22"/>
                <w:szCs w:val="22"/>
                <w:highlight w:val="none"/>
              </w:rPr>
              <w:t xml:space="preserve">供应商提供自202</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年1月1日（含）以来同类业绩案例合同，</w:t>
            </w:r>
            <w:r>
              <w:rPr>
                <w:rFonts w:ascii="SimSun" w:hAnsi="SimSun" w:eastAsia="SimSun" w:cs="SimSun"/>
                <w:color w:val="000000"/>
                <w:sz w:val="21"/>
              </w:rPr>
              <w:t xml:space="preserve">每一案例</w:t>
            </w:r>
            <w:r>
              <w:rPr>
                <w:rFonts w:hint="eastAsia" w:ascii="宋体" w:hAnsi="宋体" w:cs="宋体"/>
                <w:sz w:val="22"/>
                <w:szCs w:val="22"/>
                <w:highlight w:val="none"/>
              </w:rPr>
              <w:t xml:space="preserve">得2分，本项最多得6分</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（注∶须提供合同扫描件</w:t>
            </w:r>
            <w:r>
              <w:rPr>
                <w:rFonts w:hint="eastAsia" w:ascii="宋体" w:hAnsi="宋体" w:cs="宋体"/>
                <w:sz w:val="22"/>
                <w:szCs w:val="22"/>
                <w:highlight w:val="none"/>
                <w:lang w:eastAsia="zh-CN"/>
              </w:rPr>
              <w:t xml:space="preserve">或复印件</w:t>
            </w:r>
            <w:r>
              <w:rPr>
                <w:rFonts w:hint="eastAsia" w:ascii="宋体" w:hAnsi="宋体" w:cs="宋体"/>
                <w:sz w:val="22"/>
                <w:szCs w:val="22"/>
                <w:highlight w:val="none"/>
              </w:rPr>
              <w:t xml:space="preserve">并加盖投标人公章。合同中需体现甲乙双方名称、合同签订时间、甲乙双方章印齐全、合同服务内容，否则不予认可。未提供或未按要求提供材料的均不得分。）</w:t>
            </w:r>
            <w:r/>
          </w:p>
        </w:tc>
      </w:tr>
      <w:tr>
        <w:trPr>
          <w:jc w:val="center"/>
        </w:trPr>
        <w:tc>
          <w:tcPr>
            <w:tcW w:w="1271" w:type="dxa"/>
            <w:vAlign w:val="center"/>
            <w:textDirection w:val="lrTb"/>
            <w:noWrap w:val="false"/>
          </w:tcPr>
          <w:p>
            <w:pPr>
              <w:spacing w:after="160" w:line="278" w:lineRule="auto"/>
              <w:rPr>
                <w:rFonts w:hint="eastAsia" w:ascii="宋体" w:hAnsi="宋体" w:cs="宋体"/>
                <w:b/>
                <w:bCs/>
                <w:sz w:val="22"/>
                <w:szCs w:val="22"/>
                <w:highlight w:val="none"/>
              </w:rPr>
            </w:pPr>
            <w:r>
              <w:rPr>
                <w:rFonts w:hint="eastAsia" w:ascii="宋体" w:hAnsi="宋体" w:cs="宋体"/>
                <w:b/>
                <w:bCs/>
                <w:sz w:val="22"/>
                <w:szCs w:val="22"/>
                <w:highlight w:val="none"/>
              </w:rPr>
              <w:t xml:space="preserve">3.4企业能力</w:t>
            </w:r>
            <w:r/>
          </w:p>
        </w:tc>
        <w:tc>
          <w:tcPr>
            <w:tcW w:w="829" w:type="dxa"/>
            <w:vAlign w:val="center"/>
            <w:textDirection w:val="lrTb"/>
            <w:noWrap w:val="false"/>
          </w:tcPr>
          <w:p>
            <w:pPr>
              <w:jc w:val="center"/>
              <w:spacing w:after="160" w:line="278" w:lineRule="auto"/>
              <w:rPr>
                <w:rFonts w:hint="eastAsia" w:ascii="宋体" w:hAnsi="宋体" w:cs="宋体"/>
                <w:sz w:val="22"/>
                <w:szCs w:val="22"/>
                <w:highlight w:val="none"/>
                <w:lang w:eastAsia="zh-CN"/>
              </w:rPr>
            </w:pPr>
            <w:r>
              <w:rPr>
                <w:rFonts w:hint="eastAsia" w:ascii="宋体" w:hAnsi="宋体" w:cs="宋体"/>
                <w:sz w:val="22"/>
                <w:szCs w:val="22"/>
                <w:highlight w:val="none"/>
                <w:lang w:val="en-US" w:eastAsia="zh-CN"/>
              </w:rPr>
              <w:t xml:space="preserve">3</w:t>
            </w:r>
            <w:r/>
          </w:p>
        </w:tc>
        <w:tc>
          <w:tcPr>
            <w:tcW w:w="7318" w:type="dxa"/>
            <w:vAlign w:val="top"/>
            <w:textDirection w:val="lrTb"/>
            <w:noWrap w:val="false"/>
          </w:tcPr>
          <w:p>
            <w:pPr>
              <w:spacing w:after="160" w:line="278" w:lineRule="auto"/>
              <w:rPr>
                <w:rFonts w:hint="eastAsia" w:ascii="宋体" w:hAnsi="宋体" w:cs="宋体"/>
                <w:b w:val="0"/>
                <w:bCs w:val="0"/>
                <w:sz w:val="22"/>
                <w:szCs w:val="22"/>
                <w:highlight w:val="none"/>
              </w:rPr>
            </w:pPr>
            <w:r>
              <w:rPr>
                <w:rFonts w:hint="eastAsia" w:ascii="宋体" w:hAnsi="宋体" w:cs="宋体"/>
                <w:b w:val="0"/>
                <w:bCs w:val="0"/>
                <w:sz w:val="22"/>
                <w:szCs w:val="22"/>
                <w:highlight w:val="none"/>
              </w:rPr>
              <w:t xml:space="preserve">投标人每提供一个以下关键</w:t>
            </w:r>
            <w:r>
              <w:rPr>
                <w:rFonts w:hint="eastAsia" w:ascii="宋体" w:hAnsi="宋体" w:cs="宋体"/>
                <w:b w:val="0"/>
                <w:bCs w:val="0"/>
                <w:sz w:val="22"/>
                <w:szCs w:val="22"/>
                <w:highlight w:val="none"/>
                <w:lang w:val="en-US" w:eastAsia="zh-CN"/>
              </w:rPr>
              <w:t xml:space="preserve">词</w:t>
            </w:r>
            <w:r>
              <w:rPr>
                <w:rFonts w:hint="eastAsia" w:ascii="宋体" w:hAnsi="宋体" w:cs="宋体"/>
                <w:b w:val="0"/>
                <w:bCs w:val="0"/>
                <w:sz w:val="22"/>
                <w:szCs w:val="22"/>
                <w:highlight w:val="none"/>
              </w:rPr>
              <w:t xml:space="preserve">（包括：数据分析治理、</w:t>
            </w:r>
            <w:r>
              <w:rPr>
                <w:rFonts w:ascii="SimSun" w:hAnsi="SimSun" w:eastAsia="SimSun" w:cs="SimSun"/>
                <w:color w:val="000000"/>
                <w:sz w:val="21"/>
              </w:rPr>
              <w:t xml:space="preserve">机会性筛查</w:t>
            </w:r>
            <w:r>
              <w:rPr>
                <w:rFonts w:hint="eastAsia" w:ascii="宋体" w:hAnsi="宋体" w:cs="宋体"/>
                <w:b w:val="0"/>
                <w:bCs w:val="0"/>
                <w:sz w:val="22"/>
                <w:szCs w:val="22"/>
                <w:highlight w:val="none"/>
                <w:lang w:eastAsia="zh-CN"/>
              </w:rPr>
              <w:t xml:space="preserve">、数据上报</w:t>
            </w:r>
            <w:r>
              <w:rPr>
                <w:rFonts w:hint="eastAsia" w:ascii="宋体" w:hAnsi="宋体" w:cs="宋体"/>
                <w:b w:val="0"/>
                <w:bCs w:val="0"/>
                <w:sz w:val="22"/>
                <w:szCs w:val="22"/>
                <w:highlight w:val="none"/>
                <w:lang w:val="en-US" w:eastAsia="zh-CN"/>
              </w:rPr>
              <w:t xml:space="preserve">等</w:t>
            </w:r>
            <w:r>
              <w:rPr>
                <w:rFonts w:hint="eastAsia" w:ascii="宋体" w:hAnsi="宋体" w:cs="宋体"/>
                <w:b w:val="0"/>
                <w:bCs w:val="0"/>
                <w:sz w:val="22"/>
                <w:szCs w:val="22"/>
                <w:highlight w:val="none"/>
              </w:rPr>
              <w:t xml:space="preserve">）的计算机软件著作权证书得1分，最高分</w:t>
            </w:r>
            <w:r>
              <w:rPr>
                <w:rFonts w:hint="eastAsia" w:ascii="宋体" w:hAnsi="宋体" w:cs="宋体"/>
                <w:b w:val="0"/>
                <w:bCs w:val="0"/>
                <w:sz w:val="22"/>
                <w:szCs w:val="22"/>
                <w:highlight w:val="none"/>
                <w:lang w:val="en-US" w:eastAsia="zh-CN"/>
              </w:rPr>
              <w:t xml:space="preserve">3</w:t>
            </w:r>
            <w:r>
              <w:rPr>
                <w:rFonts w:hint="eastAsia" w:ascii="宋体" w:hAnsi="宋体" w:cs="宋体"/>
                <w:b w:val="0"/>
                <w:bCs w:val="0"/>
                <w:sz w:val="22"/>
                <w:szCs w:val="22"/>
                <w:highlight w:val="none"/>
              </w:rPr>
              <w:t xml:space="preserve">分。</w:t>
            </w:r>
            <w:r/>
          </w:p>
          <w:p>
            <w:pPr>
              <w:spacing w:after="160" w:line="278" w:lineRule="auto"/>
              <w:rPr>
                <w:rFonts w:hint="eastAsia" w:ascii="宋体" w:hAnsi="宋体" w:cs="宋体"/>
                <w:b/>
                <w:bCs/>
                <w:sz w:val="22"/>
                <w:szCs w:val="22"/>
                <w:highlight w:val="none"/>
              </w:rPr>
            </w:pPr>
            <w:r>
              <w:rPr>
                <w:rFonts w:hint="eastAsia" w:ascii="宋体" w:hAnsi="宋体" w:cs="宋体"/>
                <w:b/>
                <w:bCs/>
                <w:sz w:val="22"/>
                <w:szCs w:val="22"/>
                <w:highlight w:val="none"/>
              </w:rPr>
              <w:t xml:space="preserve">注：须提供证书扫描件</w:t>
            </w:r>
            <w:r>
              <w:rPr>
                <w:rFonts w:hint="eastAsia" w:ascii="宋体" w:hAnsi="宋体" w:cs="宋体"/>
                <w:b/>
                <w:bCs/>
                <w:sz w:val="22"/>
                <w:szCs w:val="22"/>
                <w:highlight w:val="none"/>
                <w:lang w:eastAsia="zh-CN"/>
              </w:rPr>
              <w:t xml:space="preserve">或复印件</w:t>
            </w:r>
            <w:r>
              <w:rPr>
                <w:rFonts w:hint="eastAsia" w:ascii="宋体" w:hAnsi="宋体" w:cs="宋体"/>
                <w:b/>
                <w:bCs/>
                <w:sz w:val="22"/>
                <w:szCs w:val="22"/>
                <w:highlight w:val="none"/>
              </w:rPr>
              <w:t xml:space="preserve">并加盖投标人公章。如响应文件中提供的著作权名称表述与评审标准描述的关键字段不一致，能够在响应文件中证明供应商拥有的著作权具有相同或相似功能和效果的，视同符合要求。</w:t>
            </w:r>
            <w:bookmarkEnd w:id="195"/>
            <w:r/>
            <w:bookmarkEnd w:id="197"/>
            <w:r/>
            <w:r/>
          </w:p>
        </w:tc>
      </w:tr>
    </w:tbl>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70"/>
        <w:rPr>
          <w:rFonts w:ascii="黑体" w:eastAsia="黑体"/>
          <w:bCs/>
          <w:sz w:val="44"/>
        </w:rPr>
      </w:pPr>
      <w:r>
        <w:rPr>
          <w:rFonts w:ascii="黑体" w:eastAsia="黑体"/>
          <w:bCs/>
          <w:sz w:val="44"/>
        </w:rPr>
      </w:r>
      <w:r/>
    </w:p>
    <w:p>
      <w:pPr>
        <w:pStyle w:val="870"/>
        <w:rPr>
          <w:rFonts w:ascii="黑体" w:eastAsia="黑体"/>
          <w:bCs/>
          <w:sz w:val="44"/>
        </w:rPr>
      </w:pPr>
      <w:r>
        <w:rPr>
          <w:rFonts w:ascii="黑体" w:eastAsia="黑体"/>
          <w:bCs/>
          <w:sz w:val="44"/>
        </w:rPr>
      </w:r>
      <w:r/>
    </w:p>
    <w:p>
      <w:pPr>
        <w:pStyle w:val="870"/>
        <w:rPr>
          <w:rFonts w:hint="eastAsia" w:ascii="黑体" w:eastAsia="黑体"/>
          <w:bCs/>
          <w:sz w:val="44"/>
        </w:rPr>
      </w:pP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p>
    <w:p>
      <w:pPr>
        <w:jc w:val="center"/>
        <w:rPr>
          <w:rFonts w:hint="eastAsia" w:ascii="宋体" w:hAnsi="宋体"/>
          <w:b/>
          <w:sz w:val="72"/>
        </w:rPr>
      </w:pPr>
      <w:r/>
      <w:bookmarkStart w:id="198" w:name="_Hlt26955039"/>
      <w:r/>
      <w:bookmarkEnd w:id="198"/>
      <w:r/>
      <w:bookmarkStart w:id="199" w:name="_Hlt26671244"/>
      <w:r/>
      <w:bookmarkEnd w:id="199"/>
      <w:r/>
      <w:bookmarkStart w:id="200" w:name="_Toc26554094"/>
      <w:r/>
      <w:bookmarkStart w:id="201" w:name="_Toc120614282"/>
      <w:r/>
      <w:bookmarkStart w:id="202" w:name="_Toc49090576"/>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lang w:eastAsia="zh-CN"/>
        </w:rPr>
        <w:t xml:space="preserve">采</w:t>
      </w:r>
      <w:r>
        <w:rPr>
          <w:rFonts w:hint="eastAsia" w:ascii="宋体" w:hAnsi="宋体"/>
          <w:b/>
          <w:sz w:val="36"/>
          <w:lang w:val="en-US" w:eastAsia="zh-CN"/>
        </w:rPr>
        <w:t xml:space="preserve"> </w:t>
      </w:r>
      <w:r>
        <w:rPr>
          <w:rFonts w:hint="eastAsia" w:ascii="宋体" w:hAnsi="宋体"/>
          <w:b/>
          <w:sz w:val="36"/>
          <w:lang w:eastAsia="zh-CN"/>
        </w:rPr>
        <w:t xml:space="preserve">购</w:t>
      </w:r>
      <w:r>
        <w:rPr>
          <w:rFonts w:hint="eastAsia" w:ascii="宋体" w:hAnsi="宋体"/>
          <w:b/>
          <w:sz w:val="36"/>
        </w:rPr>
        <w:t xml:space="preserve">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color w:val="auto"/>
          <w:sz w:val="24"/>
        </w:rPr>
      </w:pPr>
      <w:r>
        <w:rPr>
          <w:rFonts w:hint="eastAsia" w:ascii="宋体" w:hAnsi="宋体"/>
          <w:color w:val="auto"/>
          <w:sz w:val="24"/>
        </w:rPr>
        <w:t xml:space="preserve">投标人必须</w:t>
      </w:r>
      <w:r>
        <w:rPr>
          <w:rFonts w:ascii="宋体" w:hAnsi="宋体"/>
          <w:color w:val="auto"/>
          <w:sz w:val="24"/>
        </w:rPr>
        <w:t xml:space="preserve">对</w:t>
      </w:r>
      <w:r>
        <w:rPr>
          <w:rFonts w:hint="eastAsia" w:ascii="宋体" w:hAnsi="宋体"/>
          <w:color w:val="auto"/>
          <w:sz w:val="24"/>
        </w:rPr>
        <w:t xml:space="preserve">招标文件（含技术</w:t>
      </w:r>
      <w:r>
        <w:rPr>
          <w:rFonts w:ascii="宋体" w:hAnsi="宋体"/>
          <w:color w:val="auto"/>
          <w:sz w:val="24"/>
        </w:rPr>
        <w:t xml:space="preserve">要求和商务</w:t>
      </w:r>
      <w:r>
        <w:rPr>
          <w:rFonts w:hint="eastAsia" w:ascii="宋体" w:hAnsi="宋体"/>
          <w:color w:val="auto"/>
          <w:sz w:val="24"/>
        </w:rPr>
        <w:t xml:space="preserve">要求）</w:t>
      </w:r>
      <w:r>
        <w:rPr>
          <w:rFonts w:ascii="宋体" w:hAnsi="宋体"/>
          <w:color w:val="auto"/>
          <w:sz w:val="24"/>
        </w:rPr>
        <w:t xml:space="preserve">中</w:t>
      </w:r>
      <w:r>
        <w:rPr>
          <w:rFonts w:hint="eastAsia" w:ascii="宋体" w:hAnsi="宋体"/>
          <w:b/>
          <w:bCs/>
          <w:i/>
          <w:color w:val="auto"/>
          <w:sz w:val="24"/>
          <w:u w:val="single"/>
        </w:rPr>
        <w:t xml:space="preserve">斜体且有下划线部分</w:t>
      </w:r>
      <w:r>
        <w:rPr>
          <w:rFonts w:hint="eastAsia" w:ascii="宋体" w:hAnsi="宋体"/>
          <w:b/>
          <w:bCs/>
          <w:color w:val="auto"/>
          <w:sz w:val="24"/>
        </w:rPr>
        <w:t xml:space="preserve">或加*号条款</w:t>
      </w:r>
      <w:r>
        <w:rPr>
          <w:rFonts w:ascii="宋体" w:hAnsi="宋体"/>
          <w:color w:val="auto"/>
          <w:sz w:val="24"/>
        </w:rPr>
        <w:t xml:space="preserve">的实质性要求</w:t>
      </w:r>
      <w:r>
        <w:rPr>
          <w:rFonts w:hint="eastAsia" w:ascii="宋体" w:hAnsi="宋体"/>
          <w:color w:val="auto"/>
          <w:sz w:val="24"/>
        </w:rPr>
        <w:t xml:space="preserve">逐条</w:t>
      </w:r>
      <w:r>
        <w:rPr>
          <w:rFonts w:ascii="宋体" w:hAnsi="宋体"/>
          <w:color w:val="auto"/>
          <w:sz w:val="24"/>
        </w:rPr>
        <w:t xml:space="preserve">做出响应，并按照招标</w:t>
      </w:r>
      <w:r>
        <w:rPr>
          <w:rFonts w:hint="eastAsia" w:ascii="宋体" w:hAnsi="宋体"/>
          <w:color w:val="auto"/>
          <w:sz w:val="24"/>
        </w:rPr>
        <w:t xml:space="preserve">文件</w:t>
      </w:r>
      <w:r>
        <w:rPr>
          <w:rFonts w:ascii="宋体" w:hAnsi="宋体"/>
          <w:color w:val="auto"/>
          <w:sz w:val="24"/>
        </w:rPr>
        <w:t xml:space="preserve">要求提供</w:t>
      </w:r>
      <w:r>
        <w:rPr>
          <w:rFonts w:hint="eastAsia" w:ascii="宋体" w:hAnsi="宋体"/>
          <w:color w:val="auto"/>
          <w:sz w:val="24"/>
        </w:rPr>
        <w:t xml:space="preserve">证明</w:t>
      </w:r>
      <w:r>
        <w:rPr>
          <w:rFonts w:ascii="宋体" w:hAnsi="宋体"/>
          <w:color w:val="auto"/>
          <w:sz w:val="24"/>
        </w:rPr>
        <w:t xml:space="preserve">材料</w:t>
      </w:r>
      <w:r>
        <w:rPr>
          <w:rFonts w:hint="eastAsia" w:ascii="宋体" w:hAnsi="宋体"/>
          <w:color w:val="auto"/>
          <w:sz w:val="24"/>
        </w:rPr>
        <w:t xml:space="preserve">，否则作无效投标处理</w:t>
      </w:r>
      <w:r>
        <w:rPr>
          <w:rFonts w:ascii="宋体" w:hAnsi="宋体"/>
          <w:color w:val="auto"/>
          <w:sz w:val="24"/>
        </w:rPr>
        <w:t xml:space="preserve">。</w:t>
      </w:r>
      <w:r>
        <w:rPr>
          <w:rFonts w:hint="eastAsia" w:ascii="宋体" w:hAnsi="宋体"/>
          <w:color w:val="auto"/>
          <w:sz w:val="24"/>
        </w:rPr>
        <w:t xml:space="preserve">（格式见</w:t>
      </w:r>
      <w:r>
        <w:rPr>
          <w:rFonts w:ascii="宋体" w:hAnsi="宋体"/>
          <w:color w:val="auto"/>
          <w:sz w:val="24"/>
        </w:rPr>
        <w:t xml:space="preserve">附件12</w:t>
      </w:r>
      <w:r>
        <w:rPr>
          <w:rFonts w:hint="eastAsia" w:ascii="宋体" w:hAnsi="宋体"/>
          <w:color w:val="auto"/>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40" w:lineRule="exact"/>
        <w:rPr>
          <w:rFonts w:ascii="宋体" w:hAnsi="宋体"/>
          <w:sz w:val="24"/>
        </w:rPr>
      </w:pPr>
      <w:r>
        <w:rPr>
          <w:rFonts w:ascii="宋体" w:hAnsi="宋体"/>
          <w:sz w:val="24"/>
        </w:rPr>
      </w:r>
      <w:r/>
    </w:p>
    <w:p>
      <w:pPr>
        <w:rPr>
          <w:rFonts w:ascii="宋体" w:hAnsi="宋体"/>
          <w:b/>
          <w:color w:val="ff0000"/>
          <w:sz w:val="24"/>
          <w:szCs w:val="24"/>
        </w:rPr>
      </w:pPr>
      <w:r>
        <w:rPr>
          <w:rFonts w:ascii="宋体" w:hAnsi="宋体"/>
          <w:b/>
          <w:color w:val="ff0000"/>
          <w:sz w:val="24"/>
          <w:szCs w:val="24"/>
        </w:rPr>
      </w:r>
      <w:r/>
    </w:p>
    <w:p>
      <w:pPr>
        <w:rPr>
          <w:rFonts w:hint="eastAsia" w:eastAsia="仿宋_GB2312"/>
          <w:sz w:val="24"/>
          <w:szCs w:val="20"/>
        </w:rPr>
      </w:pPr>
      <w:r>
        <w:rPr>
          <w:rFonts w:hint="eastAsia" w:ascii="宋体" w:hAnsi="宋体"/>
          <w:b/>
          <w:sz w:val="24"/>
          <w:szCs w:val="24"/>
        </w:rPr>
        <w:t xml:space="preserve">附件1 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lang w:eastAsia="zh-CN"/>
        </w:rPr>
        <w:t xml:space="preserve">采购编号</w:t>
      </w:r>
      <w:r>
        <w:rPr>
          <w:rFonts w:hint="eastAsia" w:ascii="宋体" w:hAnsi="宋体"/>
          <w:sz w:val="24"/>
          <w:szCs w:val="24"/>
        </w:rPr>
        <w:t xml:space="preserve">：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Style w:val="88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55"/>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附件2 投标分项报价表（采购包号：**）</w:t>
      </w:r>
      <w:r/>
    </w:p>
    <w:tbl>
      <w:tblPr>
        <w:tblStyle w:val="880"/>
        <w:tblW w:w="8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交付期/服务期</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339" w:type="dxa"/>
            <w:vAlign w:val="center"/>
            <w:textDirection w:val="lrTb"/>
            <w:noWrap w:val="false"/>
          </w:tcPr>
          <w:p>
            <w:pPr>
              <w:spacing w:line="0" w:lineRule="atLeast"/>
              <w:rPr>
                <w:rFonts w:hint="default" w:ascii="宋体" w:hAnsi="宋体" w:eastAsia="宋体"/>
                <w:sz w:val="24"/>
                <w:szCs w:val="24"/>
                <w:u w:val="single"/>
                <w:lang w:val="en-US" w:eastAsia="zh-CN"/>
              </w:rPr>
            </w:pPr>
            <w:r>
              <w:rPr>
                <w:rFonts w:hint="eastAsia" w:ascii="宋体" w:hAnsi="宋体"/>
                <w:sz w:val="24"/>
                <w:szCs w:val="24"/>
              </w:rPr>
              <w:t xml:space="preserve">投标总报价（人民币：元）</w:t>
            </w:r>
            <w:r>
              <w:rPr>
                <w:rFonts w:hint="eastAsia" w:ascii="宋体" w:hAnsi="宋体"/>
                <w:sz w:val="24"/>
                <w:szCs w:val="24"/>
                <w:u w:val="single"/>
                <w:lang w:val="en-US" w:eastAsia="zh-CN"/>
              </w:rPr>
              <w:t xml:space="preserve">                          </w:t>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eastAsia="宋体" w:cs="Times New Roman"/>
          <w:sz w:val="24"/>
          <w:szCs w:val="24"/>
        </w:rPr>
        <w:t xml:space="preserve">“投标总报价”</w:t>
      </w:r>
      <w:r>
        <w:rPr>
          <w:rFonts w:hint="eastAsia" w:ascii="宋体" w:hAnsi="宋体" w:eastAsia="宋体" w:cs="Times New Roman"/>
          <w:sz w:val="24"/>
          <w:szCs w:val="24"/>
          <w:lang w:eastAsia="zh-CN"/>
        </w:rPr>
        <w:t xml:space="preserve">数额为各“分项总价”之和。</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r/>
      <w:r/>
    </w:p>
    <w:p>
      <w:pPr>
        <w:spacing w:line="0" w:lineRule="atLeast"/>
        <w:rPr>
          <w:rFonts w:hint="eastAsia" w:ascii="宋体" w:hAnsi="宋体"/>
          <w:sz w:val="24"/>
          <w:szCs w:val="24"/>
        </w:rPr>
      </w:pPr>
      <w:r>
        <w:rPr>
          <w:rFonts w:hint="eastAsia"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8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eastAsia="宋体" w:cs="宋体"/>
          <w:color w:val="auto"/>
          <w:sz w:val="24"/>
          <w:szCs w:val="24"/>
        </w:rPr>
        <w:t xml:space="preserve">1.投标人需对招标文件技术要求中非实质性要求（</w:t>
      </w:r>
      <w:r>
        <w:rPr>
          <w:rFonts w:hint="eastAsia" w:ascii="宋体" w:hAnsi="宋体" w:eastAsia="宋体" w:cs="宋体"/>
          <w:b/>
          <w:color w:val="auto"/>
          <w:sz w:val="24"/>
          <w:szCs w:val="24"/>
        </w:rPr>
        <w:t xml:space="preserve">未加</w:t>
      </w:r>
      <w:r>
        <w:rPr>
          <w:rFonts w:hint="eastAsia" w:ascii="宋体" w:hAnsi="宋体" w:eastAsia="宋体" w:cs="宋体"/>
          <w:b/>
          <w:i/>
          <w:color w:val="auto"/>
          <w:sz w:val="24"/>
          <w:szCs w:val="24"/>
          <w:u w:val="single"/>
        </w:rPr>
        <w:t xml:space="preserve">斜体下划线</w:t>
      </w:r>
      <w:r>
        <w:rPr>
          <w:rFonts w:hint="eastAsia" w:ascii="宋体" w:hAnsi="宋体" w:eastAsia="宋体" w:cs="宋体"/>
          <w:b/>
          <w:iCs/>
          <w:color w:val="auto"/>
          <w:sz w:val="24"/>
          <w:szCs w:val="24"/>
        </w:rPr>
        <w:t xml:space="preserve">部分</w:t>
      </w:r>
      <w:r>
        <w:rPr>
          <w:rFonts w:hint="eastAsia" w:ascii="宋体" w:hAnsi="宋体" w:eastAsia="宋体" w:cs="宋体"/>
          <w:b/>
          <w:color w:val="auto"/>
          <w:sz w:val="24"/>
          <w:szCs w:val="24"/>
        </w:rPr>
        <w:t xml:space="preserve">或未加*号条款</w:t>
      </w:r>
      <w:r>
        <w:rPr>
          <w:rFonts w:hint="eastAsia" w:ascii="宋体" w:hAnsi="宋体" w:eastAsia="宋体" w:cs="宋体"/>
          <w:color w:val="auto"/>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8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1.投标人需对招标文件商务要求中非实质性要求（</w:t>
      </w:r>
      <w:r>
        <w:rPr>
          <w:rFonts w:hint="eastAsia" w:ascii="宋体" w:hAnsi="宋体" w:eastAsia="宋体" w:cs="宋体"/>
          <w:b/>
          <w:color w:val="auto"/>
          <w:sz w:val="24"/>
          <w:szCs w:val="24"/>
        </w:rPr>
        <w:t xml:space="preserve">未加</w:t>
      </w:r>
      <w:r>
        <w:rPr>
          <w:rFonts w:hint="eastAsia" w:ascii="宋体" w:hAnsi="宋体" w:eastAsia="宋体" w:cs="宋体"/>
          <w:b/>
          <w:i/>
          <w:color w:val="auto"/>
          <w:sz w:val="24"/>
          <w:szCs w:val="24"/>
          <w:u w:val="single"/>
        </w:rPr>
        <w:t xml:space="preserve">斜体下划线</w:t>
      </w:r>
      <w:r>
        <w:rPr>
          <w:rFonts w:hint="eastAsia" w:ascii="宋体" w:hAnsi="宋体" w:eastAsia="宋体" w:cs="宋体"/>
          <w:b/>
          <w:iCs/>
          <w:color w:val="auto"/>
          <w:sz w:val="24"/>
          <w:szCs w:val="24"/>
        </w:rPr>
        <w:t xml:space="preserve">部分</w:t>
      </w:r>
      <w:r>
        <w:rPr>
          <w:rFonts w:hint="eastAsia" w:ascii="宋体" w:hAnsi="宋体" w:eastAsia="宋体" w:cs="宋体"/>
          <w:b/>
          <w:color w:val="auto"/>
          <w:sz w:val="24"/>
          <w:szCs w:val="24"/>
        </w:rPr>
        <w:t xml:space="preserve">或未加*号条款</w:t>
      </w:r>
      <w:r>
        <w:rPr>
          <w:rFonts w:hint="eastAsia" w:ascii="宋体" w:hAnsi="宋体" w:eastAsia="宋体" w:cs="宋体"/>
          <w:color w:val="auto"/>
          <w:sz w:val="24"/>
          <w:szCs w:val="24"/>
        </w:rPr>
        <w:t xml:space="preserve">）逐条做出明确响应。</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firstLine="480"/>
        <w:spacing w:line="440" w:lineRule="exact"/>
        <w:rPr>
          <w:rFonts w:ascii="宋体" w:hAnsi="宋体"/>
          <w:sz w:val="24"/>
        </w:rPr>
      </w:pPr>
      <w:r>
        <w:rPr>
          <w:rFonts w:ascii="宋体" w:hAnsi="宋体"/>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hint="eastAsia"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color w:val="ff0000"/>
          <w:sz w:val="24"/>
        </w:rPr>
      </w:pPr>
      <w:r>
        <w:rPr>
          <w:rFonts w:ascii="宋体" w:hAnsi="宋体"/>
          <w:b/>
          <w:color w:val="ff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Times New Roman" w:hAnsi="Times New Roman"/>
          <w:color w:val="000000"/>
          <w:sz w:val="24"/>
          <w:szCs w:val="24"/>
        </w:rPr>
        <w:t xml:space="preserve">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w:t>
      </w:r>
      <w:r>
        <w:rPr>
          <w:rFonts w:hint="eastAsia"/>
          <w:color w:val="000000"/>
          <w:sz w:val="24"/>
          <w:szCs w:val="24"/>
        </w:rPr>
        <w:t xml:space="preserve">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p>
    <w:p>
      <w:pPr>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955"/>
        <w:spacing w:before="0" w:after="0" w:line="420" w:lineRule="exact"/>
        <w:rPr>
          <w:rFonts w:hint="eastAsia" w:ascii="宋体" w:hAnsi="宋体"/>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sz w:val="24"/>
          <w:szCs w:val="24"/>
          <w:u w:val="none"/>
          <w:lang w:eastAsia="zh-CN"/>
        </w:rPr>
        <w:t xml:space="preserve">的</w:t>
      </w:r>
      <w:r>
        <w:rPr>
          <w:rFonts w:hint="eastAsia" w:ascii="宋体" w:hAnsi="宋体"/>
          <w:color w:val="000000"/>
          <w:sz w:val="24"/>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55"/>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55"/>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5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5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5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5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5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55"/>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55"/>
        <w:ind w:left="420"/>
        <w:spacing w:before="0" w:after="0" w:line="420" w:lineRule="exact"/>
        <w:rPr>
          <w:rFonts w:hint="eastAsia" w:ascii="宋体" w:hAnsi="宋体"/>
          <w:szCs w:val="21"/>
        </w:rPr>
      </w:pPr>
      <w:r>
        <w:rPr>
          <w:rFonts w:hint="eastAsia" w:ascii="宋体" w:hAnsi="宋体"/>
          <w:szCs w:val="21"/>
        </w:rPr>
        <w:t xml:space="preserve">地          址：</w:t>
      </w:r>
      <w:r/>
    </w:p>
    <w:p>
      <w:pPr>
        <w:pStyle w:val="955"/>
        <w:ind w:left="420"/>
        <w:spacing w:before="0" w:after="0" w:line="420" w:lineRule="exact"/>
        <w:rPr>
          <w:rFonts w:hint="eastAsia" w:ascii="宋体" w:hAnsi="宋体"/>
          <w:szCs w:val="21"/>
        </w:rPr>
      </w:pPr>
      <w:r>
        <w:rPr>
          <w:rFonts w:hint="eastAsia" w:ascii="宋体" w:hAnsi="宋体"/>
          <w:szCs w:val="21"/>
        </w:rPr>
        <w:t xml:space="preserve">邮          编：</w:t>
      </w:r>
      <w:r/>
    </w:p>
    <w:p>
      <w:pPr>
        <w:pStyle w:val="955"/>
        <w:ind w:left="420"/>
        <w:spacing w:before="0" w:after="0" w:line="420" w:lineRule="exact"/>
        <w:rPr>
          <w:rFonts w:hint="eastAsia" w:ascii="宋体" w:hAnsi="宋体"/>
          <w:szCs w:val="21"/>
        </w:rPr>
      </w:pPr>
      <w:r>
        <w:rPr>
          <w:rFonts w:hint="eastAsia" w:ascii="宋体" w:hAnsi="宋体"/>
          <w:szCs w:val="21"/>
        </w:rPr>
        <w:t xml:space="preserve">电          话：</w:t>
      </w:r>
      <w:r/>
    </w:p>
    <w:p>
      <w:pPr>
        <w:pStyle w:val="955"/>
        <w:ind w:left="420"/>
        <w:spacing w:before="0" w:after="0" w:line="420" w:lineRule="exact"/>
        <w:rPr>
          <w:rFonts w:hint="eastAsia" w:ascii="宋体" w:hAnsi="宋体"/>
          <w:szCs w:val="21"/>
        </w:rPr>
      </w:pPr>
      <w:r>
        <w:rPr>
          <w:rFonts w:hint="eastAsia" w:ascii="宋体" w:hAnsi="宋体"/>
          <w:szCs w:val="21"/>
        </w:rPr>
        <w:t xml:space="preserve">传          真：</w:t>
      </w:r>
      <w:r/>
    </w:p>
    <w:p>
      <w:pPr>
        <w:pStyle w:val="955"/>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55"/>
        <w:ind w:left="420"/>
        <w:spacing w:before="0" w:after="0" w:line="420" w:lineRule="exact"/>
        <w:rPr>
          <w:rFonts w:hint="eastAsia" w:ascii="宋体" w:hAnsi="宋体"/>
          <w:szCs w:val="21"/>
        </w:rPr>
      </w:pPr>
      <w:r>
        <w:rPr>
          <w:rFonts w:hint="eastAsia" w:ascii="宋体" w:hAnsi="宋体"/>
          <w:szCs w:val="21"/>
        </w:rPr>
        <w:t xml:space="preserve">账          号： </w:t>
      </w:r>
      <w:r/>
    </w:p>
    <w:p>
      <w:pPr>
        <w:pStyle w:val="955"/>
        <w:ind w:left="420"/>
        <w:spacing w:before="0" w:after="0" w:line="420" w:lineRule="exact"/>
        <w:rPr>
          <w:rFonts w:hint="eastAsia" w:ascii="宋体" w:hAnsi="宋体"/>
          <w:szCs w:val="21"/>
        </w:rPr>
      </w:pPr>
      <w:r>
        <w:rPr>
          <w:rFonts w:hint="eastAsia" w:ascii="宋体" w:hAnsi="宋体"/>
          <w:szCs w:val="21"/>
        </w:rPr>
        <w:t xml:space="preserve">日           期：___年____月____日</w:t>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200"/>
      <w:r/>
      <w:bookmarkEnd w:id="201"/>
      <w:r/>
      <w:bookmarkEnd w:id="202"/>
      <w:r/>
      <w:r/>
    </w:p>
    <w:p>
      <w:pPr>
        <w:spacing w:line="460" w:lineRule="exact"/>
        <w:rPr>
          <w:rFonts w:hint="eastAsia" w:ascii="黑体" w:hAnsi="黑体" w:eastAsia="黑体"/>
          <w:b/>
          <w:sz w:val="32"/>
          <w:szCs w:val="32"/>
        </w:rPr>
      </w:pPr>
      <w:r/>
      <w:bookmarkStart w:id="203" w:name="_Toc120614284"/>
      <w:r/>
      <w:r/>
    </w:p>
    <w:p>
      <w:pPr>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center"/>
        <w:spacing w:line="40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企业名称（加盖CA电子公章）：</w:t>
      </w:r>
      <w:r/>
    </w:p>
    <w:p>
      <w:pPr>
        <w:ind w:right="180" w:firstLine="360"/>
        <w:jc w:val="center"/>
        <w:spacing w:line="400" w:lineRule="exact"/>
        <w:rPr>
          <w:rFonts w:hint="eastAsia" w:ascii="宋体" w:hAnsi="宋体"/>
          <w:sz w:val="24"/>
          <w:szCs w:val="24"/>
        </w:rPr>
      </w:pP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日期：___年____月____日 </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rPr>
        <w:t xml:space="preserve">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sz w:val="24"/>
        </w:rPr>
      </w:pPr>
      <w:r>
        <w:rPr>
          <w:rFonts w:hint="eastAsia"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日期：___年____月____日   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eastAsia="宋体" w:cs="宋体"/>
          <w:i w:val="0"/>
          <w:iCs w:val="0"/>
          <w:caps w:val="0"/>
          <w:color w:val="auto"/>
          <w:spacing w:val="0"/>
          <w:sz w:val="24"/>
          <w:szCs w:val="24"/>
          <w:shd w:val="clear" w:color="auto" w:fill="ffffff"/>
        </w:rPr>
        <w:t xml:space="preserve">日期：___年____月____日     </w:t>
      </w:r>
      <w:r/>
    </w:p>
    <w:p>
      <w:pPr>
        <w:ind w:firstLine="645"/>
        <w:spacing w:line="0" w:lineRule="atLeast"/>
        <w:rPr>
          <w:rFonts w:hint="eastAsia" w:ascii="宋体" w:hAnsi="宋体"/>
          <w:sz w:val="24"/>
        </w:rPr>
      </w:pPr>
      <w:r>
        <w:rPr>
          <w:rFonts w:hint="eastAsia" w:ascii="宋体" w:hAnsi="宋体"/>
          <w:sz w:val="24"/>
        </w:rPr>
      </w:r>
      <w:r/>
    </w:p>
    <w:p>
      <w:pPr>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hint="eastAsia" w:ascii="宋体" w:hAnsi="宋体"/>
          <w:sz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Style w:val="8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rPr>
              <w:t xml:space="preserve">招标文件（含技术</w:t>
            </w:r>
            <w:r>
              <w:rPr>
                <w:rFonts w:ascii="宋体" w:hAnsi="宋体"/>
                <w:color w:val="auto"/>
                <w:sz w:val="24"/>
              </w:rPr>
              <w:t xml:space="preserve">要求和商务</w:t>
            </w:r>
            <w:r>
              <w:rPr>
                <w:rFonts w:hint="eastAsia" w:ascii="宋体" w:hAnsi="宋体"/>
                <w:color w:val="auto"/>
                <w:sz w:val="24"/>
              </w:rPr>
              <w:t xml:space="preserve">要求）</w:t>
            </w:r>
            <w:r>
              <w:rPr>
                <w:rFonts w:ascii="宋体" w:hAnsi="宋体"/>
                <w:color w:val="auto"/>
                <w:sz w:val="24"/>
              </w:rPr>
              <w:t xml:space="preserve">中</w:t>
            </w:r>
            <w:r>
              <w:rPr>
                <w:rFonts w:ascii="宋体" w:hAnsi="宋体"/>
                <w:color w:val="auto"/>
                <w:sz w:val="24"/>
                <w:szCs w:val="24"/>
              </w:rPr>
              <w:t xml:space="preserve">的实质性要求</w:t>
            </w:r>
            <w:r>
              <w:rPr>
                <w:rFonts w:hint="eastAsia" w:ascii="宋体" w:hAnsi="宋体"/>
                <w:b/>
                <w:bCs/>
                <w:color w:val="auto"/>
                <w:sz w:val="24"/>
              </w:rPr>
              <w:t xml:space="preserve">（</w:t>
            </w:r>
            <w:r>
              <w:rPr>
                <w:rFonts w:hint="eastAsia" w:ascii="宋体" w:hAnsi="宋体"/>
                <w:b/>
                <w:bCs/>
                <w:i/>
                <w:color w:val="auto"/>
                <w:sz w:val="24"/>
                <w:u w:val="single"/>
              </w:rPr>
              <w:t xml:space="preserve">斜体且有下划线部分</w:t>
            </w:r>
            <w:r>
              <w:rPr>
                <w:rFonts w:hint="eastAsia" w:ascii="宋体" w:hAnsi="宋体"/>
                <w:b/>
                <w:bCs/>
                <w:color w:val="auto"/>
                <w:sz w:val="24"/>
              </w:rPr>
              <w:t xml:space="preserve">或加*号条款）</w:t>
            </w:r>
            <w:r/>
          </w:p>
        </w:tc>
        <w:tc>
          <w:tcPr>
            <w:tcW w:w="3317"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1</w:t>
            </w:r>
            <w:r/>
          </w:p>
        </w:tc>
        <w:tc>
          <w:tcPr>
            <w:tcW w:w="3609"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31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2</w:t>
            </w:r>
            <w:r/>
          </w:p>
        </w:tc>
        <w:tc>
          <w:tcPr>
            <w:tcW w:w="3609"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31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609" w:type="dxa"/>
            <w:vAlign w:val="top"/>
            <w:textDirection w:val="lrTb"/>
            <w:noWrap w:val="false"/>
          </w:tcPr>
          <w:p>
            <w:pPr>
              <w:jc w:val="center"/>
              <w:spacing w:line="400" w:lineRule="exact"/>
              <w:rPr>
                <w:rFonts w:hint="eastAsia" w:ascii="宋体" w:hAnsi="宋体"/>
                <w:color w:val="auto"/>
                <w:sz w:val="24"/>
                <w:szCs w:val="24"/>
              </w:rPr>
            </w:pPr>
            <w:r>
              <w:rPr>
                <w:rFonts w:ascii="宋体" w:hAnsi="宋体"/>
                <w:color w:val="auto"/>
                <w:sz w:val="24"/>
                <w:szCs w:val="24"/>
              </w:rPr>
              <w:t xml:space="preserve">……</w:t>
            </w:r>
            <w:r/>
          </w:p>
        </w:tc>
        <w:tc>
          <w:tcPr>
            <w:tcW w:w="331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bl>
    <w:p>
      <w:pPr>
        <w:spacing w:line="400" w:lineRule="exact"/>
        <w:rPr>
          <w:rFonts w:ascii="宋体" w:hAnsi="宋体"/>
          <w:color w:val="auto"/>
          <w:sz w:val="24"/>
          <w:szCs w:val="24"/>
        </w:rPr>
      </w:pPr>
      <w:r>
        <w:rPr>
          <w:rFonts w:hint="eastAsia" w:ascii="宋体" w:hAnsi="宋体"/>
          <w:color w:val="auto"/>
          <w:sz w:val="24"/>
          <w:szCs w:val="24"/>
        </w:rPr>
        <w:t xml:space="preserve">附件</w:t>
      </w:r>
      <w:r>
        <w:rPr>
          <w:rFonts w:ascii="宋体" w:hAnsi="宋体"/>
          <w:color w:val="auto"/>
          <w:sz w:val="24"/>
          <w:szCs w:val="24"/>
        </w:rPr>
        <w:t xml:space="preserve">12-1 </w:t>
      </w:r>
      <w:r>
        <w:rPr>
          <w:rFonts w:hint="eastAsia" w:ascii="宋体" w:hAnsi="宋体"/>
          <w:color w:val="auto"/>
          <w:sz w:val="24"/>
          <w:szCs w:val="24"/>
        </w:rPr>
        <w:t xml:space="preserve">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p>
    <w:p>
      <w:pPr>
        <w:spacing w:line="400" w:lineRule="exact"/>
        <w:rPr>
          <w:rFonts w:ascii="宋体" w:hAnsi="宋体"/>
          <w:color w:val="auto"/>
          <w:sz w:val="24"/>
          <w:szCs w:val="24"/>
        </w:rPr>
      </w:pPr>
      <w:r>
        <w:rPr>
          <w:rFonts w:ascii="宋体" w:hAnsi="宋体"/>
          <w:color w:val="auto"/>
          <w:sz w:val="24"/>
          <w:szCs w:val="24"/>
        </w:rPr>
      </w:r>
      <w:r/>
    </w:p>
    <w:p>
      <w:pPr>
        <w:spacing w:line="400" w:lineRule="exact"/>
        <w:rPr>
          <w:rFonts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1.投标人必须</w:t>
      </w:r>
      <w:r>
        <w:rPr>
          <w:rFonts w:ascii="宋体" w:hAnsi="宋体"/>
          <w:color w:val="auto"/>
          <w:sz w:val="24"/>
          <w:szCs w:val="24"/>
        </w:rPr>
        <w:t xml:space="preserve">对</w:t>
      </w:r>
      <w:r>
        <w:rPr>
          <w:rFonts w:hint="eastAsia" w:ascii="宋体" w:hAnsi="宋体"/>
          <w:color w:val="auto"/>
          <w:sz w:val="24"/>
        </w:rPr>
        <w:t xml:space="preserve">招标文件（含技术</w:t>
      </w:r>
      <w:r>
        <w:rPr>
          <w:rFonts w:ascii="宋体" w:hAnsi="宋体"/>
          <w:color w:val="auto"/>
          <w:sz w:val="24"/>
        </w:rPr>
        <w:t xml:space="preserve">要求和商务</w:t>
      </w:r>
      <w:r>
        <w:rPr>
          <w:rFonts w:hint="eastAsia" w:ascii="宋体" w:hAnsi="宋体"/>
          <w:color w:val="auto"/>
          <w:sz w:val="24"/>
        </w:rPr>
        <w:t xml:space="preserve">要求）</w:t>
      </w:r>
      <w:r>
        <w:rPr>
          <w:rFonts w:ascii="宋体" w:hAnsi="宋体"/>
          <w:color w:val="auto"/>
          <w:sz w:val="24"/>
        </w:rPr>
        <w:t xml:space="preserve">中</w:t>
      </w:r>
      <w:r>
        <w:rPr>
          <w:rFonts w:ascii="宋体" w:hAnsi="宋体"/>
          <w:color w:val="auto"/>
          <w:sz w:val="24"/>
          <w:szCs w:val="24"/>
        </w:rPr>
        <w:t xml:space="preserve">的实质性要求</w:t>
      </w:r>
      <w:r>
        <w:rPr>
          <w:rFonts w:hint="eastAsia" w:ascii="宋体" w:hAnsi="宋体"/>
          <w:b/>
          <w:bCs/>
          <w:color w:val="auto"/>
          <w:sz w:val="24"/>
        </w:rPr>
        <w:t xml:space="preserve">（</w:t>
      </w:r>
      <w:r>
        <w:rPr>
          <w:rFonts w:hint="eastAsia" w:ascii="宋体" w:hAnsi="宋体"/>
          <w:b/>
          <w:bCs/>
          <w:i/>
          <w:color w:val="auto"/>
          <w:sz w:val="24"/>
          <w:u w:val="single"/>
        </w:rPr>
        <w:t xml:space="preserve">斜体且有下划线部分</w:t>
      </w:r>
      <w:r>
        <w:rPr>
          <w:rFonts w:hint="eastAsia" w:ascii="宋体" w:hAnsi="宋体"/>
          <w:b/>
          <w:bCs/>
          <w:color w:val="auto"/>
          <w:sz w:val="24"/>
        </w:rPr>
        <w:t xml:space="preserve">或加*号条款为实质性要求）</w:t>
      </w:r>
      <w:r>
        <w:rPr>
          <w:rFonts w:ascii="宋体" w:hAnsi="宋体"/>
          <w:color w:val="auto"/>
          <w:sz w:val="24"/>
          <w:szCs w:val="24"/>
        </w:rPr>
        <w:t xml:space="preserve">逐条做出明确响应</w:t>
      </w:r>
      <w:r>
        <w:rPr>
          <w:rFonts w:hint="eastAsia" w:ascii="宋体" w:hAnsi="宋体"/>
          <w:color w:val="auto"/>
          <w:sz w:val="24"/>
          <w:szCs w:val="24"/>
        </w:rPr>
        <w:t xml:space="preserve">，</w:t>
      </w:r>
      <w:r>
        <w:rPr>
          <w:rFonts w:hint="eastAsia" w:ascii="宋体" w:hAnsi="宋体"/>
          <w:color w:val="auto"/>
          <w:sz w:val="24"/>
        </w:rPr>
        <w:t xml:space="preserve">否则作无效投标处理</w:t>
      </w:r>
      <w:r>
        <w:rPr>
          <w:rFonts w:ascii="宋体" w:hAnsi="宋体"/>
          <w:color w:val="auto"/>
          <w:sz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必须</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p>
    <w:p>
      <w:pPr>
        <w:spacing w:line="400" w:lineRule="exact"/>
        <w:rPr>
          <w:rFonts w:hint="eastAsia" w:ascii="宋体" w:hAnsi="宋体"/>
          <w:color w:val="auto"/>
          <w:sz w:val="24"/>
          <w:szCs w:val="24"/>
        </w:rPr>
      </w:pPr>
      <w:r>
        <w:rPr>
          <w:rFonts w:hint="eastAsia" w:ascii="宋体" w:hAnsi="宋体"/>
          <w:color w:val="auto"/>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4"/>
          <w:szCs w:val="24"/>
        </w:rPr>
      </w:pPr>
      <w:r>
        <w:rPr>
          <w:rFonts w:hint="eastAsia" w:ascii="宋体" w:hAnsi="宋体"/>
          <w:color w:val="ff0000"/>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bookmarkEnd w:id="189"/>
      <w:r/>
      <w:bookmarkEnd w:id="190"/>
      <w:r/>
      <w:bookmarkEnd w:id="203"/>
      <w:r/>
      <w:r/>
    </w:p>
    <w:p>
      <w:pP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81"/>
        <w:rPr>
          <w:rFonts w:hint="eastAsia"/>
          <w:sz w:val="24"/>
          <w:szCs w:val="24"/>
        </w:rPr>
      </w:pPr>
      <w:r>
        <w:rPr>
          <w:rFonts w:hint="eastAsia"/>
          <w:sz w:val="24"/>
          <w:szCs w:val="24"/>
        </w:rPr>
      </w:r>
      <w:r/>
    </w:p>
    <w:p>
      <w:pPr>
        <w:pStyle w:val="881"/>
        <w:rPr>
          <w:sz w:val="24"/>
          <w:szCs w:val="24"/>
        </w:rPr>
      </w:pPr>
      <w:r>
        <w:rPr>
          <w:sz w:val="24"/>
          <w:szCs w:val="24"/>
        </w:rPr>
      </w:r>
      <w:r/>
    </w:p>
    <w:p>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rPr>
        <w:rStyle w:val="915"/>
        <w:rFonts w:ascii="宋体" w:hAnsi="宋体"/>
      </w:rPr>
      <w:framePr w:wrap="around" w:vAnchor="text" w:hAnchor="margin" w:xAlign="center" w:y="1"/>
    </w:pPr>
    <w:r>
      <w:rPr>
        <w:rFonts w:ascii="宋体" w:hAnsi="宋体"/>
      </w:rPr>
      <w:fldChar w:fldCharType="begin"/>
    </w:r>
    <w:r>
      <w:rPr>
        <w:rStyle w:val="915"/>
        <w:rFonts w:ascii="宋体" w:hAnsi="宋体"/>
      </w:rPr>
      <w:instrText xml:space="preserve">PAGE  </w:instrText>
    </w:r>
    <w:r>
      <w:rPr>
        <w:rFonts w:ascii="宋体" w:hAnsi="宋体"/>
      </w:rPr>
      <w:fldChar w:fldCharType="separate"/>
    </w:r>
    <w:r>
      <w:rPr>
        <w:rStyle w:val="915"/>
        <w:rFonts w:ascii="宋体" w:hAnsi="宋体"/>
      </w:rPr>
      <w:t xml:space="preserve">12</w:t>
    </w:r>
    <w:r>
      <w:rPr>
        <w:rFonts w:ascii="宋体" w:hAnsi="宋体"/>
      </w:rPr>
      <w:fldChar w:fldCharType="end"/>
    </w:r>
    <w:r/>
  </w:p>
  <w:p>
    <w:pPr>
      <w:pStyle w:val="89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rPr>
        <w:rStyle w:val="915"/>
      </w:rPr>
      <w:framePr w:wrap="around" w:vAnchor="text" w:hAnchor="margin" w:xAlign="center" w:y="1"/>
    </w:pPr>
    <w:r>
      <w:fldChar w:fldCharType="begin"/>
    </w:r>
    <w:r>
      <w:rPr>
        <w:rStyle w:val="915"/>
      </w:rPr>
      <w:instrText xml:space="preserve">PAGE  </w:instrText>
    </w:r>
    <w:r>
      <w:fldChar w:fldCharType="separate"/>
    </w:r>
    <w:r>
      <w:rPr>
        <w:rStyle w:val="915"/>
      </w:rPr>
      <w:t xml:space="preserve">1</w:t>
    </w:r>
    <w:r>
      <w:fldChar w:fldCharType="end"/>
    </w:r>
    <w:r/>
  </w:p>
  <w:p>
    <w:pPr>
      <w:pStyle w:val="89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pPr>
    <w:r>
      <w:fldChar w:fldCharType="begin"/>
    </w:r>
    <w:r>
      <w:instrText xml:space="preserve">PAGE   \* MERGEFORMAT</w:instrText>
    </w:r>
    <w:r>
      <w:fldChar w:fldCharType="separate"/>
    </w:r>
    <w:r>
      <w:rPr>
        <w:lang w:val="zh-CN"/>
      </w:rPr>
      <w:t xml:space="preserve">1</w:t>
    </w:r>
    <w:r>
      <w:fldChar w:fldCharType="end"/>
    </w:r>
    <w:r/>
  </w:p>
  <w:p>
    <w:pPr>
      <w:pStyle w:val="8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96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75"/>
      <w:isLgl w:val="false"/>
      <w:suff w:val="nothing"/>
      <w:lvlText w:val=""/>
      <w:lvlJc w:val="left"/>
      <w:pPr>
        <w:ind w:left="0" w:firstLine="0"/>
      </w:pPr>
      <w:rPr>
        <w:rFonts w:hint="eastAsia"/>
      </w:rPr>
    </w:lvl>
    <w:lvl w:ilvl="6">
      <w:start w:val="1"/>
      <w:numFmt w:val="none"/>
      <w:pStyle w:val="876"/>
      <w:isLgl w:val="false"/>
      <w:suff w:val="nothing"/>
      <w:lvlText w:val=""/>
      <w:lvlJc w:val="left"/>
      <w:pPr>
        <w:ind w:left="0" w:firstLine="0"/>
      </w:pPr>
      <w:rPr>
        <w:rFonts w:hint="eastAsia"/>
      </w:rPr>
    </w:lvl>
    <w:lvl w:ilvl="7">
      <w:start w:val="1"/>
      <w:numFmt w:val="none"/>
      <w:pStyle w:val="877"/>
      <w:isLgl w:val="false"/>
      <w:suff w:val="nothing"/>
      <w:lvlText w:val=""/>
      <w:lvlJc w:val="left"/>
      <w:pPr>
        <w:ind w:left="0" w:firstLine="0"/>
      </w:pPr>
      <w:rPr>
        <w:rFonts w:hint="eastAsia"/>
      </w:rPr>
    </w:lvl>
    <w:lvl w:ilvl="8">
      <w:start w:val="1"/>
      <w:numFmt w:val="none"/>
      <w:pStyle w:val="878"/>
      <w:isLgl w:val="false"/>
      <w:suff w:val="nothing"/>
      <w:lvlText w:val=""/>
      <w:lvlJc w:val="left"/>
      <w:pPr>
        <w:ind w:left="0" w:firstLine="0"/>
      </w:pPr>
      <w:rPr>
        <w:rFonts w:hint="eastAsia"/>
      </w:rPr>
    </w:lvl>
  </w:abstractNum>
  <w:abstractNum w:abstractNumId="7">
    <w:multiLevelType w:val="hybridMultilevel"/>
    <w:lvl w:ilvl="0">
      <w:start w:val="1"/>
      <w:numFmt w:val="japaneseCounting"/>
      <w:isLgl w:val="false"/>
      <w:suff w:val="tab"/>
      <w:lvlText w:val="（%1）"/>
      <w:lvlJc w:val="left"/>
      <w:pPr>
        <w:ind w:left="1004" w:hanging="72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4"/>
  </w:num>
  <w:num w:numId="4">
    <w:abstractNumId w:val="8"/>
  </w:num>
  <w:num w:numId="5">
    <w:abstractNumId w:val="7"/>
  </w:num>
  <w:num w:numId="6">
    <w:abstractNumId w:val="3"/>
  </w:num>
  <w:num w:numId="7">
    <w:abstractNumId w:val="5"/>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6">
    <w:name w:val="Heading 1 Char"/>
    <w:basedOn w:val="879"/>
    <w:link w:val="870"/>
    <w:uiPriority w:val="9"/>
    <w:rPr>
      <w:rFonts w:ascii="Arial" w:hAnsi="Arial" w:eastAsia="Arial" w:cs="Arial"/>
      <w:sz w:val="40"/>
      <w:szCs w:val="40"/>
    </w:rPr>
  </w:style>
  <w:style w:type="character" w:styleId="717">
    <w:name w:val="Heading 2 Char"/>
    <w:basedOn w:val="879"/>
    <w:link w:val="871"/>
    <w:uiPriority w:val="9"/>
    <w:rPr>
      <w:rFonts w:ascii="Arial" w:hAnsi="Arial" w:eastAsia="Arial" w:cs="Arial"/>
      <w:sz w:val="34"/>
    </w:rPr>
  </w:style>
  <w:style w:type="character" w:styleId="718">
    <w:name w:val="Heading 3 Char"/>
    <w:basedOn w:val="879"/>
    <w:link w:val="872"/>
    <w:uiPriority w:val="9"/>
    <w:rPr>
      <w:rFonts w:ascii="Arial" w:hAnsi="Arial" w:eastAsia="Arial" w:cs="Arial"/>
      <w:sz w:val="30"/>
      <w:szCs w:val="30"/>
    </w:rPr>
  </w:style>
  <w:style w:type="character" w:styleId="719">
    <w:name w:val="Heading 4 Char"/>
    <w:basedOn w:val="879"/>
    <w:link w:val="873"/>
    <w:uiPriority w:val="9"/>
    <w:rPr>
      <w:rFonts w:ascii="Arial" w:hAnsi="Arial" w:eastAsia="Arial" w:cs="Arial"/>
      <w:b/>
      <w:bCs/>
      <w:sz w:val="26"/>
      <w:szCs w:val="26"/>
    </w:rPr>
  </w:style>
  <w:style w:type="character" w:styleId="720">
    <w:name w:val="Heading 5 Char"/>
    <w:basedOn w:val="879"/>
    <w:link w:val="874"/>
    <w:uiPriority w:val="9"/>
    <w:rPr>
      <w:rFonts w:ascii="Arial" w:hAnsi="Arial" w:eastAsia="Arial" w:cs="Arial"/>
      <w:b/>
      <w:bCs/>
      <w:sz w:val="24"/>
      <w:szCs w:val="24"/>
    </w:rPr>
  </w:style>
  <w:style w:type="character" w:styleId="721">
    <w:name w:val="Heading 6 Char"/>
    <w:basedOn w:val="879"/>
    <w:link w:val="875"/>
    <w:uiPriority w:val="9"/>
    <w:rPr>
      <w:rFonts w:ascii="Arial" w:hAnsi="Arial" w:eastAsia="Arial" w:cs="Arial"/>
      <w:b/>
      <w:bCs/>
      <w:sz w:val="22"/>
      <w:szCs w:val="22"/>
    </w:rPr>
  </w:style>
  <w:style w:type="character" w:styleId="722">
    <w:name w:val="Heading 7 Char"/>
    <w:basedOn w:val="879"/>
    <w:link w:val="876"/>
    <w:uiPriority w:val="9"/>
    <w:rPr>
      <w:rFonts w:ascii="Arial" w:hAnsi="Arial" w:eastAsia="Arial" w:cs="Arial"/>
      <w:b/>
      <w:bCs/>
      <w:i/>
      <w:iCs/>
      <w:sz w:val="22"/>
      <w:szCs w:val="22"/>
    </w:rPr>
  </w:style>
  <w:style w:type="character" w:styleId="723">
    <w:name w:val="Heading 8 Char"/>
    <w:basedOn w:val="879"/>
    <w:link w:val="877"/>
    <w:uiPriority w:val="9"/>
    <w:rPr>
      <w:rFonts w:ascii="Arial" w:hAnsi="Arial" w:eastAsia="Arial" w:cs="Arial"/>
      <w:i/>
      <w:iCs/>
      <w:sz w:val="22"/>
      <w:szCs w:val="22"/>
    </w:rPr>
  </w:style>
  <w:style w:type="character" w:styleId="724">
    <w:name w:val="Heading 9 Char"/>
    <w:basedOn w:val="879"/>
    <w:link w:val="878"/>
    <w:uiPriority w:val="9"/>
    <w:rPr>
      <w:rFonts w:ascii="Arial" w:hAnsi="Arial" w:eastAsia="Arial" w:cs="Arial"/>
      <w:i/>
      <w:iCs/>
      <w:sz w:val="21"/>
      <w:szCs w:val="21"/>
    </w:rPr>
  </w:style>
  <w:style w:type="paragraph" w:styleId="725">
    <w:name w:val="Title"/>
    <w:basedOn w:val="869"/>
    <w:next w:val="869"/>
    <w:link w:val="726"/>
    <w:uiPriority w:val="10"/>
    <w:qFormat/>
    <w:pPr>
      <w:contextualSpacing/>
      <w:spacing w:before="300" w:after="200"/>
    </w:pPr>
    <w:rPr>
      <w:sz w:val="48"/>
      <w:szCs w:val="48"/>
    </w:rPr>
  </w:style>
  <w:style w:type="character" w:styleId="726">
    <w:name w:val="Title Char"/>
    <w:basedOn w:val="879"/>
    <w:link w:val="725"/>
    <w:uiPriority w:val="10"/>
    <w:rPr>
      <w:sz w:val="48"/>
      <w:szCs w:val="48"/>
    </w:rPr>
  </w:style>
  <w:style w:type="paragraph" w:styleId="727">
    <w:name w:val="Subtitle"/>
    <w:basedOn w:val="869"/>
    <w:next w:val="869"/>
    <w:link w:val="728"/>
    <w:uiPriority w:val="11"/>
    <w:qFormat/>
    <w:pPr>
      <w:spacing w:before="200" w:after="200"/>
    </w:pPr>
    <w:rPr>
      <w:sz w:val="24"/>
      <w:szCs w:val="24"/>
    </w:rPr>
  </w:style>
  <w:style w:type="character" w:styleId="728">
    <w:name w:val="Subtitle Char"/>
    <w:basedOn w:val="879"/>
    <w:link w:val="727"/>
    <w:uiPriority w:val="11"/>
    <w:rPr>
      <w:sz w:val="24"/>
      <w:szCs w:val="24"/>
    </w:rPr>
  </w:style>
  <w:style w:type="paragraph" w:styleId="729">
    <w:name w:val="Quote"/>
    <w:basedOn w:val="869"/>
    <w:next w:val="869"/>
    <w:link w:val="730"/>
    <w:uiPriority w:val="29"/>
    <w:qFormat/>
    <w:pPr>
      <w:ind w:left="720" w:right="720"/>
    </w:pPr>
    <w:rPr>
      <w:i/>
    </w:rPr>
  </w:style>
  <w:style w:type="character" w:styleId="730">
    <w:name w:val="Quote Char"/>
    <w:link w:val="729"/>
    <w:uiPriority w:val="29"/>
    <w:rPr>
      <w:i/>
    </w:rPr>
  </w:style>
  <w:style w:type="paragraph" w:styleId="731">
    <w:name w:val="Intense Quote"/>
    <w:basedOn w:val="869"/>
    <w:next w:val="86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79"/>
    <w:link w:val="898"/>
    <w:uiPriority w:val="99"/>
  </w:style>
  <w:style w:type="character" w:styleId="734">
    <w:name w:val="Footer Char"/>
    <w:basedOn w:val="879"/>
    <w:link w:val="897"/>
    <w:uiPriority w:val="99"/>
  </w:style>
  <w:style w:type="paragraph" w:styleId="735">
    <w:name w:val="Caption"/>
    <w:basedOn w:val="869"/>
    <w:next w:val="869"/>
    <w:uiPriority w:val="35"/>
    <w:semiHidden/>
    <w:unhideWhenUsed/>
    <w:qFormat/>
    <w:pPr>
      <w:spacing w:line="276" w:lineRule="auto"/>
    </w:pPr>
    <w:rPr>
      <w:b/>
      <w:bCs/>
      <w:color w:val="4f81bd" w:themeColor="accent1"/>
      <w:sz w:val="18"/>
      <w:szCs w:val="18"/>
    </w:rPr>
  </w:style>
  <w:style w:type="character" w:styleId="736">
    <w:name w:val="Caption Char"/>
    <w:basedOn w:val="735"/>
    <w:link w:val="897"/>
    <w:uiPriority w:val="99"/>
  </w:style>
  <w:style w:type="table" w:styleId="737">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6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79"/>
    <w:uiPriority w:val="99"/>
    <w:unhideWhenUsed/>
    <w:rPr>
      <w:vertAlign w:val="superscript"/>
    </w:rPr>
  </w:style>
  <w:style w:type="paragraph" w:styleId="865">
    <w:name w:val="endnote text"/>
    <w:basedOn w:val="86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79"/>
    <w:uiPriority w:val="99"/>
    <w:semiHidden/>
    <w:unhideWhenUsed/>
    <w:rPr>
      <w:vertAlign w:val="superscript"/>
    </w:rPr>
  </w:style>
  <w:style w:type="paragraph" w:styleId="868">
    <w:name w:val="TOC Heading"/>
    <w:uiPriority w:val="39"/>
    <w:unhideWhenUsed/>
  </w:style>
  <w:style w:type="paragraph" w:styleId="869"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70">
    <w:name w:val="Heading 1"/>
    <w:basedOn w:val="869"/>
    <w:next w:val="869"/>
    <w:link w:val="919"/>
    <w:uiPriority w:val="0"/>
    <w:qFormat/>
    <w:pPr>
      <w:jc w:val="center"/>
      <w:keepNext/>
      <w:outlineLvl w:val="0"/>
    </w:pPr>
    <w:rPr>
      <w:rFonts w:ascii="楷体_GB2312" w:eastAsia="楷体_GB2312"/>
      <w:sz w:val="28"/>
      <w:szCs w:val="28"/>
    </w:rPr>
  </w:style>
  <w:style w:type="paragraph" w:styleId="871">
    <w:name w:val="Heading 2"/>
    <w:basedOn w:val="869"/>
    <w:next w:val="881"/>
    <w:link w:val="92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2">
    <w:name w:val="Heading 3"/>
    <w:basedOn w:val="869"/>
    <w:next w:val="881"/>
    <w:link w:val="922"/>
    <w:uiPriority w:val="0"/>
    <w:qFormat/>
    <w:pPr>
      <w:keepLines/>
      <w:keepNext/>
      <w:spacing w:before="260" w:after="260" w:line="416" w:lineRule="auto"/>
      <w:outlineLvl w:val="2"/>
    </w:pPr>
    <w:rPr>
      <w:b/>
      <w:bCs/>
      <w:sz w:val="32"/>
      <w:szCs w:val="32"/>
    </w:rPr>
  </w:style>
  <w:style w:type="paragraph" w:styleId="873">
    <w:name w:val="Heading 4"/>
    <w:basedOn w:val="869"/>
    <w:next w:val="881"/>
    <w:link w:val="923"/>
    <w:uiPriority w:val="0"/>
    <w:qFormat/>
    <w:pPr>
      <w:keepLines/>
      <w:keepNext/>
      <w:spacing w:before="280" w:after="290" w:line="376" w:lineRule="auto"/>
      <w:outlineLvl w:val="3"/>
    </w:pPr>
    <w:rPr>
      <w:rFonts w:ascii="Arial" w:hAnsi="Arial" w:eastAsia="黑体" w:cs="Arial"/>
      <w:b/>
      <w:bCs/>
      <w:sz w:val="28"/>
      <w:szCs w:val="28"/>
    </w:rPr>
  </w:style>
  <w:style w:type="paragraph" w:styleId="874">
    <w:name w:val="Heading 5"/>
    <w:basedOn w:val="869"/>
    <w:next w:val="881"/>
    <w:link w:val="924"/>
    <w:uiPriority w:val="0"/>
    <w:qFormat/>
    <w:pPr>
      <w:keepNext/>
      <w:outlineLvl w:val="4"/>
    </w:pPr>
    <w:rPr>
      <w:rFonts w:ascii="宋体"/>
      <w:color w:val="000000"/>
      <w:sz w:val="28"/>
      <w:szCs w:val="28"/>
    </w:rPr>
  </w:style>
  <w:style w:type="paragraph" w:styleId="875">
    <w:name w:val="Heading 6"/>
    <w:basedOn w:val="869"/>
    <w:next w:val="869"/>
    <w:link w:val="92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6">
    <w:name w:val="Heading 7"/>
    <w:basedOn w:val="869"/>
    <w:next w:val="869"/>
    <w:link w:val="926"/>
    <w:uiPriority w:val="0"/>
    <w:qFormat/>
    <w:pPr>
      <w:numPr>
        <w:ilvl w:val="6"/>
        <w:numId w:val="1"/>
      </w:numPr>
      <w:keepLines/>
      <w:keepNext/>
      <w:spacing w:before="240" w:after="64" w:line="320" w:lineRule="auto"/>
      <w:outlineLvl w:val="6"/>
    </w:pPr>
    <w:rPr>
      <w:b/>
      <w:bCs/>
      <w:sz w:val="24"/>
      <w:szCs w:val="24"/>
    </w:rPr>
  </w:style>
  <w:style w:type="paragraph" w:styleId="877">
    <w:name w:val="Heading 8"/>
    <w:basedOn w:val="869"/>
    <w:next w:val="869"/>
    <w:link w:val="92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78">
    <w:name w:val="Heading 9"/>
    <w:basedOn w:val="869"/>
    <w:next w:val="869"/>
    <w:link w:val="928"/>
    <w:uiPriority w:val="0"/>
    <w:qFormat/>
    <w:pPr>
      <w:numPr>
        <w:ilvl w:val="8"/>
        <w:numId w:val="1"/>
      </w:numPr>
      <w:keepLines/>
      <w:keepNext/>
      <w:spacing w:before="240" w:after="64" w:line="320" w:lineRule="auto"/>
      <w:outlineLvl w:val="8"/>
    </w:pPr>
    <w:rPr>
      <w:rFonts w:ascii="Arial" w:hAnsi="Arial" w:eastAsia="黑体"/>
    </w:rPr>
  </w:style>
  <w:style w:type="character" w:styleId="879" w:default="1">
    <w:name w:val="Default Paragraph Font"/>
    <w:uiPriority w:val="1"/>
    <w:unhideWhenUsed/>
  </w:style>
  <w:style w:type="table" w:styleId="880" w:default="1">
    <w:name w:val="Normal Table"/>
    <w:uiPriority w:val="99"/>
    <w:unhideWhenUsed/>
    <w:tblPr>
      <w:tblCellMar>
        <w:left w:w="108" w:type="dxa"/>
        <w:top w:w="0" w:type="dxa"/>
        <w:right w:w="108" w:type="dxa"/>
        <w:bottom w:w="0" w:type="dxa"/>
      </w:tblCellMar>
    </w:tblPr>
  </w:style>
  <w:style w:type="paragraph" w:styleId="881">
    <w:name w:val="Normal Indent"/>
    <w:basedOn w:val="869"/>
    <w:link w:val="921"/>
    <w:uiPriority w:val="0"/>
    <w:qFormat/>
    <w:pPr>
      <w:ind w:firstLine="420"/>
    </w:pPr>
  </w:style>
  <w:style w:type="paragraph" w:styleId="882">
    <w:name w:val="List 3"/>
    <w:basedOn w:val="869"/>
    <w:uiPriority w:val="0"/>
    <w:qFormat/>
    <w:pPr>
      <w:ind w:left="100" w:hanging="200"/>
    </w:pPr>
  </w:style>
  <w:style w:type="paragraph" w:styleId="883">
    <w:name w:val="toc 7"/>
    <w:basedOn w:val="869"/>
    <w:next w:val="869"/>
    <w:uiPriority w:val="0"/>
    <w:semiHidden/>
    <w:qFormat/>
    <w:pPr>
      <w:ind w:left="1260"/>
      <w:jc w:val="left"/>
    </w:pPr>
  </w:style>
  <w:style w:type="paragraph" w:styleId="884">
    <w:name w:val="Document Map"/>
    <w:basedOn w:val="869"/>
    <w:link w:val="929"/>
    <w:uiPriority w:val="0"/>
    <w:semiHidden/>
    <w:qFormat/>
    <w:pPr>
      <w:shd w:val="clear" w:color="auto" w:fill="000080"/>
    </w:pPr>
  </w:style>
  <w:style w:type="paragraph" w:styleId="885">
    <w:name w:val="annotation text"/>
    <w:basedOn w:val="869"/>
    <w:link w:val="930"/>
    <w:uiPriority w:val="0"/>
    <w:semiHidden/>
    <w:qFormat/>
    <w:pPr>
      <w:jc w:val="left"/>
    </w:pPr>
  </w:style>
  <w:style w:type="paragraph" w:styleId="886">
    <w:name w:val="Body Text 3"/>
    <w:basedOn w:val="869"/>
    <w:link w:val="931"/>
    <w:uiPriority w:val="0"/>
    <w:qFormat/>
    <w:rPr>
      <w:rFonts w:ascii="仿宋_GB2312" w:hAnsi="Arial" w:eastAsia="仿宋_GB2312"/>
      <w:sz w:val="32"/>
      <w:szCs w:val="32"/>
    </w:rPr>
  </w:style>
  <w:style w:type="paragraph" w:styleId="887">
    <w:name w:val="Body Text"/>
    <w:basedOn w:val="869"/>
    <w:link w:val="932"/>
    <w:uiPriority w:val="0"/>
    <w:qFormat/>
    <w:rPr>
      <w:rFonts w:ascii="楷体_GB2312" w:hAnsi="Arial" w:eastAsia="楷体_GB2312"/>
      <w:sz w:val="28"/>
      <w:szCs w:val="28"/>
    </w:rPr>
  </w:style>
  <w:style w:type="paragraph" w:styleId="888">
    <w:name w:val="Body Text Indent"/>
    <w:basedOn w:val="869"/>
    <w:link w:val="933"/>
    <w:uiPriority w:val="0"/>
    <w:qFormat/>
    <w:pPr>
      <w:ind w:firstLine="645"/>
    </w:pPr>
    <w:rPr>
      <w:rFonts w:ascii="楷体_GB2312" w:eastAsia="楷体_GB2312"/>
      <w:sz w:val="32"/>
      <w:szCs w:val="32"/>
    </w:rPr>
  </w:style>
  <w:style w:type="paragraph" w:styleId="889">
    <w:name w:val="List 2"/>
    <w:basedOn w:val="869"/>
    <w:uiPriority w:val="0"/>
    <w:qFormat/>
    <w:pPr>
      <w:ind w:left="100" w:hanging="200"/>
    </w:pPr>
  </w:style>
  <w:style w:type="paragraph" w:styleId="890">
    <w:name w:val="toc 5"/>
    <w:basedOn w:val="869"/>
    <w:next w:val="869"/>
    <w:uiPriority w:val="0"/>
    <w:semiHidden/>
    <w:qFormat/>
    <w:pPr>
      <w:ind w:left="840"/>
      <w:jc w:val="left"/>
    </w:pPr>
  </w:style>
  <w:style w:type="paragraph" w:styleId="891">
    <w:name w:val="toc 3"/>
    <w:basedOn w:val="869"/>
    <w:next w:val="869"/>
    <w:uiPriority w:val="0"/>
    <w:semiHidden/>
    <w:qFormat/>
    <w:pPr>
      <w:ind w:left="420"/>
      <w:jc w:val="left"/>
    </w:pPr>
    <w:rPr>
      <w:i/>
      <w:iCs/>
      <w:szCs w:val="24"/>
    </w:rPr>
  </w:style>
  <w:style w:type="paragraph" w:styleId="892">
    <w:name w:val="Plain Text"/>
    <w:basedOn w:val="869"/>
    <w:link w:val="934"/>
    <w:uiPriority w:val="0"/>
    <w:qFormat/>
    <w:rPr>
      <w:rFonts w:ascii="宋体" w:hAnsi="Courier New" w:cs="Courier New"/>
    </w:rPr>
  </w:style>
  <w:style w:type="paragraph" w:styleId="893">
    <w:name w:val="toc 8"/>
    <w:basedOn w:val="869"/>
    <w:next w:val="869"/>
    <w:uiPriority w:val="0"/>
    <w:semiHidden/>
    <w:qFormat/>
    <w:pPr>
      <w:ind w:left="1470"/>
      <w:jc w:val="left"/>
    </w:pPr>
  </w:style>
  <w:style w:type="paragraph" w:styleId="894">
    <w:name w:val="Date"/>
    <w:basedOn w:val="869"/>
    <w:next w:val="869"/>
    <w:link w:val="935"/>
    <w:uiPriority w:val="0"/>
    <w:qFormat/>
    <w:rPr>
      <w:sz w:val="24"/>
      <w:szCs w:val="24"/>
    </w:rPr>
  </w:style>
  <w:style w:type="paragraph" w:styleId="895">
    <w:name w:val="Body Text Indent 2"/>
    <w:basedOn w:val="869"/>
    <w:link w:val="936"/>
    <w:uiPriority w:val="0"/>
    <w:qFormat/>
    <w:pPr>
      <w:ind w:left="630" w:firstLine="645"/>
    </w:pPr>
    <w:rPr>
      <w:rFonts w:ascii="Arial" w:hAnsi="Arial" w:eastAsia="仿宋_GB2312" w:cs="Arial"/>
      <w:sz w:val="32"/>
      <w:szCs w:val="32"/>
    </w:rPr>
  </w:style>
  <w:style w:type="paragraph" w:styleId="896">
    <w:name w:val="Balloon Text"/>
    <w:basedOn w:val="869"/>
    <w:link w:val="937"/>
    <w:uiPriority w:val="0"/>
    <w:semiHidden/>
    <w:qFormat/>
    <w:rPr>
      <w:sz w:val="18"/>
      <w:szCs w:val="18"/>
    </w:rPr>
  </w:style>
  <w:style w:type="paragraph" w:styleId="897">
    <w:name w:val="Footer"/>
    <w:basedOn w:val="869"/>
    <w:link w:val="938"/>
    <w:uiPriority w:val="99"/>
    <w:qFormat/>
    <w:pPr>
      <w:jc w:val="left"/>
      <w:tabs>
        <w:tab w:val="center" w:pos="4153" w:leader="none"/>
        <w:tab w:val="right" w:pos="8306" w:leader="none"/>
      </w:tabs>
    </w:pPr>
    <w:rPr>
      <w:sz w:val="18"/>
      <w:szCs w:val="18"/>
    </w:rPr>
  </w:style>
  <w:style w:type="paragraph" w:styleId="898">
    <w:name w:val="Header"/>
    <w:basedOn w:val="869"/>
    <w:link w:val="939"/>
    <w:uiPriority w:val="0"/>
    <w:qFormat/>
    <w:pPr>
      <w:jc w:val="center"/>
      <w:tabs>
        <w:tab w:val="center" w:pos="4153" w:leader="none"/>
        <w:tab w:val="right" w:pos="8306" w:leader="none"/>
      </w:tabs>
      <w:pBdr>
        <w:bottom w:val="single" w:color="auto" w:sz="6" w:space="1"/>
      </w:pBdr>
    </w:pPr>
    <w:rPr>
      <w:sz w:val="18"/>
      <w:szCs w:val="18"/>
    </w:rPr>
  </w:style>
  <w:style w:type="paragraph" w:styleId="899">
    <w:name w:val="toc 1"/>
    <w:basedOn w:val="869"/>
    <w:next w:val="869"/>
    <w:uiPriority w:val="0"/>
    <w:semiHidden/>
    <w:qFormat/>
    <w:pPr>
      <w:jc w:val="left"/>
      <w:spacing w:before="120" w:after="120" w:line="400" w:lineRule="exact"/>
      <w:tabs>
        <w:tab w:val="right" w:pos="8720" w:leader="dot"/>
      </w:tabs>
    </w:pPr>
    <w:rPr>
      <w:rFonts w:ascii="宋体" w:hAnsi="宋体"/>
      <w:caps/>
      <w:sz w:val="24"/>
      <w:szCs w:val="24"/>
    </w:rPr>
  </w:style>
  <w:style w:type="paragraph" w:styleId="900">
    <w:name w:val="toc 4"/>
    <w:basedOn w:val="869"/>
    <w:next w:val="869"/>
    <w:uiPriority w:val="0"/>
    <w:semiHidden/>
    <w:qFormat/>
    <w:pPr>
      <w:ind w:left="630"/>
      <w:jc w:val="left"/>
    </w:pPr>
  </w:style>
  <w:style w:type="paragraph" w:styleId="901">
    <w:name w:val="List"/>
    <w:basedOn w:val="869"/>
    <w:uiPriority w:val="0"/>
    <w:qFormat/>
    <w:pPr>
      <w:ind w:left="200" w:hanging="200"/>
    </w:pPr>
  </w:style>
  <w:style w:type="paragraph" w:styleId="902">
    <w:name w:val="toc 6"/>
    <w:basedOn w:val="869"/>
    <w:next w:val="869"/>
    <w:uiPriority w:val="0"/>
    <w:semiHidden/>
    <w:qFormat/>
    <w:pPr>
      <w:ind w:left="1050"/>
      <w:jc w:val="left"/>
    </w:pPr>
  </w:style>
  <w:style w:type="paragraph" w:styleId="903">
    <w:name w:val="Body Text Indent 3"/>
    <w:basedOn w:val="869"/>
    <w:link w:val="940"/>
    <w:uiPriority w:val="0"/>
    <w:qFormat/>
    <w:pPr>
      <w:ind w:left="645" w:firstLine="645"/>
    </w:pPr>
    <w:rPr>
      <w:rFonts w:ascii="Arial" w:hAnsi="Arial" w:eastAsia="仿宋_GB2312" w:cs="Arial"/>
      <w:color w:val="ffff00"/>
      <w:sz w:val="32"/>
      <w:szCs w:val="32"/>
    </w:rPr>
  </w:style>
  <w:style w:type="paragraph" w:styleId="904">
    <w:name w:val="table of figures"/>
    <w:basedOn w:val="869"/>
    <w:next w:val="869"/>
    <w:uiPriority w:val="0"/>
    <w:semiHidden/>
    <w:qFormat/>
    <w:pPr>
      <w:ind w:left="840" w:hanging="420"/>
    </w:pPr>
  </w:style>
  <w:style w:type="paragraph" w:styleId="905">
    <w:name w:val="toc 2"/>
    <w:basedOn w:val="869"/>
    <w:next w:val="869"/>
    <w:uiPriority w:val="0"/>
    <w:semiHidden/>
    <w:qFormat/>
    <w:pPr>
      <w:ind w:left="210"/>
      <w:jc w:val="left"/>
    </w:pPr>
    <w:rPr>
      <w:smallCaps/>
      <w:szCs w:val="24"/>
    </w:rPr>
  </w:style>
  <w:style w:type="paragraph" w:styleId="906">
    <w:name w:val="toc 9"/>
    <w:basedOn w:val="869"/>
    <w:next w:val="869"/>
    <w:uiPriority w:val="0"/>
    <w:semiHidden/>
    <w:qFormat/>
    <w:pPr>
      <w:ind w:left="1680"/>
      <w:jc w:val="left"/>
    </w:pPr>
  </w:style>
  <w:style w:type="paragraph" w:styleId="907">
    <w:name w:val="Body Text 2"/>
    <w:basedOn w:val="869"/>
    <w:link w:val="941"/>
    <w:uiPriority w:val="0"/>
    <w:qFormat/>
    <w:pPr>
      <w:jc w:val="center"/>
      <w:widowControl/>
    </w:pPr>
    <w:rPr>
      <w:rFonts w:ascii="楷体_GB2312" w:eastAsia="楷体_GB2312"/>
      <w:sz w:val="28"/>
      <w:szCs w:val="28"/>
    </w:rPr>
  </w:style>
  <w:style w:type="paragraph" w:styleId="908">
    <w:name w:val="Normal (Web)"/>
    <w:basedOn w:val="869"/>
    <w:uiPriority w:val="99"/>
    <w:qFormat/>
    <w:pPr>
      <w:jc w:val="left"/>
      <w:spacing w:before="100" w:beforeAutospacing="1" w:after="100" w:afterAutospacing="1"/>
      <w:widowControl/>
    </w:pPr>
    <w:rPr>
      <w:rFonts w:ascii="宋体" w:hAnsi="宋体" w:cs="宋体"/>
      <w:sz w:val="24"/>
      <w:szCs w:val="24"/>
    </w:rPr>
  </w:style>
  <w:style w:type="paragraph" w:styleId="909">
    <w:name w:val="index 1"/>
    <w:basedOn w:val="869"/>
    <w:next w:val="869"/>
    <w:uiPriority w:val="0"/>
    <w:semiHidden/>
    <w:qFormat/>
    <w:pPr>
      <w:spacing w:line="240" w:lineRule="atLeast"/>
    </w:pPr>
    <w:rPr>
      <w:b/>
      <w:bCs/>
    </w:rPr>
  </w:style>
  <w:style w:type="paragraph" w:styleId="910">
    <w:name w:val="annotation subject"/>
    <w:basedOn w:val="885"/>
    <w:next w:val="885"/>
    <w:link w:val="942"/>
    <w:uiPriority w:val="0"/>
    <w:semiHidden/>
    <w:qFormat/>
    <w:rPr>
      <w:b/>
      <w:bCs/>
    </w:rPr>
  </w:style>
  <w:style w:type="paragraph" w:styleId="911">
    <w:name w:val="Body Text First Indent"/>
    <w:basedOn w:val="869"/>
    <w:link w:val="943"/>
    <w:uiPriority w:val="0"/>
    <w:qFormat/>
    <w:pPr>
      <w:ind w:firstLine="200"/>
      <w:spacing w:line="360" w:lineRule="auto"/>
    </w:pPr>
    <w:rPr>
      <w:rFonts w:ascii="仿宋_GB2312" w:eastAsia="仿宋_GB2312"/>
      <w:sz w:val="30"/>
      <w:szCs w:val="30"/>
    </w:rPr>
  </w:style>
  <w:style w:type="paragraph" w:styleId="912">
    <w:name w:val="Body Text First Indent 2"/>
    <w:basedOn w:val="888"/>
    <w:link w:val="944"/>
    <w:uiPriority w:val="0"/>
    <w:qFormat/>
    <w:pPr>
      <w:ind w:firstLine="420"/>
      <w:spacing w:line="360" w:lineRule="auto"/>
    </w:pPr>
    <w:rPr>
      <w:rFonts w:ascii="宋体" w:hAnsi="宋体" w:eastAsia="宋体"/>
      <w:sz w:val="21"/>
      <w:szCs w:val="20"/>
    </w:rPr>
  </w:style>
  <w:style w:type="table" w:styleId="913">
    <w:name w:val="Table Grid"/>
    <w:basedOn w:val="880"/>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4">
    <w:name w:val="Strong"/>
    <w:uiPriority w:val="0"/>
    <w:qFormat/>
    <w:rPr>
      <w:b/>
      <w:bCs/>
    </w:rPr>
  </w:style>
  <w:style w:type="character" w:styleId="915">
    <w:name w:val="page number"/>
    <w:uiPriority w:val="0"/>
    <w:qFormat/>
  </w:style>
  <w:style w:type="character" w:styleId="916">
    <w:name w:val="FollowedHyperlink"/>
    <w:uiPriority w:val="0"/>
    <w:qFormat/>
    <w:rPr>
      <w:color w:val="800080"/>
      <w:u w:val="single"/>
    </w:rPr>
  </w:style>
  <w:style w:type="character" w:styleId="917">
    <w:name w:val="Hyperlink"/>
    <w:uiPriority w:val="0"/>
    <w:qFormat/>
    <w:rPr>
      <w:color w:val="0000ff"/>
      <w:u w:val="single"/>
    </w:rPr>
  </w:style>
  <w:style w:type="character" w:styleId="918">
    <w:name w:val="annotation reference"/>
    <w:uiPriority w:val="0"/>
    <w:semiHidden/>
    <w:qFormat/>
    <w:rPr>
      <w:sz w:val="21"/>
      <w:szCs w:val="21"/>
    </w:rPr>
  </w:style>
  <w:style w:type="character" w:styleId="919" w:customStyle="1">
    <w:name w:val="标题 1 Char"/>
    <w:link w:val="870"/>
    <w:uiPriority w:val="0"/>
    <w:qFormat/>
    <w:rPr>
      <w:rFonts w:ascii="楷体_GB2312" w:hAnsi="Times New Roman" w:eastAsia="楷体_GB2312" w:cs="Times New Roman"/>
      <w:sz w:val="28"/>
      <w:szCs w:val="28"/>
    </w:rPr>
  </w:style>
  <w:style w:type="character" w:styleId="920" w:customStyle="1">
    <w:name w:val="标题 2 Char"/>
    <w:link w:val="871"/>
    <w:uiPriority w:val="0"/>
    <w:qFormat/>
    <w:rPr>
      <w:rFonts w:ascii="Arial" w:hAnsi="Arial" w:eastAsia="幼圆" w:cs="Arial"/>
      <w:b/>
      <w:bCs/>
      <w:sz w:val="44"/>
      <w:szCs w:val="44"/>
    </w:rPr>
  </w:style>
  <w:style w:type="character" w:styleId="921" w:customStyle="1">
    <w:name w:val="正文缩进 Char"/>
    <w:link w:val="881"/>
    <w:uiPriority w:val="0"/>
    <w:qFormat/>
    <w:rPr>
      <w:rFonts w:ascii="Times New Roman" w:hAnsi="Times New Roman" w:eastAsia="宋体" w:cs="Times New Roman"/>
      <w:szCs w:val="21"/>
    </w:rPr>
  </w:style>
  <w:style w:type="character" w:styleId="922" w:customStyle="1">
    <w:name w:val="标题 3 Char"/>
    <w:link w:val="872"/>
    <w:uiPriority w:val="0"/>
    <w:qFormat/>
    <w:rPr>
      <w:rFonts w:ascii="Times New Roman" w:hAnsi="Times New Roman" w:eastAsia="宋体" w:cs="Times New Roman"/>
      <w:b/>
      <w:bCs/>
      <w:sz w:val="32"/>
      <w:szCs w:val="32"/>
    </w:rPr>
  </w:style>
  <w:style w:type="character" w:styleId="923" w:customStyle="1">
    <w:name w:val="标题 4 Char"/>
    <w:link w:val="873"/>
    <w:uiPriority w:val="0"/>
    <w:qFormat/>
    <w:rPr>
      <w:rFonts w:ascii="Arial" w:hAnsi="Arial" w:eastAsia="黑体" w:cs="Arial"/>
      <w:b/>
      <w:bCs/>
      <w:sz w:val="28"/>
      <w:szCs w:val="28"/>
    </w:rPr>
  </w:style>
  <w:style w:type="character" w:styleId="924" w:customStyle="1">
    <w:name w:val="标题 5 Char"/>
    <w:link w:val="874"/>
    <w:uiPriority w:val="0"/>
    <w:qFormat/>
    <w:rPr>
      <w:rFonts w:ascii="宋体" w:hAnsi="Times New Roman" w:eastAsia="宋体" w:cs="Times New Roman"/>
      <w:color w:val="000000"/>
      <w:sz w:val="28"/>
      <w:szCs w:val="28"/>
    </w:rPr>
  </w:style>
  <w:style w:type="character" w:styleId="925" w:customStyle="1">
    <w:name w:val="标题 6 Char"/>
    <w:link w:val="875"/>
    <w:uiPriority w:val="0"/>
    <w:qFormat/>
    <w:rPr>
      <w:rFonts w:ascii="Arial" w:hAnsi="Arial" w:eastAsia="黑体" w:cs="Times New Roman"/>
      <w:b/>
      <w:bCs/>
      <w:sz w:val="24"/>
      <w:szCs w:val="24"/>
    </w:rPr>
  </w:style>
  <w:style w:type="character" w:styleId="926" w:customStyle="1">
    <w:name w:val="标题 7 Char"/>
    <w:link w:val="876"/>
    <w:uiPriority w:val="0"/>
    <w:qFormat/>
    <w:rPr>
      <w:rFonts w:ascii="Times New Roman" w:hAnsi="Times New Roman" w:eastAsia="宋体" w:cs="Times New Roman"/>
      <w:b/>
      <w:bCs/>
      <w:sz w:val="24"/>
      <w:szCs w:val="24"/>
    </w:rPr>
  </w:style>
  <w:style w:type="character" w:styleId="927" w:customStyle="1">
    <w:name w:val="标题 8 Char"/>
    <w:link w:val="877"/>
    <w:uiPriority w:val="0"/>
    <w:qFormat/>
    <w:rPr>
      <w:rFonts w:ascii="Arial" w:hAnsi="Arial" w:eastAsia="黑体" w:cs="Times New Roman"/>
      <w:sz w:val="24"/>
      <w:szCs w:val="24"/>
    </w:rPr>
  </w:style>
  <w:style w:type="character" w:styleId="928" w:customStyle="1">
    <w:name w:val="标题 9 Char"/>
    <w:link w:val="878"/>
    <w:uiPriority w:val="0"/>
    <w:qFormat/>
    <w:rPr>
      <w:rFonts w:ascii="Arial" w:hAnsi="Arial" w:eastAsia="黑体" w:cs="Times New Roman"/>
      <w:szCs w:val="21"/>
    </w:rPr>
  </w:style>
  <w:style w:type="character" w:styleId="929" w:customStyle="1">
    <w:name w:val="文档结构图 Char"/>
    <w:link w:val="884"/>
    <w:uiPriority w:val="0"/>
    <w:semiHidden/>
    <w:qFormat/>
    <w:rPr>
      <w:rFonts w:ascii="Times New Roman" w:hAnsi="Times New Roman" w:eastAsia="宋体" w:cs="Times New Roman"/>
      <w:szCs w:val="21"/>
      <w:shd w:val="clear" w:color="auto" w:fill="000080"/>
    </w:rPr>
  </w:style>
  <w:style w:type="character" w:styleId="930" w:customStyle="1">
    <w:name w:val="批注文字 Char"/>
    <w:link w:val="885"/>
    <w:uiPriority w:val="0"/>
    <w:semiHidden/>
    <w:qFormat/>
    <w:rPr>
      <w:rFonts w:ascii="Times New Roman" w:hAnsi="Times New Roman" w:eastAsia="宋体" w:cs="Times New Roman"/>
      <w:szCs w:val="21"/>
    </w:rPr>
  </w:style>
  <w:style w:type="character" w:styleId="931" w:customStyle="1">
    <w:name w:val="正文文本 3 Char"/>
    <w:link w:val="886"/>
    <w:uiPriority w:val="0"/>
    <w:qFormat/>
    <w:rPr>
      <w:rFonts w:ascii="仿宋_GB2312" w:hAnsi="Arial" w:eastAsia="仿宋_GB2312" w:cs="Times New Roman"/>
      <w:sz w:val="32"/>
      <w:szCs w:val="32"/>
    </w:rPr>
  </w:style>
  <w:style w:type="character" w:styleId="932" w:customStyle="1">
    <w:name w:val="正文文本 Char"/>
    <w:link w:val="887"/>
    <w:uiPriority w:val="0"/>
    <w:qFormat/>
    <w:rPr>
      <w:rFonts w:ascii="楷体_GB2312" w:hAnsi="Arial" w:eastAsia="楷体_GB2312" w:cs="Times New Roman"/>
      <w:sz w:val="28"/>
      <w:szCs w:val="28"/>
    </w:rPr>
  </w:style>
  <w:style w:type="character" w:styleId="933" w:customStyle="1">
    <w:name w:val="正文文本缩进 Char"/>
    <w:link w:val="888"/>
    <w:uiPriority w:val="0"/>
    <w:qFormat/>
    <w:rPr>
      <w:rFonts w:ascii="楷体_GB2312" w:hAnsi="Times New Roman" w:eastAsia="楷体_GB2312" w:cs="Times New Roman"/>
      <w:sz w:val="32"/>
      <w:szCs w:val="32"/>
    </w:rPr>
  </w:style>
  <w:style w:type="character" w:styleId="934" w:customStyle="1">
    <w:name w:val="纯文本 Char"/>
    <w:link w:val="892"/>
    <w:uiPriority w:val="0"/>
    <w:qFormat/>
    <w:rPr>
      <w:rFonts w:ascii="宋体" w:hAnsi="Courier New" w:eastAsia="宋体" w:cs="Courier New"/>
      <w:szCs w:val="21"/>
    </w:rPr>
  </w:style>
  <w:style w:type="character" w:styleId="935" w:customStyle="1">
    <w:name w:val="日期 Char"/>
    <w:link w:val="894"/>
    <w:uiPriority w:val="0"/>
    <w:qFormat/>
    <w:rPr>
      <w:rFonts w:ascii="Times New Roman" w:hAnsi="Times New Roman" w:eastAsia="宋体" w:cs="Times New Roman"/>
      <w:sz w:val="24"/>
      <w:szCs w:val="24"/>
    </w:rPr>
  </w:style>
  <w:style w:type="character" w:styleId="936" w:customStyle="1">
    <w:name w:val="正文文本缩进 2 Char"/>
    <w:link w:val="895"/>
    <w:uiPriority w:val="0"/>
    <w:qFormat/>
    <w:rPr>
      <w:rFonts w:ascii="Arial" w:hAnsi="Arial" w:eastAsia="仿宋_GB2312" w:cs="Arial"/>
      <w:sz w:val="32"/>
      <w:szCs w:val="32"/>
    </w:rPr>
  </w:style>
  <w:style w:type="character" w:styleId="937" w:customStyle="1">
    <w:name w:val="批注框文本 Char"/>
    <w:link w:val="896"/>
    <w:uiPriority w:val="0"/>
    <w:semiHidden/>
    <w:qFormat/>
    <w:rPr>
      <w:rFonts w:ascii="Times New Roman" w:hAnsi="Times New Roman" w:eastAsia="宋体" w:cs="Times New Roman"/>
      <w:sz w:val="18"/>
      <w:szCs w:val="18"/>
    </w:rPr>
  </w:style>
  <w:style w:type="character" w:styleId="938" w:customStyle="1">
    <w:name w:val="页脚 Char"/>
    <w:link w:val="897"/>
    <w:uiPriority w:val="99"/>
    <w:qFormat/>
    <w:rPr>
      <w:rFonts w:ascii="Times New Roman" w:hAnsi="Times New Roman" w:eastAsia="宋体" w:cs="Times New Roman"/>
      <w:sz w:val="18"/>
      <w:szCs w:val="18"/>
    </w:rPr>
  </w:style>
  <w:style w:type="character" w:styleId="939" w:customStyle="1">
    <w:name w:val="页眉 Char"/>
    <w:link w:val="898"/>
    <w:uiPriority w:val="0"/>
    <w:qFormat/>
    <w:rPr>
      <w:rFonts w:ascii="Times New Roman" w:hAnsi="Times New Roman" w:eastAsia="宋体" w:cs="Times New Roman"/>
      <w:sz w:val="18"/>
      <w:szCs w:val="18"/>
    </w:rPr>
  </w:style>
  <w:style w:type="character" w:styleId="940" w:customStyle="1">
    <w:name w:val="正文文本缩进 3 Char"/>
    <w:link w:val="903"/>
    <w:uiPriority w:val="0"/>
    <w:qFormat/>
    <w:rPr>
      <w:rFonts w:ascii="Arial" w:hAnsi="Arial" w:eastAsia="仿宋_GB2312" w:cs="Arial"/>
      <w:color w:val="ffff00"/>
      <w:sz w:val="32"/>
      <w:szCs w:val="32"/>
    </w:rPr>
  </w:style>
  <w:style w:type="character" w:styleId="941" w:customStyle="1">
    <w:name w:val="正文文本 2 Char"/>
    <w:link w:val="907"/>
    <w:uiPriority w:val="0"/>
    <w:qFormat/>
    <w:rPr>
      <w:rFonts w:ascii="楷体_GB2312" w:hAnsi="Times New Roman" w:eastAsia="楷体_GB2312" w:cs="Times New Roman"/>
      <w:sz w:val="28"/>
      <w:szCs w:val="28"/>
    </w:rPr>
  </w:style>
  <w:style w:type="character" w:styleId="942" w:customStyle="1">
    <w:name w:val="批注主题 Char"/>
    <w:link w:val="910"/>
    <w:uiPriority w:val="0"/>
    <w:semiHidden/>
    <w:qFormat/>
    <w:rPr>
      <w:rFonts w:ascii="Times New Roman" w:hAnsi="Times New Roman" w:eastAsia="宋体" w:cs="Times New Roman"/>
      <w:b/>
      <w:bCs/>
      <w:szCs w:val="21"/>
    </w:rPr>
  </w:style>
  <w:style w:type="character" w:styleId="943" w:customStyle="1">
    <w:name w:val="正文首行缩进 Char"/>
    <w:link w:val="911"/>
    <w:uiPriority w:val="0"/>
    <w:qFormat/>
    <w:rPr>
      <w:rFonts w:ascii="仿宋_GB2312" w:hAnsi="Times New Roman" w:eastAsia="仿宋_GB2312" w:cs="Times New Roman"/>
      <w:sz w:val="30"/>
      <w:szCs w:val="30"/>
    </w:rPr>
  </w:style>
  <w:style w:type="character" w:styleId="944" w:customStyle="1">
    <w:name w:val="正文首行缩进 2 Char"/>
    <w:link w:val="912"/>
    <w:uiPriority w:val="0"/>
    <w:qFormat/>
    <w:rPr>
      <w:rFonts w:ascii="宋体" w:hAnsi="宋体" w:eastAsia="宋体" w:cs="Times New Roman"/>
      <w:sz w:val="32"/>
      <w:szCs w:val="20"/>
    </w:rPr>
  </w:style>
  <w:style w:type="character" w:styleId="945" w:customStyle="1">
    <w:name w:val="font5 Char"/>
    <w:uiPriority w:val="0"/>
    <w:qFormat/>
    <w:rPr>
      <w:rFonts w:ascii="宋体" w:hAnsi="宋体" w:eastAsia="宋体"/>
      <w:sz w:val="28"/>
      <w:szCs w:val="28"/>
      <w:lang w:val="en-US" w:eastAsia="zh-CN" w:bidi="ar-SA"/>
    </w:rPr>
  </w:style>
  <w:style w:type="character" w:styleId="946" w:customStyle="1">
    <w:name w:val="二级目录 Char"/>
    <w:link w:val="947"/>
    <w:uiPriority w:val="0"/>
    <w:qFormat/>
    <w:rPr>
      <w:b/>
      <w:sz w:val="30"/>
      <w:szCs w:val="28"/>
    </w:rPr>
  </w:style>
  <w:style w:type="paragraph" w:styleId="947" w:customStyle="1">
    <w:name w:val="二级目录"/>
    <w:next w:val="869"/>
    <w:link w:val="946"/>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48" w:customStyle="1">
    <w:name w:val="列出段落 Char"/>
    <w:link w:val="949"/>
    <w:uiPriority w:val="0"/>
    <w:qFormat/>
    <w:rPr>
      <w:rFonts w:ascii="Calibri" w:hAnsi="Calibri"/>
      <w:sz w:val="24"/>
      <w:szCs w:val="24"/>
      <w:lang w:eastAsia="en-US" w:bidi="en-US"/>
    </w:rPr>
  </w:style>
  <w:style w:type="paragraph" w:styleId="949" w:customStyle="1">
    <w:name w:val="列出段落1"/>
    <w:basedOn w:val="869"/>
    <w:link w:val="948"/>
    <w:uiPriority w:val="0"/>
    <w:qFormat/>
    <w:pPr>
      <w:contextualSpacing/>
      <w:ind w:left="720"/>
      <w:jc w:val="left"/>
      <w:widowControl/>
    </w:pPr>
    <w:rPr>
      <w:rFonts w:ascii="Calibri" w:hAnsi="Calibri" w:eastAsia="宋体" w:cs="Times New Roman"/>
      <w:sz w:val="24"/>
      <w:szCs w:val="24"/>
      <w:lang w:eastAsia="en-US" w:bidi="en-US"/>
    </w:rPr>
  </w:style>
  <w:style w:type="paragraph" w:styleId="950" w:customStyle="1">
    <w:name w:val="Body Text(ch)"/>
    <w:basedOn w:val="869"/>
    <w:next w:val="887"/>
    <w:uiPriority w:val="0"/>
    <w:qFormat/>
    <w:pPr>
      <w:spacing w:after="120"/>
    </w:pPr>
    <w:rPr>
      <w:rFonts w:ascii="宋体" w:hAnsi="Arial"/>
      <w:bCs/>
      <w:iCs/>
      <w:szCs w:val="24"/>
    </w:rPr>
  </w:style>
  <w:style w:type="paragraph" w:styleId="951" w:customStyle="1">
    <w:name w:val="xl27"/>
    <w:basedOn w:val="8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2" w:customStyle="1">
    <w:name w:val="xl26"/>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53" w:customStyle="1">
    <w:name w:val="Char"/>
    <w:basedOn w:val="869"/>
    <w:uiPriority w:val="0"/>
    <w:qFormat/>
    <w:pPr>
      <w:ind w:firstLine="200"/>
      <w:tabs>
        <w:tab w:val="left" w:pos="360" w:leader="none"/>
      </w:tabs>
    </w:pPr>
    <w:rPr>
      <w:sz w:val="28"/>
      <w:szCs w:val="30"/>
    </w:rPr>
  </w:style>
  <w:style w:type="paragraph" w:styleId="954" w:customStyle="1">
    <w:name w:val=" Char"/>
    <w:basedOn w:val="884"/>
    <w:uiPriority w:val="0"/>
    <w:qFormat/>
    <w:rPr>
      <w:rFonts w:ascii="Tahoma" w:hAnsi="Tahoma"/>
      <w:sz w:val="24"/>
      <w:szCs w:val="24"/>
    </w:rPr>
  </w:style>
  <w:style w:type="paragraph" w:styleId="955" w:customStyle="1">
    <w:name w:val="普通正文"/>
    <w:basedOn w:val="869"/>
    <w:uiPriority w:val="0"/>
    <w:qFormat/>
    <w:pPr>
      <w:ind w:firstLine="480"/>
      <w:jc w:val="left"/>
      <w:spacing w:before="120" w:after="120" w:line="360" w:lineRule="auto"/>
    </w:pPr>
    <w:rPr>
      <w:rFonts w:ascii="Arial" w:hAnsi="Arial"/>
      <w:sz w:val="24"/>
      <w:szCs w:val="24"/>
    </w:rPr>
  </w:style>
  <w:style w:type="paragraph" w:styleId="956" w:customStyle="1">
    <w:name w:val="table_lines"/>
    <w:basedOn w:val="869"/>
    <w:uiPriority w:val="0"/>
    <w:qFormat/>
    <w:pPr>
      <w:jc w:val="left"/>
      <w:widowControl/>
    </w:pPr>
    <w:rPr>
      <w:sz w:val="20"/>
      <w:szCs w:val="20"/>
      <w:lang w:val="de-DE" w:eastAsia="de-DE"/>
    </w:rPr>
  </w:style>
  <w:style w:type="paragraph" w:styleId="95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58" w:customStyle="1">
    <w:name w:val="font7"/>
    <w:basedOn w:val="869"/>
    <w:uiPriority w:val="0"/>
    <w:qFormat/>
    <w:pPr>
      <w:jc w:val="left"/>
      <w:spacing w:before="100" w:beforeAutospacing="1" w:after="100" w:afterAutospacing="1"/>
      <w:widowControl/>
    </w:pPr>
    <w:rPr>
      <w:rFonts w:hint="eastAsia" w:ascii="宋体" w:hAnsi="宋体"/>
      <w:sz w:val="18"/>
      <w:szCs w:val="18"/>
    </w:rPr>
  </w:style>
  <w:style w:type="paragraph" w:styleId="959" w:customStyle="1">
    <w:name w:val=" Char Char Char Char"/>
    <w:basedOn w:val="884"/>
    <w:uiPriority w:val="0"/>
    <w:qFormat/>
    <w:pPr>
      <w:spacing w:line="360" w:lineRule="auto"/>
    </w:pPr>
    <w:rPr>
      <w:rFonts w:ascii="Tahoma" w:hAnsi="Tahoma"/>
      <w:sz w:val="24"/>
      <w:szCs w:val="24"/>
    </w:rPr>
  </w:style>
  <w:style w:type="paragraph" w:styleId="960">
    <w:name w:val="List Paragraph"/>
    <w:basedOn w:val="869"/>
    <w:uiPriority w:val="0"/>
    <w:qFormat/>
    <w:pPr>
      <w:contextualSpacing/>
      <w:ind w:left="720"/>
      <w:jc w:val="left"/>
      <w:widowControl/>
    </w:pPr>
    <w:rPr>
      <w:rFonts w:ascii="Calibri" w:hAnsi="Calibri"/>
      <w:sz w:val="24"/>
      <w:szCs w:val="24"/>
      <w:lang w:eastAsia="en-US" w:bidi="en-US"/>
    </w:rPr>
  </w:style>
  <w:style w:type="paragraph" w:styleId="961" w:customStyle="1">
    <w:name w:val="4"/>
    <w:basedOn w:val="869"/>
    <w:next w:val="903"/>
    <w:uiPriority w:val="0"/>
    <w:qFormat/>
    <w:pPr>
      <w:ind w:firstLine="420"/>
      <w:spacing w:line="360" w:lineRule="auto"/>
    </w:pPr>
    <w:rPr>
      <w:color w:val="ff0000"/>
      <w:sz w:val="24"/>
      <w:szCs w:val="24"/>
    </w:rPr>
  </w:style>
  <w:style w:type="paragraph" w:styleId="962" w:customStyle="1">
    <w:name w:val="普通 (Web)"/>
    <w:basedOn w:val="869"/>
    <w:uiPriority w:val="0"/>
    <w:qFormat/>
    <w:pPr>
      <w:jc w:val="left"/>
      <w:spacing w:before="100" w:beforeAutospacing="1" w:after="100" w:afterAutospacing="1"/>
      <w:widowControl/>
    </w:pPr>
    <w:rPr>
      <w:rFonts w:ascii="宋体" w:hAnsi="宋体"/>
      <w:sz w:val="24"/>
      <w:szCs w:val="24"/>
    </w:rPr>
  </w:style>
  <w:style w:type="paragraph" w:styleId="963" w:customStyle="1">
    <w:name w:val=" Char Char Char Char Char Char Char Char Char Char"/>
    <w:basedOn w:val="869"/>
    <w:uiPriority w:val="0"/>
    <w:qFormat/>
    <w:pPr>
      <w:spacing w:line="360" w:lineRule="auto"/>
    </w:pPr>
    <w:rPr>
      <w:sz w:val="24"/>
      <w:szCs w:val="20"/>
    </w:rPr>
  </w:style>
  <w:style w:type="paragraph" w:styleId="964" w:customStyle="1">
    <w:name w:val="样式1"/>
    <w:basedOn w:val="869"/>
    <w:uiPriority w:val="0"/>
    <w:qFormat/>
    <w:pPr>
      <w:numPr>
        <w:ilvl w:val="0"/>
        <w:numId w:val="3"/>
      </w:numPr>
    </w:pPr>
    <w:rPr>
      <w:rFonts w:ascii="宋体" w:hAnsi="宋体"/>
    </w:rPr>
  </w:style>
  <w:style w:type="paragraph" w:styleId="965" w:customStyle="1">
    <w:name w:val="font6"/>
    <w:basedOn w:val="869"/>
    <w:uiPriority w:val="0"/>
    <w:qFormat/>
    <w:pPr>
      <w:jc w:val="left"/>
      <w:spacing w:before="100" w:beforeAutospacing="1" w:after="100" w:afterAutospacing="1"/>
      <w:widowControl/>
    </w:pPr>
    <w:rPr>
      <w:rFonts w:hint="eastAsia" w:ascii="宋体" w:hAnsi="宋体"/>
      <w:sz w:val="28"/>
      <w:szCs w:val="28"/>
      <w:u w:val="single"/>
    </w:rPr>
  </w:style>
  <w:style w:type="paragraph" w:styleId="966" w:customStyle="1">
    <w:name w:val="xl25"/>
    <w:basedOn w:val="86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7" w:customStyle="1">
    <w:name w:val="图标"/>
    <w:basedOn w:val="869"/>
    <w:next w:val="86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8" w:customStyle="1">
    <w:name w:val="标题3"/>
    <w:basedOn w:val="869"/>
    <w:next w:val="869"/>
    <w:uiPriority w:val="0"/>
    <w:qFormat/>
    <w:pPr>
      <w:ind w:firstLine="624"/>
      <w:spacing w:line="590" w:lineRule="atLeast"/>
    </w:pPr>
    <w:rPr>
      <w:rFonts w:ascii="方正黑体_GBK" w:eastAsia="方正黑体_GBK"/>
      <w:sz w:val="32"/>
      <w:szCs w:val="32"/>
    </w:rPr>
  </w:style>
  <w:style w:type="paragraph" w:styleId="969" w:customStyle="1">
    <w:name w:val="xl24"/>
    <w:basedOn w:val="8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70" w:customStyle="1">
    <w:name w:val="xl29"/>
    <w:basedOn w:val="869"/>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71" w:customStyle="1">
    <w:name w:val="Char Char Char Char Char Char Char Char"/>
    <w:basedOn w:val="869"/>
    <w:uiPriority w:val="0"/>
    <w:qFormat/>
    <w:pPr>
      <w:jc w:val="left"/>
      <w:spacing w:after="160" w:line="240" w:lineRule="exact"/>
      <w:widowControl/>
    </w:pPr>
    <w:rPr>
      <w:rFonts w:ascii="Verdana" w:hAnsi="Verdana"/>
      <w:sz w:val="20"/>
      <w:szCs w:val="20"/>
      <w:lang w:eastAsia="en-US"/>
    </w:rPr>
  </w:style>
  <w:style w:type="paragraph" w:styleId="972" w:customStyle="1">
    <w:name w:val="xl28"/>
    <w:basedOn w:val="86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73" w:customStyle="1">
    <w:name w:val=" Char Char Char Char Char Char Char Char"/>
    <w:basedOn w:val="869"/>
    <w:uiPriority w:val="0"/>
    <w:qFormat/>
    <w:pPr>
      <w:jc w:val="left"/>
      <w:spacing w:after="160" w:line="240" w:lineRule="exact"/>
      <w:widowControl/>
    </w:pPr>
    <w:rPr>
      <w:rFonts w:ascii="Verdana" w:hAnsi="Verdana"/>
      <w:sz w:val="20"/>
      <w:szCs w:val="20"/>
      <w:lang w:eastAsia="en-US"/>
    </w:rPr>
  </w:style>
  <w:style w:type="paragraph" w:styleId="974" w:customStyle="1">
    <w:name w:val="xl30"/>
    <w:basedOn w:val="869"/>
    <w:uiPriority w:val="0"/>
    <w:qFormat/>
    <w:pPr>
      <w:jc w:val="center"/>
      <w:spacing w:before="100" w:beforeAutospacing="1" w:after="100" w:afterAutospacing="1"/>
      <w:widowControl/>
    </w:pPr>
    <w:rPr>
      <w:rFonts w:ascii="宋体" w:hAnsi="宋体"/>
      <w:b/>
      <w:bCs/>
      <w:sz w:val="36"/>
      <w:szCs w:val="36"/>
    </w:rPr>
  </w:style>
  <w:style w:type="paragraph" w:styleId="975" w:customStyle="1">
    <w:name w:val="Char Char Char Char"/>
    <w:basedOn w:val="884"/>
    <w:uiPriority w:val="0"/>
    <w:qFormat/>
    <w:pPr>
      <w:spacing w:line="360" w:lineRule="auto"/>
    </w:pPr>
    <w:rPr>
      <w:rFonts w:ascii="Tahoma" w:hAnsi="Tahoma"/>
      <w:sz w:val="24"/>
      <w:szCs w:val="24"/>
    </w:rPr>
  </w:style>
  <w:style w:type="paragraph" w:styleId="976" w:customStyle="1">
    <w:name w:val="table_1stline"/>
    <w:basedOn w:val="869"/>
    <w:uiPriority w:val="0"/>
    <w:qFormat/>
    <w:pPr>
      <w:jc w:val="left"/>
      <w:spacing w:before="120"/>
      <w:widowControl/>
    </w:pPr>
    <w:rPr>
      <w:bCs/>
      <w:sz w:val="20"/>
      <w:szCs w:val="20"/>
      <w:lang w:val="de-DE" w:eastAsia="de-DE"/>
    </w:rPr>
  </w:style>
  <w:style w:type="paragraph" w:styleId="977" w:customStyle="1">
    <w:name w:val="font5"/>
    <w:basedOn w:val="869"/>
    <w:uiPriority w:val="0"/>
    <w:qFormat/>
    <w:pPr>
      <w:jc w:val="left"/>
      <w:spacing w:before="100" w:beforeAutospacing="1" w:after="100" w:afterAutospacing="1"/>
      <w:widowControl/>
    </w:pPr>
    <w:rPr>
      <w:rFonts w:hint="eastAsia" w:ascii="宋体" w:hAnsi="宋体"/>
      <w:sz w:val="28"/>
      <w:szCs w:val="28"/>
    </w:rPr>
  </w:style>
  <w:style w:type="paragraph" w:styleId="978" w:customStyle="1">
    <w:name w:val="标题1"/>
    <w:basedOn w:val="869"/>
    <w:next w:val="86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9" w:customStyle="1">
    <w:name w:val="_Style 110"/>
    <w:uiPriority w:val="99"/>
    <w:semiHidden/>
    <w:qFormat/>
    <w:rPr>
      <w:rFonts w:ascii="Times New Roman" w:hAnsi="Times New Roman" w:eastAsia="宋体" w:cs="Times New Roman"/>
      <w:sz w:val="21"/>
      <w:szCs w:val="21"/>
      <w:lang w:val="en-US" w:eastAsia="zh-CN" w:bidi="ar-SA"/>
    </w:rPr>
  </w:style>
  <w:style w:type="paragraph" w:styleId="980">
    <w:name w:val="No Spacing"/>
    <w:uiPriority w:val="99"/>
    <w:qFormat/>
    <w:pPr>
      <w:jc w:val="both"/>
      <w:widowControl w:val="off"/>
    </w:pPr>
    <w:rPr>
      <w:rFonts w:ascii="Times New Roman" w:hAnsi="Times New Roman" w:eastAsia="宋体" w:cs="Times New Roman"/>
      <w:sz w:val="21"/>
      <w:szCs w:val="21"/>
      <w:lang w:val="en-US" w:eastAsia="zh-CN" w:bidi="ar-SA"/>
    </w:rPr>
  </w:style>
  <w:style w:type="numbering" w:styleId="9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时富荣</cp:lastModifiedBy>
  <cp:revision>9</cp:revision>
  <dcterms:created xsi:type="dcterms:W3CDTF">2023-03-16T02:16:00Z</dcterms:created>
  <dcterms:modified xsi:type="dcterms:W3CDTF">2026-04-02T02:14:05Z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eyJoZGlkIjoiNjczYzBkODdiODg3MzliMTg5YmZmNWRhY2ZiNWNhMDUiLCJ1c2VySWQiOiIxNTU2Mjc3MzAzIn0=</vt:lpwstr>
  </property>
  <property fmtid="{D5CDD505-2E9C-101B-9397-08002B2CF9AE}" pid="3" name="KSOProductBuildVer">
    <vt:lpwstr>2052-12.1.0.25225</vt:lpwstr>
  </property>
  <property fmtid="{D5CDD505-2E9C-101B-9397-08002B2CF9AE}" pid="4" name="ICV">
    <vt:lpwstr>06CA0E19B94A48CD919FFD9AF97BC334_13</vt:lpwstr>
  </property>
</Properties>
</file>