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rPr>
          <w:rFonts w:hint="eastAsia" w:ascii="黑体" w:hAnsi="黑体" w:eastAsia="黑体" w:cs="宋体"/>
          <w:b/>
          <w:spacing w:val="20"/>
          <w:sz w:val="72"/>
          <w:szCs w:val="72"/>
          <w:highlight w:val="none"/>
        </w:rPr>
      </w:r>
      <w:r/>
    </w:p>
    <w:p>
      <w:pPr>
        <w:pStyle w:val="719"/>
        <w:spacing w:line="360" w:lineRule="auto"/>
        <w:rPr>
          <w:rFonts w:hint="eastAsia" w:hAnsi="宋体" w:cs="宋体"/>
          <w:bCs/>
          <w:sz w:val="30"/>
          <w:highlight w:val="none"/>
        </w:rPr>
      </w:pPr>
      <w:r>
        <w:rPr>
          <w:rFonts w:hint="eastAsia" w:hAnsi="宋体" w:cs="宋体"/>
          <w:bCs/>
          <w:sz w:val="30"/>
          <w:highlight w:val="none"/>
        </w:rPr>
      </w:r>
      <w:r/>
    </w:p>
    <w:p>
      <w:pPr>
        <w:pStyle w:val="719"/>
        <w:spacing w:line="360" w:lineRule="auto"/>
        <w:rPr>
          <w:rFonts w:hint="eastAsia" w:hAnsi="宋体" w:cs="宋体"/>
          <w:bCs/>
          <w:sz w:val="30"/>
          <w:highlight w:val="none"/>
        </w:rPr>
      </w:pPr>
      <w:r>
        <w:rPr>
          <w:rFonts w:hint="eastAsia" w:hAnsi="宋体" w:cs="宋体"/>
          <w:bCs/>
          <w:sz w:val="30"/>
          <w:highlight w:val="none"/>
        </w:rPr>
      </w:r>
      <w:r/>
    </w:p>
    <w:p>
      <w:pPr>
        <w:pStyle w:val="719"/>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778"/>
        <w:rPr>
          <w:rFonts w:hint="eastAsia"/>
          <w:highlight w:val="none"/>
        </w:rPr>
      </w:pPr>
      <w:r>
        <w:rPr>
          <w:rFonts w:hint="eastAsia"/>
          <w:highlight w:val="none"/>
        </w:rPr>
      </w:r>
      <w:r/>
    </w:p>
    <w:p>
      <w:pPr>
        <w:pStyle w:val="778"/>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78"/>
        <w:rPr>
          <w:rFonts w:hint="eastAsia"/>
          <w:highlight w:val="none"/>
        </w:rPr>
      </w:pPr>
      <w:r>
        <w:rPr>
          <w:rFonts w:hint="eastAsia"/>
          <w:highlight w:val="none"/>
        </w:rPr>
      </w:r>
      <w:r/>
    </w:p>
    <w:p>
      <w:pPr>
        <w:pStyle w:val="719"/>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rPr>
          <w:rFonts w:hint="eastAsia" w:ascii="黑体" w:hAnsi="黑体" w:eastAsia="黑体" w:cs="宋体"/>
          <w:bCs/>
          <w:spacing w:val="20"/>
          <w:sz w:val="52"/>
          <w:szCs w:val="52"/>
          <w:highlight w:val="none"/>
        </w:rPr>
      </w:r>
      <w:r/>
    </w:p>
    <w:p>
      <w:pPr>
        <w:pStyle w:val="719"/>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rPr>
          <w:rFonts w:hint="eastAsia" w:ascii="黑体" w:hAnsi="黑体" w:eastAsia="黑体" w:cs="宋体"/>
          <w:bCs/>
          <w:spacing w:val="20"/>
          <w:sz w:val="52"/>
          <w:szCs w:val="52"/>
          <w:highlight w:val="none"/>
        </w:rPr>
      </w:r>
      <w:r/>
    </w:p>
    <w:p>
      <w:pPr>
        <w:pStyle w:val="1110"/>
        <w:ind w:firstLine="600"/>
        <w:rPr>
          <w:rFonts w:hint="eastAsia" w:hAnsi="宋体" w:cs="宋体"/>
          <w:bCs/>
          <w:sz w:val="30"/>
          <w:szCs w:val="30"/>
          <w:highlight w:val="none"/>
        </w:rPr>
      </w:pPr>
      <w:r>
        <w:rPr>
          <w:rFonts w:hint="eastAsia" w:hAnsi="宋体" w:cs="宋体"/>
          <w:bCs/>
          <w:sz w:val="30"/>
          <w:szCs w:val="30"/>
          <w:highlight w:val="none"/>
        </w:rPr>
      </w:r>
      <w:r/>
    </w:p>
    <w:p>
      <w:pPr>
        <w:pStyle w:val="1110"/>
        <w:ind w:firstLine="600"/>
        <w:rPr>
          <w:rFonts w:hint="eastAsia" w:hAnsi="宋体" w:cs="宋体"/>
          <w:bCs/>
          <w:sz w:val="30"/>
          <w:szCs w:val="30"/>
          <w:highlight w:val="none"/>
        </w:rPr>
      </w:pPr>
      <w:r>
        <w:rPr>
          <w:rFonts w:hint="eastAsia" w:hAnsi="宋体" w:cs="宋体"/>
          <w:bCs/>
          <w:sz w:val="30"/>
          <w:szCs w:val="30"/>
          <w:highlight w:val="none"/>
        </w:rPr>
      </w:r>
      <w:r/>
    </w:p>
    <w:p>
      <w:pPr>
        <w:pStyle w:val="1110"/>
        <w:ind w:firstLine="600"/>
        <w:rPr>
          <w:rFonts w:hint="eastAsia" w:hAnsi="宋体" w:cs="宋体"/>
          <w:bCs/>
          <w:sz w:val="30"/>
          <w:szCs w:val="30"/>
          <w:highlight w:val="none"/>
        </w:rPr>
      </w:pPr>
      <w:r>
        <w:rPr>
          <w:rFonts w:hint="eastAsia" w:hAnsi="宋体" w:cs="宋体"/>
          <w:bCs/>
          <w:sz w:val="30"/>
          <w:szCs w:val="30"/>
          <w:highlight w:val="none"/>
        </w:rPr>
      </w:r>
      <w:r/>
    </w:p>
    <w:p>
      <w:pPr>
        <w:pStyle w:val="1110"/>
        <w:ind w:firstLine="600"/>
        <w:rPr>
          <w:rFonts w:hint="eastAsia" w:hAnsi="宋体" w:cs="宋体"/>
          <w:bCs/>
          <w:sz w:val="30"/>
          <w:szCs w:val="30"/>
          <w:highlight w:val="none"/>
        </w:rPr>
      </w:pPr>
      <w:r>
        <w:rPr>
          <w:rFonts w:hint="eastAsia" w:hAnsi="宋体" w:cs="宋体"/>
          <w:bCs/>
          <w:sz w:val="30"/>
          <w:szCs w:val="30"/>
          <w:highlight w:val="none"/>
        </w:rPr>
      </w:r>
      <w:r/>
    </w:p>
    <w:p>
      <w:pPr>
        <w:pStyle w:val="1110"/>
        <w:ind w:firstLine="600"/>
        <w:rPr>
          <w:rFonts w:hint="eastAsia" w:hAnsi="宋体" w:cs="宋体"/>
          <w:bCs/>
          <w:sz w:val="30"/>
          <w:szCs w:val="30"/>
          <w:highlight w:val="none"/>
        </w:rPr>
      </w:pPr>
      <w:r>
        <w:rPr>
          <w:rFonts w:hint="eastAsia" w:hAnsi="宋体" w:cs="宋体"/>
          <w:bCs/>
          <w:sz w:val="30"/>
          <w:szCs w:val="30"/>
          <w:highlight w:val="none"/>
        </w:rPr>
      </w:r>
      <w:r/>
    </w:p>
    <w:p>
      <w:pPr>
        <w:pStyle w:val="1110"/>
        <w:ind w:firstLine="600"/>
        <w:rPr>
          <w:rFonts w:hint="eastAsia" w:hAnsi="宋体" w:cs="宋体"/>
          <w:bCs/>
          <w:sz w:val="30"/>
          <w:szCs w:val="30"/>
          <w:highlight w:val="none"/>
        </w:rPr>
      </w:pPr>
      <w:r>
        <w:rPr>
          <w:rFonts w:hint="eastAsia" w:hAnsi="宋体" w:cs="宋体"/>
          <w:bCs/>
          <w:sz w:val="30"/>
          <w:szCs w:val="30"/>
          <w:highlight w:val="none"/>
        </w:rPr>
      </w:r>
      <w:r/>
    </w:p>
    <w:p>
      <w:pPr>
        <w:pStyle w:val="1110"/>
        <w:ind w:firstLine="600"/>
        <w:rPr>
          <w:rFonts w:hint="eastAsia" w:hAnsi="宋体" w:cs="宋体"/>
          <w:bCs/>
          <w:sz w:val="30"/>
          <w:szCs w:val="30"/>
          <w:highlight w:val="none"/>
        </w:rPr>
      </w:pPr>
      <w:r>
        <w:rPr>
          <w:rFonts w:hint="eastAsia" w:hAnsi="宋体" w:cs="宋体"/>
          <w:bCs/>
          <w:sz w:val="30"/>
          <w:szCs w:val="30"/>
          <w:highlight w:val="none"/>
        </w:rPr>
      </w:r>
      <w:r/>
    </w:p>
    <w:p>
      <w:pPr>
        <w:pStyle w:val="719"/>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w:t>
      </w:r>
      <w:r>
        <w:rPr>
          <w:rFonts w:hint="eastAsia" w:ascii="黑体" w:hAnsi="黑体" w:eastAsia="黑体" w:cs="宋体"/>
          <w:bCs/>
          <w:sz w:val="30"/>
          <w:szCs w:val="30"/>
          <w:highlight w:val="none"/>
          <w:lang w:eastAsia="zh-CN"/>
        </w:rPr>
        <w:t xml:space="preserve">JSZC-320214-JNJS-G2026-0001</w:t>
      </w:r>
      <w:r>
        <w:rPr>
          <w:rFonts w:hint="eastAsia" w:ascii="黑体" w:hAnsi="黑体" w:eastAsia="黑体" w:cs="宋体"/>
          <w:bCs/>
          <w:sz w:val="30"/>
          <w:szCs w:val="30"/>
          <w:highlight w:val="none"/>
          <w:lang w:eastAsia="zh-CN"/>
        </w:rPr>
      </w:r>
      <w:r/>
    </w:p>
    <w:p>
      <w:pPr>
        <w:pStyle w:val="719"/>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天一中学新吴分校新建工程厨房设备采购项目</w:t>
      </w:r>
      <w:r>
        <w:rPr>
          <w:rFonts w:ascii="黑体" w:hAnsi="黑体" w:eastAsia="黑体" w:cs="宋体"/>
          <w:bCs/>
          <w:sz w:val="30"/>
          <w:szCs w:val="30"/>
          <w:highlight w:val="none"/>
          <w:lang w:val="en-US" w:eastAsia="zh-CN"/>
        </w:rPr>
      </w:r>
      <w:r/>
    </w:p>
    <w:p>
      <w:pPr>
        <w:pStyle w:val="719"/>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无锡国家高新技术产业开发区（无锡市新吴区）教育局</w:t>
      </w:r>
      <w:r>
        <w:rPr>
          <w:rFonts w:hint="eastAsia" w:ascii="黑体" w:hAnsi="黑体" w:eastAsia="黑体" w:cs="宋体"/>
          <w:bCs/>
          <w:sz w:val="30"/>
          <w:szCs w:val="30"/>
          <w:highlight w:val="none"/>
          <w:lang w:eastAsia="zh-CN"/>
        </w:rPr>
      </w:r>
      <w:r/>
    </w:p>
    <w:p>
      <w:pPr>
        <w:pStyle w:val="719"/>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江苏金诺建设咨询管理有限公司</w:t>
      </w:r>
      <w:r>
        <w:rPr>
          <w:rFonts w:hint="eastAsia" w:ascii="黑体" w:hAnsi="黑体" w:eastAsia="黑体" w:cs="宋体"/>
          <w:bCs/>
          <w:sz w:val="30"/>
          <w:szCs w:val="30"/>
          <w:highlight w:val="none"/>
          <w:lang w:val="en-US" w:eastAsia="zh-CN"/>
        </w:rPr>
      </w:r>
      <w:r/>
    </w:p>
    <w:p>
      <w:pPr>
        <w:pStyle w:val="719"/>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lang w:val="en-US" w:eastAsia="zh-CN"/>
        </w:rPr>
        <w:t xml:space="preserve">四</w:t>
      </w:r>
      <w:r>
        <w:rPr>
          <w:rFonts w:eastAsia="黑体"/>
          <w:bCs/>
          <w:color w:val="000000"/>
          <w:sz w:val="36"/>
          <w:szCs w:val="36"/>
          <w:highlight w:val="none"/>
        </w:rPr>
        <w:t xml:space="preserve">月</w:t>
      </w:r>
      <w:r>
        <w:rPr>
          <w:rFonts w:eastAsia="黑体"/>
          <w:bCs/>
          <w:color w:val="000000"/>
          <w:sz w:val="36"/>
          <w:szCs w:val="36"/>
          <w:highlight w:val="none"/>
        </w:rPr>
      </w:r>
      <w:r/>
    </w:p>
    <w:p>
      <w:pPr>
        <w:pStyle w:val="719"/>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995"/>
        <w:ind w:firstLine="0"/>
        <w:jc w:val="center"/>
        <w:rPr>
          <w:rFonts w:hint="eastAsia" w:ascii="宋体" w:hAnsi="宋体" w:eastAsia="宋体" w:cs="宋体"/>
          <w:sz w:val="52"/>
          <w:szCs w:val="52"/>
          <w:highlight w:val="none"/>
        </w:rPr>
      </w:pPr>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宋体" w:hAnsi="宋体" w:eastAsia="宋体" w:cs="宋体"/>
          <w:sz w:val="52"/>
          <w:szCs w:val="52"/>
          <w:highlight w:val="none"/>
        </w:rPr>
        <w:t xml:space="preserve">目录</w:t>
      </w:r>
      <w:r>
        <w:rPr>
          <w:rFonts w:hint="eastAsia" w:ascii="宋体" w:hAnsi="宋体" w:eastAsia="宋体" w:cs="宋体"/>
          <w:sz w:val="52"/>
          <w:szCs w:val="52"/>
          <w:highlight w:val="none"/>
        </w:rPr>
      </w:r>
      <w:r/>
    </w:p>
    <w:p>
      <w:pPr>
        <w:pStyle w:val="995"/>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09"/>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_Toc27711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09"/>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_Toc18519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09"/>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_Toc29592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09"/>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09"/>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_Toc14501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09"/>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_Toc25872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80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719"/>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rPr>
          <w:rFonts w:hint="eastAsia" w:ascii="宋体" w:hAnsi="宋体" w:eastAsia="宋体" w:cs="宋体"/>
          <w:highlight w:val="none"/>
        </w:rPr>
      </w:pPr>
      <w:r>
        <w:rPr>
          <w:rFonts w:hint="eastAsia" w:ascii="宋体" w:hAnsi="宋体" w:eastAsia="宋体" w:cs="宋体"/>
          <w:highlight w:val="none"/>
        </w:rPr>
      </w:r>
      <w:r/>
    </w:p>
    <w:p>
      <w:pPr>
        <w:pStyle w:val="719"/>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rPr>
          <w:rFonts w:hint="eastAsia" w:ascii="宋体" w:hAnsi="宋体" w:eastAsia="宋体" w:cs="宋体"/>
          <w:sz w:val="36"/>
          <w:szCs w:val="36"/>
          <w:highlight w:val="none"/>
        </w:rPr>
      </w:r>
      <w:r/>
    </w:p>
    <w:p>
      <w:pPr>
        <w:pStyle w:val="719"/>
        <w:ind w:firstLine="480"/>
        <w:spacing w:line="500" w:lineRule="exact"/>
        <w:rPr>
          <w:rFonts w:hint="eastAsia" w:ascii="宋体" w:hAnsi="宋体" w:eastAsia="宋体" w:cs="宋体"/>
          <w:sz w:val="24"/>
          <w:szCs w:val="24"/>
          <w:highlight w:val="none"/>
          <w:shd w:val="clear" w:color="ffffff" w:fill="d9d9d9"/>
        </w:rPr>
      </w:pPr>
      <w:r/>
      <w:bookmarkEnd w:id="0"/>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天一中学新吴分校新建工程厨房设备采购项目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JSZC-320214-JNJS-G2026-0001</w:t>
      </w:r>
      <w:r>
        <w:rPr>
          <w:rFonts w:hint="eastAsia" w:ascii="宋体" w:hAnsi="宋体" w:eastAsia="宋体" w:cs="宋体"/>
          <w:sz w:val="24"/>
          <w:szCs w:val="24"/>
          <w:highlight w:val="none"/>
        </w:rPr>
        <w:t xml:space="preserve">）进行公开招标采购，欢迎符合条件的供应商投标。</w:t>
      </w:r>
      <w:r>
        <w:rPr>
          <w:rFonts w:hint="eastAsia" w:ascii="宋体" w:hAnsi="宋体" w:eastAsia="宋体" w:cs="宋体"/>
          <w:sz w:val="24"/>
          <w:szCs w:val="24"/>
          <w:highlight w:val="none"/>
          <w:shd w:val="clear" w:color="ffffff" w:fill="d9d9d9"/>
        </w:rPr>
      </w:r>
      <w:r/>
    </w:p>
    <w:p>
      <w:pPr>
        <w:pStyle w:val="719"/>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719"/>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天一中学新吴分校新建工程厨房设备采购项目</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Pr>
          <w:rFonts w:hint="eastAsia" w:ascii="宋体" w:hAnsi="宋体" w:eastAsia="宋体" w:cs="宋体"/>
          <w:sz w:val="30"/>
          <w:szCs w:val="30"/>
          <w:highlight w:val="none"/>
        </w:rPr>
      </w:r>
      <w:r/>
    </w:p>
    <w:p>
      <w:pPr>
        <w:pStyle w:val="719"/>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JSZC-320214-JNJS-G2026-0001</w:t>
      </w:r>
      <w:r>
        <w:rPr>
          <w:rFonts w:hint="eastAsia" w:ascii="宋体" w:hAnsi="宋体" w:eastAsia="宋体" w:cs="宋体"/>
          <w:sz w:val="24"/>
          <w:szCs w:val="24"/>
          <w:highlight w:val="none"/>
          <w:lang w:eastAsia="zh-CN"/>
        </w:rPr>
      </w:r>
      <w:r/>
    </w:p>
    <w:p>
      <w:pPr>
        <w:pStyle w:val="719"/>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天一中学新吴分校新建工程厨房设备采购项目</w:t>
      </w:r>
      <w:r>
        <w:rPr>
          <w:rFonts w:hint="eastAsia" w:ascii="宋体" w:hAnsi="宋体" w:eastAsia="宋体" w:cs="宋体"/>
          <w:sz w:val="24"/>
          <w:szCs w:val="24"/>
          <w:highlight w:val="none"/>
          <w:lang w:eastAsia="zh-CN"/>
        </w:rPr>
      </w:r>
      <w:r/>
    </w:p>
    <w:p>
      <w:pPr>
        <w:pStyle w:val="719"/>
        <w:ind w:firstLine="480"/>
        <w:spacing w:line="500" w:lineRule="exact"/>
        <w:rPr>
          <w:rFonts w:hint="eastAsia" w:ascii="宋体" w:hAnsi="宋体" w:eastAsia="宋体" w:cs="宋体"/>
          <w:sz w:val="24"/>
          <w:szCs w:val="24"/>
          <w:highlight w:val="none"/>
        </w:rPr>
      </w:pPr>
      <w:r/>
      <w:bookmarkEnd w:id="12"/>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124.6463</w:t>
      </w:r>
      <w:r>
        <w:rPr>
          <w:rFonts w:hint="eastAsia" w:ascii="宋体" w:hAnsi="宋体" w:eastAsia="宋体" w:cs="宋体"/>
          <w:color w:val="000000"/>
          <w:sz w:val="24"/>
          <w:szCs w:val="24"/>
          <w:highlight w:val="none"/>
        </w:rPr>
        <w:t xml:space="preserve">万元</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124.6463</w:t>
      </w:r>
      <w:r>
        <w:rPr>
          <w:rFonts w:hint="eastAsia" w:ascii="宋体" w:hAnsi="宋体" w:eastAsia="宋体" w:cs="宋体"/>
          <w:color w:val="000000"/>
          <w:sz w:val="24"/>
          <w:szCs w:val="24"/>
          <w:highlight w:val="none"/>
        </w:rPr>
        <w:t xml:space="preserve">万元</w:t>
      </w:r>
      <w:r>
        <w:rPr>
          <w:rFonts w:hint="eastAsia" w:ascii="宋体" w:hAnsi="宋体" w:eastAsia="宋体" w:cs="宋体"/>
          <w:i/>
          <w:iCs/>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Cs/>
          <w:sz w:val="24"/>
          <w:highlight w:val="none"/>
        </w:rPr>
        <w:t xml:space="preserve">供货期</w:t>
      </w:r>
      <w:r>
        <w:rPr>
          <w:rFonts w:hint="eastAsia" w:ascii="宋体" w:hAnsi="宋体" w:eastAsia="宋体" w:cs="宋体"/>
          <w:sz w:val="24"/>
          <w:szCs w:val="24"/>
          <w:highlight w:val="none"/>
        </w:rPr>
        <w:t xml:space="preserve">：30日历天内完成采购、安装、调试等；具体以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的要求为准。</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rPr>
          <w:rFonts w:hint="eastAsia" w:ascii="宋体" w:hAnsi="宋体" w:eastAsia="宋体" w:cs="宋体"/>
          <w:sz w:val="24"/>
          <w:szCs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13" w:name="_Toc35393791"/>
      <w:r/>
      <w:bookmarkStart w:id="14" w:name="_Toc28359003"/>
      <w:r/>
      <w:bookmarkStart w:id="15" w:name="_Toc28359080"/>
      <w:r/>
      <w:bookmarkStart w:id="16" w:name="_Toc38985264"/>
      <w:r/>
      <w:bookmarkStart w:id="17" w:name="_Toc35393622"/>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Pr>
          <w:rFonts w:hint="eastAsia" w:ascii="宋体" w:hAnsi="宋体" w:eastAsia="宋体" w:cs="宋体"/>
          <w:sz w:val="30"/>
          <w:szCs w:val="30"/>
          <w:highlight w:val="none"/>
        </w:rPr>
      </w:r>
      <w:r/>
    </w:p>
    <w:p>
      <w:pPr>
        <w:pStyle w:val="719"/>
        <w:ind w:firstLine="480"/>
        <w:spacing w:line="500" w:lineRule="exact"/>
        <w:rPr>
          <w:rFonts w:hint="eastAsia" w:ascii="宋体" w:hAnsi="宋体" w:eastAsia="宋体" w:cs="宋体"/>
          <w:sz w:val="24"/>
          <w:szCs w:val="24"/>
          <w:highlight w:val="none"/>
        </w:rPr>
      </w:pPr>
      <w:r/>
      <w:bookmarkStart w:id="18" w:name="_Toc35393623"/>
      <w:r/>
      <w:bookmarkStart w:id="19" w:name="_Toc38985265"/>
      <w:r/>
      <w:bookmarkStart w:id="20" w:name="_Toc28359004"/>
      <w:r/>
      <w:bookmarkStart w:id="21" w:name="_Toc35393792"/>
      <w:r/>
      <w:bookmarkStart w:id="22" w:name="_Toc28359081"/>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2.在“信用中国”网站（www.creditchina.gov.cn）、中国政府采购网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i/>
          <w:sz w:val="24"/>
          <w:szCs w:val="24"/>
          <w:highlight w:val="none"/>
        </w:rPr>
      </w:pPr>
      <w:r>
        <w:rPr>
          <w:rFonts w:hint="eastAsia" w:ascii="宋体" w:hAnsi="宋体" w:eastAsia="宋体" w:cs="宋体"/>
          <w:sz w:val="24"/>
          <w:szCs w:val="24"/>
          <w:highlight w:val="none"/>
        </w:rPr>
        <w:t xml:space="preserve">3.落实政府采购政策需满足的资格要求：本项目专门面向</w:t>
      </w:r>
      <w:r>
        <w:rPr>
          <w:rFonts w:hint="eastAsia" w:ascii="宋体" w:hAnsi="宋体" w:cs="宋体"/>
          <w:sz w:val="24"/>
          <w:szCs w:val="24"/>
          <w:highlight w:val="none"/>
          <w:lang w:val="en-US" w:eastAsia="zh-CN"/>
        </w:rPr>
        <w:t xml:space="preserve">中</w:t>
      </w:r>
      <w:r>
        <w:rPr>
          <w:rFonts w:hint="eastAsia" w:ascii="宋体" w:hAnsi="宋体" w:eastAsia="宋体" w:cs="宋体"/>
          <w:sz w:val="24"/>
          <w:szCs w:val="24"/>
          <w:highlight w:val="none"/>
        </w:rPr>
        <w:t xml:space="preserve">小企业；</w:t>
      </w:r>
      <w:r>
        <w:rPr>
          <w:rFonts w:hint="eastAsia" w:ascii="宋体" w:hAnsi="宋体" w:eastAsia="宋体" w:cs="宋体"/>
          <w:i/>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4.本项目的特定资格要求：无</w:t>
      </w:r>
      <w:r>
        <w:rPr>
          <w:rFonts w:hint="eastAsia" w:ascii="宋体" w:hAnsi="宋体" w:eastAsia="宋体" w:cs="宋体"/>
          <w:sz w:val="24"/>
          <w:szCs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Pr>
          <w:rFonts w:hint="eastAsia" w:ascii="宋体" w:hAnsi="宋体" w:eastAsia="宋体" w:cs="宋体"/>
          <w:sz w:val="30"/>
          <w:szCs w:val="30"/>
          <w:highlight w:val="none"/>
        </w:rPr>
      </w:r>
      <w:r/>
    </w:p>
    <w:p>
      <w:pPr>
        <w:pStyle w:val="719"/>
        <w:ind w:firstLine="540"/>
        <w:spacing w:line="500" w:lineRule="exact"/>
        <w:rPr>
          <w:rFonts w:hint="eastAsia" w:ascii="宋体" w:hAnsi="宋体" w:eastAsia="宋体" w:cs="宋体"/>
          <w:sz w:val="24"/>
          <w:szCs w:val="24"/>
          <w:highlight w:val="none"/>
        </w:rPr>
      </w:pPr>
      <w:r/>
      <w:bookmarkStart w:id="23" w:name="_Toc28359082"/>
      <w:r/>
      <w:bookmarkStart w:id="24" w:name="_Toc28359005"/>
      <w:r/>
      <w:bookmarkStart w:id="25" w:name="_Toc38985266"/>
      <w:r/>
      <w:bookmarkStart w:id="26" w:name="_Toc35393793"/>
      <w:r/>
      <w:bookmarkStart w:id="27" w:name="_Toc35393624"/>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rPr>
          <w:rFonts w:hint="eastAsia" w:ascii="宋体" w:hAnsi="宋体" w:eastAsia="宋体" w:cs="宋体"/>
          <w:sz w:val="24"/>
          <w:szCs w:val="24"/>
          <w:highlight w:val="none"/>
        </w:rPr>
      </w:r>
      <w:r/>
    </w:p>
    <w:p>
      <w:pPr>
        <w:pStyle w:val="719"/>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r>
      <w:r/>
    </w:p>
    <w:p>
      <w:pPr>
        <w:pStyle w:val="719"/>
        <w:ind w:firstLine="540"/>
        <w:spacing w:line="500" w:lineRule="exact"/>
        <w:rPr>
          <w:rStyle w:val="981"/>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rPr>
          <w:rStyle w:val="981"/>
          <w:rFonts w:hint="eastAsia" w:ascii="宋体" w:hAnsi="宋体" w:eastAsia="宋体" w:cs="宋体"/>
          <w:highlight w:val="none"/>
        </w:rPr>
      </w:r>
      <w:r/>
    </w:p>
    <w:p>
      <w:pPr>
        <w:pStyle w:val="719"/>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rPr>
          <w:rFonts w:hint="eastAsia" w:ascii="宋体" w:hAnsi="宋体" w:eastAsia="宋体" w:cs="宋体"/>
          <w:bCs/>
          <w:sz w:val="24"/>
          <w:szCs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Pr>
          <w:rFonts w:hint="eastAsia" w:ascii="宋体" w:hAnsi="宋体" w:eastAsia="宋体" w:cs="宋体"/>
          <w:sz w:val="30"/>
          <w:szCs w:val="30"/>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w:t>
      </w:r>
      <w:bookmarkStart w:id="28" w:name="_GoBack"/>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年</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月</w:t>
      </w:r>
      <w:r>
        <w:rPr>
          <w:rFonts w:hint="eastAsia" w:ascii="宋体" w:hAnsi="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日</w:t>
      </w:r>
      <w:r>
        <w:rPr>
          <w:rFonts w:hint="eastAsia" w:ascii="宋体" w:hAnsi="宋体" w:cs="宋体"/>
          <w:bCs/>
          <w:sz w:val="24"/>
          <w:szCs w:val="24"/>
          <w:highlight w:val="none"/>
          <w:lang w:val="en-US" w:eastAsia="zh-CN"/>
        </w:rPr>
        <w:t xml:space="preserve">13</w:t>
      </w:r>
      <w:r>
        <w:rPr>
          <w:rFonts w:hint="eastAsia" w:ascii="宋体" w:hAnsi="宋体" w:eastAsia="宋体" w:cs="宋体"/>
          <w:bCs/>
          <w:sz w:val="24"/>
          <w:szCs w:val="24"/>
          <w:highlight w:val="none"/>
        </w:rPr>
        <w:t xml:space="preserve">点30分（北京时间）</w:t>
      </w:r>
      <w:bookmarkEnd w:id="28"/>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rPr>
          <w:rFonts w:hint="eastAsia" w:ascii="宋体" w:hAnsi="宋体" w:eastAsia="宋体" w:cs="宋体"/>
          <w:bCs/>
          <w:sz w:val="24"/>
          <w:szCs w:val="24"/>
          <w:highlight w:val="none"/>
          <w:u w:val="singl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29" w:name="_Toc35393625"/>
      <w:r/>
      <w:bookmarkStart w:id="30" w:name="_Toc28359084"/>
      <w:r/>
      <w:bookmarkStart w:id="31" w:name="_Toc38985267"/>
      <w:r/>
      <w:bookmarkStart w:id="32" w:name="_Toc35393794"/>
      <w:r/>
      <w:bookmarkStart w:id="33" w:name="_Toc28359007"/>
      <w:r>
        <w:rPr>
          <w:rFonts w:hint="eastAsia" w:ascii="宋体" w:hAnsi="宋体" w:eastAsia="宋体" w:cs="宋体"/>
          <w:sz w:val="30"/>
          <w:szCs w:val="30"/>
          <w:highlight w:val="none"/>
        </w:rPr>
        <w:t xml:space="preserve">五、公告期限</w:t>
      </w:r>
      <w:bookmarkEnd w:id="29"/>
      <w:r/>
      <w:bookmarkEnd w:id="30"/>
      <w:r/>
      <w:bookmarkEnd w:id="31"/>
      <w:r/>
      <w:bookmarkEnd w:id="32"/>
      <w:r/>
      <w:bookmarkEnd w:id="33"/>
      <w:r>
        <w:rPr>
          <w:rFonts w:hint="eastAsia" w:ascii="宋体" w:hAnsi="宋体" w:eastAsia="宋体" w:cs="宋体"/>
          <w:sz w:val="30"/>
          <w:szCs w:val="30"/>
          <w:highlight w:val="none"/>
        </w:rPr>
      </w:r>
      <w:r/>
    </w:p>
    <w:p>
      <w:pPr>
        <w:pStyle w:val="719"/>
        <w:ind w:firstLine="480"/>
        <w:spacing w:line="500" w:lineRule="exact"/>
        <w:rPr>
          <w:rFonts w:hint="eastAsia" w:ascii="宋体" w:hAnsi="宋体" w:eastAsia="宋体" w:cs="宋体"/>
          <w:sz w:val="24"/>
          <w:szCs w:val="24"/>
          <w:highlight w:val="none"/>
        </w:rPr>
      </w:pPr>
      <w:r/>
      <w:bookmarkStart w:id="34" w:name="_Toc35393795"/>
      <w:r/>
      <w:bookmarkStart w:id="35" w:name="_Toc38985268"/>
      <w:r/>
      <w:bookmarkStart w:id="36" w:name="_Toc35393626"/>
      <w:r>
        <w:rPr>
          <w:rFonts w:hint="eastAsia" w:ascii="宋体" w:hAnsi="宋体" w:eastAsia="宋体" w:cs="宋体"/>
          <w:sz w:val="24"/>
          <w:szCs w:val="24"/>
          <w:highlight w:val="none"/>
        </w:rPr>
        <w:t xml:space="preserve">（招标公告及招标文件公告期限）自本公告发布之日起5个工作日。</w:t>
      </w:r>
      <w:r>
        <w:rPr>
          <w:rFonts w:hint="eastAsia" w:ascii="宋体" w:hAnsi="宋体" w:eastAsia="宋体" w:cs="宋体"/>
          <w:sz w:val="24"/>
          <w:szCs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4"/>
      <w:r/>
      <w:bookmarkEnd w:id="35"/>
      <w:r/>
      <w:bookmarkEnd w:id="36"/>
      <w:r>
        <w:rPr>
          <w:rFonts w:hint="eastAsia" w:ascii="宋体" w:hAnsi="宋体" w:eastAsia="宋体" w:cs="宋体"/>
          <w:sz w:val="30"/>
          <w:szCs w:val="30"/>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rPr>
          <w:rFonts w:hint="eastAsia" w:ascii="宋体" w:hAnsi="宋体" w:eastAsia="宋体" w:cs="宋体"/>
          <w:sz w:val="24"/>
          <w:szCs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37" w:name="_Toc28359085"/>
      <w:r/>
      <w:bookmarkStart w:id="38" w:name="_Toc35393796"/>
      <w:r/>
      <w:bookmarkStart w:id="39" w:name="_Toc28359008"/>
      <w:r/>
      <w:bookmarkStart w:id="40" w:name="_Toc35393627"/>
      <w:r/>
      <w:bookmarkStart w:id="41" w:name="_Toc38985269"/>
      <w:r>
        <w:rPr>
          <w:rFonts w:hint="eastAsia" w:ascii="宋体" w:hAnsi="宋体" w:eastAsia="宋体" w:cs="宋体"/>
          <w:sz w:val="30"/>
          <w:szCs w:val="30"/>
          <w:highlight w:val="none"/>
        </w:rPr>
        <w:t xml:space="preserve">七、本项目联系方式</w:t>
      </w:r>
      <w:bookmarkEnd w:id="37"/>
      <w:r/>
      <w:bookmarkEnd w:id="38"/>
      <w:r/>
      <w:bookmarkEnd w:id="39"/>
      <w:r/>
      <w:bookmarkEnd w:id="40"/>
      <w:r/>
      <w:bookmarkEnd w:id="41"/>
      <w:r>
        <w:rPr>
          <w:rFonts w:hint="eastAsia" w:ascii="宋体" w:hAnsi="宋体" w:eastAsia="宋体" w:cs="宋体"/>
          <w:sz w:val="30"/>
          <w:szCs w:val="30"/>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lang w:eastAsia="zh-CN"/>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无锡市新吴区和风路</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2" w:name="_Toc28359086"/>
      <w:r/>
      <w:bookmarkStart w:id="43" w:name="_Toc28359009"/>
      <w:r>
        <w:rPr>
          <w:rFonts w:hint="eastAsia" w:ascii="宋体" w:hAnsi="宋体" w:eastAsia="宋体" w:cs="宋体"/>
          <w:sz w:val="24"/>
          <w:szCs w:val="24"/>
          <w:highlight w:val="none"/>
        </w:rPr>
        <w:t xml:space="preserve">见“项目联系方式”</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2"/>
      <w:r/>
      <w:bookmarkEnd w:id="43"/>
      <w:r>
        <w:rPr>
          <w:rFonts w:hint="eastAsia" w:ascii="宋体" w:hAnsi="宋体" w:eastAsia="宋体" w:cs="宋体"/>
          <w:sz w:val="24"/>
          <w:szCs w:val="24"/>
          <w:highlight w:val="none"/>
        </w:rPr>
        <w:t xml:space="preserve">采购代理机构信息</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lang w:eastAsia="zh-CN"/>
        </w:rPr>
      </w:r>
      <w:r/>
    </w:p>
    <w:p>
      <w:pPr>
        <w:pStyle w:val="719"/>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rPr>
          <w:rFonts w:hint="eastAsia" w:ascii="宋体" w:hAnsi="宋体" w:eastAsia="宋体" w:cs="宋体"/>
          <w:sz w:val="24"/>
          <w:szCs w:val="24"/>
          <w:highlight w:val="none"/>
          <w:lang w:eastAsia="zh-CN"/>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rPr>
          <w:rFonts w:hint="eastAsia" w:ascii="宋体" w:hAnsi="宋体" w:eastAsia="宋体" w:cs="宋体"/>
          <w:sz w:val="24"/>
          <w:szCs w:val="24"/>
          <w:highlight w:val="none"/>
        </w:rPr>
      </w:r>
      <w:r/>
    </w:p>
    <w:p>
      <w:pPr>
        <w:pStyle w:val="983"/>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u w:val="none"/>
          <w:lang w:val="en-US" w:eastAsia="zh-CN"/>
        </w:rPr>
        <w:t xml:space="preserve">陈禹汀、匡晓锋；电话：0510-80595141、153 3520 3332</w:t>
      </w:r>
      <w:r>
        <w:rPr>
          <w:rFonts w:hint="eastAsia" w:ascii="宋体" w:hAnsi="宋体" w:eastAsia="宋体" w:cs="宋体"/>
          <w:color w:val="000000"/>
          <w:sz w:val="24"/>
          <w:szCs w:val="24"/>
          <w:highlight w:val="none"/>
          <w:u w:val="none"/>
          <w:lang w:val="en-US" w:eastAsia="zh-CN"/>
        </w:rPr>
      </w:r>
      <w:r/>
    </w:p>
    <w:p>
      <w:pPr>
        <w:pStyle w:val="983"/>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采购人质疑受理联系人:陈禹汀、匡晓锋;电话:0510-80595141、15335203332</w:t>
      </w:r>
      <w:r>
        <w:rPr>
          <w:rFonts w:hint="eastAsia" w:ascii="宋体" w:hAnsi="宋体" w:eastAsia="宋体" w:cs="宋体"/>
          <w:color w:val="000000"/>
          <w:sz w:val="24"/>
          <w:szCs w:val="24"/>
          <w:highlight w:val="none"/>
          <w:u w:val="none"/>
          <w:lang w:eastAsia="zh-CN"/>
        </w:rPr>
      </w:r>
      <w:r/>
    </w:p>
    <w:p>
      <w:pPr>
        <w:pStyle w:val="983"/>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rPr>
          <w:rFonts w:ascii="宋体" w:hAnsi="宋体" w:eastAsia="宋体" w:cs="宋体"/>
          <w:highlight w:val="none"/>
          <w:lang w:val="en-US" w:eastAsia="zh-CN"/>
        </w:rPr>
      </w:r>
      <w:r/>
    </w:p>
    <w:p>
      <w:pPr>
        <w:pStyle w:val="772"/>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rPr>
          <w:rFonts w:hint="eastAsia" w:ascii="宋体" w:hAnsi="宋体" w:eastAsia="宋体" w:cs="宋体"/>
          <w:sz w:val="30"/>
          <w:szCs w:val="30"/>
          <w:highlight w:val="none"/>
        </w:rPr>
      </w:r>
      <w:r/>
    </w:p>
    <w:p>
      <w:pPr>
        <w:pStyle w:val="719"/>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rPr>
          <w:rFonts w:hint="eastAsia" w:ascii="宋体" w:hAnsi="宋体" w:eastAsia="宋体" w:cs="宋体"/>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rPr>
          <w:rFonts w:hint="eastAsia" w:ascii="宋体" w:hAnsi="宋体" w:eastAsia="宋体" w:cs="宋体"/>
          <w:color w:val="000000"/>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rPr>
          <w:rFonts w:hint="eastAsia" w:ascii="宋体" w:hAnsi="宋体" w:eastAsia="宋体" w:cs="宋体"/>
          <w:color w:val="000000"/>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rPr>
          <w:rFonts w:hint="eastAsia" w:ascii="宋体" w:hAnsi="宋体" w:eastAsia="宋体" w:cs="宋体"/>
          <w:color w:val="000000"/>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rPr>
          <w:rFonts w:hint="eastAsia" w:ascii="宋体" w:hAnsi="宋体" w:eastAsia="宋体" w:cs="宋体"/>
          <w:color w:val="000000"/>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rPr>
          <w:rFonts w:hint="eastAsia" w:ascii="宋体" w:hAnsi="宋体" w:eastAsia="宋体" w:cs="宋体"/>
          <w:color w:val="000000"/>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rPr>
          <w:rFonts w:hint="eastAsia" w:ascii="宋体" w:hAnsi="宋体" w:eastAsia="宋体" w:cs="宋体"/>
          <w:color w:val="000000"/>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rPr>
          <w:rFonts w:hint="eastAsia" w:ascii="宋体" w:hAnsi="宋体" w:eastAsia="宋体" w:cs="宋体"/>
          <w:color w:val="000000"/>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rPr>
          <w:rFonts w:hint="eastAsia" w:ascii="宋体" w:hAnsi="宋体" w:eastAsia="宋体" w:cs="宋体"/>
          <w:color w:val="000000"/>
          <w:sz w:val="24"/>
          <w:szCs w:val="24"/>
          <w:highlight w:val="none"/>
        </w:rPr>
      </w:r>
      <w:r/>
    </w:p>
    <w:p>
      <w:pPr>
        <w:pStyle w:val="719"/>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rPr>
          <w:rFonts w:hint="eastAsia" w:ascii="宋体" w:hAnsi="宋体" w:eastAsia="宋体" w:cs="宋体"/>
          <w:sz w:val="24"/>
          <w:szCs w:val="24"/>
          <w:highlight w:val="none"/>
        </w:rPr>
      </w:r>
      <w:r/>
    </w:p>
    <w:p>
      <w:pPr>
        <w:pStyle w:val="719"/>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rPr>
          <w:rFonts w:hint="eastAsia" w:ascii="宋体" w:hAnsi="宋体" w:eastAsia="宋体" w:cs="宋体"/>
          <w:color w:val="000000"/>
          <w:sz w:val="24"/>
          <w:szCs w:val="24"/>
          <w:highlight w:val="none"/>
        </w:rPr>
      </w:r>
      <w:r/>
    </w:p>
    <w:p>
      <w:pPr>
        <w:pStyle w:val="719"/>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江苏金诺建设咨询有限公司</w:t>
      </w:r>
      <w:r>
        <w:rPr>
          <w:rFonts w:hint="eastAsia" w:ascii="宋体" w:hAnsi="宋体" w:eastAsia="宋体" w:cs="宋体"/>
          <w:bCs/>
          <w:sz w:val="24"/>
          <w:szCs w:val="24"/>
          <w:highlight w:val="none"/>
        </w:rPr>
        <w:t xml:space="preserve">在“无锡政府采购网”“江苏政府采购网”发布的更正公告。</w:t>
      </w:r>
      <w:r>
        <w:rPr>
          <w:rFonts w:hint="eastAsia" w:ascii="宋体" w:hAnsi="宋体" w:eastAsia="宋体" w:cs="宋体"/>
          <w:bCs/>
          <w:sz w:val="24"/>
          <w:szCs w:val="24"/>
          <w:highlight w:val="none"/>
        </w:rPr>
      </w:r>
      <w:r/>
    </w:p>
    <w:p>
      <w:pPr>
        <w:pStyle w:val="719"/>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rPr>
          <w:rFonts w:hint="eastAsia" w:ascii="宋体" w:hAnsi="宋体" w:eastAsia="宋体" w:cs="宋体"/>
          <w:bCs/>
          <w:sz w:val="24"/>
          <w:szCs w:val="24"/>
          <w:highlight w:val="none"/>
          <w:shd w:val="clear" w:color="ffffff" w:fill="d9d9d9"/>
        </w:rPr>
      </w:r>
      <w:r/>
    </w:p>
    <w:p>
      <w:pPr>
        <w:pStyle w:val="719"/>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4" w:name="_Toc120614211"/>
      <w:r/>
      <w:bookmarkStart w:id="45" w:name="_Toc18519"/>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4"/>
      <w:r/>
      <w:bookmarkStart w:id="46" w:name="_Toc20823274"/>
      <w:r/>
      <w:bookmarkStart w:id="47" w:name="_Toc120614213"/>
      <w:r/>
      <w:bookmarkStart w:id="48" w:name="_Toc513029202"/>
      <w:r/>
      <w:bookmarkStart w:id="49" w:name="_Toc16938518"/>
      <w:r>
        <w:rPr>
          <w:rFonts w:hint="eastAsia" w:ascii="宋体" w:hAnsi="宋体" w:eastAsia="宋体" w:cs="宋体"/>
          <w:sz w:val="36"/>
          <w:szCs w:val="36"/>
          <w:highlight w:val="none"/>
        </w:rPr>
        <w:t xml:space="preserve">投标人须知</w:t>
      </w:r>
      <w:bookmarkEnd w:id="45"/>
      <w:r/>
      <w:bookmarkEnd w:id="46"/>
      <w:r/>
      <w:bookmarkEnd w:id="47"/>
      <w:r/>
      <w:bookmarkEnd w:id="48"/>
      <w:r/>
      <w:bookmarkEnd w:id="49"/>
      <w:r>
        <w:rPr>
          <w:rFonts w:hint="eastAsia" w:ascii="宋体" w:hAnsi="宋体" w:eastAsia="宋体" w:cs="宋体"/>
          <w:sz w:val="36"/>
          <w:szCs w:val="36"/>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50" w:name="_Toc120614214"/>
      <w:r/>
      <w:bookmarkStart w:id="51" w:name="_Toc513029203"/>
      <w:r/>
      <w:bookmarkStart w:id="52" w:name="_Toc20823275"/>
      <w:r/>
      <w:bookmarkStart w:id="53" w:name="_Toc16938519"/>
      <w:r>
        <w:rPr>
          <w:rFonts w:hint="eastAsia" w:ascii="宋体" w:hAnsi="宋体" w:eastAsia="宋体" w:cs="宋体"/>
          <w:sz w:val="30"/>
          <w:szCs w:val="30"/>
          <w:highlight w:val="none"/>
        </w:rPr>
        <w:t xml:space="preserve">一、总则</w:t>
      </w:r>
      <w:bookmarkEnd w:id="50"/>
      <w:r/>
      <w:bookmarkEnd w:id="51"/>
      <w:r/>
      <w:bookmarkEnd w:id="52"/>
      <w:r/>
      <w:bookmarkEnd w:id="53"/>
      <w:r>
        <w:rPr>
          <w:rFonts w:hint="eastAsia" w:ascii="宋体" w:hAnsi="宋体" w:eastAsia="宋体" w:cs="宋体"/>
          <w:sz w:val="30"/>
          <w:szCs w:val="30"/>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54" w:name="_Hlt16619475"/>
      <w:r/>
      <w:bookmarkEnd w:id="54"/>
      <w:r/>
      <w:bookmarkStart w:id="55" w:name="_Toc20823276"/>
      <w:r/>
      <w:bookmarkStart w:id="56" w:name="_Toc513029204"/>
      <w:r/>
      <w:bookmarkStart w:id="57" w:name="_Toc16938520"/>
      <w:r>
        <w:rPr>
          <w:rFonts w:hint="eastAsia" w:ascii="宋体" w:hAnsi="宋体" w:eastAsia="宋体" w:cs="宋体"/>
          <w:bCs w:val="0"/>
          <w:highlight w:val="none"/>
        </w:rPr>
        <w:t xml:space="preserve">1.招标方式</w:t>
      </w:r>
      <w:bookmarkEnd w:id="55"/>
      <w:r/>
      <w:bookmarkEnd w:id="56"/>
      <w:r/>
      <w:bookmarkEnd w:id="57"/>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rPr>
          <w:rFonts w:hint="eastAsia" w:ascii="宋体" w:hAnsi="宋体" w:eastAsia="宋体" w:cs="宋体"/>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58" w:name="_Toc20823277"/>
      <w:r/>
      <w:bookmarkStart w:id="59" w:name="_Toc513029205"/>
      <w:r/>
      <w:bookmarkStart w:id="60" w:name="_Toc16938521"/>
      <w:r>
        <w:rPr>
          <w:rFonts w:hint="eastAsia" w:ascii="宋体" w:hAnsi="宋体" w:eastAsia="宋体" w:cs="宋体"/>
          <w:bCs w:val="0"/>
          <w:highlight w:val="none"/>
        </w:rPr>
        <w:t xml:space="preserve">2.</w:t>
      </w:r>
      <w:bookmarkEnd w:id="58"/>
      <w:r/>
      <w:bookmarkEnd w:id="59"/>
      <w:r/>
      <w:bookmarkEnd w:id="60"/>
      <w:r>
        <w:rPr>
          <w:rFonts w:hint="eastAsia" w:ascii="宋体" w:hAnsi="宋体" w:eastAsia="宋体" w:cs="宋体"/>
          <w:bCs w:val="0"/>
          <w:highlight w:val="none"/>
        </w:rPr>
        <w:t xml:space="preserve">采购人、采购代理机构、投标人、联合体</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eastAsia="宋体" w:cs="宋体"/>
          <w:sz w:val="24"/>
          <w:szCs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61" w:name="_Toc16938522"/>
      <w:r/>
      <w:bookmarkStart w:id="62" w:name="_Toc20823278"/>
      <w:r/>
      <w:bookmarkStart w:id="63" w:name="_Toc513029206"/>
      <w:r>
        <w:rPr>
          <w:rFonts w:hint="eastAsia" w:ascii="宋体" w:hAnsi="宋体" w:eastAsia="宋体" w:cs="宋体"/>
          <w:bCs w:val="0"/>
          <w:highlight w:val="none"/>
        </w:rPr>
        <w:t xml:space="preserve">3.适用法律</w:t>
      </w:r>
      <w:bookmarkEnd w:id="61"/>
      <w:r/>
      <w:bookmarkEnd w:id="62"/>
      <w:r/>
      <w:bookmarkEnd w:id="63"/>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rPr>
          <w:rFonts w:hint="eastAsia" w:ascii="宋体" w:hAnsi="宋体" w:eastAsia="宋体" w:cs="宋体"/>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64" w:name="_Toc513029207"/>
      <w:r/>
      <w:bookmarkStart w:id="65" w:name="_Toc16938523"/>
      <w:r/>
      <w:bookmarkStart w:id="66" w:name="_Toc20823279"/>
      <w:r/>
      <w:bookmarkStart w:id="67" w:name="_Toc462564067"/>
      <w:r>
        <w:rPr>
          <w:rFonts w:hint="eastAsia" w:ascii="宋体" w:hAnsi="宋体" w:eastAsia="宋体" w:cs="宋体"/>
          <w:bCs w:val="0"/>
          <w:highlight w:val="none"/>
        </w:rPr>
        <w:t xml:space="preserve">4.投标费用</w:t>
      </w:r>
      <w:bookmarkEnd w:id="64"/>
      <w:r/>
      <w:bookmarkEnd w:id="65"/>
      <w:r/>
      <w:bookmarkEnd w:id="66"/>
      <w:r/>
      <w:bookmarkEnd w:id="67"/>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江苏金诺建设咨询有限公司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rPr>
          <w:rFonts w:hint="eastAsia" w:ascii="宋体" w:hAnsi="宋体" w:eastAsia="宋体" w:cs="宋体"/>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rPr>
          <w:rFonts w:hint="eastAsia" w:ascii="宋体" w:hAnsi="宋体" w:eastAsia="宋体" w:cs="宋体"/>
          <w:sz w:val="24"/>
          <w:szCs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68" w:name="_Toc120614215"/>
      <w:r/>
      <w:bookmarkStart w:id="69" w:name="_Toc20823281"/>
      <w:r/>
      <w:bookmarkStart w:id="70" w:name="_Toc16938525"/>
      <w:r/>
      <w:bookmarkStart w:id="71" w:name="_Toc513029209"/>
      <w:r>
        <w:rPr>
          <w:rFonts w:hint="eastAsia" w:ascii="宋体" w:hAnsi="宋体" w:eastAsia="宋体" w:cs="宋体"/>
          <w:sz w:val="30"/>
          <w:szCs w:val="30"/>
          <w:highlight w:val="none"/>
        </w:rPr>
        <w:t xml:space="preserve">二、招标文件</w:t>
      </w:r>
      <w:bookmarkEnd w:id="68"/>
      <w:r/>
      <w:bookmarkEnd w:id="69"/>
      <w:r/>
      <w:bookmarkEnd w:id="70"/>
      <w:r/>
      <w:bookmarkEnd w:id="71"/>
      <w:r>
        <w:rPr>
          <w:rFonts w:hint="eastAsia" w:ascii="宋体" w:hAnsi="宋体" w:eastAsia="宋体" w:cs="宋体"/>
          <w:sz w:val="30"/>
          <w:szCs w:val="30"/>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72" w:name="_Toc20823282"/>
      <w:r/>
      <w:bookmarkStart w:id="73" w:name="_Toc16938526"/>
      <w:r/>
      <w:bookmarkStart w:id="74" w:name="_Toc513029210"/>
      <w:r>
        <w:rPr>
          <w:rFonts w:hint="eastAsia" w:ascii="宋体" w:hAnsi="宋体" w:eastAsia="宋体" w:cs="宋体"/>
          <w:bCs w:val="0"/>
          <w:highlight w:val="none"/>
        </w:rPr>
        <w:t xml:space="preserve">6.招标文件构成</w:t>
      </w:r>
      <w:bookmarkEnd w:id="72"/>
      <w:r/>
      <w:bookmarkEnd w:id="73"/>
      <w:r/>
      <w:bookmarkEnd w:id="74"/>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75" w:name="_Toc462564070"/>
      <w:r/>
      <w:bookmarkStart w:id="76" w:name="_Toc16938527"/>
      <w:r/>
      <w:bookmarkStart w:id="77" w:name="_Toc513029211"/>
      <w:r/>
      <w:bookmarkStart w:id="78" w:name="_Toc20823283"/>
      <w:r>
        <w:rPr>
          <w:rFonts w:hint="eastAsia" w:ascii="宋体" w:hAnsi="宋体" w:eastAsia="宋体" w:cs="宋体"/>
          <w:bCs w:val="0"/>
          <w:highlight w:val="none"/>
        </w:rPr>
        <w:t xml:space="preserve">7.招标文件的澄清</w:t>
      </w:r>
      <w:bookmarkEnd w:id="75"/>
      <w:r/>
      <w:bookmarkEnd w:id="76"/>
      <w:r/>
      <w:bookmarkEnd w:id="77"/>
      <w:r/>
      <w:bookmarkEnd w:id="78"/>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79" w:name="_Toc16938528"/>
      <w:r/>
      <w:bookmarkStart w:id="80" w:name="_Toc462564071"/>
      <w:r/>
      <w:bookmarkStart w:id="81" w:name="_Toc513029212"/>
      <w:r/>
      <w:bookmarkStart w:id="82" w:name="_Toc20823284"/>
      <w:r>
        <w:rPr>
          <w:rFonts w:hint="eastAsia" w:ascii="宋体" w:hAnsi="宋体" w:eastAsia="宋体" w:cs="宋体"/>
          <w:bCs w:val="0"/>
          <w:highlight w:val="none"/>
        </w:rPr>
        <w:t xml:space="preserve">8.招标文件的修改</w:t>
      </w:r>
      <w:bookmarkEnd w:id="79"/>
      <w:r/>
      <w:bookmarkEnd w:id="80"/>
      <w:r/>
      <w:bookmarkEnd w:id="81"/>
      <w:r/>
      <w:bookmarkEnd w:id="82"/>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eastAsia="宋体" w:cs="宋体"/>
          <w:sz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83" w:name="_Toc120614216"/>
      <w:r/>
      <w:bookmarkStart w:id="84" w:name="_Toc513029213"/>
      <w:r/>
      <w:bookmarkStart w:id="85" w:name="_Toc20823285"/>
      <w:r/>
      <w:bookmarkStart w:id="86" w:name="_Toc16938529"/>
      <w:r/>
      <w:bookmarkStart w:id="87" w:name="_Toc462564072"/>
      <w:r>
        <w:rPr>
          <w:rFonts w:hint="eastAsia" w:ascii="宋体" w:hAnsi="宋体" w:eastAsia="宋体" w:cs="宋体"/>
          <w:sz w:val="30"/>
          <w:szCs w:val="30"/>
          <w:highlight w:val="none"/>
        </w:rPr>
        <w:t xml:space="preserve">三、投标文件的编制</w:t>
      </w:r>
      <w:bookmarkEnd w:id="83"/>
      <w:r/>
      <w:bookmarkEnd w:id="84"/>
      <w:r/>
      <w:bookmarkEnd w:id="85"/>
      <w:r/>
      <w:bookmarkEnd w:id="86"/>
      <w:r/>
      <w:bookmarkEnd w:id="87"/>
      <w:r>
        <w:rPr>
          <w:rFonts w:hint="eastAsia" w:ascii="宋体" w:hAnsi="宋体" w:eastAsia="宋体" w:cs="宋体"/>
          <w:sz w:val="30"/>
          <w:szCs w:val="30"/>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88" w:name="_Toc16938530"/>
      <w:r/>
      <w:bookmarkStart w:id="89" w:name="_Toc462564073"/>
      <w:r/>
      <w:bookmarkStart w:id="90" w:name="_Toc20823286"/>
      <w:r/>
      <w:bookmarkStart w:id="91" w:name="_Toc513029214"/>
      <w:r>
        <w:rPr>
          <w:rFonts w:hint="eastAsia" w:ascii="宋体" w:hAnsi="宋体" w:eastAsia="宋体" w:cs="宋体"/>
          <w:bCs w:val="0"/>
          <w:highlight w:val="none"/>
        </w:rPr>
        <w:t xml:space="preserve">9.投标文件的语言及度量衡单位</w:t>
      </w:r>
      <w:bookmarkEnd w:id="88"/>
      <w:r/>
      <w:bookmarkEnd w:id="89"/>
      <w:r/>
      <w:bookmarkEnd w:id="90"/>
      <w:r/>
      <w:bookmarkEnd w:id="91"/>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rPr>
          <w:rFonts w:hint="eastAsia" w:ascii="宋体" w:hAnsi="宋体" w:eastAsia="宋体" w:cs="宋体"/>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92" w:name="_Toc513029215"/>
      <w:r/>
      <w:bookmarkStart w:id="93" w:name="_Toc20823287"/>
      <w:r/>
      <w:bookmarkStart w:id="94" w:name="_Toc462564074"/>
      <w:r/>
      <w:bookmarkStart w:id="95" w:name="_Toc16938531"/>
      <w:r>
        <w:rPr>
          <w:rFonts w:hint="eastAsia" w:ascii="宋体" w:hAnsi="宋体" w:eastAsia="宋体" w:cs="宋体"/>
          <w:bCs w:val="0"/>
          <w:highlight w:val="none"/>
        </w:rPr>
        <w:t xml:space="preserve">10.投标文件构成</w:t>
      </w:r>
      <w:bookmarkEnd w:id="92"/>
      <w:r/>
      <w:bookmarkEnd w:id="93"/>
      <w:r/>
      <w:bookmarkEnd w:id="94"/>
      <w:r/>
      <w:bookmarkEnd w:id="95"/>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rPr>
          <w:rFonts w:hint="eastAsia" w:ascii="宋体" w:hAnsi="宋体" w:eastAsia="宋体" w:cs="宋体"/>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96" w:name="_Hlt26670360"/>
      <w:r/>
      <w:bookmarkEnd w:id="96"/>
      <w:r/>
      <w:bookmarkStart w:id="97" w:name="_Hlt26668975"/>
      <w:r/>
      <w:bookmarkEnd w:id="97"/>
      <w:r/>
      <w:bookmarkStart w:id="98" w:name="_Hlt26954838"/>
      <w:r/>
      <w:bookmarkEnd w:id="98"/>
      <w:r/>
      <w:bookmarkStart w:id="99" w:name="_Toc513029219"/>
      <w:r/>
      <w:bookmarkStart w:id="100" w:name="_Toc49090509"/>
      <w:r/>
      <w:bookmarkStart w:id="101" w:name="_Toc14577357"/>
      <w:r/>
      <w:bookmarkStart w:id="102" w:name="_Toc49090507"/>
      <w:r/>
      <w:bookmarkStart w:id="103" w:name="_Toc14577354"/>
      <w:r/>
      <w:bookmarkStart w:id="104" w:name="_Toc513029216"/>
      <w:r>
        <w:rPr>
          <w:rFonts w:hint="eastAsia" w:ascii="宋体" w:hAnsi="宋体" w:eastAsia="宋体" w:cs="宋体"/>
          <w:bCs w:val="0"/>
          <w:highlight w:val="none"/>
        </w:rPr>
        <w:t xml:space="preserve">11.证明投标人及投标标的符合招标文件规定的文件</w:t>
      </w:r>
      <w:bookmarkEnd w:id="99"/>
      <w:r/>
      <w:bookmarkEnd w:id="100"/>
      <w:r/>
      <w:bookmarkEnd w:id="101"/>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bookmarkEnd w:id="102"/>
      <w:r/>
      <w:bookmarkEnd w:id="103"/>
      <w:r/>
      <w:bookmarkEnd w:id="104"/>
      <w:r/>
      <w:bookmarkStart w:id="105" w:name="_Toc49090508"/>
      <w:r/>
      <w:bookmarkStart w:id="106" w:name="_Toc14577355"/>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07" w:name="_Toc49090510"/>
      <w:r/>
      <w:bookmarkStart w:id="108" w:name="_Toc14577359"/>
      <w:r>
        <w:rPr>
          <w:rFonts w:hint="eastAsia" w:ascii="宋体" w:hAnsi="宋体" w:eastAsia="宋体" w:cs="宋体"/>
          <w:bCs w:val="0"/>
          <w:highlight w:val="none"/>
        </w:rPr>
        <w:t xml:space="preserve">12.投标函、承诺书和开标一览表</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eastAsia="宋体" w:cs="宋体"/>
          <w:bCs/>
          <w:color w:val="e36c09"/>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End w:id="107"/>
      <w:r/>
      <w:bookmarkEnd w:id="108"/>
      <w:r>
        <w:rPr>
          <w:rFonts w:hint="eastAsia" w:ascii="宋体" w:hAnsi="宋体" w:eastAsia="宋体" w:cs="宋体"/>
          <w:bCs w:val="0"/>
          <w:highlight w:val="none"/>
        </w:rPr>
        <w:t xml:space="preserve">13.</w:t>
      </w:r>
      <w:bookmarkEnd w:id="105"/>
      <w:r/>
      <w:bookmarkEnd w:id="106"/>
      <w:r>
        <w:rPr>
          <w:rFonts w:hint="eastAsia" w:ascii="宋体" w:hAnsi="宋体" w:eastAsia="宋体" w:cs="宋体"/>
          <w:bCs w:val="0"/>
          <w:highlight w:val="none"/>
        </w:rPr>
        <w:t xml:space="preserve">分项报价表</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9" w:name="_Hlt26954840"/>
      <w:r/>
      <w:bookmarkEnd w:id="109"/>
      <w:r>
        <w:rPr>
          <w:rFonts w:hint="eastAsia" w:ascii="宋体" w:hAnsi="宋体" w:eastAsia="宋体" w:cs="宋体"/>
          <w:sz w:val="24"/>
          <w:highlight w:val="none"/>
        </w:rPr>
        <w:t xml:space="preserve">标人应按照招标文件规定格式填报</w:t>
      </w:r>
      <w:bookmarkStart w:id="110" w:name="_Hlt26670399"/>
      <w:r/>
      <w:bookmarkEnd w:id="110"/>
      <w:r>
        <w:rPr>
          <w:rFonts w:hint="eastAsia" w:ascii="宋体" w:hAnsi="宋体" w:eastAsia="宋体" w:cs="宋体"/>
          <w:sz w:val="24"/>
          <w:highlight w:val="none"/>
        </w:rPr>
        <w:t xml:space="preserve">分项报价表。</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rPr>
          <w:rFonts w:hint="eastAsia" w:ascii="宋体" w:hAnsi="宋体" w:eastAsia="宋体" w:cs="宋体"/>
          <w:bCs/>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11" w:name="_Hlt26670482"/>
      <w:r/>
      <w:bookmarkEnd w:id="111"/>
      <w:r/>
      <w:bookmarkStart w:id="112" w:name="_Hlt26668983"/>
      <w:r/>
      <w:bookmarkEnd w:id="112"/>
      <w:r/>
      <w:bookmarkStart w:id="113" w:name="_Hlt26670403"/>
      <w:r/>
      <w:bookmarkEnd w:id="113"/>
      <w:r/>
      <w:bookmarkStart w:id="114" w:name="_Hlt26954846"/>
      <w:r/>
      <w:bookmarkEnd w:id="114"/>
      <w:r/>
      <w:bookmarkStart w:id="115" w:name="_Hlt26954848"/>
      <w:r/>
      <w:bookmarkEnd w:id="115"/>
      <w:r/>
      <w:bookmarkStart w:id="116" w:name="_Hlt26670486"/>
      <w:r/>
      <w:bookmarkEnd w:id="116"/>
      <w:r/>
      <w:bookmarkStart w:id="117" w:name="_Hlt26670425"/>
      <w:r/>
      <w:bookmarkEnd w:id="117"/>
      <w:r/>
      <w:bookmarkStart w:id="118" w:name="_Hlt26954842"/>
      <w:r/>
      <w:bookmarkEnd w:id="118"/>
      <w:r/>
      <w:bookmarkStart w:id="119" w:name="_Hlt26954731"/>
      <w:r/>
      <w:bookmarkEnd w:id="119"/>
      <w:r/>
      <w:bookmarkStart w:id="120" w:name="_Hlt26954844"/>
      <w:r/>
      <w:bookmarkEnd w:id="120"/>
      <w:r>
        <w:rPr>
          <w:rFonts w:hint="eastAsia" w:ascii="宋体" w:hAnsi="宋体" w:eastAsia="宋体" w:cs="宋体"/>
          <w:bCs w:val="0"/>
          <w:highlight w:val="none"/>
        </w:rPr>
        <w:t xml:space="preserve">14.投标偏离表</w:t>
      </w:r>
      <w:r>
        <w:rPr>
          <w:rFonts w:hint="eastAsia" w:ascii="宋体" w:hAnsi="宋体" w:eastAsia="宋体" w:cs="宋体"/>
          <w:bCs w:val="0"/>
          <w:highlight w:val="none"/>
        </w:rPr>
      </w:r>
      <w:r/>
    </w:p>
    <w:p>
      <w:pPr>
        <w:pStyle w:val="719"/>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rPr>
          <w:rFonts w:hint="eastAsia" w:ascii="宋体" w:hAnsi="宋体" w:eastAsia="宋体" w:cs="宋体"/>
          <w:sz w:val="24"/>
          <w:highlight w:val="none"/>
          <w:lang w:val="zh-CN"/>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21" w:name="_Hlt26954734"/>
      <w:r/>
      <w:bookmarkEnd w:id="121"/>
      <w:r/>
      <w:bookmarkStart w:id="122" w:name="_Hlt26670489"/>
      <w:r/>
      <w:bookmarkEnd w:id="122"/>
      <w:r/>
      <w:bookmarkStart w:id="123" w:name="_Hlt26954850"/>
      <w:r/>
      <w:bookmarkEnd w:id="123"/>
      <w:r/>
      <w:bookmarkStart w:id="124" w:name="_Toc14577360"/>
      <w:r/>
      <w:bookmarkStart w:id="125" w:name="_Toc49090511"/>
      <w:r>
        <w:rPr>
          <w:rFonts w:hint="eastAsia" w:ascii="宋体" w:hAnsi="宋体" w:eastAsia="宋体" w:cs="宋体"/>
          <w:bCs w:val="0"/>
          <w:highlight w:val="none"/>
        </w:rPr>
        <w:t xml:space="preserve">15.投标有效期</w:t>
      </w:r>
      <w:bookmarkEnd w:id="124"/>
      <w:r/>
      <w:bookmarkEnd w:id="125"/>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rPr>
          <w:rFonts w:hint="eastAsia" w:ascii="宋体" w:hAnsi="宋体" w:eastAsia="宋体" w:cs="宋体"/>
          <w:bCs/>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126" w:name="_Hlt26954739"/>
      <w:r/>
      <w:bookmarkEnd w:id="126"/>
      <w:r/>
      <w:bookmarkStart w:id="127" w:name="_Hlt26954852"/>
      <w:r/>
      <w:bookmarkEnd w:id="127"/>
      <w:r/>
      <w:bookmarkStart w:id="128" w:name="_Toc120614217"/>
      <w:r/>
      <w:bookmarkStart w:id="129" w:name="_Toc20823296"/>
      <w:r/>
      <w:bookmarkStart w:id="130" w:name="_Toc513029224"/>
      <w:r/>
      <w:bookmarkStart w:id="131" w:name="_Toc16938540"/>
      <w:r>
        <w:rPr>
          <w:rFonts w:hint="eastAsia" w:ascii="宋体" w:hAnsi="宋体" w:eastAsia="宋体" w:cs="宋体"/>
          <w:sz w:val="30"/>
          <w:szCs w:val="30"/>
          <w:highlight w:val="none"/>
        </w:rPr>
        <w:t xml:space="preserve">四、投标文件的递交</w:t>
      </w:r>
      <w:bookmarkEnd w:id="128"/>
      <w:r/>
      <w:bookmarkEnd w:id="129"/>
      <w:r/>
      <w:bookmarkEnd w:id="130"/>
      <w:r/>
      <w:bookmarkEnd w:id="131"/>
      <w:r>
        <w:rPr>
          <w:rFonts w:hint="eastAsia" w:ascii="宋体" w:hAnsi="宋体" w:eastAsia="宋体" w:cs="宋体"/>
          <w:sz w:val="30"/>
          <w:szCs w:val="30"/>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32" w:name="_Toc20823297"/>
      <w:r/>
      <w:bookmarkStart w:id="133" w:name="_Toc16938541"/>
      <w:r/>
      <w:bookmarkStart w:id="134" w:name="_Toc462564084"/>
      <w:r/>
      <w:bookmarkStart w:id="135" w:name="_Toc513029225"/>
      <w:r>
        <w:rPr>
          <w:rFonts w:hint="eastAsia" w:ascii="宋体" w:hAnsi="宋体" w:eastAsia="宋体" w:cs="宋体"/>
          <w:bCs w:val="0"/>
          <w:highlight w:val="none"/>
        </w:rPr>
        <w:t xml:space="preserve">17.投标文件</w:t>
      </w:r>
      <w:bookmarkEnd w:id="132"/>
      <w:r/>
      <w:bookmarkEnd w:id="133"/>
      <w:r/>
      <w:bookmarkEnd w:id="134"/>
      <w:r/>
      <w:bookmarkEnd w:id="135"/>
      <w:r>
        <w:rPr>
          <w:rFonts w:hint="eastAsia" w:ascii="宋体" w:hAnsi="宋体" w:eastAsia="宋体" w:cs="宋体"/>
          <w:bCs w:val="0"/>
          <w:highlight w:val="none"/>
        </w:rPr>
        <w:t xml:space="preserve">的递交</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rPr>
          <w:rFonts w:hint="eastAsia" w:ascii="宋体" w:hAnsi="宋体" w:eastAsia="宋体" w:cs="宋体"/>
          <w:bCs/>
          <w:sz w:val="24"/>
          <w:highlight w:val="none"/>
        </w:rPr>
      </w:r>
      <w:r/>
    </w:p>
    <w:p>
      <w:pPr>
        <w:pStyle w:val="1020"/>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6" w:name="_Toc16938542"/>
      <w:r/>
      <w:bookmarkStart w:id="137" w:name="_Toc20823298"/>
      <w:r/>
      <w:bookmarkStart w:id="138" w:name="_Toc513029226"/>
      <w:r>
        <w:rPr>
          <w:rFonts w:hint="eastAsia" w:ascii="宋体" w:hAnsi="宋体" w:eastAsia="宋体" w:cs="宋体"/>
          <w:bCs/>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6"/>
      <w:r/>
      <w:bookmarkEnd w:id="137"/>
      <w:r/>
      <w:bookmarkEnd w:id="138"/>
      <w:r>
        <w:rPr>
          <w:rFonts w:hint="eastAsia" w:ascii="宋体" w:hAnsi="宋体" w:eastAsia="宋体" w:cs="宋体"/>
          <w:bCs w:val="0"/>
          <w:highlight w:val="none"/>
        </w:rPr>
        <w:t xml:space="preserve">时间</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eastAsia="宋体" w:cs="宋体"/>
          <w:bCs/>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39" w:name="_Toc513029227"/>
      <w:r/>
      <w:bookmarkStart w:id="140" w:name="_Toc16938543"/>
      <w:r/>
      <w:bookmarkStart w:id="141" w:name="_Toc20823299"/>
      <w:r>
        <w:rPr>
          <w:rFonts w:hint="eastAsia" w:ascii="宋体" w:hAnsi="宋体" w:eastAsia="宋体" w:cs="宋体"/>
          <w:bCs w:val="0"/>
          <w:highlight w:val="none"/>
        </w:rPr>
        <w:t xml:space="preserve">19.投标文件</w:t>
      </w:r>
      <w:bookmarkEnd w:id="139"/>
      <w:r/>
      <w:bookmarkEnd w:id="140"/>
      <w:r/>
      <w:bookmarkEnd w:id="141"/>
      <w:r>
        <w:rPr>
          <w:rFonts w:hint="eastAsia" w:ascii="宋体" w:hAnsi="宋体" w:eastAsia="宋体" w:cs="宋体"/>
          <w:bCs w:val="0"/>
          <w:highlight w:val="none"/>
        </w:rPr>
        <w:t xml:space="preserve">的拒收</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rPr>
          <w:rFonts w:hint="eastAsia" w:ascii="宋体" w:hAnsi="宋体" w:eastAsia="宋体" w:cs="宋体"/>
          <w:bCs/>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42" w:name="_Toc16938544"/>
      <w:r/>
      <w:bookmarkStart w:id="143" w:name="_Toc20823300"/>
      <w:r/>
      <w:bookmarkStart w:id="144" w:name="_Toc513029228"/>
      <w:r>
        <w:rPr>
          <w:rFonts w:hint="eastAsia" w:ascii="宋体" w:hAnsi="宋体" w:eastAsia="宋体" w:cs="宋体"/>
          <w:bCs w:val="0"/>
          <w:highlight w:val="none"/>
        </w:rPr>
        <w:t xml:space="preserve">20.投标文件的撤回和修改</w:t>
      </w:r>
      <w:bookmarkEnd w:id="142"/>
      <w:r/>
      <w:bookmarkEnd w:id="143"/>
      <w:r/>
      <w:bookmarkEnd w:id="144"/>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rPr>
          <w:rFonts w:hint="eastAsia" w:ascii="宋体" w:hAnsi="宋体" w:eastAsia="宋体" w:cs="宋体"/>
          <w:bCs/>
          <w:sz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145" w:name="_Toc513029229"/>
      <w:r/>
      <w:bookmarkStart w:id="146" w:name="_Toc20823301"/>
      <w:r/>
      <w:bookmarkStart w:id="147" w:name="_Toc16938545"/>
      <w:r/>
      <w:bookmarkStart w:id="148" w:name="_Toc120614218"/>
      <w:r>
        <w:rPr>
          <w:rFonts w:hint="eastAsia" w:ascii="宋体" w:hAnsi="宋体" w:eastAsia="宋体" w:cs="宋体"/>
          <w:sz w:val="30"/>
          <w:szCs w:val="30"/>
          <w:highlight w:val="none"/>
        </w:rPr>
        <w:t xml:space="preserve">五、开标与评标</w:t>
      </w:r>
      <w:bookmarkEnd w:id="145"/>
      <w:r/>
      <w:bookmarkEnd w:id="146"/>
      <w:r/>
      <w:bookmarkEnd w:id="147"/>
      <w:r/>
      <w:bookmarkEnd w:id="148"/>
      <w:r>
        <w:rPr>
          <w:rFonts w:hint="eastAsia" w:ascii="宋体" w:hAnsi="宋体" w:eastAsia="宋体" w:cs="宋体"/>
          <w:sz w:val="30"/>
          <w:szCs w:val="30"/>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49" w:name="_Toc16938546"/>
      <w:r/>
      <w:bookmarkStart w:id="150" w:name="_Toc513029230"/>
      <w:r/>
      <w:bookmarkStart w:id="151" w:name="_Toc20823302"/>
      <w:r>
        <w:rPr>
          <w:rFonts w:hint="eastAsia" w:ascii="宋体" w:hAnsi="宋体" w:eastAsia="宋体" w:cs="宋体"/>
          <w:bCs w:val="0"/>
          <w:highlight w:val="none"/>
        </w:rPr>
        <w:t xml:space="preserve">21.开标</w:t>
      </w:r>
      <w:bookmarkEnd w:id="149"/>
      <w:r/>
      <w:bookmarkEnd w:id="150"/>
      <w:r/>
      <w:bookmarkEnd w:id="151"/>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rPr>
          <w:rFonts w:hint="eastAsia" w:ascii="宋体" w:hAnsi="宋体" w:eastAsia="宋体" w:cs="宋体"/>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rPr>
          <w:rFonts w:hint="eastAsia" w:ascii="宋体" w:hAnsi="宋体" w:eastAsia="宋体" w:cs="宋体"/>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52" w:name="_Toc20823303"/>
      <w:r/>
      <w:bookmarkStart w:id="153" w:name="_Toc16938547"/>
      <w:r/>
      <w:bookmarkStart w:id="154" w:name="_Toc513029231"/>
      <w:r>
        <w:rPr>
          <w:rFonts w:hint="eastAsia" w:ascii="宋体" w:hAnsi="宋体" w:eastAsia="宋体" w:cs="宋体"/>
          <w:bCs w:val="0"/>
          <w:highlight w:val="none"/>
        </w:rPr>
        <w:t xml:space="preserve">22.评标委员会</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rPr>
          <w:rFonts w:hint="eastAsia" w:ascii="宋体" w:hAnsi="宋体" w:eastAsia="宋体" w:cs="宋体"/>
          <w:b/>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bookmarkEnd w:id="152"/>
      <w:r/>
      <w:bookmarkEnd w:id="153"/>
      <w:r/>
      <w:bookmarkEnd w:id="154"/>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rPr>
          <w:rFonts w:hint="eastAsia" w:ascii="宋体" w:hAnsi="宋体" w:eastAsia="宋体" w:cs="宋体"/>
          <w:sz w:val="24"/>
          <w:szCs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55" w:name="_Toc513029232"/>
      <w:r/>
      <w:bookmarkStart w:id="156" w:name="_Toc20823304"/>
      <w:r/>
      <w:bookmarkStart w:id="157" w:name="_Toc16938548"/>
      <w:r>
        <w:rPr>
          <w:rFonts w:hint="eastAsia" w:ascii="宋体" w:hAnsi="宋体" w:eastAsia="宋体" w:cs="宋体"/>
          <w:bCs w:val="0"/>
          <w:highlight w:val="none"/>
        </w:rPr>
        <w:t xml:space="preserve">24.投标文件的澄清</w:t>
      </w:r>
      <w:bookmarkEnd w:id="155"/>
      <w:r/>
      <w:bookmarkEnd w:id="156"/>
      <w:r/>
      <w:bookmarkEnd w:id="157"/>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rPr>
          <w:rFonts w:hint="eastAsia" w:ascii="宋体" w:hAnsi="宋体" w:eastAsia="宋体" w:cs="宋体"/>
          <w:sz w:val="24"/>
          <w:szCs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58" w:name="_Toc513029233"/>
      <w:r/>
      <w:bookmarkStart w:id="159" w:name="_Toc16938549"/>
      <w:r/>
      <w:bookmarkStart w:id="160" w:name="_Toc20823305"/>
      <w:r>
        <w:rPr>
          <w:rFonts w:hint="eastAsia" w:ascii="宋体" w:hAnsi="宋体" w:eastAsia="宋体" w:cs="宋体"/>
          <w:bCs w:val="0"/>
          <w:highlight w:val="none"/>
        </w:rPr>
        <w:t xml:space="preserve">25.对投标文件的初审</w:t>
      </w:r>
      <w:bookmarkEnd w:id="158"/>
      <w:r/>
      <w:bookmarkEnd w:id="159"/>
      <w:r/>
      <w:bookmarkEnd w:id="160"/>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hint="eastAsia" w:ascii="宋体" w:hAnsi="宋体" w:eastAsia="宋体" w:cs="宋体"/>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rPr>
          <w:rFonts w:hint="eastAsia" w:ascii="宋体" w:hAnsi="宋体" w:eastAsia="宋体" w:cs="宋体"/>
          <w:bCs/>
          <w:sz w:val="24"/>
          <w:highlight w:val="none"/>
        </w:rPr>
      </w:r>
      <w:r/>
    </w:p>
    <w:p>
      <w:pPr>
        <w:pStyle w:val="719"/>
        <w:ind w:firstLine="420"/>
        <w:spacing w:line="500" w:lineRule="exact"/>
        <w:rPr>
          <w:rFonts w:hint="eastAsia" w:ascii="宋体" w:hAnsi="宋体" w:eastAsia="宋体" w:cs="宋体"/>
          <w:sz w:val="24"/>
          <w:highlight w:val="none"/>
        </w:rPr>
      </w:pPr>
      <w:r/>
      <w:bookmarkStart w:id="161" w:name="_Toc513029234"/>
      <w:r/>
      <w:bookmarkStart w:id="162" w:name="_Toc20823306"/>
      <w:r/>
      <w:bookmarkStart w:id="163" w:name="_Toc16938550"/>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rPr>
          <w:rFonts w:hint="eastAsia" w:ascii="宋体" w:hAnsi="宋体" w:eastAsia="宋体" w:cs="宋体"/>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Times New Roman"/>
          <w:color w:val="000000"/>
          <w:sz w:val="24"/>
          <w:highlight w:val="none"/>
        </w:rPr>
      </w:r>
      <w:r/>
    </w:p>
    <w:p>
      <w:pPr>
        <w:pStyle w:val="719"/>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color w:val="000000"/>
          <w:sz w:val="24"/>
          <w:highlight w:val="none"/>
        </w:rPr>
      </w:r>
      <w:r/>
    </w:p>
    <w:p>
      <w:pPr>
        <w:pStyle w:val="719"/>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宋体"/>
          <w:sz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1"/>
      <w:r/>
      <w:bookmarkEnd w:id="162"/>
      <w:r/>
      <w:bookmarkEnd w:id="163"/>
      <w:r>
        <w:rPr>
          <w:rFonts w:hint="eastAsia" w:ascii="宋体" w:hAnsi="宋体" w:eastAsia="宋体" w:cs="宋体"/>
          <w:bCs w:val="0"/>
          <w:highlight w:val="none"/>
        </w:rPr>
        <w:t xml:space="preserve">.无效投标条款和废标条款</w:t>
      </w:r>
      <w:r>
        <w:rPr>
          <w:rFonts w:hint="eastAsia" w:ascii="宋体" w:hAnsi="宋体" w:eastAsia="宋体" w:cs="宋体"/>
          <w:bCs w:val="0"/>
          <w:highlight w:val="none"/>
        </w:rPr>
      </w:r>
      <w:r/>
    </w:p>
    <w:p>
      <w:pPr>
        <w:pStyle w:val="719"/>
        <w:ind w:left="479"/>
        <w:spacing w:line="500" w:lineRule="exact"/>
        <w:rPr>
          <w:rFonts w:hint="eastAsia" w:ascii="宋体" w:hAnsi="宋体" w:eastAsia="宋体" w:cs="宋体"/>
          <w:bCs/>
          <w:sz w:val="24"/>
          <w:highlight w:val="none"/>
        </w:rPr>
      </w:pPr>
      <w:r/>
      <w:bookmarkStart w:id="164" w:name="_Toc20823307"/>
      <w:r/>
      <w:bookmarkStart w:id="165" w:name="_Toc16938551"/>
      <w:r/>
      <w:bookmarkStart w:id="166" w:name="_Toc513029235"/>
      <w:r>
        <w:rPr>
          <w:rFonts w:hint="eastAsia" w:ascii="宋体" w:hAnsi="宋体" w:eastAsia="宋体" w:cs="宋体"/>
          <w:bCs/>
          <w:sz w:val="24"/>
          <w:highlight w:val="none"/>
        </w:rPr>
        <w:t xml:space="preserve">26.1无效投标条款</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eastAsia="宋体" w:cs="宋体"/>
          <w:bCs/>
          <w:sz w:val="24"/>
          <w:highlight w:val="none"/>
          <w:shd w:val="clear" w:color="ffffff" w:fill="d9d9d9"/>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rPr>
          <w:rFonts w:hint="eastAsia" w:ascii="宋体" w:hAnsi="宋体" w:eastAsia="宋体" w:cs="宋体"/>
          <w:bCs/>
          <w:sz w:val="24"/>
          <w:highlight w:val="none"/>
        </w:rPr>
      </w:r>
      <w:r/>
    </w:p>
    <w:p>
      <w:pPr>
        <w:pStyle w:val="719"/>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rPr>
          <w:rFonts w:hint="eastAsia" w:ascii="宋体" w:hAnsi="宋体"/>
          <w:bCs/>
          <w:color w:val="000000"/>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rPr>
          <w:rFonts w:hint="eastAsia" w:ascii="宋体" w:hAnsi="宋体" w:eastAsia="宋体" w:cs="宋体"/>
          <w:bCs/>
          <w:sz w:val="24"/>
          <w:highlight w:val="none"/>
        </w:rPr>
      </w:r>
      <w:r/>
    </w:p>
    <w:p>
      <w:pPr>
        <w:pStyle w:val="719"/>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rPr>
          <w:rFonts w:hint="eastAsia" w:ascii="宋体" w:hAnsi="宋体" w:eastAsia="宋体" w:cs="宋体"/>
          <w:bCs/>
          <w:sz w:val="24"/>
          <w:highlight w:val="none"/>
        </w:rPr>
      </w:r>
      <w:r/>
    </w:p>
    <w:p>
      <w:pPr>
        <w:pStyle w:val="719"/>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rPr>
          <w:rFonts w:hint="eastAsia" w:ascii="宋体" w:hAnsi="宋体" w:eastAsia="宋体" w:cs="宋体"/>
          <w:bCs/>
          <w:sz w:val="24"/>
          <w:highlight w:val="none"/>
        </w:rPr>
      </w:r>
      <w:r/>
    </w:p>
    <w:p>
      <w:pPr>
        <w:pStyle w:val="719"/>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rPr>
          <w:rFonts w:hint="eastAsia" w:ascii="宋体" w:hAnsi="宋体" w:eastAsia="宋体" w:cs="宋体"/>
          <w:bCs/>
          <w:sz w:val="24"/>
          <w:highlight w:val="none"/>
        </w:rPr>
      </w:r>
      <w:r/>
    </w:p>
    <w:p>
      <w:pPr>
        <w:pStyle w:val="719"/>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rPr>
          <w:rFonts w:hint="eastAsia" w:ascii="宋体" w:hAnsi="宋体" w:eastAsia="宋体" w:cs="宋体"/>
          <w:bCs/>
          <w:sz w:val="24"/>
          <w:highlight w:val="none"/>
        </w:rPr>
      </w:r>
      <w:r/>
    </w:p>
    <w:p>
      <w:pPr>
        <w:pStyle w:val="719"/>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rPr>
          <w:rFonts w:hint="eastAsia" w:ascii="宋体" w:hAnsi="宋体" w:eastAsia="宋体" w:cs="宋体"/>
          <w:bCs/>
          <w:sz w:val="24"/>
          <w:highlight w:val="none"/>
        </w:rPr>
      </w:r>
      <w:r/>
    </w:p>
    <w:p>
      <w:pPr>
        <w:pStyle w:val="719"/>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rPr>
          <w:rFonts w:hint="eastAsia" w:ascii="宋体" w:hAnsi="宋体" w:eastAsia="宋体" w:cs="宋体"/>
          <w:bCs/>
          <w:sz w:val="24"/>
          <w:highlight w:val="none"/>
        </w:rPr>
      </w:r>
      <w:r/>
    </w:p>
    <w:p>
      <w:pPr>
        <w:pStyle w:val="719"/>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167" w:name="_Toc120614219"/>
      <w:r>
        <w:rPr>
          <w:rFonts w:hint="eastAsia" w:ascii="宋体" w:hAnsi="宋体" w:eastAsia="宋体" w:cs="宋体"/>
          <w:sz w:val="30"/>
          <w:szCs w:val="30"/>
          <w:highlight w:val="none"/>
        </w:rPr>
        <w:t xml:space="preserve">六、</w:t>
      </w:r>
      <w:bookmarkEnd w:id="164"/>
      <w:r/>
      <w:bookmarkEnd w:id="165"/>
      <w:r/>
      <w:bookmarkEnd w:id="166"/>
      <w:r>
        <w:rPr>
          <w:rFonts w:hint="eastAsia" w:ascii="宋体" w:hAnsi="宋体" w:eastAsia="宋体" w:cs="宋体"/>
          <w:sz w:val="30"/>
          <w:szCs w:val="30"/>
          <w:highlight w:val="none"/>
        </w:rPr>
        <w:t xml:space="preserve">定标</w:t>
      </w:r>
      <w:bookmarkEnd w:id="167"/>
      <w:r>
        <w:rPr>
          <w:rFonts w:hint="eastAsia" w:ascii="宋体" w:hAnsi="宋体" w:eastAsia="宋体" w:cs="宋体"/>
          <w:sz w:val="30"/>
          <w:szCs w:val="30"/>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Start w:id="168" w:name="_Toc513029238"/>
      <w:r/>
      <w:bookmarkStart w:id="169" w:name="_Toc16938554"/>
      <w:r/>
      <w:bookmarkStart w:id="170" w:name="_Toc20823310"/>
      <w:r>
        <w:rPr>
          <w:rFonts w:hint="eastAsia" w:ascii="宋体" w:hAnsi="宋体" w:eastAsia="宋体" w:cs="宋体"/>
          <w:bCs w:val="0"/>
          <w:highlight w:val="none"/>
        </w:rPr>
        <w:t xml:space="preserve">27、</w:t>
      </w:r>
      <w:bookmarkEnd w:id="168"/>
      <w:r>
        <w:rPr>
          <w:rFonts w:hint="eastAsia" w:ascii="宋体" w:hAnsi="宋体" w:eastAsia="宋体" w:cs="宋体"/>
          <w:bCs w:val="0"/>
          <w:highlight w:val="none"/>
        </w:rPr>
        <w:t xml:space="preserve">确定</w:t>
      </w:r>
      <w:bookmarkEnd w:id="169"/>
      <w:r/>
      <w:bookmarkEnd w:id="170"/>
      <w:r>
        <w:rPr>
          <w:rFonts w:hint="eastAsia" w:ascii="宋体" w:hAnsi="宋体" w:eastAsia="宋体" w:cs="宋体"/>
          <w:bCs w:val="0"/>
          <w:highlight w:val="none"/>
        </w:rPr>
        <w:t xml:space="preserve">中标单位</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rPr>
          <w:rFonts w:hint="eastAsia" w:ascii="宋体" w:hAnsi="宋体" w:eastAsia="宋体" w:cs="宋体"/>
          <w:bCs/>
          <w:sz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bookmarkStart w:id="171"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rPr>
          <w:rFonts w:hint="eastAsia" w:ascii="宋体" w:hAnsi="宋体" w:eastAsia="宋体" w:cs="宋体"/>
          <w:sz w:val="24"/>
          <w:szCs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1"/>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rPr>
          <w:rFonts w:hint="eastAsia" w:ascii="宋体" w:hAnsi="宋体" w:eastAsia="宋体" w:cs="宋体"/>
          <w:sz w:val="24"/>
          <w:szCs w:val="24"/>
          <w:highlight w:val="none"/>
          <w:shd w:val="clear" w:color="ffffff" w:fill="d9d9d9"/>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719"/>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772"/>
        <w:ind w:firstLine="452"/>
        <w:keepLines w:val="0"/>
        <w:keepNext w:val="0"/>
        <w:spacing w:before="0" w:after="0" w:line="500" w:lineRule="exact"/>
        <w:rPr>
          <w:rFonts w:hint="eastAsia" w:ascii="宋体" w:hAnsi="宋体" w:eastAsia="宋体" w:cs="宋体"/>
          <w:sz w:val="30"/>
          <w:szCs w:val="30"/>
          <w:highlight w:val="none"/>
        </w:rPr>
      </w:pPr>
      <w:r/>
      <w:bookmarkStart w:id="172" w:name="_Toc120614220"/>
      <w:r/>
      <w:bookmarkStart w:id="173" w:name="_Toc513029236"/>
      <w:r/>
      <w:bookmarkStart w:id="174" w:name="_Toc20823308"/>
      <w:r/>
      <w:bookmarkStart w:id="175" w:name="_Toc16938552"/>
      <w:r>
        <w:rPr>
          <w:rFonts w:hint="eastAsia" w:ascii="宋体" w:hAnsi="宋体" w:eastAsia="宋体" w:cs="宋体"/>
          <w:sz w:val="30"/>
          <w:szCs w:val="30"/>
          <w:highlight w:val="none"/>
        </w:rPr>
        <w:t xml:space="preserve">七、授予合同</w:t>
      </w:r>
      <w:bookmarkEnd w:id="172"/>
      <w:r>
        <w:rPr>
          <w:rFonts w:hint="eastAsia" w:ascii="宋体" w:hAnsi="宋体" w:eastAsia="宋体" w:cs="宋体"/>
          <w:sz w:val="30"/>
          <w:szCs w:val="30"/>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bookmarkEnd w:id="173"/>
      <w:r/>
      <w:bookmarkEnd w:id="174"/>
      <w:r/>
      <w:bookmarkEnd w:id="175"/>
      <w:r/>
      <w:bookmarkStart w:id="176" w:name="_Toc16938553"/>
      <w:r/>
      <w:bookmarkStart w:id="177" w:name="_Toc513029237"/>
      <w:r/>
      <w:bookmarkStart w:id="178" w:name="_Toc20823309"/>
      <w:r>
        <w:rPr>
          <w:rFonts w:hint="eastAsia" w:ascii="宋体" w:hAnsi="宋体" w:eastAsia="宋体" w:cs="宋体"/>
          <w:bCs w:val="0"/>
          <w:highlight w:val="none"/>
        </w:rPr>
        <w:t xml:space="preserve">30.签订合同</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rPr>
          <w:rFonts w:hint="eastAsia" w:ascii="宋体" w:hAnsi="宋体" w:eastAsia="宋体" w:cs="宋体"/>
          <w:sz w:val="24"/>
          <w:szCs w:val="24"/>
          <w:highlight w:val="none"/>
        </w:rPr>
      </w:r>
      <w:r/>
    </w:p>
    <w:p>
      <w:pPr>
        <w:pStyle w:val="719"/>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Cs/>
          <w:sz w:val="24"/>
          <w:szCs w:val="24"/>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sz w:val="24"/>
          <w:szCs w:val="24"/>
          <w:highlight w:val="none"/>
        </w:rPr>
      </w:r>
      <w:r/>
    </w:p>
    <w:p>
      <w:pPr>
        <w:pStyle w:val="911"/>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rPr>
          <w:rFonts w:hint="eastAsia" w:ascii="宋体" w:hAnsi="宋体" w:eastAsia="宋体" w:cs="宋体"/>
          <w:bCs w:val="0"/>
          <w:highlight w:val="none"/>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p>
      <w:pPr>
        <w:pStyle w:val="1111"/>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rPr>
          <w:rFonts w:hint="eastAsia" w:ascii="宋体" w:hAnsi="宋体" w:eastAsia="宋体" w:cs="宋体"/>
          <w:bCs w:val="0"/>
          <w:highlight w:val="none"/>
          <w:lang w:val="en-US" w:eastAsia="zh-CN"/>
        </w:rPr>
      </w:r>
      <w:r/>
    </w:p>
    <w:p>
      <w:pPr>
        <w:pStyle w:val="719"/>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32.本项目采购代理服务费由招标人支付，采购代理费按差额定率累进法，收费标准为：中标金额100万以下费率为中标金额的1.5%；中标金额100万－500万费率为中标金额的1.1%，在此基础上打七折计取。</w:t>
      </w:r>
      <w:r>
        <w:rPr>
          <w:rFonts w:hint="eastAsia" w:ascii="宋体" w:hAnsi="宋体" w:eastAsia="宋体" w:cs="宋体"/>
          <w:sz w:val="24"/>
          <w:szCs w:val="24"/>
          <w:highlight w:val="none"/>
        </w:rPr>
      </w:r>
      <w:r/>
    </w:p>
    <w:p>
      <w:pPr>
        <w:pStyle w:val="773"/>
        <w:jc w:val="center"/>
        <w:spacing w:line="500" w:lineRule="exact"/>
        <w:rPr>
          <w:rFonts w:hint="eastAsia" w:ascii="宋体" w:hAnsi="宋体" w:eastAsia="宋体" w:cs="宋体"/>
          <w:bCs/>
          <w:sz w:val="36"/>
          <w:szCs w:val="36"/>
          <w:highlight w:val="none"/>
        </w:rPr>
        <w:outlineLvl w:val="0"/>
      </w:pPr>
      <w:r/>
      <w:bookmarkEnd w:id="176"/>
      <w:r/>
      <w:bookmarkEnd w:id="177"/>
      <w:r/>
      <w:bookmarkEnd w:id="178"/>
      <w:r/>
      <w:bookmarkStart w:id="179" w:name="_Toc120614221"/>
      <w:r/>
      <w:bookmarkStart w:id="180" w:name="_Toc513029242"/>
      <w:r/>
      <w:bookmarkStart w:id="181" w:name="_Toc16938558"/>
      <w:r/>
      <w:bookmarkStart w:id="182" w:name="_Toc20823314"/>
      <w:r/>
      <w:bookmarkStart w:id="183" w:name="_Toc479757207"/>
      <w:r>
        <w:rPr>
          <w:rFonts w:hint="eastAsia" w:ascii="宋体" w:hAnsi="宋体" w:eastAsia="宋体" w:cs="宋体"/>
          <w:bCs/>
          <w:sz w:val="24"/>
          <w:highlight w:val="none"/>
          <w:shd w:val="clear" w:color="ffffff" w:fill="d9d9d9"/>
        </w:rPr>
        <w:br w:type="page" w:clear="all"/>
      </w:r>
      <w:bookmarkStart w:id="184" w:name="_Toc29592"/>
      <w:r>
        <w:rPr>
          <w:rFonts w:hint="eastAsia" w:ascii="宋体" w:hAnsi="宋体" w:eastAsia="宋体" w:cs="宋体"/>
          <w:bCs/>
          <w:sz w:val="36"/>
          <w:szCs w:val="36"/>
          <w:highlight w:val="none"/>
        </w:rPr>
        <w:t xml:space="preserve">第三章  合同</w:t>
      </w:r>
      <w:bookmarkEnd w:id="179"/>
      <w:r/>
      <w:bookmarkEnd w:id="180"/>
      <w:r/>
      <w:bookmarkEnd w:id="181"/>
      <w:r/>
      <w:bookmarkEnd w:id="182"/>
      <w:r/>
      <w:bookmarkEnd w:id="183"/>
      <w:r>
        <w:rPr>
          <w:rFonts w:hint="eastAsia" w:ascii="宋体" w:hAnsi="宋体" w:eastAsia="宋体" w:cs="宋体"/>
          <w:bCs/>
          <w:sz w:val="36"/>
          <w:szCs w:val="36"/>
          <w:highlight w:val="none"/>
        </w:rPr>
        <w:t xml:space="preserve">文本</w:t>
      </w:r>
      <w:bookmarkEnd w:id="184"/>
      <w:r>
        <w:rPr>
          <w:rFonts w:hint="eastAsia" w:ascii="宋体" w:hAnsi="宋体" w:eastAsia="宋体" w:cs="宋体"/>
          <w:bCs/>
          <w:sz w:val="36"/>
          <w:szCs w:val="36"/>
          <w:highlight w:val="none"/>
        </w:rPr>
      </w:r>
      <w:r/>
    </w:p>
    <w:p>
      <w:pPr>
        <w:pStyle w:val="719"/>
        <w:jc w:val="both"/>
        <w:spacing w:line="400" w:lineRule="exact"/>
        <w:rPr>
          <w:rFonts w:hint="eastAsia" w:ascii="宋体" w:hAnsi="宋体" w:eastAsia="宋体" w:cs="宋体"/>
          <w:bCs/>
          <w:sz w:val="24"/>
          <w:szCs w:val="24"/>
          <w:highlight w:val="none"/>
        </w:rPr>
        <w:outlineLvl w:val="9"/>
      </w:pPr>
      <w:r/>
      <w:bookmarkStart w:id="185" w:name="_Toc20823315"/>
      <w:r/>
      <w:bookmarkStart w:id="186" w:name="_Toc16938559"/>
      <w:r/>
      <w:bookmarkStart w:id="187" w:name="_Toc513029243"/>
      <w:r>
        <w:rPr>
          <w:rFonts w:hint="eastAsia" w:ascii="宋体" w:hAnsi="宋体" w:eastAsia="宋体" w:cs="宋体"/>
          <w:bCs/>
          <w:sz w:val="24"/>
          <w:szCs w:val="24"/>
          <w:highlight w:val="none"/>
        </w:rPr>
      </w:r>
      <w:r/>
    </w:p>
    <w:p>
      <w:pPr>
        <w:pStyle w:val="719"/>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合 同 书</w:t>
      </w:r>
      <w:r>
        <w:rPr>
          <w:rFonts w:hint="eastAsia" w:ascii="宋体" w:hAnsi="宋体" w:eastAsia="宋体" w:cs="宋体"/>
          <w:b/>
          <w:bCs/>
          <w:sz w:val="36"/>
          <w:szCs w:val="36"/>
          <w:highlight w:val="none"/>
        </w:rPr>
      </w:r>
      <w:r/>
    </w:p>
    <w:p>
      <w:pPr>
        <w:pStyle w:val="719"/>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需方</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w:t>
      </w:r>
      <w:r>
        <w:rPr>
          <w:rFonts w:hint="eastAsia" w:ascii="宋体" w:hAnsi="宋体" w:cs="宋体"/>
          <w:bCs/>
          <w:sz w:val="24"/>
          <w:highlight w:val="none"/>
          <w:u w:val="single"/>
          <w:lang w:eastAsia="zh-CN"/>
        </w:rPr>
        <w:t xml:space="preserve">无锡国家高新技术产业开发区（无锡市新吴区）教育局</w:t>
      </w: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19"/>
        <w:ind w:left="-271" w:right="-596" w:firstLine="240"/>
        <w:jc w:val="left"/>
        <w:spacing w:line="420" w:lineRule="exact"/>
        <w:widowControl/>
        <w:rPr>
          <w:rFonts w:ascii="宋体" w:hAnsi="宋体" w:eastAsia="宋体" w:cs="宋体"/>
          <w:b/>
          <w:sz w:val="24"/>
          <w:highlight w:val="none"/>
          <w:u w:val="single"/>
          <w:lang w:val="en-US" w:eastAsia="zh-CN"/>
        </w:rPr>
      </w:pPr>
      <w:r>
        <w:rPr>
          <w:rFonts w:hint="eastAsia" w:ascii="宋体" w:hAnsi="宋体" w:eastAsia="宋体" w:cs="宋体"/>
          <w:sz w:val="24"/>
          <w:highlight w:val="none"/>
        </w:rPr>
        <w:t xml:space="preserve">法定代表人：</w:t>
      </w:r>
      <w:r>
        <w:rPr>
          <w:rFonts w:hint="eastAsia" w:ascii="宋体" w:hAnsi="宋体" w:cs="宋体"/>
          <w:bCs/>
          <w:sz w:val="24"/>
          <w:highlight w:val="none"/>
          <w:u w:val="single"/>
          <w:lang w:val="en-US" w:eastAsia="zh-CN"/>
        </w:rPr>
        <w:t xml:space="preserve">                 </w:t>
      </w:r>
      <w:r>
        <w:rPr>
          <w:rFonts w:ascii="宋体" w:hAnsi="宋体" w:eastAsia="宋体" w:cs="宋体"/>
          <w:b/>
          <w:sz w:val="24"/>
          <w:highlight w:val="none"/>
          <w:u w:val="single"/>
          <w:lang w:val="en-US" w:eastAsia="zh-CN"/>
        </w:rPr>
      </w:r>
      <w:r/>
    </w:p>
    <w:p>
      <w:pPr>
        <w:pStyle w:val="719"/>
        <w:ind w:left="-271" w:right="-596" w:firstLine="240"/>
        <w:jc w:val="left"/>
        <w:spacing w:line="420" w:lineRule="exact"/>
        <w:widowControl/>
        <w:rPr>
          <w:rFonts w:hint="eastAsia" w:ascii="宋体" w:hAnsi="宋体" w:eastAsia="宋体" w:cs="宋体"/>
          <w:b/>
          <w:sz w:val="24"/>
          <w:highlight w:val="none"/>
          <w:u w:val="singl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r>
      <w:r/>
    </w:p>
    <w:p>
      <w:pPr>
        <w:pStyle w:val="719"/>
        <w:ind w:left="-271" w:right="-596" w:firstLine="240"/>
        <w:jc w:val="left"/>
        <w:spacing w:line="420" w:lineRule="exact"/>
        <w:widowControl/>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lang w:val="en-US" w:eastAsia="zh-CN"/>
        </w:rPr>
      </w:r>
      <w:r/>
    </w:p>
    <w:p>
      <w:pPr>
        <w:pStyle w:val="933"/>
        <w:rPr>
          <w:rFonts w:hint="eastAsia" w:ascii="宋体" w:hAnsi="宋体" w:eastAsia="宋体" w:cs="宋体"/>
          <w:highlight w:val="none"/>
        </w:rPr>
      </w:pPr>
      <w:r>
        <w:rPr>
          <w:rFonts w:hint="eastAsia" w:ascii="宋体" w:hAnsi="宋体" w:eastAsia="宋体" w:cs="宋体"/>
          <w:highlight w:val="none"/>
        </w:rPr>
      </w:r>
      <w:r/>
    </w:p>
    <w:p>
      <w:pPr>
        <w:pStyle w:val="719"/>
        <w:spacing w:line="360" w:lineRule="auto"/>
        <w:rPr>
          <w:rFonts w:ascii="宋体" w:hAnsi="宋体" w:eastAsia="宋体" w:cs="宋体"/>
          <w:bCs/>
          <w:sz w:val="24"/>
          <w:highlight w:val="none"/>
          <w:u w:val="single"/>
          <w:lang w:val="en-US" w:eastAsia="zh-CN"/>
        </w:rPr>
      </w:pPr>
      <w:r>
        <w:rPr>
          <w:rFonts w:hint="eastAsia" w:ascii="宋体" w:hAnsi="宋体" w:eastAsia="宋体" w:cs="宋体"/>
          <w:bCs/>
          <w:sz w:val="24"/>
          <w:highlight w:val="none"/>
        </w:rPr>
        <w:t xml:space="preserve">供方</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中标人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u w:val="single"/>
          <w:lang w:val="en-US" w:eastAsia="zh-CN"/>
        </w:rPr>
        <w:t xml:space="preserve">            </w:t>
      </w:r>
      <w:r>
        <w:rPr>
          <w:rFonts w:hint="eastAsia" w:ascii="宋体" w:hAnsi="宋体" w:cs="宋体"/>
          <w:bCs/>
          <w:sz w:val="24"/>
          <w:highlight w:val="none"/>
          <w:u w:val="single"/>
          <w:lang w:val="en-US" w:eastAsia="zh-CN"/>
        </w:rPr>
        <w:t xml:space="preserve"> </w:t>
      </w:r>
      <w:r>
        <w:rPr>
          <w:rFonts w:ascii="宋体" w:hAnsi="宋体" w:eastAsia="宋体" w:cs="宋体"/>
          <w:bCs/>
          <w:sz w:val="24"/>
          <w:highlight w:val="none"/>
          <w:u w:val="single"/>
          <w:lang w:val="en-US" w:eastAsia="zh-CN"/>
        </w:rPr>
      </w:r>
      <w:r/>
    </w:p>
    <w:p>
      <w:pPr>
        <w:pStyle w:val="719"/>
        <w:ind w:left="-271" w:right="-596" w:firstLine="240"/>
        <w:jc w:val="left"/>
        <w:spacing w:line="420" w:lineRule="exact"/>
        <w:widowControl/>
        <w:rPr>
          <w:rFonts w:ascii="宋体" w:hAnsi="宋体" w:eastAsia="宋体" w:cs="宋体"/>
          <w:sz w:val="24"/>
          <w:highlight w:val="none"/>
          <w:u w:val="single"/>
          <w:lang w:val="en-US"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ascii="宋体" w:hAnsi="宋体" w:eastAsia="宋体" w:cs="宋体"/>
          <w:sz w:val="24"/>
          <w:highlight w:val="none"/>
          <w:u w:val="single"/>
          <w:lang w:val="en-US" w:eastAsia="zh-CN"/>
        </w:rPr>
      </w:r>
      <w:r/>
    </w:p>
    <w:p>
      <w:pPr>
        <w:pStyle w:val="719"/>
        <w:ind w:left="-271" w:right="-596" w:firstLine="240"/>
        <w:jc w:val="left"/>
        <w:spacing w:line="420" w:lineRule="exact"/>
        <w:widowControl/>
        <w:rPr>
          <w:rFonts w:hint="eastAsia" w:ascii="宋体" w:hAnsi="宋体" w:eastAsia="宋体" w:cs="宋体"/>
          <w:sz w:val="24"/>
          <w:highlight w:val="none"/>
          <w:u w:val="singl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719"/>
        <w:ind w:left="-271" w:right="-596" w:firstLine="240"/>
        <w:jc w:val="left"/>
        <w:spacing w:line="420" w:lineRule="exact"/>
        <w:widowControl/>
        <w:rPr>
          <w:rFonts w:hint="eastAsia" w:ascii="宋体" w:hAnsi="宋体" w:eastAsia="宋体" w:cs="宋体"/>
          <w:bCs/>
          <w:sz w:val="24"/>
          <w:highlight w:val="none"/>
          <w:u w:val="singl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u w:val="single"/>
        </w:rPr>
      </w:r>
      <w:r/>
    </w:p>
    <w:p>
      <w:pPr>
        <w:pStyle w:val="719"/>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根据《中华人民共和国民法典》及相关法规，遵循平等、自愿、公平和诚实信用的原则，供需双方就</w:t>
      </w:r>
      <w:r>
        <w:rPr>
          <w:rFonts w:hint="eastAsia" w:ascii="宋体" w:hAnsi="宋体" w:cs="宋体"/>
          <w:sz w:val="24"/>
          <w:highlight w:val="none"/>
          <w:lang w:eastAsia="zh-CN"/>
        </w:rPr>
        <w:t xml:space="preserve">天一中学新吴分校新建工程厨房设备采购项目</w:t>
      </w:r>
      <w:r>
        <w:rPr>
          <w:rFonts w:hint="eastAsia" w:ascii="宋体" w:hAnsi="宋体" w:eastAsia="宋体" w:cs="宋体"/>
          <w:sz w:val="24"/>
          <w:highlight w:val="none"/>
        </w:rPr>
        <w:t xml:space="preserve">有关事项协商一致，共同达成如下协议：</w:t>
      </w:r>
      <w:r>
        <w:rPr>
          <w:rFonts w:hint="eastAsia" w:ascii="宋体" w:hAnsi="宋体" w:eastAsia="宋体" w:cs="宋体"/>
          <w:sz w:val="28"/>
          <w:szCs w:val="28"/>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一、项目名称：</w:t>
      </w:r>
      <w:r>
        <w:rPr>
          <w:rFonts w:hint="eastAsia" w:ascii="宋体" w:hAnsi="宋体" w:cs="宋体"/>
          <w:sz w:val="24"/>
          <w:highlight w:val="none"/>
          <w:u w:val="single"/>
          <w:lang w:eastAsia="zh-CN"/>
        </w:rPr>
        <w:t xml:space="preserve">天一中学新吴分校新建工程厨房设备采购项目</w:t>
      </w:r>
      <w:r>
        <w:rPr>
          <w:rFonts w:hint="eastAsia" w:ascii="宋体" w:hAnsi="宋体" w:eastAsia="宋体" w:cs="宋体"/>
          <w:bCs/>
          <w:sz w:val="24"/>
          <w:highlight w:val="none"/>
          <w:lang w:eastAsia="zh-CN"/>
        </w:rPr>
      </w:r>
      <w:r/>
    </w:p>
    <w:p>
      <w:pPr>
        <w:pStyle w:val="719"/>
        <w:ind w:firstLine="48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二、采购内容：</w:t>
      </w:r>
      <w:r>
        <w:rPr>
          <w:rFonts w:hint="eastAsia" w:ascii="宋体" w:hAnsi="宋体" w:cs="宋体"/>
          <w:sz w:val="24"/>
          <w:highlight w:val="none"/>
          <w:u w:val="single"/>
          <w:lang w:eastAsia="zh-CN"/>
        </w:rPr>
        <w:t xml:space="preserve">天一中学新吴分校新建工程厨房设备采购</w:t>
      </w:r>
      <w:r>
        <w:rPr>
          <w:rFonts w:hint="eastAsia" w:ascii="宋体" w:hAnsi="宋体" w:eastAsia="宋体" w:cs="宋体"/>
          <w:bCs/>
          <w:sz w:val="24"/>
          <w:highlight w:val="none"/>
          <w:u w:val="single"/>
        </w:rPr>
        <w:t xml:space="preserve">。</w:t>
      </w:r>
      <w:r>
        <w:rPr>
          <w:rFonts w:hint="eastAsia" w:ascii="宋体" w:hAnsi="宋体" w:eastAsia="宋体" w:cs="宋体"/>
          <w:bCs/>
          <w:sz w:val="24"/>
          <w:highlight w:val="none"/>
          <w:u w:val="singl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三、合同金额</w:t>
      </w:r>
      <w:r>
        <w:rPr>
          <w:rFonts w:hint="eastAsia" w:ascii="宋体" w:hAnsi="宋体" w:eastAsia="宋体" w:cs="宋体"/>
          <w:bCs/>
          <w:sz w:val="24"/>
          <w:highlight w:val="none"/>
          <w:lang w:eastAsia="zh-CN"/>
        </w:rPr>
        <w:t xml:space="preserve">（含税价，税率</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：人民币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大写</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rPr>
        <w:t xml:space="preserve">，人民币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小写</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元</w:t>
      </w:r>
      <w:r>
        <w:rPr>
          <w:rFonts w:hint="eastAsia" w:ascii="宋体" w:hAnsi="宋体" w:eastAsia="宋体" w:cs="宋体"/>
          <w:bCs/>
          <w:sz w:val="24"/>
          <w:highlight w:val="none"/>
        </w:rPr>
        <w:t xml:space="preserve">。             </w:t>
      </w:r>
      <w:r>
        <w:rPr>
          <w:rFonts w:hint="eastAsia" w:ascii="宋体" w:hAnsi="宋体" w:eastAsia="宋体" w:cs="宋体"/>
          <w:bCs/>
          <w:sz w:val="24"/>
          <w:highlight w:val="none"/>
          <w:u w:val="single"/>
        </w:rPr>
      </w:r>
      <w:r/>
    </w:p>
    <w:p>
      <w:pPr>
        <w:pStyle w:val="719"/>
        <w:ind w:firstLine="532"/>
        <w:spacing w:line="360" w:lineRule="auto"/>
        <w:rPr>
          <w:rFonts w:hint="eastAsia" w:ascii="宋体" w:hAnsi="宋体" w:eastAsia="宋体" w:cs="宋体"/>
          <w:b/>
          <w:bCs/>
          <w:sz w:val="24"/>
          <w:highlight w:val="none"/>
        </w:rPr>
      </w:pPr>
      <w:r>
        <w:rPr>
          <w:rFonts w:hint="eastAsia" w:ascii="宋体" w:hAnsi="宋体" w:eastAsia="宋体" w:cs="宋体"/>
          <w:bCs/>
          <w:sz w:val="24"/>
          <w:highlight w:val="none"/>
        </w:rPr>
        <w:t xml:space="preserve">四、质量要求及验收标准：</w:t>
      </w:r>
      <w:r>
        <w:rPr>
          <w:rFonts w:hint="eastAsia" w:ascii="宋体" w:hAnsi="宋体" w:eastAsia="宋体" w:cs="宋体"/>
          <w:sz w:val="24"/>
          <w:highlight w:val="none"/>
          <w:u w:val="single"/>
        </w:rPr>
        <w:t xml:space="preserve">必须满足本次招标的图纸清单中的规格、参数要求。</w:t>
      </w:r>
      <w:r>
        <w:rPr>
          <w:rFonts w:hint="eastAsia" w:ascii="宋体" w:hAnsi="宋体" w:eastAsia="宋体" w:cs="宋体"/>
          <w:b/>
          <w:bCs/>
          <w:sz w:val="24"/>
          <w:highlight w:val="none"/>
        </w:rPr>
      </w:r>
      <w:r/>
    </w:p>
    <w:p>
      <w:pPr>
        <w:pStyle w:val="719"/>
        <w:spacing w:line="360" w:lineRule="auto"/>
        <w:tabs>
          <w:tab w:val="left" w:pos="840" w:leader="none"/>
          <w:tab w:val="left" w:pos="1155" w:leader="none"/>
        </w:tabs>
        <w:rPr>
          <w:rFonts w:hint="eastAsia" w:ascii="宋体" w:hAnsi="宋体" w:eastAsia="宋体" w:cs="宋体"/>
          <w:sz w:val="24"/>
          <w:highlight w:val="none"/>
          <w:u w:val="single"/>
        </w:rPr>
      </w:pPr>
      <w:r>
        <w:rPr>
          <w:rFonts w:hint="eastAsia" w:ascii="宋体" w:hAnsi="宋体" w:eastAsia="宋体" w:cs="宋体"/>
          <w:bCs/>
          <w:sz w:val="24"/>
          <w:highlight w:val="none"/>
        </w:rPr>
        <w:t xml:space="preserve">    五、供货期：</w:t>
      </w:r>
      <w:r>
        <w:rPr>
          <w:rFonts w:hint="eastAsia" w:ascii="宋体" w:hAnsi="宋体" w:eastAsia="宋体" w:cs="宋体"/>
          <w:bCs/>
          <w:sz w:val="24"/>
          <w:highlight w:val="none"/>
          <w:u w:val="single"/>
        </w:rPr>
        <w:t xml:space="preserve">30日历天内完成采购、安装、调试等；具体以</w:t>
      </w:r>
      <w:r>
        <w:rPr>
          <w:rFonts w:hint="eastAsia" w:ascii="宋体" w:hAnsi="宋体" w:eastAsia="宋体" w:cs="宋体"/>
          <w:bCs/>
          <w:sz w:val="24"/>
          <w:highlight w:val="none"/>
          <w:u w:val="single"/>
          <w:lang w:eastAsia="zh-CN"/>
        </w:rPr>
        <w:t xml:space="preserve">采购人</w:t>
      </w:r>
      <w:r>
        <w:rPr>
          <w:rFonts w:hint="eastAsia" w:ascii="宋体" w:hAnsi="宋体" w:eastAsia="宋体" w:cs="宋体"/>
          <w:bCs/>
          <w:sz w:val="24"/>
          <w:highlight w:val="none"/>
          <w:u w:val="single"/>
        </w:rPr>
        <w:t xml:space="preserve">的要求为准</w:t>
      </w:r>
      <w:r>
        <w:rPr>
          <w:rFonts w:hint="eastAsia" w:ascii="宋体" w:hAnsi="宋体" w:eastAsia="宋体" w:cs="宋体"/>
          <w:sz w:val="24"/>
          <w:highlight w:val="none"/>
          <w:u w:val="single"/>
        </w:rPr>
        <w:t xml:space="preserve">。</w:t>
      </w:r>
      <w:r>
        <w:rPr>
          <w:rFonts w:hint="eastAsia" w:ascii="宋体" w:hAnsi="宋体" w:eastAsia="宋体" w:cs="宋体"/>
          <w:sz w:val="24"/>
          <w:highlight w:val="none"/>
          <w:u w:val="singl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六、服务地点和方式：</w:t>
      </w:r>
      <w:r>
        <w:rPr>
          <w:rFonts w:hint="eastAsia" w:ascii="宋体" w:hAnsi="宋体" w:cs="宋体"/>
          <w:sz w:val="24"/>
          <w:highlight w:val="none"/>
          <w:u w:val="single"/>
          <w:lang w:eastAsia="zh-CN"/>
        </w:rPr>
        <w:t xml:space="preserve">该项目位于</w:t>
      </w:r>
      <w:r>
        <w:rPr>
          <w:rFonts w:hint="eastAsia" w:ascii="宋体" w:hAnsi="宋体" w:eastAsia="宋体" w:cs="宋体"/>
          <w:sz w:val="24"/>
          <w:highlight w:val="none"/>
          <w:u w:val="single"/>
          <w:lang w:val="en-US" w:eastAsia="zh-CN"/>
        </w:rPr>
        <w:t xml:space="preserve">无锡市新吴区鸿山街道，至德大道与至礼路交叉口东南</w:t>
      </w:r>
      <w:r>
        <w:rPr>
          <w:rFonts w:hint="eastAsia" w:ascii="宋体" w:hAnsi="宋体" w:eastAsia="宋体" w:cs="宋体"/>
          <w:sz w:val="24"/>
          <w:highlight w:val="none"/>
          <w:u w:val="single"/>
          <w:lang w:eastAsia="zh-CN"/>
        </w:rPr>
        <w:t xml:space="preserve">；包工包料。</w:t>
      </w:r>
      <w:r>
        <w:rPr>
          <w:rFonts w:hint="eastAsia" w:ascii="宋体" w:hAnsi="宋体" w:eastAsia="宋体" w:cs="宋体"/>
          <w:bCs/>
          <w:sz w:val="24"/>
          <w:highlight w:val="none"/>
        </w:rPr>
        <w:t xml:space="preserve">               </w:t>
      </w:r>
      <w:r>
        <w:rPr>
          <w:rFonts w:hint="eastAsia" w:ascii="宋体" w:hAnsi="宋体" w:eastAsia="宋体" w:cs="宋体"/>
          <w:bCs/>
          <w:sz w:val="24"/>
          <w:highlight w:val="none"/>
          <w:u w:val="singl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七、合同款支付步骤和办法：</w:t>
      </w:r>
      <w:r>
        <w:rPr>
          <w:rFonts w:hint="eastAsia" w:ascii="宋体" w:hAnsi="宋体" w:eastAsia="宋体" w:cs="宋体"/>
          <w:bCs/>
          <w:sz w:val="24"/>
          <w:highlight w:val="none"/>
          <w:u w:val="single"/>
        </w:rPr>
        <w:t xml:space="preserve">合同签订后所有设备安装调试完成，并经最终验收合格后支付至合同价的70%；项目审计结束后付至审定价的97%，质保期满后付清余款。</w:t>
      </w:r>
      <w:r>
        <w:rPr>
          <w:rFonts w:hint="eastAsia" w:ascii="宋体" w:hAnsi="宋体" w:eastAsia="宋体" w:cs="宋体"/>
          <w:bCs/>
          <w:sz w:val="24"/>
          <w:highlight w:val="none"/>
          <w:u w:val="singl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八、合同不可分割部分：招标文件、投标文件、合同条款及中标通知书，供方在投标、评标过程中所作</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有关承诺、声明、书面澄清等均为合同不可分割的部分，与主合同具有同等法律效力。</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九、合同备案：合同一式陆份，具有同等的法律效力，供需双方各执叁份。</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十、本合同经双方</w:t>
      </w:r>
      <w:r>
        <w:rPr>
          <w:rFonts w:hint="eastAsia" w:ascii="宋体" w:hAnsi="宋体" w:cs="宋体"/>
          <w:bCs/>
          <w:sz w:val="24"/>
          <w:highlight w:val="none"/>
          <w:lang w:eastAsia="zh"/>
        </w:rPr>
        <w:t xml:space="preserve">加盖单位公章</w:t>
      </w:r>
      <w:r>
        <w:rPr>
          <w:rFonts w:hint="eastAsia" w:ascii="宋体" w:hAnsi="宋体" w:eastAsia="宋体" w:cs="宋体"/>
          <w:bCs/>
          <w:sz w:val="24"/>
          <w:highlight w:val="none"/>
        </w:rPr>
        <w:t xml:space="preserve">后生效。</w:t>
      </w:r>
      <w:r>
        <w:rPr>
          <w:rFonts w:hint="eastAsia" w:ascii="宋体" w:hAnsi="宋体" w:eastAsia="宋体" w:cs="宋体"/>
          <w:bCs/>
          <w:sz w:val="24"/>
          <w:highlight w:val="none"/>
        </w:rPr>
      </w:r>
      <w:r/>
    </w:p>
    <w:p>
      <w:pPr>
        <w:pStyle w:val="719"/>
        <w:ind w:left="508" w:right="0" w:firstLine="24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 w:bidi="ar"/>
        </w:rPr>
        <w:t xml:space="preserve">  需</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lang w:val="en-US" w:eastAsia="zh" w:bidi="ar"/>
        </w:rPr>
        <w:t xml:space="preserve">供</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rPr>
      </w:r>
      <w:r/>
    </w:p>
    <w:p>
      <w:pPr>
        <w:pStyle w:val="719"/>
        <w:ind w:left="0" w:right="0" w:firstLine="96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rPr>
      </w:r>
      <w:r/>
    </w:p>
    <w:p>
      <w:pPr>
        <w:pStyle w:val="719"/>
        <w:ind w:firstLine="96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联系电话：</w:t>
      </w:r>
      <w:r>
        <w:rPr>
          <w:highlight w:val="none"/>
        </w:rPr>
      </w:r>
      <w:r/>
    </w:p>
    <w:p>
      <w:pPr>
        <w:pStyle w:val="719"/>
        <w:ind w:left="720" w:hanging="72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w:t>
      </w:r>
      <w:r>
        <w:rPr>
          <w:rFonts w:hint="eastAsia" w:ascii="宋体" w:hAnsi="宋体" w:cs="宋体"/>
          <w:bCs/>
          <w:sz w:val="24"/>
          <w:highlight w:val="none"/>
          <w:lang w:eastAsia="zh"/>
        </w:rPr>
        <w:t xml:space="preserve"> </w:t>
      </w:r>
      <w:r>
        <w:rPr>
          <w:rFonts w:hint="eastAsia" w:ascii="宋体" w:hAnsi="宋体" w:eastAsia="宋体" w:cs="宋体"/>
          <w:bCs/>
          <w:sz w:val="24"/>
          <w:highlight w:val="none"/>
        </w:rPr>
        <w:t xml:space="preserve">年  月  日                                     年  月  日 </w:t>
      </w:r>
      <w:r>
        <w:rPr>
          <w:rFonts w:hint="eastAsia" w:ascii="宋体" w:hAnsi="宋体" w:eastAsia="宋体" w:cs="宋体"/>
          <w:bCs/>
          <w:sz w:val="24"/>
          <w:highlight w:val="none"/>
          <w:u w:val="single"/>
        </w:rPr>
      </w:r>
      <w:r/>
    </w:p>
    <w:p>
      <w:pPr>
        <w:pStyle w:val="719"/>
        <w:jc w:val="left"/>
        <w:spacing w:line="360" w:lineRule="auto"/>
        <w:rPr>
          <w:rFonts w:hint="eastAsia" w:ascii="宋体" w:hAnsi="宋体" w:eastAsia="宋体" w:cs="宋体"/>
          <w:bCs/>
          <w:sz w:val="24"/>
          <w:highlight w:val="none"/>
        </w:rPr>
      </w:pPr>
      <w:r>
        <w:rPr>
          <w:rFonts w:hint="eastAsia" w:ascii="宋体" w:hAnsi="宋体" w:eastAsia="宋体" w:cs="宋体"/>
          <w:b/>
          <w:bCs/>
          <w:sz w:val="24"/>
          <w:highlight w:val="none"/>
        </w:rPr>
        <w:t xml:space="preserve">备注：</w:t>
      </w:r>
      <w:r>
        <w:rPr>
          <w:rFonts w:hint="eastAsia" w:ascii="宋体" w:hAnsi="宋体" w:eastAsia="宋体" w:cs="宋体"/>
          <w:bCs/>
          <w:sz w:val="24"/>
          <w:highlight w:val="none"/>
        </w:rPr>
        <w:t xml:space="preserve">需方按照招标文件和中标人签订书面合同。所签订的合同不得对招标文件确定的事项和中标人投标文件作实质性修改，供需双方盖章后生效。</w:t>
      </w:r>
      <w:r>
        <w:rPr>
          <w:rFonts w:hint="eastAsia" w:ascii="宋体" w:hAnsi="宋体" w:eastAsia="宋体" w:cs="宋体"/>
          <w:bCs/>
          <w:sz w:val="24"/>
          <w:highlight w:val="none"/>
        </w:rPr>
        <w:br w:type="page" w:clear="all"/>
      </w:r>
      <w:bookmarkStart w:id="188" w:name="_Toc112006934"/>
      <w:r>
        <w:rPr>
          <w:rFonts w:hint="eastAsia" w:ascii="宋体" w:hAnsi="宋体" w:eastAsia="宋体" w:cs="宋体"/>
          <w:bCs/>
          <w:sz w:val="24"/>
          <w:highlight w:val="none"/>
        </w:rPr>
        <w:t xml:space="preserve">                                   </w:t>
      </w:r>
      <w:r>
        <w:rPr>
          <w:rFonts w:hint="eastAsia" w:ascii="宋体" w:hAnsi="宋体" w:eastAsia="宋体" w:cs="宋体"/>
          <w:sz w:val="32"/>
          <w:highlight w:val="none"/>
        </w:rPr>
        <w:t xml:space="preserve">合同条款</w:t>
      </w:r>
      <w:bookmarkEnd w:id="188"/>
      <w:r>
        <w:rPr>
          <w:rFonts w:hint="eastAsia" w:ascii="宋体" w:hAnsi="宋体" w:eastAsia="宋体" w:cs="宋体"/>
          <w:bCs/>
          <w:sz w:val="24"/>
          <w:highlight w:val="none"/>
        </w:rPr>
      </w:r>
      <w:r/>
    </w:p>
    <w:p>
      <w:pPr>
        <w:pStyle w:val="719"/>
        <w:ind w:firstLine="523"/>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根据招标文件和该文件的中标通知书及供方投标文件，供需双方就此及相关问题，同意按下列条款规定执行。</w:t>
      </w:r>
      <w:r>
        <w:rPr>
          <w:rFonts w:hint="eastAsia" w:ascii="宋体" w:hAnsi="宋体" w:eastAsia="宋体" w:cs="宋体"/>
          <w:bCs/>
          <w:sz w:val="24"/>
          <w:highlight w:val="none"/>
        </w:rPr>
      </w:r>
      <w:r/>
    </w:p>
    <w:p>
      <w:pPr>
        <w:pStyle w:val="719"/>
        <w:numPr>
          <w:ilvl w:val="0"/>
          <w:numId w:val="4"/>
        </w:numPr>
        <w:jc w:val="left"/>
        <w:spacing w:line="360" w:lineRule="auto"/>
        <w:tabs>
          <w:tab w:val="left" w:pos="150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合同标的   </w:t>
      </w:r>
      <w:r>
        <w:rPr>
          <w:rFonts w:hint="eastAsia" w:ascii="宋体" w:hAnsi="宋体" w:eastAsia="宋体" w:cs="宋体"/>
          <w:b/>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合同内容：需方向供方购买</w:t>
      </w:r>
      <w:r>
        <w:rPr>
          <w:rFonts w:hint="eastAsia" w:ascii="宋体" w:hAnsi="宋体" w:cs="宋体"/>
          <w:bCs/>
          <w:sz w:val="24"/>
          <w:highlight w:val="none"/>
          <w:u w:val="single"/>
          <w:lang w:eastAsia="zh-CN"/>
        </w:rPr>
        <w:t xml:space="preserve">天一中学新吴分校新建工程厨房设备采购项目</w:t>
      </w:r>
      <w:r>
        <w:rPr>
          <w:rFonts w:hint="eastAsia" w:ascii="宋体" w:hAnsi="宋体" w:eastAsia="宋体" w:cs="宋体"/>
          <w:bCs/>
          <w:sz w:val="24"/>
          <w:highlight w:val="none"/>
        </w:rPr>
        <w:t xml:space="preserve">。</w:t>
      </w:r>
      <w:r>
        <w:rPr>
          <w:rFonts w:hint="eastAsia" w:ascii="宋体" w:hAnsi="宋体" w:eastAsia="宋体" w:cs="宋体"/>
          <w:bCs/>
          <w:sz w:val="24"/>
          <w:highlight w:val="none"/>
          <w:u w:val="singl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价格及支付： </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 按此次中标价格执行，合同总标的额为</w:t>
      </w:r>
      <w:r>
        <w:rPr>
          <w:rFonts w:hint="eastAsia" w:ascii="宋体" w:hAnsi="宋体" w:eastAsia="宋体" w:cs="宋体"/>
          <w:sz w:val="24"/>
          <w:highlight w:val="none"/>
          <w:u w:val="single"/>
          <w:lang w:val="en-US" w:eastAsia="zh-CN"/>
        </w:rPr>
        <w:t xml:space="preserve">    </w:t>
      </w:r>
      <w:r>
        <w:rPr>
          <w:rFonts w:hint="eastAsia" w:ascii="宋体" w:hAnsi="宋体" w:eastAsia="宋体" w:cs="宋体"/>
          <w:bCs/>
          <w:sz w:val="24"/>
          <w:highlight w:val="none"/>
        </w:rPr>
        <w:t xml:space="preserve">元。</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2. 付款方式：</w:t>
      </w:r>
      <w:r>
        <w:rPr>
          <w:rFonts w:hint="eastAsia" w:ascii="宋体" w:hAnsi="宋体" w:eastAsia="宋体" w:cs="宋体"/>
          <w:bCs/>
          <w:sz w:val="24"/>
          <w:highlight w:val="none"/>
          <w:u w:val="single"/>
        </w:rPr>
        <w:t xml:space="preserve">合同签订后所有设备安装调试完成，并经终验收合格后支付至合同价的70%；项目审计结束后付至审定价的97%，质保期满后付清余款。</w:t>
      </w:r>
      <w:r>
        <w:rPr>
          <w:rFonts w:hint="eastAsia" w:ascii="宋体" w:hAnsi="宋体" w:eastAsia="宋体" w:cs="宋体"/>
          <w:bCs/>
          <w:sz w:val="24"/>
          <w:highlight w:val="none"/>
          <w:u w:val="singl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知识产权：</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质量与验收：</w:t>
      </w:r>
      <w:r>
        <w:rPr>
          <w:rFonts w:hint="eastAsia" w:ascii="宋体" w:hAnsi="宋体" w:eastAsia="宋体" w:cs="宋体"/>
          <w:bCs/>
          <w:sz w:val="24"/>
          <w:highlight w:val="none"/>
        </w:rPr>
      </w:r>
      <w:r/>
    </w:p>
    <w:p>
      <w:pPr>
        <w:pStyle w:val="719"/>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有产品均应出自原厂，不得私自添加或更改，保证所有产品及部件均是全新的纯正部品，不得以废、旧材料制作，产品必须符合行业要求。交货时所有产品应货物完好，物品配件齐全，否则视为不合格产品，</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有权拒绝接收。                                   </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宋体" w:hAnsi="宋体" w:eastAsia="宋体" w:cs="宋体"/>
          <w:sz w:val="24"/>
          <w:highlight w:val="none"/>
        </w:rPr>
      </w:r>
      <w:r/>
    </w:p>
    <w:p>
      <w:pPr>
        <w:pStyle w:val="719"/>
        <w:ind w:firstLine="480"/>
        <w:spacing w:line="360" w:lineRule="auto"/>
        <w:tabs>
          <w:tab w:val="left" w:pos="420" w:leader="none"/>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3．货物的到货验收包括：数量、外观、质量、性能、随机备件、装箱单、质量证书等随机资料及包装完整无破损。</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4．货物和系统调试验收标准：</w:t>
      </w:r>
      <w:r>
        <w:rPr>
          <w:rFonts w:hint="eastAsia" w:ascii="宋体" w:hAnsi="宋体" w:eastAsia="宋体" w:cs="宋体"/>
          <w:sz w:val="24"/>
          <w:highlight w:val="none"/>
          <w:lang w:eastAsia="zh-CN"/>
        </w:rPr>
        <w:t xml:space="preserve">按照</w:t>
      </w:r>
      <w:r>
        <w:rPr>
          <w:rFonts w:hint="eastAsia" w:ascii="宋体" w:hAnsi="宋体" w:eastAsia="宋体" w:cs="宋体"/>
          <w:sz w:val="24"/>
          <w:highlight w:val="none"/>
        </w:rPr>
        <w:t xml:space="preserve">行业通行标准、厂方出厂标准、招标文件要求和供方投标文件的承诺，并不低于国家相关标准。</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5．货物运到需方指定地点并经需方验证签收后，由于需方保管不善造成的质量问题，供方应负责修理，但有关费用由需方承担。</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6. 需方应在货物运到并接到供方通知后及时按照招投标文件的约定组织验收。在验收过程中产生的质量及其他问题，需方须在三日内以书面形式提出异议并提出相应处理意见。供方在接到需方书面异议后应在三日内整改完毕，否则承担违约责任。</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7. 需方不得擅自变更招投标文件约定的性能、指标等相关内容，如有变更应按相关程序执行。</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五）合同履行过程中发生下列情形的，需方有权变更、中止或终止合同，供方应当予以配合，但需方应当在发生相应情形后三天内通知供方，并组织双方协商确定解决方案，需方应当按约支付供方已经完成的服务对应的合同价款，并补偿因合同变更、中止或终止而引发的供方直接损失：</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（1）需方内部工作安排、计划调整等自身原因；</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（2）中央、省、市、区级政策变动，以及规划、计划调整等外部原因；</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（3）其他需方原因。</w:t>
      </w:r>
      <w:r>
        <w:rPr>
          <w:rFonts w:hint="eastAsia" w:ascii="宋体" w:hAnsi="宋体" w:eastAsia="宋体" w:cs="宋体"/>
          <w:sz w:val="24"/>
          <w:highlight w:val="none"/>
        </w:rPr>
      </w:r>
      <w:r/>
    </w:p>
    <w:p>
      <w:pPr>
        <w:pStyle w:val="719"/>
        <w:ind w:firstLine="480"/>
        <w:spacing w:line="360" w:lineRule="auto"/>
        <w:tabs>
          <w:tab w:val="left" w:pos="1050" w:leader="none"/>
          <w:tab w:val="left" w:pos="11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本合同对合同变更、中止或终止合同有其他特殊约定的，按该特殊约定执行。</w:t>
      </w:r>
      <w:r>
        <w:rPr>
          <w:rFonts w:hint="eastAsia" w:ascii="宋体" w:hAnsi="宋体" w:eastAsia="宋体" w:cs="宋体"/>
          <w:b/>
          <w:bCs/>
          <w:sz w:val="24"/>
          <w:highlight w:val="none"/>
        </w:rPr>
      </w:r>
      <w:r/>
    </w:p>
    <w:p>
      <w:pPr>
        <w:pStyle w:val="719"/>
        <w:numPr>
          <w:ilvl w:val="0"/>
          <w:numId w:val="4"/>
        </w:numPr>
        <w:jc w:val="left"/>
        <w:spacing w:line="360" w:lineRule="auto"/>
        <w:tabs>
          <w:tab w:val="left" w:pos="150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组成本合同的有关文件</w:t>
      </w:r>
      <w:r>
        <w:rPr>
          <w:rFonts w:hint="eastAsia" w:ascii="宋体" w:hAnsi="宋体" w:eastAsia="宋体" w:cs="宋体"/>
          <w:b/>
          <w:sz w:val="24"/>
          <w:highlight w:val="none"/>
        </w:rPr>
      </w:r>
      <w:r/>
    </w:p>
    <w:p>
      <w:pPr>
        <w:pStyle w:val="719"/>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关于</w:t>
      </w:r>
      <w:r>
        <w:rPr>
          <w:rFonts w:hint="eastAsia" w:ascii="宋体" w:hAnsi="宋体" w:cs="宋体"/>
          <w:sz w:val="24"/>
          <w:highlight w:val="none"/>
          <w:u w:val="single"/>
          <w:lang w:eastAsia="zh-CN"/>
        </w:rPr>
        <w:t xml:space="preserve">天一中学新吴分校新建工程厨房设备采购项目</w:t>
      </w:r>
      <w:r>
        <w:rPr>
          <w:rFonts w:hint="eastAsia" w:ascii="宋体" w:hAnsi="宋体" w:eastAsia="宋体" w:cs="宋体"/>
          <w:sz w:val="24"/>
          <w:highlight w:val="none"/>
        </w:rPr>
        <w:t xml:space="preserve">的</w:t>
      </w:r>
      <w:r>
        <w:rPr>
          <w:rFonts w:hint="eastAsia" w:ascii="宋体" w:hAnsi="宋体" w:eastAsia="宋体" w:cs="宋体"/>
          <w:bCs/>
          <w:sz w:val="24"/>
          <w:highlight w:val="none"/>
        </w:rPr>
        <w:t xml:space="preserve">招标文件、投标文件、合同条款及中标通知书，供方在投标、评标过程中所作</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有关承诺、声明、书面澄清等均为合同不可分割的部分，与主合同具有同等法律效力。</w:t>
      </w:r>
      <w:r>
        <w:rPr>
          <w:rFonts w:hint="eastAsia" w:ascii="宋体" w:hAnsi="宋体" w:eastAsia="宋体" w:cs="宋体"/>
          <w:sz w:val="24"/>
          <w:highlight w:val="none"/>
        </w:rPr>
      </w:r>
      <w:r/>
    </w:p>
    <w:p>
      <w:pPr>
        <w:pStyle w:val="719"/>
        <w:numPr>
          <w:ilvl w:val="0"/>
          <w:numId w:val="4"/>
        </w:numPr>
        <w:jc w:val="left"/>
        <w:spacing w:line="360" w:lineRule="auto"/>
        <w:tabs>
          <w:tab w:val="left" w:pos="150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 交货条件：</w:t>
      </w:r>
      <w:r>
        <w:rPr>
          <w:rFonts w:hint="eastAsia" w:ascii="宋体" w:hAnsi="宋体" w:eastAsia="宋体" w:cs="宋体"/>
          <w:b/>
          <w:sz w:val="24"/>
          <w:highlight w:val="none"/>
        </w:rPr>
      </w:r>
      <w:r/>
    </w:p>
    <w:p>
      <w:pPr>
        <w:pStyle w:val="719"/>
        <w:ind w:firstLine="480"/>
        <w:jc w:val="left"/>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1．交货日期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或完工期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u w:val="single"/>
        </w:rPr>
        <w:t xml:space="preserve">30日历天内完成采购、安装、调试等。</w:t>
      </w:r>
      <w:r>
        <w:rPr>
          <w:rFonts w:hint="eastAsia" w:ascii="宋体" w:hAnsi="宋体" w:eastAsia="宋体" w:cs="宋体"/>
          <w:sz w:val="24"/>
          <w:highlight w:val="none"/>
        </w:rPr>
        <w:t xml:space="preserve">（具体开工日期以需方的书面供货通知为准）</w:t>
      </w:r>
      <w:r>
        <w:rPr>
          <w:rFonts w:hint="eastAsia" w:ascii="宋体" w:hAnsi="宋体" w:eastAsia="宋体" w:cs="宋体"/>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2．供方在验收时应先用信函、传真、电子邮件等书面方式通知需方。</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货物交货时，所有货物必须带有货物质量检验合格证书、中文质保单、装箱单、中文货物安装使用说明书。</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附件所有部件必须原包装。</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 运输及到货地点：由供方负责办理运输并承担所有费用，直接送到需方指定地点，即：以合同书上的地点为准。</w:t>
      </w:r>
      <w:r>
        <w:rPr>
          <w:rFonts w:hint="eastAsia" w:ascii="宋体" w:hAnsi="宋体" w:eastAsia="宋体" w:cs="宋体"/>
          <w:bCs/>
          <w:sz w:val="24"/>
          <w:highlight w:val="none"/>
        </w:rPr>
      </w:r>
      <w:r/>
    </w:p>
    <w:p>
      <w:pPr>
        <w:pStyle w:val="719"/>
        <w:numPr>
          <w:ilvl w:val="0"/>
          <w:numId w:val="4"/>
        </w:numPr>
        <w:jc w:val="left"/>
        <w:spacing w:line="360" w:lineRule="auto"/>
        <w:tabs>
          <w:tab w:val="left" w:pos="150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 售后质量保证：</w:t>
      </w:r>
      <w:r>
        <w:rPr>
          <w:rFonts w:hint="eastAsia" w:ascii="宋体" w:hAnsi="宋体" w:eastAsia="宋体" w:cs="宋体"/>
          <w:b/>
          <w:sz w:val="24"/>
          <w:highlight w:val="none"/>
        </w:rPr>
      </w:r>
      <w:r/>
    </w:p>
    <w:p>
      <w:pPr>
        <w:pStyle w:val="719"/>
        <w:numPr>
          <w:ilvl w:val="0"/>
          <w:numId w:val="5"/>
        </w:num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w:t>
      </w: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在本项目质保期</w:t>
      </w:r>
      <w:r>
        <w:rPr>
          <w:rFonts w:hint="eastAsia" w:ascii="宋体" w:hAnsi="宋体" w:eastAsia="宋体" w:cs="宋体"/>
          <w:bCs/>
          <w:sz w:val="24"/>
          <w:highlight w:val="none"/>
        </w:rPr>
        <w:t xml:space="preserve">内，一旦产品发生质量问题，供方保证在接到通知30分钟内响应，需现场维修的，接报后1小时内到达现场，并于2小时内维修完毕。如2小时内无法修复，需方有权选择要求供应商继续维修，并在产品维修期间提供备用产品或另行委托第三方进行维修，由此产生的所有费用由供方承担。未尽事宜按产品说明的保修承诺执行。如供方在接到通知后1小时内没有答复，则视为供方承认质量问题并承担由此发生的一切费用。质保期外，更换部件或维修的相关费用由需方承担，但不包括设备始终存在的技术缺陷，如果设备始终存在技术缺陷，无法正常使用，则不受质保期的限制。</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2、项目最终交付验收后，供方应对其技术方案、安装工艺或材料的缺陷而产生的所有故障及安全责任负责，由供方免费负责维修、更换并承担相关损失。因台风、地震</w:t>
      </w:r>
      <w:r>
        <w:rPr>
          <w:rFonts w:hint="eastAsia" w:ascii="宋体" w:hAnsi="宋体" w:cs="宋体"/>
          <w:bCs/>
          <w:sz w:val="24"/>
          <w:highlight w:val="none"/>
          <w:lang w:val="en-US" w:eastAsia="zh-CN"/>
        </w:rPr>
        <w:t xml:space="preserve">等</w:t>
      </w:r>
      <w:r>
        <w:rPr>
          <w:rFonts w:hint="eastAsia" w:ascii="宋体" w:hAnsi="宋体" w:eastAsia="宋体" w:cs="宋体"/>
          <w:bCs/>
          <w:sz w:val="24"/>
          <w:highlight w:val="none"/>
        </w:rPr>
        <w:t xml:space="preserve">不可抗力因素或发生偷盗、人为恶意破坏导致产品损坏或遗失，不属于售后服务范围，但供方需配合需方承担维修或更换工作，价格依产品实际单价按实结算。</w:t>
      </w:r>
      <w:r>
        <w:rPr>
          <w:rFonts w:hint="eastAsia" w:ascii="宋体" w:hAnsi="宋体" w:eastAsia="宋体" w:cs="宋体"/>
          <w:bCs/>
          <w:sz w:val="24"/>
          <w:highlight w:val="none"/>
        </w:rPr>
      </w:r>
      <w:r/>
    </w:p>
    <w:p>
      <w:pPr>
        <w:pStyle w:val="719"/>
        <w:ind w:firstLine="56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第五条   伴随服务保证</w:t>
      </w:r>
      <w:r>
        <w:rPr>
          <w:rFonts w:hint="eastAsia" w:ascii="宋体" w:hAnsi="宋体" w:eastAsia="宋体" w:cs="宋体"/>
          <w:b/>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1、供方应提交所提供货物的技术文件，应包括相应的每一材料的中文的技术文件，例如：产品目录、图纸、操作手册、使用说明、维护手册和服务指南。这些文件应包装好随同货物一起发运。</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供方承诺应提供下列服务：免费送货上门至现场配合检查；提供货物组装和维修所需的专用工具和辅助材料；在双方商定的一定期限内对所有的货物实施监督、维修，但前提条件是该服务并不能免除供方在质量保证期内所承担的义务；</w:t>
      </w:r>
      <w:r>
        <w:rPr>
          <w:rFonts w:hint="eastAsia" w:ascii="宋体" w:hAnsi="宋体" w:eastAsia="宋体" w:cs="宋体"/>
          <w:bCs/>
          <w:sz w:val="24"/>
          <w:highlight w:val="none"/>
        </w:rPr>
      </w:r>
      <w:r/>
    </w:p>
    <w:p>
      <w:pPr>
        <w:pStyle w:val="719"/>
        <w:ind w:firstLine="482"/>
        <w:spacing w:line="360" w:lineRule="auto"/>
        <w:tabs>
          <w:tab w:val="left" w:pos="105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第六条   调试和验收要求</w:t>
      </w:r>
      <w:r>
        <w:rPr>
          <w:rFonts w:hint="eastAsia" w:ascii="宋体" w:hAnsi="宋体" w:eastAsia="宋体" w:cs="宋体"/>
          <w:b/>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1、供方交货前应对产品作全面检查，对验收文件进行整理，并列出清单，作为需方收货、验收和使用的技术条件依据，检验的结果应随货物交给需方。</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2、项目完工后，供方需负责进行调试，并培训需方的使用操作人员，并协助需方一起调试，直到符合技术要求后，方可最终验收。</w:t>
      </w:r>
      <w:r>
        <w:rPr>
          <w:rFonts w:hint="eastAsia" w:ascii="宋体" w:hAnsi="宋体" w:eastAsia="宋体" w:cs="宋体"/>
          <w:bCs/>
          <w:sz w:val="24"/>
          <w:highlight w:val="none"/>
        </w:rPr>
      </w:r>
      <w:r/>
    </w:p>
    <w:p>
      <w:pPr>
        <w:pStyle w:val="719"/>
        <w:ind w:left="0" w:right="0" w:firstLine="480"/>
        <w:jc w:val="both"/>
        <w:keepLines w:val="0"/>
        <w:keepNext w:val="0"/>
        <w:spacing w:before="0" w:beforeAutospacing="0" w:after="0" w:afterAutospacing="0"/>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highlight w:val="none"/>
        </w:rPr>
        <w:t xml:space="preserve">3、验收完毕供方应出具验收结果报告，符合要求的给予签收，验收不合格的不予签收。</w:t>
      </w:r>
      <w:r>
        <w:rPr>
          <w:rFonts w:hint="eastAsia" w:ascii="宋体" w:hAnsi="宋体" w:eastAsia="宋体" w:cs="宋体"/>
          <w:bCs/>
          <w:sz w:val="24"/>
          <w:highlight w:val="none"/>
        </w:rPr>
      </w:r>
      <w:r/>
    </w:p>
    <w:p>
      <w:pPr>
        <w:pStyle w:val="719"/>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 w:bidi="ar"/>
        </w:rPr>
        <w:t xml:space="preserve">4</w:t>
      </w:r>
      <w:r>
        <w:rPr>
          <w:rFonts w:hint="eastAsia" w:ascii="宋体" w:hAnsi="宋体" w:eastAsia="宋体" w:cs="宋体"/>
          <w:sz w:val="24"/>
          <w:szCs w:val="24"/>
          <w:highlight w:val="none"/>
          <w:lang w:val="en-US" w:eastAsia="zh-CN" w:bidi="ar"/>
        </w:rPr>
        <w:t xml:space="preserve">、履约验收方案</w:t>
      </w:r>
      <w:r>
        <w:rPr>
          <w:rFonts w:hint="eastAsia" w:ascii="宋体" w:hAnsi="宋体" w:eastAsia="宋体" w:cs="Times New Roman"/>
          <w:sz w:val="24"/>
          <w:szCs w:val="24"/>
          <w:highlight w:val="none"/>
        </w:rPr>
      </w:r>
      <w:r/>
    </w:p>
    <w:p>
      <w:pPr>
        <w:pStyle w:val="71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履约验收主体：无锡国家高新技术产业开发区（无锡市新吴区）教育局。</w:t>
      </w:r>
      <w:r>
        <w:rPr>
          <w:rFonts w:hint="eastAsia" w:ascii="宋体" w:hAnsi="宋体" w:eastAsia="宋体" w:cs="Times New Roman"/>
          <w:sz w:val="24"/>
          <w:szCs w:val="24"/>
          <w:highlight w:val="none"/>
        </w:rPr>
      </w:r>
      <w:r/>
    </w:p>
    <w:p>
      <w:pPr>
        <w:pStyle w:val="719"/>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履约验收时间：合同签订生效后30个日历天内安装调试完毕。</w:t>
      </w:r>
      <w:r>
        <w:rPr>
          <w:rFonts w:hint="eastAsia" w:ascii="宋体" w:hAnsi="宋体" w:eastAsia="宋体" w:cs="Times New Roman"/>
          <w:sz w:val="24"/>
          <w:szCs w:val="24"/>
          <w:highlight w:val="none"/>
        </w:rPr>
      </w:r>
      <w:r/>
    </w:p>
    <w:p>
      <w:pPr>
        <w:pStyle w:val="71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履约验收方式：按照采购人要求将本项目中货物送到指定地点（包括可能的分布范围），并分布实施安装。</w:t>
      </w:r>
      <w:r>
        <w:rPr>
          <w:rFonts w:hint="eastAsia" w:ascii="宋体" w:hAnsi="宋体" w:eastAsia="宋体" w:cs="Times New Roman"/>
          <w:sz w:val="24"/>
          <w:szCs w:val="24"/>
          <w:highlight w:val="none"/>
        </w:rPr>
      </w:r>
      <w:r/>
    </w:p>
    <w:p>
      <w:pPr>
        <w:pStyle w:val="71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履约验收程序：货物安装调试结束后。</w:t>
      </w:r>
      <w:r>
        <w:rPr>
          <w:rFonts w:hint="eastAsia" w:ascii="宋体" w:hAnsi="宋体" w:eastAsia="宋体" w:cs="Times New Roman"/>
          <w:sz w:val="24"/>
          <w:szCs w:val="24"/>
          <w:highlight w:val="none"/>
        </w:rPr>
      </w:r>
      <w:r/>
    </w:p>
    <w:p>
      <w:pPr>
        <w:pStyle w:val="71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履约验收内容：满足</w:t>
      </w:r>
      <w:r>
        <w:rPr>
          <w:rFonts w:hint="eastAsia" w:ascii="宋体" w:hAnsi="宋体" w:cs="宋体"/>
          <w:sz w:val="24"/>
          <w:szCs w:val="24"/>
          <w:highlight w:val="none"/>
          <w:lang w:val="en-US" w:eastAsia="zh" w:bidi="ar"/>
        </w:rPr>
        <w:t xml:space="preserve">采购</w:t>
      </w:r>
      <w:r>
        <w:rPr>
          <w:rFonts w:hint="eastAsia" w:ascii="宋体" w:hAnsi="宋体" w:eastAsia="宋体" w:cs="宋体"/>
          <w:sz w:val="24"/>
          <w:szCs w:val="24"/>
          <w:highlight w:val="none"/>
          <w:lang w:val="en-US" w:eastAsia="zh-CN" w:bidi="ar"/>
        </w:rPr>
        <w:t xml:space="preserve">文件。</w:t>
      </w:r>
      <w:r>
        <w:rPr>
          <w:rFonts w:hint="eastAsia" w:ascii="宋体" w:hAnsi="宋体" w:eastAsia="宋体" w:cs="Times New Roman"/>
          <w:sz w:val="24"/>
          <w:szCs w:val="24"/>
          <w:highlight w:val="none"/>
        </w:rPr>
      </w:r>
      <w:r/>
    </w:p>
    <w:p>
      <w:pPr>
        <w:pStyle w:val="71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履约验收标准：满足</w:t>
      </w:r>
      <w:r>
        <w:rPr>
          <w:rFonts w:hint="eastAsia" w:ascii="宋体" w:hAnsi="宋体" w:cs="宋体"/>
          <w:sz w:val="24"/>
          <w:szCs w:val="24"/>
          <w:highlight w:val="none"/>
          <w:lang w:val="en-US" w:eastAsia="zh" w:bidi="ar"/>
        </w:rPr>
        <w:t xml:space="preserve">采购</w:t>
      </w:r>
      <w:r>
        <w:rPr>
          <w:rFonts w:hint="eastAsia" w:ascii="宋体" w:hAnsi="宋体" w:eastAsia="宋体" w:cs="宋体"/>
          <w:sz w:val="24"/>
          <w:szCs w:val="24"/>
          <w:highlight w:val="none"/>
          <w:lang w:val="en-US" w:eastAsia="zh-CN" w:bidi="ar"/>
        </w:rPr>
        <w:t xml:space="preserve">文件。</w:t>
      </w:r>
      <w:r>
        <w:rPr>
          <w:rFonts w:hint="eastAsia" w:ascii="宋体" w:hAnsi="宋体" w:eastAsia="宋体" w:cs="Times New Roman"/>
          <w:sz w:val="24"/>
          <w:szCs w:val="24"/>
          <w:highlight w:val="none"/>
        </w:rPr>
      </w:r>
      <w:r/>
    </w:p>
    <w:p>
      <w:pPr>
        <w:pStyle w:val="719"/>
        <w:ind w:firstLine="480"/>
        <w:jc w:val="left"/>
        <w:keepLines w:val="0"/>
        <w:keepNext w:val="0"/>
        <w:widowControl/>
        <w:rPr>
          <w:highlight w:val="none"/>
        </w:rPr>
        <w:suppressLineNumbers w:val="0"/>
      </w:pPr>
      <w:r>
        <w:rPr>
          <w:rFonts w:hint="eastAsia" w:ascii="宋体" w:hAnsi="宋体" w:eastAsia="宋体" w:cs="宋体"/>
          <w:sz w:val="24"/>
          <w:szCs w:val="24"/>
          <w:highlight w:val="none"/>
          <w:lang w:val="en-US" w:eastAsia="zh-CN" w:bidi="ar"/>
        </w:rPr>
        <w:t xml:space="preserve">履约验收其他事项：货物保修期满经项目使用单位确认保修质量和保修效果。</w:t>
      </w:r>
      <w:r>
        <w:rPr>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r>
      <w:r/>
    </w:p>
    <w:p>
      <w:pPr>
        <w:pStyle w:val="719"/>
        <w:ind w:firstLine="56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第七条   违约责任：</w:t>
      </w:r>
      <w:r>
        <w:rPr>
          <w:rFonts w:hint="eastAsia" w:ascii="宋体" w:hAnsi="宋体" w:eastAsia="宋体" w:cs="宋体"/>
          <w:b/>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如果在合同履行期内供方未能按时交付货物、技术资料，或未能及时派遣称职的技术服务人员，或者合同设备由于供方原因被损坏或不能达到技术协议中规定的性能保证值，需方有权向供方提出索赔并要求其承担修理、更换、退货、降价、支付违约金的责任及赔偿需方损失。需方损失包括但不限于供方需承担的违约责任和产生的诉讼费、律师费、鉴定费等费用。</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2、除本合同规定的不可抗力的原因外，如因供方原因未能按合同规定的时间交货（包括技术资料提供）、安装调试以及履行质保期内的维修义务等，每延迟1天，误期违约金按2000元/天，</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有权在应付款中直接予以扣除。逾期交货超过30天的，需方有权要求解除合同，由此给需方造成的损失由供方承担。</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4、如遭遇不可抗力事件，遭遇不可抗力的一方应在发生不可抗力事件的三天内以书面形式将不可抗力的情况和原因通知另一方，并积极采取措施防止损失扩大。</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5、招标文件及合同中所述之“不可抗力”系指不可预见、不可避免、不可克服的事件，包括但不限于：战争、洪水、台风、地震及其他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规定的事件。</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6、如果供方在本合同履行完毕之前破产或无清偿能力，需方可在任何时候以书面形式通知供方，提出解除合同。该终止合同将不损害或影响需方已经采取或将要采取的任何行动或补救措施的权力。</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未经需方书面同意，供方不得将本合同项下委托事项全部或部分转包分包给第三人，否则，需方有权立即解除本合同，并要求供方支付本合同金额30%的违约金，并赔偿由此给需方造成的损失和费用（包括但不限于诉讼费、仲裁费、律师费、鉴定费等）。上述违约金及赔偿金需方均有权直接从应付费用中扣除。</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8、由于供方提供的服务存在问题和缺陷导致任何人身、财产损害的，供方应负责承担由此产生的责任，与需方无关。如不可避免地造成需方损失的，需方有权向供方追偿</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该等损失包括但不限于损害赔偿金、需方为解决纠纷支付的律师费、诉讼费、差旅费等合理费用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。供方并应按照合同总价的20%向需方支付违约金，如给需方造成其他损失的，供方还应负责赔偿。</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9、如果供方在本合同履行完毕之前破产或无清偿能力，需方可在知道该情况三日内以书面形式通知供方，提出解除合同。该终止合同将不损害或影响需方已经采取或将要采取的任何行动或补救措施的权力。</w:t>
      </w:r>
      <w:r>
        <w:rPr>
          <w:rFonts w:hint="eastAsia" w:ascii="宋体" w:hAnsi="宋体" w:eastAsia="宋体" w:cs="宋体"/>
          <w:bCs/>
          <w:sz w:val="24"/>
          <w:highlight w:val="none"/>
        </w:rPr>
      </w:r>
      <w:r/>
    </w:p>
    <w:p>
      <w:pPr>
        <w:pStyle w:val="719"/>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10、供方所交的货物品种、型号、规格、技术参数、质量不符合合同规定和标准的，需方有权拒收该货物，供方愿意更换货物但逾期交货的，按供方逾期交货处理。供方拒绝更换货物的，需方可单方面解除合同。</w:t>
      </w:r>
      <w:r>
        <w:rPr>
          <w:rFonts w:hint="eastAsia" w:ascii="宋体" w:hAnsi="宋体" w:eastAsia="宋体" w:cs="宋体"/>
          <w:bCs/>
          <w:sz w:val="24"/>
          <w:highlight w:val="none"/>
        </w:rPr>
      </w:r>
      <w:r/>
    </w:p>
    <w:p>
      <w:pPr>
        <w:pStyle w:val="719"/>
        <w:ind w:firstLine="56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第八条  合同生效：</w:t>
      </w:r>
      <w:r>
        <w:rPr>
          <w:rFonts w:hint="eastAsia" w:ascii="宋体" w:hAnsi="宋体" w:eastAsia="宋体" w:cs="宋体"/>
          <w:b/>
          <w:sz w:val="24"/>
          <w:highlight w:val="none"/>
        </w:rPr>
      </w:r>
      <w:r/>
    </w:p>
    <w:p>
      <w:pPr>
        <w:pStyle w:val="719"/>
        <w:ind w:firstLine="480"/>
        <w:spacing w:line="360" w:lineRule="auto"/>
        <w:tabs>
          <w:tab w:val="left" w:pos="0"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1、合同经双方</w:t>
      </w:r>
      <w:r>
        <w:rPr>
          <w:rFonts w:hint="eastAsia" w:ascii="宋体" w:hAnsi="宋体" w:cs="宋体"/>
          <w:bCs/>
          <w:sz w:val="24"/>
          <w:highlight w:val="none"/>
          <w:lang w:eastAsia="zh"/>
        </w:rPr>
        <w:t xml:space="preserve">加盖单位公章</w:t>
      </w:r>
      <w:r>
        <w:rPr>
          <w:rFonts w:hint="eastAsia" w:ascii="宋体" w:hAnsi="宋体" w:eastAsia="宋体" w:cs="宋体"/>
          <w:bCs/>
          <w:sz w:val="24"/>
          <w:highlight w:val="none"/>
        </w:rPr>
        <w:t xml:space="preserve">后生效。</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双方协调解决。如协商不能解决，双方可向当地仲裁委员会申请仲裁，仲裁期间，除仲裁委员会要求停止履行合同或出现一方确实无法继续履行合同的情形外，本合同应继续履行。</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bCs/>
          <w:sz w:val="24"/>
          <w:highlight w:val="none"/>
        </w:rPr>
      </w:r>
      <w:r/>
    </w:p>
    <w:p>
      <w:pPr>
        <w:pStyle w:val="719"/>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4．供需双方确认：对本合同条款及后果均已知悉，一致确认不存在欺诈、胁迫、乘人之危、重大误解、显失公平等任何可能导致合同无效或被撤销的情形。</w:t>
      </w:r>
      <w:r>
        <w:rPr>
          <w:rFonts w:hint="eastAsia" w:ascii="宋体" w:hAnsi="宋体" w:eastAsia="宋体" w:cs="宋体"/>
          <w:bCs/>
          <w:sz w:val="24"/>
          <w:highlight w:val="none"/>
        </w:rPr>
      </w:r>
      <w:r/>
    </w:p>
    <w:p>
      <w:pPr>
        <w:pStyle w:val="719"/>
        <w:ind w:firstLine="482"/>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第九条   诚实信用</w:t>
      </w:r>
      <w:r>
        <w:rPr>
          <w:rFonts w:hint="eastAsia" w:ascii="宋体" w:hAnsi="宋体" w:eastAsia="宋体" w:cs="宋体"/>
          <w:b/>
          <w:sz w:val="24"/>
          <w:highlight w:val="none"/>
        </w:rPr>
      </w:r>
      <w:r/>
    </w:p>
    <w:p>
      <w:pPr>
        <w:pStyle w:val="719"/>
        <w:ind w:firstLine="480"/>
        <w:spacing w:line="360" w:lineRule="auto"/>
        <w:tabs>
          <w:tab w:val="left" w:pos="525" w:leader="none"/>
          <w:tab w:val="left" w:pos="94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供方应诚实信用，严格按照招标文件要求和承诺履行合同，不向需方进行商业贿赂或者提供不正当利益。</w:t>
      </w:r>
      <w:r>
        <w:rPr>
          <w:rFonts w:hint="eastAsia" w:ascii="宋体" w:hAnsi="宋体" w:eastAsia="宋体" w:cs="宋体"/>
          <w:sz w:val="24"/>
          <w:highlight w:val="none"/>
          <w:lang w:val="zh-CN"/>
        </w:rPr>
      </w:r>
      <w:r/>
    </w:p>
    <w:p>
      <w:pPr>
        <w:pStyle w:val="719"/>
        <w:ind w:firstLine="480"/>
        <w:spacing w:line="360" w:lineRule="auto"/>
        <w:tabs>
          <w:tab w:val="left" w:pos="525" w:leader="none"/>
          <w:tab w:val="left" w:pos="945" w:leader="none"/>
        </w:tabs>
        <w:rPr>
          <w:rFonts w:hint="eastAsia"/>
          <w:highlight w:val="none"/>
          <w:lang w:val="zh-CN"/>
        </w:rPr>
      </w:pPr>
      <w:r>
        <w:rPr>
          <w:rFonts w:hint="eastAsia" w:ascii="宋体" w:hAnsi="宋体" w:eastAsia="宋体" w:cs="宋体"/>
          <w:b/>
          <w:sz w:val="24"/>
          <w:highlight w:val="none"/>
        </w:rPr>
        <w:t xml:space="preserve">第</w:t>
      </w:r>
      <w:r>
        <w:rPr>
          <w:rFonts w:hint="eastAsia" w:ascii="宋体" w:hAnsi="宋体" w:cs="宋体"/>
          <w:b/>
          <w:sz w:val="24"/>
          <w:highlight w:val="none"/>
          <w:lang w:val="en-US" w:eastAsia="zh-CN"/>
        </w:rPr>
        <w:t xml:space="preserve">十</w:t>
      </w:r>
      <w:r>
        <w:rPr>
          <w:rFonts w:hint="eastAsia" w:ascii="宋体" w:hAnsi="宋体" w:eastAsia="宋体" w:cs="宋体"/>
          <w:b/>
          <w:sz w:val="24"/>
          <w:highlight w:val="none"/>
        </w:rPr>
        <w:t xml:space="preserve">条</w:t>
      </w:r>
      <w:r>
        <w:rPr>
          <w:rFonts w:hint="eastAsia" w:ascii="宋体" w:hAnsi="宋体" w:cs="宋体"/>
          <w:b/>
          <w:sz w:val="24"/>
          <w:highlight w:val="none"/>
          <w:lang w:val="en-US" w:eastAsia="zh-CN"/>
        </w:rPr>
        <w:t xml:space="preserve">   </w:t>
      </w:r>
      <w:r>
        <w:rPr>
          <w:rFonts w:hint="eastAsia" w:ascii="宋体" w:hAnsi="宋体" w:eastAsia="宋体" w:cs="宋体"/>
          <w:b/>
          <w:sz w:val="24"/>
          <w:highlight w:val="none"/>
          <w:lang w:val="zh-CN"/>
        </w:rPr>
        <w:t xml:space="preserve">履约保证金</w:t>
      </w:r>
      <w:r>
        <w:rPr>
          <w:rFonts w:hint="eastAsia"/>
          <w:highlight w:val="none"/>
          <w:lang w:val="zh-CN"/>
        </w:rPr>
      </w:r>
      <w:r/>
    </w:p>
    <w:p>
      <w:pPr>
        <w:pStyle w:val="719"/>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乙方交纳人民币</w:t>
      </w:r>
      <w:r>
        <w:rPr>
          <w:rFonts w:hint="eastAsia" w:ascii="宋体" w:hAnsi="宋体" w:cs="Courier New"/>
          <w:color w:val="000000"/>
          <w:sz w:val="24"/>
          <w:szCs w:val="24"/>
          <w:highlight w:val="none"/>
          <w:u w:val="single"/>
          <w:lang w:val="en-US" w:eastAsia="zh-CN"/>
        </w:rPr>
        <w:t xml:space="preserve">        </w:t>
      </w:r>
      <w:r>
        <w:rPr>
          <w:rFonts w:ascii="宋体" w:hAnsi="宋体" w:cs="Courier New"/>
          <w:color w:val="000000"/>
          <w:sz w:val="24"/>
          <w:szCs w:val="24"/>
          <w:highlight w:val="none"/>
        </w:rPr>
        <w:t xml:space="preserve">元作为本合同的履约保证金。</w:t>
      </w:r>
      <w:r>
        <w:rPr>
          <w:rFonts w:hint="eastAsia" w:ascii="宋体" w:hAnsi="宋体" w:cs="Courier New"/>
          <w:color w:val="000000"/>
          <w:sz w:val="24"/>
          <w:szCs w:val="24"/>
          <w:highlight w:val="none"/>
        </w:rPr>
        <w:t xml:space="preserve">（不得超过合同金额的10%）</w:t>
      </w:r>
      <w:r>
        <w:rPr>
          <w:rFonts w:hint="eastAsia" w:ascii="宋体" w:hAnsi="宋体" w:cs="Courier New"/>
          <w:color w:val="000000"/>
          <w:sz w:val="24"/>
          <w:szCs w:val="24"/>
          <w:highlight w:val="none"/>
        </w:rPr>
      </w:r>
      <w:r/>
    </w:p>
    <w:p>
      <w:pPr>
        <w:pStyle w:val="719"/>
        <w:ind w:firstLine="480"/>
        <w:spacing w:line="360" w:lineRule="auto"/>
        <w:tabs>
          <w:tab w:val="left" w:pos="525" w:leader="none"/>
          <w:tab w:val="left" w:pos="94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合同履行结束后，甲方应及时退还交纳的履约保证金。</w:t>
      </w:r>
      <w:r>
        <w:rPr>
          <w:rFonts w:hint="eastAsia" w:ascii="宋体" w:hAnsi="宋体" w:cs="宋体"/>
          <w:sz w:val="24"/>
          <w:szCs w:val="21"/>
          <w:highlight w:val="none"/>
          <w:lang w:val="zh-CN"/>
        </w:rPr>
      </w:r>
      <w:r/>
    </w:p>
    <w:p>
      <w:pPr>
        <w:pStyle w:val="719"/>
        <w:ind w:firstLine="480"/>
        <w:spacing w:line="360" w:lineRule="auto"/>
        <w:tabs>
          <w:tab w:val="left" w:pos="525" w:leader="none"/>
          <w:tab w:val="left" w:pos="945" w:leader="none"/>
        </w:tabs>
        <w:rPr>
          <w:rFonts w:hint="eastAsia" w:ascii="宋体" w:hAnsi="宋体" w:eastAsia="宋体" w:cs="宋体"/>
          <w:sz w:val="24"/>
          <w:szCs w:val="21"/>
          <w:highlight w:val="none"/>
          <w:lang w:val="zh-CN" w:eastAsia="zh-CN"/>
        </w:rPr>
      </w:pPr>
      <w:r>
        <w:rPr>
          <w:rFonts w:hint="eastAsia" w:ascii="宋体" w:hAnsi="宋体" w:cs="宋体"/>
          <w:sz w:val="24"/>
          <w:szCs w:val="21"/>
          <w:highlight w:val="none"/>
          <w:lang w:val="zh-CN"/>
        </w:rPr>
        <w:t xml:space="preserve">履约保证金退还方式：</w:t>
      </w:r>
      <w:r>
        <w:rPr>
          <w:rFonts w:hint="eastAsia" w:ascii="宋体" w:hAnsi="宋体" w:cs="宋体"/>
          <w:sz w:val="24"/>
          <w:szCs w:val="21"/>
          <w:highlight w:val="none"/>
          <w:lang w:val="zh-CN" w:eastAsia="zh-CN"/>
        </w:rPr>
        <w:t xml:space="preserve">履约保证金将在服务期满并验收合格后退回。</w:t>
      </w:r>
      <w:r>
        <w:rPr>
          <w:rFonts w:hint="eastAsia" w:ascii="宋体" w:hAnsi="宋体" w:eastAsia="宋体" w:cs="宋体"/>
          <w:sz w:val="24"/>
          <w:szCs w:val="21"/>
          <w:highlight w:val="none"/>
          <w:lang w:val="zh-CN" w:eastAsia="zh-CN"/>
        </w:rPr>
      </w:r>
      <w:r/>
    </w:p>
    <w:p>
      <w:pPr>
        <w:pStyle w:val="719"/>
        <w:ind w:firstLine="480"/>
        <w:spacing w:line="360" w:lineRule="auto"/>
        <w:tabs>
          <w:tab w:val="left" w:pos="525" w:leader="none"/>
          <w:tab w:val="left" w:pos="94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履约保证金退还时间：</w:t>
      </w:r>
      <w:r>
        <w:rPr>
          <w:rFonts w:hint="eastAsia" w:ascii="宋体" w:hAnsi="宋体" w:cs="宋体"/>
          <w:sz w:val="24"/>
          <w:szCs w:val="21"/>
          <w:highlight w:val="none"/>
          <w:lang w:val="zh-CN" w:eastAsia="zh-CN"/>
        </w:rPr>
        <w:t xml:space="preserve">履约保证金将在服务期满并验收合格后退回。</w:t>
      </w:r>
      <w:r>
        <w:rPr>
          <w:rFonts w:hint="eastAsia" w:ascii="宋体" w:hAnsi="宋体" w:cs="宋体"/>
          <w:sz w:val="24"/>
          <w:szCs w:val="21"/>
          <w:highlight w:val="none"/>
          <w:lang w:val="zh-CN"/>
        </w:rPr>
      </w:r>
      <w:r/>
    </w:p>
    <w:p>
      <w:pPr>
        <w:pStyle w:val="719"/>
        <w:ind w:firstLine="480"/>
        <w:spacing w:line="360" w:lineRule="auto"/>
        <w:tabs>
          <w:tab w:val="left" w:pos="525" w:leader="none"/>
          <w:tab w:val="left" w:pos="94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履约保证金退还条件：</w:t>
      </w:r>
      <w:r>
        <w:rPr>
          <w:rFonts w:hint="eastAsia" w:ascii="宋体" w:hAnsi="宋体" w:cs="宋体"/>
          <w:sz w:val="24"/>
          <w:szCs w:val="21"/>
          <w:highlight w:val="none"/>
          <w:lang w:val="zh-CN" w:eastAsia="zh-CN"/>
        </w:rPr>
        <w:t xml:space="preserve">履约保证金将在服务期满并验收合格后退回。</w:t>
      </w:r>
      <w:r>
        <w:rPr>
          <w:rFonts w:hint="eastAsia" w:ascii="宋体" w:hAnsi="宋体" w:cs="宋体"/>
          <w:sz w:val="24"/>
          <w:szCs w:val="21"/>
          <w:highlight w:val="none"/>
          <w:lang w:val="zh-CN"/>
        </w:rPr>
      </w:r>
      <w:r/>
    </w:p>
    <w:p>
      <w:pPr>
        <w:pStyle w:val="719"/>
        <w:ind w:firstLine="480"/>
        <w:spacing w:line="360" w:lineRule="auto"/>
        <w:tabs>
          <w:tab w:val="left" w:pos="525" w:leader="none"/>
          <w:tab w:val="left" w:pos="945" w:leader="none"/>
        </w:tabs>
        <w:rPr>
          <w:rFonts w:hint="eastAsia" w:ascii="宋体" w:hAnsi="宋体" w:cs="宋体"/>
          <w:sz w:val="24"/>
          <w:highlight w:val="none"/>
          <w:lang w:val="zh-CN"/>
        </w:rPr>
      </w:pPr>
      <w:r>
        <w:rPr>
          <w:rFonts w:hint="eastAsia" w:ascii="宋体" w:hAnsi="宋体" w:cs="宋体"/>
          <w:sz w:val="24"/>
          <w:szCs w:val="21"/>
          <w:highlight w:val="none"/>
          <w:lang w:val="zh-CN"/>
        </w:rPr>
        <w:t xml:space="preserve">履约保证金不予退还的情形：履约过程中中标供应商在服务期、质量标准、将中标项目转包或分包给他人的、拒绝履行合同义务等方面发生的不履约或违背合同规定的责任和义务的行为,都可能导致招标人扣缴其部分履约保证金乃至不退还全部履约保证金。</w:t>
      </w:r>
      <w:r>
        <w:rPr>
          <w:rFonts w:hint="eastAsia" w:ascii="宋体" w:hAnsi="宋体" w:cs="宋体"/>
          <w:sz w:val="24"/>
          <w:highlight w:val="none"/>
          <w:lang w:val="zh-CN"/>
        </w:rPr>
      </w:r>
      <w:r/>
    </w:p>
    <w:p>
      <w:pPr>
        <w:pStyle w:val="719"/>
        <w:ind w:left="508" w:right="0" w:firstLine="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 w:bidi="ar"/>
        </w:rPr>
        <w:t xml:space="preserve">需</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lang w:val="en-US" w:eastAsia="zh" w:bidi="ar"/>
        </w:rPr>
        <w:t xml:space="preserve">供</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rPr>
      </w:r>
      <w:r/>
    </w:p>
    <w:p>
      <w:pPr>
        <w:pStyle w:val="719"/>
        <w:ind w:left="0" w:right="0" w:firstLine="48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rPr>
      </w:r>
      <w:r/>
    </w:p>
    <w:p>
      <w:pPr>
        <w:pStyle w:val="7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联系电话：</w:t>
      </w:r>
      <w:r>
        <w:rPr>
          <w:highlight w:val="none"/>
        </w:rPr>
      </w:r>
      <w:r/>
    </w:p>
    <w:p>
      <w:pPr>
        <w:pStyle w:val="719"/>
        <w:ind w:firstLine="480"/>
        <w:spacing w:line="440" w:lineRule="exact"/>
        <w:rPr>
          <w:rFonts w:hint="eastAsia" w:ascii="宋体" w:hAnsi="宋体" w:eastAsia="宋体" w:cs="宋体"/>
          <w:highlight w:val="none"/>
        </w:rPr>
      </w:pPr>
      <w:r>
        <w:rPr>
          <w:rFonts w:hint="eastAsia" w:ascii="宋体" w:hAnsi="宋体" w:eastAsia="宋体" w:cs="宋体"/>
          <w:bCs/>
          <w:sz w:val="24"/>
          <w:highlight w:val="none"/>
        </w:rPr>
        <w:t xml:space="preserve">年    月    日                           年    月    日</w:t>
      </w:r>
      <w:r>
        <w:rPr>
          <w:rFonts w:hint="eastAsia" w:ascii="宋体" w:hAnsi="宋体" w:eastAsia="宋体" w:cs="宋体"/>
          <w:highlight w:val="none"/>
        </w:rPr>
      </w:r>
      <w:r/>
    </w:p>
    <w:p>
      <w:pPr>
        <w:pStyle w:val="719"/>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rPr>
        <w:br w:type="page" w:clear="all"/>
      </w:r>
      <w:bookmarkEnd w:id="185"/>
      <w:r/>
      <w:bookmarkEnd w:id="186"/>
      <w:r/>
      <w:bookmarkEnd w:id="187"/>
      <w:r/>
      <w:bookmarkStart w:id="189" w:name="_Hlt16619369"/>
      <w:r/>
      <w:bookmarkEnd w:id="189"/>
      <w:r/>
      <w:bookmarkStart w:id="190" w:name="_Hlt16619350"/>
      <w:r/>
      <w:bookmarkStart w:id="191" w:name="_Toc16938590"/>
      <w:r/>
      <w:bookmarkStart w:id="192" w:name="_Toc120614244"/>
      <w:r/>
      <w:bookmarkStart w:id="193" w:name="_Toc20823346"/>
      <w:r/>
      <w:bookmarkStart w:id="194" w:name="_Toc2602"/>
      <w:r/>
      <w:bookmarkStart w:id="195" w:name="_Toc462564139"/>
      <w:r/>
      <w:bookmarkStart w:id="196" w:name="_Toc479757211"/>
      <w:r>
        <w:rPr>
          <w:rFonts w:hint="eastAsia" w:ascii="宋体" w:hAnsi="宋体" w:eastAsia="宋体" w:cs="宋体"/>
          <w:bCs/>
          <w:sz w:val="36"/>
          <w:szCs w:val="36"/>
          <w:highlight w:val="none"/>
        </w:rPr>
        <w:t xml:space="preserve">第</w:t>
      </w:r>
      <w:bookmarkEnd w:id="190"/>
      <w:r>
        <w:rPr>
          <w:rFonts w:hint="eastAsia" w:ascii="宋体" w:hAnsi="宋体" w:eastAsia="宋体" w:cs="宋体"/>
          <w:bCs/>
          <w:sz w:val="36"/>
          <w:szCs w:val="36"/>
          <w:highlight w:val="none"/>
        </w:rPr>
        <w:t xml:space="preserve">四章 采购需求</w:t>
      </w:r>
      <w:bookmarkEnd w:id="191"/>
      <w:r/>
      <w:bookmarkEnd w:id="192"/>
      <w:r/>
      <w:bookmarkEnd w:id="193"/>
      <w:r/>
      <w:bookmarkEnd w:id="194"/>
      <w:r>
        <w:rPr>
          <w:rFonts w:hint="eastAsia" w:ascii="宋体" w:hAnsi="宋体" w:eastAsia="宋体" w:cs="宋体"/>
          <w:sz w:val="36"/>
          <w:szCs w:val="36"/>
          <w:highlight w:val="none"/>
        </w:rPr>
      </w:r>
      <w:r/>
    </w:p>
    <w:p>
      <w:pPr>
        <w:pStyle w:val="719"/>
        <w:ind w:firstLine="600"/>
        <w:jc w:val="left"/>
        <w:spacing w:line="360" w:lineRule="auto"/>
        <w:rPr>
          <w:rFonts w:hint="eastAsia" w:ascii="宋体" w:hAnsi="宋体" w:eastAsia="宋体" w:cs="宋体"/>
          <w:color w:val="000000"/>
          <w:sz w:val="30"/>
          <w:szCs w:val="30"/>
          <w:highlight w:val="none"/>
        </w:rPr>
      </w:pPr>
      <w:r/>
      <w:bookmarkStart w:id="197" w:name="_Toc26554093"/>
      <w:r/>
      <w:bookmarkStart w:id="198" w:name="_Toc49090575"/>
      <w:r>
        <w:rPr>
          <w:rFonts w:hint="eastAsia" w:ascii="宋体" w:hAnsi="宋体" w:eastAsia="宋体" w:cs="宋体"/>
          <w:sz w:val="30"/>
          <w:szCs w:val="30"/>
          <w:highlight w:val="none"/>
        </w:rPr>
        <w:t xml:space="preserve">本项目属性：货物类项目</w:t>
      </w:r>
      <w:r>
        <w:rPr>
          <w:rFonts w:hint="eastAsia" w:ascii="宋体" w:hAnsi="宋体" w:eastAsia="宋体" w:cs="宋体"/>
          <w:color w:val="000000"/>
          <w:sz w:val="30"/>
          <w:szCs w:val="30"/>
          <w:highlight w:val="none"/>
        </w:rPr>
      </w:r>
      <w:r/>
    </w:p>
    <w:p>
      <w:pPr>
        <w:pStyle w:val="719"/>
        <w:ind w:firstLine="48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rPr>
          <w:rFonts w:hint="eastAsia" w:ascii="宋体" w:hAnsi="宋体" w:eastAsia="宋体" w:cs="宋体"/>
          <w:color w:val="000000"/>
          <w:sz w:val="24"/>
          <w:szCs w:val="24"/>
          <w:highlight w:val="none"/>
        </w:rPr>
      </w:r>
      <w:r/>
    </w:p>
    <w:p>
      <w:pPr>
        <w:pStyle w:val="719"/>
        <w:ind w:firstLine="480"/>
        <w:keepLines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本项目标的物所属行业：详见项目技术要求 </w:t>
      </w:r>
      <w:r>
        <w:rPr>
          <w:rFonts w:hint="eastAsia" w:ascii="宋体" w:hAnsi="宋体" w:eastAsia="宋体" w:cs="宋体"/>
          <w:bCs/>
          <w:sz w:val="24"/>
          <w:szCs w:val="24"/>
          <w:highlight w:val="none"/>
        </w:rPr>
      </w:r>
      <w:r/>
    </w:p>
    <w:p>
      <w:pPr>
        <w:pStyle w:val="719"/>
        <w:ind w:firstLine="482"/>
        <w:keepLines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本项目中的</w:t>
      </w:r>
      <w:r>
        <w:rPr>
          <w:rFonts w:hint="eastAsia" w:ascii="宋体" w:hAnsi="宋体" w:cs="宋体"/>
          <w:b/>
          <w:bCs w:val="0"/>
          <w:sz w:val="24"/>
          <w:szCs w:val="24"/>
          <w:highlight w:val="none"/>
          <w:lang w:val="en-US" w:eastAsia="zh-CN"/>
        </w:rPr>
        <w:t xml:space="preserve">长龙式洗碗机</w:t>
      </w:r>
      <w:r>
        <w:rPr>
          <w:rFonts w:hint="eastAsia" w:ascii="宋体" w:hAnsi="宋体" w:eastAsia="宋体" w:cs="宋体"/>
          <w:b/>
          <w:bCs w:val="0"/>
          <w:sz w:val="24"/>
          <w:szCs w:val="24"/>
          <w:highlight w:val="none"/>
        </w:rPr>
        <w:t xml:space="preserve">为核心产品。</w:t>
      </w:r>
      <w:r>
        <w:rPr>
          <w:rFonts w:hint="eastAsia" w:ascii="宋体" w:hAnsi="宋体" w:eastAsia="宋体" w:cs="宋体"/>
          <w:b/>
          <w:bCs w:val="0"/>
          <w:sz w:val="24"/>
          <w:szCs w:val="24"/>
          <w:highlight w:val="none"/>
        </w:rPr>
      </w:r>
      <w:r/>
    </w:p>
    <w:p>
      <w:pPr>
        <w:pStyle w:val="719"/>
        <w:numPr>
          <w:ilvl w:val="0"/>
          <w:numId w:val="6"/>
        </w:num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项目技术要求</w:t>
      </w:r>
      <w:r>
        <w:rPr>
          <w:rFonts w:hint="eastAsia" w:ascii="宋体" w:hAnsi="宋体" w:eastAsia="宋体" w:cs="宋体"/>
          <w:b/>
          <w:color w:val="000000"/>
          <w:sz w:val="30"/>
          <w:szCs w:val="30"/>
          <w:highlight w:val="none"/>
        </w:rPr>
      </w:r>
      <w:r/>
    </w:p>
    <w:tbl>
      <w:tblPr>
        <w:tblW w:w="520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4"/>
        <w:gridCol w:w="1333"/>
        <w:gridCol w:w="1957"/>
        <w:gridCol w:w="3584"/>
        <w:gridCol w:w="603"/>
        <w:gridCol w:w="603"/>
        <w:gridCol w:w="863"/>
      </w:tblGrid>
      <w:tr>
        <w:trPr>
          <w:trHeight w:val="780"/>
        </w:trPr>
        <w:tc>
          <w:tcPr>
            <w:gridSpan w:val="7"/>
            <w:tcW w:w="954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天一中学新吴分校新建工程厨房设备采购清单</w:t>
            </w:r>
            <w:r>
              <w:rPr>
                <w:rFonts w:hint="eastAsia" w:ascii="宋体" w:hAnsi="宋体" w:eastAsia="宋体" w:cs="宋体"/>
                <w:b/>
                <w:bCs/>
                <w:i w:val="0"/>
                <w:iCs w:val="0"/>
                <w:color w:val="000000"/>
                <w:sz w:val="36"/>
                <w:szCs w:val="36"/>
                <w:highlight w:val="none"/>
                <w:u w:val="none"/>
              </w:rPr>
            </w:r>
            <w:r/>
          </w:p>
        </w:tc>
      </w:tr>
      <w:tr>
        <w:trPr>
          <w:trHeight w:val="510"/>
        </w:trPr>
        <w:tc>
          <w:tcPr>
            <w:tcW w:w="316"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编号</w:t>
            </w:r>
            <w:r>
              <w:rPr>
                <w:rFonts w:hint="eastAsia" w:ascii="宋体" w:hAnsi="宋体" w:eastAsia="宋体" w:cs="宋体"/>
                <w:b/>
                <w:bCs/>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尺寸(WxDxH)（±10%)</w:t>
            </w: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rPr>
                <w:rFonts w:hint="eastAsia" w:ascii="宋体" w:hAnsi="宋体" w:eastAsia="宋体" w:cs="宋体"/>
                <w:b/>
                <w:bCs/>
                <w:i w:val="0"/>
                <w:iCs w:val="0"/>
                <w:color w:val="000000"/>
                <w:sz w:val="20"/>
                <w:szCs w:val="20"/>
                <w:highlight w:val="none"/>
                <w:u w:val="none"/>
              </w:rPr>
            </w:r>
            <w:r/>
          </w:p>
        </w:tc>
        <w:tc>
          <w:tcPr>
            <w:tcW w:w="316"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316"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标的物所属行业</w:t>
            </w:r>
            <w:r>
              <w:rPr>
                <w:rFonts w:hint="eastAsia" w:ascii="宋体" w:hAnsi="宋体" w:eastAsia="宋体" w:cs="宋体"/>
                <w:b/>
                <w:bCs/>
                <w:i w:val="0"/>
                <w:iCs w:val="0"/>
                <w:color w:val="000000"/>
                <w:sz w:val="20"/>
                <w:szCs w:val="20"/>
                <w:highlight w:val="none"/>
                <w:u w:val="none"/>
              </w:rPr>
            </w:r>
            <w:r/>
          </w:p>
        </w:tc>
      </w:tr>
      <w:tr>
        <w:trPr>
          <w:trHeight w:val="420"/>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一楼厨房设备清单</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0"/>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验货区</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420*560*900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保洁间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1200*600*1700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更衣室</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1400*700*2000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二人位脚踏式星盆</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1300*480*1100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三人位脚踏式星盆</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1500*480*1100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蔬菜加工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备用编号</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59"/>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02"/>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荤菜加工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万能组合消毒柜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819"/>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39"/>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曲棍去水款双星盆水池(斗深400mm）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曲棍去水款双星盆水池(斗深400mm）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39"/>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器皿间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副食库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39"/>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主食库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蒸煮间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可倾燃气锅</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≥200L</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内胆304不锈钢制作，厚度≥3mm；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支架--80*40mm不锈钢方管，厚度≥2mm；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锅口内径800mm，容积≥200L；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炉头：采用节能炉头；带电子打火及熄火保护装置；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结构：可倾式，手轮倾倒；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加热方式：天然气；符合GB35848-2024要求，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59"/>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可倾燃气锅</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200L</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0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商用净水器组</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≥1.5T/H</w:t>
            </w:r>
            <w:r>
              <w:rPr>
                <w:rFonts w:hint="eastAsia" w:ascii="宋体" w:hAnsi="宋体" w:eastAsia="宋体" w:cs="宋体"/>
                <w:i w:val="0"/>
                <w:iCs w:val="0"/>
                <w:color w:val="000000"/>
                <w:sz w:val="20"/>
                <w:szCs w:val="20"/>
                <w:highlight w:val="none"/>
                <w:u w:val="none"/>
              </w:rPr>
            </w:r>
            <w:r/>
          </w:p>
        </w:tc>
        <w:tc>
          <w:tcPr>
            <w:tcW w:w="1877" w:type="dxa"/>
            <w:vAlign w:val="bottom"/>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1.产品基本参数：额定电压/频率：220V~/50Hz。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2.适用水源：市政自来水，适用水压：0.1MPa-0.4MPa，适应水温：5-38℃。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3.制水速度：1.8T/H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4.水处理工艺：市政自来水→超滤膜→净水，0.01微米精微净化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5.外壳材质：钣金喷涂。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6.智能技术：统一的数字化客户管理端，随时了解设备工况、净水量等信息，并可实现一键报修。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①可设置定时自动开、关机；自动冲洗，保证滤芯的使用寿命；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②故障报警或一键报修；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lang w:val="en-US" w:eastAsia="zh-CN" w:bidi="ar"/>
              </w:rPr>
              <w:t xml:space="preserve">强制认证：</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所投产品对应型号有涉水卫生批件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01"/>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电力24盘蒸饭车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主材：不锈钢</w:t>
            </w:r>
            <w:r>
              <w:rPr>
                <w:rFonts w:hint="eastAsia" w:ascii="宋体" w:hAnsi="宋体" w:cs="宋体"/>
                <w:i w:val="0"/>
                <w:iCs w:val="0"/>
                <w:color w:val="000000"/>
                <w:sz w:val="20"/>
                <w:szCs w:val="20"/>
                <w:highlight w:val="none"/>
                <w:u w:val="none"/>
                <w:lang w:val="en-US" w:eastAsia="zh-CN" w:bidi="ar"/>
              </w:rPr>
              <w:t xml:space="preserve">磨砂</w:t>
            </w:r>
            <w:r>
              <w:rPr>
                <w:rFonts w:hint="eastAsia" w:ascii="宋体" w:hAnsi="宋体" w:eastAsia="宋体" w:cs="宋体"/>
                <w:i w:val="0"/>
                <w:iCs w:val="0"/>
                <w:color w:val="000000"/>
                <w:sz w:val="20"/>
                <w:szCs w:val="20"/>
                <w:highlight w:val="none"/>
                <w:u w:val="none"/>
                <w:lang w:val="en-US" w:eastAsia="zh-CN" w:bidi="ar"/>
              </w:rPr>
              <w:t xml:space="preserve">板，厚度≥1.0mm；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保温：整体聚氨酯发泡；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功率：380v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手柄：刀斧式把手；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车轮：采Ф125万向活动轮；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密封条：嵌入式硅胶条；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9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烹饪间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燃气单头单尾小炒灶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面板采用304不锈钢板，厚度≥1.2，其余≥1.0，前围标、后背标采用精密铸造，大气稳固，强度高，操作舒适，炉头采用不锈钢炉头，内置火种，燃烧充分，效率高。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燃气双头大锅灶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配置250W风机。前围标、后背标采用精密铸造，大气稳固、独一无二，手柄采用特殊材料铸造，强度高，操作舒适，炉头采用不锈钢炉头，燃烧充分，效率高。配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57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厨房灭火系统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置具备自动、手动和应急启动三种操作模式,能提供动作信号配合消防控制室联动报警,本装置设计有自动探测部件，可24小时监控。灶台油锅发生火情时，可自动启动灭火装置灭火，同时关闭燃气阀并报警（燃气切断阀属于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根据厨房环境特点本装置均属机械传动,不需用电,原材料全部采用304不锈钢及铜材等，防止设备氧化锈蚀，灭火装置所有药剂管路采用304不锈钢厚壁管满足高压药剂迅速通过的要求,且螺纹连接的安装方式能避免高温高热环境下管路连接松动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装置设计结构合理、适用、美观。安装不占用厨房地面面积，只占用空间位置，装置与消防水(或者自来水)管路相连,系统启动后灭火剂开始喷洒,待灭火剂喷洒完再自动控制水阀对监控区域自动喷水降温,达到防止复燃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喷嘴数量和位置更具灵活性，喷嘴数量取决于灶台油锅和集烟罩排烟口数量来设计，系统装置包括:控制箱、管路、喷嘴、探测器、易熔连接片、金属拉索、滑轮三通.滑轮弯头等组成。其中控制箱由自动释放机构、驱动用高压氮气瓶、水流控制阀、液体药剂罐以及连接软管、单向阀、减压阀等构成;采用机械式自动启动无需任何电源(包含</w:t>
            </w:r>
            <w:r>
              <w:rPr>
                <w:rFonts w:hint="eastAsia" w:ascii="宋体" w:hAnsi="宋体" w:cs="宋体"/>
                <w:i w:val="0"/>
                <w:iCs w:val="0"/>
                <w:color w:val="000000"/>
                <w:sz w:val="20"/>
                <w:szCs w:val="20"/>
                <w:highlight w:val="none"/>
                <w:u w:val="none"/>
                <w:lang w:val="en-US" w:eastAsia="zh-CN" w:bidi="ar"/>
              </w:rPr>
              <w:t xml:space="preserve">电</w:t>
            </w:r>
            <w:r>
              <w:rPr>
                <w:rFonts w:hint="eastAsia" w:ascii="宋体" w:hAnsi="宋体" w:eastAsia="宋体" w:cs="宋体"/>
                <w:i w:val="0"/>
                <w:iCs w:val="0"/>
                <w:color w:val="000000"/>
                <w:sz w:val="20"/>
                <w:szCs w:val="20"/>
                <w:highlight w:val="none"/>
                <w:u w:val="none"/>
                <w:lang w:val="en-US" w:eastAsia="zh-CN" w:bidi="ar"/>
              </w:rPr>
              <w:t xml:space="preserve">池)即可工作,避免因电路故障造成装置无法运转和短路的可能性;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64"/>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jc w:val="both"/>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850*500*900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材质：材料：304材质，发纹处理，氩焊处打磨处理，主材厚度δ=1.0mm，主架用38*25*1.2mm不锈钢扁管；下配4只耐磨低噪音万向轮，其中2只带刹车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留样间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2、星盆：配不锈钢落水，厚度≥1.0mm；                              3、层板：304，≥1.0mm不锈钢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双门留样柜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1200*580*1950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预进间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采用不锈钢板制作，厚度，≥1.0mm；分上层下层，每层三扇门，每扇门上附锁。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02"/>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特色间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2400*1100*500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电磁单头矮汤炉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700*800*530+720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电热饺子炉加煮面炉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2080*400*600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八格售饭柜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2200*400*600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售饭间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9、生产厂家具有消毒产品生产许可证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台面：1.2mm304#2B不锈钢雪花拉丝板，水箱≥1.2mm不锈钢雪花拉丝板，侧板、围板、加强筋：1.2mm不锈钢雪花拉丝板，设备功率：220V/2KW，配四只万向脚轮，后两只带刹车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 厚度≥1.0mm；                                                                                 衬筋：不锈钢板厚度≥1.0mm；                                                            功率：3</w:t>
            </w:r>
            <w:r>
              <w:rPr>
                <w:rFonts w:hint="eastAsia" w:ascii="宋体" w:hAnsi="宋体" w:cs="宋体"/>
                <w:i w:val="0"/>
                <w:iCs w:val="0"/>
                <w:color w:val="000000"/>
                <w:sz w:val="20"/>
                <w:szCs w:val="20"/>
                <w:highlight w:val="none"/>
                <w:u w:val="none"/>
                <w:lang w:val="en-US" w:eastAsia="zh-CN" w:bidi="ar"/>
              </w:rPr>
              <w:t xml:space="preserve">kW</w:t>
            </w:r>
            <w:r>
              <w:rPr>
                <w:rFonts w:hint="eastAsia" w:ascii="宋体" w:hAnsi="宋体" w:eastAsia="宋体" w:cs="宋体"/>
                <w:i w:val="0"/>
                <w:iCs w:val="0"/>
                <w:color w:val="000000"/>
                <w:sz w:val="20"/>
                <w:szCs w:val="20"/>
                <w:highlight w:val="none"/>
                <w:u w:val="none"/>
                <w:lang w:val="en-US" w:eastAsia="zh-CN" w:bidi="ar"/>
              </w:rPr>
              <w:t xml:space="preserve">电加热：恒温控制；                              份数盘：1/1*1.0mm″连盖，配5只；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8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洗碗间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单孔收餐工作台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链片式输送带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530*8600*940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输送餐盘宽</w:t>
            </w:r>
            <w:r>
              <w:rPr>
                <w:rFonts w:hint="eastAsia" w:ascii="宋体" w:hAnsi="宋体" w:eastAsia="宋体" w:cs="宋体"/>
                <w:i w:val="0"/>
                <w:iCs w:val="0"/>
                <w:color w:val="000000"/>
                <w:sz w:val="20"/>
                <w:szCs w:val="20"/>
                <w:highlight w:val="none"/>
                <w:u w:val="none"/>
                <w:lang w:val="en-US" w:eastAsia="zh-CN" w:bidi="ar"/>
              </w:rPr>
              <w:t xml:space="preserve">度：≤350mm，传送速度：5～20m/min，功率不大于1KW，电源要求220V/50Hz/1PH；整机采用304不锈钢材质，台面和支撑腿材料厚度≥1.5mm，主/副机头支架材料厚度为2.0mm，传送带蓝色链板为食品级聚甲醛树脂材质，规格为304*38mm，链板轨道为高分子聚乙烯材质，厚度不低于10mm，经久耐用；抗扯力≥3000N，主机头处安装链板清洗装置，喷头喷出扇形水柱将输送带表面残渣冲洗干净，主机头箱内置抽屉式残渣篮，易于清洁；无极变频调速，实时数显传送速度，外置调速电位器；配置减速电机，具有变频</w:t>
            </w:r>
            <w:r>
              <w:rPr>
                <w:rFonts w:hint="eastAsia" w:ascii="宋体" w:hAnsi="宋体" w:cs="宋体"/>
                <w:i w:val="0"/>
                <w:iCs w:val="0"/>
                <w:color w:val="000000"/>
                <w:sz w:val="20"/>
                <w:szCs w:val="20"/>
                <w:highlight w:val="none"/>
                <w:u w:val="none"/>
                <w:lang w:val="en-US" w:eastAsia="zh-CN" w:bidi="ar"/>
              </w:rPr>
              <w:t xml:space="preserve">无级调速</w:t>
            </w:r>
            <w:r>
              <w:rPr>
                <w:rFonts w:hint="eastAsia" w:ascii="宋体" w:hAnsi="宋体" w:eastAsia="宋体" w:cs="宋体"/>
                <w:i w:val="0"/>
                <w:iCs w:val="0"/>
                <w:color w:val="000000"/>
                <w:sz w:val="20"/>
                <w:szCs w:val="20"/>
                <w:highlight w:val="none"/>
                <w:u w:val="none"/>
                <w:lang w:val="en-US" w:eastAsia="zh-CN" w:bidi="ar"/>
              </w:rPr>
              <w:t xml:space="preserve">，柔性启动功能；配置紧急停止安全开关、漏电断路安全保护开关和变频器；防水的操作面板上配置启动开、停止开关、调速电位器；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中间滤网式抽气罩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罩体：不锈钢板,板厚≥1.2mm；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两侧板：不锈钢板,板厚≥1.2mm；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9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4000*840*2025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1、基础配置：整机功率≤68.95kW（380V/50Hz），清洗数量1500-2000碟/小时；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2、功能配置：（50-60℃）主洗模块+（80-90℃）双漂洗模块+（90-110℃）烘干模块；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3、整机特点：整机采用304#不锈钢和紧固件，360°旋转全钢重力脚，一体式全开门双层结构，整机全底板封合；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4、节能特点：机器入口内置红外光电感应开关，自动扫描餐具，有效节约水电能效；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5、排水特点：可拆式一体化管路设计，配备电动排水阀，一键自动排水；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6、调速特点：机器配置</w:t>
            </w:r>
            <w:r>
              <w:rPr>
                <w:rFonts w:hint="eastAsia" w:ascii="宋体" w:hAnsi="宋体" w:cs="宋体"/>
                <w:i w:val="0"/>
                <w:iCs w:val="0"/>
                <w:color w:val="000000"/>
                <w:sz w:val="20"/>
                <w:szCs w:val="20"/>
                <w:highlight w:val="none"/>
                <w:u w:val="none"/>
                <w:lang w:val="en-US" w:eastAsia="zh-CN" w:bidi="ar"/>
              </w:rPr>
              <w:t xml:space="preserve">无级</w:t>
            </w:r>
            <w:r>
              <w:rPr>
                <w:rFonts w:hint="eastAsia" w:ascii="宋体" w:hAnsi="宋体" w:eastAsia="宋体" w:cs="宋体"/>
                <w:i w:val="0"/>
                <w:iCs w:val="0"/>
                <w:color w:val="000000"/>
                <w:sz w:val="20"/>
                <w:szCs w:val="20"/>
                <w:highlight w:val="none"/>
                <w:u w:val="none"/>
                <w:lang w:val="en-US" w:eastAsia="zh-CN" w:bidi="ar"/>
              </w:rPr>
              <w:t xml:space="preserve">变频调速器，可适时调节履带运行速度，0-3米/分钟随意调节；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7、电控特点：ECU计算机微程序智能控制系统，三点式轻触操作，故障代码自动显示；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8、洗涤特点：一体式冲压上5下4六孔喷臂管，双泵双漂洗，全模具注塑接头组件；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9、烘干特点：高性能多翼式离心风机，强转速风力，分流聚拢风刀循环热风系统；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10、安全特点：整机采用多重安全保护，包括开门停机保护、出口限位保护、电机过载保护、整机急停保护等；</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鼓泡预洗机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机械控制面板，操作简便。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餐具投入鼓泡池后，高压鼓泡软化餐具污渍。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整机双层结构，牢固可靠。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独特的鼓泡功能可将餐具上的残渣洗掉。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浸泡洗涤量大，适用于多种餐具。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机器前端设有残渣收集篮，处理残渣方便快捷。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选配加热器可提升水温，让冬季清洗更温暖，餐具上污渍更易软化。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整机采用电加热方式，可根据客户需求定制不同尺寸，完善契合现场使用</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1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90度转角</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530*530*940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外壳选用国标304不锈钢板，厚度≥1.5mm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2、功率：200W/380V 三相四线制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3、核心配件选用产品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投放柜（斜面）</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L×300×850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抽型面板,压凹成型圆环弧面，便于液体流入。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超大投料口200mm，方便投料。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可回收不锈钢和密胺类餐具。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可回收易拉罐、水瓶、纸巾等物品。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可回收食物残渣。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可以集中回收筷子，勺子，刀叉等小件餐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可应用于链片式或皮筋式等各种输送带。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可拓展使用，如用于投放餐后废弃纸巾或者饮料盒等废弃物。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内置回收桶尺寸  ：400*260*475mm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1300*630*1940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不准采用整体发泡，必须采用隔热材料；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辅材：不锈钢板厚度≥1.0mm，整体聚氨酯发泡；内胆：不锈钢板厚度0.8mm；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胶条：嵌入式硅胶条；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控温范围：50-150度；消毒湿度：130度采用自动控温、操作方便；热风循环、热量均匀、无死角、高温消毒杀菌；符合卫生防疫要求；</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  H62黄铜铸造主体，表面抛光镀铬处理                            2  座台式安装，开孔尺寸25mm                                            3  红外感应距离25cm，感应距离可调                                    4  AC/DC控制模块，电源可选交流电或1.5V*4直流电源 5  三通接口设计，可接冷、热水源，接口4分外螺纹。  6  出水口距台面100mm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感应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全铜材质，陶瓷阀芯，标配六寸（152mm）鹅颈水嘴（可选配八寸（203mm）鹅颈水嘴）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脚踏式水龙头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全铜材质，脚踏式控制开关，配套六寸（152mm）鹅颈水嘴</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二楼厨房设备清单</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验货区</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                                              1、内置可充电蓄电池，充电时可以开机使用，数字显示屏。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开机自动置零。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零点自动跟踪。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具有计重、计数、百分比切换功能；计重时具有重量分选功能。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工作温度范围：0℃ ~ +40℃。 6. 相对工作湿度: ≤ 85% RH。</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AB保洁间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1200*600*1700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更衣室</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AC01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1400*700*2000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顶板、层板、底板、侧板及面板采用≥1.0mm厚不锈钢板制作；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并用1.0mm厚不锈钢板折成加强筋加固；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配置不锈钢可调子弹脚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AC02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二人位脚踏式星盆</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1300*480*1100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AC03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三人位脚踏式星盆</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1500*480*1100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蔬菜加工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荤菜加工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万能组合消毒柜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消毒刀数量：20把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消毒毛巾数量：24块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消毒砧板数量：10块（直径50cm厚度10cm）砧板架，刀具架整体采用板材，结实稳固，循环风口消毒，利于柜体内部循环等多方位杀菌，安全放心</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曲棍去水款双星盆水池(斗深400mm）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器皿间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AF01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副食库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AG01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主食库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AH01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AH02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蒸煮间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可倾燃气锅</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≥200L</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内胆304不锈钢制作，厚度≥3mm；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支架--80*40mm不锈钢方管，厚度≥2mm；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锅口内径800mm，容积≥200L；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炉头：采用节能炉头；带电子打火及熄火保护装置；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结构：可倾式，手轮倾倒；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加热方式：天然气；符合GB35848-2024要求，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0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商用净水器组</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≥1.5T/H</w:t>
            </w:r>
            <w:r>
              <w:rPr>
                <w:rFonts w:hint="eastAsia" w:ascii="宋体" w:hAnsi="宋体" w:eastAsia="宋体" w:cs="宋体"/>
                <w:i w:val="0"/>
                <w:iCs w:val="0"/>
                <w:color w:val="000000"/>
                <w:sz w:val="20"/>
                <w:szCs w:val="20"/>
                <w:highlight w:val="none"/>
                <w:u w:val="none"/>
              </w:rPr>
            </w:r>
            <w:r/>
          </w:p>
        </w:tc>
        <w:tc>
          <w:tcPr>
            <w:tcW w:w="1877" w:type="dxa"/>
            <w:vAlign w:val="bottom"/>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1.产品基本参数：额定电压/频率：220V~/50Hz。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2.适用水源：市政自来水，适用水压：0.1MPa-0.4MPa，适应水温：5-38℃。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3.制水速度：1.8T/H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4.水处理工艺：市政自来水→超滤膜→净水，0.01微米精微净化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5.外壳材质：钣金喷涂。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6.智能技术：统一的数字化客户管理端，随时了解设备工况、净水量等信息，并可实现一键报修。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①可设置定时自动开、关机；自动冲洗，保证滤芯的使用寿命；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②故障报警或一键报修；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7.强制认证：</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所投产品对应型号有涉水卫生批件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电力24盘蒸饭车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主材：不锈钢</w:t>
            </w:r>
            <w:r>
              <w:rPr>
                <w:rFonts w:hint="eastAsia" w:ascii="宋体" w:hAnsi="宋体" w:cs="宋体"/>
                <w:i w:val="0"/>
                <w:iCs w:val="0"/>
                <w:color w:val="000000"/>
                <w:sz w:val="20"/>
                <w:szCs w:val="20"/>
                <w:highlight w:val="none"/>
                <w:u w:val="none"/>
                <w:lang w:val="en-US" w:eastAsia="zh-CN" w:bidi="ar"/>
              </w:rPr>
              <w:t xml:space="preserve">磨砂</w:t>
            </w:r>
            <w:r>
              <w:rPr>
                <w:rFonts w:hint="eastAsia" w:ascii="宋体" w:hAnsi="宋体" w:eastAsia="宋体" w:cs="宋体"/>
                <w:i w:val="0"/>
                <w:iCs w:val="0"/>
                <w:color w:val="000000"/>
                <w:sz w:val="20"/>
                <w:szCs w:val="20"/>
                <w:highlight w:val="none"/>
                <w:u w:val="none"/>
                <w:lang w:val="en-US" w:eastAsia="zh-CN" w:bidi="ar"/>
              </w:rPr>
              <w:t xml:space="preserve">板，厚度≥1.0mm；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保温：整体聚氨酯发泡；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功率：380v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手柄：刀斧式把手；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车轮：采Ф125万向活动轮；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密封条：嵌入式硅胶条；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42"/>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烹饪间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燃气双头大锅灶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配置250W风机。前围标、后背标采用精密铸造，大气稳固、独一无二，手柄采用特殊材料铸造，强度高，操作舒适，炉头采用不锈钢炉头，燃烧充分，效率高。配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39"/>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燃气单头单尾小炒灶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面板采用304不锈钢板，厚度≥1.2，其余≥1.0，前围标、后背标采用精密铸造，大气稳固，强度高，操作舒适，炉头采用不锈钢炉头，内置火种，燃烧充分，效率高。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57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厨房灭火系统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置具备自动、手动和应急启动三种操作模式,能提供动作信号配合消防控制室联动报警,本装置设计有自动探测部件，可24小时监控。灶台油锅发生火情时，可自动启动灭火装置灭火，同时关闭燃气阀并报警（燃气切断阀属于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根据厨房环境特点本装置均属机械传动,不需用电,原材料全部采用304不锈钢及铜材等，防止设备氧化锈蚀，灭火装置所有药剂管路采用304不锈钢厚壁管满足高压药剂迅速通过的要求,且螺纹连接的安装方式能避免高温高热环境下管路连接松动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装置设计结构合理、适用、美观。安装不占用厨房地面面积，只占用空间位置，装置与消防水(或者自来水)管路相连,系统启动后灭火剂开始喷洒,待灭火剂喷洒完再自动控制水阀对监控区域自动喷水降温,达到防止复燃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喷嘴数量和位置更具灵活性，喷嘴数量取决于灶台油锅和集烟罩排烟口数量来设计，系统装置包括:控制箱、管路、喷嘴、探测器、易熔连接片、金属拉索、滑轮三通.滑轮弯头等组成。其中控制箱由自动释放机构、驱动用高压氮气瓶、水流控制阀、液体药剂罐以及连接软管、单向阀、减压阀等构成;采用机械式自动启动无需任何电源(包含</w:t>
            </w:r>
            <w:r>
              <w:rPr>
                <w:rFonts w:hint="eastAsia" w:ascii="宋体" w:hAnsi="宋体" w:cs="宋体"/>
                <w:i w:val="0"/>
                <w:iCs w:val="0"/>
                <w:color w:val="000000"/>
                <w:sz w:val="20"/>
                <w:szCs w:val="20"/>
                <w:highlight w:val="none"/>
                <w:u w:val="none"/>
                <w:lang w:val="en-US" w:eastAsia="zh-CN" w:bidi="ar"/>
              </w:rPr>
              <w:t xml:space="preserve">电</w:t>
            </w:r>
            <w:r>
              <w:rPr>
                <w:rFonts w:hint="eastAsia" w:ascii="宋体" w:hAnsi="宋体" w:eastAsia="宋体" w:cs="宋体"/>
                <w:i w:val="0"/>
                <w:iCs w:val="0"/>
                <w:color w:val="000000"/>
                <w:sz w:val="20"/>
                <w:szCs w:val="20"/>
                <w:highlight w:val="none"/>
                <w:u w:val="none"/>
                <w:lang w:val="en-US" w:eastAsia="zh-CN" w:bidi="ar"/>
              </w:rPr>
              <w:t xml:space="preserve">池)即可工作,避免因电路故障造成装置无法运转和短路的可能性;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850*500*900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材质：材料：304材质，发纹处理，氩焊处打磨处理，主材厚度δ=1.0mm，主架用38*25*1.2mm不锈钢扁管；下配4只耐磨低噪音万向轮，其中2只带刹车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特色间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2400*1100*500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主材：采用304，≥1.2不锈钢板材制作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罩体：304NO.4不锈钢板,板厚≥1.2mm；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四周：弧形玻璃：8mm钢化；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滤油板:304/2B不锈钢板,板厚1.0mm;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配防水型防爆灯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59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电磁单头矮汤炉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650*750*(500+700）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全不锈钢结构设计，面板为一次性折弯无焊接，更加坚固耐用，面板厚≥1.20mm,侧板厚≥1.0mm。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汤桶：材质304复合底,尺寸Φ500mm，厚度3mm,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加热技术和效果：采用电磁感应加热技术，加热面具有仿明火效果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显示屏带有中文故障显示、显示用电量、实时功率、实时电压、实时显示机芯温度，线盘温度。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配置8档磁控开关，每个档位具有相对应的功率输出情况、直观掌握火力调节。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工业级DSP数字处理器11年:运算速度快,逐周期实时监控及30项保护响应快，准。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中控技术:支持多台机芯同级并联,相邻线圈靠近无干扰,无低频噪音，解决各种设备线圈绕制干扰问题。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自动扫描负载:可静态或动态自动扫描线圈负载状态，避免线圈感量不匹配,提高负载适应性,降低现场调试难度。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谐振电容监控:独家电容状态监控软件，实时监控谐振电容工作状态,极端情况下不损坏。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可扫描出锅具的材料特性及距离远近，并将其以百分比数的形式显示出来。如检测到锅具材料不符或距离太远可以关闭输出，良好保护设备。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可连续极低功率工作，超宽功率调节范围 (5%~100%额定功率)，满足各种应用场合。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电热饺子炉加煮面炉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采用304不锈钢板材制作；台面采用≥1.5mm不锈钢板；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水箱采用≥1.0mm不锈钢板；外围板采用≥1.0mm磨砂贴塑面不锈钢拉丝板，机身外方内圆，高密度聚氨酯满填发泡保温，带高度200mm背板； 额定电压380V，带数字可调节温控开关，排水阀等，带1个180°可旋转水龙头。电热型平底，底部与桶身接缝处平滑一体，配分离式不锈钢桶2只，可取出，桶内径500mm，深度500mm。</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2080*400*600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4、柜门：304304，≥0.8mm，内衬304，≥0.6mm不锈钢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八格售饭柜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lang w:val="en-US" w:eastAsia="zh-CN" w:bidi="ar"/>
              </w:rPr>
              <w:t xml:space="preserve">： 厚度≥1.0mm；                                                                                 衬筋：不锈钢板厚度≥1.0mm；                                                            恒温控制；                              份数盘：1/2*1.0mm″连盖，配8只；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2200*400*600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采用304不锈钢，内箱圆弧设计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外嵌式蒸发器，外挂防尘网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28cm小机组设计， 3D立体回风系统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顶部斜45°出风设计，360° 风冷无霜循环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冷冻门框加装发热丝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控温类型：电子数字温控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制冷剂：冷藏：R134a,冷冻：R404a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压缩机：制冷稳定、效率高、噪音低、故障率低、使用寿命长；智能物联网系统。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留样间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2、星盆：配不锈钢落水，厚度≥1.0mm；                              3、层板：304，≥1.0mm不锈钢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厨房智能留样冰箱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工作形式：风冷内外胆为304NO.4不锈钢板 厚度≥1.0mm；人脸识别开门，识别餐品、重量等信息，智能物联网系统。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预进间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AM01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采用不锈钢板制作，厚度≥1.0mm；分上层下层，每层三扇门，每扇门上附锁。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AM02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AM03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售饭间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台面：1.2mm304#2B不锈钢雪花拉丝板，水箱≥1.2mm不锈钢雪花拉丝板，侧板、围板、加强筋：1.2mm不锈钢雪花拉丝板，设备功率：220V/2KW，配四只万向脚轮，后两只带刹车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lang w:val="en-US" w:eastAsia="zh-CN" w:bidi="ar"/>
              </w:rPr>
              <w:t xml:space="preserve">： 厚度≥1.0mm；                                                                                 衬筋：不锈钢板厚度≥1.0mm；                                                            恒温控制；                              份数盘：1/1*1.0mm″连盖，配5只；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洗碗间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中间滤网式抽气罩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罩体：不锈钢板,板厚≥1.2mm；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两侧板：不锈钢板,板厚≥1.2mm；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31"/>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传送式洗碗机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3400*850*1640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1、基础配置：整机功率≤68.95kW（380V/50Hz），清洗数量1500-2000碟/小时；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2、功能配置：（50-60℃）主洗模块+（80-90℃）双漂洗模块+（90-110℃）烘干模块；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3、整机特点：整机采用304#不锈钢和紧固件，360°旋转全钢重力脚，一体式全开门双层结构，整机全底板封合；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4、节能特点：机器入口内置红外光电感应开关，自动扫描餐具，有效节约水电能效；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5、排水特点：可拆式一体化管路设计，配备电动排水阀，一键自动排水；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6、调速特点：机器配置</w:t>
            </w:r>
            <w:r>
              <w:rPr>
                <w:rFonts w:hint="eastAsia" w:ascii="宋体" w:hAnsi="宋体" w:cs="宋体"/>
                <w:i w:val="0"/>
                <w:iCs w:val="0"/>
                <w:color w:val="000000"/>
                <w:sz w:val="20"/>
                <w:szCs w:val="20"/>
                <w:highlight w:val="none"/>
                <w:u w:val="none"/>
                <w:lang w:val="en-US" w:eastAsia="zh-CN" w:bidi="ar"/>
              </w:rPr>
              <w:t xml:space="preserve">无级</w:t>
            </w:r>
            <w:r>
              <w:rPr>
                <w:rFonts w:hint="eastAsia" w:ascii="宋体" w:hAnsi="宋体" w:eastAsia="宋体" w:cs="宋体"/>
                <w:i w:val="0"/>
                <w:iCs w:val="0"/>
                <w:color w:val="000000"/>
                <w:sz w:val="20"/>
                <w:szCs w:val="20"/>
                <w:highlight w:val="none"/>
                <w:u w:val="none"/>
                <w:lang w:val="en-US" w:eastAsia="zh-CN" w:bidi="ar"/>
              </w:rPr>
              <w:t xml:space="preserve">变频调速器，可适时调节履带运行速度，0-3米/分钟随意调节；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7、电控特点：ECU计算机微程序智能控制系统，三点式轻触操作，故障代码自动显示；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8、洗涤特点：一体式冲压上5下4六孔喷臂管，双泵双漂洗，全模具注塑接头组件；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9、烘干特点：高性能多翼式离心风机，强转速风力，分流聚拢风刀循环热风系统；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10、安全特点：整机采用多重安全保护，包括开门停机保护、出口限位保护、电机过载保护、整机急停保护等；</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鼓泡预洗机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机械控制面板，操作简便。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餐具投入鼓泡池后，高压鼓泡软化餐具污渍。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整机双层结构，牢固可靠。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独特的鼓泡功能可将餐具上的残渣洗掉。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浸泡洗涤量大，适用于多种餐具。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机器前端设有残渣收集篮，处理残渣方便快捷。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选配加热器可提升水温，让冬季清洗更温暖，餐具上污渍更易软化。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整机采用电加热方式，可根据客户需求定制不同尺寸，完善契合现场使用</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单孔收餐工作台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链片式输送带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530*7500*940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输送餐盘宽</w:t>
            </w:r>
            <w:r>
              <w:rPr>
                <w:rFonts w:hint="eastAsia" w:ascii="宋体" w:hAnsi="宋体" w:eastAsia="宋体" w:cs="宋体"/>
                <w:i w:val="0"/>
                <w:iCs w:val="0"/>
                <w:color w:val="000000"/>
                <w:sz w:val="20"/>
                <w:szCs w:val="20"/>
                <w:highlight w:val="none"/>
                <w:u w:val="none"/>
                <w:lang w:val="en-US" w:eastAsia="zh-CN" w:bidi="ar"/>
              </w:rPr>
              <w:t xml:space="preserve">度：≤350mm，传送速度：5～20m/min，功率不大于1KW，电源要求220V/50Hz/1PH；整机采用304不锈钢材质，台面和支撑腿材料厚度≥1.5mm，主/副机头支架材料厚度为2.0mm，传送带蓝色链板为食品级聚甲醛树脂材质，规格为304*38mm，链板轨道为高分子聚乙烯材质，厚度不低于10mm，经久耐用；抗扯力≥3000N，主机头处安装链板清洗装置，喷头喷出扇形水柱将输送带表面残渣冲洗干净，主机头箱内置抽屉式残渣篮，易于清洁；无极变频调速，实时数显传送速度，外置调速电位器；配置减速电机，具有变频</w:t>
            </w:r>
            <w:r>
              <w:rPr>
                <w:rFonts w:hint="eastAsia" w:ascii="宋体" w:hAnsi="宋体" w:cs="宋体"/>
                <w:i w:val="0"/>
                <w:iCs w:val="0"/>
                <w:color w:val="000000"/>
                <w:sz w:val="20"/>
                <w:szCs w:val="20"/>
                <w:highlight w:val="none"/>
                <w:u w:val="none"/>
                <w:lang w:val="en-US" w:eastAsia="zh-CN" w:bidi="ar"/>
              </w:rPr>
              <w:t xml:space="preserve">无级调速</w:t>
            </w:r>
            <w:r>
              <w:rPr>
                <w:rFonts w:hint="eastAsia" w:ascii="宋体" w:hAnsi="宋体" w:eastAsia="宋体" w:cs="宋体"/>
                <w:i w:val="0"/>
                <w:iCs w:val="0"/>
                <w:color w:val="000000"/>
                <w:sz w:val="20"/>
                <w:szCs w:val="20"/>
                <w:highlight w:val="none"/>
                <w:u w:val="none"/>
                <w:lang w:val="en-US" w:eastAsia="zh-CN" w:bidi="ar"/>
              </w:rPr>
              <w:t xml:space="preserve">，柔性启动功能；配置紧急停止安全开关、漏电断路安全保护开关和变频器；防水的操作面板上配置启动开、停止开关、调速电位器；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90度转角</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530*530*940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1、外壳选用国标304不锈钢板，厚度≥1.5mm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2、功率：200W/380V 三相四线制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3、核心配件选用产品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投放柜（斜面）</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L×300×850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抽型面板,压凹成型圆环弧面，便于液体流入。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超大投料口200mm，方便投料。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可回收不锈钢和密胺类餐具。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可回收易拉罐、水瓶、纸巾等物品。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可回收食物残渣。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可以集中回收筷子，勺子，刀叉等小件餐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可应用于链片式或皮筋式等各种输送带。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可拓展使用，如用于投放餐后废弃纸巾或者饮料盒等废弃物。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内置回收桶尺寸  ：400*260*475mm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1300*630*1940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不准采用整体发泡，必须采用隔热材料；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辅材：不锈钢板厚度≥1.0mm，整体聚氨酯发泡；内胆：不锈钢板厚度0.8mm；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胶条：嵌入式硅胶条；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控温范围：50-150度；消毒湿度：130度采用自动控温、操作方便；热风循环、热量均匀、无死角、高温消毒杀菌；符合卫生防疫要求；</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其他</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  H62黄铜铸造主体，表面抛光镀铬处理                            2  座台式安装，开孔尺寸25mm                                            3  红外感应距离25cm，感应距离可调                                    4  AC/DC控制模块，电源可选交流电或1.5V*4直流电源 5  三通接口设计，可接冷、热水源，接口4分外螺纹。  6  出水口距台面100mm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感应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全铜材质，陶瓷阀芯，标配六寸（152mm）鹅颈水嘴（可选配八寸（203mm）鹅颈水嘴）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脚踏式水龙头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全铜材质，脚踏式控制开关，配套六寸（152mm）鹅颈水嘴</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三楼厨房设备清单</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验货区</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                                              1、内置可充电蓄电池，充电时可以开机使用，数字显示屏。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开机自动置零。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零点自动跟踪。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具有计重、计数、百分比切换功能；计重时具有重量分选功能。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工作温度范围：0℃ ~ +40℃。 6. 相对工作湿度: ≤ 85% RH。</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保洁间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BB01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1200*600*1700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器皿间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BC01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仓库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BD01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BD02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BD03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粗加工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大单星盆水池（斗深300mm)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大单星盆水池（斗深300mm)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备用编号</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3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万能组合消毒柜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消毒刀数量：20把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消毒毛巾数量：24块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消毒砧板数量：10块（直径50cm厚度10cm）砧板架，刀具架整体采用板材，结实稳固，循环风口消毒，利于柜体内部循环等多方位杀菌，安全放心</w:t>
            </w:r>
            <w:r>
              <w:rPr>
                <w:rFonts w:hint="eastAsia" w:ascii="宋体" w:hAnsi="宋体" w:eastAsia="宋体" w:cs="宋体"/>
                <w:i w:val="0"/>
                <w:iCs w:val="0"/>
                <w:color w:val="000000"/>
                <w:sz w:val="20"/>
                <w:szCs w:val="20"/>
                <w:highlight w:val="none"/>
                <w:u w:val="none"/>
                <w:lang w:val="en-US" w:eastAsia="zh-CN" w:bidi="ar"/>
              </w:rPr>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highlight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0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商用净水器组</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≥1.5T/H</w:t>
            </w:r>
            <w:r>
              <w:rPr>
                <w:rFonts w:hint="eastAsia" w:ascii="宋体" w:hAnsi="宋体" w:eastAsia="宋体" w:cs="宋体"/>
                <w:i w:val="0"/>
                <w:iCs w:val="0"/>
                <w:color w:val="000000"/>
                <w:sz w:val="20"/>
                <w:szCs w:val="20"/>
                <w:highlight w:val="none"/>
                <w:u w:val="none"/>
              </w:rPr>
            </w:r>
            <w:r/>
          </w:p>
        </w:tc>
        <w:tc>
          <w:tcPr>
            <w:tcW w:w="1877" w:type="dxa"/>
            <w:vAlign w:val="bottom"/>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1.产品基本参数：额定电压/频率：220V~/50Hz。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2.适用水源：市政自来水，适用水压：0.1MPa-0.4MPa，适应水温：5-38℃。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3.制水速度：1.8T/H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4.水处理工艺：市政自来水→超滤膜→净水，0.01微米精微净化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5.外壳材质：钣金喷涂。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6.智能技术：统一的数字化客户管理端，随时了解设备工况、净水量等信息，并可实现一键报修。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①可设置定时自动开、关机；自动冲洗，保证滤芯的使用寿命；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②故障报警或一键报修；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7.强制认证：</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所投产品对应型号有涉水卫生批件</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烹饪间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无背板双星盆水池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1"/>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采用304不锈钢，内箱圆弧设计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外嵌式蒸发器，外挂防尘网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28cm小机组设计， 3D立体回风系统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顶部斜45°出风设计，360° 风冷无霜循环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冷冻门框加装发热丝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控温类型：电子数字温控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制冷剂：冷藏：R134a,冷冻：R404a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压缩机：制冷稳定、效率高、噪音低、故障率低、使用寿命长；智能物联网系统。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燃气双头矮汤炉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1200*750*600+650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炉面：304不锈钢板  板厚≥1.5mm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1.采用铸铁连体炉盘,文华炉头,节能环保,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2.易清洗,好维护.面板均采用加厚的板材加工,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3.烤漆的面板让炉子石起来更精神,美观.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4.操作简单实用.操作</w:t>
            </w:r>
            <w:r>
              <w:rPr>
                <w:rFonts w:hint="eastAsia" w:ascii="宋体" w:hAnsi="宋体" w:cs="宋体"/>
                <w:i w:val="0"/>
                <w:iCs w:val="0"/>
                <w:color w:val="000000"/>
                <w:sz w:val="20"/>
                <w:szCs w:val="20"/>
                <w:highlight w:val="none"/>
                <w:u w:val="none"/>
                <w:lang w:val="en-US" w:eastAsia="zh-CN" w:bidi="ar"/>
              </w:rPr>
              <w:t xml:space="preserve">舒适</w:t>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燃气六头煲仔炉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不锈钢外壳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设有独立控制开关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角铁框炉底连接油盆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内置熄火保护系统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设有长明火种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燃气种类：天然气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熄火保护: 热电偶熄火保护装置符合GB35848-2024要求，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燃气双头双尾小炒灶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面板采用304不锈钢板，厚度≥1.2，其余≥1.0，前围标、后背标采用精密铸造，大气稳固，强度高，操作舒适，炉头采用不锈钢炉头，内置火种，燃烧充分，效率高。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燃气单头大锅灶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配置250W风机。前围标、后背标采用精密铸造，大气稳固、独一无二，手柄采用特殊材料铸造，强度高，操作舒适，炉头采用不锈钢炉头，燃烧充分，效率高。配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电力24盘蒸饭车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主材：不锈钢</w:t>
            </w:r>
            <w:r>
              <w:rPr>
                <w:rFonts w:hint="eastAsia" w:ascii="宋体" w:hAnsi="宋体" w:cs="宋体"/>
                <w:i w:val="0"/>
                <w:iCs w:val="0"/>
                <w:color w:val="000000"/>
                <w:sz w:val="20"/>
                <w:szCs w:val="20"/>
                <w:highlight w:val="none"/>
                <w:u w:val="none"/>
                <w:lang w:val="en-US" w:eastAsia="zh-CN" w:bidi="ar"/>
              </w:rPr>
              <w:t xml:space="preserve">磨砂</w:t>
            </w:r>
            <w:r>
              <w:rPr>
                <w:rFonts w:hint="eastAsia" w:ascii="宋体" w:hAnsi="宋体" w:eastAsia="宋体" w:cs="宋体"/>
                <w:i w:val="0"/>
                <w:iCs w:val="0"/>
                <w:color w:val="000000"/>
                <w:sz w:val="20"/>
                <w:szCs w:val="20"/>
                <w:highlight w:val="none"/>
                <w:u w:val="none"/>
                <w:lang w:val="en-US" w:eastAsia="zh-CN" w:bidi="ar"/>
              </w:rPr>
              <w:t xml:space="preserve">板，厚度≥1.0mm；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保温：整体聚氨酯发泡；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功率：380v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手柄：刀斧式把手；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车轮：采Ф125万向活动轮；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密封条：嵌入式硅胶条；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燃气三门海鲜蒸柜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1200*850*1850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柜箱体选用304不锈钢板制造，水箱全部采用≥1.2mm不锈钢,无噪声操作方便，加热时间快，蒸汽上汽（常温水）3分钟易维护保养。本产品燃烧系统采用先进的蒸汽机技术，燃烧器是侧烧功能，解决了冷凝水腐蚀燃烧器的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层数：小门一层，大门两层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微电脑控制，自动点火运行；首次通电，上蒸汽时间≤5分钟；蒸汽机内置，空间利用更节省；余热回收，提高热效率；燃烧器侧式燃烧，高温区不存垢；管箍封口，清垢更方便，符合GB35848-2024要求，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33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57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厨房灭火系统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置具备自动、手动和应急启动三种操作模式,能提供动作信号配合消防控制室联动报警,本装置设计有自动探测部件，可24小时监控。灶台油锅发生火情时，可自动启动灭火装置灭火，同时关闭燃气阀并报警（燃气切断阀属于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根据厨房环境特点本装置均属机械传动,不需用电,原材料全部采用304不锈钢及铜材等，防止设备氧化锈蚀，灭火装置所有药剂管路采用304不锈钢厚壁管满足高压药剂迅速通过的要求,且螺纹连接的安装方式能避免高温高热环境下管路连接松动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装置设计结构合理、适用、美观。安装不占用厨房地面面积，只占用空间位置，装置与消防水(或者自来水)管路相连,系统启动后灭火剂开始喷洒,待灭火剂喷洒完再自动控制水阀对监控区域自动喷水降温,达到防止复燃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喷嘴数量和位置更具灵活性，喷嘴数量取决于灶台油锅和集烟罩排烟口数量来设计，系统装置包括:控制箱、管路、喷嘴、探测器、易熔连接片、金属拉索、滑轮三通.滑轮弯头等组成。其中控制箱由自动释放机构、驱动用高压氮气瓶、水流控制阀、液体药剂罐以及连接软管、单向阀、减压阀等构成;采用机械式自动启动无需任何电源(包含</w:t>
            </w:r>
            <w:r>
              <w:rPr>
                <w:rFonts w:hint="eastAsia" w:ascii="宋体" w:hAnsi="宋体" w:cs="宋体"/>
                <w:i w:val="0"/>
                <w:iCs w:val="0"/>
                <w:color w:val="000000"/>
                <w:sz w:val="20"/>
                <w:szCs w:val="20"/>
                <w:highlight w:val="none"/>
                <w:u w:val="none"/>
                <w:lang w:val="en-US" w:eastAsia="zh-CN" w:bidi="ar"/>
              </w:rPr>
              <w:t xml:space="preserve">电</w:t>
            </w:r>
            <w:r>
              <w:rPr>
                <w:rFonts w:hint="eastAsia" w:ascii="宋体" w:hAnsi="宋体" w:eastAsia="宋体" w:cs="宋体"/>
                <w:i w:val="0"/>
                <w:iCs w:val="0"/>
                <w:color w:val="000000"/>
                <w:sz w:val="20"/>
                <w:szCs w:val="20"/>
                <w:highlight w:val="none"/>
                <w:u w:val="none"/>
                <w:lang w:val="en-US" w:eastAsia="zh-CN" w:bidi="ar"/>
              </w:rPr>
              <w:t xml:space="preserve">池)即可工作,避免因电路故障造成装置无法运转和短路的可能性;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面点间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708*696*1230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揉压压面机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780*774*1200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双动和面机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456*912*865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烙饼机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温控范围：50—300°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锅直径：560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低锅：锅沿高1.8另带3.5CM钢圈，高锅2.5CM</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99"/>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烙饼机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600*722*1019</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不锈钢单门发酵箱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500*710*1740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立式电炸炉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950*500*800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三层六盘不锈钢烤箱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1225*770*1540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面粉车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500*525*500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木案工作台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预进间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BH01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BH02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冷菜间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台下制冰机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≥25KG</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1、名称：台下式制冰机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2、规格：≥25Kg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3、制冰能力 ≥25kg/24H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储冰量 约8kg/24H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制冷方式 A（风冷）</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单星工作台（左星）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采用304不锈钢，内箱圆弧设计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外嵌式蒸发器，外挂防尘网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28cm小机组设计， 3D立体回风系统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顶部斜45°出风设计，360° 风冷无霜循环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冷冻门框加装发热丝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控温类型：电子数字温控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制冷剂：冷藏：R134a,冷冻：R404a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压缩机：制冷稳定、效率高、噪音低、故障率低、使用寿命长；智能物联网系统。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售饭间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板材制作；台面采用≥1.2mm不锈钢板，其它采用≥1.0mm不锈钢板，配加厚不锈钢桶，配品牌排污阀。额定电压220V，随车赠送双耳1.5mm加厚304不锈钢饭桶1只，内直径415mm，深度415mm.带温控数字可调节旋钮开关。</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 厚度≥1.0mm；                                                                                 衬筋：不锈钢板厚度≥1.0mm；                                                            功率：3KW电加热：恒温控制；                              冲孔板2块；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lang w:val="en-US" w:eastAsia="zh-CN" w:bidi="ar"/>
              </w:rPr>
              <w:t xml:space="preserve">： 厚度≥1.0mm；                                                                                 衬筋：不锈钢板厚度≥1.0mm；                                                            恒温控制；                              份数盘：1/1*1.0mm″连盖，配5只；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0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厨房智能留样冰箱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工作形式：风冷内外胆为304NO.4不锈钢板 厚度≥1.0mm；人脸识别开门，识别餐品、重量等信息，智能物联网系统。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单星工作台柜（右星）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2、星盆：配不锈钢落水，厚度≥1.0mm；                                3、层板：304，≥1.0mm不锈钢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5、柜门：304，≥0.8mm不锈钢，内衬0.6mm不锈钢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洗碗间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双温高压花洒</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L型单星洁碟台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1320*1390*800+150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                                       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1000*750*800+150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2000*750*800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中间滤网式抽气罩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1500*1000*500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洁碟台(带框架B）</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通道式洗碗</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1100*782*1742</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1"/>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BM01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BM02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1300*630*1940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BM03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更衣室</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BN01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单星洗手池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500*450*800+50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BN02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采用不锈钢板制作，厚度≥1.0mm；分上层下层，每层三扇门，每扇门上附锁。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19"/>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其他</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  H62黄铜铸造主体，表面抛光镀铬处理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  座台式安装，开孔尺寸25mm                                            3  红外感应距离25cm，感应距离可调                                    4  AC/DC控制模块，电源可选交流电或1.5V*4直流电源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  三通接口设计，可接冷、热水源，接口4分外螺纹。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  出水口距台面100mm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感应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19"/>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全铜材质，陶瓷阀芯，标配六寸（152mm）鹅颈水嘴（可选配八寸（203mm）鹅颈水嘴）  </w:t>
            </w:r>
            <w:r>
              <w:rPr>
                <w:rFonts w:hint="eastAsia" w:ascii="宋体" w:hAnsi="宋体" w:eastAsia="宋体" w:cs="宋体"/>
                <w:i w:val="0"/>
                <w:iCs w:val="0"/>
                <w:color w:val="000000"/>
                <w:sz w:val="20"/>
                <w:szCs w:val="20"/>
                <w:highlight w:val="none"/>
                <w:u w:val="none"/>
                <w:lang w:val="en-US" w:eastAsia="zh-CN" w:bidi="ar"/>
              </w:rPr>
            </w:r>
            <w:r/>
          </w:p>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tcW w:w="316"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tcPr>
          <w:p>
            <w:pPr>
              <w:pStyle w:val="719"/>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tcPr>
          <w:p>
            <w:pPr>
              <w:pStyle w:val="71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1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bl>
    <w:p>
      <w:pPr>
        <w:pStyle w:val="731"/>
        <w:numPr>
          <w:ilvl w:val="0"/>
          <w:numId w:val="6"/>
        </w:numPr>
        <w:rPr>
          <w:rFonts w:hint="eastAsia"/>
          <w:highlight w:val="none"/>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highlight w:val="none"/>
        </w:rPr>
      </w:r>
      <w:r/>
    </w:p>
    <w:p>
      <w:pPr>
        <w:pStyle w:val="719"/>
        <w:numPr>
          <w:ilvl w:val="0"/>
          <w:numId w:val="7"/>
        </w:numPr>
        <w:ind w:firstLine="602"/>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w:t xml:space="preserve">其他要求</w:t>
      </w:r>
      <w:r>
        <w:rPr>
          <w:rFonts w:hint="eastAsia" w:ascii="宋体" w:hAnsi="宋体" w:eastAsia="宋体" w:cs="宋体"/>
          <w:b/>
          <w:color w:val="000000"/>
          <w:sz w:val="30"/>
          <w:szCs w:val="30"/>
          <w:highlight w:val="none"/>
          <w:u w:val="none"/>
          <w:lang w:val="en-US" w:eastAsia="zh-CN"/>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 合同签订前要求</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1.1 样品确认与合同签署</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中标人在签订合同前需按采购清单列出的所有品目出样，经招标人使用部门确认无误后，按招标文件要求交纳履约保证金并签署正式合同。样品款式、规格、材质、工艺、颜色等如不符合招标文件技术参数要求，招标人有权终止签订合同。</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1.2 样品检测与责任</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合同签订后，采购人有权要求中标人提供部分厂制品样品，并指定第三方检测机构检测，费用由中标人承担。若检测不合格，采购人有权终止合同，损失由中标人承担并赔偿。</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 技术要求与标准</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2.1 材料与安全标准</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所有直接接触食品的不锈钢须符合GB4806.9-2023要求，材料指标不得有负偏离。</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2.2 技术参数与偏离说明</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如涉及极个性化描述（如品牌），不作为特定要求（替代品牌性能不低于描述品牌），偏离需在偏离表中注明。</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2.3</w:t>
      </w:r>
      <w:r>
        <w:rPr>
          <w:rFonts w:hint="eastAsia" w:ascii="宋体" w:hAnsi="宋体" w:eastAsia="宋体" w:cs="宋体"/>
          <w:bCs/>
          <w:sz w:val="24"/>
          <w:szCs w:val="24"/>
          <w:highlight w:val="none"/>
          <w:lang w:val="en-US" w:eastAsia="zh-CN"/>
        </w:rPr>
        <w:t xml:space="preserve">所有直接接触食品的304食品级不锈钢板材及管材厚度(1.5mm，实厚≥1.42mm；1.2mm，实厚≥1.13mm；1.0mm，实厚≥0.92mm)；不锈钢板材及管材金属成份(Ni≧8%)。</w:t>
      </w:r>
      <w:r>
        <w:rPr>
          <w:rFonts w:hint="eastAsia" w:ascii="宋体" w:hAnsi="宋体" w:eastAsia="宋体" w:cs="宋体"/>
          <w:bCs/>
          <w:sz w:val="24"/>
          <w:szCs w:val="24"/>
          <w:highlight w:val="none"/>
          <w:lang w:val="en-US" w:eastAsia="zh-CN"/>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2.4上述清单中描述的“利旧”是指对天一中学新吴分校过渡校区（地址：无锡市新吴区金桥鸿山实验学校）中已有的厨房设备进行拆除、运输并安装至天一中学新吴分校（地址无锡市新吴区鸿山街道，至德大道与至礼路交叉口东南）指定位置。此部分内容不在质保范围内。拆除前需与采购人及使用单位现场共同确认相关设备情况，各方确认完好后，安拆过程中出现损坏情况，由中标人承担修复或赔偿费用。</w:t>
      </w:r>
      <w:r>
        <w:rPr>
          <w:rFonts w:hint="eastAsia" w:ascii="宋体" w:hAnsi="宋体" w:eastAsia="宋体" w:cs="宋体"/>
          <w:bCs/>
          <w:sz w:val="24"/>
          <w:szCs w:val="24"/>
          <w:highlight w:val="none"/>
          <w:lang w:val="en-US" w:eastAsia="zh-CN"/>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2.5为响应市场监管总局决定对商用燃气燃烧器具等产品实施强制性产品认证（以下称CCC认证）管理，可倾燃气锅、燃气单头单尾小炒灶、燃气双头大锅灶、燃气双头矮汤炉、燃气六头煲仔炉、燃气双头双尾小炒灶、燃气单头大锅灶、燃气三门海鲜蒸柜设备需符合GB35848-2024标准，具有3C国家强制性认证证书，须提供相关产品的3C国家强制性认证证书扫描件上传至投标文件。</w:t>
      </w:r>
      <w:r>
        <w:rPr>
          <w:rFonts w:hint="eastAsia" w:ascii="宋体" w:hAnsi="宋体" w:eastAsia="宋体" w:cs="宋体"/>
          <w:bCs/>
          <w:sz w:val="24"/>
          <w:szCs w:val="24"/>
          <w:highlight w:val="none"/>
          <w:lang w:val="en-US" w:eastAsia="zh-CN"/>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2.6加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清单“洗地龙头</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感应水龙头</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冷热水龙头</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须提供相关产品的国家确定的认证机构出具的有效期之内的节能产品认证证书扫描件上传至投标文件。</w:t>
      </w:r>
      <w:r>
        <w:rPr>
          <w:rFonts w:hint="eastAsia" w:ascii="宋体" w:hAnsi="宋体" w:eastAsia="宋体" w:cs="宋体"/>
          <w:bCs/>
          <w:sz w:val="24"/>
          <w:szCs w:val="24"/>
          <w:highlight w:val="none"/>
          <w:lang w:val="en-US" w:eastAsia="zh-CN"/>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2.7紫外线消毒器、热风循环消毒柜、万能组合消毒柜，生产厂家具有消毒产品生产许可证，须提供相关产品的消毒产品生产许可证扫描件上传至投标文件。 </w:t>
      </w: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lang w:val="en-US" w:eastAsia="zh-CN" w:bidi="ar-SA"/>
        </w:rPr>
      </w:r>
      <w:r/>
    </w:p>
    <w:p>
      <w:pPr>
        <w:pStyle w:val="719"/>
        <w:ind w:firstLine="480"/>
        <w:spacing w:line="360" w:lineRule="auto"/>
        <w:tabs>
          <w:tab w:val="left" w:pos="525" w:leader="none"/>
          <w:tab w:val="left" w:pos="630" w:leader="none"/>
          <w:tab w:val="left" w:pos="735" w:leader="none"/>
          <w:tab w:val="left" w:pos="94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2.8商用净水器组所投产品对应型号有涉水卫生批件，须提供商用净水器组所投产品对应型号的涉水卫生批件扫描件上传至投标文件。</w:t>
      </w:r>
      <w:r>
        <w:rPr>
          <w:rFonts w:ascii="宋体" w:hAnsi="宋体" w:eastAsia="宋体" w:cs="宋体"/>
          <w:bCs/>
          <w:sz w:val="24"/>
          <w:szCs w:val="24"/>
          <w:highlight w:val="none"/>
          <w:lang w:val="en-US" w:eastAsia="zh-CN"/>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合同执行与监督</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3.1 生产监督与检验</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采购人有权对产品生产进行不定期实地监督，中标人应配合；可进行破坏性试验，若不合格则拒收全部货物，损失由中标人承担。</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 安装工程量与风险</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安装部分工程量需自行考察施工界面确定数量，疑问需在答疑期内提出，否则视为无异议。中标后不追加费用，投标单位须自行勘查现场，报价包含全部风险及费用，忽视现场情况导致的索赔或延期不予批准。</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质保与服务质量</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4.1 质保期要求</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质保期内出现质量问题，中标人须无条件免费更换，并定期回访。</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质保期后，以不高于市场价格维修，成本价供应备品备件。</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投标时需明确质保年限、备件价格、维保体系等具体条款。</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4.2质量标准</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一次性验收合格，符合招标文件及国家强制性标准。</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一次抽检不合格扣合同价30%，三次不合格终止合同并追责。</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中标人需保证货物为原装全新，性能符合或优于国家标准，非积压库存，质保期内承担设计、工艺或材料缺陷责任。</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质量问题可直接判定或经国家质检中心鉴定，费用由中标人承担。</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4.3服务响应</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保修期内提供7×24小时电话支持，接到通知1.5小时内到场处理，半小时未答复视为承认责任。经三次修理仍故障的，无条件更换新品。</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5.安装调试要求</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5.1安装准备</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安装工具、物料由中标人自备并承担费用，完工后自行清理。</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提供详细安装方案（施工组织、人员、质量措施等）并经采购人同意后执行。</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5.2安装过程管理</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卸货、安装、调试由中标人负责，需在采购人监督下进行，调试记录须双方签字。</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安装期间遵守安全规定，事故责任由中标人承担；货物进场需采购人验货。</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6.验收要求</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6.1验收时间与条件</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验收在交货并安装调试后30日内进行，需提供中标通知书、合同、收货单、安装单等文件。</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6.2验收标准与责任</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货物须完好无损，配置与装箱单一致，性能不低于招标要求。</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发现短缺、次品或损坏，采购人记录或签署备忘录，费用由中标人承担。</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运输或安装导致货物损坏，中标人需及时换货并承担费用。</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验收时由供应商演示设备具体功能，未能满足功能，</w:t>
      </w:r>
      <w:r>
        <w:rPr>
          <w:rFonts w:hint="eastAsia" w:ascii="宋体" w:hAnsi="宋体" w:eastAsia="宋体" w:cs="宋体"/>
          <w:bCs/>
          <w:sz w:val="24"/>
          <w:highlight w:val="none"/>
        </w:rPr>
        <w:t xml:space="preserve">中标人需及时</w:t>
      </w:r>
      <w:r>
        <w:rPr>
          <w:rFonts w:hint="eastAsia" w:ascii="宋体" w:hAnsi="宋体" w:cs="宋体"/>
          <w:bCs/>
          <w:sz w:val="24"/>
          <w:highlight w:val="none"/>
          <w:lang w:val="en-US" w:eastAsia="zh-CN"/>
        </w:rPr>
        <w:t xml:space="preserve">更换满足功能设备，</w:t>
      </w:r>
      <w:r>
        <w:rPr>
          <w:rFonts w:hint="eastAsia" w:ascii="宋体" w:hAnsi="宋体" w:eastAsia="宋体" w:cs="宋体"/>
          <w:bCs/>
          <w:sz w:val="24"/>
          <w:highlight w:val="none"/>
        </w:rPr>
        <w:t xml:space="preserve">并承担费用</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6.3验收文件与移交</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拆箱后登记全部产品、配件及资料，登记册作为验收文档。</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移交产品说明书、技术文件、验收报告等全套资料。</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7.售后服务</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7.1服务承诺</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免费质保期</w:t>
      </w:r>
      <w:r>
        <w:rPr>
          <w:rFonts w:hint="eastAsia" w:ascii="宋体" w:hAnsi="宋体" w:cs="宋体"/>
          <w:bCs/>
          <w:sz w:val="24"/>
          <w:highlight w:val="none"/>
          <w:lang w:val="en-US" w:eastAsia="zh-CN"/>
        </w:rPr>
        <w:t xml:space="preserve">二</w:t>
      </w:r>
      <w:r>
        <w:rPr>
          <w:rFonts w:hint="eastAsia" w:ascii="宋体" w:hAnsi="宋体" w:eastAsia="宋体" w:cs="宋体"/>
          <w:bCs/>
          <w:sz w:val="24"/>
          <w:highlight w:val="none"/>
        </w:rPr>
        <w:t xml:space="preserve">年，质保期后提供有偿优惠维修。</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免费安装调试及培训，确保采购人能独立维护。</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8.知识产权与保密</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8.1知识产权责任</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中标人保证采购人免于因使用货物引发的第三方知识产权纠纷，并承担相关损失及费用。</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8.2保密义务</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中标人须保密采购人资料及成果，不得泄露或转让；项目成果所有权归采购人，违约可解除合同并追责。</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9.其他事项</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9.1报价范围</w:t>
      </w:r>
      <w:r>
        <w:rPr>
          <w:rFonts w:hint="eastAsia" w:ascii="宋体" w:hAnsi="宋体" w:eastAsia="宋体" w:cs="宋体"/>
          <w:bCs/>
          <w:sz w:val="24"/>
          <w:highlight w:val="none"/>
        </w:rPr>
      </w:r>
      <w:r/>
    </w:p>
    <w:p>
      <w:pPr>
        <w:pStyle w:val="719"/>
        <w:numPr>
          <w:ilvl w:val="0"/>
          <w:numId w:val="0"/>
        </w:numPr>
        <w:ind w:firstLine="480"/>
        <w:spacing w:line="360" w:lineRule="auto"/>
        <w:tabs>
          <w:tab w:val="left" w:pos="525" w:leader="none"/>
          <w:tab w:val="left" w:pos="945" w:leader="none"/>
        </w:tabs>
        <w:rPr>
          <w:rFonts w:ascii="宋体" w:hAnsi="Times New Roman" w:cs="Times New Roman"/>
          <w:bCs/>
          <w:sz w:val="24"/>
          <w:szCs w:val="24"/>
          <w:highlight w:val="none"/>
        </w:rPr>
      </w:pPr>
      <w:r>
        <w:rPr>
          <w:rFonts w:hint="eastAsia" w:ascii="宋体" w:hAnsi="宋体" w:cs="Times New Roman"/>
          <w:bCs/>
          <w:color w:val="0000ff"/>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hAnsi="Times New Roman" w:cs="Times New Roman"/>
          <w:bCs/>
          <w:sz w:val="24"/>
          <w:szCs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rPr>
          <w:rFonts w:hint="eastAsia" w:ascii="宋体" w:hAnsi="宋体"/>
          <w:bCs/>
          <w:color w:val="000000"/>
          <w:sz w:val="24"/>
          <w:szCs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9.2安全与合规要求</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涉及网络安全专用产品的，需通过国家认证或检测。</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强制采购节能产品的，需提供有效节能认证证书。</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9.3投标与合同管理</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投标人需按招标文件报价，技术偏离需说明。</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残疾人福利性单位声明不实则依法追责。</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中小企业不得违规分包合同。</w:t>
      </w:r>
      <w:r>
        <w:rPr>
          <w:rFonts w:hint="eastAsia" w:ascii="宋体" w:hAnsi="宋体" w:eastAsia="宋体" w:cs="宋体"/>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开标后投标人需保持在线应答，否则风险自担。</w:t>
      </w:r>
      <w:r>
        <w:rPr>
          <w:rFonts w:hint="eastAsia" w:ascii="宋体" w:hAnsi="宋体" w:eastAsia="宋体" w:cs="宋体"/>
          <w:bCs/>
          <w:sz w:val="24"/>
          <w:highlight w:val="none"/>
        </w:rPr>
      </w:r>
      <w:r/>
    </w:p>
    <w:p>
      <w:pPr>
        <w:pStyle w:val="719"/>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9.4</w:t>
      </w:r>
      <w:r>
        <w:rPr>
          <w:rFonts w:hint="eastAsia" w:ascii="宋体" w:hAnsi="宋体" w:cs="Times New Roman"/>
          <w:bCs/>
          <w:color w:val="0000ff"/>
          <w:sz w:val="24"/>
          <w:szCs w:val="24"/>
          <w:highlight w:val="none"/>
        </w:rPr>
        <w:t xml:space="preserve">完工期：合同签订生效且收到采购人通知后30个日历天内到货并安装完毕。具体时间以合同为准。</w:t>
      </w:r>
      <w:r>
        <w:rPr>
          <w:rFonts w:ascii="宋体" w:hAnsi="Times New Roman" w:cs="Times New Roman"/>
          <w:bCs/>
          <w:color w:val="0000ff"/>
          <w:sz w:val="24"/>
          <w:szCs w:val="24"/>
          <w:highlight w:val="none"/>
        </w:rPr>
      </w:r>
      <w:r/>
    </w:p>
    <w:p>
      <w:pPr>
        <w:pStyle w:val="719"/>
        <w:numPr>
          <w:ilvl w:val="0"/>
          <w:numId w:val="0"/>
        </w:numPr>
        <w:ind w:firstLine="480"/>
        <w:spacing w:line="360" w:lineRule="auto"/>
        <w:tabs>
          <w:tab w:val="left" w:pos="1050"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9.5</w:t>
      </w:r>
      <w:r>
        <w:rPr>
          <w:rFonts w:hint="eastAsia" w:ascii="宋体" w:hAnsi="宋体" w:eastAsia="宋体" w:cs="宋体"/>
          <w:bCs/>
          <w:sz w:val="24"/>
          <w:highlight w:val="none"/>
        </w:rPr>
        <w:t xml:space="preserve">质保期：</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rPr>
          <w:rFonts w:ascii="宋体" w:hAnsi="Times New Roman" w:cs="Times New Roman"/>
          <w:bCs/>
          <w:color w:val="0000ff"/>
          <w:sz w:val="24"/>
          <w:szCs w:val="24"/>
          <w:highlight w:val="none"/>
        </w:rPr>
      </w:r>
      <w:r/>
    </w:p>
    <w:p>
      <w:pPr>
        <w:pStyle w:val="719"/>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9.6</w:t>
      </w:r>
      <w:r>
        <w:rPr>
          <w:rFonts w:hint="eastAsia" w:ascii="宋体" w:hAnsi="宋体" w:cs="Times New Roman"/>
          <w:bCs/>
          <w:color w:val="0000ff"/>
          <w:sz w:val="24"/>
          <w:szCs w:val="24"/>
          <w:highlight w:val="none"/>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rPr>
          <w:rFonts w:ascii="宋体" w:hAnsi="Times New Roman" w:cs="Times New Roman"/>
          <w:bCs/>
          <w:color w:val="0000ff"/>
          <w:sz w:val="24"/>
          <w:szCs w:val="24"/>
          <w:highlight w:val="none"/>
        </w:rPr>
      </w:r>
      <w:r/>
    </w:p>
    <w:p>
      <w:pPr>
        <w:pStyle w:val="719"/>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9.7</w:t>
      </w:r>
      <w:r>
        <w:rPr>
          <w:rFonts w:hint="eastAsia" w:ascii="宋体" w:hAnsi="Times New Roman" w:cs="Times New Roman"/>
          <w:bCs/>
          <w:color w:val="0000ff"/>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履约保证金需在中标通知书签发后15天内提供给采购人，15天内未提供的，中标供应商需向采购人支付5000元/天的违约金，在项目结算时扣除。</w:t>
      </w:r>
      <w:r>
        <w:rPr>
          <w:rFonts w:ascii="宋体" w:hAnsi="Times New Roman" w:cs="Times New Roman"/>
          <w:bCs/>
          <w:color w:val="0000ff"/>
          <w:sz w:val="24"/>
          <w:szCs w:val="24"/>
          <w:highlight w:val="none"/>
        </w:rPr>
      </w:r>
      <w:r/>
    </w:p>
    <w:p>
      <w:pPr>
        <w:pStyle w:val="719"/>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9.8</w:t>
      </w:r>
      <w:r>
        <w:rPr>
          <w:rFonts w:hint="eastAsia" w:ascii="宋体" w:hAnsi="宋体" w:cs="Times New Roman"/>
          <w:bCs/>
          <w:color w:val="0000ff"/>
          <w:sz w:val="24"/>
          <w:szCs w:val="24"/>
          <w:highlight w:val="none"/>
        </w:rPr>
        <w:t xml:space="preserve">本项目合同履行地点：无锡市新吴区鸿山街道，至德大道与至礼路交叉口东南侧 ，具体地点以合同书约定为准。中标方必须按采购人要求将本项目中货物送到指定地点</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包括可能的分布范围</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，并分地实施安装调试。</w:t>
      </w:r>
      <w:r>
        <w:rPr>
          <w:rFonts w:ascii="宋体" w:hAnsi="Times New Roman" w:cs="Times New Roman"/>
          <w:bCs/>
          <w:color w:val="0000ff"/>
          <w:sz w:val="24"/>
          <w:szCs w:val="24"/>
          <w:highlight w:val="none"/>
        </w:rPr>
      </w:r>
      <w:r/>
    </w:p>
    <w:p>
      <w:pPr>
        <w:pStyle w:val="719"/>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sz w:val="24"/>
          <w:szCs w:val="24"/>
          <w:highlight w:val="none"/>
        </w:rPr>
      </w:pPr>
      <w:r>
        <w:rPr>
          <w:rFonts w:hint="eastAsia" w:ascii="宋体" w:hAnsi="宋体" w:cs="Times New Roman"/>
          <w:bCs/>
          <w:color w:val="000000"/>
          <w:sz w:val="24"/>
          <w:szCs w:val="24"/>
          <w:highlight w:val="none"/>
          <w:lang w:val="en-US" w:eastAsia="zh-CN"/>
        </w:rPr>
        <w:t xml:space="preserve">9.10</w:t>
      </w:r>
      <w:r>
        <w:rPr>
          <w:rFonts w:hint="eastAsia" w:ascii="宋体" w:hAnsi="宋体" w:cs="Times New Roman"/>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cs="Times New Roman"/>
          <w:bCs/>
          <w:sz w:val="24"/>
          <w:szCs w:val="24"/>
          <w:highlight w:val="none"/>
        </w:rPr>
        <w:t xml:space="preserve">担。政府向社会公众提供的公共服务项目，验收时应当邀请服务对象参与并出具意见，验收结果应当向社会公告。</w:t>
      </w:r>
      <w:r>
        <w:rPr>
          <w:rFonts w:hint="eastAsia" w:ascii="Times New Roman" w:hAnsi="Times New Roman"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Times New Roman" w:cs="Times New Roman"/>
          <w:bCs/>
          <w:sz w:val="24"/>
          <w:szCs w:val="24"/>
          <w:highlight w:val="none"/>
        </w:rPr>
      </w:r>
      <w:r/>
    </w:p>
    <w:p>
      <w:pPr>
        <w:pStyle w:val="719"/>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color w:val="000000"/>
          <w:sz w:val="24"/>
          <w:szCs w:val="24"/>
          <w:highlight w:val="none"/>
          <w:lang w:val="en-US" w:eastAsia="zh-CN"/>
        </w:rPr>
        <w:t xml:space="preserve">9.11</w:t>
      </w:r>
      <w:r>
        <w:rPr>
          <w:rFonts w:hint="eastAsia" w:ascii="宋体" w:hAnsi="Times New Roman" w:cs="Times New Roman"/>
          <w:bCs/>
          <w:color w:val="000000"/>
          <w:sz w:val="24"/>
          <w:szCs w:val="24"/>
          <w:highlight w:val="none"/>
        </w:rPr>
        <w:t xml:space="preserve">根据《关于推</w:t>
      </w:r>
      <w:r>
        <w:rPr>
          <w:rFonts w:hint="eastAsia" w:ascii="宋体" w:hAnsi="Times New Roman" w:cs="Times New Roman"/>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Times New Roman" w:cs="Times New Roman"/>
          <w:bCs/>
          <w:sz w:val="24"/>
          <w:szCs w:val="24"/>
          <w:highlight w:val="none"/>
        </w:rPr>
      </w:r>
      <w:r/>
    </w:p>
    <w:p>
      <w:pPr>
        <w:pStyle w:val="719"/>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宋体" w:cs="Times New Roman"/>
          <w:bCs/>
          <w:sz w:val="24"/>
          <w:highlight w:val="none"/>
          <w:lang w:val="en-US" w:eastAsia="zh-CN"/>
        </w:rPr>
        <w:t xml:space="preserve">9.12</w:t>
      </w:r>
      <w:r>
        <w:rPr>
          <w:rFonts w:hint="eastAsia" w:ascii="宋体" w:hAnsi="宋体" w:cs="Times New Roman"/>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Times New Roman" w:cs="Times New Roman"/>
          <w:bCs/>
          <w:sz w:val="24"/>
          <w:szCs w:val="24"/>
          <w:highlight w:val="none"/>
        </w:rPr>
      </w:r>
      <w:r/>
    </w:p>
    <w:p>
      <w:pPr>
        <w:pStyle w:val="719"/>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9.13</w:t>
      </w:r>
      <w:r>
        <w:rPr>
          <w:rFonts w:hint="eastAsia" w:ascii="宋体" w:hAnsi="Times New Roman"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Times New Roman" w:cs="Times New Roman"/>
          <w:bCs/>
          <w:sz w:val="24"/>
          <w:szCs w:val="24"/>
          <w:highlight w:val="none"/>
        </w:rPr>
      </w:r>
      <w:r/>
    </w:p>
    <w:p>
      <w:pPr>
        <w:pStyle w:val="719"/>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Times New Roman"/>
          <w:bCs/>
          <w:sz w:val="24"/>
          <w:highlight w:val="none"/>
        </w:rPr>
      </w:pPr>
      <w:r>
        <w:rPr>
          <w:rFonts w:hint="eastAsia" w:ascii="宋体" w:hAnsi="宋体" w:cs="Times New Roman"/>
          <w:bCs/>
          <w:sz w:val="24"/>
          <w:highlight w:val="none"/>
          <w:lang w:val="en-US" w:eastAsia="zh-CN"/>
        </w:rPr>
        <w:t xml:space="preserve">9.14</w:t>
      </w:r>
      <w:r>
        <w:rPr>
          <w:rFonts w:hint="eastAsia" w:ascii="宋体" w:hAnsi="宋体" w:cs="Times New Roman"/>
          <w:bCs/>
          <w:sz w:val="24"/>
          <w:highlight w:val="none"/>
        </w:rPr>
        <w:t xml:space="preserve">开标后，投标人须自行准备设备（包括但不限于笔记本电脑、无线网络）登录</w:t>
      </w:r>
      <w:r>
        <w:rPr>
          <w:rFonts w:hint="eastAsia" w:ascii="宋体" w:hAnsi="宋体" w:cs="Times New Roman"/>
          <w:bCs/>
          <w:sz w:val="24"/>
          <w:szCs w:val="24"/>
          <w:highlight w:val="none"/>
        </w:rPr>
        <w:t xml:space="preserve">“苏采云”系统</w:t>
      </w:r>
      <w:r>
        <w:rPr>
          <w:rFonts w:hint="eastAsia" w:ascii="宋体" w:hAnsi="宋体" w:cs="Times New Roman"/>
          <w:bCs/>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cs="Times New Roman"/>
          <w:bCs/>
          <w:sz w:val="24"/>
          <w:highlight w:val="none"/>
        </w:rPr>
      </w:r>
      <w:r/>
    </w:p>
    <w:p>
      <w:pPr>
        <w:pStyle w:val="71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rPr>
          <w:rFonts w:hint="eastAsia" w:ascii="宋体" w:hAnsi="宋体" w:eastAsia="宋体" w:cs="宋体"/>
          <w:b/>
          <w:bCs/>
          <w:sz w:val="30"/>
          <w:szCs w:val="30"/>
          <w:highlight w:val="none"/>
        </w:rPr>
      </w:r>
      <w:r/>
    </w:p>
    <w:p>
      <w:pPr>
        <w:pStyle w:val="719"/>
        <w:numPr>
          <w:ilvl w:val="1"/>
          <w:numId w:val="8"/>
        </w:numPr>
        <w:ind w:left="0" w:firstLine="525"/>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sz w:val="24"/>
          <w:szCs w:val="24"/>
          <w:highlight w:val="none"/>
        </w:rPr>
      </w:r>
      <w:r/>
    </w:p>
    <w:p>
      <w:pPr>
        <w:pStyle w:val="719"/>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sz w:val="24"/>
          <w:szCs w:val="24"/>
          <w:highlight w:val="none"/>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sz w:val="24"/>
          <w:szCs w:val="24"/>
          <w:highlight w:val="none"/>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rPr>
          <w:rFonts w:hint="eastAsia" w:ascii="宋体" w:hAnsi="宋体" w:eastAsia="宋体" w:cs="宋体"/>
          <w:bCs/>
          <w:sz w:val="24"/>
          <w:szCs w:val="24"/>
          <w:highlight w:val="none"/>
        </w:rPr>
      </w:r>
      <w:r/>
    </w:p>
    <w:p>
      <w:pPr>
        <w:pStyle w:val="719"/>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sz w:val="24"/>
          <w:szCs w:val="24"/>
          <w:highlight w:val="none"/>
        </w:rPr>
      </w:r>
      <w:r/>
    </w:p>
    <w:p>
      <w:pPr>
        <w:pStyle w:val="719"/>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rPr>
          <w:rFonts w:hint="eastAsia" w:ascii="宋体" w:hAnsi="宋体" w:eastAsia="宋体" w:cs="宋体"/>
          <w:sz w:val="24"/>
          <w:szCs w:val="24"/>
          <w:highlight w:val="none"/>
        </w:rPr>
      </w:r>
      <w:r/>
    </w:p>
    <w:p>
      <w:pPr>
        <w:pStyle w:val="719"/>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sz w:val="24"/>
          <w:szCs w:val="24"/>
          <w:highlight w:val="none"/>
        </w:rPr>
      </w:r>
      <w:r/>
    </w:p>
    <w:p>
      <w:pPr>
        <w:pStyle w:val="719"/>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sz w:val="24"/>
          <w:szCs w:val="24"/>
          <w:highlight w:val="none"/>
        </w:rPr>
      </w:r>
      <w:r/>
    </w:p>
    <w:p>
      <w:pPr>
        <w:pStyle w:val="719"/>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rPr>
          <w:rFonts w:hint="eastAsia" w:ascii="宋体" w:hAnsi="宋体" w:eastAsia="宋体" w:cs="宋体"/>
          <w:bCs/>
          <w:sz w:val="24"/>
          <w:szCs w:val="24"/>
          <w:highlight w:val="none"/>
        </w:rPr>
      </w:r>
      <w:r/>
    </w:p>
    <w:p>
      <w:pPr>
        <w:pStyle w:val="719"/>
        <w:numPr>
          <w:ilvl w:val="1"/>
          <w:numId w:val="9"/>
        </w:numPr>
        <w:ind w:left="0"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rPr>
          <w:rFonts w:hint="eastAsia" w:ascii="宋体" w:hAnsi="宋体" w:eastAsia="宋体" w:cs="宋体"/>
          <w:bCs/>
          <w:sz w:val="24"/>
          <w:szCs w:val="24"/>
          <w:highlight w:val="none"/>
        </w:rPr>
      </w:r>
      <w:r/>
    </w:p>
    <w:p>
      <w:pPr>
        <w:pStyle w:val="719"/>
        <w:numPr>
          <w:ilvl w:val="1"/>
          <w:numId w:val="9"/>
        </w:numPr>
        <w:ind w:left="0"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sz w:val="24"/>
          <w:szCs w:val="24"/>
          <w:highlight w:val="none"/>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sz w:val="24"/>
          <w:szCs w:val="24"/>
          <w:highlight w:val="none"/>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rPr>
          <w:rFonts w:hint="eastAsia" w:ascii="宋体" w:hAnsi="宋体" w:eastAsia="宋体" w:cs="宋体"/>
          <w:bCs/>
          <w:sz w:val="24"/>
          <w:szCs w:val="24"/>
          <w:highlight w:val="none"/>
          <w:lang w:val="en"/>
        </w:rPr>
      </w:r>
      <w:r/>
    </w:p>
    <w:p>
      <w:pPr>
        <w:pStyle w:val="719"/>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8.</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hAnsi="Times New Roman" w:cs="Times New Roman"/>
          <w:bCs/>
          <w:sz w:val="24"/>
          <w:szCs w:val="24"/>
          <w:highlight w:val="none"/>
        </w:rPr>
      </w:r>
      <w:r/>
    </w:p>
    <w:p>
      <w:pPr>
        <w:pStyle w:val="719"/>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根据</w:t>
      </w:r>
      <w:bookmarkStart w:id="199" w:name="OLE_LINK2"/>
      <w:r/>
      <w:bookmarkStart w:id="200" w:name="OLE_LINK1"/>
      <w:r>
        <w:rPr>
          <w:rFonts w:hint="eastAsia" w:ascii="宋体" w:hAnsi="Times New Roman" w:cs="Times New Roman"/>
          <w:bCs/>
          <w:sz w:val="24"/>
          <w:szCs w:val="24"/>
          <w:highlight w:val="none"/>
        </w:rPr>
        <w:t xml:space="preserve">《保障中小企业款项支付条例》（中华人民共和国国务院令第802号）</w:t>
      </w:r>
      <w:bookmarkEnd w:id="199"/>
      <w:r/>
      <w:bookmarkEnd w:id="200"/>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hAnsi="Times New Roman" w:cs="Times New Roman"/>
          <w:bCs/>
          <w:sz w:val="24"/>
          <w:szCs w:val="24"/>
          <w:highlight w:val="none"/>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hAnsi="Times New Roman" w:cs="Times New Roman"/>
          <w:bCs/>
          <w:sz w:val="24"/>
          <w:szCs w:val="24"/>
          <w:highlight w:val="none"/>
          <w:lang w:val="en"/>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rPr>
          <w:rFonts w:hint="eastAsia" w:ascii="宋体" w:hAnsi="Times New Roman" w:cs="Times New Roman"/>
          <w:bCs/>
          <w:sz w:val="24"/>
          <w:szCs w:val="24"/>
          <w:highlight w:val="none"/>
          <w:lang w:val="en"/>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hAnsi="Times New Roman" w:cs="Times New Roman"/>
          <w:bCs/>
          <w:sz w:val="24"/>
          <w:szCs w:val="24"/>
          <w:highlight w:val="none"/>
          <w:lang w:val="en"/>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0</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Times New Roman" w:cs="Times New Roman"/>
          <w:bCs/>
          <w:sz w:val="24"/>
          <w:szCs w:val="24"/>
          <w:highlight w:val="none"/>
          <w:lang w:val="en"/>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1</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Times New Roman" w:cs="Times New Roman"/>
          <w:bCs/>
          <w:sz w:val="24"/>
          <w:szCs w:val="24"/>
          <w:highlight w:val="none"/>
          <w:lang w:val="en"/>
        </w:rPr>
      </w:r>
      <w:r/>
    </w:p>
    <w:p>
      <w:pPr>
        <w:pStyle w:val="71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36"/>
          <w:szCs w:val="36"/>
          <w:highlight w:val="none"/>
        </w:rPr>
      </w:pPr>
      <w:r>
        <w:rPr>
          <w:rFonts w:hint="eastAsia" w:ascii="宋体" w:hAnsi="Times New Roman" w:cs="Times New Roman"/>
          <w:bCs/>
          <w:sz w:val="24"/>
          <w:szCs w:val="24"/>
          <w:highlight w:val="none"/>
          <w:lang w:val="en"/>
        </w:rPr>
        <w:br w:type="page" w:clear="all"/>
      </w:r>
      <w:bookmarkStart w:id="201" w:name="_Toc14501"/>
      <w:r/>
      <w:bookmarkStart w:id="202" w:name="_Toc120614281"/>
      <w:r>
        <w:rPr>
          <w:rFonts w:hint="eastAsia" w:ascii="宋体" w:hAnsi="宋体" w:eastAsia="宋体" w:cs="宋体"/>
          <w:bCs/>
          <w:sz w:val="36"/>
          <w:szCs w:val="36"/>
          <w:highlight w:val="none"/>
        </w:rPr>
        <w:t xml:space="preserve">第五章  </w:t>
      </w:r>
      <w:r>
        <w:rPr>
          <w:rFonts w:hint="eastAsia" w:ascii="宋体" w:hAnsi="宋体" w:eastAsia="宋体" w:cs="宋体"/>
          <w:b/>
          <w:bCs/>
          <w:sz w:val="36"/>
          <w:szCs w:val="36"/>
          <w:highlight w:val="none"/>
        </w:rPr>
        <w:t xml:space="preserve">评标方法与评标标准</w:t>
      </w:r>
      <w:bookmarkEnd w:id="201"/>
      <w:r>
        <w:rPr>
          <w:rFonts w:hint="eastAsia" w:ascii="宋体" w:hAnsi="宋体" w:eastAsia="宋体" w:cs="宋体"/>
          <w:bCs/>
          <w:sz w:val="36"/>
          <w:szCs w:val="36"/>
          <w:highlight w:val="none"/>
        </w:rPr>
      </w:r>
      <w:r/>
    </w:p>
    <w:p>
      <w:pPr>
        <w:pStyle w:val="995"/>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rPr>
          <w:rFonts w:hint="eastAsia" w:ascii="宋体" w:hAnsi="宋体" w:eastAsia="宋体" w:cs="宋体"/>
          <w:b/>
          <w:sz w:val="30"/>
          <w:szCs w:val="30"/>
          <w:highlight w:val="none"/>
        </w:rPr>
      </w:r>
      <w:r/>
    </w:p>
    <w:p>
      <w:pPr>
        <w:pStyle w:val="995"/>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rPr>
          <w:rFonts w:hint="eastAsia" w:ascii="宋体" w:hAnsi="宋体" w:eastAsia="宋体" w:cs="宋体"/>
          <w:highlight w:val="none"/>
        </w:rPr>
      </w:r>
      <w:r/>
    </w:p>
    <w:p>
      <w:pPr>
        <w:pStyle w:val="995"/>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rPr>
          <w:rFonts w:hint="eastAsia" w:ascii="宋体" w:hAnsi="宋体" w:eastAsia="宋体" w:cs="宋体"/>
          <w:highlight w:val="none"/>
          <w:lang w:eastAsia="en-US"/>
        </w:rPr>
      </w:r>
      <w:r/>
    </w:p>
    <w:p>
      <w:pPr>
        <w:pStyle w:val="995"/>
        <w:ind w:firstLine="480"/>
        <w:spacing w:before="0" w:after="0" w:line="500" w:lineRule="exact"/>
        <w:rPr>
          <w:rStyle w:val="981"/>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981"/>
          <w:rFonts w:hint="eastAsia" w:ascii="宋体" w:hAnsi="宋体" w:eastAsia="宋体" w:cs="宋体"/>
          <w:highlight w:val="none"/>
        </w:rPr>
      </w:r>
      <w:r/>
    </w:p>
    <w:p>
      <w:pPr>
        <w:pStyle w:val="995"/>
        <w:ind w:firstLine="48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eastAsia="宋体" w:cs="宋体"/>
          <w:highlight w:val="none"/>
          <w:shd w:val="clear" w:color="ffffff" w:fill="d9d9d9"/>
        </w:rPr>
      </w:r>
      <w:r/>
    </w:p>
    <w:p>
      <w:pPr>
        <w:pStyle w:val="995"/>
        <w:ind w:firstLine="480"/>
        <w:spacing w:before="0" w:after="0" w:line="500" w:lineRule="exact"/>
        <w:rPr>
          <w:rFonts w:hint="eastAsia" w:ascii="宋体" w:hAnsi="宋体" w:eastAsia="宋体" w:cs="宋体"/>
          <w:b/>
          <w:sz w:val="30"/>
          <w:szCs w:val="30"/>
          <w:highlight w:val="none"/>
        </w:rPr>
      </w:pPr>
      <w:r>
        <w:rPr>
          <w:rFonts w:hint="eastAsia" w:ascii="宋体" w:hAnsi="宋体" w:eastAsia="宋体" w:cs="宋体"/>
          <w:highlight w:val="none"/>
          <w:shd w:val="clear" w:color="ffffff" w:fill="d9d9d9"/>
        </w:rPr>
        <w:br w:type="page" w:clear="all"/>
      </w:r>
      <w:r>
        <w:rPr>
          <w:rFonts w:hint="eastAsia" w:ascii="宋体" w:hAnsi="宋体" w:eastAsia="宋体" w:cs="宋体"/>
          <w:b/>
          <w:sz w:val="30"/>
          <w:szCs w:val="30"/>
          <w:highlight w:val="none"/>
        </w:rPr>
        <w:t xml:space="preserve">第二部分  评标标准</w:t>
      </w:r>
      <w:r>
        <w:rPr>
          <w:rFonts w:hint="eastAsia" w:ascii="宋体" w:hAnsi="宋体" w:eastAsia="宋体" w:cs="宋体"/>
          <w:b/>
          <w:sz w:val="30"/>
          <w:szCs w:val="30"/>
          <w:highlight w:val="none"/>
        </w:rPr>
      </w:r>
      <w:r/>
    </w:p>
    <w:p>
      <w:pPr>
        <w:pStyle w:val="995"/>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rPr>
          <w:rFonts w:hint="eastAsia" w:ascii="宋体" w:hAnsi="宋体" w:eastAsia="宋体" w:cs="宋体"/>
          <w:b/>
          <w:sz w:val="28"/>
          <w:szCs w:val="28"/>
          <w:highlight w:val="none"/>
        </w:rPr>
      </w:r>
      <w:r/>
    </w:p>
    <w:p>
      <w:pPr>
        <w:pStyle w:val="719"/>
        <w:ind w:firstLine="482"/>
        <w:jc w:val="left"/>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小微型企业价格扣除：专门面向中小/小微企业的项目不做价格扣除。</w:t>
      </w:r>
      <w:r>
        <w:rPr>
          <w:rFonts w:hint="eastAsia" w:ascii="宋体" w:hAnsi="宋体" w:eastAsia="宋体" w:cs="宋体"/>
          <w:b/>
          <w:bCs/>
          <w:sz w:val="24"/>
          <w:szCs w:val="24"/>
          <w:highlight w:val="none"/>
        </w:rPr>
      </w:r>
      <w:r/>
    </w:p>
    <w:p>
      <w:pPr>
        <w:pStyle w:val="719"/>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bCs/>
          <w:sz w:val="24"/>
          <w:szCs w:val="24"/>
          <w:highlight w:val="none"/>
        </w:rPr>
      </w:r>
      <w:r/>
    </w:p>
    <w:p>
      <w:pPr>
        <w:pStyle w:val="719"/>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含新疆生产建设兵团</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出具的属于监狱企业的证明文件扫描件。</w:t>
      </w:r>
      <w:r>
        <w:rPr>
          <w:rFonts w:hint="eastAsia" w:ascii="宋体" w:hAnsi="宋体" w:eastAsia="宋体" w:cs="宋体"/>
          <w:bCs/>
          <w:sz w:val="24"/>
          <w:szCs w:val="24"/>
          <w:highlight w:val="none"/>
        </w:rPr>
      </w:r>
      <w:r/>
    </w:p>
    <w:p>
      <w:pPr>
        <w:pStyle w:val="719"/>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sz w:val="24"/>
          <w:szCs w:val="24"/>
          <w:highlight w:val="none"/>
        </w:rPr>
      </w:r>
      <w:r/>
    </w:p>
    <w:p>
      <w:pPr>
        <w:pStyle w:val="719"/>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rPr>
      </w:r>
      <w:r/>
    </w:p>
    <w:p>
      <w:pPr>
        <w:pStyle w:val="719"/>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sz w:val="24"/>
          <w:szCs w:val="24"/>
          <w:highlight w:val="none"/>
        </w:rPr>
      </w:r>
      <w:r/>
    </w:p>
    <w:p>
      <w:pPr>
        <w:pStyle w:val="719"/>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联合体各方均为小型、微型企业的，联合体视同为小型、微型企业按规定享受价格扣除。</w:t>
      </w:r>
      <w:r>
        <w:rPr>
          <w:rFonts w:hint="eastAsia" w:ascii="宋体" w:hAnsi="宋体" w:eastAsia="宋体" w:cs="宋体"/>
          <w:bCs/>
          <w:sz w:val="24"/>
          <w:szCs w:val="24"/>
          <w:highlight w:val="none"/>
        </w:rPr>
      </w:r>
      <w:r/>
    </w:p>
    <w:p>
      <w:pPr>
        <w:pStyle w:val="719"/>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eastAsia="宋体" w:cs="宋体"/>
          <w:bCs/>
          <w:sz w:val="24"/>
          <w:szCs w:val="24"/>
          <w:highlight w:val="none"/>
        </w:rPr>
      </w:r>
      <w:r/>
    </w:p>
    <w:p>
      <w:pPr>
        <w:pStyle w:val="719"/>
        <w:ind w:firstLine="420"/>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6</w:t>
      </w:r>
      <w:r>
        <w:rPr>
          <w:rFonts w:hint="eastAsia" w:ascii="宋体" w:hAnsi="宋体" w:cs="Times New Roman"/>
          <w:b/>
          <w:bCs/>
          <w:color w:val="000000"/>
          <w:sz w:val="24"/>
          <w:szCs w:val="24"/>
          <w:highlight w:val="none"/>
        </w:rPr>
        <w:t xml:space="preserve">.对本国产品的支持政策（仅适用于采购包1）：根据</w:t>
      </w:r>
      <w:r>
        <w:rPr>
          <w:rFonts w:hint="eastAsia" w:ascii="宋体" w:hAnsi="Times New Roman" w:cs="Times New Roman"/>
          <w:b/>
          <w:bCs/>
          <w:color w:val="000000"/>
          <w:sz w:val="24"/>
          <w:szCs w:val="24"/>
          <w:highlight w:val="none"/>
        </w:rPr>
        <w:t xml:space="preserve">《国务院办公厅关于在政府采购中实施本国产品标准及相关政策的通知》（国办发〔2025〕34号）要求，</w:t>
      </w:r>
      <w:r>
        <w:rPr>
          <w:rFonts w:hint="eastAsia" w:ascii="宋体" w:hAnsi="宋体" w:cs="Times New Roman"/>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cs="Times New Roman"/>
          <w:b/>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.1本国产品价格扣除政策</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cs="Times New Roman"/>
          <w:bCs/>
          <w:color w:val="000000"/>
          <w:sz w:val="24"/>
          <w:szCs w:val="24"/>
          <w:highlight w:val="none"/>
        </w:rPr>
      </w:r>
      <w:r/>
    </w:p>
    <w:p>
      <w:pPr>
        <w:pStyle w:val="719"/>
        <w:ind w:firstLine="482"/>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Times New Roman"/>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cs="Times New Roman"/>
          <w:b/>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.2注意事项</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（1）提供本国产品进行投标（报价）的供应商需在其投</w:t>
      </w:r>
      <w:r>
        <w:rPr>
          <w:rFonts w:hint="eastAsia" w:ascii="宋体" w:hAnsi="宋体" w:cs="Times New Roman"/>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其中，“符合本国产品标准的产品成本之和”是指本项目或采购包中符合本国产品标准的</w:t>
      </w:r>
      <w:r>
        <w:rPr>
          <w:rFonts w:hint="eastAsia" w:ascii="宋体" w:hAnsi="宋体" w:cs="Times New Roman"/>
          <w:b/>
          <w:bCs/>
          <w:color w:val="000000"/>
          <w:sz w:val="24"/>
          <w:szCs w:val="24"/>
          <w:highlight w:val="none"/>
        </w:rPr>
        <w:t xml:space="preserve">货物成本之和</w:t>
      </w:r>
      <w:r>
        <w:rPr>
          <w:rFonts w:hint="eastAsia" w:ascii="宋体" w:hAnsi="宋体" w:cs="Times New Roman"/>
          <w:bCs/>
          <w:color w:val="000000"/>
          <w:sz w:val="24"/>
          <w:szCs w:val="24"/>
          <w:highlight w:val="none"/>
        </w:rPr>
        <w:t xml:space="preserve">；“全部产品成本之和”是指货物或服务项目（或者采购包）中包含的</w:t>
      </w:r>
      <w:r>
        <w:rPr>
          <w:rFonts w:hint="eastAsia" w:ascii="宋体" w:hAnsi="宋体" w:cs="Times New Roman"/>
          <w:b/>
          <w:bCs/>
          <w:color w:val="000000"/>
          <w:sz w:val="24"/>
          <w:szCs w:val="24"/>
          <w:highlight w:val="none"/>
        </w:rPr>
        <w:t xml:space="preserve">全部货物、服务产品的成本之和</w:t>
      </w:r>
      <w:r>
        <w:rPr>
          <w:rFonts w:hint="eastAsia" w:ascii="宋体" w:hAnsi="宋体" w:cs="Times New Roman"/>
          <w:bCs/>
          <w:color w:val="000000"/>
          <w:sz w:val="24"/>
          <w:szCs w:val="24"/>
          <w:highlight w:val="none"/>
        </w:rPr>
        <w:t xml:space="preserve">。</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即，当小微型企业价格扣除政策和本国产品价格扣除政策同时享受时，按以下计算方式进行计算：</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供应商参与评审的报价=供应商投标总报价×[1-（小微型企业价格扣除+本国产品价格扣除）]</w:t>
      </w:r>
      <w:r>
        <w:rPr>
          <w:rFonts w:hint="eastAsia" w:ascii="宋体" w:hAnsi="宋体" w:cs="Times New Roman"/>
          <w:bCs/>
          <w:color w:val="000000"/>
          <w:sz w:val="24"/>
          <w:szCs w:val="24"/>
          <w:highlight w:val="none"/>
        </w:rPr>
      </w:r>
      <w:r/>
    </w:p>
    <w:p>
      <w:pPr>
        <w:pStyle w:val="719"/>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cs="Times New Roman"/>
          <w:bCs/>
          <w:color w:val="000000"/>
          <w:sz w:val="24"/>
          <w:szCs w:val="24"/>
          <w:highlight w:val="none"/>
        </w:rPr>
      </w:r>
      <w:r/>
    </w:p>
    <w:p>
      <w:pPr>
        <w:pStyle w:val="731"/>
        <w:rPr>
          <w:rFonts w:hint="eastAsia"/>
          <w:highlight w:val="none"/>
        </w:rPr>
      </w:pPr>
      <w:r>
        <w:rPr>
          <w:rFonts w:hint="eastAsia" w:ascii="宋体" w:hAnsi="宋体" w:cs="Times New Roman"/>
          <w:bCs/>
          <w:color w:val="000000"/>
          <w:sz w:val="24"/>
          <w:szCs w:val="24"/>
          <w:highlight w:val="none"/>
        </w:rPr>
        <w:t xml:space="preserve">1000000×[1-（10%+20%）]=700000元</w:t>
      </w:r>
      <w:r>
        <w:rPr>
          <w:rFonts w:hint="eastAsia"/>
          <w:highlight w:val="none"/>
        </w:rPr>
      </w:r>
      <w:r/>
    </w:p>
    <w:p>
      <w:pPr>
        <w:pStyle w:val="995"/>
        <w:ind w:firstLine="36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highlight w:val="none"/>
          <w:shd w:val="clear" w:color="ffffff" w:fill="d9d9d9"/>
        </w:rPr>
        <w:br w:type="page" w:clear="all"/>
      </w:r>
      <w:r>
        <w:rPr>
          <w:rFonts w:hint="eastAsia" w:ascii="宋体" w:hAnsi="宋体" w:eastAsia="宋体" w:cs="宋体"/>
          <w:b/>
          <w:sz w:val="28"/>
          <w:szCs w:val="28"/>
          <w:highlight w:val="none"/>
        </w:rPr>
        <w:t xml:space="preserve">二、评分标准</w:t>
      </w:r>
      <w:r>
        <w:rPr>
          <w:rFonts w:hint="eastAsia" w:ascii="宋体" w:hAnsi="宋体" w:eastAsia="宋体" w:cs="宋体"/>
          <w:highlight w:val="none"/>
          <w:shd w:val="clear" w:color="ffffff" w:fill="d9d9d9"/>
        </w:rPr>
      </w:r>
      <w:r/>
    </w:p>
    <w:p>
      <w:pPr>
        <w:pStyle w:val="995"/>
        <w:ind w:firstLine="422"/>
        <w:keepLines w:val="0"/>
        <w:keepNext w:val="0"/>
        <w:pageBreakBefore w:val="0"/>
        <w:spacing w:before="0" w:after="0" w:line="44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（一）商务部分</w:t>
      </w:r>
      <w:r>
        <w:rPr>
          <w:rFonts w:hint="eastAsia" w:ascii="宋体" w:hAnsi="宋体" w:eastAsia="宋体" w:cs="宋体"/>
          <w:b/>
          <w:sz w:val="28"/>
          <w:szCs w:val="28"/>
          <w:highlight w:val="none"/>
        </w:rPr>
      </w:r>
      <w:r/>
    </w:p>
    <w:p>
      <w:pPr>
        <w:pStyle w:val="719"/>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1.</w:t>
      </w:r>
      <w:r>
        <w:rPr>
          <w:rFonts w:hint="eastAsia" w:ascii="宋体" w:hAnsi="宋体" w:eastAsia="宋体" w:cs="宋体"/>
          <w:b/>
          <w:bCs/>
          <w:color w:val="000000"/>
          <w:sz w:val="28"/>
          <w:szCs w:val="28"/>
          <w:highlight w:val="none"/>
        </w:rPr>
        <w:t xml:space="preserve">价格（</w:t>
      </w:r>
      <w:r>
        <w:rPr>
          <w:rFonts w:hint="eastAsia" w:ascii="宋体" w:hAnsi="宋体" w:eastAsia="宋体" w:cs="宋体"/>
          <w:b/>
          <w:bCs/>
          <w:color w:val="000000"/>
          <w:sz w:val="28"/>
          <w:szCs w:val="28"/>
          <w:highlight w:val="none"/>
          <w:lang w:val="en-US" w:eastAsia="zh-CN"/>
        </w:rPr>
        <w:t xml:space="preserve">50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rPr>
      </w:r>
      <w:r/>
    </w:p>
    <w:p>
      <w:pPr>
        <w:pStyle w:val="719"/>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8"/>
          <w:szCs w:val="28"/>
          <w:highlight w:val="none"/>
        </w:rPr>
      </w:r>
      <w:r/>
    </w:p>
    <w:p>
      <w:pPr>
        <w:pStyle w:val="719"/>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投标报价得分=</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评标基准价／投标报价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×价格权值×100。</w:t>
      </w:r>
      <w:r>
        <w:rPr>
          <w:rFonts w:hint="eastAsia" w:ascii="宋体" w:hAnsi="宋体" w:eastAsia="宋体" w:cs="宋体"/>
          <w:bCs/>
          <w:color w:val="000000"/>
          <w:sz w:val="28"/>
          <w:szCs w:val="28"/>
          <w:highlight w:val="none"/>
        </w:rPr>
      </w:r>
      <w:r/>
    </w:p>
    <w:p>
      <w:pPr>
        <w:pStyle w:val="719"/>
        <w:ind w:firstLine="480"/>
        <w:jc w:val="left"/>
        <w:keepLines w:val="0"/>
        <w:keepNext w:val="0"/>
        <w:pageBreakBefore w:val="0"/>
        <w:spacing w:line="440" w:lineRule="exact"/>
        <w:widowControl w:val="off"/>
        <w:rPr>
          <w:rFonts w:hint="eastAsia" w:ascii="宋体" w:hAnsi="宋体" w:eastAsia="宋体" w:cs="宋体"/>
          <w:b/>
          <w:sz w:val="28"/>
          <w:szCs w:val="28"/>
          <w:highlight w:val="none"/>
        </w:rPr>
      </w:pPr>
      <w:r>
        <w:rPr>
          <w:rFonts w:hint="eastAsia" w:ascii="宋体" w:hAnsi="宋体" w:eastAsia="宋体" w:cs="宋体"/>
          <w:bCs/>
          <w:sz w:val="28"/>
          <w:szCs w:val="28"/>
          <w:highlight w:val="none"/>
        </w:rPr>
        <w:t xml:space="preserve">关于价格扣除详见本章第二部分“一、落实政府采购政策的价格调整”。</w:t>
      </w:r>
      <w:r>
        <w:rPr>
          <w:rFonts w:hint="eastAsia" w:ascii="宋体" w:hAnsi="宋体" w:eastAsia="宋体" w:cs="宋体"/>
          <w:b/>
          <w:sz w:val="28"/>
          <w:szCs w:val="28"/>
          <w:highlight w:val="none"/>
        </w:rPr>
      </w:r>
      <w:r/>
    </w:p>
    <w:p>
      <w:pPr>
        <w:pStyle w:val="719"/>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2.</w:t>
      </w:r>
      <w:r>
        <w:rPr>
          <w:rFonts w:hint="eastAsia" w:ascii="宋体" w:hAnsi="宋体" w:eastAsia="宋体" w:cs="宋体"/>
          <w:b/>
          <w:bCs/>
          <w:color w:val="000000"/>
          <w:sz w:val="28"/>
          <w:szCs w:val="28"/>
          <w:highlight w:val="none"/>
        </w:rPr>
        <w:t xml:space="preserve">投标人综合实力（</w:t>
      </w:r>
      <w:r>
        <w:rPr>
          <w:rFonts w:hint="eastAsia" w:ascii="宋体" w:hAnsi="宋体" w:eastAsia="宋体" w:cs="宋体"/>
          <w:b/>
          <w:bCs/>
          <w:color w:val="000000"/>
          <w:sz w:val="28"/>
          <w:szCs w:val="28"/>
          <w:highlight w:val="none"/>
          <w:lang w:val="en-US" w:eastAsia="zh-CN"/>
        </w:rPr>
        <w:t xml:space="preserve">10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r>
      <w:r/>
    </w:p>
    <w:p>
      <w:pPr>
        <w:pStyle w:val="719"/>
        <w:ind w:left="0" w:right="0" w:firstLine="492"/>
        <w:keepLines w:val="0"/>
        <w:keepNext w:val="0"/>
        <w:pageBreakBefore w:val="0"/>
        <w:spacing w:line="360" w:lineRule="auto"/>
        <w:widowControl/>
        <w:rPr>
          <w:rFonts w:hint="eastAsia" w:ascii="宋体" w:hAnsi="宋体" w:eastAsia="宋体" w:cs="宋体"/>
          <w:b/>
          <w:bCs/>
          <w:color w:val="000000"/>
          <w:spacing w:val="-2"/>
          <w:sz w:val="28"/>
          <w:szCs w:val="28"/>
          <w:highlight w:val="none"/>
          <w:lang w:eastAsia="zh-CN"/>
        </w:rPr>
      </w:pPr>
      <w:r>
        <w:rPr>
          <w:rFonts w:hint="eastAsia" w:ascii="宋体" w:hAnsi="宋体" w:eastAsia="宋体" w:cs="宋体"/>
          <w:b w:val="0"/>
          <w:bCs w:val="0"/>
          <w:spacing w:val="-2"/>
          <w:sz w:val="28"/>
          <w:szCs w:val="28"/>
          <w:highlight w:val="none"/>
          <w:lang w:eastAsia="zh-CN"/>
        </w:rPr>
        <w:t xml:space="preserve">（1）</w:t>
      </w:r>
      <w:r>
        <w:rPr>
          <w:rFonts w:hint="eastAsia" w:ascii="宋体" w:hAnsi="宋体" w:eastAsia="宋体" w:cs="宋体"/>
          <w:b w:val="0"/>
          <w:bCs w:val="0"/>
          <w:color w:val="000000"/>
          <w:sz w:val="28"/>
          <w:szCs w:val="28"/>
          <w:highlight w:val="none"/>
          <w:u w:val="none"/>
          <w:lang w:val="en-US" w:eastAsia="zh-CN" w:bidi="ar-SA"/>
        </w:rPr>
        <w:t xml:space="preserve">投标</w:t>
      </w:r>
      <w:r>
        <w:rPr>
          <w:rFonts w:hint="eastAsia" w:ascii="宋体" w:hAnsi="宋体" w:eastAsia="宋体" w:cs="宋体"/>
          <w:sz w:val="28"/>
          <w:szCs w:val="28"/>
          <w:highlight w:val="none"/>
          <w:lang w:val="en-US" w:eastAsia="zh-CN"/>
        </w:rPr>
        <w:t xml:space="preserve">人</w:t>
      </w:r>
      <w:r>
        <w:rPr>
          <w:rFonts w:hint="eastAsia" w:ascii="宋体" w:hAnsi="宋体" w:eastAsia="宋体" w:cs="宋体"/>
          <w:b w:val="0"/>
          <w:bCs w:val="0"/>
          <w:color w:val="000000"/>
          <w:sz w:val="28"/>
          <w:szCs w:val="28"/>
          <w:highlight w:val="none"/>
          <w:u w:val="none"/>
          <w:lang w:val="en-US" w:eastAsia="zh-CN" w:bidi="ar-SA"/>
        </w:rPr>
        <w:t xml:space="preserve">具有</w:t>
      </w:r>
      <w:r>
        <w:rPr>
          <w:rFonts w:hint="eastAsia" w:ascii="宋体" w:hAnsi="宋体" w:eastAsia="宋体" w:cs="宋体"/>
          <w:sz w:val="28"/>
          <w:szCs w:val="28"/>
          <w:highlight w:val="none"/>
          <w:lang w:val="en-US" w:eastAsia="zh-CN"/>
        </w:rPr>
        <w:t xml:space="preserve">有效期内的燃气器具的安装、维修</w:t>
      </w:r>
      <w:r>
        <w:rPr>
          <w:rFonts w:hint="eastAsia" w:ascii="宋体" w:hAnsi="宋体" w:eastAsia="宋体" w:cs="宋体"/>
          <w:b w:val="0"/>
          <w:bCs w:val="0"/>
          <w:color w:val="000000"/>
          <w:sz w:val="28"/>
          <w:szCs w:val="28"/>
          <w:highlight w:val="none"/>
          <w:u w:val="none"/>
          <w:lang w:val="en-US" w:eastAsia="zh-CN" w:bidi="ar-SA"/>
        </w:rPr>
        <w:t xml:space="preserve">资质证书的</w:t>
      </w:r>
      <w:r>
        <w:rPr>
          <w:rFonts w:hint="eastAsia" w:ascii="宋体" w:hAnsi="宋体" w:eastAsia="宋体" w:cs="宋体"/>
          <w:b/>
          <w:bCs/>
          <w:color w:val="000000"/>
          <w:spacing w:val="-2"/>
          <w:sz w:val="28"/>
          <w:szCs w:val="28"/>
          <w:highlight w:val="none"/>
        </w:rPr>
        <w:t xml:space="preserve">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38"/>
          <w:sz w:val="28"/>
          <w:szCs w:val="28"/>
          <w:highlight w:val="none"/>
          <w:lang w:val="en-US" w:eastAsia="zh-CN"/>
        </w:rPr>
        <w:t xml:space="preserve">1</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提供有效期内的证书原件扫描件</w:t>
      </w:r>
      <w:r>
        <w:rPr>
          <w:rFonts w:hint="eastAsia" w:ascii="宋体" w:hAnsi="宋体" w:eastAsia="宋体" w:cs="宋体"/>
          <w:b/>
          <w:bCs/>
          <w:strike w:val="0"/>
          <w:spacing w:val="-2"/>
          <w:sz w:val="28"/>
          <w:szCs w:val="28"/>
          <w:highlight w:val="none"/>
        </w:rPr>
        <w:t xml:space="preserve">上传至</w:t>
      </w:r>
      <w:r>
        <w:rPr>
          <w:rFonts w:hint="eastAsia" w:ascii="宋体" w:hAnsi="宋体" w:eastAsia="宋体" w:cs="宋体"/>
          <w:b/>
          <w:bCs/>
          <w:strike w:val="0"/>
          <w:color w:val="000000"/>
          <w:sz w:val="28"/>
          <w:szCs w:val="28"/>
          <w:highlight w:val="none"/>
        </w:rPr>
        <w:t xml:space="preserve">投标</w:t>
      </w:r>
      <w:r>
        <w:rPr>
          <w:rFonts w:hint="eastAsia" w:ascii="宋体" w:hAnsi="宋体" w:eastAsia="宋体" w:cs="宋体"/>
          <w:b/>
          <w:bCs/>
          <w:color w:val="000000"/>
          <w:sz w:val="28"/>
          <w:szCs w:val="28"/>
          <w:highlight w:val="none"/>
        </w:rPr>
        <w:t xml:space="preserve">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2"/>
          <w:sz w:val="28"/>
          <w:szCs w:val="28"/>
          <w:highlight w:val="none"/>
          <w:lang w:eastAsia="zh-CN"/>
        </w:rPr>
      </w:r>
      <w:r/>
    </w:p>
    <w:p>
      <w:pPr>
        <w:pStyle w:val="719"/>
        <w:ind w:left="0" w:right="0" w:firstLine="492"/>
        <w:keepLines w:val="0"/>
        <w:keepNext w:val="0"/>
        <w:pageBreakBefore w:val="0"/>
        <w:spacing w:line="360" w:lineRule="auto"/>
        <w:widowControl/>
        <w:rPr>
          <w:rFonts w:hint="eastAsia" w:ascii="宋体" w:hAnsi="宋体" w:eastAsia="宋体" w:cs="宋体"/>
          <w:b/>
          <w:bCs/>
          <w:spacing w:val="-2"/>
          <w:sz w:val="28"/>
          <w:szCs w:val="28"/>
          <w:highlight w:val="none"/>
        </w:rPr>
      </w:pPr>
      <w:r>
        <w:rPr>
          <w:rFonts w:hint="eastAsia" w:ascii="宋体" w:hAnsi="宋体" w:eastAsia="宋体" w:cs="宋体"/>
          <w:b w:val="0"/>
          <w:bCs w:val="0"/>
          <w:spacing w:val="-2"/>
          <w:sz w:val="28"/>
          <w:szCs w:val="28"/>
          <w:highlight w:val="none"/>
          <w:lang w:eastAsia="zh-CN"/>
        </w:rPr>
        <w:t xml:space="preserve">（2）</w:t>
      </w:r>
      <w:r>
        <w:rPr>
          <w:rFonts w:hint="eastAsia" w:ascii="宋体" w:hAnsi="宋体" w:eastAsia="宋体" w:cs="宋体"/>
          <w:b w:val="0"/>
          <w:bCs w:val="0"/>
          <w:color w:val="000000"/>
          <w:sz w:val="28"/>
          <w:szCs w:val="28"/>
          <w:highlight w:val="none"/>
          <w:u w:val="none"/>
          <w:lang w:val="en-US" w:eastAsia="zh-CN" w:bidi="ar-SA"/>
        </w:rPr>
        <w:t xml:space="preserve">投标</w:t>
      </w:r>
      <w:r>
        <w:rPr>
          <w:rFonts w:hint="eastAsia" w:ascii="宋体" w:hAnsi="宋体" w:eastAsia="宋体" w:cs="宋体"/>
          <w:sz w:val="28"/>
          <w:szCs w:val="28"/>
          <w:highlight w:val="none"/>
          <w:lang w:val="en-US" w:eastAsia="zh-CN"/>
        </w:rPr>
        <w:t xml:space="preserve">人</w:t>
      </w:r>
      <w:r>
        <w:rPr>
          <w:rFonts w:hint="eastAsia" w:ascii="宋体" w:hAnsi="宋体" w:eastAsia="宋体" w:cs="宋体"/>
          <w:spacing w:val="-2"/>
          <w:sz w:val="28"/>
          <w:szCs w:val="28"/>
          <w:highlight w:val="none"/>
        </w:rPr>
        <w:t xml:space="preserve">自 202</w:t>
      </w:r>
      <w:r>
        <w:rPr>
          <w:rFonts w:hint="eastAsia" w:ascii="宋体" w:hAnsi="宋体" w:eastAsia="宋体" w:cs="宋体"/>
          <w:spacing w:val="-2"/>
          <w:sz w:val="28"/>
          <w:szCs w:val="28"/>
          <w:highlight w:val="none"/>
          <w:lang w:val="en-US" w:eastAsia="zh-CN"/>
        </w:rPr>
        <w:t xml:space="preserve">3</w:t>
      </w:r>
      <w:r>
        <w:rPr>
          <w:rFonts w:hint="eastAsia" w:ascii="宋体" w:hAnsi="宋体" w:eastAsia="宋体" w:cs="宋体"/>
          <w:spacing w:val="-2"/>
          <w:sz w:val="28"/>
          <w:szCs w:val="28"/>
          <w:highlight w:val="none"/>
        </w:rPr>
        <w:t xml:space="preserve">年1月1日（含）以来</w:t>
      </w:r>
      <w:r>
        <w:rPr>
          <w:rFonts w:hint="eastAsia" w:ascii="宋体" w:hAnsi="宋体" w:eastAsia="宋体" w:cs="宋体"/>
          <w:spacing w:val="-2"/>
          <w:sz w:val="28"/>
          <w:szCs w:val="28"/>
          <w:highlight w:val="none"/>
          <w:lang w:val="en-US" w:eastAsia="zh-CN"/>
        </w:rPr>
        <w:t xml:space="preserve">承担</w:t>
      </w:r>
      <w:r>
        <w:rPr>
          <w:rFonts w:hint="eastAsia" w:ascii="宋体" w:hAnsi="宋体" w:eastAsia="宋体" w:cs="宋体"/>
          <w:spacing w:val="-2"/>
          <w:sz w:val="28"/>
          <w:szCs w:val="28"/>
          <w:highlight w:val="none"/>
        </w:rPr>
        <w:t xml:space="preserve">过</w:t>
      </w:r>
      <w:r>
        <w:rPr>
          <w:rFonts w:hint="eastAsia" w:ascii="宋体" w:hAnsi="宋体" w:eastAsia="宋体" w:cs="宋体"/>
          <w:spacing w:val="-2"/>
          <w:sz w:val="28"/>
          <w:szCs w:val="28"/>
          <w:highlight w:val="none"/>
          <w:lang w:val="en-US" w:eastAsia="zh-CN"/>
        </w:rPr>
        <w:t xml:space="preserve">类似</w:t>
      </w:r>
      <w:r>
        <w:rPr>
          <w:rFonts w:hint="eastAsia" w:ascii="宋体" w:hAnsi="宋体" w:eastAsia="宋体" w:cs="宋体"/>
          <w:spacing w:val="-2"/>
          <w:sz w:val="28"/>
          <w:szCs w:val="28"/>
          <w:highlight w:val="none"/>
        </w:rPr>
        <w:t xml:space="preserve">项目</w:t>
      </w:r>
      <w:r>
        <w:rPr>
          <w:rFonts w:hint="eastAsia" w:ascii="宋体" w:hAnsi="宋体" w:eastAsia="宋体" w:cs="宋体"/>
          <w:bCs/>
          <w:color w:val="000000"/>
          <w:sz w:val="28"/>
          <w:szCs w:val="28"/>
          <w:highlight w:val="none"/>
        </w:rPr>
        <w:t xml:space="preserve">业绩的</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val="0"/>
          <w:bCs w:val="0"/>
          <w:color w:val="000000"/>
          <w:spacing w:val="-2"/>
          <w:sz w:val="28"/>
          <w:szCs w:val="28"/>
          <w:highlight w:val="none"/>
        </w:rPr>
        <w:t xml:space="preserve">每提供一个业绩得</w:t>
      </w:r>
      <w:r>
        <w:rPr>
          <w:rFonts w:hint="eastAsia" w:ascii="宋体" w:hAnsi="宋体" w:eastAsia="宋体" w:cs="宋体"/>
          <w:b w:val="0"/>
          <w:bCs w:val="0"/>
          <w:color w:val="000000"/>
          <w:spacing w:val="-2"/>
          <w:sz w:val="28"/>
          <w:szCs w:val="28"/>
          <w:highlight w:val="none"/>
          <w:lang w:val="en-US" w:eastAsia="zh-CN"/>
        </w:rPr>
        <w:t xml:space="preserve">1</w:t>
      </w:r>
      <w:r>
        <w:rPr>
          <w:rFonts w:hint="eastAsia" w:ascii="宋体" w:hAnsi="宋体" w:eastAsia="宋体" w:cs="宋体"/>
          <w:b w:val="0"/>
          <w:bCs w:val="0"/>
          <w:color w:val="000000"/>
          <w:spacing w:val="-2"/>
          <w:sz w:val="28"/>
          <w:szCs w:val="28"/>
          <w:highlight w:val="none"/>
        </w:rPr>
        <w:t xml:space="preserve">分，</w:t>
      </w:r>
      <w:r>
        <w:rPr>
          <w:rFonts w:hint="eastAsia" w:ascii="宋体" w:hAnsi="宋体" w:eastAsia="宋体" w:cs="宋体"/>
          <w:b w:val="0"/>
          <w:bCs w:val="0"/>
          <w:color w:val="000000"/>
          <w:sz w:val="28"/>
          <w:szCs w:val="28"/>
          <w:highlight w:val="none"/>
        </w:rPr>
        <w:t xml:space="preserve">最高</w:t>
      </w:r>
      <w:r>
        <w:rPr>
          <w:rFonts w:hint="eastAsia" w:ascii="宋体" w:hAnsi="宋体" w:eastAsia="宋体" w:cs="宋体"/>
          <w:b w:val="0"/>
          <w:bCs w:val="0"/>
          <w:color w:val="000000"/>
          <w:spacing w:val="-2"/>
          <w:sz w:val="28"/>
          <w:szCs w:val="28"/>
          <w:highlight w:val="none"/>
        </w:rPr>
        <w:t xml:space="preserve">得</w:t>
      </w:r>
      <w:r>
        <w:rPr>
          <w:rFonts w:hint="eastAsia" w:ascii="宋体" w:hAnsi="宋体" w:eastAsia="宋体" w:cs="宋体"/>
          <w:b w:val="0"/>
          <w:bCs w:val="0"/>
          <w:color w:val="000000"/>
          <w:spacing w:val="-2"/>
          <w:sz w:val="28"/>
          <w:szCs w:val="28"/>
          <w:highlight w:val="none"/>
          <w:lang w:val="en-US" w:eastAsia="zh-CN"/>
        </w:rPr>
        <w:t xml:space="preserve">2</w:t>
      </w:r>
      <w:r>
        <w:rPr>
          <w:rFonts w:hint="eastAsia" w:ascii="宋体" w:hAnsi="宋体" w:eastAsia="宋体" w:cs="宋体"/>
          <w:b w:val="0"/>
          <w:bCs w:val="0"/>
          <w:color w:val="000000"/>
          <w:spacing w:val="-2"/>
          <w:sz w:val="28"/>
          <w:szCs w:val="28"/>
          <w:highlight w:val="none"/>
        </w:rPr>
        <w:t xml:space="preserve">分。</w:t>
      </w:r>
      <w:r>
        <w:rPr>
          <w:rFonts w:hint="eastAsia" w:ascii="宋体" w:hAnsi="宋体" w:eastAsia="宋体" w:cs="宋体"/>
          <w:b/>
          <w:bCs/>
          <w:color w:val="000000"/>
          <w:spacing w:val="-2"/>
          <w:sz w:val="28"/>
          <w:szCs w:val="28"/>
          <w:highlight w:val="none"/>
        </w:rPr>
        <w:t xml:space="preserve">时间以</w:t>
      </w:r>
      <w:r>
        <w:rPr>
          <w:rFonts w:hint="eastAsia" w:ascii="宋体" w:hAnsi="宋体" w:eastAsia="宋体" w:cs="宋体"/>
          <w:b/>
          <w:bCs/>
          <w:spacing w:val="-2"/>
          <w:sz w:val="28"/>
          <w:szCs w:val="28"/>
          <w:highlight w:val="none"/>
          <w:lang w:val="en-US" w:eastAsia="zh-CN"/>
        </w:rPr>
        <w:t xml:space="preserve">竣工验收合格</w:t>
      </w:r>
      <w:r>
        <w:rPr>
          <w:rFonts w:hint="eastAsia" w:ascii="宋体" w:hAnsi="宋体" w:eastAsia="宋体" w:cs="宋体"/>
          <w:b/>
          <w:bCs/>
          <w:spacing w:val="-2"/>
          <w:sz w:val="28"/>
          <w:szCs w:val="28"/>
          <w:highlight w:val="none"/>
        </w:rPr>
        <w:t xml:space="preserve">时间为准，</w:t>
      </w:r>
      <w:r>
        <w:rPr>
          <w:rFonts w:hint="eastAsia" w:ascii="宋体" w:hAnsi="宋体" w:eastAsia="宋体" w:cs="宋体"/>
          <w:b/>
          <w:bCs/>
          <w:spacing w:val="-2"/>
          <w:sz w:val="28"/>
          <w:szCs w:val="28"/>
          <w:highlight w:val="none"/>
          <w:lang w:val="en-US" w:eastAsia="zh-CN"/>
        </w:rPr>
        <w:t xml:space="preserve">须</w:t>
      </w:r>
      <w:r>
        <w:rPr>
          <w:rFonts w:hint="eastAsia" w:ascii="宋体" w:hAnsi="宋体" w:eastAsia="宋体" w:cs="宋体"/>
          <w:b/>
          <w:bCs/>
          <w:spacing w:val="-2"/>
          <w:sz w:val="28"/>
          <w:szCs w:val="28"/>
          <w:highlight w:val="none"/>
        </w:rPr>
        <w:t xml:space="preserve">提供合同</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lang w:val="en-US" w:eastAsia="zh-CN"/>
        </w:rPr>
        <w:t xml:space="preserve">竣工验收证明等</w:t>
      </w:r>
      <w:r>
        <w:rPr>
          <w:rFonts w:hint="eastAsia" w:ascii="宋体" w:hAnsi="宋体" w:eastAsia="宋体" w:cs="宋体"/>
          <w:b/>
          <w:bCs/>
          <w:spacing w:val="-2"/>
          <w:sz w:val="28"/>
          <w:szCs w:val="28"/>
          <w:highlight w:val="none"/>
        </w:rPr>
        <w:t xml:space="preserve">原件扫描上传至投标文件中，未提供不得分。</w:t>
      </w:r>
      <w:r>
        <w:rPr>
          <w:rFonts w:hint="eastAsia" w:ascii="宋体" w:hAnsi="宋体" w:eastAsia="宋体" w:cs="宋体"/>
          <w:b/>
          <w:bCs/>
          <w:spacing w:val="-2"/>
          <w:sz w:val="28"/>
          <w:szCs w:val="28"/>
          <w:highlight w:val="none"/>
        </w:rPr>
      </w:r>
      <w:r/>
    </w:p>
    <w:p>
      <w:pPr>
        <w:pStyle w:val="719"/>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Cs/>
          <w:color w:val="000000"/>
          <w:sz w:val="28"/>
          <w:szCs w:val="28"/>
          <w:highlight w:val="none"/>
          <w:lang w:val="en-US" w:eastAsia="zh-CN"/>
        </w:rPr>
      </w:pPr>
      <w:r>
        <w:rPr>
          <w:rFonts w:hint="eastAsia" w:ascii="宋体" w:hAnsi="宋体" w:eastAsia="宋体" w:cs="宋体"/>
          <w:b/>
          <w:bCs/>
          <w:spacing w:val="-2"/>
          <w:sz w:val="28"/>
          <w:szCs w:val="28"/>
          <w:highlight w:val="none"/>
          <w:lang w:val="en-US" w:eastAsia="zh-CN"/>
        </w:rPr>
        <w:t xml:space="preserve">（3） 投标人拟派项目</w:t>
      </w:r>
      <w:r>
        <w:rPr>
          <w:rFonts w:hint="eastAsia" w:ascii="宋体" w:hAnsi="宋体" w:eastAsia="宋体" w:cs="宋体"/>
          <w:b/>
          <w:bCs/>
          <w:color w:val="000000"/>
          <w:sz w:val="28"/>
          <w:szCs w:val="28"/>
          <w:highlight w:val="none"/>
        </w:rPr>
        <w:t xml:space="preserve">人员情况</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7分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r>
      <w:r/>
    </w:p>
    <w:p>
      <w:pPr>
        <w:pStyle w:val="719"/>
        <w:ind w:firstLine="480"/>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①投标人</w:t>
      </w:r>
      <w:r>
        <w:rPr>
          <w:rFonts w:hint="eastAsia" w:ascii="宋体" w:hAnsi="宋体" w:eastAsia="宋体" w:cs="宋体"/>
          <w:bCs/>
          <w:color w:val="000000"/>
          <w:sz w:val="28"/>
          <w:szCs w:val="28"/>
          <w:highlight w:val="none"/>
        </w:rPr>
        <w:t xml:space="preserve">项目</w:t>
      </w:r>
      <w:r>
        <w:rPr>
          <w:rFonts w:hint="eastAsia" w:ascii="宋体" w:hAnsi="宋体" w:eastAsia="宋体" w:cs="宋体"/>
          <w:bCs/>
          <w:color w:val="000000"/>
          <w:sz w:val="28"/>
          <w:szCs w:val="28"/>
          <w:highlight w:val="none"/>
          <w:lang w:val="en-US" w:eastAsia="zh-CN"/>
        </w:rPr>
        <w:t xml:space="preserve">负责人</w:t>
      </w:r>
      <w:r>
        <w:rPr>
          <w:rFonts w:hint="eastAsia" w:ascii="宋体" w:hAnsi="宋体" w:eastAsia="宋体" w:cs="宋体"/>
          <w:b w:val="0"/>
          <w:bCs w:val="0"/>
          <w:sz w:val="28"/>
          <w:szCs w:val="28"/>
          <w:highlight w:val="none"/>
          <w:lang w:val="en-US" w:eastAsia="zh-CN"/>
        </w:rPr>
        <w:t xml:space="preserve">具有</w:t>
      </w:r>
      <w:r>
        <w:rPr>
          <w:rFonts w:hint="eastAsia" w:ascii="宋体" w:hAnsi="宋体" w:eastAsia="宋体" w:cs="宋体"/>
          <w:b w:val="0"/>
          <w:bCs w:val="0"/>
          <w:strike w:val="0"/>
          <w:sz w:val="28"/>
          <w:szCs w:val="28"/>
          <w:highlight w:val="none"/>
          <w:lang w:val="en-US" w:eastAsia="zh-CN"/>
        </w:rPr>
        <w:t xml:space="preserve">建设行政主管部门核发的</w:t>
      </w:r>
      <w:r>
        <w:rPr>
          <w:rFonts w:hint="eastAsia" w:ascii="宋体" w:hAnsi="宋体" w:eastAsia="宋体" w:cs="宋体"/>
          <w:b w:val="0"/>
          <w:bCs w:val="0"/>
          <w:strike w:val="0"/>
          <w:color w:val="000000"/>
          <w:sz w:val="28"/>
          <w:szCs w:val="28"/>
          <w:highlight w:val="none"/>
          <w:lang w:val="en-US" w:eastAsia="zh-CN"/>
        </w:rPr>
        <w:t xml:space="preserve">有</w:t>
      </w:r>
      <w:r>
        <w:rPr>
          <w:rFonts w:hint="eastAsia" w:ascii="宋体" w:hAnsi="宋体" w:eastAsia="宋体" w:cs="宋体"/>
          <w:b w:val="0"/>
          <w:bCs w:val="0"/>
          <w:color w:val="000000"/>
          <w:sz w:val="28"/>
          <w:szCs w:val="28"/>
          <w:highlight w:val="none"/>
          <w:lang w:val="en-US" w:eastAsia="zh-CN"/>
        </w:rPr>
        <w:t xml:space="preserve">效期内的《燃气用户检修工》</w:t>
      </w:r>
      <w:r>
        <w:rPr>
          <w:rFonts w:hint="eastAsia" w:ascii="宋体" w:hAnsi="宋体" w:eastAsia="宋体" w:cs="宋体"/>
          <w:b w:val="0"/>
          <w:bCs w:val="0"/>
          <w:color w:val="000000"/>
          <w:sz w:val="28"/>
          <w:szCs w:val="28"/>
          <w:highlight w:val="none"/>
        </w:rPr>
        <w:t xml:space="preserve">证书</w:t>
      </w:r>
      <w:r>
        <w:rPr>
          <w:rFonts w:hint="eastAsia" w:ascii="宋体" w:hAnsi="宋体" w:eastAsia="宋体" w:cs="宋体"/>
          <w:b w:val="0"/>
          <w:bCs w:val="0"/>
          <w:sz w:val="28"/>
          <w:szCs w:val="28"/>
          <w:highlight w:val="none"/>
          <w:lang w:val="en-US" w:eastAsia="zh-CN"/>
        </w:rPr>
        <w:t xml:space="preserve">得3分。</w:t>
      </w:r>
      <w:r>
        <w:rPr>
          <w:rFonts w:hint="eastAsia" w:ascii="宋体" w:hAnsi="宋体" w:eastAsia="宋体" w:cs="宋体"/>
          <w:bCs/>
          <w:color w:val="000000"/>
          <w:sz w:val="28"/>
          <w:szCs w:val="28"/>
          <w:highlight w:val="none"/>
          <w:lang w:val="en-US" w:eastAsia="zh-CN"/>
        </w:rPr>
      </w:r>
      <w:r/>
    </w:p>
    <w:p>
      <w:pPr>
        <w:pStyle w:val="719"/>
        <w:ind w:firstLine="480"/>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eastAsia="宋体" w:cs="宋体"/>
          <w:b w:val="0"/>
          <w:bCs w:val="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②投标人</w:t>
      </w:r>
      <w:r>
        <w:rPr>
          <w:rFonts w:hint="eastAsia" w:ascii="宋体" w:hAnsi="宋体" w:eastAsia="宋体" w:cs="宋体"/>
          <w:bCs/>
          <w:color w:val="000000"/>
          <w:sz w:val="28"/>
          <w:szCs w:val="28"/>
          <w:highlight w:val="none"/>
        </w:rPr>
        <w:t xml:space="preserve">项目组成员</w:t>
      </w:r>
      <w:r>
        <w:rPr>
          <w:rFonts w:hint="eastAsia" w:ascii="宋体" w:hAnsi="宋体" w:eastAsia="宋体" w:cs="宋体"/>
          <w:b w:val="0"/>
          <w:bCs w:val="0"/>
          <w:sz w:val="28"/>
          <w:szCs w:val="28"/>
          <w:highlight w:val="none"/>
          <w:lang w:val="en-US" w:eastAsia="zh-CN"/>
        </w:rPr>
        <w:t xml:space="preserve">具有</w:t>
      </w:r>
      <w:r>
        <w:rPr>
          <w:rFonts w:hint="eastAsia" w:ascii="宋体" w:hAnsi="宋体" w:eastAsia="宋体" w:cs="宋体"/>
          <w:b w:val="0"/>
          <w:bCs w:val="0"/>
          <w:color w:val="000000"/>
          <w:sz w:val="28"/>
          <w:szCs w:val="28"/>
          <w:highlight w:val="none"/>
          <w:lang w:val="en-US" w:eastAsia="zh-CN"/>
        </w:rPr>
        <w:t xml:space="preserve">有效期内《燃气燃烧器具安装维修工》</w:t>
      </w:r>
      <w:r>
        <w:rPr>
          <w:rFonts w:hint="eastAsia" w:ascii="宋体" w:hAnsi="宋体" w:eastAsia="宋体" w:cs="宋体"/>
          <w:b w:val="0"/>
          <w:bCs w:val="0"/>
          <w:color w:val="000000"/>
          <w:sz w:val="28"/>
          <w:szCs w:val="28"/>
          <w:highlight w:val="none"/>
        </w:rPr>
        <w:t xml:space="preserve">证书</w:t>
      </w:r>
      <w:r>
        <w:rPr>
          <w:rFonts w:hint="eastAsia" w:ascii="宋体" w:hAnsi="宋体" w:eastAsia="宋体" w:cs="宋体"/>
          <w:b w:val="0"/>
          <w:bCs w:val="0"/>
          <w:sz w:val="28"/>
          <w:szCs w:val="28"/>
          <w:highlight w:val="none"/>
          <w:lang w:val="en-US" w:eastAsia="zh-CN"/>
        </w:rPr>
        <w:t xml:space="preserve">得1分，最高4分。</w:t>
      </w:r>
      <w:r>
        <w:rPr>
          <w:rFonts w:hint="eastAsia" w:ascii="宋体" w:hAnsi="宋体" w:eastAsia="宋体" w:cs="宋体"/>
          <w:b w:val="0"/>
          <w:bCs w:val="0"/>
          <w:sz w:val="28"/>
          <w:szCs w:val="28"/>
          <w:highlight w:val="none"/>
          <w:lang w:val="en-US" w:eastAsia="zh-CN"/>
        </w:rPr>
      </w:r>
      <w:r/>
    </w:p>
    <w:p>
      <w:pPr>
        <w:pStyle w:val="719"/>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注：</w:t>
      </w:r>
      <w:r>
        <w:rPr>
          <w:rFonts w:hint="eastAsia" w:ascii="宋体" w:hAnsi="宋体" w:eastAsia="宋体" w:cs="宋体"/>
          <w:b/>
          <w:bCs w:val="0"/>
          <w:color w:val="000000"/>
          <w:sz w:val="28"/>
          <w:szCs w:val="28"/>
          <w:highlight w:val="none"/>
          <w:lang w:val="en-US" w:eastAsia="zh-CN"/>
        </w:rPr>
        <w:t xml:space="preserve">以上两项，一人多证不得分。</w:t>
      </w:r>
      <w:r>
        <w:rPr>
          <w:rFonts w:hint="eastAsia" w:ascii="宋体" w:hAnsi="宋体" w:eastAsia="宋体" w:cs="宋体"/>
          <w:b/>
          <w:bCs w:val="0"/>
          <w:color w:val="000000"/>
          <w:sz w:val="28"/>
          <w:szCs w:val="28"/>
          <w:highlight w:val="none"/>
        </w:rPr>
        <w:t xml:space="preserve">提供</w:t>
      </w:r>
      <w:r>
        <w:rPr>
          <w:rFonts w:hint="eastAsia" w:ascii="宋体" w:hAnsi="宋体" w:eastAsia="宋体" w:cs="宋体"/>
          <w:b/>
          <w:bCs/>
          <w:color w:val="000000"/>
          <w:sz w:val="28"/>
          <w:szCs w:val="28"/>
          <w:highlight w:val="none"/>
        </w:rPr>
        <w:t xml:space="preserve">人员证书原件</w:t>
      </w:r>
      <w:r>
        <w:rPr>
          <w:rFonts w:hint="eastAsia" w:ascii="宋体" w:hAnsi="宋体" w:eastAsia="宋体" w:cs="宋体"/>
          <w:b/>
          <w:bCs/>
          <w:color w:val="000000"/>
          <w:sz w:val="28"/>
          <w:szCs w:val="28"/>
          <w:highlight w:val="none"/>
          <w:lang w:val="en-US" w:eastAsia="zh-CN"/>
        </w:rPr>
        <w:t xml:space="preserve">扫描件及投标人</w:t>
      </w:r>
      <w:r>
        <w:rPr>
          <w:rFonts w:hint="eastAsia" w:ascii="宋体" w:hAnsi="宋体" w:eastAsia="宋体" w:cs="宋体"/>
          <w:b/>
          <w:bCs/>
          <w:color w:val="000000"/>
          <w:sz w:val="28"/>
          <w:szCs w:val="28"/>
          <w:highlight w:val="none"/>
        </w:rPr>
        <w:t xml:space="preserve">为其缴纳的</w:t>
      </w:r>
      <w:r>
        <w:rPr>
          <w:rFonts w:hint="eastAsia" w:ascii="宋体" w:hAnsi="宋体" w:eastAsia="宋体" w:cs="宋体"/>
          <w:b/>
          <w:bCs/>
          <w:color w:val="000000"/>
          <w:sz w:val="28"/>
          <w:szCs w:val="28"/>
          <w:highlight w:val="none"/>
          <w:lang w:val="en-US" w:eastAsia="zh-CN"/>
        </w:rPr>
        <w:t xml:space="preserve">近六个月中连续三个</w:t>
      </w:r>
      <w:r>
        <w:rPr>
          <w:rFonts w:hint="eastAsia" w:ascii="宋体" w:hAnsi="宋体" w:eastAsia="宋体" w:cs="宋体"/>
          <w:b/>
          <w:bCs/>
          <w:color w:val="000000"/>
          <w:sz w:val="28"/>
          <w:szCs w:val="28"/>
          <w:highlight w:val="none"/>
          <w:lang w:val="zh-CN"/>
        </w:rPr>
        <w:t xml:space="preserve">月份（</w:t>
      </w:r>
      <w:r>
        <w:rPr>
          <w:rFonts w:hint="eastAsia" w:ascii="宋体" w:hAnsi="宋体" w:eastAsia="宋体" w:cs="宋体"/>
          <w:b/>
          <w:bCs/>
          <w:color w:val="000000"/>
          <w:sz w:val="28"/>
          <w:szCs w:val="28"/>
          <w:highlight w:val="none"/>
          <w:lang w:val="en-US" w:eastAsia="zh-CN"/>
        </w:rPr>
        <w:t xml:space="preserve">不含投标当月</w:t>
      </w:r>
      <w:r>
        <w:rPr>
          <w:rFonts w:hint="eastAsia" w:ascii="宋体" w:hAnsi="宋体" w:eastAsia="宋体" w:cs="宋体"/>
          <w:b/>
          <w:bCs/>
          <w:color w:val="000000"/>
          <w:sz w:val="28"/>
          <w:szCs w:val="28"/>
          <w:highlight w:val="none"/>
          <w:lang w:val="zh-CN"/>
        </w:rPr>
        <w:t xml:space="preserve">）</w:t>
      </w:r>
      <w:r>
        <w:rPr>
          <w:rFonts w:hint="eastAsia" w:ascii="宋体" w:hAnsi="宋体" w:eastAsia="宋体" w:cs="宋体"/>
          <w:b/>
          <w:bCs/>
          <w:color w:val="000000"/>
          <w:sz w:val="28"/>
          <w:szCs w:val="28"/>
          <w:highlight w:val="none"/>
        </w:rPr>
        <w:t xml:space="preserve">社保证明上传至投标文件中，不提供或提供不全不得分）</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eastAsia="zh-CN"/>
        </w:rPr>
      </w:r>
      <w:r/>
    </w:p>
    <w:p>
      <w:pPr>
        <w:pStyle w:val="719"/>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3.</w:t>
      </w:r>
      <w:r>
        <w:rPr>
          <w:rFonts w:hint="eastAsia" w:ascii="宋体" w:hAnsi="宋体" w:eastAsia="宋体" w:cs="宋体"/>
          <w:b/>
          <w:bCs/>
          <w:color w:val="000000"/>
          <w:sz w:val="28"/>
          <w:szCs w:val="28"/>
          <w:highlight w:val="none"/>
        </w:rPr>
        <w:t xml:space="preserve">产品性能及技术要求（</w:t>
      </w:r>
      <w:r>
        <w:rPr>
          <w:rFonts w:hint="eastAsia" w:ascii="宋体" w:hAnsi="宋体" w:eastAsia="宋体" w:cs="宋体"/>
          <w:b/>
          <w:bCs/>
          <w:color w:val="000000"/>
          <w:sz w:val="28"/>
          <w:szCs w:val="28"/>
          <w:highlight w:val="none"/>
          <w:lang w:val="en-US" w:eastAsia="zh-CN"/>
        </w:rPr>
        <w:t xml:space="preserve">18</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bCs/>
          <w:sz w:val="28"/>
          <w:szCs w:val="28"/>
          <w:highlight w:val="none"/>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1</w:t>
      </w:r>
      <w:r>
        <w:rPr>
          <w:rFonts w:hint="eastAsia" w:ascii="宋体" w:hAnsi="宋体" w:eastAsia="宋体" w:cs="宋体"/>
          <w:b/>
          <w:bCs/>
          <w:spacing w:val="-3"/>
          <w:sz w:val="28"/>
          <w:szCs w:val="28"/>
          <w:highlight w:val="none"/>
        </w:rPr>
        <w:t xml:space="preserve">）所投长龙式洗碗机产</w:t>
      </w:r>
      <w:r>
        <w:rPr>
          <w:rFonts w:hint="eastAsia" w:ascii="宋体" w:hAnsi="宋体" w:eastAsia="宋体" w:cs="宋体"/>
          <w:b/>
          <w:bCs/>
          <w:color w:val="000000"/>
          <w:spacing w:val="-3"/>
          <w:sz w:val="28"/>
          <w:szCs w:val="28"/>
          <w:highlight w:val="none"/>
        </w:rPr>
        <w:t xml:space="preserve">品（</w:t>
      </w:r>
      <w:r>
        <w:rPr>
          <w:rFonts w:hint="eastAsia" w:ascii="宋体" w:hAnsi="宋体" w:eastAsia="宋体" w:cs="宋体"/>
          <w:b/>
          <w:bCs/>
          <w:color w:val="000000"/>
          <w:spacing w:val="-3"/>
          <w:sz w:val="28"/>
          <w:szCs w:val="28"/>
          <w:highlight w:val="none"/>
          <w:lang w:val="en-US" w:eastAsia="zh-CN"/>
        </w:rPr>
        <w:t xml:space="preserve">6</w:t>
      </w:r>
      <w:r>
        <w:rPr>
          <w:rFonts w:hint="eastAsia" w:ascii="宋体" w:hAnsi="宋体" w:eastAsia="宋体" w:cs="宋体"/>
          <w:b/>
          <w:bCs/>
          <w:color w:val="000000"/>
          <w:spacing w:val="-3"/>
          <w:sz w:val="28"/>
          <w:szCs w:val="28"/>
          <w:highlight w:val="none"/>
        </w:rPr>
        <w:t xml:space="preserve">分）</w:t>
      </w:r>
      <w:r>
        <w:rPr>
          <w:rFonts w:hint="eastAsia" w:ascii="宋体" w:hAnsi="宋体" w:eastAsia="宋体" w:cs="宋体"/>
          <w:b/>
          <w:bCs/>
          <w:sz w:val="28"/>
          <w:szCs w:val="28"/>
          <w:highlight w:val="none"/>
        </w:rPr>
      </w:r>
      <w:r/>
    </w:p>
    <w:p>
      <w:pPr>
        <w:pStyle w:val="719"/>
        <w:ind w:left="0" w:right="0" w:firstLine="478"/>
        <w:keepLines w:val="0"/>
        <w:keepNext w:val="0"/>
        <w:pageBreakBefore w:val="0"/>
        <w:spacing w:line="360" w:lineRule="auto"/>
        <w:widowControl/>
        <w:rPr>
          <w:rFonts w:hint="eastAsia" w:ascii="宋体" w:hAnsi="宋体" w:eastAsia="宋体" w:cs="宋体"/>
          <w:b/>
          <w:bCs/>
          <w:color w:val="000000"/>
          <w:spacing w:val="-5"/>
          <w:sz w:val="28"/>
          <w:szCs w:val="28"/>
          <w:highlight w:val="none"/>
        </w:rPr>
      </w:pPr>
      <w:r>
        <w:rPr>
          <w:rFonts w:hint="eastAsia" w:ascii="宋体" w:hAnsi="宋体" w:eastAsia="宋体" w:cs="宋体"/>
          <w:color w:val="000000"/>
          <w:spacing w:val="-5"/>
          <w:sz w:val="28"/>
          <w:szCs w:val="28"/>
          <w:highlight w:val="none"/>
        </w:rPr>
        <w:t xml:space="preserve">①</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color w:val="000000"/>
          <w:spacing w:val="-5"/>
          <w:sz w:val="28"/>
          <w:szCs w:val="28"/>
          <w:highlight w:val="none"/>
          <w:lang w:eastAsia="zh-CN"/>
        </w:rPr>
        <w:t xml:space="preserve">长龙式洗碗机</w:t>
      </w:r>
      <w:r>
        <w:rPr>
          <w:rFonts w:hint="eastAsia" w:ascii="宋体" w:hAnsi="宋体" w:eastAsia="宋体" w:cs="宋体"/>
          <w:color w:val="000000"/>
          <w:spacing w:val="-5"/>
          <w:sz w:val="28"/>
          <w:szCs w:val="28"/>
          <w:highlight w:val="none"/>
          <w:lang w:val="en-US" w:eastAsia="zh-CN"/>
        </w:rPr>
        <w:t xml:space="preserve">产品</w:t>
      </w:r>
      <w:r>
        <w:rPr>
          <w:rFonts w:hint="eastAsia" w:ascii="宋体" w:hAnsi="宋体" w:eastAsia="宋体" w:cs="宋体"/>
          <w:sz w:val="28"/>
          <w:szCs w:val="28"/>
          <w:highlight w:val="none"/>
          <w:lang w:val="en-US" w:eastAsia="zh-CN"/>
        </w:rPr>
        <w:t xml:space="preserve">❶符合GB/T 24021-2024标准的环境标志（Ⅱ型）产品认证证书；❷符合GB/T 24021-2024标准的环保（Ⅱ型）产品认证证书；</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color w:val="000000"/>
          <w:spacing w:val="-5"/>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bCs/>
          <w:spacing w:val="-5"/>
          <w:sz w:val="28"/>
          <w:szCs w:val="28"/>
          <w:highlight w:val="none"/>
        </w:rPr>
      </w:pPr>
      <w:r>
        <w:rPr>
          <w:rFonts w:hint="eastAsia" w:ascii="宋体" w:hAnsi="宋体" w:eastAsia="宋体" w:cs="宋体"/>
          <w:spacing w:val="-5"/>
          <w:sz w:val="28"/>
          <w:szCs w:val="28"/>
          <w:highlight w:val="none"/>
        </w:rPr>
        <w:t xml:space="preserve">②</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color w:val="000000"/>
          <w:spacing w:val="-5"/>
          <w:sz w:val="28"/>
          <w:szCs w:val="28"/>
          <w:highlight w:val="none"/>
          <w:lang w:eastAsia="zh-CN"/>
        </w:rPr>
        <w:t xml:space="preserve">长龙式洗碗机</w:t>
      </w:r>
      <w:r>
        <w:rPr>
          <w:rFonts w:hint="eastAsia" w:ascii="宋体" w:hAnsi="宋体" w:eastAsia="宋体" w:cs="宋体"/>
          <w:color w:val="000000"/>
          <w:spacing w:val="-5"/>
          <w:sz w:val="28"/>
          <w:szCs w:val="28"/>
          <w:highlight w:val="none"/>
          <w:lang w:val="en-US" w:eastAsia="zh-CN"/>
        </w:rPr>
        <w:t xml:space="preserve">产品❶</w:t>
      </w:r>
      <w:r>
        <w:rPr>
          <w:rFonts w:hint="eastAsia" w:ascii="宋体" w:hAnsi="宋体" w:eastAsia="宋体" w:cs="宋体"/>
          <w:sz w:val="28"/>
          <w:szCs w:val="28"/>
          <w:highlight w:val="none"/>
          <w:lang w:val="en-US" w:eastAsia="zh-CN"/>
        </w:rPr>
        <w:t xml:space="preserve">符合GB/T23331-2020标准的能源管理体系认证证书；❷商用洗碗机核心配件门条、喷管帽符合GB/T 1040.2-2022标准的产品力学认证证书；</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spacing w:val="-5"/>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bCs/>
          <w:spacing w:val="-5"/>
          <w:sz w:val="28"/>
          <w:szCs w:val="28"/>
          <w:highlight w:val="none"/>
        </w:rPr>
      </w:pPr>
      <w:r>
        <w:rPr>
          <w:rFonts w:hint="eastAsia" w:ascii="宋体" w:hAnsi="宋体" w:eastAsia="宋体" w:cs="宋体"/>
          <w:spacing w:val="-5"/>
          <w:sz w:val="28"/>
          <w:szCs w:val="28"/>
          <w:highlight w:val="none"/>
        </w:rPr>
        <w:t xml:space="preserve">③</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color w:val="000000"/>
          <w:spacing w:val="-5"/>
          <w:sz w:val="28"/>
          <w:szCs w:val="28"/>
          <w:highlight w:val="none"/>
          <w:lang w:eastAsia="zh-CN"/>
        </w:rPr>
        <w:t xml:space="preserve">长龙式洗碗机</w:t>
      </w:r>
      <w:r>
        <w:rPr>
          <w:rFonts w:hint="eastAsia" w:ascii="宋体" w:hAnsi="宋体" w:eastAsia="宋体" w:cs="宋体"/>
          <w:color w:val="000000"/>
          <w:spacing w:val="-5"/>
          <w:sz w:val="28"/>
          <w:szCs w:val="28"/>
          <w:highlight w:val="none"/>
          <w:lang w:val="en-US" w:eastAsia="zh-CN"/>
        </w:rPr>
        <w:t xml:space="preserve">产品❶符合GB 8624-2012、GB/T 14402-2007、GB/T 5464-2010标准要求的阻燃等级认证证书，燃烧等级：A( A1)级；❷符合GB/T 10125-2021、GB/T 6461-2002、QB/T 3827-1999、QB/T 3832-1999标准要求的产品防腐蚀等级认证证书，防腐蚀性能评级:10级；</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spacing w:val="-5"/>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bCs/>
          <w:sz w:val="28"/>
          <w:szCs w:val="28"/>
          <w:highlight w:val="none"/>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2</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spacing w:val="-3"/>
          <w:sz w:val="28"/>
          <w:szCs w:val="28"/>
          <w:highlight w:val="none"/>
        </w:rPr>
        <w:t xml:space="preserve">所投厨房智能冰箱产品</w:t>
      </w:r>
      <w:r>
        <w:rPr>
          <w:rFonts w:hint="eastAsia" w:ascii="宋体" w:hAnsi="宋体" w:eastAsia="宋体" w:cs="宋体"/>
          <w:b w:val="0"/>
          <w:bCs w:val="0"/>
          <w:spacing w:val="2"/>
          <w:sz w:val="28"/>
          <w:szCs w:val="28"/>
          <w:highlight w:val="none"/>
          <w:lang w:val="en-US" w:eastAsia="zh-CN"/>
        </w:rPr>
        <w:t xml:space="preserve">符</w:t>
      </w:r>
      <w:r>
        <w:rPr>
          <w:rFonts w:hint="eastAsia" w:ascii="宋体" w:hAnsi="宋体" w:eastAsia="宋体" w:cs="宋体"/>
          <w:spacing w:val="2"/>
          <w:sz w:val="28"/>
          <w:szCs w:val="28"/>
          <w:highlight w:val="none"/>
          <w:lang w:val="en-US" w:eastAsia="zh-CN"/>
        </w:rPr>
        <w:t xml:space="preserve">合GB/T25000.51-2016《系统与软件工程系统与软质量要求和评价(SQuaRE)第51部分:就绪可用软件产品(RUSP)的质量要求和测试细则》</w:t>
      </w:r>
      <w:r>
        <w:rPr>
          <w:rFonts w:hint="eastAsia" w:ascii="宋体" w:hAnsi="宋体" w:eastAsia="宋体" w:cs="宋体"/>
          <w:b/>
          <w:bCs/>
          <w:color w:val="000000"/>
          <w:spacing w:val="2"/>
          <w:sz w:val="28"/>
          <w:szCs w:val="28"/>
          <w:highlight w:val="none"/>
        </w:rPr>
        <w:t xml:space="preserve">，</w:t>
      </w:r>
      <w:r>
        <w:rPr>
          <w:rFonts w:hint="eastAsia" w:ascii="宋体" w:hAnsi="宋体" w:eastAsia="宋体" w:cs="宋体"/>
          <w:b w:val="0"/>
          <w:bCs w:val="0"/>
          <w:color w:val="000000"/>
          <w:spacing w:val="2"/>
          <w:sz w:val="28"/>
          <w:szCs w:val="28"/>
          <w:highlight w:val="none"/>
          <w:lang w:val="en-US" w:eastAsia="zh-CN"/>
        </w:rPr>
        <w:t xml:space="preserve">设备可通过远程小程序远程开启食物解冻（离子还原）功能、远程开启食物解冻（离子还原）温度功能、远程开启杀菌（抑菌）功能、远程开启离子保鲜功能、接收设备远程报警/报修功能、远程一键报修功能；</w:t>
      </w:r>
      <w:r>
        <w:rPr>
          <w:rFonts w:hint="eastAsia" w:ascii="宋体" w:hAnsi="宋体" w:eastAsia="宋体" w:cs="宋体"/>
          <w:b/>
          <w:bCs/>
          <w:color w:val="000000"/>
          <w:spacing w:val="-2"/>
          <w:sz w:val="28"/>
          <w:szCs w:val="28"/>
          <w:highlight w:val="none"/>
        </w:rPr>
        <w:t xml:space="preserve">符合要求得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38"/>
          <w:sz w:val="28"/>
          <w:szCs w:val="28"/>
          <w:highlight w:val="none"/>
          <w:lang w:val="en-US" w:eastAsia="zh-CN"/>
        </w:rPr>
        <w:t xml:space="preserve">2</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rPr>
        <w:t xml:space="preserve">。</w:t>
      </w:r>
      <w:r>
        <w:rPr>
          <w:rFonts w:hint="eastAsia" w:ascii="宋体" w:hAnsi="宋体" w:eastAsia="宋体" w:cs="宋体"/>
          <w:b/>
          <w:bCs/>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bCs/>
          <w:sz w:val="28"/>
          <w:szCs w:val="28"/>
          <w:highlight w:val="none"/>
          <w:lang w:eastAsia="zh-CN"/>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3</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val="0"/>
          <w:bCs w:val="0"/>
          <w:spacing w:val="-3"/>
          <w:sz w:val="28"/>
          <w:szCs w:val="28"/>
          <w:highlight w:val="none"/>
          <w:lang w:val="en-US" w:eastAsia="zh-CN"/>
        </w:rPr>
        <w:t xml:space="preserve">厨房智能留样冰箱</w:t>
      </w:r>
      <w:r>
        <w:rPr>
          <w:rFonts w:hint="eastAsia" w:ascii="宋体" w:hAnsi="宋体" w:eastAsia="宋体" w:cs="宋体"/>
          <w:spacing w:val="2"/>
          <w:sz w:val="28"/>
          <w:szCs w:val="28"/>
          <w:highlight w:val="none"/>
          <w:lang w:val="en-US" w:eastAsia="zh-CN"/>
        </w:rPr>
        <w:t xml:space="preserve">符合GB/T25000.51-2016《系统与软件工程系统与软质量要求和评价(SQuaRE)第51部分:就绪可用软件产品(RUSP)的质量要求和测试细则》</w:t>
      </w:r>
      <w:r>
        <w:rPr>
          <w:rFonts w:hint="eastAsia" w:ascii="宋体" w:hAnsi="宋体" w:eastAsia="宋体" w:cs="宋体"/>
          <w:b/>
          <w:bCs/>
          <w:color w:val="000000"/>
          <w:spacing w:val="2"/>
          <w:sz w:val="28"/>
          <w:szCs w:val="28"/>
          <w:highlight w:val="none"/>
        </w:rPr>
        <w:t xml:space="preserve">，</w:t>
      </w:r>
      <w:r>
        <w:rPr>
          <w:rFonts w:hint="eastAsia" w:ascii="宋体" w:hAnsi="宋体" w:eastAsia="宋体" w:cs="宋体"/>
          <w:b w:val="0"/>
          <w:bCs w:val="0"/>
          <w:color w:val="000000"/>
          <w:spacing w:val="2"/>
          <w:sz w:val="28"/>
          <w:szCs w:val="28"/>
          <w:highlight w:val="none"/>
          <w:lang w:val="en-US" w:eastAsia="zh-CN"/>
        </w:rPr>
        <w:t xml:space="preserve">具有人脸</w:t>
      </w:r>
      <w:r>
        <w:rPr>
          <w:rFonts w:hint="eastAsia" w:ascii="宋体" w:hAnsi="宋体" w:cs="宋体"/>
          <w:b w:val="0"/>
          <w:bCs w:val="0"/>
          <w:color w:val="000000"/>
          <w:spacing w:val="2"/>
          <w:sz w:val="28"/>
          <w:szCs w:val="28"/>
          <w:highlight w:val="none"/>
          <w:lang w:val="en-US" w:eastAsia="zh-CN"/>
        </w:rPr>
        <w:t xml:space="preserve">抓拍</w:t>
      </w:r>
      <w:r>
        <w:rPr>
          <w:rFonts w:hint="eastAsia" w:ascii="宋体" w:hAnsi="宋体" w:eastAsia="宋体" w:cs="宋体"/>
          <w:b w:val="0"/>
          <w:bCs w:val="0"/>
          <w:color w:val="000000"/>
          <w:spacing w:val="2"/>
          <w:sz w:val="28"/>
          <w:szCs w:val="28"/>
          <w:highlight w:val="none"/>
          <w:lang w:val="en-US" w:eastAsia="zh-CN"/>
        </w:rPr>
        <w:t xml:space="preserve">识别功能、留样食品抓拍功能、留样信息录入功能、手机物联远程餐次类型确认功能、留样信息自动生成功能、留样数据上传云端功能、48小时提醒取样功能、留样记录永久可查功能；</w:t>
      </w:r>
      <w:r>
        <w:rPr>
          <w:rFonts w:hint="eastAsia" w:ascii="宋体" w:hAnsi="宋体" w:eastAsia="宋体" w:cs="宋体"/>
          <w:b/>
          <w:bCs/>
          <w:color w:val="000000"/>
          <w:spacing w:val="-2"/>
          <w:sz w:val="28"/>
          <w:szCs w:val="28"/>
          <w:highlight w:val="none"/>
        </w:rPr>
        <w:t xml:space="preserve">符合要求得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2"/>
          <w:sz w:val="28"/>
          <w:szCs w:val="28"/>
          <w:highlight w:val="none"/>
        </w:rPr>
        <w:t xml:space="preserve">2</w:t>
      </w:r>
      <w:r>
        <w:rPr>
          <w:rFonts w:hint="eastAsia" w:ascii="宋体" w:hAnsi="宋体" w:eastAsia="宋体" w:cs="宋体"/>
          <w:b/>
          <w:bCs/>
          <w:color w:val="000000"/>
          <w:spacing w:val="-48"/>
          <w:sz w:val="28"/>
          <w:szCs w:val="28"/>
          <w:highlight w:val="none"/>
        </w:rPr>
        <w:t xml:space="preserve"> </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z w:val="28"/>
          <w:szCs w:val="28"/>
          <w:highlight w:val="none"/>
          <w:lang w:eastAsia="zh-CN"/>
        </w:rPr>
      </w:r>
      <w:r/>
    </w:p>
    <w:p>
      <w:pPr>
        <w:pStyle w:val="719"/>
        <w:ind w:left="0" w:right="0" w:firstLine="470"/>
        <w:keepLines w:val="0"/>
        <w:keepNext w:val="0"/>
        <w:pageBreakBefore w:val="0"/>
        <w:spacing w:line="360" w:lineRule="auto"/>
        <w:widowControl/>
        <w:rPr>
          <w:rFonts w:hint="eastAsia" w:ascii="宋体" w:hAnsi="宋体" w:eastAsia="宋体" w:cs="宋体"/>
          <w:b/>
          <w:bCs/>
          <w:spacing w:val="-2"/>
          <w:sz w:val="28"/>
          <w:szCs w:val="28"/>
          <w:highlight w:val="none"/>
        </w:rPr>
      </w:pPr>
      <w:r>
        <w:rPr>
          <w:rFonts w:hint="eastAsia" w:ascii="宋体" w:hAnsi="宋体" w:eastAsia="宋体" w:cs="宋体"/>
          <w:b w:val="0"/>
          <w:bCs w:val="0"/>
          <w:spacing w:val="-2"/>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4）</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val="0"/>
          <w:bCs w:val="0"/>
          <w:spacing w:val="-2"/>
          <w:sz w:val="28"/>
          <w:szCs w:val="28"/>
          <w:highlight w:val="none"/>
          <w:lang w:val="en-US" w:eastAsia="zh-CN"/>
        </w:rPr>
        <w:t xml:space="preserve">热风循环消毒柜产品❶符合GB/T 10125-2021《人造气氛腐蚀试验盐雾试验》、GB/T 6461-2002，提供产品防腐蚀等级认证证书，提供阻燃认证书❷符合GB 4806.5-2016;GB 4806.9-2023食品接触产品安全认证证书和食品接触卫生产品认证证书；</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val="0"/>
          <w:bCs w:val="0"/>
          <w:spacing w:val="-2"/>
          <w:sz w:val="28"/>
          <w:szCs w:val="28"/>
          <w:highlight w:val="none"/>
          <w:lang w:val="en-US" w:eastAsia="zh-CN"/>
        </w:rPr>
        <w:t xml:space="preserve">。</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spacing w:val="-2"/>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bCs/>
          <w:color w:val="000000"/>
          <w:spacing w:val="-5"/>
          <w:sz w:val="28"/>
          <w:szCs w:val="28"/>
          <w:highlight w:val="none"/>
          <w:lang w:eastAsia="zh-CN"/>
        </w:rPr>
      </w:pPr>
      <w:r>
        <w:rPr>
          <w:rFonts w:hint="eastAsia" w:ascii="宋体" w:hAnsi="宋体" w:eastAsia="宋体" w:cs="宋体"/>
          <w:b w:val="0"/>
          <w:bCs w:val="0"/>
          <w:spacing w:val="-2"/>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val="0"/>
          <w:bCs w:val="0"/>
          <w:spacing w:val="-2"/>
          <w:sz w:val="28"/>
          <w:szCs w:val="28"/>
          <w:highlight w:val="none"/>
          <w:lang w:val="en-US" w:eastAsia="zh-CN"/>
        </w:rPr>
        <w:t xml:space="preserve">链片式输送带产品❶具有满足GB/T 1040.2-2022标准要求的产品力学认证证书；❷餐具回收线传送带外壳具有满足GB/T 10125-2021标准要求，试验后样品无锈蚀、穿孔、裂纹、点蚀腐蚀现象，依据 GB/T 6461-2002 进行保护评级达到10级的型式检测（试验）报告；</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（❶</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❷，提供第三方检测机构出具的具有CMA或CNAS标识的型式检测（试验）报告，</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r>
      <w:r/>
    </w:p>
    <w:p>
      <w:pPr>
        <w:pStyle w:val="719"/>
        <w:ind w:left="0" w:right="0" w:firstLine="470"/>
        <w:keepLines w:val="0"/>
        <w:keepNext w:val="0"/>
        <w:pageBreakBefore w:val="0"/>
        <w:spacing w:line="360" w:lineRule="auto"/>
        <w:widowControl/>
        <w:rPr>
          <w:rFonts w:hint="eastAsia" w:ascii="宋体" w:hAnsi="宋体" w:eastAsia="宋体" w:cs="宋体"/>
          <w:b/>
          <w:bCs/>
          <w:spacing w:val="-2"/>
          <w:sz w:val="28"/>
          <w:szCs w:val="28"/>
          <w:highlight w:val="none"/>
          <w:lang w:eastAsia="zh-CN"/>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6</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bCs/>
          <w:spacing w:val="-3"/>
          <w:sz w:val="28"/>
          <w:szCs w:val="28"/>
          <w:highlight w:val="none"/>
        </w:rPr>
        <w:t xml:space="preserve">智能粘捕式灭蝇灯</w:t>
      </w:r>
      <w:r>
        <w:rPr>
          <w:rFonts w:hint="eastAsia" w:ascii="宋体" w:hAnsi="宋体" w:eastAsia="宋体" w:cs="宋体"/>
          <w:b/>
          <w:bCs/>
          <w:color w:val="000000"/>
          <w:sz w:val="28"/>
          <w:szCs w:val="28"/>
          <w:highlight w:val="none"/>
          <w:lang w:val="en-US" w:eastAsia="zh-CN"/>
        </w:rPr>
        <w:t xml:space="preserve">产品</w:t>
      </w:r>
      <w:r>
        <w:rPr>
          <w:rFonts w:hint="eastAsia" w:ascii="宋体" w:hAnsi="宋体" w:eastAsia="宋体" w:cs="宋体"/>
          <w:spacing w:val="2"/>
          <w:sz w:val="28"/>
          <w:szCs w:val="28"/>
          <w:highlight w:val="none"/>
          <w:lang w:val="en-US" w:eastAsia="zh-CN"/>
        </w:rPr>
        <w:t xml:space="preserve">符合GB/T25000.51-2016《系统与软件工程系统与软质量要求和评价(SQuaRE)第51部分:就绪可用软件产品(RUSP)的质量要求和测试细则》，具有</w:t>
      </w:r>
      <w:r>
        <w:rPr>
          <w:rFonts w:hint="eastAsia" w:ascii="宋体" w:hAnsi="宋体" w:eastAsia="宋体" w:cs="宋体"/>
          <w:sz w:val="28"/>
          <w:szCs w:val="28"/>
          <w:highlight w:val="none"/>
          <w:lang w:val="en-US" w:eastAsia="zh-CN"/>
        </w:rPr>
        <w:t xml:space="preserve">设备拍照功能、设备健康检查功能、更新设备的拍摄时间节点；</w:t>
      </w:r>
      <w:r>
        <w:rPr>
          <w:rFonts w:hint="eastAsia" w:ascii="宋体" w:hAnsi="宋体" w:eastAsia="宋体" w:cs="宋体"/>
          <w:b/>
          <w:bCs/>
          <w:color w:val="000000"/>
          <w:spacing w:val="-2"/>
          <w:sz w:val="28"/>
          <w:szCs w:val="28"/>
          <w:highlight w:val="none"/>
        </w:rPr>
        <w:t xml:space="preserve">符合要求得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38"/>
          <w:sz w:val="28"/>
          <w:szCs w:val="28"/>
          <w:highlight w:val="none"/>
          <w:lang w:val="en-US" w:eastAsia="zh-CN"/>
        </w:rPr>
        <w:t xml:space="preserve">2</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lang w:eastAsia="zh-CN"/>
        </w:rPr>
      </w:r>
      <w:r/>
    </w:p>
    <w:p>
      <w:pPr>
        <w:pStyle w:val="719"/>
        <w:ind w:left="0" w:right="0" w:firstLine="470"/>
        <w:keepLines w:val="0"/>
        <w:keepNext w:val="0"/>
        <w:pageBreakBefore w:val="0"/>
        <w:spacing w:line="360" w:lineRule="auto"/>
        <w:widowControl/>
        <w:rPr>
          <w:rFonts w:hint="eastAsia" w:ascii="宋体" w:hAnsi="宋体" w:eastAsia="宋体" w:cs="宋体"/>
          <w:b/>
          <w:bCs/>
          <w:spacing w:val="-2"/>
          <w:sz w:val="28"/>
          <w:szCs w:val="28"/>
          <w:highlight w:val="none"/>
          <w:lang w:eastAsia="zh-CN"/>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7</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color w:val="000000"/>
          <w:spacing w:val="-3"/>
          <w:sz w:val="28"/>
          <w:szCs w:val="28"/>
          <w:highlight w:val="none"/>
        </w:rPr>
        <w:t xml:space="preserve">所投鼓泡预洗机</w:t>
      </w:r>
      <w:r>
        <w:rPr>
          <w:rFonts w:hint="eastAsia" w:ascii="宋体" w:hAnsi="宋体" w:eastAsia="宋体" w:cs="宋体"/>
          <w:b w:val="0"/>
          <w:bCs w:val="0"/>
          <w:color w:val="000000"/>
          <w:spacing w:val="-3"/>
          <w:sz w:val="28"/>
          <w:szCs w:val="28"/>
          <w:highlight w:val="none"/>
          <w:lang w:val="en-US" w:eastAsia="zh-CN"/>
        </w:rPr>
        <w:t xml:space="preserve">产品符合《GB 4806.9-2023》标准，对杂质元素：砷、镉、铅、锑，合金元素：铬、铜、锰、镍等元素用浸泡液进行检测，所得结果为浸泡液无异臭；</w:t>
      </w:r>
      <w:r>
        <w:rPr>
          <w:rFonts w:hint="eastAsia" w:ascii="宋体" w:hAnsi="宋体" w:eastAsia="宋体" w:cs="宋体"/>
          <w:b w:val="0"/>
          <w:bCs w:val="0"/>
          <w:color w:val="000000"/>
          <w:spacing w:val="-2"/>
          <w:sz w:val="28"/>
          <w:szCs w:val="28"/>
          <w:highlight w:val="none"/>
        </w:rPr>
        <w:t xml:space="preserve">符合要求得</w:t>
      </w:r>
      <w:r>
        <w:rPr>
          <w:rFonts w:hint="eastAsia" w:ascii="宋体" w:hAnsi="宋体" w:eastAsia="宋体" w:cs="宋体"/>
          <w:b w:val="0"/>
          <w:bCs w:val="0"/>
          <w:color w:val="000000"/>
          <w:spacing w:val="-2"/>
          <w:sz w:val="28"/>
          <w:szCs w:val="28"/>
          <w:highlight w:val="none"/>
          <w:lang w:val="en-US" w:eastAsia="zh-CN"/>
        </w:rPr>
        <w:t xml:space="preserve">2</w:t>
      </w:r>
      <w:r>
        <w:rPr>
          <w:rFonts w:hint="eastAsia" w:ascii="宋体" w:hAnsi="宋体" w:eastAsia="宋体" w:cs="宋体"/>
          <w:b w:val="0"/>
          <w:bCs w:val="0"/>
          <w:color w:val="000000"/>
          <w:spacing w:val="-2"/>
          <w:sz w:val="28"/>
          <w:szCs w:val="28"/>
          <w:highlight w:val="none"/>
        </w:rPr>
        <w:t xml:space="preserve">分</w:t>
      </w:r>
      <w:r>
        <w:rPr>
          <w:rFonts w:hint="eastAsia" w:ascii="宋体" w:hAnsi="宋体" w:eastAsia="宋体" w:cs="宋体"/>
          <w:b w:val="0"/>
          <w:bCs w:val="0"/>
          <w:color w:val="000000"/>
          <w:spacing w:val="-2"/>
          <w:sz w:val="28"/>
          <w:szCs w:val="28"/>
          <w:highlight w:val="none"/>
          <w:lang w:eastAsia="zh-CN"/>
        </w:rPr>
        <w:t xml:space="preserve">。</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lang w:eastAsia="zh-CN"/>
        </w:rPr>
      </w:r>
      <w:r/>
    </w:p>
    <w:p>
      <w:pPr>
        <w:pStyle w:val="719"/>
        <w:numPr>
          <w:ilvl w:val="0"/>
          <w:numId w:val="0"/>
        </w:numPr>
        <w:ind w:left="630"/>
        <w:spacing w:line="360" w:lineRule="auto"/>
        <w:tabs>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技术文件（</w:t>
      </w:r>
      <w:r>
        <w:rPr>
          <w:rFonts w:hint="eastAsia" w:ascii="宋体" w:hAnsi="宋体" w:eastAsia="宋体" w:cs="宋体"/>
          <w:b/>
          <w:bCs/>
          <w:color w:val="000000"/>
          <w:sz w:val="28"/>
          <w:szCs w:val="28"/>
          <w:highlight w:val="none"/>
          <w:lang w:val="en-US" w:eastAsia="zh-CN"/>
        </w:rPr>
        <w:t xml:space="preserve">20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bCs/>
          <w:spacing w:val="-3"/>
          <w:sz w:val="28"/>
          <w:szCs w:val="28"/>
          <w:highlight w:val="none"/>
          <w:lang w:val="en-US" w:eastAsia="en-US"/>
        </w:rPr>
      </w:pPr>
      <w:r>
        <w:rPr>
          <w:rFonts w:hint="eastAsia" w:ascii="宋体" w:hAnsi="宋体" w:eastAsia="宋体" w:cs="宋体"/>
          <w:b/>
          <w:bCs/>
          <w:spacing w:val="-3"/>
          <w:sz w:val="28"/>
          <w:szCs w:val="28"/>
          <w:highlight w:val="none"/>
          <w:lang w:val="en-US" w:eastAsia="en-US"/>
        </w:rPr>
        <w:t xml:space="preserve">（1） 质量管理及安全措施</w:t>
      </w:r>
      <w:r>
        <w:rPr>
          <w:rFonts w:hint="eastAsia" w:ascii="宋体" w:hAnsi="宋体" w:eastAsia="宋体" w:cs="宋体"/>
          <w:b/>
          <w:bCs/>
          <w:spacing w:val="-3"/>
          <w:sz w:val="28"/>
          <w:szCs w:val="28"/>
          <w:highlight w:val="none"/>
          <w:lang w:val="en-US" w:eastAsia="zh-CN"/>
        </w:rPr>
        <w:t xml:space="preserve">（5</w:t>
      </w:r>
      <w:r>
        <w:rPr>
          <w:rFonts w:hint="eastAsia" w:ascii="宋体" w:hAnsi="宋体" w:eastAsia="宋体" w:cs="宋体"/>
          <w:b/>
          <w:bCs/>
          <w:spacing w:val="-3"/>
          <w:sz w:val="28"/>
          <w:szCs w:val="28"/>
          <w:highlight w:val="none"/>
          <w:lang w:val="en-US" w:eastAsia="en-US"/>
        </w:rPr>
        <w:t xml:space="preserve">分）</w:t>
      </w:r>
      <w:r>
        <w:rPr>
          <w:rFonts w:hint="eastAsia" w:ascii="宋体" w:hAnsi="宋体" w:eastAsia="宋体" w:cs="宋体"/>
          <w:b/>
          <w:bCs/>
          <w:spacing w:val="-3"/>
          <w:sz w:val="28"/>
          <w:szCs w:val="28"/>
          <w:highlight w:val="none"/>
          <w:lang w:val="en-US" w:eastAsia="en-US"/>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lang w:val="en-US" w:eastAsia="zh-CN"/>
        </w:rPr>
        <w:t xml:space="preserve">内容包括：</w:t>
      </w:r>
      <w:r>
        <w:rPr>
          <w:rFonts w:hint="eastAsia" w:ascii="宋体" w:hAnsi="宋体" w:eastAsia="宋体" w:cs="宋体"/>
          <w:b w:val="0"/>
          <w:bCs w:val="0"/>
          <w:spacing w:val="-3"/>
          <w:sz w:val="28"/>
          <w:szCs w:val="28"/>
          <w:highlight w:val="none"/>
          <w:lang w:val="en-US" w:eastAsia="en-US"/>
        </w:rPr>
        <w:t xml:space="preserve">①产品质量管控方案</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en-US"/>
        </w:rPr>
        <w:t xml:space="preserve">②</w:t>
      </w:r>
      <w:r>
        <w:rPr>
          <w:rFonts w:hint="eastAsia" w:ascii="宋体" w:hAnsi="宋体" w:eastAsia="宋体" w:cs="宋体"/>
          <w:b w:val="0"/>
          <w:bCs w:val="0"/>
          <w:spacing w:val="-3"/>
          <w:sz w:val="28"/>
          <w:szCs w:val="28"/>
          <w:highlight w:val="none"/>
          <w:lang w:val="en-US" w:eastAsia="zh-CN"/>
        </w:rPr>
        <w:t xml:space="preserve">工艺流程图；③安全</w:t>
      </w:r>
      <w:r>
        <w:rPr>
          <w:rFonts w:hint="eastAsia" w:ascii="宋体" w:hAnsi="宋体" w:eastAsia="宋体" w:cs="宋体"/>
          <w:b w:val="0"/>
          <w:bCs w:val="0"/>
          <w:spacing w:val="-3"/>
          <w:sz w:val="28"/>
          <w:szCs w:val="28"/>
          <w:highlight w:val="none"/>
          <w:lang w:val="en-US" w:eastAsia="en-US"/>
        </w:rPr>
        <w:t xml:space="preserve">生产</w:t>
      </w:r>
      <w:r>
        <w:rPr>
          <w:rFonts w:hint="eastAsia" w:ascii="宋体" w:hAnsi="宋体" w:eastAsia="宋体" w:cs="宋体"/>
          <w:b w:val="0"/>
          <w:bCs w:val="0"/>
          <w:spacing w:val="-3"/>
          <w:sz w:val="28"/>
          <w:szCs w:val="28"/>
          <w:highlight w:val="none"/>
          <w:lang w:val="en-US" w:eastAsia="zh-CN"/>
        </w:rPr>
        <w:t xml:space="preserve">保证措施</w:t>
      </w:r>
      <w:r>
        <w:rPr>
          <w:rFonts w:hint="eastAsia" w:ascii="宋体" w:hAnsi="宋体" w:eastAsia="宋体" w:cs="宋体"/>
          <w:b w:val="0"/>
          <w:bCs w:val="0"/>
          <w:spacing w:val="-3"/>
          <w:sz w:val="28"/>
          <w:szCs w:val="28"/>
          <w:highlight w:val="none"/>
          <w:lang w:val="en-US" w:eastAsia="en-US"/>
        </w:rPr>
        <w:t xml:space="preserve">方案</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rPr>
        <w:t xml:space="preserve">④ 包装方案</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zh-CN"/>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rPr>
          <w:rFonts w:hint="eastAsia" w:ascii="宋体" w:hAnsi="宋体" w:eastAsia="宋体" w:cs="宋体"/>
          <w:b w:val="0"/>
          <w:bCs w:val="0"/>
          <w:spacing w:val="-3"/>
          <w:sz w:val="28"/>
          <w:szCs w:val="28"/>
          <w:highlight w:val="none"/>
          <w:lang w:val="en-US" w:eastAsia="zh-CN"/>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en-US"/>
        </w:rPr>
      </w:pPr>
      <w:r>
        <w:rPr>
          <w:rFonts w:hint="eastAsia" w:ascii="宋体" w:hAnsi="宋体" w:eastAsia="宋体" w:cs="宋体"/>
          <w:b w:val="0"/>
          <w:bCs w:val="0"/>
          <w:spacing w:val="-3"/>
          <w:sz w:val="28"/>
          <w:szCs w:val="28"/>
          <w:highlight w:val="none"/>
          <w:lang w:val="en-US" w:eastAsia="en-US"/>
        </w:rPr>
        <w:t xml:space="preserve">（</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lang w:val="en-US" w:eastAsia="en-US"/>
        </w:rPr>
        <w:t xml:space="preserve">）供货及安装</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en-US"/>
        </w:rPr>
        <w:t xml:space="preserve">调试方案（</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lang w:val="en-US" w:eastAsia="en-US"/>
        </w:rPr>
        <w:t xml:space="preserve"> 分）</w:t>
      </w:r>
      <w:r>
        <w:rPr>
          <w:rFonts w:hint="eastAsia" w:ascii="宋体" w:hAnsi="宋体" w:eastAsia="宋体" w:cs="宋体"/>
          <w:b w:val="0"/>
          <w:bCs w:val="0"/>
          <w:spacing w:val="-3"/>
          <w:sz w:val="28"/>
          <w:szCs w:val="28"/>
          <w:highlight w:val="none"/>
          <w:lang w:val="en-US" w:eastAsia="en-US"/>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lang w:val="en-US" w:eastAsia="zh-CN"/>
        </w:rPr>
        <w:t xml:space="preserve">内容包括：</w:t>
      </w:r>
      <w:r>
        <w:rPr>
          <w:rFonts w:hint="eastAsia" w:ascii="宋体" w:hAnsi="宋体" w:eastAsia="宋体" w:cs="宋体"/>
          <w:b w:val="0"/>
          <w:bCs w:val="0"/>
          <w:spacing w:val="-3"/>
          <w:sz w:val="28"/>
          <w:szCs w:val="28"/>
          <w:highlight w:val="none"/>
        </w:rPr>
        <w:t xml:space="preserve">① </w:t>
      </w:r>
      <w:r>
        <w:rPr>
          <w:rFonts w:hint="eastAsia" w:ascii="宋体" w:hAnsi="宋体" w:eastAsia="宋体" w:cs="宋体"/>
          <w:b w:val="0"/>
          <w:bCs w:val="0"/>
          <w:spacing w:val="-3"/>
          <w:sz w:val="28"/>
          <w:szCs w:val="28"/>
          <w:highlight w:val="none"/>
          <w:lang w:val="en-US" w:eastAsia="en-US"/>
        </w:rPr>
        <w:t xml:space="preserve">供货及安装</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en-US"/>
        </w:rPr>
        <w:t xml:space="preserve">调试</w:t>
      </w:r>
      <w:r>
        <w:rPr>
          <w:rFonts w:hint="eastAsia" w:ascii="宋体" w:hAnsi="宋体" w:eastAsia="宋体" w:cs="宋体"/>
          <w:b w:val="0"/>
          <w:bCs w:val="0"/>
          <w:spacing w:val="-3"/>
          <w:sz w:val="28"/>
          <w:szCs w:val="28"/>
          <w:highlight w:val="none"/>
          <w:lang w:val="en-US" w:eastAsia="zh-CN"/>
        </w:rPr>
        <w:t xml:space="preserve">的</w:t>
      </w:r>
      <w:r>
        <w:rPr>
          <w:rFonts w:hint="eastAsia" w:ascii="宋体" w:hAnsi="宋体" w:eastAsia="宋体" w:cs="宋体"/>
          <w:b w:val="0"/>
          <w:bCs w:val="0"/>
          <w:spacing w:val="-3"/>
          <w:sz w:val="28"/>
          <w:szCs w:val="28"/>
          <w:highlight w:val="none"/>
        </w:rPr>
        <w:t xml:space="preserve">总体概述；② 施工方案及</w:t>
      </w:r>
      <w:r>
        <w:rPr>
          <w:rFonts w:hint="eastAsia" w:ascii="宋体" w:hAnsi="宋体" w:eastAsia="宋体" w:cs="宋体"/>
          <w:sz w:val="28"/>
          <w:szCs w:val="22"/>
          <w:highlight w:val="none"/>
        </w:rPr>
        <w:t xml:space="preserve">安全文明</w:t>
      </w:r>
      <w:r>
        <w:rPr>
          <w:rFonts w:hint="eastAsia" w:ascii="宋体" w:hAnsi="宋体" w:cs="宋体"/>
          <w:sz w:val="28"/>
          <w:szCs w:val="22"/>
          <w:highlight w:val="none"/>
          <w:lang w:val="en-US" w:eastAsia="zh-CN"/>
        </w:rPr>
        <w:t xml:space="preserve">安装保护</w:t>
      </w:r>
      <w:r>
        <w:rPr>
          <w:rFonts w:hint="eastAsia" w:ascii="宋体" w:hAnsi="宋体" w:eastAsia="宋体" w:cs="宋体"/>
          <w:b w:val="0"/>
          <w:bCs w:val="0"/>
          <w:spacing w:val="-3"/>
          <w:sz w:val="28"/>
          <w:szCs w:val="28"/>
          <w:highlight w:val="none"/>
        </w:rPr>
        <w:t xml:space="preserve">措施；③</w:t>
      </w:r>
      <w:r>
        <w:rPr>
          <w:rFonts w:hint="eastAsia" w:ascii="宋体" w:hAnsi="宋体" w:eastAsia="宋体" w:cs="宋体"/>
          <w:b w:val="0"/>
          <w:bCs w:val="0"/>
          <w:spacing w:val="-3"/>
          <w:sz w:val="28"/>
          <w:szCs w:val="28"/>
          <w:highlight w:val="none"/>
          <w:lang w:val="en-US" w:eastAsia="zh-CN"/>
        </w:rPr>
        <w:t xml:space="preserve"> </w:t>
      </w:r>
      <w:r>
        <w:rPr>
          <w:rFonts w:hint="eastAsia" w:ascii="宋体" w:hAnsi="宋体" w:eastAsia="宋体" w:cs="宋体"/>
          <w:b w:val="0"/>
          <w:bCs w:val="0"/>
          <w:spacing w:val="-3"/>
          <w:sz w:val="28"/>
          <w:szCs w:val="28"/>
          <w:highlight w:val="none"/>
        </w:rPr>
        <w:t xml:space="preserve">文明安装环境保护措施</w:t>
      </w:r>
      <w:r>
        <w:rPr>
          <w:rFonts w:hint="eastAsia" w:ascii="宋体" w:hAnsi="宋体" w:eastAsia="宋体" w:cs="宋体"/>
          <w:b w:val="0"/>
          <w:bCs w:val="0"/>
          <w:spacing w:val="-3"/>
          <w:sz w:val="28"/>
          <w:szCs w:val="28"/>
          <w:highlight w:val="none"/>
          <w:lang w:val="en-US" w:eastAsia="zh-CN"/>
        </w:rPr>
        <w:t xml:space="preserve">及责任制度</w:t>
      </w:r>
      <w:r>
        <w:rPr>
          <w:rFonts w:hint="eastAsia" w:ascii="宋体" w:hAnsi="宋体" w:eastAsia="宋体" w:cs="宋体"/>
          <w:b w:val="0"/>
          <w:bCs w:val="0"/>
          <w:spacing w:val="-3"/>
          <w:sz w:val="28"/>
          <w:szCs w:val="28"/>
          <w:highlight w:val="none"/>
        </w:rPr>
        <w:t xml:space="preserve">；④ </w:t>
      </w:r>
      <w:r>
        <w:rPr>
          <w:rFonts w:hint="eastAsia" w:ascii="宋体" w:hAnsi="宋体" w:eastAsia="宋体" w:cs="宋体"/>
          <w:b w:val="0"/>
          <w:bCs w:val="0"/>
          <w:spacing w:val="-3"/>
          <w:sz w:val="28"/>
          <w:szCs w:val="28"/>
          <w:highlight w:val="none"/>
          <w:lang w:val="en-US" w:eastAsia="zh-CN"/>
        </w:rPr>
        <w:t xml:space="preserve">厨房设备</w:t>
      </w:r>
      <w:r>
        <w:rPr>
          <w:rFonts w:hint="eastAsia" w:ascii="宋体" w:hAnsi="宋体" w:eastAsia="宋体" w:cs="宋体"/>
          <w:b w:val="0"/>
          <w:bCs w:val="0"/>
          <w:spacing w:val="-3"/>
          <w:sz w:val="28"/>
          <w:szCs w:val="28"/>
          <w:highlight w:val="none"/>
        </w:rPr>
        <w:t xml:space="preserve">验收流程及后续；</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rPr>
          <w:rFonts w:hint="eastAsia" w:ascii="宋体" w:hAnsi="宋体" w:eastAsia="宋体" w:cs="宋体"/>
          <w:b w:val="0"/>
          <w:bCs w:val="0"/>
          <w:spacing w:val="-3"/>
          <w:sz w:val="28"/>
          <w:szCs w:val="28"/>
          <w:highlight w:val="none"/>
          <w:lang w:val="en-US" w:eastAsia="zh-CN"/>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en-US"/>
        </w:rPr>
      </w:pPr>
      <w:r>
        <w:rPr>
          <w:rFonts w:hint="eastAsia" w:ascii="宋体" w:hAnsi="宋体" w:eastAsia="宋体" w:cs="宋体"/>
          <w:b w:val="0"/>
          <w:bCs w:val="0"/>
          <w:spacing w:val="-3"/>
          <w:sz w:val="28"/>
          <w:szCs w:val="28"/>
          <w:highlight w:val="none"/>
          <w:lang w:val="en-US" w:eastAsia="en-US"/>
        </w:rPr>
        <w:t xml:space="preserve">（</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lang w:val="en-US" w:eastAsia="en-US"/>
        </w:rPr>
        <w:t xml:space="preserve">）售后服务方案（</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lang w:val="en-US" w:eastAsia="en-US"/>
        </w:rPr>
        <w:t xml:space="preserve">分）：</w:t>
      </w:r>
      <w:r>
        <w:rPr>
          <w:rFonts w:hint="eastAsia" w:ascii="宋体" w:hAnsi="宋体" w:eastAsia="宋体" w:cs="宋体"/>
          <w:b w:val="0"/>
          <w:bCs w:val="0"/>
          <w:spacing w:val="-3"/>
          <w:sz w:val="28"/>
          <w:szCs w:val="28"/>
          <w:highlight w:val="none"/>
          <w:lang w:val="en-US" w:eastAsia="en-US"/>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内容包括：①售后服务方案；②售后管理制度；③质量保障措施；④日常维护保养。</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rPr>
          <w:rFonts w:hint="eastAsia" w:ascii="宋体" w:hAnsi="宋体" w:eastAsia="宋体" w:cs="宋体"/>
          <w:b w:val="0"/>
          <w:bCs w:val="0"/>
          <w:spacing w:val="-3"/>
          <w:sz w:val="28"/>
          <w:szCs w:val="28"/>
          <w:highlight w:val="none"/>
          <w:lang w:val="en-US" w:eastAsia="zh-CN"/>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lang w:val="en-US" w:eastAsia="zh-CN"/>
        </w:rPr>
        <w:t xml:space="preserve">（4）应急方案（5分）</w:t>
      </w:r>
      <w:r>
        <w:rPr>
          <w:rFonts w:hint="eastAsia" w:ascii="宋体" w:hAnsi="宋体" w:eastAsia="宋体" w:cs="宋体"/>
          <w:b w:val="0"/>
          <w:bCs w:val="0"/>
          <w:spacing w:val="-3"/>
          <w:sz w:val="28"/>
          <w:szCs w:val="28"/>
          <w:highlight w:val="none"/>
          <w:lang w:val="en-US" w:eastAsia="zh-CN"/>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内容包括：①应急人员安排；②应急响应时限；③备品备件的完备性</w:t>
      </w:r>
      <w:r>
        <w:rPr>
          <w:rFonts w:hint="eastAsia" w:ascii="宋体" w:hAnsi="宋体" w:eastAsia="宋体" w:cs="宋体"/>
          <w:b w:val="0"/>
          <w:bCs w:val="0"/>
          <w:spacing w:val="-3"/>
          <w:sz w:val="28"/>
          <w:szCs w:val="28"/>
          <w:highlight w:val="none"/>
          <w:lang w:eastAsia="zh-CN"/>
        </w:rPr>
        <w:t xml:space="preserve">；</w:t>
      </w:r>
      <w:r>
        <w:rPr>
          <w:rFonts w:hint="eastAsia" w:ascii="宋体" w:hAnsi="宋体" w:eastAsia="宋体" w:cs="宋体"/>
          <w:b w:val="0"/>
          <w:bCs w:val="0"/>
          <w:spacing w:val="-3"/>
          <w:sz w:val="28"/>
          <w:szCs w:val="28"/>
          <w:highlight w:val="none"/>
          <w:lang w:val="en-US" w:eastAsia="zh-CN"/>
        </w:rPr>
        <w:t xml:space="preserve">④</w:t>
      </w:r>
      <w:r>
        <w:rPr>
          <w:rFonts w:hint="eastAsia" w:ascii="宋体" w:hAnsi="宋体" w:eastAsia="宋体" w:cs="宋体"/>
          <w:b w:val="0"/>
          <w:bCs w:val="0"/>
          <w:spacing w:val="-3"/>
          <w:sz w:val="28"/>
          <w:szCs w:val="28"/>
          <w:highlight w:val="none"/>
        </w:rPr>
        <w:t xml:space="preserve">运输应急预案</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rPr>
          <w:rFonts w:hint="eastAsia" w:ascii="宋体" w:hAnsi="宋体" w:eastAsia="宋体" w:cs="宋体"/>
          <w:b w:val="0"/>
          <w:bCs w:val="0"/>
          <w:spacing w:val="-3"/>
          <w:sz w:val="28"/>
          <w:szCs w:val="28"/>
          <w:highlight w:val="none"/>
        </w:rPr>
      </w:r>
      <w:r/>
    </w:p>
    <w:p>
      <w:pPr>
        <w:pStyle w:val="719"/>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rPr>
          <w:rFonts w:hint="eastAsia" w:ascii="宋体" w:hAnsi="宋体" w:eastAsia="宋体" w:cs="宋体"/>
          <w:b w:val="0"/>
          <w:bCs w:val="0"/>
          <w:spacing w:val="-3"/>
          <w:sz w:val="28"/>
          <w:szCs w:val="28"/>
          <w:highlight w:val="none"/>
          <w:lang w:val="en-US" w:eastAsia="zh-CN"/>
        </w:rPr>
      </w:r>
      <w:r/>
    </w:p>
    <w:p>
      <w:pPr>
        <w:pStyle w:val="719"/>
        <w:numPr>
          <w:ilvl w:val="0"/>
          <w:numId w:val="0"/>
        </w:numPr>
        <w:ind w:right="0" w:firstLine="562"/>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bCs/>
          <w:sz w:val="28"/>
          <w:szCs w:val="28"/>
          <w:highlight w:val="none"/>
          <w:lang w:val="en-US" w:eastAsia="zh-CN"/>
        </w:rPr>
        <w:t xml:space="preserve">5.节能、环保产品（2分）：</w:t>
      </w:r>
      <w:r>
        <w:rPr>
          <w:rFonts w:hint="eastAsia" w:ascii="宋体" w:hAnsi="宋体" w:eastAsia="宋体" w:cs="宋体"/>
          <w:b w:val="0"/>
          <w:bCs w:val="0"/>
          <w:spacing w:val="-3"/>
          <w:sz w:val="28"/>
          <w:szCs w:val="28"/>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hint="eastAsia" w:ascii="宋体" w:hAnsi="宋体" w:eastAsia="宋体" w:cs="宋体"/>
          <w:b w:val="0"/>
          <w:bCs w:val="0"/>
          <w:spacing w:val="-3"/>
          <w:sz w:val="28"/>
          <w:szCs w:val="28"/>
          <w:highlight w:val="none"/>
          <w:lang w:val="en-US" w:eastAsia="zh-CN"/>
        </w:rPr>
      </w:r>
      <w:r/>
    </w:p>
    <w:p>
      <w:pPr>
        <w:pStyle w:val="731"/>
        <w:numPr>
          <w:ilvl w:val="0"/>
          <w:numId w:val="0"/>
        </w:numPr>
        <w:jc w:val="both"/>
        <w:keepLines w:val="0"/>
        <w:keepNext w:val="0"/>
        <w:widowControl w:val="off"/>
        <w:rPr>
          <w:rFonts w:hint="eastAsia"/>
          <w:highlight w:val="none"/>
        </w:rPr>
        <w:suppressLineNumbers w:val="0"/>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719"/>
        <w:rPr>
          <w:rFonts w:hint="eastAsia"/>
          <w:highlight w:val="none"/>
        </w:rPr>
      </w:pPr>
      <w:r>
        <w:rPr>
          <w:rFonts w:hint="eastAsia"/>
          <w:highlight w:val="none"/>
        </w:rPr>
      </w:r>
      <w:r/>
    </w:p>
    <w:p>
      <w:pPr>
        <w:pStyle w:val="719"/>
        <w:jc w:val="center"/>
        <w:spacing w:line="360" w:lineRule="auto"/>
        <w:rPr>
          <w:rFonts w:hint="eastAsia" w:ascii="宋体" w:hAnsi="宋体" w:eastAsia="宋体" w:cs="宋体"/>
          <w:bCs/>
          <w:sz w:val="36"/>
          <w:szCs w:val="36"/>
          <w:highlight w:val="none"/>
        </w:rPr>
        <w:outlineLvl w:val="0"/>
      </w:pPr>
      <w:r/>
      <w:bookmarkStart w:id="203" w:name="_Toc25872"/>
      <w:r>
        <w:rPr>
          <w:rFonts w:hint="eastAsia" w:ascii="宋体" w:hAnsi="宋体" w:eastAsia="宋体" w:cs="宋体"/>
          <w:bCs/>
          <w:sz w:val="36"/>
          <w:szCs w:val="36"/>
          <w:highlight w:val="none"/>
        </w:rPr>
        <w:t xml:space="preserve">第六章  </w:t>
      </w:r>
      <w:bookmarkEnd w:id="197"/>
      <w:r/>
      <w:bookmarkEnd w:id="198"/>
      <w:r/>
      <w:bookmarkEnd w:id="202"/>
      <w:r>
        <w:rPr>
          <w:rFonts w:hint="eastAsia" w:ascii="宋体" w:hAnsi="宋体" w:eastAsia="宋体" w:cs="宋体"/>
          <w:bCs/>
          <w:sz w:val="36"/>
          <w:szCs w:val="36"/>
          <w:highlight w:val="none"/>
        </w:rPr>
        <w:t xml:space="preserve">投标文件内容与格式</w:t>
      </w:r>
      <w:bookmarkEnd w:id="203"/>
      <w:r>
        <w:rPr>
          <w:rFonts w:hint="eastAsia" w:ascii="宋体" w:hAnsi="宋体" w:eastAsia="宋体" w:cs="宋体"/>
          <w:bCs/>
          <w:sz w:val="36"/>
          <w:szCs w:val="36"/>
          <w:highlight w:val="none"/>
        </w:rPr>
      </w:r>
      <w:r/>
    </w:p>
    <w:p>
      <w:pPr>
        <w:pStyle w:val="995"/>
        <w:ind w:firstLine="602"/>
        <w:spacing w:before="0" w:after="0" w:line="360" w:lineRule="auto"/>
        <w:rPr>
          <w:rFonts w:hint="eastAsia" w:ascii="宋体" w:hAnsi="宋体" w:eastAsia="宋体" w:cs="宋体"/>
          <w:b/>
          <w:sz w:val="30"/>
          <w:szCs w:val="30"/>
          <w:highlight w:val="none"/>
        </w:rPr>
      </w:pPr>
      <w:r/>
      <w:bookmarkStart w:id="204" w:name="_Hlt26671244"/>
      <w:r/>
      <w:bookmarkEnd w:id="204"/>
      <w:r/>
      <w:bookmarkStart w:id="205" w:name="_Toc26554094"/>
      <w:r/>
      <w:bookmarkStart w:id="206" w:name="_Toc49090576"/>
      <w:r/>
      <w:bookmarkStart w:id="207" w:name="_Toc120614282"/>
      <w:r/>
      <w:bookmarkStart w:id="208" w:name="_Hlt26955039"/>
      <w:r/>
      <w:bookmarkEnd w:id="208"/>
      <w:r>
        <w:rPr>
          <w:rFonts w:hint="eastAsia" w:ascii="宋体" w:hAnsi="宋体" w:eastAsia="宋体" w:cs="宋体"/>
          <w:b/>
          <w:sz w:val="30"/>
          <w:szCs w:val="30"/>
          <w:highlight w:val="none"/>
        </w:rPr>
        <w:t xml:space="preserve">第一部分  投标文件内容</w:t>
      </w:r>
      <w:r>
        <w:rPr>
          <w:rFonts w:hint="eastAsia" w:ascii="宋体" w:hAnsi="宋体" w:eastAsia="宋体" w:cs="宋体"/>
          <w:b/>
          <w:sz w:val="30"/>
          <w:szCs w:val="30"/>
          <w:highlight w:val="none"/>
        </w:rPr>
      </w:r>
      <w:r/>
    </w:p>
    <w:p>
      <w:pPr>
        <w:pStyle w:val="995"/>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rPr>
          <w:rFonts w:hint="eastAsia" w:ascii="宋体" w:hAnsi="宋体" w:eastAsia="宋体" w:cs="宋体"/>
          <w:b/>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6104" w:type="dxa"/>
            <w:vAlign w:val="center"/>
            <w:textDirection w:val="lrTb"/>
            <w:noWrap w:val="false"/>
          </w:tcPr>
          <w:p>
            <w:pPr>
              <w:pStyle w:val="995"/>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rPr>
                <w:rFonts w:hint="eastAsia" w:ascii="宋体" w:hAnsi="宋体" w:eastAsia="宋体" w:cs="宋体"/>
                <w:b/>
                <w:sz w:val="24"/>
                <w:szCs w:val="24"/>
                <w:highlight w:val="none"/>
                <w:lang w:val="en-US" w:eastAsia="zh-CN" w:bidi="ar-SA"/>
              </w:rPr>
            </w:r>
            <w:r/>
          </w:p>
        </w:tc>
        <w:tc>
          <w:tcPr>
            <w:tcW w:w="244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r>
      <w:tr>
        <w:trPr>
          <w:trHeight w:val="1335"/>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lang w:val="en-US" w:eastAsia="zh-CN" w:bidi="ar-SA"/>
              </w:rPr>
            </w:r>
            <w:r/>
          </w:p>
        </w:tc>
        <w:tc>
          <w:tcPr>
            <w:tcW w:w="2449" w:type="dxa"/>
            <w:vAlign w:val="center"/>
            <w:vMerge w:val="restart"/>
            <w:textDirection w:val="lrTb"/>
            <w:noWrap w:val="false"/>
          </w:tcPr>
          <w:p>
            <w:pPr>
              <w:pStyle w:val="995"/>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rPr>
                <w:rFonts w:hint="eastAsia" w:ascii="宋体" w:hAnsi="宋体" w:eastAsia="宋体" w:cs="宋体"/>
                <w:sz w:val="24"/>
                <w:szCs w:val="24"/>
                <w:highlight w:val="none"/>
                <w:lang w:val="en-US" w:eastAsia="zh-CN" w:bidi="ar-SA"/>
              </w:rPr>
            </w:r>
            <w:r/>
          </w:p>
        </w:tc>
      </w:tr>
      <w:tr>
        <w:trPr>
          <w:trHeight w:val="812"/>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995"/>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684"/>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1"/>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995"/>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963"/>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995"/>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023"/>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995"/>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05"/>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995"/>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00"/>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719"/>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995"/>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trHeight w:val="726"/>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rPr>
                <w:rFonts w:hint="eastAsia" w:ascii="宋体" w:hAnsi="宋体" w:eastAsia="宋体" w:cs="宋体"/>
                <w:bCs/>
                <w:sz w:val="24"/>
                <w:szCs w:val="24"/>
                <w:highlight w:val="none"/>
                <w:lang w:val="en-US" w:eastAsia="zh-CN" w:bidi="ar-SA"/>
              </w:rPr>
            </w:r>
            <w:r/>
          </w:p>
        </w:tc>
        <w:tc>
          <w:tcPr>
            <w:tcW w:w="6104"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r>
            <w:r/>
          </w:p>
        </w:tc>
        <w:tc>
          <w:tcPr>
            <w:tcW w:w="2449" w:type="dxa"/>
            <w:vAlign w:val="center"/>
            <w:textDirection w:val="lrTb"/>
            <w:noWrap w:val="false"/>
          </w:tcPr>
          <w:p>
            <w:pPr>
              <w:pStyle w:val="995"/>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rPr>
                <w:rFonts w:hint="eastAsia" w:ascii="宋体" w:hAnsi="宋体" w:eastAsia="宋体" w:cs="宋体"/>
                <w:bCs/>
                <w:sz w:val="24"/>
                <w:szCs w:val="24"/>
                <w:highlight w:val="none"/>
                <w:lang w:val="en-US" w:eastAsia="zh-CN" w:bidi="ar-SA"/>
              </w:rPr>
            </w:r>
            <w:r/>
          </w:p>
        </w:tc>
      </w:tr>
      <w:tr>
        <w:trPr>
          <w:trHeight w:val="632"/>
        </w:trPr>
        <w:tc>
          <w:tcPr>
            <w:tcW w:w="71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r>
            <w:r/>
          </w:p>
        </w:tc>
        <w:tc>
          <w:tcPr>
            <w:tcW w:w="6104"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rPr>
                <w:rFonts w:hint="eastAsia" w:ascii="宋体" w:hAnsi="宋体" w:eastAsia="宋体" w:cs="宋体"/>
                <w:bCs/>
                <w:sz w:val="24"/>
                <w:szCs w:val="24"/>
                <w:highlight w:val="none"/>
                <w:lang w:val="en-US" w:eastAsia="zh-CN" w:bidi="ar-SA"/>
              </w:rPr>
            </w:r>
            <w:r/>
          </w:p>
        </w:tc>
        <w:tc>
          <w:tcPr>
            <w:tcW w:w="2449" w:type="dxa"/>
            <w:vAlign w:val="center"/>
            <w:textDirection w:val="lrTb"/>
            <w:noWrap w:val="false"/>
          </w:tcPr>
          <w:p>
            <w:pPr>
              <w:pStyle w:val="995"/>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rPr>
                <w:rFonts w:hint="eastAsia" w:ascii="宋体" w:hAnsi="宋体" w:eastAsia="宋体" w:cs="宋体"/>
                <w:sz w:val="24"/>
                <w:szCs w:val="24"/>
                <w:highlight w:val="none"/>
                <w:lang w:val="en-US" w:eastAsia="zh-CN" w:bidi="ar-SA"/>
              </w:rPr>
            </w:r>
            <w:r/>
          </w:p>
        </w:tc>
      </w:tr>
    </w:tbl>
    <w:p>
      <w:pPr>
        <w:pStyle w:val="71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19"/>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rPr>
          <w:rFonts w:hint="eastAsia" w:ascii="宋体" w:hAnsi="宋体" w:eastAsia="宋体" w:cs="宋体"/>
          <w:sz w:val="24"/>
          <w:szCs w:val="24"/>
          <w:highlight w:val="none"/>
        </w:rPr>
      </w:r>
      <w:r/>
    </w:p>
    <w:p>
      <w:pPr>
        <w:pStyle w:val="71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szCs w:val="24"/>
          <w:highlight w:val="none"/>
        </w:rPr>
      </w:r>
      <w:r/>
    </w:p>
    <w:p>
      <w:pPr>
        <w:pStyle w:val="719"/>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rPr>
          <w:rFonts w:hint="eastAsia" w:ascii="宋体" w:hAnsi="宋体" w:eastAsia="宋体" w:cs="宋体"/>
          <w:sz w:val="24"/>
          <w:szCs w:val="24"/>
          <w:highlight w:val="none"/>
        </w:rPr>
      </w:r>
      <w:r/>
    </w:p>
    <w:p>
      <w:pPr>
        <w:pStyle w:val="71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宋体"/>
          <w:sz w:val="24"/>
          <w:szCs w:val="24"/>
          <w:highlight w:val="none"/>
        </w:rPr>
      </w:r>
      <w:r/>
    </w:p>
    <w:p>
      <w:pPr>
        <w:pStyle w:val="719"/>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rPr>
          <w:rFonts w:hint="eastAsia" w:ascii="宋体" w:hAnsi="宋体" w:eastAsia="宋体" w:cs="宋体"/>
          <w:sz w:val="24"/>
          <w:szCs w:val="24"/>
          <w:highlight w:val="none"/>
        </w:rPr>
      </w:r>
      <w:r/>
    </w:p>
    <w:p>
      <w:pPr>
        <w:pStyle w:val="719"/>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宋体"/>
          <w:sz w:val="24"/>
          <w:szCs w:val="24"/>
          <w:highlight w:val="none"/>
        </w:rPr>
      </w:r>
      <w:r/>
    </w:p>
    <w:p>
      <w:pPr>
        <w:pStyle w:val="71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rPr>
          <w:rFonts w:hint="eastAsia" w:ascii="宋体" w:hAnsi="宋体" w:eastAsia="宋体" w:cs="宋体"/>
          <w:sz w:val="24"/>
          <w:szCs w:val="24"/>
          <w:highlight w:val="none"/>
        </w:rPr>
      </w:r>
      <w:r/>
    </w:p>
    <w:p>
      <w:pPr>
        <w:pStyle w:val="719"/>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rPr>
          <w:rFonts w:hint="eastAsia" w:ascii="宋体" w:hAnsi="宋体" w:eastAsia="宋体" w:cs="宋体"/>
          <w:b/>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6095"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rPr>
                <w:rFonts w:hint="eastAsia" w:ascii="宋体" w:hAnsi="宋体" w:eastAsia="宋体" w:cs="宋体"/>
                <w:b/>
                <w:sz w:val="24"/>
                <w:szCs w:val="24"/>
                <w:highlight w:val="none"/>
                <w:lang w:val="en-US" w:eastAsia="zh-CN" w:bidi="ar-SA"/>
              </w:rPr>
            </w:r>
            <w:r/>
          </w:p>
        </w:tc>
        <w:tc>
          <w:tcPr>
            <w:tcW w:w="1979"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r>
      <w:tr>
        <w:trPr>
          <w:trHeight w:val="567"/>
        </w:trPr>
        <w:tc>
          <w:tcPr>
            <w:tcW w:w="823"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符合性证明文件</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其他证明文件</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995"/>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995"/>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rPr>
                <w:rFonts w:hint="eastAsia" w:ascii="宋体" w:hAnsi="宋体" w:eastAsia="宋体" w:cs="宋体"/>
                <w:sz w:val="24"/>
                <w:szCs w:val="24"/>
                <w:highlight w:val="none"/>
                <w:lang w:val="en-US" w:eastAsia="zh-CN" w:bidi="ar-SA"/>
              </w:rPr>
            </w:r>
            <w:r/>
          </w:p>
        </w:tc>
        <w:tc>
          <w:tcPr>
            <w:tcW w:w="1979" w:type="dxa"/>
            <w:vAlign w:val="top"/>
            <w:vMerge w:val="continue"/>
            <w:textDirection w:val="lrTb"/>
            <w:noWrap w:val="false"/>
          </w:tcPr>
          <w:p>
            <w:pPr>
              <w:pStyle w:val="995"/>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1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19"/>
        <w:numPr>
          <w:ilvl w:val="0"/>
          <w:numId w:val="11"/>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rPr>
          <w:rFonts w:hint="eastAsia" w:ascii="宋体" w:hAnsi="宋体" w:eastAsia="宋体" w:cs="宋体"/>
          <w:sz w:val="24"/>
          <w:szCs w:val="24"/>
          <w:highlight w:val="none"/>
        </w:rPr>
      </w:r>
      <w:r/>
    </w:p>
    <w:p>
      <w:pPr>
        <w:pStyle w:val="719"/>
        <w:numPr>
          <w:ilvl w:val="0"/>
          <w:numId w:val="11"/>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rPr>
          <w:rFonts w:hint="eastAsia" w:ascii="宋体" w:hAnsi="宋体" w:eastAsia="宋体" w:cs="宋体"/>
          <w:sz w:val="24"/>
          <w:szCs w:val="24"/>
          <w:highlight w:val="none"/>
        </w:rPr>
      </w:r>
      <w:r/>
    </w:p>
    <w:p>
      <w:pPr>
        <w:pStyle w:val="719"/>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rPr>
          <w:rFonts w:hint="eastAsia" w:ascii="Times New Roman" w:hAnsi="Times New Roman" w:cs="Times New Roman"/>
          <w:b/>
          <w:sz w:val="28"/>
          <w:szCs w:val="28"/>
          <w:highlight w:val="none"/>
        </w:rPr>
      </w:r>
      <w:r/>
    </w:p>
    <w:p>
      <w:pPr>
        <w:pStyle w:val="719"/>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rPr>
          <w:rFonts w:hint="eastAsia" w:ascii="宋体" w:hAnsi="宋体" w:cs="Times New Roman"/>
          <w:sz w:val="24"/>
          <w:szCs w:val="24"/>
          <w:highlight w:val="none"/>
        </w:rPr>
      </w:r>
      <w:r/>
    </w:p>
    <w:p>
      <w:pPr>
        <w:pStyle w:val="719"/>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rPr>
          <w:rFonts w:ascii="宋体" w:hAnsi="宋体" w:cs="宋体"/>
          <w:sz w:val="24"/>
          <w:szCs w:val="24"/>
          <w:highlight w:val="none"/>
        </w:rPr>
      </w:r>
      <w:r/>
    </w:p>
    <w:p>
      <w:pPr>
        <w:pStyle w:val="719"/>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rPr>
          <w:rFonts w:hint="eastAsia" w:ascii="宋体" w:hAnsi="宋体" w:eastAsia="宋体" w:cs="宋体"/>
          <w:b/>
          <w:sz w:val="30"/>
          <w:szCs w:val="30"/>
          <w:highlight w:val="none"/>
        </w:rPr>
      </w:r>
      <w:r/>
    </w:p>
    <w:p>
      <w:pPr>
        <w:pStyle w:val="995"/>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rPr>
          <w:rFonts w:hint="eastAsia" w:ascii="宋体" w:hAnsi="宋体" w:eastAsia="宋体" w:cs="宋体"/>
          <w:b/>
          <w:sz w:val="28"/>
          <w:szCs w:val="28"/>
          <w:highlight w:val="none"/>
        </w:rPr>
      </w:r>
      <w:r/>
    </w:p>
    <w:p>
      <w:pPr>
        <w:pStyle w:val="719"/>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19"/>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19"/>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rPr>
          <w:rFonts w:hint="eastAsia" w:ascii="宋体" w:hAnsi="宋体" w:eastAsia="宋体" w:cs="宋体"/>
          <w:bCs/>
          <w:spacing w:val="20"/>
          <w:sz w:val="84"/>
          <w:szCs w:val="84"/>
          <w:highlight w:val="none"/>
        </w:rPr>
      </w:r>
      <w:r/>
    </w:p>
    <w:p>
      <w:pPr>
        <w:pStyle w:val="719"/>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19"/>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19"/>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19"/>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19"/>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JSZC-320214-JNJS-G2026-0001</w:t>
      </w:r>
      <w:r>
        <w:rPr>
          <w:rFonts w:hint="eastAsia" w:ascii="宋体" w:hAnsi="宋体" w:eastAsia="宋体" w:cs="宋体"/>
          <w:bCs/>
          <w:color w:val="000000"/>
          <w:sz w:val="32"/>
          <w:szCs w:val="32"/>
          <w:highlight w:val="none"/>
          <w:lang w:eastAsia="zh-CN"/>
        </w:rPr>
      </w:r>
      <w:r/>
    </w:p>
    <w:p>
      <w:pPr>
        <w:pStyle w:val="719"/>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天一中学新吴分校新建工程厨房设备采购项目</w:t>
      </w:r>
      <w:r>
        <w:rPr>
          <w:rFonts w:hint="eastAsia" w:ascii="宋体" w:hAnsi="宋体" w:eastAsia="宋体" w:cs="宋体"/>
          <w:bCs/>
          <w:color w:val="000000"/>
          <w:sz w:val="30"/>
          <w:szCs w:val="30"/>
          <w:highlight w:val="none"/>
          <w:lang w:eastAsia="zh-CN"/>
        </w:rPr>
      </w:r>
      <w:r/>
    </w:p>
    <w:p>
      <w:pPr>
        <w:pStyle w:val="719"/>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rPr>
          <w:rFonts w:hint="eastAsia" w:ascii="宋体" w:hAnsi="宋体" w:eastAsia="宋体" w:cs="宋体"/>
          <w:bCs/>
          <w:color w:val="000000"/>
          <w:sz w:val="30"/>
          <w:szCs w:val="30"/>
          <w:highlight w:val="none"/>
        </w:rPr>
      </w:r>
      <w:r/>
    </w:p>
    <w:p>
      <w:pPr>
        <w:pStyle w:val="719"/>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rPr>
          <w:rFonts w:hint="eastAsia" w:ascii="宋体" w:hAnsi="宋体" w:eastAsia="宋体" w:cs="宋体"/>
          <w:bCs/>
          <w:color w:val="000000"/>
          <w:sz w:val="30"/>
          <w:szCs w:val="30"/>
          <w:highlight w:val="none"/>
        </w:rPr>
      </w:r>
      <w:r/>
    </w:p>
    <w:p>
      <w:pPr>
        <w:pStyle w:val="719"/>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rPr>
          <w:rFonts w:hint="eastAsia" w:ascii="宋体" w:hAnsi="宋体" w:eastAsia="宋体" w:cs="宋体"/>
          <w:b/>
          <w:sz w:val="28"/>
          <w:szCs w:val="28"/>
          <w:highlight w:val="none"/>
        </w:rPr>
      </w:r>
      <w:r/>
    </w:p>
    <w:p>
      <w:pPr>
        <w:pStyle w:val="719"/>
        <w:jc w:val="center"/>
        <w:rPr>
          <w:rFonts w:hint="eastAsia" w:ascii="宋体" w:hAnsi="宋体" w:eastAsia="宋体" w:cs="宋体"/>
          <w:sz w:val="24"/>
          <w:highlight w:val="none"/>
          <w:shd w:val="clear" w:color="ffffff" w:fill="d9d9d9"/>
        </w:rPr>
        <w:outlineLvl w:val="0"/>
      </w:pPr>
      <w:r/>
      <w:bookmarkStart w:id="209" w:name="_Toc19688"/>
      <w:r>
        <w:rPr>
          <w:rFonts w:hint="eastAsia" w:ascii="宋体" w:hAnsi="宋体" w:eastAsia="宋体" w:cs="宋体"/>
          <w:bCs/>
          <w:color w:val="000000"/>
          <w:sz w:val="28"/>
          <w:szCs w:val="28"/>
          <w:highlight w:val="none"/>
        </w:rPr>
        <w:t xml:space="preserve">授权委托书</w:t>
      </w:r>
      <w:bookmarkEnd w:id="209"/>
      <w:r>
        <w:rPr>
          <w:rFonts w:hint="eastAsia" w:ascii="宋体" w:hAnsi="宋体" w:eastAsia="宋体" w:cs="宋体"/>
          <w:sz w:val="24"/>
          <w:highlight w:val="none"/>
          <w:shd w:val="clear" w:color="ffffff" w:fill="d9d9d9"/>
        </w:rPr>
      </w:r>
      <w:r/>
    </w:p>
    <w:p>
      <w:pPr>
        <w:pStyle w:val="993"/>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JSZC-320214-JNJS-G2026-0001</w:t>
      </w:r>
      <w:r>
        <w:rPr>
          <w:rFonts w:hint="eastAsia" w:ascii="宋体" w:hAnsi="宋体" w:eastAsia="宋体" w:cs="宋体"/>
          <w:bCs/>
          <w:sz w:val="24"/>
          <w:szCs w:val="24"/>
          <w:highlight w:val="none"/>
        </w:rPr>
        <w:t xml:space="preserve">项目，兹授权：</w:t>
      </w:r>
      <w:r>
        <w:rPr>
          <w:rFonts w:hint="eastAsia" w:ascii="宋体" w:hAnsi="宋体" w:eastAsia="宋体" w:cs="宋体"/>
          <w:sz w:val="24"/>
          <w:szCs w:val="24"/>
          <w:highlight w:val="none"/>
        </w:rPr>
      </w:r>
      <w:r/>
    </w:p>
    <w:p>
      <w:pPr>
        <w:pStyle w:val="993"/>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93"/>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93"/>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rPr>
          <w:rFonts w:hint="eastAsia" w:ascii="宋体" w:hAnsi="宋体" w:eastAsia="宋体" w:cs="宋体"/>
          <w:sz w:val="24"/>
          <w:szCs w:val="24"/>
          <w:highlight w:val="none"/>
        </w:rPr>
      </w:r>
      <w:r/>
    </w:p>
    <w:p>
      <w:pPr>
        <w:pStyle w:val="993"/>
        <w:ind w:firstLine="480"/>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rPr>
          <w:rFonts w:hint="eastAsia" w:ascii="宋体" w:hAnsi="宋体" w:eastAsia="宋体" w:cs="宋体"/>
          <w:bCs/>
          <w:color w:val="000000"/>
          <w:sz w:val="24"/>
          <w:szCs w:val="24"/>
          <w:highlight w:val="none"/>
        </w:rPr>
      </w:r>
      <w:r/>
    </w:p>
    <w:p>
      <w:pPr>
        <w:pStyle w:val="993"/>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rPr>
          <w:rFonts w:hint="eastAsia" w:ascii="宋体" w:hAnsi="宋体" w:eastAsia="宋体" w:cs="宋体"/>
          <w:sz w:val="24"/>
          <w:szCs w:val="24"/>
          <w:highlight w:val="none"/>
        </w:rPr>
      </w:r>
      <w:r/>
    </w:p>
    <w:p>
      <w:pPr>
        <w:pStyle w:val="993"/>
        <w:ind w:firstLine="0"/>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993"/>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93"/>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rPr>
          <w:rFonts w:hint="eastAsia" w:ascii="宋体" w:hAnsi="宋体" w:eastAsia="宋体" w:cs="宋体"/>
          <w:sz w:val="24"/>
          <w:szCs w:val="24"/>
          <w:highlight w:val="none"/>
        </w:rPr>
      </w:r>
      <w:r/>
    </w:p>
    <w:p>
      <w:pPr>
        <w:pStyle w:val="993"/>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993"/>
        <w:numPr>
          <w:ilvl w:val="0"/>
          <w:numId w:val="12"/>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rPr>
          <w:rFonts w:hint="eastAsia" w:ascii="宋体" w:hAnsi="宋体" w:eastAsia="宋体" w:cs="宋体"/>
          <w:color w:val="000000"/>
          <w:sz w:val="24"/>
          <w:szCs w:val="20"/>
          <w:highlight w:val="none"/>
        </w:rPr>
      </w:r>
      <w:r/>
    </w:p>
    <w:p>
      <w:pPr>
        <w:pStyle w:val="993"/>
        <w:numPr>
          <w:ilvl w:val="0"/>
          <w:numId w:val="12"/>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rPr>
          <w:rFonts w:hint="eastAsia" w:ascii="宋体" w:hAnsi="宋体" w:eastAsia="宋体" w:cs="宋体"/>
          <w:color w:val="000000"/>
          <w:sz w:val="24"/>
          <w:szCs w:val="20"/>
          <w:highlight w:val="none"/>
        </w:rPr>
      </w:r>
      <w:r/>
    </w:p>
    <w:p>
      <w:pPr>
        <w:pStyle w:val="993"/>
        <w:numPr>
          <w:ilvl w:val="0"/>
          <w:numId w:val="12"/>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rPr>
          <w:rFonts w:hint="eastAsia" w:ascii="宋体" w:hAnsi="宋体" w:eastAsia="宋体" w:cs="宋体"/>
          <w:color w:val="000000"/>
          <w:sz w:val="24"/>
          <w:szCs w:val="20"/>
          <w:highlight w:val="none"/>
        </w:rPr>
      </w:r>
      <w:r/>
    </w:p>
    <w:p>
      <w:pPr>
        <w:pStyle w:val="993"/>
        <w:numPr>
          <w:ilvl w:val="0"/>
          <w:numId w:val="12"/>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color w:val="000000"/>
          <w:sz w:val="24"/>
          <w:szCs w:val="20"/>
          <w:highlight w:val="none"/>
        </w:rPr>
      </w:r>
      <w:r/>
    </w:p>
    <w:p>
      <w:pPr>
        <w:pStyle w:val="993"/>
        <w:ind w:firstLine="0"/>
        <w:tabs>
          <w:tab w:val="left" w:pos="360" w:leader="none"/>
        </w:tabs>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rPr>
          <w:rFonts w:hint="eastAsia" w:ascii="宋体" w:hAnsi="宋体" w:eastAsia="宋体" w:cs="宋体"/>
          <w:b/>
          <w:szCs w:val="28"/>
          <w:highlight w:val="none"/>
        </w:rPr>
      </w:r>
      <w:r/>
    </w:p>
    <w:p>
      <w:pPr>
        <w:pStyle w:val="719"/>
        <w:jc w:val="center"/>
        <w:rPr>
          <w:rFonts w:hint="eastAsia" w:ascii="宋体" w:hAnsi="宋体" w:eastAsia="宋体" w:cs="宋体"/>
          <w:bCs/>
          <w:color w:val="000000"/>
          <w:sz w:val="28"/>
          <w:szCs w:val="28"/>
          <w:highlight w:val="none"/>
        </w:rPr>
        <w:outlineLvl w:val="0"/>
      </w:pPr>
      <w:r/>
      <w:bookmarkStart w:id="210" w:name="报价方关于资格的声明函（格式）"/>
      <w:r/>
      <w:bookmarkEnd w:id="210"/>
      <w:r/>
      <w:bookmarkStart w:id="211" w:name="_Toc20488"/>
      <w:r>
        <w:rPr>
          <w:rFonts w:hint="eastAsia" w:ascii="宋体" w:hAnsi="宋体" w:eastAsia="宋体" w:cs="宋体"/>
          <w:bCs/>
          <w:color w:val="000000"/>
          <w:sz w:val="28"/>
          <w:szCs w:val="28"/>
          <w:highlight w:val="none"/>
        </w:rPr>
        <w:t xml:space="preserve">资格声明函</w:t>
      </w:r>
      <w:bookmarkEnd w:id="211"/>
      <w:r>
        <w:rPr>
          <w:rFonts w:hint="eastAsia" w:ascii="宋体" w:hAnsi="宋体" w:eastAsia="宋体" w:cs="宋体"/>
          <w:bCs/>
          <w:color w:val="000000"/>
          <w:sz w:val="28"/>
          <w:szCs w:val="28"/>
          <w:highlight w:val="none"/>
        </w:rPr>
      </w:r>
      <w:r/>
    </w:p>
    <w:p>
      <w:pPr>
        <w:pStyle w:val="719"/>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9"/>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19"/>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rPr>
          <w:rFonts w:hint="eastAsia" w:ascii="宋体" w:hAnsi="宋体" w:eastAsia="宋体" w:cs="宋体"/>
          <w:bCs/>
          <w:color w:val="000000"/>
          <w:sz w:val="24"/>
          <w:szCs w:val="24"/>
          <w:highlight w:val="none"/>
        </w:rPr>
      </w:r>
      <w:r/>
    </w:p>
    <w:p>
      <w:pPr>
        <w:pStyle w:val="719"/>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宋体"/>
          <w:bCs/>
          <w:color w:val="000000"/>
          <w:sz w:val="24"/>
          <w:szCs w:val="24"/>
          <w:highlight w:val="none"/>
        </w:rPr>
      </w:r>
      <w:r/>
    </w:p>
    <w:p>
      <w:pPr>
        <w:pStyle w:val="719"/>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rPr>
          <w:rFonts w:hint="eastAsia" w:ascii="宋体" w:hAnsi="宋体" w:eastAsia="宋体" w:cs="宋体"/>
          <w:bCs/>
          <w:color w:val="000000"/>
          <w:sz w:val="24"/>
          <w:szCs w:val="24"/>
          <w:highlight w:val="none"/>
        </w:rPr>
      </w:r>
      <w:r/>
    </w:p>
    <w:p>
      <w:pPr>
        <w:pStyle w:val="719"/>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000000"/>
          <w:sz w:val="24"/>
          <w:szCs w:val="24"/>
          <w:highlight w:val="none"/>
        </w:rPr>
      </w:r>
      <w:r/>
    </w:p>
    <w:p>
      <w:pPr>
        <w:pStyle w:val="719"/>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rPr>
          <w:rFonts w:hint="eastAsia" w:ascii="宋体" w:hAnsi="宋体" w:eastAsia="宋体" w:cs="宋体"/>
          <w:bCs/>
          <w:color w:val="000000"/>
          <w:sz w:val="24"/>
          <w:szCs w:val="24"/>
          <w:highlight w:val="none"/>
        </w:rPr>
      </w:r>
      <w:r/>
    </w:p>
    <w:p>
      <w:pPr>
        <w:pStyle w:val="719"/>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9"/>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19"/>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rPr>
          <w:rFonts w:hint="eastAsia" w:ascii="宋体" w:hAnsi="宋体" w:eastAsia="宋体" w:cs="宋体"/>
          <w:bCs/>
          <w:color w:val="0000ff"/>
          <w:sz w:val="28"/>
          <w:szCs w:val="28"/>
          <w:highlight w:val="none"/>
        </w:rPr>
      </w:r>
      <w:r/>
    </w:p>
    <w:p>
      <w:pPr>
        <w:pStyle w:val="719"/>
        <w:ind w:firstLine="562"/>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中小企业声明函（货物）</w:t>
      </w:r>
      <w:r>
        <w:rPr>
          <w:rFonts w:hint="eastAsia" w:ascii="宋体" w:hAnsi="宋体" w:eastAsia="宋体" w:cs="宋体"/>
          <w:b/>
          <w:sz w:val="28"/>
          <w:szCs w:val="28"/>
          <w:highlight w:val="none"/>
        </w:rPr>
      </w:r>
      <w:r/>
    </w:p>
    <w:p>
      <w:pPr>
        <w:pStyle w:val="71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（含联合体中的中小企业、签订分包意向协议的中小企业）的具体情况如下：</w:t>
      </w:r>
      <w:r>
        <w:rPr>
          <w:rFonts w:hint="eastAsia" w:ascii="宋体" w:hAnsi="宋体" w:eastAsia="宋体" w:cs="宋体"/>
          <w:bCs/>
          <w:sz w:val="24"/>
          <w:szCs w:val="24"/>
          <w:highlight w:val="none"/>
        </w:rPr>
      </w:r>
      <w:r/>
    </w:p>
    <w:p>
      <w:pPr>
        <w:pStyle w:val="71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9"/>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eastAsia="宋体" w:cs="宋体"/>
          <w:bCs/>
          <w:sz w:val="24"/>
          <w:szCs w:val="24"/>
          <w:highlight w:val="none"/>
        </w:rPr>
      </w:r>
      <w:r/>
    </w:p>
    <w:p>
      <w:pPr>
        <w:pStyle w:val="719"/>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rPr>
          <w:rFonts w:hint="eastAsia" w:ascii="宋体" w:hAnsi="宋体" w:eastAsia="宋体" w:cs="宋体"/>
          <w:bCs/>
          <w:sz w:val="24"/>
          <w:szCs w:val="24"/>
          <w:highlight w:val="none"/>
        </w:rPr>
      </w:r>
      <w:r/>
    </w:p>
    <w:p>
      <w:pPr>
        <w:pStyle w:val="719"/>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rPr>
          <w:rFonts w:hint="eastAsia" w:ascii="宋体" w:hAnsi="宋体" w:eastAsia="宋体" w:cs="宋体"/>
          <w:bCs/>
          <w:sz w:val="24"/>
          <w:szCs w:val="24"/>
          <w:highlight w:val="none"/>
        </w:rPr>
      </w:r>
      <w:r/>
    </w:p>
    <w:p>
      <w:pPr>
        <w:pStyle w:val="719"/>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ascii="宋体" w:hAnsi="宋体" w:eastAsia="宋体" w:cs="宋体"/>
          <w:highlight w:val="none"/>
          <w:lang w:eastAsia="zh-CN"/>
        </w:rPr>
        <w:t xml:space="preserve">只需</w:t>
      </w:r>
      <w:r>
        <w:rPr>
          <w:rFonts w:hint="eastAsia" w:ascii="宋体" w:hAnsi="宋体" w:eastAsia="宋体" w:cs="宋体"/>
          <w:highlight w:val="none"/>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宋体" w:hAnsi="宋体" w:eastAsia="宋体" w:cs="宋体"/>
          <w:highlight w:val="none"/>
        </w:rPr>
      </w:r>
      <w:r/>
    </w:p>
    <w:p>
      <w:pPr>
        <w:pStyle w:val="7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（2）从业人员、营业收入、资产总额填报上一年度数据，无上一年度数据的新成立企业可不填报。</w:t>
      </w:r>
      <w:r>
        <w:rPr>
          <w:rFonts w:hint="eastAsia" w:ascii="宋体" w:hAnsi="宋体" w:eastAsia="宋体" w:cs="宋体"/>
          <w:highlight w:val="none"/>
        </w:rPr>
      </w:r>
      <w:r/>
    </w:p>
    <w:p>
      <w:pPr>
        <w:pStyle w:val="7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w:t>
      </w:r>
      <w:r>
        <w:rPr>
          <w:rFonts w:hint="eastAsia" w:ascii="宋体" w:hAnsi="宋体" w:eastAsia="宋体" w:cs="宋体"/>
          <w:highlight w:val="none"/>
          <w:lang w:eastAsia="zh-CN"/>
        </w:rPr>
        <w:t xml:space="preserve">货物</w:t>
      </w:r>
      <w:r>
        <w:rPr>
          <w:rFonts w:hint="eastAsia" w:ascii="宋体" w:hAnsi="宋体" w:eastAsia="宋体" w:cs="宋体"/>
          <w:highlight w:val="none"/>
        </w:rPr>
        <w:t xml:space="preserve">的，不享受本办法规定的中小企业扶持政策。</w:t>
      </w:r>
      <w:r>
        <w:rPr>
          <w:rFonts w:hint="eastAsia" w:ascii="宋体" w:hAnsi="宋体" w:eastAsia="宋体" w:cs="宋体"/>
          <w:highlight w:val="none"/>
        </w:rPr>
      </w:r>
      <w:r/>
    </w:p>
    <w:p>
      <w:pPr>
        <w:pStyle w:val="7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w:t>
      </w:r>
      <w:r>
        <w:rPr>
          <w:rFonts w:hint="eastAsia" w:ascii="宋体" w:hAnsi="宋体" w:eastAsia="宋体" w:cs="宋体"/>
          <w:highlight w:val="none"/>
          <w:lang w:eastAsia="zh-CN"/>
        </w:rPr>
        <w:t xml:space="preserve">，可</w:t>
      </w:r>
      <w:r>
        <w:rPr>
          <w:rFonts w:hint="eastAsia" w:ascii="宋体" w:hAnsi="宋体" w:eastAsia="宋体" w:cs="宋体"/>
          <w:highlight w:val="none"/>
        </w:rPr>
        <w:t xml:space="preserve">依照《中华人民共和国政府采购法》等国家有关规定追究相应责任。</w:t>
      </w:r>
      <w:r>
        <w:rPr>
          <w:rFonts w:hint="eastAsia" w:ascii="宋体" w:hAnsi="宋体" w:eastAsia="宋体" w:cs="宋体"/>
          <w:highlight w:val="none"/>
        </w:rPr>
      </w:r>
      <w:r/>
    </w:p>
    <w:p>
      <w:pPr>
        <w:pStyle w:val="719"/>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rPr>
          <w:rFonts w:hint="eastAsia" w:ascii="宋体" w:hAnsi="宋体" w:eastAsia="宋体" w:cs="宋体"/>
          <w:b/>
          <w:sz w:val="30"/>
          <w:szCs w:val="30"/>
          <w:highlight w:val="none"/>
        </w:rPr>
      </w:r>
      <w:r/>
    </w:p>
    <w:p>
      <w:pPr>
        <w:pStyle w:val="719"/>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719"/>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719"/>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1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71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71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71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719"/>
        <w:jc w:val="left"/>
        <w:spacing w:line="360" w:lineRule="auto"/>
        <w:rPr>
          <w:rFonts w:eastAsia="宋体"/>
          <w:b/>
          <w:sz w:val="28"/>
          <w:szCs w:val="28"/>
          <w:highlight w:val="none"/>
          <w:lang w:val="en-US" w:eastAsia="zh-CN"/>
        </w:rPr>
      </w:pPr>
      <w:r>
        <w:rPr>
          <w:rFonts w:hint="eastAsia" w:ascii="宋体" w:hAnsi="宋体" w:eastAsia="宋体" w:cs="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rPr>
          <w:rFonts w:eastAsia="宋体"/>
          <w:b/>
          <w:sz w:val="28"/>
          <w:szCs w:val="28"/>
          <w:highlight w:val="none"/>
          <w:lang w:val="en-US" w:eastAsia="zh-CN"/>
        </w:rPr>
      </w:r>
      <w:r/>
    </w:p>
    <w:p>
      <w:pPr>
        <w:pStyle w:val="719"/>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19"/>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19"/>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19"/>
        <w:spacing w:line="360" w:lineRule="auto"/>
        <w:rPr>
          <w:rFonts w:hint="eastAsia"/>
          <w:b/>
          <w:sz w:val="28"/>
          <w:szCs w:val="28"/>
          <w:highlight w:val="none"/>
        </w:rPr>
      </w:pPr>
      <w:r>
        <w:rPr>
          <w:rFonts w:hint="eastAsia"/>
          <w:b/>
          <w:sz w:val="28"/>
          <w:szCs w:val="28"/>
          <w:highlight w:val="none"/>
        </w:rPr>
      </w:r>
      <w:r/>
    </w:p>
    <w:p>
      <w:pPr>
        <w:pStyle w:val="719"/>
        <w:spacing w:line="360" w:lineRule="auto"/>
        <w:rPr>
          <w:rFonts w:hint="eastAsia"/>
          <w:b/>
          <w:sz w:val="28"/>
          <w:szCs w:val="28"/>
          <w:highlight w:val="none"/>
        </w:rPr>
      </w:pPr>
      <w:r>
        <w:rPr>
          <w:rFonts w:hint="eastAsia"/>
          <w:b/>
          <w:sz w:val="28"/>
          <w:szCs w:val="28"/>
          <w:highlight w:val="none"/>
        </w:rPr>
      </w:r>
      <w:r/>
    </w:p>
    <w:p>
      <w:pPr>
        <w:pStyle w:val="719"/>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、投标函（给定格式）：</w:t>
      </w:r>
      <w:r>
        <w:rPr>
          <w:rFonts w:hint="eastAsia" w:ascii="宋体" w:hAnsi="宋体" w:eastAsia="宋体" w:cs="宋体"/>
          <w:b/>
          <w:sz w:val="30"/>
          <w:szCs w:val="30"/>
          <w:highlight w:val="none"/>
        </w:rPr>
      </w:r>
      <w:r/>
    </w:p>
    <w:p>
      <w:pPr>
        <w:pStyle w:val="71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rPr>
          <w:rFonts w:hint="eastAsia" w:ascii="宋体" w:hAnsi="宋体" w:eastAsia="宋体" w:cs="宋体"/>
          <w:bCs/>
          <w:color w:val="000000"/>
          <w:sz w:val="24"/>
          <w:szCs w:val="24"/>
          <w:highlight w:val="none"/>
        </w:rPr>
      </w:r>
      <w:r/>
    </w:p>
    <w:p>
      <w:pPr>
        <w:pStyle w:val="719"/>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r>
      <w:r/>
    </w:p>
    <w:p>
      <w:pPr>
        <w:pStyle w:val="719"/>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bCs/>
          <w:color w:val="000000"/>
          <w:sz w:val="24"/>
          <w:szCs w:val="24"/>
          <w:highlight w:val="none"/>
        </w:rPr>
        <w:t xml:space="preserve">招标文件，经仔细阅读和研究，我方决定参加此项目的投标。</w:t>
      </w:r>
      <w:r>
        <w:rPr>
          <w:rFonts w:hint="eastAsia" w:ascii="宋体" w:hAnsi="宋体" w:eastAsia="宋体" w:cs="宋体"/>
          <w:bCs/>
          <w:color w:val="000000"/>
          <w:sz w:val="24"/>
          <w:szCs w:val="24"/>
          <w:highlight w:val="none"/>
        </w:rPr>
      </w:r>
      <w:r/>
    </w:p>
    <w:p>
      <w:pPr>
        <w:pStyle w:val="719"/>
        <w:numPr>
          <w:ilvl w:val="0"/>
          <w:numId w:val="13"/>
        </w:numPr>
        <w:ind w:left="0" w:firstLine="525"/>
        <w:spacing w:line="400" w:lineRule="exact"/>
        <w:tabs>
          <w:tab w:val="left" w:pos="315" w:leader="none"/>
          <w:tab w:val="left" w:pos="552"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840" w:leader="none"/>
          <w:tab w:val="left" w:pos="945" w:leader="none"/>
          <w:tab w:val="left" w:pos="1050" w:leader="none"/>
        </w:tabs>
        <w:rPr>
          <w:rStyle w:val="979"/>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在招标文件中要求的文件、资料。</w:t>
      </w:r>
      <w:r>
        <w:rPr>
          <w:rStyle w:val="979"/>
          <w:rFonts w:hint="eastAsia" w:ascii="宋体" w:hAnsi="宋体" w:eastAsia="宋体" w:cs="宋体"/>
          <w:bCs/>
          <w:color w:val="000000"/>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rPr>
          <w:rFonts w:hint="eastAsia" w:ascii="宋体" w:hAnsi="宋体" w:eastAsia="宋体" w:cs="宋体"/>
          <w:bCs/>
          <w:color w:val="000000"/>
          <w:sz w:val="24"/>
          <w:szCs w:val="24"/>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rPr>
          <w:rFonts w:hint="eastAsia" w:ascii="宋体" w:hAnsi="宋体" w:eastAsia="宋体" w:cs="宋体"/>
          <w:bCs/>
          <w:color w:val="000000"/>
          <w:sz w:val="24"/>
          <w:szCs w:val="24"/>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rPr>
          <w:rFonts w:hint="eastAsia" w:ascii="宋体" w:hAnsi="宋体" w:eastAsia="宋体" w:cs="宋体"/>
          <w:bCs/>
          <w:color w:val="000000"/>
          <w:sz w:val="24"/>
          <w:szCs w:val="24"/>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rPr>
          <w:rFonts w:hint="eastAsia" w:ascii="宋体" w:hAnsi="宋体" w:eastAsia="宋体" w:cs="宋体"/>
          <w:bCs/>
          <w:color w:val="000000"/>
          <w:sz w:val="24"/>
          <w:szCs w:val="24"/>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eastAsia="宋体" w:cs="宋体"/>
          <w:bCs/>
          <w:sz w:val="24"/>
          <w:szCs w:val="24"/>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sz w:val="24"/>
          <w:szCs w:val="24"/>
          <w:highlight w:val="none"/>
        </w:rPr>
      </w:r>
      <w:r/>
    </w:p>
    <w:p>
      <w:pPr>
        <w:pStyle w:val="719"/>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719"/>
        <w:ind w:firstLine="72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9"/>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19"/>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719"/>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19"/>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八</w:t>
      </w:r>
      <w:r>
        <w:rPr>
          <w:rFonts w:hint="eastAsia" w:ascii="宋体" w:hAnsi="宋体" w:eastAsia="宋体" w:cs="宋体"/>
          <w:b/>
          <w:sz w:val="30"/>
          <w:szCs w:val="30"/>
          <w:highlight w:val="none"/>
        </w:rPr>
        <w:t xml:space="preserve">、承诺书（给定格式）：</w:t>
      </w:r>
      <w:r>
        <w:rPr>
          <w:rFonts w:hint="eastAsia" w:ascii="宋体" w:hAnsi="宋体" w:eastAsia="宋体" w:cs="宋体"/>
          <w:b/>
          <w:sz w:val="30"/>
          <w:szCs w:val="30"/>
          <w:highlight w:val="none"/>
        </w:rPr>
      </w:r>
      <w:r/>
    </w:p>
    <w:p>
      <w:pPr>
        <w:pStyle w:val="719"/>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rPr>
          <w:rFonts w:hint="eastAsia" w:ascii="宋体" w:hAnsi="宋体" w:eastAsia="宋体" w:cs="宋体"/>
          <w:bCs/>
          <w:sz w:val="28"/>
          <w:szCs w:val="28"/>
          <w:highlight w:val="none"/>
        </w:rPr>
      </w:r>
      <w:r/>
    </w:p>
    <w:p>
      <w:pPr>
        <w:pStyle w:val="719"/>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sz w:val="24"/>
          <w:szCs w:val="24"/>
          <w:highlight w:val="none"/>
        </w:rPr>
        <w:t xml:space="preserve">在此承诺：</w:t>
      </w:r>
      <w:r>
        <w:rPr>
          <w:rFonts w:hint="eastAsia" w:ascii="宋体" w:hAnsi="宋体" w:eastAsia="宋体" w:cs="宋体"/>
          <w:sz w:val="24"/>
          <w:szCs w:val="24"/>
          <w:highlight w:val="none"/>
        </w:rPr>
      </w:r>
      <w:r/>
    </w:p>
    <w:p>
      <w:pPr>
        <w:pStyle w:val="719"/>
        <w:ind w:firstLine="480"/>
        <w:spacing w:line="48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1.本公司（单位）</w:t>
      </w:r>
      <w:r>
        <w:rPr>
          <w:rFonts w:hint="eastAsia" w:ascii="宋体" w:hAnsi="宋体" w:eastAsia="宋体" w:cs="宋体"/>
          <w:bCs/>
          <w:sz w:val="24"/>
          <w:szCs w:val="24"/>
          <w:highlight w:val="none"/>
        </w:rPr>
        <w:t xml:space="preserve">对本项目所提供的货物均为原厂全新合格品，提供的服务符合招标文件要求。</w:t>
      </w:r>
      <w:r>
        <w:rPr>
          <w:rFonts w:hint="eastAsia" w:ascii="宋体" w:hAnsi="宋体" w:eastAsia="宋体" w:cs="宋体"/>
          <w:bCs/>
          <w:sz w:val="24"/>
          <w:szCs w:val="24"/>
          <w:highlight w:val="none"/>
        </w:rPr>
      </w:r>
      <w:r/>
    </w:p>
    <w:p>
      <w:pPr>
        <w:pStyle w:val="719"/>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商品包装、快递包装要求的，本公司（单位）对于中标产品的包装将严格</w:t>
      </w:r>
      <w:r>
        <w:rPr>
          <w:rFonts w:hint="eastAsia" w:ascii="宋体" w:hAnsi="宋体" w:eastAsia="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w:t>
      </w:r>
      <w:r>
        <w:rPr>
          <w:rFonts w:hint="eastAsia" w:ascii="宋体" w:hAnsi="宋体" w:eastAsia="宋体" w:cs="宋体"/>
          <w:bCs/>
          <w:sz w:val="24"/>
          <w:szCs w:val="24"/>
          <w:highlight w:val="none"/>
        </w:rPr>
      </w:r>
      <w:r/>
    </w:p>
    <w:p>
      <w:pPr>
        <w:pStyle w:val="719"/>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eastAsia="宋体" w:cs="宋体"/>
          <w:sz w:val="24"/>
          <w:szCs w:val="24"/>
          <w:highlight w:val="none"/>
        </w:rPr>
      </w:r>
      <w:r/>
    </w:p>
    <w:p>
      <w:pPr>
        <w:pStyle w:val="719"/>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hint="eastAsia" w:ascii="宋体" w:hAnsi="宋体" w:eastAsia="宋体" w:cs="宋体"/>
          <w:bCs/>
          <w:sz w:val="24"/>
          <w:szCs w:val="24"/>
          <w:highlight w:val="none"/>
        </w:rPr>
      </w:r>
      <w:r/>
    </w:p>
    <w:p>
      <w:pPr>
        <w:pStyle w:val="719"/>
        <w:ind w:firstLine="480"/>
        <w:spacing w:line="48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highlight w:val="none"/>
        </w:rPr>
        <w:t xml:space="preserve">本公司（单位）将所投产品符合相关要求和标准。在满足</w:t>
      </w:r>
      <w:r>
        <w:rPr>
          <w:rFonts w:hint="eastAsia" w:ascii="宋体" w:hAnsi="宋体" w:eastAsia="宋体" w:cs="宋体"/>
          <w:sz w:val="24"/>
          <w:szCs w:val="24"/>
          <w:highlight w:val="none"/>
        </w:rPr>
        <w:t xml:space="preserve">《需求标准》的前提下，如招标文件中对七种软硬件有其他要求的，</w:t>
      </w:r>
      <w:r>
        <w:rPr>
          <w:rFonts w:hint="eastAsia" w:ascii="宋体" w:hAnsi="宋体" w:eastAsia="宋体" w:cs="宋体"/>
          <w:bCs/>
          <w:sz w:val="24"/>
          <w:szCs w:val="24"/>
          <w:highlight w:val="none"/>
        </w:rPr>
        <w:t xml:space="preserve">本公司（单位）所投产品将</w:t>
      </w:r>
      <w:r>
        <w:rPr>
          <w:rFonts w:hint="eastAsia" w:ascii="宋体" w:hAnsi="宋体" w:eastAsia="宋体" w:cs="宋体"/>
          <w:sz w:val="24"/>
          <w:szCs w:val="24"/>
          <w:highlight w:val="none"/>
        </w:rPr>
        <w:t xml:space="preserve">满足招标文件要求。如采购人在</w:t>
      </w:r>
      <w:r>
        <w:rPr>
          <w:rFonts w:hint="eastAsia" w:ascii="宋体" w:hAnsi="宋体" w:eastAsia="宋体" w:cs="宋体"/>
          <w:bCs/>
          <w:sz w:val="24"/>
          <w:szCs w:val="24"/>
          <w:highlight w:val="none"/>
        </w:rPr>
        <w:t xml:space="preserve">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履约验收管理时，对所提供的七种软硬件进行验收，且必要时将委托依法取得检测、认证资质的机构进行检测、认证的，本公司（单位）将予以配合。</w:t>
      </w:r>
      <w:r>
        <w:rPr>
          <w:rFonts w:hint="eastAsia" w:ascii="宋体" w:hAnsi="宋体" w:eastAsia="宋体" w:cs="宋体"/>
          <w:sz w:val="24"/>
          <w:szCs w:val="24"/>
          <w:highlight w:val="none"/>
        </w:rPr>
      </w:r>
      <w:r/>
    </w:p>
    <w:p>
      <w:pPr>
        <w:pStyle w:val="719"/>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pStyle w:val="719"/>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……（投标人如有其他承诺的可在此处添加）</w:t>
      </w:r>
      <w:r>
        <w:rPr>
          <w:rFonts w:hint="eastAsia" w:ascii="宋体" w:hAnsi="宋体" w:eastAsia="宋体" w:cs="宋体"/>
          <w:bCs/>
          <w:sz w:val="24"/>
          <w:szCs w:val="24"/>
          <w:highlight w:val="none"/>
        </w:rPr>
      </w:r>
      <w:r/>
    </w:p>
    <w:p>
      <w:pPr>
        <w:pStyle w:val="719"/>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pStyle w:val="719"/>
        <w:ind w:firstLine="480"/>
        <w:spacing w:line="480" w:lineRule="auto"/>
        <w:rPr>
          <w:rFonts w:hint="eastAsia" w:ascii="宋体" w:hAnsi="宋体" w:eastAsia="宋体" w:cs="宋体"/>
          <w:sz w:val="24"/>
          <w:szCs w:val="20"/>
          <w:highlight w:val="none"/>
        </w:rPr>
      </w:pPr>
      <w:r>
        <w:rPr>
          <w:rFonts w:hint="eastAsia" w:ascii="宋体" w:hAnsi="宋体" w:eastAsia="宋体" w:cs="宋体"/>
          <w:bCs/>
          <w:sz w:val="24"/>
          <w:szCs w:val="24"/>
          <w:highlight w:val="none"/>
        </w:rPr>
        <w:t xml:space="preserve">如违背上述承诺，本公司</w:t>
      </w:r>
      <w:r>
        <w:rPr>
          <w:rFonts w:hint="eastAsia" w:ascii="宋体" w:hAnsi="宋体" w:eastAsia="宋体" w:cs="宋体"/>
          <w:sz w:val="24"/>
          <w:szCs w:val="24"/>
          <w:highlight w:val="none"/>
        </w:rPr>
        <w:t xml:space="preserve">（单位）</w:t>
      </w:r>
      <w:r>
        <w:rPr>
          <w:rFonts w:hint="eastAsia" w:ascii="宋体" w:hAnsi="宋体" w:eastAsia="宋体" w:cs="宋体"/>
          <w:bCs/>
          <w:sz w:val="24"/>
          <w:szCs w:val="24"/>
          <w:highlight w:val="none"/>
        </w:rPr>
        <w:t xml:space="preserve">将承担一切法律责任。</w:t>
      </w:r>
      <w:r>
        <w:rPr>
          <w:rFonts w:hint="eastAsia" w:ascii="宋体" w:hAnsi="宋体" w:eastAsia="宋体" w:cs="宋体"/>
          <w:sz w:val="24"/>
          <w:szCs w:val="20"/>
          <w:highlight w:val="none"/>
        </w:rPr>
      </w:r>
      <w:r/>
    </w:p>
    <w:p>
      <w:pPr>
        <w:pStyle w:val="719"/>
        <w:ind w:firstLine="540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19"/>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19"/>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rPr>
      </w:r>
      <w:r/>
    </w:p>
    <w:p>
      <w:pPr>
        <w:pStyle w:val="719"/>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、开标一览表（给定格式）：</w:t>
      </w:r>
      <w:r>
        <w:rPr>
          <w:rFonts w:hint="eastAsia" w:ascii="宋体" w:hAnsi="宋体" w:eastAsia="宋体" w:cs="宋体"/>
          <w:b/>
          <w:sz w:val="30"/>
          <w:szCs w:val="30"/>
          <w:highlight w:val="none"/>
        </w:rPr>
      </w:r>
      <w:r/>
    </w:p>
    <w:p>
      <w:pPr>
        <w:pStyle w:val="719"/>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719"/>
        <w:jc w:val="center"/>
        <w:rPr>
          <w:rFonts w:hint="eastAsia" w:ascii="宋体" w:hAnsi="宋体" w:eastAsia="宋体" w:cs="宋体"/>
          <w:bCs/>
          <w:color w:val="000000"/>
          <w:sz w:val="28"/>
          <w:szCs w:val="28"/>
          <w:highlight w:val="none"/>
        </w:rPr>
        <w:outlineLvl w:val="0"/>
      </w:pPr>
      <w:r/>
      <w:bookmarkStart w:id="212" w:name="_Toc20701"/>
      <w:r>
        <w:rPr>
          <w:rFonts w:hint="eastAsia" w:ascii="宋体" w:hAnsi="宋体" w:eastAsia="宋体" w:cs="宋体"/>
          <w:bCs/>
          <w:color w:val="000000"/>
          <w:sz w:val="28"/>
          <w:szCs w:val="28"/>
          <w:highlight w:val="none"/>
        </w:rPr>
        <w:t xml:space="preserve">开标一览表</w:t>
      </w:r>
      <w:bookmarkEnd w:id="212"/>
      <w:r>
        <w:rPr>
          <w:rFonts w:hint="eastAsia" w:ascii="宋体" w:hAnsi="宋体" w:eastAsia="宋体" w:cs="宋体"/>
          <w:bCs/>
          <w:color w:val="000000"/>
          <w:sz w:val="28"/>
          <w:szCs w:val="28"/>
          <w:highlight w:val="none"/>
        </w:rPr>
      </w:r>
      <w:r/>
    </w:p>
    <w:p>
      <w:pPr>
        <w:pStyle w:val="719"/>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pStyle w:val="719"/>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19"/>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rPr>
          <w:rFonts w:hint="eastAsia" w:ascii="宋体" w:hAnsi="宋体" w:eastAsia="宋体" w:cs="宋体"/>
          <w:bCs/>
          <w:color w:val="000000"/>
          <w:sz w:val="24"/>
          <w:szCs w:val="24"/>
          <w:highlight w:val="none"/>
          <w:lang w:val="en-US" w:eastAsia="zh-CN"/>
        </w:rPr>
      </w:r>
      <w:r/>
    </w:p>
    <w:tbl>
      <w:tblPr>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19"/>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rPr>
                <w:rFonts w:hint="eastAsia" w:ascii="宋体" w:hAnsi="宋体" w:eastAsia="宋体" w:cs="宋体"/>
                <w:b/>
                <w:bCs/>
                <w:color w:val="000000"/>
                <w:sz w:val="24"/>
                <w:szCs w:val="24"/>
                <w:highlight w:val="none"/>
                <w:lang w:val="en-US" w:eastAsia="zh-CN" w:bidi="ar-SA"/>
              </w:rPr>
            </w:r>
            <w:r/>
          </w:p>
        </w:tc>
        <w:tc>
          <w:tcPr>
            <w:tcW w:w="3188" w:type="dxa"/>
            <w:vAlign w:val="center"/>
            <w:textDirection w:val="lrTb"/>
            <w:noWrap w:val="false"/>
          </w:tcPr>
          <w:p>
            <w:pPr>
              <w:pStyle w:val="719"/>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rPr>
                <w:rFonts w:hint="eastAsia" w:ascii="宋体" w:hAnsi="宋体" w:eastAsia="宋体" w:cs="宋体"/>
                <w:b/>
                <w:bCs/>
                <w:color w:val="000000"/>
                <w:sz w:val="24"/>
                <w:szCs w:val="24"/>
                <w:highlight w:val="none"/>
                <w:lang w:val="en-US" w:eastAsia="zh-CN" w:bidi="ar-SA"/>
              </w:rPr>
            </w:r>
            <w:r/>
          </w:p>
        </w:tc>
      </w:tr>
      <w:tr>
        <w:trPr>
          <w:cantSplit/>
          <w:trHeight w:val="1630"/>
        </w:trPr>
        <w:tc>
          <w:tcPr>
            <w:tcW w:w="5697" w:type="dxa"/>
            <w:vAlign w:val="center"/>
            <w:textDirection w:val="lrTb"/>
            <w:noWrap w:val="false"/>
          </w:tcPr>
          <w:p>
            <w:pPr>
              <w:pStyle w:val="1021"/>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天一中学新吴分校新建工程厨房设备采购项目</w:t>
            </w:r>
            <w:r>
              <w:rPr>
                <w:rFonts w:hint="eastAsia" w:ascii="宋体" w:hAnsi="宋体" w:eastAsia="宋体" w:cs="宋体"/>
                <w:bCs/>
                <w:color w:val="000000"/>
                <w:sz w:val="24"/>
                <w:szCs w:val="24"/>
                <w:highlight w:val="none"/>
                <w:u w:val="none"/>
                <w:lang w:val="en-US" w:eastAsia="zh-CN" w:bidi="ar-SA"/>
              </w:rPr>
            </w:r>
            <w:r/>
          </w:p>
        </w:tc>
        <w:tc>
          <w:tcPr>
            <w:tcW w:w="3188" w:type="dxa"/>
            <w:vAlign w:val="center"/>
            <w:textDirection w:val="lrTb"/>
            <w:noWrap w:val="false"/>
          </w:tcPr>
          <w:p>
            <w:pPr>
              <w:pStyle w:val="1021"/>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rPr>
                <w:rFonts w:hint="eastAsia" w:ascii="宋体" w:hAnsi="宋体" w:eastAsia="宋体" w:cs="宋体"/>
                <w:bCs/>
                <w:color w:val="000000"/>
                <w:sz w:val="24"/>
                <w:szCs w:val="24"/>
                <w:highlight w:val="none"/>
                <w:lang w:val="en-US" w:eastAsia="zh-CN" w:bidi="ar-SA"/>
              </w:rPr>
            </w:r>
            <w:r/>
          </w:p>
        </w:tc>
      </w:tr>
    </w:tbl>
    <w:p>
      <w:pPr>
        <w:pStyle w:val="719"/>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19"/>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十</w:t>
      </w:r>
      <w:r>
        <w:rPr>
          <w:rFonts w:hint="eastAsia" w:ascii="宋体" w:hAnsi="宋体" w:eastAsia="宋体" w:cs="宋体"/>
          <w:b/>
          <w:sz w:val="30"/>
          <w:szCs w:val="30"/>
          <w:highlight w:val="none"/>
        </w:rPr>
        <w:t xml:space="preserve">、分项报价表（给定格式）：</w:t>
      </w:r>
      <w:r>
        <w:rPr>
          <w:rFonts w:hint="eastAsia" w:ascii="宋体" w:hAnsi="宋体" w:eastAsia="宋体" w:cs="宋体"/>
          <w:bCs/>
          <w:color w:val="000000"/>
          <w:highlight w:val="none"/>
        </w:rPr>
      </w:r>
      <w:r/>
    </w:p>
    <w:p>
      <w:pPr>
        <w:pStyle w:val="719"/>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rPr>
          <w:rFonts w:hint="eastAsia" w:ascii="宋体" w:hAnsi="宋体" w:eastAsia="宋体" w:cs="宋体"/>
          <w:bCs/>
          <w:sz w:val="28"/>
          <w:szCs w:val="28"/>
          <w:highlight w:val="none"/>
        </w:rPr>
      </w:r>
      <w:r/>
    </w:p>
    <w:p>
      <w:pPr>
        <w:pStyle w:val="719"/>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JSZC-320214-JNJS-G2026-0001</w:t>
      </w:r>
      <w:r>
        <w:rPr>
          <w:rFonts w:hint="eastAsia" w:ascii="宋体" w:hAnsi="宋体" w:eastAsia="宋体" w:cs="宋体"/>
          <w:sz w:val="24"/>
          <w:szCs w:val="24"/>
          <w:highlight w:val="none"/>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719"/>
              <w:jc w:val="center"/>
              <w:spacing w:before="5"/>
              <w:rPr>
                <w:sz w:val="18"/>
                <w:highlight w:val="none"/>
              </w:rPr>
            </w:pPr>
            <w:r>
              <w:rPr>
                <w:rFonts w:hint="eastAsia"/>
                <w:sz w:val="18"/>
                <w:highlight w:val="none"/>
              </w:rPr>
              <w:t xml:space="preserve">序号</w:t>
            </w:r>
            <w:r>
              <w:rPr>
                <w:sz w:val="18"/>
                <w:highlight w:val="none"/>
              </w:rPr>
            </w:r>
            <w:r/>
          </w:p>
        </w:tc>
        <w:tc>
          <w:tcPr>
            <w:tcMar>
              <w:left w:w="15" w:type="dxa"/>
              <w:top w:w="15" w:type="dxa"/>
              <w:right w:w="15" w:type="dxa"/>
              <w:bottom w:w="0" w:type="dxa"/>
            </w:tcMar>
            <w:tcW w:w="1050" w:type="dxa"/>
            <w:vAlign w:val="center"/>
            <w:textDirection w:val="lrTb"/>
            <w:noWrap/>
          </w:tcPr>
          <w:p>
            <w:pPr>
              <w:pStyle w:val="719"/>
              <w:jc w:val="center"/>
              <w:spacing w:before="5"/>
              <w:rPr>
                <w:sz w:val="18"/>
                <w:highlight w:val="none"/>
              </w:rPr>
            </w:pPr>
            <w:r>
              <w:rPr>
                <w:rFonts w:hint="eastAsia"/>
                <w:sz w:val="18"/>
                <w:highlight w:val="none"/>
              </w:rPr>
              <w:t xml:space="preserve">名称</w:t>
            </w:r>
            <w:r>
              <w:rPr>
                <w:sz w:val="18"/>
                <w:highlight w:val="none"/>
              </w:rPr>
            </w:r>
            <w:r/>
          </w:p>
        </w:tc>
        <w:tc>
          <w:tcPr>
            <w:tcMar>
              <w:left w:w="15" w:type="dxa"/>
              <w:top w:w="15" w:type="dxa"/>
              <w:right w:w="15" w:type="dxa"/>
              <w:bottom w:w="0" w:type="dxa"/>
            </w:tcMar>
            <w:tcW w:w="945" w:type="dxa"/>
            <w:vAlign w:val="center"/>
            <w:textDirection w:val="lrTb"/>
            <w:noWrap/>
          </w:tcPr>
          <w:p>
            <w:pPr>
              <w:pStyle w:val="719"/>
              <w:jc w:val="center"/>
              <w:spacing w:before="5"/>
              <w:rPr>
                <w:sz w:val="18"/>
                <w:highlight w:val="none"/>
              </w:rPr>
            </w:pPr>
            <w:r>
              <w:rPr>
                <w:rFonts w:hint="eastAsia"/>
                <w:sz w:val="18"/>
                <w:highlight w:val="none"/>
              </w:rPr>
              <w:t xml:space="preserve">品牌型号</w:t>
            </w:r>
            <w:r>
              <w:rPr>
                <w:sz w:val="18"/>
                <w:highlight w:val="none"/>
              </w:rPr>
            </w:r>
            <w:r/>
          </w:p>
        </w:tc>
        <w:tc>
          <w:tcPr>
            <w:tcMar>
              <w:left w:w="15" w:type="dxa"/>
              <w:top w:w="15" w:type="dxa"/>
              <w:right w:w="15" w:type="dxa"/>
              <w:bottom w:w="0" w:type="dxa"/>
            </w:tcMar>
            <w:tcW w:w="3045" w:type="dxa"/>
            <w:vAlign w:val="center"/>
            <w:textDirection w:val="lrTb"/>
            <w:noWrap/>
          </w:tcPr>
          <w:p>
            <w:pPr>
              <w:pStyle w:val="719"/>
              <w:jc w:val="center"/>
              <w:spacing w:before="5"/>
              <w:rPr>
                <w:sz w:val="18"/>
                <w:highlight w:val="none"/>
              </w:rPr>
            </w:pPr>
            <w:r>
              <w:rPr>
                <w:rFonts w:hint="eastAsia"/>
                <w:sz w:val="18"/>
                <w:highlight w:val="none"/>
              </w:rPr>
              <w:t xml:space="preserve">性能指标</w:t>
            </w:r>
            <w:r>
              <w:rPr>
                <w:sz w:val="18"/>
                <w:highlight w:val="none"/>
              </w:rPr>
            </w:r>
            <w:r/>
          </w:p>
        </w:tc>
        <w:tc>
          <w:tcPr>
            <w:tcMar>
              <w:left w:w="15" w:type="dxa"/>
              <w:top w:w="15" w:type="dxa"/>
              <w:right w:w="15" w:type="dxa"/>
              <w:bottom w:w="0" w:type="dxa"/>
            </w:tcMar>
            <w:tcW w:w="599" w:type="dxa"/>
            <w:vAlign w:val="center"/>
            <w:textDirection w:val="lrTb"/>
            <w:noWrap w:val="false"/>
          </w:tcPr>
          <w:p>
            <w:pPr>
              <w:pStyle w:val="719"/>
              <w:jc w:val="center"/>
              <w:spacing w:before="5"/>
              <w:rPr>
                <w:sz w:val="18"/>
                <w:highlight w:val="none"/>
              </w:rPr>
            </w:pPr>
            <w:r>
              <w:rPr>
                <w:rFonts w:hint="eastAsia"/>
                <w:sz w:val="18"/>
                <w:highlight w:val="none"/>
              </w:rPr>
              <w:t xml:space="preserve">数量</w:t>
            </w:r>
            <w:r>
              <w:rPr>
                <w:sz w:val="18"/>
                <w:highlight w:val="none"/>
              </w:rPr>
            </w:r>
            <w:r/>
          </w:p>
        </w:tc>
        <w:tc>
          <w:tcPr>
            <w:tcW w:w="1276" w:type="dxa"/>
            <w:vAlign w:val="center"/>
            <w:textDirection w:val="lrTb"/>
            <w:noWrap w:val="false"/>
          </w:tcPr>
          <w:p>
            <w:pPr>
              <w:pStyle w:val="719"/>
              <w:jc w:val="center"/>
              <w:spacing w:before="5"/>
              <w:rPr>
                <w:sz w:val="18"/>
                <w:highlight w:val="none"/>
              </w:rPr>
            </w:pPr>
            <w:r>
              <w:rPr>
                <w:rFonts w:hint="eastAsia"/>
                <w:sz w:val="18"/>
                <w:highlight w:val="none"/>
              </w:rPr>
              <w:t xml:space="preserve">产地</w:t>
            </w:r>
            <w:r>
              <w:rPr>
                <w:sz w:val="18"/>
                <w:highlight w:val="none"/>
              </w:rPr>
            </w:r>
            <w:r/>
          </w:p>
        </w:tc>
        <w:tc>
          <w:tcPr>
            <w:tcMar>
              <w:left w:w="15" w:type="dxa"/>
              <w:top w:w="15" w:type="dxa"/>
              <w:right w:w="15" w:type="dxa"/>
              <w:bottom w:w="0" w:type="dxa"/>
            </w:tcMar>
            <w:tcW w:w="992" w:type="dxa"/>
            <w:vAlign w:val="center"/>
            <w:textDirection w:val="lrTb"/>
            <w:noWrap/>
          </w:tcPr>
          <w:p>
            <w:pPr>
              <w:pStyle w:val="719"/>
              <w:jc w:val="center"/>
              <w:spacing w:before="5"/>
              <w:rPr>
                <w:sz w:val="18"/>
                <w:highlight w:val="none"/>
              </w:rPr>
            </w:pPr>
            <w:r>
              <w:rPr>
                <w:rFonts w:hint="eastAsia"/>
                <w:sz w:val="18"/>
                <w:highlight w:val="none"/>
              </w:rPr>
              <w:t xml:space="preserve">质保期</w:t>
            </w:r>
            <w:r>
              <w:rPr>
                <w:sz w:val="18"/>
                <w:highlight w:val="none"/>
              </w:rPr>
            </w:r>
            <w:r/>
          </w:p>
        </w:tc>
        <w:tc>
          <w:tcPr>
            <w:tcW w:w="709" w:type="dxa"/>
            <w:vAlign w:val="center"/>
            <w:textDirection w:val="lrTb"/>
            <w:noWrap w:val="false"/>
          </w:tcPr>
          <w:p>
            <w:pPr>
              <w:pStyle w:val="719"/>
              <w:jc w:val="center"/>
              <w:spacing w:before="5"/>
              <w:rPr>
                <w:sz w:val="18"/>
                <w:highlight w:val="none"/>
              </w:rPr>
            </w:pPr>
            <w:r>
              <w:rPr>
                <w:rFonts w:hint="eastAsia"/>
                <w:sz w:val="18"/>
                <w:highlight w:val="none"/>
              </w:rPr>
              <w:t xml:space="preserve">单报价</w:t>
            </w:r>
            <w:r>
              <w:rPr>
                <w:sz w:val="18"/>
                <w:highlight w:val="none"/>
              </w:rPr>
            </w:r>
            <w:r/>
          </w:p>
        </w:tc>
        <w:tc>
          <w:tcPr>
            <w:tcW w:w="939" w:type="dxa"/>
            <w:vAlign w:val="center"/>
            <w:textDirection w:val="lrTb"/>
            <w:noWrap w:val="false"/>
          </w:tcPr>
          <w:p>
            <w:pPr>
              <w:pStyle w:val="719"/>
              <w:jc w:val="center"/>
              <w:spacing w:before="5"/>
              <w:rPr>
                <w:sz w:val="18"/>
                <w:highlight w:val="none"/>
              </w:rPr>
            </w:pPr>
            <w:r>
              <w:rPr>
                <w:rFonts w:hint="eastAsia"/>
                <w:sz w:val="18"/>
                <w:highlight w:val="none"/>
              </w:rPr>
              <w:t xml:space="preserve">分项总报价</w:t>
            </w:r>
            <w:r>
              <w:rPr>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719"/>
              <w:jc w:val="center"/>
              <w:spacing w:before="5"/>
              <w:widowControl w:val="off"/>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rPr>
                <w:rFonts w:ascii="宋体" w:hAnsi="Times New Roman" w:eastAsia="宋体" w:cs="Times New Roman"/>
                <w:color w:val="000000"/>
                <w:sz w:val="18"/>
                <w:szCs w:val="18"/>
                <w:highlight w:val="none"/>
                <w:lang w:val="en-US" w:eastAsia="zh-CN" w:bidi="ar-SA"/>
              </w:rPr>
            </w:r>
            <w:r/>
          </w:p>
        </w:tc>
        <w:tc>
          <w:tcPr>
            <w:tcMar>
              <w:left w:w="15" w:type="dxa"/>
              <w:top w:w="15" w:type="dxa"/>
              <w:right w:w="15" w:type="dxa"/>
              <w:bottom w:w="0" w:type="dxa"/>
            </w:tcMar>
            <w:tcW w:w="1050" w:type="dxa"/>
            <w:vAlign w:val="center"/>
            <w:textDirection w:val="lrTb"/>
            <w:noWrap/>
          </w:tcPr>
          <w:p>
            <w:pPr>
              <w:pStyle w:val="719"/>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945" w:type="dxa"/>
            <w:vAlign w:val="center"/>
            <w:textDirection w:val="lrTb"/>
            <w:noWrap w:val="false"/>
          </w:tcPr>
          <w:p>
            <w:pPr>
              <w:pStyle w:val="719"/>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top"/>
            <w:textDirection w:val="lrTb"/>
            <w:noWrap w:val="false"/>
          </w:tcPr>
          <w:p>
            <w:pPr>
              <w:pStyle w:val="719"/>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719"/>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719"/>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719"/>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719"/>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719"/>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719"/>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pStyle w:val="719"/>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719"/>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pStyle w:val="719"/>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719"/>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719"/>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719"/>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719"/>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719"/>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719"/>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pStyle w:val="719"/>
              <w:jc w:val="center"/>
              <w:rPr>
                <w:rFonts w:ascii="宋体"/>
                <w:color w:val="000000"/>
                <w:highlight w:val="none"/>
              </w:rPr>
            </w:pPr>
            <w:r>
              <w:rPr>
                <w:rFonts w:ascii="宋体"/>
                <w:color w:val="000000"/>
                <w:highlight w:val="none"/>
              </w:rPr>
              <w:t xml:space="preserve">……</w:t>
            </w: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719"/>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pStyle w:val="719"/>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719"/>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pStyle w:val="719"/>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719"/>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pStyle w:val="719"/>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719"/>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gridSpan w:val="9"/>
            <w:tcMar>
              <w:left w:w="15" w:type="dxa"/>
              <w:top w:w="15" w:type="dxa"/>
              <w:right w:w="15" w:type="dxa"/>
              <w:bottom w:w="0" w:type="dxa"/>
            </w:tcMar>
            <w:tcW w:w="9975" w:type="dxa"/>
            <w:vAlign w:val="center"/>
            <w:textDirection w:val="lrTb"/>
            <w:noWrap/>
          </w:tcPr>
          <w:p>
            <w:pPr>
              <w:pStyle w:val="719"/>
              <w:jc w:val="left"/>
              <w:rPr>
                <w:rFonts w:ascii="黑体" w:hAnsi="宋体" w:eastAsia="黑体"/>
                <w:b/>
                <w:bCs/>
                <w:color w:val="000000"/>
                <w:sz w:val="24"/>
                <w:szCs w:val="24"/>
                <w:highlight w:val="none"/>
                <w:lang w:val="en-US" w:eastAsia="zh-CN"/>
              </w:rPr>
            </w:pPr>
            <w:r>
              <w:rPr>
                <w:rFonts w:hint="eastAsia" w:ascii="黑体" w:hAnsi="宋体" w:eastAsia="黑体"/>
                <w:b/>
                <w:bCs/>
                <w:color w:val="000000"/>
                <w:sz w:val="24"/>
                <w:szCs w:val="24"/>
                <w:highlight w:val="none"/>
                <w:lang w:val="en-US" w:eastAsia="zh-CN"/>
              </w:rPr>
              <w:t xml:space="preserve">投标报价合计：</w:t>
            </w:r>
            <w:r>
              <w:rPr>
                <w:rFonts w:hint="eastAsia" w:ascii="黑体" w:hAnsi="宋体" w:eastAsia="黑体"/>
                <w:b/>
                <w:bCs/>
                <w:color w:val="000000"/>
                <w:sz w:val="24"/>
                <w:szCs w:val="24"/>
                <w:highlight w:val="none"/>
                <w:u w:val="single"/>
                <w:lang w:val="en-US" w:eastAsia="zh-CN"/>
              </w:rPr>
              <w:t xml:space="preserve">      </w:t>
            </w:r>
            <w:r>
              <w:rPr>
                <w:rFonts w:hint="eastAsia" w:ascii="黑体" w:hAnsi="宋体" w:eastAsia="黑体"/>
                <w:b/>
                <w:bCs/>
                <w:color w:val="000000"/>
                <w:sz w:val="24"/>
                <w:szCs w:val="24"/>
                <w:highlight w:val="none"/>
                <w:lang w:val="en-US" w:eastAsia="zh-CN"/>
              </w:rPr>
              <w:t xml:space="preserve">元</w:t>
            </w:r>
            <w:r>
              <w:rPr>
                <w:rFonts w:ascii="黑体" w:hAnsi="宋体" w:eastAsia="黑体"/>
                <w:b/>
                <w:bCs/>
                <w:color w:val="000000"/>
                <w:sz w:val="24"/>
                <w:szCs w:val="24"/>
                <w:highlight w:val="none"/>
                <w:lang w:val="en-US" w:eastAsia="zh-CN"/>
              </w:rPr>
            </w:r>
            <w:r/>
          </w:p>
        </w:tc>
      </w:tr>
      <w:tr>
        <w:trPr>
          <w:cantSplit/>
          <w:trHeight w:val="898"/>
        </w:trPr>
        <w:tc>
          <w:tcPr>
            <w:gridSpan w:val="9"/>
            <w:tcMar>
              <w:left w:w="15" w:type="dxa"/>
              <w:top w:w="15" w:type="dxa"/>
              <w:right w:w="15" w:type="dxa"/>
              <w:bottom w:w="0" w:type="dxa"/>
            </w:tcMar>
            <w:tcW w:w="9975" w:type="dxa"/>
            <w:vAlign w:val="center"/>
            <w:textDirection w:val="lrTb"/>
            <w:noWrap/>
          </w:tcPr>
          <w:p>
            <w:pPr>
              <w:pStyle w:val="719"/>
              <w:jc w:val="left"/>
              <w:rPr>
                <w:rFonts w:ascii="黑体" w:hAnsi="宋体" w:eastAsia="黑体"/>
                <w:b/>
                <w:bCs/>
                <w:color w:val="000000"/>
                <w:sz w:val="24"/>
                <w:szCs w:val="24"/>
                <w:highlight w:val="none"/>
              </w:rPr>
            </w:pPr>
            <w:r>
              <w:rPr>
                <w:rFonts w:hint="eastAsia" w:ascii="宋体" w:hAnsi="宋体" w:cs="方正魏碑_GBK"/>
                <w:color w:val="ff0000"/>
                <w:sz w:val="24"/>
                <w:highlight w:val="none"/>
              </w:rPr>
              <w:t xml:space="preserve">本采购包中提供的符合本国产品标准的产品成本之和占该采购包提供的全部产品成本之和的比例为</w:t>
            </w:r>
            <w:r>
              <w:rPr>
                <w:rFonts w:hint="eastAsia" w:ascii="宋体" w:hAnsi="宋体" w:cs="方正魏碑_GBK"/>
                <w:color w:val="ff0000"/>
                <w:sz w:val="24"/>
                <w:highlight w:val="none"/>
                <w:u w:val="single"/>
                <w:lang w:val="en-US" w:eastAsia="zh-CN"/>
              </w:rPr>
              <w:t xml:space="preserve">     </w:t>
            </w:r>
            <w:r>
              <w:rPr>
                <w:rFonts w:hint="eastAsia" w:ascii="宋体" w:hAnsi="宋体" w:cs="方正魏碑_GBK"/>
                <w:color w:val="ff0000"/>
                <w:sz w:val="24"/>
                <w:highlight w:val="none"/>
              </w:rPr>
              <w:t xml:space="preserve">%。</w:t>
            </w:r>
            <w:r>
              <w:rPr>
                <w:rFonts w:ascii="黑体" w:hAnsi="宋体" w:eastAsia="黑体"/>
                <w:b/>
                <w:bCs/>
                <w:color w:val="000000"/>
                <w:sz w:val="24"/>
                <w:szCs w:val="24"/>
                <w:highlight w:val="none"/>
              </w:rPr>
            </w:r>
            <w:r/>
          </w:p>
        </w:tc>
      </w:tr>
    </w:tbl>
    <w:p>
      <w:pPr>
        <w:pStyle w:val="719"/>
        <w:spacing w:before="5" w:line="56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rPr>
          <w:rFonts w:hint="eastAsia" w:ascii="宋体" w:hAnsi="宋体" w:eastAsia="宋体" w:cs="宋体"/>
          <w:b/>
          <w:bCs/>
          <w:color w:val="000000"/>
          <w:sz w:val="24"/>
          <w:szCs w:val="24"/>
          <w:highlight w:val="none"/>
        </w:rPr>
      </w:r>
      <w:r/>
    </w:p>
    <w:p>
      <w:pPr>
        <w:pStyle w:val="719"/>
        <w:spacing w:line="40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719"/>
        <w:spacing w:line="400" w:lineRule="exact"/>
        <w:rPr>
          <w:rFonts w:ascii="宋体" w:hAnsi="Times New Roman" w:cs="Times New Roman"/>
          <w:bCs/>
          <w:color w:val="000000"/>
          <w:sz w:val="24"/>
          <w:szCs w:val="24"/>
          <w:highlight w:val="none"/>
        </w:rPr>
        <w:outlineLvl w:val="0"/>
      </w:pPr>
      <w:r/>
      <w:bookmarkStart w:id="213" w:name="_Toc16687"/>
      <w:r>
        <w:rPr>
          <w:rFonts w:hint="eastAsia" w:ascii="宋体" w:hAnsi="宋体" w:eastAsia="宋体" w:cs="宋体"/>
          <w:b/>
          <w:sz w:val="24"/>
          <w:szCs w:val="24"/>
          <w:highlight w:val="none"/>
        </w:rPr>
        <w:t xml:space="preserve">注：</w:t>
      </w:r>
      <w:bookmarkEnd w:id="205"/>
      <w:r/>
      <w:bookmarkEnd w:id="206"/>
      <w:r/>
      <w:bookmarkEnd w:id="207"/>
      <w:r/>
      <w:bookmarkEnd w:id="213"/>
      <w:r/>
      <w:bookmarkStart w:id="214" w:name="_Toc120614284"/>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1</w:t>
      </w:r>
      <w:r>
        <w:rPr>
          <w:rFonts w:hint="eastAsia" w:ascii="宋体" w:hAnsi="宋体" w:cs="Times New Roman"/>
          <w:bCs/>
          <w:color w:val="000000"/>
          <w:sz w:val="24"/>
          <w:szCs w:val="24"/>
          <w:highlight w:val="none"/>
        </w:rPr>
        <w:t xml:space="preserve">）</w:t>
      </w:r>
      <w:r>
        <w:rPr>
          <w:rFonts w:hint="eastAsia" w:ascii="宋体" w:hAnsi="Times New Roman" w:cs="Times New Roman"/>
          <w:bCs/>
          <w:color w:val="0000ff"/>
          <w:sz w:val="24"/>
          <w:szCs w:val="24"/>
          <w:highlight w:val="none"/>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hAnsi="Times New Roman" w:cs="Times New Roman"/>
          <w:bCs/>
          <w:sz w:val="24"/>
          <w:szCs w:val="24"/>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Times New Roman" w:cs="Times New Roman"/>
          <w:bCs/>
          <w:sz w:val="24"/>
          <w:szCs w:val="24"/>
          <w:highlight w:val="none"/>
          <w:lang w:eastAsia="zh-CN"/>
        </w:rPr>
        <w:t xml:space="preserve">无锡市公共资源交易中心新吴分中心</w:t>
      </w:r>
      <w:r>
        <w:rPr>
          <w:rFonts w:hint="eastAsia" w:ascii="宋体" w:hAnsi="Times New Roman" w:cs="Times New Roman"/>
          <w:bCs/>
          <w:sz w:val="24"/>
          <w:szCs w:val="24"/>
          <w:highlight w:val="none"/>
        </w:rPr>
        <w:t xml:space="preserve">有权将相关内容进行公示；</w:t>
      </w:r>
      <w:r>
        <w:rPr>
          <w:rFonts w:ascii="宋体" w:hAnsi="Times New Roman" w:cs="Times New Roman"/>
          <w:bCs/>
          <w:color w:val="000000"/>
          <w:sz w:val="24"/>
          <w:szCs w:val="24"/>
          <w:highlight w:val="none"/>
        </w:rPr>
      </w:r>
      <w:r/>
    </w:p>
    <w:p>
      <w:pPr>
        <w:pStyle w:val="719"/>
        <w:ind w:firstLine="360"/>
        <w:spacing w:line="400" w:lineRule="exact"/>
        <w:rPr>
          <w:rFonts w:ascii="宋体" w:hAnsi="Times New Roman"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2</w:t>
      </w:r>
      <w:r>
        <w:rPr>
          <w:rFonts w:hint="eastAsia" w:ascii="宋体" w:hAnsi="宋体" w:cs="Times New Roman"/>
          <w:bCs/>
          <w:color w:val="000000"/>
          <w:sz w:val="24"/>
          <w:szCs w:val="24"/>
          <w:highlight w:val="none"/>
        </w:rPr>
        <w:t xml:space="preserve">）投标人应当根据“</w:t>
      </w:r>
      <w:r>
        <w:rPr>
          <w:rFonts w:hint="eastAsia" w:ascii="宋体" w:hAnsi="宋体" w:cs="Times New Roman"/>
          <w:bCs/>
          <w:sz w:val="24"/>
          <w:szCs w:val="24"/>
          <w:highlight w:val="none"/>
        </w:rPr>
        <w:t xml:space="preserve">采购需求</w:t>
      </w:r>
      <w:r>
        <w:rPr>
          <w:rFonts w:hint="eastAsia" w:ascii="宋体" w:hAnsi="宋体" w:cs="Times New Roman"/>
          <w:bCs/>
          <w:color w:val="000000"/>
          <w:sz w:val="24"/>
          <w:szCs w:val="24"/>
          <w:highlight w:val="none"/>
        </w:rPr>
        <w:t xml:space="preserve">”的内容在上表中详细填写；</w:t>
      </w:r>
      <w:r>
        <w:rPr>
          <w:rFonts w:ascii="宋体" w:hAnsi="Times New Roman" w:cs="Times New Roman"/>
          <w:bCs/>
          <w:color w:val="000000"/>
          <w:sz w:val="24"/>
          <w:szCs w:val="24"/>
          <w:highlight w:val="none"/>
        </w:rPr>
      </w:r>
      <w:r/>
    </w:p>
    <w:p>
      <w:pPr>
        <w:pStyle w:val="719"/>
        <w:ind w:firstLine="360"/>
        <w:spacing w:line="400" w:lineRule="exact"/>
        <w:rPr>
          <w:rFonts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3</w:t>
      </w:r>
      <w:r>
        <w:rPr>
          <w:rFonts w:hint="eastAsia" w:ascii="宋体" w:hAnsi="宋体" w:cs="Times New Roman"/>
          <w:bCs/>
          <w:color w:val="000000"/>
          <w:sz w:val="24"/>
          <w:szCs w:val="24"/>
          <w:highlight w:val="none"/>
        </w:rPr>
        <w:t xml:space="preserve">）表格不够可自行延长。</w:t>
      </w:r>
      <w:r>
        <w:rPr>
          <w:rFonts w:ascii="宋体" w:hAnsi="宋体" w:cs="Times New Roman"/>
          <w:bCs/>
          <w:color w:val="000000"/>
          <w:sz w:val="24"/>
          <w:szCs w:val="24"/>
          <w:highlight w:val="none"/>
        </w:rPr>
      </w:r>
      <w:r/>
    </w:p>
    <w:p>
      <w:pPr>
        <w:pStyle w:val="719"/>
        <w:ind w:firstLine="315"/>
        <w:spacing w:line="400" w:lineRule="exact"/>
        <w:rPr>
          <w:rFonts w:hint="eastAsia"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（4）</w:t>
      </w:r>
      <w:r>
        <w:rPr>
          <w:rFonts w:hint="eastAsia" w:ascii="宋体" w:hAnsi="宋体" w:cs="Times New Roman"/>
          <w:bCs/>
          <w:color w:val="000000"/>
          <w:sz w:val="24"/>
          <w:szCs w:val="24"/>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cs="Times New Roman"/>
          <w:bCs/>
          <w:color w:val="000000"/>
          <w:sz w:val="24"/>
          <w:szCs w:val="24"/>
          <w:highlight w:val="none"/>
        </w:rPr>
      </w:r>
      <w:r/>
    </w:p>
    <w:p>
      <w:pPr>
        <w:pStyle w:val="719"/>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rPr>
          <w:rFonts w:hint="eastAsia" w:ascii="宋体" w:hAnsi="宋体" w:cs="Times New Roman"/>
          <w:bCs/>
          <w:color w:val="000000"/>
          <w:sz w:val="24"/>
          <w:szCs w:val="24"/>
          <w:highlight w:val="none"/>
          <w:u w:val="single"/>
        </w:rPr>
      </w:r>
      <w:r/>
    </w:p>
    <w:p>
      <w:pPr>
        <w:pStyle w:val="719"/>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pStyle w:val="719"/>
        <w:jc w:val="center"/>
        <w:spacing w:line="400" w:lineRule="exact"/>
        <w:rPr>
          <w:rFonts w:hint="eastAsia" w:ascii="宋体" w:hAnsi="宋体" w:eastAsia="宋体" w:cs="宋体"/>
          <w:b/>
          <w:sz w:val="30"/>
          <w:szCs w:val="30"/>
          <w:highlight w:val="none"/>
        </w:rPr>
        <w:outlineLvl w:val="9"/>
      </w:pPr>
      <w:r>
        <w:rPr>
          <w:rFonts w:hint="eastAsia" w:ascii="宋体" w:hAnsi="宋体" w:eastAsia="宋体" w:cs="宋体"/>
          <w:bCs/>
          <w:color w:val="000000"/>
          <w:highlight w:val="none"/>
        </w:rPr>
        <w:br w:type="page" w:clear="all"/>
      </w:r>
      <w:r>
        <w:rPr>
          <w:rFonts w:hint="eastAsia" w:ascii="宋体" w:hAnsi="宋体" w:eastAsia="宋体" w:cs="宋体"/>
          <w:b/>
          <w:sz w:val="30"/>
          <w:szCs w:val="30"/>
          <w:highlight w:val="none"/>
        </w:rPr>
      </w:r>
      <w:r/>
    </w:p>
    <w:p>
      <w:pPr>
        <w:pStyle w:val="719"/>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rPr>
          <w:rFonts w:hint="eastAsia" w:ascii="宋体" w:hAnsi="宋体" w:eastAsia="宋体" w:cs="宋体"/>
          <w:b/>
          <w:sz w:val="30"/>
          <w:szCs w:val="30"/>
          <w:highlight w:val="none"/>
        </w:rPr>
      </w:r>
      <w:r/>
    </w:p>
    <w:p>
      <w:pPr>
        <w:pStyle w:val="719"/>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pStyle w:val="719"/>
        <w:ind w:firstLine="490"/>
        <w:jc w:val="center"/>
        <w:rPr>
          <w:rFonts w:hint="eastAsia" w:ascii="宋体" w:hAnsi="宋体" w:eastAsia="宋体" w:cs="宋体"/>
          <w:bCs/>
          <w:color w:val="000000"/>
          <w:sz w:val="28"/>
          <w:szCs w:val="28"/>
          <w:highlight w:val="none"/>
        </w:rPr>
        <w:outlineLvl w:val="0"/>
      </w:pPr>
      <w:r/>
      <w:bookmarkStart w:id="215" w:name="_Toc19104"/>
      <w:r>
        <w:rPr>
          <w:rFonts w:hint="eastAsia" w:ascii="宋体" w:hAnsi="宋体" w:eastAsia="宋体" w:cs="宋体"/>
          <w:bCs/>
          <w:color w:val="000000"/>
          <w:sz w:val="28"/>
          <w:szCs w:val="28"/>
          <w:highlight w:val="none"/>
        </w:rPr>
        <w:t xml:space="preserve">投标偏离表</w:t>
      </w:r>
      <w:bookmarkEnd w:id="215"/>
      <w:r>
        <w:rPr>
          <w:rFonts w:hint="eastAsia" w:ascii="宋体" w:hAnsi="宋体" w:eastAsia="宋体" w:cs="宋体"/>
          <w:bCs/>
          <w:color w:val="000000"/>
          <w:sz w:val="28"/>
          <w:szCs w:val="28"/>
          <w:highlight w:val="none"/>
        </w:rPr>
      </w:r>
      <w:r/>
    </w:p>
    <w:p>
      <w:pPr>
        <w:pStyle w:val="719"/>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JSZC-320214-JNJS-G2026-0001</w:t>
      </w:r>
      <w:r>
        <w:rPr>
          <w:rFonts w:hint="eastAsia" w:ascii="宋体" w:hAnsi="宋体" w:eastAsia="宋体" w:cs="宋体"/>
          <w:bCs/>
          <w:color w:val="000000"/>
          <w:sz w:val="24"/>
          <w:szCs w:val="24"/>
          <w:highlight w:val="none"/>
        </w:rPr>
      </w:r>
      <w:r/>
    </w:p>
    <w:p>
      <w:pPr>
        <w:pStyle w:val="719"/>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19"/>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9"/>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9"/>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9"/>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rPr>
                <w:rFonts w:hint="eastAsia" w:ascii="宋体" w:hAnsi="宋体" w:eastAsia="宋体" w:cs="宋体"/>
                <w:b/>
                <w:bCs/>
                <w:color w:val="000000"/>
                <w:sz w:val="24"/>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19"/>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9"/>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9"/>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9"/>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pStyle w:val="719"/>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
          <w:color w:val="000000"/>
          <w:sz w:val="24"/>
          <w:szCs w:val="24"/>
          <w:highlight w:val="none"/>
        </w:rPr>
      </w:r>
      <w:r/>
    </w:p>
    <w:p>
      <w:pPr>
        <w:pStyle w:val="719"/>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19"/>
        <w:ind w:firstLine="420"/>
        <w:rPr>
          <w:rFonts w:hint="eastAsia" w:ascii="宋体" w:hAnsi="宋体" w:eastAsia="宋体" w:cs="宋体"/>
          <w:bCs/>
          <w:color w:val="000000"/>
          <w:sz w:val="24"/>
          <w:szCs w:val="24"/>
          <w:highlight w:val="none"/>
        </w:rPr>
        <w:outlineLvl w:val="0"/>
      </w:pPr>
      <w:r/>
      <w:bookmarkStart w:id="216" w:name="_Toc20309"/>
      <w:r>
        <w:rPr>
          <w:rFonts w:hint="eastAsia" w:ascii="宋体" w:hAnsi="宋体" w:eastAsia="宋体" w:cs="宋体"/>
          <w:bCs/>
          <w:color w:val="000000"/>
          <w:sz w:val="24"/>
          <w:szCs w:val="24"/>
          <w:highlight w:val="none"/>
        </w:rPr>
        <w:t xml:space="preserve">注：（1）本表不得删除；</w:t>
      </w:r>
      <w:bookmarkEnd w:id="216"/>
      <w:r>
        <w:rPr>
          <w:rFonts w:hint="eastAsia" w:ascii="宋体" w:hAnsi="宋体" w:eastAsia="宋体" w:cs="宋体"/>
          <w:bCs/>
          <w:color w:val="000000"/>
          <w:sz w:val="24"/>
          <w:szCs w:val="24"/>
          <w:highlight w:val="none"/>
        </w:rPr>
      </w:r>
      <w:r/>
    </w:p>
    <w:p>
      <w:pPr>
        <w:pStyle w:val="719"/>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7"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17"/>
      <w:r>
        <w:rPr>
          <w:rFonts w:hint="eastAsia" w:ascii="宋体" w:hAnsi="宋体" w:eastAsia="宋体" w:cs="宋体"/>
          <w:bCs/>
          <w:color w:val="000000"/>
          <w:sz w:val="24"/>
          <w:szCs w:val="24"/>
          <w:highlight w:val="none"/>
        </w:rPr>
      </w:r>
      <w:r/>
    </w:p>
    <w:p>
      <w:pPr>
        <w:pStyle w:val="719"/>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8"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195"/>
      <w:r/>
      <w:bookmarkEnd w:id="196"/>
      <w:r/>
      <w:bookmarkEnd w:id="214"/>
      <w:r/>
      <w:bookmarkEnd w:id="218"/>
      <w:r/>
      <w:bookmarkStart w:id="219" w:name="_Hlt26609389"/>
      <w:r/>
      <w:bookmarkEnd w:id="219"/>
      <w:r/>
      <w:bookmarkStart w:id="220" w:name="_Hlt26955066"/>
      <w:r/>
      <w:bookmarkEnd w:id="220"/>
      <w:r/>
      <w:bookmarkStart w:id="221" w:name="_格式2__法定代表人授权书"/>
      <w:r/>
      <w:bookmarkEnd w:id="221"/>
      <w:r/>
      <w:bookmarkStart w:id="222" w:name="_Hlt26671374"/>
      <w:r/>
      <w:bookmarkEnd w:id="222"/>
      <w:r>
        <w:rPr>
          <w:rFonts w:hint="eastAsia" w:ascii="宋体" w:hAnsi="宋体" w:eastAsia="宋体" w:cs="宋体"/>
          <w:bCs/>
          <w:color w:val="000000"/>
          <w:sz w:val="24"/>
          <w:szCs w:val="24"/>
          <w:highlight w:val="none"/>
        </w:rPr>
      </w:r>
      <w:r/>
    </w:p>
    <w:p>
      <w:pPr>
        <w:pStyle w:val="719"/>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19"/>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19"/>
        <w:spacing w:line="360" w:lineRule="auto"/>
        <w:rPr>
          <w:rFonts w:hint="eastAsia" w:ascii="宋体" w:hAnsi="宋体" w:eastAsia="宋体" w:cs="宋体"/>
          <w:bCs/>
          <w:highlight w:val="none"/>
        </w:rPr>
      </w:pPr>
      <w:r>
        <w:rPr>
          <w:rFonts w:hint="eastAsia" w:ascii="宋体" w:hAnsi="宋体" w:eastAsia="宋体" w:cs="宋体"/>
          <w:bCs/>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outlineLvl w:val="0"/>
      </w:pPr>
      <w:r/>
      <w:bookmarkStart w:id="223" w:name="_Toc10817"/>
      <w:r>
        <w:rPr>
          <w:rFonts w:hint="eastAsia" w:ascii="宋体" w:hAnsi="宋体" w:eastAsia="宋体" w:cs="宋体"/>
          <w:b/>
          <w:color w:val="000000"/>
          <w:sz w:val="30"/>
          <w:szCs w:val="30"/>
          <w:highlight w:val="none"/>
        </w:rPr>
      </w:r>
      <w:r/>
    </w:p>
    <w:p>
      <w:pPr>
        <w:pStyle w:val="719"/>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23"/>
      <w:r>
        <w:rPr>
          <w:rFonts w:hint="eastAsia" w:ascii="宋体" w:hAnsi="宋体" w:eastAsia="宋体" w:cs="宋体"/>
          <w:b/>
          <w:color w:val="000000"/>
          <w:sz w:val="30"/>
          <w:szCs w:val="30"/>
          <w:highlight w:val="none"/>
        </w:rPr>
      </w:r>
      <w:r/>
    </w:p>
    <w:p>
      <w:pPr>
        <w:pStyle w:val="719"/>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19"/>
        <w:jc w:val="center"/>
        <w:spacing w:line="400" w:lineRule="exact"/>
        <w:rPr>
          <w:rFonts w:hint="eastAsia" w:ascii="宋体" w:hAnsi="宋体" w:eastAsia="宋体" w:cs="宋体"/>
          <w:bCs/>
          <w:color w:val="000000"/>
          <w:sz w:val="28"/>
          <w:szCs w:val="28"/>
          <w:highlight w:val="none"/>
        </w:rPr>
        <w:outlineLvl w:val="0"/>
      </w:pPr>
      <w:r/>
      <w:bookmarkStart w:id="224" w:name="_Toc26456"/>
      <w:r>
        <w:rPr>
          <w:rFonts w:hint="eastAsia" w:ascii="宋体" w:hAnsi="宋体" w:eastAsia="宋体" w:cs="宋体"/>
          <w:bCs/>
          <w:color w:val="000000"/>
          <w:sz w:val="28"/>
          <w:szCs w:val="28"/>
          <w:highlight w:val="none"/>
        </w:rPr>
        <w:t xml:space="preserve">项目人员配置清单</w:t>
      </w:r>
      <w:bookmarkEnd w:id="224"/>
      <w:r>
        <w:rPr>
          <w:rFonts w:hint="eastAsia" w:ascii="宋体" w:hAnsi="宋体" w:eastAsia="宋体" w:cs="宋体"/>
          <w:bCs/>
          <w:color w:val="000000"/>
          <w:sz w:val="28"/>
          <w:szCs w:val="28"/>
          <w:highlight w:val="none"/>
        </w:rPr>
      </w:r>
      <w:r/>
    </w:p>
    <w:p>
      <w:pPr>
        <w:pStyle w:val="719"/>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1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JSZC-320214-JNJS-G2026-0001</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19"/>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rPr>
                <w:rFonts w:hint="eastAsia" w:ascii="宋体" w:hAnsi="宋体" w:eastAsia="宋体" w:cs="宋体"/>
                <w:b/>
                <w:color w:val="000000"/>
                <w:sz w:val="24"/>
                <w:szCs w:val="21"/>
                <w:highlight w:val="none"/>
                <w:lang w:val="en-US" w:eastAsia="zh-CN" w:bidi="ar-SA"/>
              </w:rPr>
            </w:r>
            <w:r/>
          </w:p>
        </w:tc>
        <w:tc>
          <w:tcPr>
            <w:tcW w:w="1476" w:type="dxa"/>
            <w:vAlign w:val="center"/>
            <w:textDirection w:val="lrTb"/>
            <w:noWrap w:val="false"/>
          </w:tcPr>
          <w:p>
            <w:pPr>
              <w:pStyle w:val="719"/>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rPr>
                <w:rFonts w:hint="eastAsia" w:ascii="宋体" w:hAnsi="宋体" w:eastAsia="宋体" w:cs="宋体"/>
                <w:b/>
                <w:color w:val="000000"/>
                <w:sz w:val="24"/>
                <w:szCs w:val="21"/>
                <w:highlight w:val="none"/>
                <w:lang w:val="en-US" w:eastAsia="zh-CN" w:bidi="ar-SA"/>
              </w:rPr>
            </w:r>
            <w:r/>
          </w:p>
        </w:tc>
        <w:tc>
          <w:tcPr>
            <w:tcW w:w="720" w:type="dxa"/>
            <w:vAlign w:val="center"/>
            <w:textDirection w:val="lrTb"/>
            <w:noWrap w:val="false"/>
          </w:tcPr>
          <w:p>
            <w:pPr>
              <w:pStyle w:val="719"/>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rPr>
                <w:rFonts w:hint="eastAsia" w:ascii="宋体" w:hAnsi="宋体" w:eastAsia="宋体" w:cs="宋体"/>
                <w:b/>
                <w:color w:val="000000"/>
                <w:sz w:val="24"/>
                <w:szCs w:val="21"/>
                <w:highlight w:val="none"/>
                <w:lang w:val="en-US" w:eastAsia="zh-CN" w:bidi="ar-SA"/>
              </w:rPr>
            </w:r>
            <w:r/>
          </w:p>
        </w:tc>
        <w:tc>
          <w:tcPr>
            <w:tcW w:w="2520" w:type="dxa"/>
            <w:vAlign w:val="center"/>
            <w:textDirection w:val="lrTb"/>
            <w:noWrap w:val="false"/>
          </w:tcPr>
          <w:p>
            <w:pPr>
              <w:pStyle w:val="719"/>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rPr>
                <w:rFonts w:hint="eastAsia" w:ascii="宋体" w:hAnsi="宋体" w:eastAsia="宋体" w:cs="宋体"/>
                <w:b/>
                <w:color w:val="000000"/>
                <w:sz w:val="24"/>
                <w:szCs w:val="21"/>
                <w:highlight w:val="none"/>
                <w:lang w:val="en-US" w:eastAsia="zh-CN" w:bidi="ar-SA"/>
              </w:rPr>
            </w:r>
            <w:r/>
          </w:p>
        </w:tc>
        <w:tc>
          <w:tcPr>
            <w:tcW w:w="3274" w:type="dxa"/>
            <w:vAlign w:val="center"/>
            <w:textDirection w:val="lrTb"/>
            <w:noWrap w:val="false"/>
          </w:tcPr>
          <w:p>
            <w:pPr>
              <w:pStyle w:val="719"/>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rPr>
                <w:rFonts w:hint="eastAsia" w:ascii="宋体" w:hAnsi="宋体" w:eastAsia="宋体" w:cs="宋体"/>
                <w:b/>
                <w:color w:val="000000"/>
                <w:sz w:val="24"/>
                <w:szCs w:val="21"/>
                <w:highlight w:val="none"/>
                <w:lang w:val="en-US" w:eastAsia="zh-CN" w:bidi="ar-SA"/>
              </w:rPr>
            </w:r>
            <w:r/>
          </w:p>
        </w:tc>
      </w:tr>
      <w:tr>
        <w:trPr>
          <w:trHeight w:val="680"/>
        </w:trPr>
        <w:tc>
          <w:tcPr>
            <w:tcW w:w="70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19"/>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pStyle w:val="71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9"/>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
          <w:bCs/>
          <w:color w:val="000000"/>
          <w:sz w:val="24"/>
          <w:szCs w:val="24"/>
          <w:highlight w:val="none"/>
        </w:rPr>
      </w:r>
      <w:r/>
    </w:p>
    <w:p>
      <w:pPr>
        <w:pStyle w:val="719"/>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19"/>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19"/>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19"/>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表格不够可自行延长。</w:t>
      </w:r>
      <w:r>
        <w:rPr>
          <w:rFonts w:hint="eastAsia" w:ascii="宋体" w:hAnsi="宋体" w:eastAsia="宋体" w:cs="宋体"/>
          <w:bCs/>
          <w:color w:val="000000"/>
          <w:highlight w:val="none"/>
        </w:rPr>
      </w:r>
      <w:r/>
    </w:p>
    <w:p>
      <w:pPr>
        <w:pStyle w:val="719"/>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2.提供人员证书原件</w:t>
      </w:r>
      <w:r>
        <w:rPr>
          <w:rFonts w:hint="eastAsia" w:ascii="宋体" w:hAnsi="宋体" w:eastAsia="宋体" w:cs="宋体"/>
          <w:bCs/>
          <w:color w:val="000000"/>
          <w:highlight w:val="none"/>
          <w:lang w:val="en-US" w:eastAsia="zh-CN"/>
        </w:rPr>
        <w:t xml:space="preserve">扫描件及投标</w:t>
      </w:r>
      <w:r>
        <w:rPr>
          <w:rFonts w:hint="eastAsia" w:ascii="宋体" w:hAnsi="宋体" w:eastAsia="宋体" w:cs="宋体"/>
          <w:bCs/>
          <w:color w:val="000000"/>
          <w:highlight w:val="none"/>
        </w:rPr>
        <w:t xml:space="preserve">供应商为其缴纳的</w:t>
      </w:r>
      <w:r>
        <w:rPr>
          <w:rFonts w:hint="eastAsia" w:ascii="宋体" w:hAnsi="宋体" w:eastAsia="宋体" w:cs="宋体"/>
          <w:bCs/>
          <w:color w:val="000000"/>
          <w:highlight w:val="none"/>
          <w:lang w:val="zh-CN"/>
        </w:rPr>
        <w:t xml:space="preserve">2024年11月至2025年1月中任意一个月份</w:t>
      </w:r>
      <w:r>
        <w:rPr>
          <w:rFonts w:hint="eastAsia" w:ascii="宋体" w:hAnsi="宋体" w:eastAsia="宋体" w:cs="宋体"/>
          <w:bCs/>
          <w:color w:val="000000"/>
          <w:highlight w:val="none"/>
        </w:rPr>
        <w:t xml:space="preserve">社保证明上传至投标文件中。</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19"/>
                          </w:pPr>
                          <w:r/>
                          <w:r/>
                        </w:p>
                        <w:p>
                          <w:pPr>
                            <w:pStyle w:val="7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19"/>
                    </w:pPr>
                    <w:r/>
                    <w:r/>
                  </w:p>
                  <w:p>
                    <w:pPr>
                      <w:pStyle w:val="719"/>
                    </w:pPr>
                    <w:r/>
                    <w:r/>
                  </w:p>
                </w:txbxContent>
              </v:textbox>
            </v:shape>
          </w:pict>
        </mc:Fallback>
      </mc:AlternateContent>
    </w: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19"/>
                          </w:pPr>
                          <w:r/>
                          <w:r/>
                        </w:p>
                        <w:p>
                          <w:pPr>
                            <w:pStyle w:val="71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19"/>
                    </w:pPr>
                    <w:r/>
                    <w:r/>
                  </w:p>
                  <w:p>
                    <w:pPr>
                      <w:pStyle w:val="7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19"/>
        <w:ind w:left="1080" w:hanging="1080"/>
        <w:tabs>
          <w:tab w:val="num" w:pos="1080" w:leader="none"/>
        </w:tabs>
      </w:pPr>
      <w:rPr>
        <w:rFonts w:cs="Times New Roman"/>
      </w:rPr>
    </w:lvl>
    <w:lvl w:ilvl="1">
      <w:start w:val="1"/>
      <w:numFmt w:val="decimal"/>
      <w:isLgl w:val="false"/>
      <w:suff w:val="tab"/>
      <w:lvlText w:val="%2."/>
      <w:lvlJc w:val="left"/>
      <w:pPr>
        <w:pStyle w:val="719"/>
        <w:ind w:left="780" w:hanging="360"/>
        <w:tabs>
          <w:tab w:val="num" w:pos="780" w:leader="none"/>
        </w:tabs>
      </w:pPr>
      <w:rPr>
        <w:rFonts w:cs="Times New Roman"/>
        <w:color w:val="000000"/>
      </w:rPr>
    </w:lvl>
    <w:lvl w:ilvl="2">
      <w:start w:val="1"/>
      <w:numFmt w:val="lowerRoman"/>
      <w:isLgl w:val="false"/>
      <w:suff w:val="tab"/>
      <w:lvlText w:val="%3."/>
      <w:lvlJc w:val="right"/>
      <w:pPr>
        <w:pStyle w:val="719"/>
        <w:ind w:left="1260" w:hanging="420"/>
        <w:tabs>
          <w:tab w:val="num" w:pos="1260" w:leader="none"/>
        </w:tabs>
      </w:pPr>
      <w:rPr>
        <w:rFonts w:cs="Times New Roman"/>
      </w:rPr>
    </w:lvl>
    <w:lvl w:ilvl="3">
      <w:start w:val="1"/>
      <w:numFmt w:val="decimal"/>
      <w:isLgl w:val="false"/>
      <w:suff w:val="tab"/>
      <w:lvlText w:val="%4."/>
      <w:lvlJc w:val="left"/>
      <w:pPr>
        <w:pStyle w:val="719"/>
        <w:ind w:left="1680" w:hanging="420"/>
        <w:tabs>
          <w:tab w:val="num" w:pos="1680" w:leader="none"/>
        </w:tabs>
      </w:pPr>
      <w:rPr>
        <w:rFonts w:cs="Times New Roman"/>
      </w:rPr>
    </w:lvl>
    <w:lvl w:ilvl="4">
      <w:start w:val="1"/>
      <w:numFmt w:val="lowerLetter"/>
      <w:isLgl w:val="false"/>
      <w:suff w:val="tab"/>
      <w:lvlText w:val="%5)"/>
      <w:lvlJc w:val="left"/>
      <w:pPr>
        <w:pStyle w:val="719"/>
        <w:ind w:left="2100" w:hanging="420"/>
        <w:tabs>
          <w:tab w:val="num" w:pos="2100" w:leader="none"/>
        </w:tabs>
      </w:pPr>
      <w:rPr>
        <w:rFonts w:cs="Times New Roman"/>
      </w:rPr>
    </w:lvl>
    <w:lvl w:ilvl="5">
      <w:start w:val="1"/>
      <w:numFmt w:val="lowerRoman"/>
      <w:isLgl w:val="false"/>
      <w:suff w:val="tab"/>
      <w:lvlText w:val="%6."/>
      <w:lvlJc w:val="right"/>
      <w:pPr>
        <w:pStyle w:val="719"/>
        <w:ind w:left="2520" w:hanging="420"/>
        <w:tabs>
          <w:tab w:val="num" w:pos="2520" w:leader="none"/>
        </w:tabs>
      </w:pPr>
      <w:rPr>
        <w:rFonts w:cs="Times New Roman"/>
      </w:rPr>
    </w:lvl>
    <w:lvl w:ilvl="6">
      <w:start w:val="1"/>
      <w:numFmt w:val="decimal"/>
      <w:isLgl w:val="false"/>
      <w:suff w:val="tab"/>
      <w:lvlText w:val="%7."/>
      <w:lvlJc w:val="left"/>
      <w:pPr>
        <w:pStyle w:val="719"/>
        <w:ind w:left="2940" w:hanging="420"/>
        <w:tabs>
          <w:tab w:val="num" w:pos="2940" w:leader="none"/>
        </w:tabs>
      </w:pPr>
      <w:rPr>
        <w:rFonts w:cs="Times New Roman"/>
      </w:rPr>
    </w:lvl>
    <w:lvl w:ilvl="7">
      <w:start w:val="1"/>
      <w:numFmt w:val="lowerLetter"/>
      <w:isLgl w:val="false"/>
      <w:suff w:val="tab"/>
      <w:lvlText w:val="%8)"/>
      <w:lvlJc w:val="left"/>
      <w:pPr>
        <w:pStyle w:val="719"/>
        <w:ind w:left="3360" w:hanging="420"/>
        <w:tabs>
          <w:tab w:val="num" w:pos="3360" w:leader="none"/>
        </w:tabs>
      </w:pPr>
      <w:rPr>
        <w:rFonts w:cs="Times New Roman"/>
      </w:rPr>
    </w:lvl>
    <w:lvl w:ilvl="8">
      <w:start w:val="1"/>
      <w:numFmt w:val="lowerRoman"/>
      <w:isLgl w:val="false"/>
      <w:suff w:val="tab"/>
      <w:lvlText w:val="%9."/>
      <w:lvlJc w:val="right"/>
      <w:pPr>
        <w:pStyle w:val="719"/>
        <w:ind w:left="3780" w:hanging="420"/>
        <w:tabs>
          <w:tab w:val="num" w:pos="3780" w:leader="none"/>
        </w:tabs>
      </w:pPr>
      <w:rPr>
        <w:rFonts w:cs="Times New Roman"/>
      </w:rPr>
    </w:lvl>
  </w:abstractNum>
  <w:abstractNum w:abstractNumId="1">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pStyle w:val="719"/>
        <w:ind w:left="1367" w:hanging="945"/>
        <w:tabs>
          <w:tab w:val="num" w:pos="1505" w:leader="none"/>
        </w:tabs>
      </w:pPr>
      <w:rPr>
        <w:rFonts w:hint="eastAsia"/>
      </w:rPr>
    </w:lvl>
    <w:lvl w:ilvl="1">
      <w:start w:val="1"/>
      <w:numFmt w:val="decimal"/>
      <w:isLgl w:val="false"/>
      <w:suff w:val="tab"/>
      <w:lvlText w:val="%2、"/>
      <w:lvlJc w:val="left"/>
      <w:pPr>
        <w:pStyle w:val="719"/>
        <w:ind w:left="1340" w:hanging="360"/>
        <w:tabs>
          <w:tab w:val="num" w:pos="1340" w:leader="none"/>
        </w:tabs>
      </w:pPr>
      <w:rPr>
        <w:rFonts w:hint="eastAsia"/>
      </w:rPr>
    </w:lvl>
    <w:lvl w:ilvl="2">
      <w:start w:val="1"/>
      <w:numFmt w:val="japaneseCounting"/>
      <w:isLgl w:val="false"/>
      <w:suff w:val="tab"/>
      <w:lvlText w:val="%3、"/>
      <w:lvlJc w:val="left"/>
      <w:pPr>
        <w:pStyle w:val="719"/>
        <w:ind w:left="1820" w:hanging="420"/>
        <w:tabs>
          <w:tab w:val="num" w:pos="1820" w:leader="none"/>
        </w:tabs>
      </w:pPr>
      <w:rPr>
        <w:rFonts w:hint="eastAsia"/>
      </w:rPr>
    </w:lvl>
    <w:lvl w:ilvl="3">
      <w:start w:val="1"/>
      <w:numFmt w:val="decimal"/>
      <w:isLgl w:val="false"/>
      <w:suff w:val="tab"/>
      <w:lvlText w:val="%4."/>
      <w:lvlJc w:val="left"/>
      <w:pPr>
        <w:pStyle w:val="719"/>
        <w:ind w:left="2240" w:hanging="420"/>
        <w:tabs>
          <w:tab w:val="num" w:pos="2240" w:leader="none"/>
        </w:tabs>
      </w:pPr>
    </w:lvl>
    <w:lvl w:ilvl="4">
      <w:start w:val="1"/>
      <w:numFmt w:val="lowerLetter"/>
      <w:isLgl w:val="false"/>
      <w:suff w:val="tab"/>
      <w:lvlText w:val="%5)"/>
      <w:lvlJc w:val="left"/>
      <w:pPr>
        <w:pStyle w:val="719"/>
        <w:ind w:left="2660" w:hanging="420"/>
        <w:tabs>
          <w:tab w:val="num" w:pos="2660" w:leader="none"/>
        </w:tabs>
      </w:pPr>
    </w:lvl>
    <w:lvl w:ilvl="5">
      <w:start w:val="1"/>
      <w:numFmt w:val="lowerRoman"/>
      <w:isLgl w:val="false"/>
      <w:suff w:val="tab"/>
      <w:lvlText w:val="%6."/>
      <w:lvlJc w:val="right"/>
      <w:pPr>
        <w:pStyle w:val="719"/>
        <w:ind w:left="3080" w:hanging="420"/>
        <w:tabs>
          <w:tab w:val="num" w:pos="3080" w:leader="none"/>
        </w:tabs>
      </w:pPr>
    </w:lvl>
    <w:lvl w:ilvl="6">
      <w:start w:val="1"/>
      <w:numFmt w:val="decimal"/>
      <w:isLgl w:val="false"/>
      <w:suff w:val="tab"/>
      <w:lvlText w:val="%7."/>
      <w:lvlJc w:val="left"/>
      <w:pPr>
        <w:pStyle w:val="719"/>
        <w:ind w:left="3500" w:hanging="420"/>
        <w:tabs>
          <w:tab w:val="num" w:pos="3500" w:leader="none"/>
        </w:tabs>
      </w:pPr>
    </w:lvl>
    <w:lvl w:ilvl="7">
      <w:start w:val="1"/>
      <w:numFmt w:val="lowerLetter"/>
      <w:isLgl w:val="false"/>
      <w:suff w:val="tab"/>
      <w:lvlText w:val="%8)"/>
      <w:lvlJc w:val="left"/>
      <w:pPr>
        <w:pStyle w:val="719"/>
        <w:ind w:left="3920" w:hanging="420"/>
        <w:tabs>
          <w:tab w:val="num" w:pos="3920" w:leader="none"/>
        </w:tabs>
      </w:pPr>
    </w:lvl>
    <w:lvl w:ilvl="8">
      <w:start w:val="1"/>
      <w:numFmt w:val="lowerRoman"/>
      <w:isLgl w:val="false"/>
      <w:suff w:val="tab"/>
      <w:lvlText w:val="%9."/>
      <w:lvlJc w:val="right"/>
      <w:pPr>
        <w:pStyle w:val="719"/>
        <w:ind w:left="4340" w:hanging="420"/>
        <w:tabs>
          <w:tab w:val="num" w:pos="4340" w:leader="none"/>
        </w:tabs>
      </w:pPr>
    </w:lvl>
  </w:abstractNum>
  <w:abstractNum w:abstractNumId="3">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4">
    <w:multiLevelType w:val="hybridMultilevel"/>
    <w:lvl w:ilvl="0">
      <w:start w:val="1"/>
      <w:numFmt w:val="upperLetter"/>
      <w:pStyle w:val="987"/>
      <w:isLgl w:val="false"/>
      <w:suff w:val="tab"/>
      <w:lvlText w:val="附录%1."/>
      <w:lvlJc w:val="left"/>
      <w:pPr>
        <w:pStyle w:val="719"/>
        <w:ind w:left="907" w:hanging="907"/>
        <w:tabs>
          <w:tab w:val="num" w:pos="907" w:leader="none"/>
        </w:tabs>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19"/>
        <w:ind w:left="0" w:firstLine="0"/>
      </w:pPr>
      <w:rPr>
        <w:rFonts w:hint="eastAsia"/>
      </w:rPr>
    </w:lvl>
    <w:lvl w:ilvl="1">
      <w:start w:val="1"/>
      <w:numFmt w:val="decimal"/>
      <w:isLgl w:val="false"/>
      <w:suff w:val="nothing"/>
      <w:lvlText w:val="%2、"/>
      <w:lvlJc w:val="left"/>
      <w:pPr>
        <w:pStyle w:val="719"/>
        <w:ind w:left="0" w:firstLine="0"/>
      </w:pPr>
      <w:rPr>
        <w:rFonts w:hint="eastAsia"/>
      </w:rPr>
    </w:lvl>
    <w:lvl w:ilvl="2">
      <w:start w:val="1"/>
      <w:numFmt w:val="decimal"/>
      <w:isLgl w:val="false"/>
      <w:suff w:val="nothing"/>
      <w:lvlText w:val="%2.%3 "/>
      <w:lvlJc w:val="left"/>
      <w:pPr>
        <w:pStyle w:val="719"/>
        <w:ind w:left="0" w:firstLine="0"/>
      </w:pPr>
      <w:rPr>
        <w:rFonts w:hint="eastAsia"/>
      </w:rPr>
    </w:lvl>
    <w:lvl w:ilvl="3">
      <w:start w:val="1"/>
      <w:numFmt w:val="decimal"/>
      <w:isLgl w:val="false"/>
      <w:suff w:val="nothing"/>
      <w:lvlText w:val="%2.%3.%4 "/>
      <w:lvlJc w:val="left"/>
      <w:pPr>
        <w:pStyle w:val="719"/>
        <w:ind w:left="0" w:firstLine="0"/>
      </w:pPr>
      <w:rPr>
        <w:rFonts w:hint="eastAsia"/>
      </w:rPr>
    </w:lvl>
    <w:lvl w:ilvl="4">
      <w:start w:val="1"/>
      <w:numFmt w:val="decimal"/>
      <w:isLgl w:val="false"/>
      <w:suff w:val="nothing"/>
      <w:lvlText w:val="%2.%3.%4.%5 "/>
      <w:lvlJc w:val="left"/>
      <w:pPr>
        <w:pStyle w:val="719"/>
        <w:ind w:left="0" w:firstLine="0"/>
      </w:pPr>
      <w:rPr>
        <w:rFonts w:hint="eastAsia"/>
      </w:rPr>
    </w:lvl>
    <w:lvl w:ilvl="5">
      <w:start w:val="1"/>
      <w:numFmt w:val="decimal"/>
      <w:pStyle w:val="915"/>
      <w:isLgl w:val="false"/>
      <w:suff w:val="nothing"/>
      <w:lvlText w:val=""/>
      <w:lvlJc w:val="left"/>
      <w:pPr>
        <w:pStyle w:val="719"/>
        <w:ind w:left="0" w:firstLine="0"/>
      </w:pPr>
      <w:rPr>
        <w:rFonts w:hint="eastAsia"/>
      </w:rPr>
    </w:lvl>
    <w:lvl w:ilvl="6">
      <w:start w:val="1"/>
      <w:numFmt w:val="decimal"/>
      <w:pStyle w:val="917"/>
      <w:isLgl w:val="false"/>
      <w:suff w:val="nothing"/>
      <w:lvlText w:val=""/>
      <w:lvlJc w:val="left"/>
      <w:pPr>
        <w:pStyle w:val="719"/>
        <w:ind w:left="0" w:firstLine="0"/>
      </w:pPr>
      <w:rPr>
        <w:rFonts w:hint="eastAsia"/>
      </w:rPr>
    </w:lvl>
    <w:lvl w:ilvl="7">
      <w:start w:val="1"/>
      <w:numFmt w:val="decimal"/>
      <w:pStyle w:val="919"/>
      <w:isLgl w:val="false"/>
      <w:suff w:val="nothing"/>
      <w:lvlText w:val=""/>
      <w:lvlJc w:val="left"/>
      <w:pPr>
        <w:pStyle w:val="719"/>
        <w:ind w:left="0" w:firstLine="0"/>
      </w:pPr>
      <w:rPr>
        <w:rFonts w:hint="eastAsia"/>
      </w:rPr>
    </w:lvl>
    <w:lvl w:ilvl="8">
      <w:start w:val="1"/>
      <w:numFmt w:val="decimal"/>
      <w:pStyle w:val="921"/>
      <w:isLgl w:val="false"/>
      <w:suff w:val="nothing"/>
      <w:lvlText w:val=""/>
      <w:lvlJc w:val="left"/>
      <w:pPr>
        <w:pStyle w:val="719"/>
        <w:ind w:left="0" w:firstLine="0"/>
      </w:pPr>
      <w:rPr>
        <w:rFonts w:hint="eastAsia"/>
      </w:rPr>
    </w:lvl>
  </w:abstractNum>
  <w:abstractNum w:abstractNumId="7">
    <w:multiLevelType w:val="hybridMultilevel"/>
    <w:lvl w:ilvl="0">
      <w:start w:val="1"/>
      <w:numFmt w:val="japaneseCounting"/>
      <w:isLgl w:val="false"/>
      <w:suff w:val="tab"/>
      <w:lvlText w:val="（%1）"/>
      <w:lvlJc w:val="left"/>
      <w:pPr>
        <w:pStyle w:val="719"/>
        <w:ind w:left="1080" w:hanging="1080"/>
        <w:tabs>
          <w:tab w:val="num" w:pos="1080" w:leader="none"/>
        </w:tabs>
      </w:pPr>
      <w:rPr>
        <w:rFonts w:hint="eastAsia" w:cs="Times New Roman"/>
      </w:rPr>
    </w:lvl>
    <w:lvl w:ilvl="1">
      <w:start w:val="1"/>
      <w:numFmt w:val="decimal"/>
      <w:isLgl w:val="false"/>
      <w:suff w:val="tab"/>
      <w:lvlText w:val="%2."/>
      <w:lvlJc w:val="left"/>
      <w:pPr>
        <w:pStyle w:val="71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19"/>
        <w:ind w:left="1260" w:hanging="420"/>
        <w:tabs>
          <w:tab w:val="num" w:pos="1260" w:leader="none"/>
        </w:tabs>
      </w:pPr>
      <w:rPr>
        <w:rFonts w:cs="Times New Roman"/>
      </w:rPr>
    </w:lvl>
    <w:lvl w:ilvl="3">
      <w:start w:val="1"/>
      <w:numFmt w:val="decimal"/>
      <w:isLgl w:val="false"/>
      <w:suff w:val="tab"/>
      <w:lvlText w:val="%4."/>
      <w:lvlJc w:val="left"/>
      <w:pPr>
        <w:pStyle w:val="719"/>
        <w:ind w:left="1680" w:hanging="420"/>
        <w:tabs>
          <w:tab w:val="num" w:pos="1680" w:leader="none"/>
        </w:tabs>
      </w:pPr>
      <w:rPr>
        <w:rFonts w:cs="Times New Roman"/>
      </w:rPr>
    </w:lvl>
    <w:lvl w:ilvl="4">
      <w:start w:val="1"/>
      <w:numFmt w:val="lowerLetter"/>
      <w:isLgl w:val="false"/>
      <w:suff w:val="tab"/>
      <w:lvlText w:val="%5)"/>
      <w:lvlJc w:val="left"/>
      <w:pPr>
        <w:pStyle w:val="719"/>
        <w:ind w:left="2100" w:hanging="420"/>
        <w:tabs>
          <w:tab w:val="num" w:pos="2100" w:leader="none"/>
        </w:tabs>
      </w:pPr>
      <w:rPr>
        <w:rFonts w:cs="Times New Roman"/>
      </w:rPr>
    </w:lvl>
    <w:lvl w:ilvl="5">
      <w:start w:val="1"/>
      <w:numFmt w:val="lowerRoman"/>
      <w:isLgl w:val="false"/>
      <w:suff w:val="tab"/>
      <w:lvlText w:val="%6."/>
      <w:lvlJc w:val="right"/>
      <w:pPr>
        <w:pStyle w:val="719"/>
        <w:ind w:left="2520" w:hanging="420"/>
        <w:tabs>
          <w:tab w:val="num" w:pos="2520" w:leader="none"/>
        </w:tabs>
      </w:pPr>
      <w:rPr>
        <w:rFonts w:cs="Times New Roman"/>
      </w:rPr>
    </w:lvl>
    <w:lvl w:ilvl="6">
      <w:start w:val="1"/>
      <w:numFmt w:val="decimal"/>
      <w:isLgl w:val="false"/>
      <w:suff w:val="tab"/>
      <w:lvlText w:val="%7."/>
      <w:lvlJc w:val="left"/>
      <w:pPr>
        <w:pStyle w:val="719"/>
        <w:ind w:left="2940" w:hanging="420"/>
        <w:tabs>
          <w:tab w:val="num" w:pos="2940" w:leader="none"/>
        </w:tabs>
      </w:pPr>
      <w:rPr>
        <w:rFonts w:cs="Times New Roman"/>
      </w:rPr>
    </w:lvl>
    <w:lvl w:ilvl="7">
      <w:start w:val="1"/>
      <w:numFmt w:val="lowerLetter"/>
      <w:isLgl w:val="false"/>
      <w:suff w:val="tab"/>
      <w:lvlText w:val="%8)"/>
      <w:lvlJc w:val="left"/>
      <w:pPr>
        <w:pStyle w:val="719"/>
        <w:ind w:left="3360" w:hanging="420"/>
        <w:tabs>
          <w:tab w:val="num" w:pos="3360" w:leader="none"/>
        </w:tabs>
      </w:pPr>
      <w:rPr>
        <w:rFonts w:cs="Times New Roman"/>
      </w:rPr>
    </w:lvl>
    <w:lvl w:ilvl="8">
      <w:start w:val="1"/>
      <w:numFmt w:val="lowerRoman"/>
      <w:isLgl w:val="false"/>
      <w:suff w:val="tab"/>
      <w:lvlText w:val="%9."/>
      <w:lvlJc w:val="right"/>
      <w:pPr>
        <w:pStyle w:val="719"/>
        <w:ind w:left="3780" w:hanging="420"/>
        <w:tabs>
          <w:tab w:val="num" w:pos="3780" w:leader="none"/>
        </w:tabs>
      </w:pPr>
      <w:rPr>
        <w:rFonts w:cs="Times New Roman"/>
      </w:rPr>
    </w:lvl>
  </w:abstractNum>
  <w:abstractNum w:abstractNumId="8">
    <w:multiLevelType w:val="hybridMultilevel"/>
    <w:lvl w:ilvl="0">
      <w:start w:val="1"/>
      <w:numFmt w:val="japaneseCounting"/>
      <w:isLgl w:val="false"/>
      <w:suff w:val="tab"/>
      <w:lvlText w:val="%1、"/>
      <w:lvlJc w:val="left"/>
      <w:pPr>
        <w:pStyle w:val="71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19"/>
        <w:ind w:left="840" w:hanging="420"/>
        <w:tabs>
          <w:tab w:val="num" w:pos="840" w:leader="none"/>
        </w:tabs>
      </w:pPr>
      <w:rPr>
        <w:rFonts w:cs="Times New Roman"/>
      </w:rPr>
    </w:lvl>
    <w:lvl w:ilvl="2">
      <w:start w:val="10"/>
      <w:numFmt w:val="decimal"/>
      <w:isLgl w:val="false"/>
      <w:suff w:val="tab"/>
      <w:lvlText w:val="%3."/>
      <w:lvlJc w:val="left"/>
      <w:pPr>
        <w:pStyle w:val="719"/>
        <w:ind w:left="1200" w:hanging="360"/>
        <w:tabs>
          <w:tab w:val="num" w:pos="1200" w:leader="none"/>
        </w:tabs>
      </w:pPr>
      <w:rPr>
        <w:rFonts w:cs="Times New Roman"/>
      </w:rPr>
    </w:lvl>
    <w:lvl w:ilvl="3">
      <w:start w:val="1"/>
      <w:numFmt w:val="decimal"/>
      <w:isLgl w:val="false"/>
      <w:suff w:val="tab"/>
      <w:lvlText w:val="%4."/>
      <w:lvlJc w:val="left"/>
      <w:pPr>
        <w:pStyle w:val="719"/>
        <w:ind w:left="1680" w:hanging="420"/>
        <w:tabs>
          <w:tab w:val="num" w:pos="1680" w:leader="none"/>
        </w:tabs>
      </w:pPr>
      <w:rPr>
        <w:rFonts w:cs="Times New Roman"/>
      </w:rPr>
    </w:lvl>
    <w:lvl w:ilvl="4">
      <w:start w:val="1"/>
      <w:numFmt w:val="lowerLetter"/>
      <w:isLgl w:val="false"/>
      <w:suff w:val="tab"/>
      <w:lvlText w:val="%5)"/>
      <w:lvlJc w:val="left"/>
      <w:pPr>
        <w:pStyle w:val="719"/>
        <w:ind w:left="2100" w:hanging="420"/>
        <w:tabs>
          <w:tab w:val="num" w:pos="2100" w:leader="none"/>
        </w:tabs>
      </w:pPr>
      <w:rPr>
        <w:rFonts w:cs="Times New Roman"/>
      </w:rPr>
    </w:lvl>
    <w:lvl w:ilvl="5">
      <w:start w:val="1"/>
      <w:numFmt w:val="lowerRoman"/>
      <w:isLgl w:val="false"/>
      <w:suff w:val="tab"/>
      <w:lvlText w:val="%6."/>
      <w:lvlJc w:val="right"/>
      <w:pPr>
        <w:pStyle w:val="719"/>
        <w:ind w:left="2520" w:hanging="420"/>
        <w:tabs>
          <w:tab w:val="num" w:pos="2520" w:leader="none"/>
        </w:tabs>
      </w:pPr>
      <w:rPr>
        <w:rFonts w:cs="Times New Roman"/>
      </w:rPr>
    </w:lvl>
    <w:lvl w:ilvl="6">
      <w:start w:val="1"/>
      <w:numFmt w:val="decimal"/>
      <w:isLgl w:val="false"/>
      <w:suff w:val="tab"/>
      <w:lvlText w:val="%7."/>
      <w:lvlJc w:val="left"/>
      <w:pPr>
        <w:pStyle w:val="719"/>
        <w:ind w:left="2940" w:hanging="420"/>
        <w:tabs>
          <w:tab w:val="num" w:pos="2940" w:leader="none"/>
        </w:tabs>
      </w:pPr>
      <w:rPr>
        <w:rFonts w:cs="Times New Roman"/>
      </w:rPr>
    </w:lvl>
    <w:lvl w:ilvl="7">
      <w:start w:val="1"/>
      <w:numFmt w:val="lowerLetter"/>
      <w:isLgl w:val="false"/>
      <w:suff w:val="tab"/>
      <w:lvlText w:val="%8)"/>
      <w:lvlJc w:val="left"/>
      <w:pPr>
        <w:pStyle w:val="719"/>
        <w:ind w:left="3360" w:hanging="420"/>
        <w:tabs>
          <w:tab w:val="num" w:pos="3360" w:leader="none"/>
        </w:tabs>
      </w:pPr>
      <w:rPr>
        <w:rFonts w:cs="Times New Roman"/>
      </w:rPr>
    </w:lvl>
    <w:lvl w:ilvl="8">
      <w:start w:val="1"/>
      <w:numFmt w:val="lowerRoman"/>
      <w:isLgl w:val="false"/>
      <w:suff w:val="tab"/>
      <w:lvlText w:val="%9."/>
      <w:lvlJc w:val="right"/>
      <w:pPr>
        <w:pStyle w:val="719"/>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10">
    <w:multiLevelType w:val="hybridMultilevel"/>
    <w:lvl w:ilvl="0">
      <w:start w:val="1"/>
      <w:numFmt w:val="decimal"/>
      <w:pStyle w:val="1004"/>
      <w:isLgl w:val="false"/>
      <w:suff w:val="tab"/>
      <w:lvlText w:val="%1."/>
      <w:lvlJc w:val="left"/>
      <w:pPr>
        <w:pStyle w:val="719"/>
        <w:ind w:left="709" w:hanging="709"/>
        <w:tabs>
          <w:tab w:val="num" w:pos="709" w:leader="none"/>
        </w:tabs>
      </w:pPr>
      <w:rPr>
        <w:rFonts w:hint="eastAsia"/>
      </w:rPr>
    </w:lvl>
    <w:lvl w:ilvl="1">
      <w:start w:val="1"/>
      <w:numFmt w:val="decimal"/>
      <w:isLgl w:val="false"/>
      <w:suff w:val="tab"/>
      <w:lvlText w:val="%1.%2"/>
      <w:lvlJc w:val="left"/>
      <w:pPr>
        <w:pStyle w:val="719"/>
        <w:ind w:left="709" w:hanging="709"/>
        <w:tabs>
          <w:tab w:val="num" w:pos="709" w:leader="none"/>
        </w:tabs>
      </w:pPr>
      <w:rPr>
        <w:rFonts w:hint="eastAsia"/>
      </w:rPr>
    </w:lvl>
    <w:lvl w:ilvl="2">
      <w:start w:val="1"/>
      <w:numFmt w:val="decimal"/>
      <w:isLgl w:val="false"/>
      <w:suff w:val="tab"/>
      <w:lvlText w:val="%1.%2.%3."/>
      <w:lvlJc w:val="left"/>
      <w:pPr>
        <w:pStyle w:val="719"/>
        <w:ind w:left="425" w:hanging="425"/>
        <w:tabs>
          <w:tab w:val="num" w:pos="425" w:leader="none"/>
        </w:tabs>
      </w:pPr>
      <w:rPr>
        <w:rFonts w:hint="eastAsia"/>
      </w:rPr>
    </w:lvl>
    <w:lvl w:ilvl="3">
      <w:start w:val="1"/>
      <w:numFmt w:val="decimal"/>
      <w:isLgl w:val="false"/>
      <w:suff w:val="tab"/>
      <w:lvlText w:val="%1.%2.%3.%4."/>
      <w:lvlJc w:val="left"/>
      <w:pPr>
        <w:pStyle w:val="719"/>
        <w:ind w:left="851" w:hanging="851"/>
        <w:tabs>
          <w:tab w:val="num" w:pos="851" w:leader="none"/>
        </w:tabs>
      </w:pPr>
      <w:rPr>
        <w:rFonts w:hint="eastAsia"/>
      </w:rPr>
    </w:lvl>
    <w:lvl w:ilvl="4">
      <w:start w:val="1"/>
      <w:numFmt w:val="decimal"/>
      <w:isLgl w:val="false"/>
      <w:suff w:val="tab"/>
      <w:lvlText w:val="%1.%2.%3.%4.%5."/>
      <w:lvlJc w:val="left"/>
      <w:pPr>
        <w:pStyle w:val="719"/>
        <w:ind w:left="992" w:hanging="992"/>
        <w:tabs>
          <w:tab w:val="num" w:pos="992" w:leader="none"/>
        </w:tabs>
      </w:pPr>
      <w:rPr>
        <w:rFonts w:hint="eastAsia"/>
      </w:rPr>
    </w:lvl>
    <w:lvl w:ilvl="5">
      <w:start w:val="1"/>
      <w:numFmt w:val="decimal"/>
      <w:isLgl w:val="false"/>
      <w:suff w:val="tab"/>
      <w:lvlText w:val="%1.%2.%3.%4.%5.%6."/>
      <w:lvlJc w:val="left"/>
      <w:pPr>
        <w:pStyle w:val="719"/>
        <w:ind w:left="1134" w:hanging="1134"/>
        <w:tabs>
          <w:tab w:val="num" w:pos="1134" w:leader="none"/>
        </w:tabs>
      </w:pPr>
      <w:rPr>
        <w:rFonts w:hint="eastAsia"/>
      </w:rPr>
    </w:lvl>
    <w:lvl w:ilvl="6">
      <w:start w:val="1"/>
      <w:numFmt w:val="decimal"/>
      <w:isLgl w:val="false"/>
      <w:suff w:val="tab"/>
      <w:lvlText w:val="%1.%2.%3.%4.%5.%6.%7."/>
      <w:lvlJc w:val="left"/>
      <w:pPr>
        <w:pStyle w:val="719"/>
        <w:ind w:left="1276" w:hanging="1276"/>
        <w:tabs>
          <w:tab w:val="num" w:pos="1276" w:leader="none"/>
        </w:tabs>
      </w:pPr>
      <w:rPr>
        <w:rFonts w:hint="eastAsia"/>
      </w:rPr>
    </w:lvl>
    <w:lvl w:ilvl="7">
      <w:start w:val="1"/>
      <w:numFmt w:val="decimal"/>
      <w:isLgl w:val="false"/>
      <w:suff w:val="tab"/>
      <w:lvlText w:val="%1.%2.%3.%4.%5.%6.%7.%8."/>
      <w:lvlJc w:val="left"/>
      <w:pPr>
        <w:pStyle w:val="719"/>
        <w:ind w:left="1418" w:hanging="1418"/>
        <w:tabs>
          <w:tab w:val="num" w:pos="1418" w:leader="none"/>
        </w:tabs>
      </w:pPr>
      <w:rPr>
        <w:rFonts w:hint="eastAsia"/>
      </w:rPr>
    </w:lvl>
    <w:lvl w:ilvl="8">
      <w:start w:val="1"/>
      <w:numFmt w:val="decimal"/>
      <w:isLgl w:val="false"/>
      <w:suff w:val="tab"/>
      <w:lvlText w:val="%1.%2.%3.%4.%5.%6.%7.%8.%9."/>
      <w:lvlJc w:val="left"/>
      <w:pPr>
        <w:pStyle w:val="719"/>
        <w:ind w:left="1559" w:hanging="1559"/>
        <w:tabs>
          <w:tab w:val="num" w:pos="1559" w:leader="none"/>
        </w:tabs>
      </w:pPr>
      <w:rPr>
        <w:rFonts w:hint="eastAsia"/>
      </w:rPr>
    </w:lvl>
  </w:abstractNum>
  <w:abstractNum w:abstractNumId="11">
    <w:multiLevelType w:val="hybridMultilevel"/>
    <w:lvl w:ilvl="0">
      <w:start w:val="1"/>
      <w:numFmt w:val="chineseCounting"/>
      <w:isLgl w:val="false"/>
      <w:suff w:val="space"/>
      <w:lvlText w:val="第%1部分"/>
      <w:lvlJc w:val="left"/>
      <w:pPr>
        <w:pStyle w:val="7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space"/>
      <w:lvlText w:val="第%1部分"/>
      <w:lvlJc w:val="left"/>
      <w:pPr>
        <w:pStyle w:val="719"/>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num w:numId="1">
    <w:abstractNumId w:val="6"/>
  </w:num>
  <w:num w:numId="2">
    <w:abstractNumId w:val="4"/>
  </w:num>
  <w:num w:numId="3">
    <w:abstractNumId w:val="10"/>
  </w:num>
  <w:num w:numId="4">
    <w:abstractNumId w:val="2"/>
  </w:num>
  <w:num w:numId="5">
    <w:abstractNumId w:val="1"/>
  </w:num>
  <w:num w:numId="6">
    <w:abstractNumId w:val="11"/>
  </w:num>
  <w:num w:numId="7">
    <w:abstractNumId w:val="12"/>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9"/>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9"/>
    <w:next w:val="719"/>
    <w:link w:val="732"/>
    <w:uiPriority w:val="9"/>
    <w:qFormat/>
    <w:pPr>
      <w:keepLines/>
      <w:keepNext/>
      <w:spacing w:before="480" w:after="200"/>
      <w:outlineLvl w:val="0"/>
    </w:pPr>
    <w:rPr>
      <w:rFonts w:ascii="Arial" w:hAnsi="Arial" w:eastAsia="Arial" w:cs="Arial"/>
      <w:sz w:val="40"/>
      <w:szCs w:val="40"/>
    </w:rPr>
  </w:style>
  <w:style w:type="paragraph" w:styleId="14">
    <w:name w:val="Heading 2"/>
    <w:basedOn w:val="719"/>
    <w:next w:val="719"/>
    <w:link w:val="733"/>
    <w:uiPriority w:val="9"/>
    <w:unhideWhenUsed/>
    <w:qFormat/>
    <w:pPr>
      <w:keepLines/>
      <w:keepNext/>
      <w:spacing w:before="360" w:after="200"/>
      <w:outlineLvl w:val="1"/>
    </w:pPr>
    <w:rPr>
      <w:rFonts w:ascii="Arial" w:hAnsi="Arial" w:eastAsia="Arial" w:cs="Arial"/>
      <w:sz w:val="34"/>
    </w:rPr>
  </w:style>
  <w:style w:type="paragraph" w:styleId="16">
    <w:name w:val="Heading 3"/>
    <w:basedOn w:val="719"/>
    <w:next w:val="719"/>
    <w:link w:val="73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9"/>
    <w:next w:val="719"/>
    <w:link w:val="73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9"/>
    <w:next w:val="719"/>
    <w:link w:val="73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9"/>
    <w:next w:val="719"/>
    <w:link w:val="73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9"/>
    <w:next w:val="719"/>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9"/>
    <w:next w:val="719"/>
    <w:link w:val="73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9"/>
    <w:next w:val="719"/>
    <w:link w:val="740"/>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19"/>
    <w:next w:val="719"/>
    <w:link w:val="764"/>
    <w:uiPriority w:val="10"/>
    <w:qFormat/>
    <w:pPr>
      <w:contextualSpacing/>
      <w:spacing w:before="300" w:after="200"/>
    </w:pPr>
    <w:rPr>
      <w:sz w:val="48"/>
      <w:szCs w:val="48"/>
    </w:rPr>
  </w:style>
  <w:style w:type="paragraph" w:styleId="35">
    <w:name w:val="Subtitle"/>
    <w:basedOn w:val="719"/>
    <w:next w:val="719"/>
    <w:link w:val="756"/>
    <w:uiPriority w:val="11"/>
    <w:qFormat/>
    <w:pPr>
      <w:spacing w:before="200" w:after="200"/>
    </w:pPr>
    <w:rPr>
      <w:sz w:val="24"/>
      <w:szCs w:val="24"/>
    </w:rPr>
  </w:style>
  <w:style w:type="paragraph" w:styleId="41">
    <w:name w:val="Header"/>
    <w:basedOn w:val="719"/>
    <w:link w:val="752"/>
    <w:uiPriority w:val="99"/>
    <w:unhideWhenUsed/>
    <w:pPr>
      <w:spacing w:after="0" w:line="240" w:lineRule="auto"/>
      <w:tabs>
        <w:tab w:val="center" w:pos="7143" w:leader="none"/>
        <w:tab w:val="right" w:pos="14287" w:leader="none"/>
      </w:tabs>
    </w:pPr>
  </w:style>
  <w:style w:type="paragraph" w:styleId="43">
    <w:name w:val="Footer"/>
    <w:basedOn w:val="719"/>
    <w:link w:val="750"/>
    <w:uiPriority w:val="99"/>
    <w:unhideWhenUsed/>
    <w:pPr>
      <w:spacing w:after="0" w:line="240" w:lineRule="auto"/>
      <w:tabs>
        <w:tab w:val="center" w:pos="7143" w:leader="none"/>
        <w:tab w:val="right" w:pos="14287" w:leader="none"/>
      </w:tabs>
    </w:pPr>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9"/>
    <w:link w:val="75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9"/>
    <w:link w:val="74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9"/>
    <w:next w:val="719"/>
    <w:uiPriority w:val="39"/>
    <w:unhideWhenUsed/>
    <w:pPr>
      <w:ind w:left="0" w:right="0" w:firstLine="0"/>
      <w:spacing w:after="57"/>
    </w:pPr>
  </w:style>
  <w:style w:type="paragraph" w:styleId="181">
    <w:name w:val="toc 2"/>
    <w:basedOn w:val="719"/>
    <w:next w:val="719"/>
    <w:uiPriority w:val="39"/>
    <w:unhideWhenUsed/>
    <w:pPr>
      <w:ind w:left="283" w:right="0" w:firstLine="0"/>
      <w:spacing w:after="57"/>
    </w:pPr>
  </w:style>
  <w:style w:type="paragraph" w:styleId="182">
    <w:name w:val="toc 3"/>
    <w:basedOn w:val="719"/>
    <w:next w:val="719"/>
    <w:uiPriority w:val="39"/>
    <w:unhideWhenUsed/>
    <w:pPr>
      <w:ind w:left="567" w:right="0" w:firstLine="0"/>
      <w:spacing w:after="57"/>
    </w:pPr>
  </w:style>
  <w:style w:type="paragraph" w:styleId="183">
    <w:name w:val="toc 4"/>
    <w:basedOn w:val="719"/>
    <w:next w:val="719"/>
    <w:uiPriority w:val="39"/>
    <w:unhideWhenUsed/>
    <w:pPr>
      <w:ind w:left="850" w:right="0" w:firstLine="0"/>
      <w:spacing w:after="57"/>
    </w:pPr>
  </w:style>
  <w:style w:type="paragraph" w:styleId="184">
    <w:name w:val="toc 5"/>
    <w:basedOn w:val="719"/>
    <w:next w:val="719"/>
    <w:uiPriority w:val="39"/>
    <w:unhideWhenUsed/>
    <w:pPr>
      <w:ind w:left="1134" w:right="0" w:firstLine="0"/>
      <w:spacing w:after="57"/>
    </w:pPr>
  </w:style>
  <w:style w:type="paragraph" w:styleId="185">
    <w:name w:val="toc 6"/>
    <w:basedOn w:val="719"/>
    <w:next w:val="719"/>
    <w:uiPriority w:val="39"/>
    <w:unhideWhenUsed/>
    <w:pPr>
      <w:ind w:left="1417" w:right="0" w:firstLine="0"/>
      <w:spacing w:after="57"/>
    </w:pPr>
  </w:style>
  <w:style w:type="paragraph" w:styleId="186">
    <w:name w:val="toc 7"/>
    <w:basedOn w:val="719"/>
    <w:next w:val="719"/>
    <w:uiPriority w:val="39"/>
    <w:unhideWhenUsed/>
    <w:pPr>
      <w:ind w:left="1701" w:right="0" w:firstLine="0"/>
      <w:spacing w:after="57"/>
    </w:pPr>
  </w:style>
  <w:style w:type="paragraph" w:styleId="187">
    <w:name w:val="toc 8"/>
    <w:basedOn w:val="719"/>
    <w:next w:val="719"/>
    <w:uiPriority w:val="39"/>
    <w:unhideWhenUsed/>
    <w:pPr>
      <w:ind w:left="1984" w:right="0" w:firstLine="0"/>
      <w:spacing w:after="57"/>
    </w:pPr>
  </w:style>
  <w:style w:type="paragraph" w:styleId="188">
    <w:name w:val="toc 9"/>
    <w:basedOn w:val="719"/>
    <w:next w:val="719"/>
    <w:uiPriority w:val="39"/>
    <w:unhideWhenUsed/>
    <w:pPr>
      <w:ind w:left="2268" w:right="0" w:firstLine="0"/>
      <w:spacing w:after="57"/>
    </w:pPr>
  </w:style>
  <w:style w:type="paragraph" w:styleId="190">
    <w:name w:val="table of figures"/>
    <w:basedOn w:val="719"/>
    <w:next w:val="719"/>
    <w:uiPriority w:val="99"/>
    <w:unhideWhenUsed/>
    <w:pPr>
      <w:spacing w:after="0" w:afterAutospacing="0"/>
    </w:pPr>
  </w:style>
  <w:style w:type="paragraph" w:styleId="719" w:default="1">
    <w:name w:val="Normal"/>
    <w:next w:val="731"/>
    <w:link w:val="719"/>
    <w:qFormat/>
    <w:pPr>
      <w:jc w:val="both"/>
      <w:widowControl w:val="off"/>
    </w:pPr>
    <w:rPr>
      <w:rFonts w:ascii="Times New Roman" w:hAnsi="Times New Roman" w:eastAsia="宋体" w:cs="Times New Roman"/>
      <w:sz w:val="21"/>
      <w:szCs w:val="21"/>
      <w:lang w:val="en-US" w:eastAsia="zh-CN" w:bidi="ar-SA"/>
    </w:rPr>
  </w:style>
  <w:style w:type="paragraph" w:styleId="720">
    <w:name w:val="标题 1"/>
    <w:basedOn w:val="719"/>
    <w:next w:val="719"/>
    <w:link w:val="732"/>
    <w:uiPriority w:val="9"/>
    <w:qFormat/>
    <w:pPr>
      <w:keepLines/>
      <w:keepNext/>
      <w:spacing w:before="480" w:after="200"/>
      <w:outlineLvl w:val="0"/>
    </w:pPr>
    <w:rPr>
      <w:rFonts w:ascii="Arial" w:hAnsi="Arial" w:eastAsia="Arial" w:cs="Arial"/>
      <w:sz w:val="40"/>
      <w:szCs w:val="40"/>
    </w:rPr>
  </w:style>
  <w:style w:type="paragraph" w:styleId="721">
    <w:name w:val="标题 2"/>
    <w:basedOn w:val="719"/>
    <w:next w:val="719"/>
    <w:link w:val="733"/>
    <w:uiPriority w:val="9"/>
    <w:unhideWhenUsed/>
    <w:qFormat/>
    <w:pPr>
      <w:keepLines/>
      <w:keepNext/>
      <w:spacing w:before="360" w:after="200"/>
      <w:outlineLvl w:val="1"/>
    </w:pPr>
    <w:rPr>
      <w:rFonts w:ascii="Arial" w:hAnsi="Arial" w:eastAsia="Arial" w:cs="Arial"/>
      <w:sz w:val="34"/>
    </w:rPr>
  </w:style>
  <w:style w:type="paragraph" w:styleId="722">
    <w:name w:val="标题 3"/>
    <w:basedOn w:val="719"/>
    <w:next w:val="719"/>
    <w:link w:val="734"/>
    <w:uiPriority w:val="9"/>
    <w:unhideWhenUsed/>
    <w:qFormat/>
    <w:pPr>
      <w:keepLines/>
      <w:keepNext/>
      <w:spacing w:before="320" w:after="200"/>
      <w:outlineLvl w:val="2"/>
    </w:pPr>
    <w:rPr>
      <w:rFonts w:ascii="Arial" w:hAnsi="Arial" w:eastAsia="Arial" w:cs="Arial"/>
      <w:sz w:val="30"/>
      <w:szCs w:val="30"/>
    </w:rPr>
  </w:style>
  <w:style w:type="paragraph" w:styleId="723">
    <w:name w:val="标题 4"/>
    <w:basedOn w:val="719"/>
    <w:next w:val="719"/>
    <w:link w:val="735"/>
    <w:uiPriority w:val="9"/>
    <w:unhideWhenUsed/>
    <w:qFormat/>
    <w:pPr>
      <w:keepLines/>
      <w:keepNext/>
      <w:spacing w:before="320" w:after="200"/>
      <w:outlineLvl w:val="3"/>
    </w:pPr>
    <w:rPr>
      <w:rFonts w:ascii="Arial" w:hAnsi="Arial" w:eastAsia="Arial" w:cs="Arial"/>
      <w:b/>
      <w:bCs/>
      <w:sz w:val="26"/>
      <w:szCs w:val="26"/>
    </w:rPr>
  </w:style>
  <w:style w:type="paragraph" w:styleId="724">
    <w:name w:val="标题 5"/>
    <w:basedOn w:val="719"/>
    <w:next w:val="719"/>
    <w:link w:val="736"/>
    <w:uiPriority w:val="9"/>
    <w:unhideWhenUsed/>
    <w:qFormat/>
    <w:pPr>
      <w:keepLines/>
      <w:keepNext/>
      <w:spacing w:before="320" w:after="200"/>
      <w:outlineLvl w:val="4"/>
    </w:pPr>
    <w:rPr>
      <w:rFonts w:ascii="Arial" w:hAnsi="Arial" w:eastAsia="Arial" w:cs="Arial"/>
      <w:b/>
      <w:bCs/>
      <w:sz w:val="24"/>
      <w:szCs w:val="24"/>
    </w:rPr>
  </w:style>
  <w:style w:type="paragraph" w:styleId="725">
    <w:name w:val="标题 6"/>
    <w:basedOn w:val="719"/>
    <w:next w:val="719"/>
    <w:link w:val="737"/>
    <w:uiPriority w:val="9"/>
    <w:unhideWhenUsed/>
    <w:qFormat/>
    <w:pPr>
      <w:keepLines/>
      <w:keepNext/>
      <w:spacing w:before="320" w:after="200"/>
      <w:outlineLvl w:val="5"/>
    </w:pPr>
    <w:rPr>
      <w:rFonts w:ascii="Arial" w:hAnsi="Arial" w:eastAsia="Arial" w:cs="Arial"/>
      <w:b/>
      <w:bCs/>
      <w:sz w:val="22"/>
      <w:szCs w:val="22"/>
    </w:rPr>
  </w:style>
  <w:style w:type="paragraph" w:styleId="726">
    <w:name w:val="标题 7"/>
    <w:basedOn w:val="719"/>
    <w:next w:val="719"/>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标题 8"/>
    <w:basedOn w:val="719"/>
    <w:next w:val="719"/>
    <w:link w:val="739"/>
    <w:uiPriority w:val="9"/>
    <w:unhideWhenUsed/>
    <w:qFormat/>
    <w:pPr>
      <w:keepLines/>
      <w:keepNext/>
      <w:spacing w:before="320" w:after="200"/>
      <w:outlineLvl w:val="7"/>
    </w:pPr>
    <w:rPr>
      <w:rFonts w:ascii="Arial" w:hAnsi="Arial" w:eastAsia="Arial" w:cs="Arial"/>
      <w:i/>
      <w:iCs/>
      <w:sz w:val="22"/>
      <w:szCs w:val="22"/>
    </w:rPr>
  </w:style>
  <w:style w:type="paragraph" w:styleId="728">
    <w:name w:val="标题 9"/>
    <w:basedOn w:val="719"/>
    <w:next w:val="719"/>
    <w:link w:val="740"/>
    <w:uiPriority w:val="9"/>
    <w:unhideWhenUsed/>
    <w:qFormat/>
    <w:pPr>
      <w:keepLines/>
      <w:keepNext/>
      <w:spacing w:before="320" w:after="200"/>
      <w:outlineLvl w:val="8"/>
    </w:pPr>
    <w:rPr>
      <w:rFonts w:ascii="Arial" w:hAnsi="Arial" w:eastAsia="Arial" w:cs="Arial"/>
      <w:i/>
      <w:iCs/>
      <w:sz w:val="21"/>
      <w:szCs w:val="21"/>
    </w:rPr>
  </w:style>
  <w:style w:type="character" w:styleId="729">
    <w:name w:val="默认段落字体"/>
    <w:next w:val="729"/>
    <w:link w:val="719"/>
    <w:uiPriority w:val="1"/>
    <w:unhideWhenUsed/>
    <w:qFormat/>
  </w:style>
  <w:style w:type="table" w:styleId="730">
    <w:name w:val="普通表格"/>
    <w:next w:val="730"/>
    <w:link w:val="719"/>
    <w:uiPriority w:val="99"/>
    <w:unhideWhenUsed/>
    <w:qFormat/>
    <w:tblPr/>
  </w:style>
  <w:style w:type="paragraph" w:styleId="731">
    <w:name w:val="索引 4"/>
    <w:basedOn w:val="719"/>
    <w:next w:val="719"/>
    <w:link w:val="719"/>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character" w:styleId="732">
    <w:name w:val="Heading 1 Char"/>
    <w:next w:val="732"/>
    <w:link w:val="720"/>
    <w:uiPriority w:val="9"/>
    <w:qFormat/>
    <w:rPr>
      <w:rFonts w:ascii="Arial" w:hAnsi="Arial" w:eastAsia="Arial" w:cs="Arial"/>
      <w:sz w:val="40"/>
      <w:szCs w:val="40"/>
    </w:rPr>
  </w:style>
  <w:style w:type="character" w:styleId="733">
    <w:name w:val="Heading 2 Char"/>
    <w:next w:val="733"/>
    <w:link w:val="721"/>
    <w:uiPriority w:val="9"/>
    <w:qFormat/>
    <w:rPr>
      <w:rFonts w:ascii="Arial" w:hAnsi="Arial" w:eastAsia="Arial" w:cs="Arial"/>
      <w:sz w:val="34"/>
    </w:rPr>
  </w:style>
  <w:style w:type="character" w:styleId="734">
    <w:name w:val="Heading 3 Char"/>
    <w:next w:val="734"/>
    <w:link w:val="722"/>
    <w:uiPriority w:val="9"/>
    <w:qFormat/>
    <w:rPr>
      <w:rFonts w:ascii="Arial" w:hAnsi="Arial" w:eastAsia="Arial" w:cs="Arial"/>
      <w:sz w:val="30"/>
      <w:szCs w:val="30"/>
    </w:rPr>
  </w:style>
  <w:style w:type="character" w:styleId="735">
    <w:name w:val="Heading 4 Char"/>
    <w:next w:val="735"/>
    <w:link w:val="723"/>
    <w:uiPriority w:val="9"/>
    <w:qFormat/>
    <w:rPr>
      <w:rFonts w:ascii="Arial" w:hAnsi="Arial" w:eastAsia="Arial" w:cs="Arial"/>
      <w:b/>
      <w:bCs/>
      <w:sz w:val="26"/>
      <w:szCs w:val="26"/>
    </w:rPr>
  </w:style>
  <w:style w:type="character" w:styleId="736">
    <w:name w:val="Heading 5 Char"/>
    <w:next w:val="736"/>
    <w:link w:val="724"/>
    <w:uiPriority w:val="9"/>
    <w:qFormat/>
    <w:rPr>
      <w:rFonts w:ascii="Arial" w:hAnsi="Arial" w:eastAsia="Arial" w:cs="Arial"/>
      <w:b/>
      <w:bCs/>
      <w:sz w:val="24"/>
      <w:szCs w:val="24"/>
    </w:rPr>
  </w:style>
  <w:style w:type="character" w:styleId="737">
    <w:name w:val="Heading 6 Char"/>
    <w:next w:val="737"/>
    <w:link w:val="725"/>
    <w:uiPriority w:val="9"/>
    <w:qFormat/>
    <w:rPr>
      <w:rFonts w:ascii="Arial" w:hAnsi="Arial" w:eastAsia="Arial" w:cs="Arial"/>
      <w:b/>
      <w:bCs/>
      <w:sz w:val="22"/>
      <w:szCs w:val="22"/>
    </w:rPr>
  </w:style>
  <w:style w:type="character" w:styleId="738">
    <w:name w:val="Heading 7 Char"/>
    <w:next w:val="738"/>
    <w:link w:val="726"/>
    <w:uiPriority w:val="9"/>
    <w:qFormat/>
    <w:rPr>
      <w:rFonts w:ascii="Arial" w:hAnsi="Arial" w:eastAsia="Arial" w:cs="Arial"/>
      <w:b/>
      <w:bCs/>
      <w:i/>
      <w:iCs/>
      <w:sz w:val="22"/>
      <w:szCs w:val="22"/>
    </w:rPr>
  </w:style>
  <w:style w:type="character" w:styleId="739">
    <w:name w:val="Heading 8 Char"/>
    <w:next w:val="739"/>
    <w:link w:val="727"/>
    <w:uiPriority w:val="9"/>
    <w:qFormat/>
    <w:rPr>
      <w:rFonts w:ascii="Arial" w:hAnsi="Arial" w:eastAsia="Arial" w:cs="Arial"/>
      <w:i/>
      <w:iCs/>
      <w:sz w:val="22"/>
      <w:szCs w:val="22"/>
    </w:rPr>
  </w:style>
  <w:style w:type="character" w:styleId="740">
    <w:name w:val="Heading 9 Char"/>
    <w:next w:val="740"/>
    <w:link w:val="728"/>
    <w:uiPriority w:val="9"/>
    <w:qFormat/>
    <w:rPr>
      <w:rFonts w:ascii="Arial" w:hAnsi="Arial" w:eastAsia="Arial" w:cs="Arial"/>
      <w:i/>
      <w:iCs/>
      <w:sz w:val="21"/>
      <w:szCs w:val="21"/>
    </w:rPr>
  </w:style>
  <w:style w:type="paragraph" w:styleId="741">
    <w:name w:val="目录 7"/>
    <w:basedOn w:val="719"/>
    <w:next w:val="719"/>
    <w:link w:val="719"/>
    <w:uiPriority w:val="39"/>
    <w:unhideWhenUsed/>
    <w:qFormat/>
    <w:pPr>
      <w:ind w:left="1701" w:right="0" w:firstLine="0"/>
      <w:spacing w:after="57"/>
    </w:pPr>
  </w:style>
  <w:style w:type="paragraph" w:styleId="742">
    <w:name w:val="题注"/>
    <w:basedOn w:val="719"/>
    <w:next w:val="719"/>
    <w:link w:val="719"/>
    <w:uiPriority w:val="35"/>
    <w:unhideWhenUsed/>
    <w:qFormat/>
    <w:pPr>
      <w:spacing w:line="276" w:lineRule="auto"/>
    </w:pPr>
    <w:rPr>
      <w:b/>
      <w:bCs/>
      <w:color w:val="4f81bd"/>
      <w:sz w:val="18"/>
      <w:szCs w:val="18"/>
    </w:rPr>
  </w:style>
  <w:style w:type="paragraph" w:styleId="743">
    <w:name w:val="批注文字"/>
    <w:basedOn w:val="719"/>
    <w:next w:val="743"/>
    <w:link w:val="719"/>
    <w:uiPriority w:val="99"/>
    <w:unhideWhenUsed/>
    <w:qFormat/>
    <w:pPr>
      <w:jc w:val="left"/>
    </w:pPr>
  </w:style>
  <w:style w:type="paragraph" w:styleId="744">
    <w:name w:val="目录 5"/>
    <w:basedOn w:val="719"/>
    <w:next w:val="719"/>
    <w:link w:val="719"/>
    <w:uiPriority w:val="39"/>
    <w:unhideWhenUsed/>
    <w:qFormat/>
    <w:pPr>
      <w:ind w:left="1134" w:right="0" w:firstLine="0"/>
      <w:spacing w:after="57"/>
    </w:pPr>
  </w:style>
  <w:style w:type="paragraph" w:styleId="745">
    <w:name w:val="目录 3"/>
    <w:basedOn w:val="719"/>
    <w:next w:val="719"/>
    <w:link w:val="719"/>
    <w:uiPriority w:val="39"/>
    <w:unhideWhenUsed/>
    <w:qFormat/>
    <w:pPr>
      <w:ind w:left="567" w:right="0" w:firstLine="0"/>
      <w:spacing w:after="57"/>
    </w:pPr>
  </w:style>
  <w:style w:type="paragraph" w:styleId="746">
    <w:name w:val="目录 8"/>
    <w:basedOn w:val="719"/>
    <w:next w:val="719"/>
    <w:link w:val="719"/>
    <w:uiPriority w:val="39"/>
    <w:unhideWhenUsed/>
    <w:qFormat/>
    <w:pPr>
      <w:ind w:left="1984" w:right="0" w:firstLine="0"/>
      <w:spacing w:after="57"/>
    </w:pPr>
  </w:style>
  <w:style w:type="paragraph" w:styleId="747">
    <w:name w:val="尾注文本"/>
    <w:basedOn w:val="719"/>
    <w:next w:val="747"/>
    <w:link w:val="748"/>
    <w:uiPriority w:val="99"/>
    <w:unhideWhenUsed/>
    <w:qFormat/>
    <w:pPr>
      <w:spacing w:after="0" w:line="240" w:lineRule="auto"/>
    </w:pPr>
    <w:rPr>
      <w:sz w:val="20"/>
    </w:rPr>
  </w:style>
  <w:style w:type="character" w:styleId="748">
    <w:name w:val="Endnote Text Char"/>
    <w:next w:val="748"/>
    <w:link w:val="747"/>
    <w:uiPriority w:val="99"/>
    <w:qFormat/>
    <w:rPr>
      <w:sz w:val="20"/>
    </w:rPr>
  </w:style>
  <w:style w:type="paragraph" w:styleId="749">
    <w:name w:val="页脚"/>
    <w:basedOn w:val="719"/>
    <w:next w:val="749"/>
    <w:link w:val="750"/>
    <w:uiPriority w:val="99"/>
    <w:unhideWhenUsed/>
    <w:qFormat/>
    <w:pPr>
      <w:spacing w:after="0" w:line="240" w:lineRule="auto"/>
      <w:tabs>
        <w:tab w:val="center" w:pos="7143" w:leader="none"/>
        <w:tab w:val="right" w:pos="14287" w:leader="none"/>
      </w:tabs>
    </w:pPr>
  </w:style>
  <w:style w:type="character" w:styleId="750">
    <w:name w:val="Caption Char"/>
    <w:next w:val="750"/>
    <w:link w:val="749"/>
    <w:uiPriority w:val="99"/>
    <w:qFormat/>
  </w:style>
  <w:style w:type="paragraph" w:styleId="751">
    <w:name w:val="页眉"/>
    <w:basedOn w:val="719"/>
    <w:next w:val="751"/>
    <w:link w:val="752"/>
    <w:uiPriority w:val="99"/>
    <w:unhideWhenUsed/>
    <w:qFormat/>
    <w:pPr>
      <w:spacing w:after="0" w:line="240" w:lineRule="auto"/>
      <w:tabs>
        <w:tab w:val="center" w:pos="7143" w:leader="none"/>
        <w:tab w:val="right" w:pos="14287" w:leader="none"/>
      </w:tabs>
    </w:pPr>
  </w:style>
  <w:style w:type="character" w:styleId="752">
    <w:name w:val="Header Char"/>
    <w:next w:val="752"/>
    <w:link w:val="751"/>
    <w:uiPriority w:val="99"/>
    <w:qFormat/>
  </w:style>
  <w:style w:type="paragraph" w:styleId="753">
    <w:name w:val="目录 1"/>
    <w:basedOn w:val="719"/>
    <w:next w:val="719"/>
    <w:link w:val="719"/>
    <w:uiPriority w:val="39"/>
    <w:unhideWhenUsed/>
    <w:qFormat/>
    <w:pPr>
      <w:ind w:left="0" w:right="0" w:firstLine="0"/>
      <w:spacing w:after="57"/>
    </w:pPr>
  </w:style>
  <w:style w:type="paragraph" w:styleId="754">
    <w:name w:val="目录 4"/>
    <w:basedOn w:val="719"/>
    <w:next w:val="719"/>
    <w:link w:val="719"/>
    <w:uiPriority w:val="39"/>
    <w:unhideWhenUsed/>
    <w:qFormat/>
    <w:pPr>
      <w:ind w:left="850" w:right="0" w:firstLine="0"/>
      <w:spacing w:after="57"/>
    </w:pPr>
  </w:style>
  <w:style w:type="paragraph" w:styleId="755">
    <w:name w:val="副标题"/>
    <w:basedOn w:val="719"/>
    <w:next w:val="719"/>
    <w:link w:val="756"/>
    <w:uiPriority w:val="11"/>
    <w:qFormat/>
    <w:pPr>
      <w:spacing w:before="200" w:after="200"/>
    </w:pPr>
    <w:rPr>
      <w:sz w:val="24"/>
      <w:szCs w:val="24"/>
    </w:rPr>
  </w:style>
  <w:style w:type="character" w:styleId="756">
    <w:name w:val="Subtitle Char"/>
    <w:next w:val="756"/>
    <w:link w:val="755"/>
    <w:uiPriority w:val="11"/>
    <w:qFormat/>
    <w:rPr>
      <w:sz w:val="24"/>
      <w:szCs w:val="24"/>
    </w:rPr>
  </w:style>
  <w:style w:type="paragraph" w:styleId="757">
    <w:name w:val="脚注文本"/>
    <w:basedOn w:val="719"/>
    <w:next w:val="757"/>
    <w:link w:val="758"/>
    <w:uiPriority w:val="99"/>
    <w:unhideWhenUsed/>
    <w:qFormat/>
    <w:pPr>
      <w:spacing w:after="40" w:line="240" w:lineRule="auto"/>
    </w:pPr>
    <w:rPr>
      <w:sz w:val="18"/>
    </w:rPr>
  </w:style>
  <w:style w:type="character" w:styleId="758">
    <w:name w:val="Footnote Text Char"/>
    <w:next w:val="758"/>
    <w:link w:val="757"/>
    <w:uiPriority w:val="99"/>
    <w:qFormat/>
    <w:rPr>
      <w:sz w:val="18"/>
    </w:rPr>
  </w:style>
  <w:style w:type="paragraph" w:styleId="759">
    <w:name w:val="目录 6"/>
    <w:basedOn w:val="719"/>
    <w:next w:val="719"/>
    <w:link w:val="719"/>
    <w:uiPriority w:val="39"/>
    <w:unhideWhenUsed/>
    <w:qFormat/>
    <w:pPr>
      <w:ind w:left="1417" w:right="0" w:firstLine="0"/>
      <w:spacing w:after="57"/>
    </w:pPr>
  </w:style>
  <w:style w:type="paragraph" w:styleId="760">
    <w:name w:val="图表目录"/>
    <w:basedOn w:val="719"/>
    <w:next w:val="719"/>
    <w:link w:val="719"/>
    <w:uiPriority w:val="99"/>
    <w:unhideWhenUsed/>
    <w:qFormat/>
    <w:pPr>
      <w:spacing w:after="0" w:afterAutospacing="0"/>
    </w:pPr>
  </w:style>
  <w:style w:type="paragraph" w:styleId="761">
    <w:name w:val="目录 2"/>
    <w:basedOn w:val="719"/>
    <w:next w:val="719"/>
    <w:link w:val="719"/>
    <w:uiPriority w:val="39"/>
    <w:unhideWhenUsed/>
    <w:qFormat/>
    <w:pPr>
      <w:ind w:left="283" w:right="0" w:firstLine="0"/>
      <w:spacing w:after="57"/>
    </w:pPr>
  </w:style>
  <w:style w:type="paragraph" w:styleId="762">
    <w:name w:val="目录 9"/>
    <w:basedOn w:val="719"/>
    <w:next w:val="719"/>
    <w:link w:val="719"/>
    <w:uiPriority w:val="39"/>
    <w:unhideWhenUsed/>
    <w:qFormat/>
    <w:pPr>
      <w:ind w:left="2268" w:right="0" w:firstLine="0"/>
      <w:spacing w:after="57"/>
    </w:pPr>
  </w:style>
  <w:style w:type="paragraph" w:styleId="763">
    <w:name w:val="标题"/>
    <w:basedOn w:val="719"/>
    <w:next w:val="719"/>
    <w:link w:val="764"/>
    <w:uiPriority w:val="10"/>
    <w:qFormat/>
    <w:pPr>
      <w:contextualSpacing/>
      <w:spacing w:before="300" w:after="200"/>
    </w:pPr>
    <w:rPr>
      <w:sz w:val="48"/>
      <w:szCs w:val="48"/>
    </w:rPr>
  </w:style>
  <w:style w:type="character" w:styleId="764">
    <w:name w:val="Title Char"/>
    <w:next w:val="764"/>
    <w:link w:val="763"/>
    <w:uiPriority w:val="10"/>
    <w:qFormat/>
    <w:rPr>
      <w:sz w:val="48"/>
      <w:szCs w:val="48"/>
    </w:rPr>
  </w:style>
  <w:style w:type="table" w:styleId="765">
    <w:name w:val="网格型"/>
    <w:next w:val="765"/>
    <w:link w:val="719"/>
    <w:uiPriority w:val="59"/>
    <w:qFormat/>
    <w:pPr>
      <w:spacing w:after="0" w:line="240" w:lineRule="auto"/>
    </w:pPr>
    <w:tblPr/>
  </w:style>
  <w:style w:type="character" w:styleId="766">
    <w:name w:val="要点"/>
    <w:basedOn w:val="729"/>
    <w:next w:val="766"/>
    <w:link w:val="719"/>
    <w:uiPriority w:val="22"/>
    <w:qFormat/>
    <w:rPr>
      <w:b/>
    </w:rPr>
  </w:style>
  <w:style w:type="character" w:styleId="767">
    <w:name w:val="尾注引用"/>
    <w:next w:val="767"/>
    <w:link w:val="719"/>
    <w:uiPriority w:val="99"/>
    <w:unhideWhenUsed/>
    <w:qFormat/>
    <w:rPr>
      <w:vertAlign w:val="superscript"/>
    </w:rPr>
  </w:style>
  <w:style w:type="character" w:styleId="768">
    <w:name w:val="超链接"/>
    <w:next w:val="768"/>
    <w:link w:val="719"/>
    <w:uiPriority w:val="99"/>
    <w:unhideWhenUsed/>
    <w:qFormat/>
    <w:rPr>
      <w:color w:val="0000ff"/>
      <w:u w:val="single"/>
    </w:rPr>
  </w:style>
  <w:style w:type="character" w:styleId="769">
    <w:name w:val="脚注引用"/>
    <w:next w:val="769"/>
    <w:link w:val="719"/>
    <w:uiPriority w:val="99"/>
    <w:unhideWhenUsed/>
    <w:qFormat/>
    <w:rPr>
      <w:vertAlign w:val="superscript"/>
    </w:rPr>
  </w:style>
  <w:style w:type="character" w:styleId="770">
    <w:name w:val="Footer Char"/>
    <w:next w:val="770"/>
    <w:link w:val="749"/>
    <w:uiPriority w:val="99"/>
    <w:qFormat/>
  </w:style>
  <w:style w:type="character" w:styleId="771">
    <w:name w:val="标题 3 Char"/>
    <w:next w:val="771"/>
    <w:link w:val="772"/>
    <w:qFormat/>
    <w:rPr>
      <w:rFonts w:ascii="Times New Roman" w:hAnsi="Times New Roman" w:eastAsia="宋体" w:cs="Times New Roman"/>
      <w:b/>
      <w:bCs/>
      <w:sz w:val="32"/>
      <w:szCs w:val="32"/>
    </w:rPr>
  </w:style>
  <w:style w:type="paragraph" w:styleId="772">
    <w:name w:val="标题 31"/>
    <w:basedOn w:val="719"/>
    <w:next w:val="773"/>
    <w:link w:val="771"/>
    <w:qFormat/>
    <w:pPr>
      <w:keepLines/>
      <w:keepNext/>
      <w:spacing w:before="260" w:after="260" w:line="416" w:lineRule="auto"/>
      <w:outlineLvl w:val="2"/>
    </w:pPr>
    <w:rPr>
      <w:b/>
      <w:bCs/>
      <w:sz w:val="32"/>
      <w:szCs w:val="32"/>
    </w:rPr>
  </w:style>
  <w:style w:type="paragraph" w:styleId="773">
    <w:name w:val="正文缩进11"/>
    <w:basedOn w:val="719"/>
    <w:next w:val="773"/>
    <w:link w:val="774"/>
    <w:qFormat/>
    <w:pPr>
      <w:ind w:firstLine="420"/>
    </w:pPr>
    <w:rPr>
      <w:sz w:val="20"/>
    </w:rPr>
  </w:style>
  <w:style w:type="character" w:styleId="774">
    <w:name w:val="正文缩进 Char"/>
    <w:next w:val="774"/>
    <w:link w:val="773"/>
    <w:qFormat/>
    <w:rPr>
      <w:rFonts w:ascii="Times New Roman" w:hAnsi="Times New Roman" w:eastAsia="宋体" w:cs="Times New Roman"/>
      <w:szCs w:val="21"/>
    </w:rPr>
  </w:style>
  <w:style w:type="character" w:styleId="775">
    <w:name w:val="标题 1 Char"/>
    <w:next w:val="775"/>
    <w:link w:val="776"/>
    <w:uiPriority w:val="9"/>
    <w:qFormat/>
    <w:rPr>
      <w:rFonts w:ascii="楷体_GB2312" w:hAnsi="Times New Roman" w:eastAsia="楷体_GB2312" w:cs="Times New Roman"/>
      <w:sz w:val="28"/>
      <w:szCs w:val="28"/>
    </w:rPr>
  </w:style>
  <w:style w:type="paragraph" w:styleId="776">
    <w:name w:val="标题 11"/>
    <w:basedOn w:val="719"/>
    <w:next w:val="719"/>
    <w:link w:val="775"/>
    <w:uiPriority w:val="9"/>
    <w:qFormat/>
    <w:pPr>
      <w:jc w:val="center"/>
      <w:keepNext/>
      <w:outlineLvl w:val="0"/>
    </w:pPr>
    <w:rPr>
      <w:rFonts w:ascii="楷体_GB2312" w:eastAsia="楷体_GB2312"/>
      <w:sz w:val="28"/>
      <w:szCs w:val="28"/>
    </w:rPr>
  </w:style>
  <w:style w:type="character" w:styleId="777">
    <w:name w:val="font281"/>
    <w:next w:val="777"/>
    <w:link w:val="719"/>
    <w:qFormat/>
    <w:rPr>
      <w:rFonts w:ascii="Times New Roman" w:hAnsi="Times New Roman" w:eastAsia="宋体" w:cs="Times New Roman"/>
      <w:sz w:val="21"/>
      <w:szCs w:val="21"/>
      <w:lang w:val="en-US" w:eastAsia="zh-CN" w:bidi="ar-SA"/>
    </w:rPr>
  </w:style>
  <w:style w:type="paragraph" w:styleId="778">
    <w:name w:val="List Paragraph"/>
    <w:basedOn w:val="719"/>
    <w:next w:val="778"/>
    <w:link w:val="719"/>
    <w:uiPriority w:val="34"/>
    <w:qFormat/>
    <w:pPr>
      <w:contextualSpacing/>
      <w:ind w:left="720"/>
    </w:pPr>
  </w:style>
  <w:style w:type="paragraph" w:styleId="779">
    <w:name w:val="No Spacing"/>
    <w:next w:val="779"/>
    <w:link w:val="719"/>
    <w:uiPriority w:val="1"/>
    <w:qFormat/>
    <w:pPr>
      <w:spacing w:before="0" w:after="0" w:line="240" w:lineRule="auto"/>
    </w:pPr>
    <w:rPr>
      <w:rFonts w:ascii="Times New Roman" w:hAnsi="Times New Roman" w:eastAsia="宋体" w:cs="Times New Roman"/>
    </w:rPr>
  </w:style>
  <w:style w:type="paragraph" w:styleId="780">
    <w:name w:val="Quote"/>
    <w:basedOn w:val="719"/>
    <w:next w:val="719"/>
    <w:link w:val="781"/>
    <w:uiPriority w:val="29"/>
    <w:qFormat/>
    <w:pPr>
      <w:ind w:left="720" w:right="720"/>
    </w:pPr>
    <w:rPr>
      <w:i/>
    </w:rPr>
  </w:style>
  <w:style w:type="character" w:styleId="781">
    <w:name w:val="Quote Char"/>
    <w:next w:val="781"/>
    <w:link w:val="780"/>
    <w:uiPriority w:val="29"/>
    <w:qFormat/>
    <w:rPr>
      <w:i/>
    </w:rPr>
  </w:style>
  <w:style w:type="character" w:styleId="782">
    <w:name w:val="Intense Quote Char"/>
    <w:next w:val="782"/>
    <w:link w:val="719"/>
    <w:uiPriority w:val="30"/>
    <w:qFormat/>
    <w:rPr>
      <w:i/>
    </w:rPr>
  </w:style>
  <w:style w:type="table" w:styleId="783">
    <w:name w:val="Table Grid Light"/>
    <w:next w:val="783"/>
    <w:link w:val="719"/>
    <w:uiPriority w:val="59"/>
    <w:qFormat/>
    <w:pPr>
      <w:spacing w:after="0" w:line="240" w:lineRule="auto"/>
    </w:pPr>
    <w:tblPr/>
  </w:style>
  <w:style w:type="table" w:styleId="784">
    <w:name w:val="Plain Table 1"/>
    <w:next w:val="784"/>
    <w:link w:val="719"/>
    <w:uiPriority w:val="59"/>
    <w:qFormat/>
    <w:pPr>
      <w:spacing w:after="0" w:line="240" w:lineRule="auto"/>
    </w:pPr>
    <w:tblPr/>
  </w:style>
  <w:style w:type="table" w:styleId="785">
    <w:name w:val="Plain Table 2"/>
    <w:next w:val="785"/>
    <w:link w:val="719"/>
    <w:uiPriority w:val="59"/>
    <w:qFormat/>
    <w:pPr>
      <w:spacing w:after="0" w:line="240" w:lineRule="auto"/>
    </w:pPr>
    <w:tblPr/>
  </w:style>
  <w:style w:type="table" w:styleId="786">
    <w:name w:val="Plain Table 3"/>
    <w:next w:val="786"/>
    <w:link w:val="719"/>
    <w:uiPriority w:val="99"/>
    <w:qFormat/>
    <w:pPr>
      <w:spacing w:after="0" w:line="240" w:lineRule="auto"/>
    </w:pPr>
    <w:tblPr/>
  </w:style>
  <w:style w:type="table" w:styleId="787">
    <w:name w:val="Plain Table 4"/>
    <w:next w:val="787"/>
    <w:link w:val="719"/>
    <w:uiPriority w:val="99"/>
    <w:qFormat/>
    <w:pPr>
      <w:spacing w:after="0" w:line="240" w:lineRule="auto"/>
    </w:pPr>
    <w:tblPr/>
  </w:style>
  <w:style w:type="table" w:styleId="788">
    <w:name w:val="Plain Table 5"/>
    <w:next w:val="788"/>
    <w:link w:val="719"/>
    <w:uiPriority w:val="99"/>
    <w:qFormat/>
    <w:pPr>
      <w:spacing w:after="0" w:line="240" w:lineRule="auto"/>
    </w:pPr>
    <w:tblPr/>
  </w:style>
  <w:style w:type="table" w:styleId="789">
    <w:name w:val="Grid Table 1 Light"/>
    <w:next w:val="789"/>
    <w:link w:val="719"/>
    <w:uiPriority w:val="99"/>
    <w:qFormat/>
    <w:pPr>
      <w:spacing w:after="0" w:line="240" w:lineRule="auto"/>
    </w:pPr>
    <w:tblPr/>
  </w:style>
  <w:style w:type="table" w:styleId="790">
    <w:name w:val="Grid Table 1 Light - Accent 1"/>
    <w:next w:val="790"/>
    <w:link w:val="719"/>
    <w:uiPriority w:val="99"/>
    <w:qFormat/>
    <w:pPr>
      <w:spacing w:after="0" w:line="240" w:lineRule="auto"/>
    </w:pPr>
    <w:tblPr/>
  </w:style>
  <w:style w:type="table" w:styleId="791">
    <w:name w:val="Grid Table 1 Light - Accent 2"/>
    <w:next w:val="791"/>
    <w:link w:val="719"/>
    <w:uiPriority w:val="99"/>
    <w:qFormat/>
    <w:pPr>
      <w:spacing w:after="0" w:line="240" w:lineRule="auto"/>
    </w:pPr>
    <w:tblPr/>
  </w:style>
  <w:style w:type="table" w:styleId="792">
    <w:name w:val="Grid Table 1 Light - Accent 3"/>
    <w:next w:val="792"/>
    <w:link w:val="719"/>
    <w:uiPriority w:val="99"/>
    <w:qFormat/>
    <w:pPr>
      <w:spacing w:after="0" w:line="240" w:lineRule="auto"/>
    </w:pPr>
    <w:tblPr/>
  </w:style>
  <w:style w:type="table" w:styleId="793">
    <w:name w:val="Grid Table 1 Light - Accent 4"/>
    <w:next w:val="793"/>
    <w:link w:val="719"/>
    <w:uiPriority w:val="99"/>
    <w:qFormat/>
    <w:pPr>
      <w:spacing w:after="0" w:line="240" w:lineRule="auto"/>
    </w:pPr>
    <w:tblPr/>
  </w:style>
  <w:style w:type="table" w:styleId="794">
    <w:name w:val="Grid Table 1 Light - Accent 5"/>
    <w:next w:val="794"/>
    <w:link w:val="719"/>
    <w:uiPriority w:val="99"/>
    <w:qFormat/>
    <w:pPr>
      <w:spacing w:after="0" w:line="240" w:lineRule="auto"/>
    </w:pPr>
    <w:tblPr/>
  </w:style>
  <w:style w:type="table" w:styleId="795">
    <w:name w:val="Grid Table 1 Light - Accent 6"/>
    <w:next w:val="795"/>
    <w:link w:val="719"/>
    <w:uiPriority w:val="99"/>
    <w:qFormat/>
    <w:pPr>
      <w:spacing w:after="0" w:line="240" w:lineRule="auto"/>
    </w:pPr>
    <w:tblPr/>
  </w:style>
  <w:style w:type="table" w:styleId="796">
    <w:name w:val="Grid Table 2"/>
    <w:next w:val="796"/>
    <w:link w:val="719"/>
    <w:uiPriority w:val="99"/>
    <w:qFormat/>
    <w:pPr>
      <w:spacing w:after="0" w:line="240" w:lineRule="auto"/>
    </w:pPr>
    <w:tblPr/>
  </w:style>
  <w:style w:type="table" w:styleId="797">
    <w:name w:val="Grid Table 2 - Accent 1"/>
    <w:next w:val="797"/>
    <w:link w:val="719"/>
    <w:uiPriority w:val="99"/>
    <w:qFormat/>
    <w:pPr>
      <w:spacing w:after="0" w:line="240" w:lineRule="auto"/>
    </w:pPr>
    <w:tblPr/>
  </w:style>
  <w:style w:type="table" w:styleId="798">
    <w:name w:val="Grid Table 2 - Accent 2"/>
    <w:next w:val="798"/>
    <w:link w:val="719"/>
    <w:uiPriority w:val="99"/>
    <w:qFormat/>
    <w:pPr>
      <w:spacing w:after="0" w:line="240" w:lineRule="auto"/>
    </w:pPr>
    <w:tblPr/>
  </w:style>
  <w:style w:type="table" w:styleId="799">
    <w:name w:val="Grid Table 2 - Accent 3"/>
    <w:next w:val="799"/>
    <w:link w:val="719"/>
    <w:uiPriority w:val="99"/>
    <w:qFormat/>
    <w:pPr>
      <w:spacing w:after="0" w:line="240" w:lineRule="auto"/>
    </w:pPr>
    <w:tblPr/>
  </w:style>
  <w:style w:type="table" w:styleId="800">
    <w:name w:val="Grid Table 2 - Accent 4"/>
    <w:next w:val="800"/>
    <w:link w:val="719"/>
    <w:uiPriority w:val="99"/>
    <w:qFormat/>
    <w:pPr>
      <w:spacing w:after="0" w:line="240" w:lineRule="auto"/>
    </w:pPr>
    <w:tblPr/>
  </w:style>
  <w:style w:type="table" w:styleId="801">
    <w:name w:val="Grid Table 2 - Accent 5"/>
    <w:next w:val="801"/>
    <w:link w:val="719"/>
    <w:uiPriority w:val="99"/>
    <w:qFormat/>
    <w:pPr>
      <w:spacing w:after="0" w:line="240" w:lineRule="auto"/>
    </w:pPr>
    <w:tblPr/>
  </w:style>
  <w:style w:type="table" w:styleId="802">
    <w:name w:val="Grid Table 2 - Accent 6"/>
    <w:next w:val="802"/>
    <w:link w:val="719"/>
    <w:uiPriority w:val="99"/>
    <w:qFormat/>
    <w:pPr>
      <w:spacing w:after="0" w:line="240" w:lineRule="auto"/>
    </w:pPr>
    <w:tblPr/>
  </w:style>
  <w:style w:type="table" w:styleId="803">
    <w:name w:val="Grid Table 3"/>
    <w:next w:val="803"/>
    <w:link w:val="719"/>
    <w:uiPriority w:val="99"/>
    <w:qFormat/>
    <w:pPr>
      <w:spacing w:after="0" w:line="240" w:lineRule="auto"/>
    </w:pPr>
    <w:tblPr/>
  </w:style>
  <w:style w:type="table" w:styleId="804">
    <w:name w:val="Grid Table 3 - Accent 1"/>
    <w:next w:val="804"/>
    <w:link w:val="719"/>
    <w:uiPriority w:val="99"/>
    <w:qFormat/>
    <w:pPr>
      <w:spacing w:after="0" w:line="240" w:lineRule="auto"/>
    </w:pPr>
    <w:tblPr/>
  </w:style>
  <w:style w:type="table" w:styleId="805">
    <w:name w:val="Grid Table 3 - Accent 2"/>
    <w:next w:val="805"/>
    <w:link w:val="719"/>
    <w:uiPriority w:val="99"/>
    <w:qFormat/>
    <w:pPr>
      <w:spacing w:after="0" w:line="240" w:lineRule="auto"/>
    </w:pPr>
    <w:tblPr/>
  </w:style>
  <w:style w:type="table" w:styleId="806">
    <w:name w:val="Grid Table 3 - Accent 3"/>
    <w:next w:val="806"/>
    <w:link w:val="719"/>
    <w:uiPriority w:val="99"/>
    <w:qFormat/>
    <w:pPr>
      <w:spacing w:after="0" w:line="240" w:lineRule="auto"/>
    </w:pPr>
    <w:tblPr/>
  </w:style>
  <w:style w:type="table" w:styleId="807">
    <w:name w:val="Grid Table 3 - Accent 4"/>
    <w:next w:val="807"/>
    <w:link w:val="719"/>
    <w:uiPriority w:val="99"/>
    <w:qFormat/>
    <w:pPr>
      <w:spacing w:after="0" w:line="240" w:lineRule="auto"/>
    </w:pPr>
    <w:tblPr/>
  </w:style>
  <w:style w:type="table" w:styleId="808">
    <w:name w:val="Grid Table 3 - Accent 5"/>
    <w:next w:val="808"/>
    <w:link w:val="719"/>
    <w:uiPriority w:val="99"/>
    <w:qFormat/>
    <w:pPr>
      <w:spacing w:after="0" w:line="240" w:lineRule="auto"/>
    </w:pPr>
    <w:tblPr/>
  </w:style>
  <w:style w:type="table" w:styleId="809">
    <w:name w:val="Grid Table 3 - Accent 6"/>
    <w:next w:val="809"/>
    <w:link w:val="719"/>
    <w:uiPriority w:val="99"/>
    <w:qFormat/>
    <w:pPr>
      <w:spacing w:after="0" w:line="240" w:lineRule="auto"/>
    </w:pPr>
    <w:tblPr/>
  </w:style>
  <w:style w:type="table" w:styleId="810">
    <w:name w:val="Grid Table 4"/>
    <w:next w:val="810"/>
    <w:link w:val="719"/>
    <w:uiPriority w:val="59"/>
    <w:qFormat/>
    <w:pPr>
      <w:spacing w:after="0" w:line="240" w:lineRule="auto"/>
    </w:pPr>
    <w:tblPr/>
  </w:style>
  <w:style w:type="table" w:styleId="811">
    <w:name w:val="Grid Table 4 - Accent 1"/>
    <w:next w:val="811"/>
    <w:link w:val="719"/>
    <w:uiPriority w:val="59"/>
    <w:qFormat/>
    <w:pPr>
      <w:spacing w:after="0" w:line="240" w:lineRule="auto"/>
    </w:pPr>
    <w:tblPr/>
  </w:style>
  <w:style w:type="table" w:styleId="812">
    <w:name w:val="Grid Table 4 - Accent 2"/>
    <w:next w:val="812"/>
    <w:link w:val="719"/>
    <w:uiPriority w:val="59"/>
    <w:qFormat/>
    <w:pPr>
      <w:spacing w:after="0" w:line="240" w:lineRule="auto"/>
    </w:pPr>
    <w:tblPr/>
  </w:style>
  <w:style w:type="table" w:styleId="813">
    <w:name w:val="Grid Table 4 - Accent 3"/>
    <w:next w:val="813"/>
    <w:link w:val="719"/>
    <w:uiPriority w:val="59"/>
    <w:qFormat/>
    <w:pPr>
      <w:spacing w:after="0" w:line="240" w:lineRule="auto"/>
    </w:pPr>
    <w:tblPr/>
  </w:style>
  <w:style w:type="table" w:styleId="814">
    <w:name w:val="Grid Table 4 - Accent 4"/>
    <w:next w:val="814"/>
    <w:link w:val="719"/>
    <w:uiPriority w:val="59"/>
    <w:qFormat/>
    <w:pPr>
      <w:spacing w:after="0" w:line="240" w:lineRule="auto"/>
    </w:pPr>
    <w:tblPr/>
  </w:style>
  <w:style w:type="table" w:styleId="815">
    <w:name w:val="Grid Table 4 - Accent 5"/>
    <w:next w:val="815"/>
    <w:link w:val="719"/>
    <w:uiPriority w:val="59"/>
    <w:qFormat/>
    <w:pPr>
      <w:spacing w:after="0" w:line="240" w:lineRule="auto"/>
    </w:pPr>
    <w:tblPr/>
  </w:style>
  <w:style w:type="table" w:styleId="816">
    <w:name w:val="Grid Table 4 - Accent 6"/>
    <w:next w:val="816"/>
    <w:link w:val="719"/>
    <w:uiPriority w:val="59"/>
    <w:qFormat/>
    <w:pPr>
      <w:spacing w:after="0" w:line="240" w:lineRule="auto"/>
    </w:pPr>
    <w:tblPr/>
  </w:style>
  <w:style w:type="table" w:styleId="817">
    <w:name w:val="Grid Table 5 Dark"/>
    <w:next w:val="817"/>
    <w:link w:val="719"/>
    <w:uiPriority w:val="99"/>
    <w:qFormat/>
    <w:pPr>
      <w:spacing w:after="0" w:line="240" w:lineRule="auto"/>
    </w:pPr>
    <w:tblPr/>
  </w:style>
  <w:style w:type="table" w:styleId="818">
    <w:name w:val="Grid Table 5 Dark- Accent 1"/>
    <w:next w:val="818"/>
    <w:link w:val="719"/>
    <w:uiPriority w:val="99"/>
    <w:qFormat/>
    <w:pPr>
      <w:spacing w:after="0" w:line="240" w:lineRule="auto"/>
    </w:pPr>
    <w:tblPr/>
  </w:style>
  <w:style w:type="table" w:styleId="819">
    <w:name w:val="Grid Table 5 Dark - Accent 2"/>
    <w:next w:val="819"/>
    <w:link w:val="719"/>
    <w:uiPriority w:val="99"/>
    <w:qFormat/>
    <w:pPr>
      <w:spacing w:after="0" w:line="240" w:lineRule="auto"/>
    </w:pPr>
    <w:tblPr/>
  </w:style>
  <w:style w:type="table" w:styleId="820">
    <w:name w:val="Grid Table 5 Dark - Accent 3"/>
    <w:next w:val="820"/>
    <w:link w:val="719"/>
    <w:uiPriority w:val="99"/>
    <w:qFormat/>
    <w:pPr>
      <w:spacing w:after="0" w:line="240" w:lineRule="auto"/>
    </w:pPr>
    <w:tblPr/>
  </w:style>
  <w:style w:type="table" w:styleId="821">
    <w:name w:val="Grid Table 5 Dark- Accent 4"/>
    <w:next w:val="821"/>
    <w:link w:val="719"/>
    <w:uiPriority w:val="99"/>
    <w:qFormat/>
    <w:pPr>
      <w:spacing w:after="0" w:line="240" w:lineRule="auto"/>
    </w:pPr>
    <w:tblPr/>
  </w:style>
  <w:style w:type="table" w:styleId="822">
    <w:name w:val="Grid Table 5 Dark - Accent 5"/>
    <w:next w:val="822"/>
    <w:link w:val="719"/>
    <w:uiPriority w:val="99"/>
    <w:qFormat/>
    <w:pPr>
      <w:spacing w:after="0" w:line="240" w:lineRule="auto"/>
    </w:pPr>
    <w:tblPr/>
  </w:style>
  <w:style w:type="table" w:styleId="823">
    <w:name w:val="Grid Table 5 Dark - Accent 6"/>
    <w:next w:val="823"/>
    <w:link w:val="719"/>
    <w:uiPriority w:val="99"/>
    <w:qFormat/>
    <w:pPr>
      <w:spacing w:after="0" w:line="240" w:lineRule="auto"/>
    </w:pPr>
    <w:tblPr/>
  </w:style>
  <w:style w:type="table" w:styleId="824">
    <w:name w:val="Grid Table 6 Colorful"/>
    <w:next w:val="824"/>
    <w:link w:val="719"/>
    <w:uiPriority w:val="99"/>
    <w:qFormat/>
    <w:pPr>
      <w:spacing w:after="0" w:line="240" w:lineRule="auto"/>
    </w:pPr>
    <w:tblPr/>
  </w:style>
  <w:style w:type="table" w:styleId="825">
    <w:name w:val="Grid Table 6 Colorful - Accent 1"/>
    <w:next w:val="825"/>
    <w:link w:val="719"/>
    <w:uiPriority w:val="99"/>
    <w:qFormat/>
    <w:pPr>
      <w:spacing w:after="0" w:line="240" w:lineRule="auto"/>
    </w:pPr>
    <w:tblPr/>
  </w:style>
  <w:style w:type="table" w:styleId="826">
    <w:name w:val="Grid Table 6 Colorful - Accent 2"/>
    <w:next w:val="826"/>
    <w:link w:val="719"/>
    <w:uiPriority w:val="99"/>
    <w:qFormat/>
    <w:pPr>
      <w:spacing w:after="0" w:line="240" w:lineRule="auto"/>
    </w:pPr>
    <w:tblPr/>
  </w:style>
  <w:style w:type="table" w:styleId="827">
    <w:name w:val="Grid Table 6 Colorful - Accent 3"/>
    <w:next w:val="827"/>
    <w:link w:val="719"/>
    <w:uiPriority w:val="99"/>
    <w:qFormat/>
    <w:pPr>
      <w:spacing w:after="0" w:line="240" w:lineRule="auto"/>
    </w:pPr>
    <w:tblPr/>
  </w:style>
  <w:style w:type="table" w:styleId="828">
    <w:name w:val="Grid Table 6 Colorful - Accent 4"/>
    <w:next w:val="828"/>
    <w:link w:val="719"/>
    <w:uiPriority w:val="99"/>
    <w:qFormat/>
    <w:pPr>
      <w:spacing w:after="0" w:line="240" w:lineRule="auto"/>
    </w:pPr>
    <w:tblPr/>
  </w:style>
  <w:style w:type="table" w:styleId="829">
    <w:name w:val="Grid Table 6 Colorful - Accent 5"/>
    <w:next w:val="829"/>
    <w:link w:val="719"/>
    <w:uiPriority w:val="99"/>
    <w:qFormat/>
    <w:pPr>
      <w:spacing w:after="0" w:line="240" w:lineRule="auto"/>
    </w:pPr>
    <w:tblPr/>
  </w:style>
  <w:style w:type="table" w:styleId="830">
    <w:name w:val="Grid Table 6 Colorful - Accent 6"/>
    <w:next w:val="830"/>
    <w:link w:val="719"/>
    <w:uiPriority w:val="99"/>
    <w:qFormat/>
    <w:pPr>
      <w:spacing w:after="0" w:line="240" w:lineRule="auto"/>
    </w:pPr>
    <w:tblPr/>
  </w:style>
  <w:style w:type="table" w:styleId="831">
    <w:name w:val="Grid Table 7 Colorful"/>
    <w:next w:val="831"/>
    <w:link w:val="719"/>
    <w:uiPriority w:val="99"/>
    <w:qFormat/>
    <w:pPr>
      <w:spacing w:after="0" w:line="240" w:lineRule="auto"/>
    </w:pPr>
    <w:tblPr/>
  </w:style>
  <w:style w:type="table" w:styleId="832">
    <w:name w:val="Grid Table 7 Colorful - Accent 1"/>
    <w:next w:val="832"/>
    <w:link w:val="719"/>
    <w:uiPriority w:val="99"/>
    <w:qFormat/>
    <w:pPr>
      <w:spacing w:after="0" w:line="240" w:lineRule="auto"/>
    </w:pPr>
    <w:tblPr/>
  </w:style>
  <w:style w:type="table" w:styleId="833">
    <w:name w:val="Grid Table 7 Colorful - Accent 2"/>
    <w:next w:val="833"/>
    <w:link w:val="719"/>
    <w:uiPriority w:val="99"/>
    <w:qFormat/>
    <w:pPr>
      <w:spacing w:after="0" w:line="240" w:lineRule="auto"/>
    </w:pPr>
    <w:tblPr/>
  </w:style>
  <w:style w:type="table" w:styleId="834">
    <w:name w:val="Grid Table 7 Colorful - Accent 3"/>
    <w:next w:val="834"/>
    <w:link w:val="719"/>
    <w:uiPriority w:val="99"/>
    <w:qFormat/>
    <w:pPr>
      <w:spacing w:after="0" w:line="240" w:lineRule="auto"/>
    </w:pPr>
    <w:tblPr/>
  </w:style>
  <w:style w:type="table" w:styleId="835">
    <w:name w:val="Grid Table 7 Colorful - Accent 4"/>
    <w:next w:val="835"/>
    <w:link w:val="719"/>
    <w:uiPriority w:val="99"/>
    <w:qFormat/>
    <w:pPr>
      <w:spacing w:after="0" w:line="240" w:lineRule="auto"/>
    </w:pPr>
    <w:tblPr/>
  </w:style>
  <w:style w:type="table" w:styleId="836">
    <w:name w:val="Grid Table 7 Colorful - Accent 5"/>
    <w:next w:val="836"/>
    <w:link w:val="719"/>
    <w:uiPriority w:val="99"/>
    <w:qFormat/>
    <w:pPr>
      <w:spacing w:after="0" w:line="240" w:lineRule="auto"/>
    </w:pPr>
    <w:tblPr/>
  </w:style>
  <w:style w:type="table" w:styleId="837">
    <w:name w:val="Grid Table 7 Colorful - Accent 6"/>
    <w:next w:val="837"/>
    <w:link w:val="719"/>
    <w:uiPriority w:val="99"/>
    <w:qFormat/>
    <w:pPr>
      <w:spacing w:after="0" w:line="240" w:lineRule="auto"/>
    </w:pPr>
    <w:tblPr/>
  </w:style>
  <w:style w:type="table" w:styleId="838">
    <w:name w:val="List Table 1 Light"/>
    <w:next w:val="838"/>
    <w:link w:val="719"/>
    <w:uiPriority w:val="99"/>
    <w:qFormat/>
    <w:pPr>
      <w:spacing w:after="0" w:line="240" w:lineRule="auto"/>
    </w:pPr>
    <w:tblPr/>
  </w:style>
  <w:style w:type="table" w:styleId="839">
    <w:name w:val="List Table 1 Light - Accent 1"/>
    <w:next w:val="839"/>
    <w:link w:val="719"/>
    <w:uiPriority w:val="99"/>
    <w:qFormat/>
    <w:pPr>
      <w:spacing w:after="0" w:line="240" w:lineRule="auto"/>
    </w:pPr>
    <w:tblPr/>
  </w:style>
  <w:style w:type="table" w:styleId="840">
    <w:name w:val="List Table 1 Light - Accent 2"/>
    <w:next w:val="840"/>
    <w:link w:val="719"/>
    <w:uiPriority w:val="99"/>
    <w:qFormat/>
    <w:pPr>
      <w:spacing w:after="0" w:line="240" w:lineRule="auto"/>
    </w:pPr>
    <w:tblPr/>
  </w:style>
  <w:style w:type="table" w:styleId="841">
    <w:name w:val="List Table 1 Light - Accent 3"/>
    <w:next w:val="841"/>
    <w:link w:val="719"/>
    <w:uiPriority w:val="99"/>
    <w:qFormat/>
    <w:pPr>
      <w:spacing w:after="0" w:line="240" w:lineRule="auto"/>
    </w:pPr>
    <w:tblPr/>
  </w:style>
  <w:style w:type="table" w:styleId="842">
    <w:name w:val="List Table 1 Light - Accent 4"/>
    <w:next w:val="842"/>
    <w:link w:val="719"/>
    <w:uiPriority w:val="99"/>
    <w:qFormat/>
    <w:pPr>
      <w:spacing w:after="0" w:line="240" w:lineRule="auto"/>
    </w:pPr>
    <w:tblPr/>
  </w:style>
  <w:style w:type="table" w:styleId="843">
    <w:name w:val="List Table 1 Light - Accent 5"/>
    <w:next w:val="843"/>
    <w:link w:val="719"/>
    <w:uiPriority w:val="99"/>
    <w:qFormat/>
    <w:pPr>
      <w:spacing w:after="0" w:line="240" w:lineRule="auto"/>
    </w:pPr>
    <w:tblPr/>
  </w:style>
  <w:style w:type="table" w:styleId="844">
    <w:name w:val="List Table 1 Light - Accent 6"/>
    <w:next w:val="844"/>
    <w:link w:val="719"/>
    <w:uiPriority w:val="99"/>
    <w:qFormat/>
    <w:pPr>
      <w:spacing w:after="0" w:line="240" w:lineRule="auto"/>
    </w:pPr>
    <w:tblPr/>
  </w:style>
  <w:style w:type="table" w:styleId="845">
    <w:name w:val="List Table 2"/>
    <w:next w:val="845"/>
    <w:link w:val="719"/>
    <w:uiPriority w:val="99"/>
    <w:qFormat/>
    <w:pPr>
      <w:spacing w:after="0" w:line="240" w:lineRule="auto"/>
    </w:pPr>
    <w:tblPr/>
  </w:style>
  <w:style w:type="table" w:styleId="846">
    <w:name w:val="List Table 2 - Accent 1"/>
    <w:next w:val="846"/>
    <w:link w:val="719"/>
    <w:uiPriority w:val="99"/>
    <w:qFormat/>
    <w:pPr>
      <w:spacing w:after="0" w:line="240" w:lineRule="auto"/>
    </w:pPr>
    <w:tblPr/>
  </w:style>
  <w:style w:type="table" w:styleId="847">
    <w:name w:val="List Table 2 - Accent 2"/>
    <w:next w:val="847"/>
    <w:link w:val="719"/>
    <w:uiPriority w:val="99"/>
    <w:qFormat/>
    <w:pPr>
      <w:spacing w:after="0" w:line="240" w:lineRule="auto"/>
    </w:pPr>
    <w:tblPr/>
  </w:style>
  <w:style w:type="table" w:styleId="848">
    <w:name w:val="List Table 2 - Accent 3"/>
    <w:next w:val="848"/>
    <w:link w:val="719"/>
    <w:uiPriority w:val="99"/>
    <w:qFormat/>
    <w:pPr>
      <w:spacing w:after="0" w:line="240" w:lineRule="auto"/>
    </w:pPr>
    <w:tblPr/>
  </w:style>
  <w:style w:type="table" w:styleId="849">
    <w:name w:val="List Table 2 - Accent 4"/>
    <w:next w:val="849"/>
    <w:link w:val="719"/>
    <w:uiPriority w:val="99"/>
    <w:qFormat/>
    <w:pPr>
      <w:spacing w:after="0" w:line="240" w:lineRule="auto"/>
    </w:pPr>
    <w:tblPr/>
  </w:style>
  <w:style w:type="table" w:styleId="850">
    <w:name w:val="List Table 2 - Accent 5"/>
    <w:next w:val="850"/>
    <w:link w:val="719"/>
    <w:uiPriority w:val="99"/>
    <w:qFormat/>
    <w:pPr>
      <w:spacing w:after="0" w:line="240" w:lineRule="auto"/>
    </w:pPr>
    <w:tblPr/>
  </w:style>
  <w:style w:type="table" w:styleId="851">
    <w:name w:val="List Table 2 - Accent 6"/>
    <w:next w:val="851"/>
    <w:link w:val="719"/>
    <w:uiPriority w:val="99"/>
    <w:qFormat/>
    <w:pPr>
      <w:spacing w:after="0" w:line="240" w:lineRule="auto"/>
    </w:pPr>
    <w:tblPr/>
  </w:style>
  <w:style w:type="table" w:styleId="852">
    <w:name w:val="List Table 3"/>
    <w:next w:val="852"/>
    <w:link w:val="719"/>
    <w:uiPriority w:val="99"/>
    <w:qFormat/>
    <w:pPr>
      <w:spacing w:after="0" w:line="240" w:lineRule="auto"/>
    </w:pPr>
    <w:tblPr/>
  </w:style>
  <w:style w:type="table" w:styleId="853">
    <w:name w:val="List Table 3 - Accent 1"/>
    <w:next w:val="853"/>
    <w:link w:val="719"/>
    <w:uiPriority w:val="99"/>
    <w:qFormat/>
    <w:pPr>
      <w:spacing w:after="0" w:line="240" w:lineRule="auto"/>
    </w:pPr>
    <w:tblPr/>
  </w:style>
  <w:style w:type="table" w:styleId="854">
    <w:name w:val="List Table 3 - Accent 2"/>
    <w:next w:val="854"/>
    <w:link w:val="719"/>
    <w:uiPriority w:val="99"/>
    <w:qFormat/>
    <w:pPr>
      <w:spacing w:after="0" w:line="240" w:lineRule="auto"/>
    </w:pPr>
    <w:tblPr/>
  </w:style>
  <w:style w:type="table" w:styleId="855">
    <w:name w:val="List Table 3 - Accent 3"/>
    <w:next w:val="855"/>
    <w:link w:val="719"/>
    <w:uiPriority w:val="99"/>
    <w:qFormat/>
    <w:pPr>
      <w:spacing w:after="0" w:line="240" w:lineRule="auto"/>
    </w:pPr>
    <w:tblPr/>
  </w:style>
  <w:style w:type="table" w:styleId="856">
    <w:name w:val="List Table 3 - Accent 4"/>
    <w:next w:val="856"/>
    <w:link w:val="719"/>
    <w:uiPriority w:val="99"/>
    <w:qFormat/>
    <w:pPr>
      <w:spacing w:after="0" w:line="240" w:lineRule="auto"/>
    </w:pPr>
    <w:tblPr/>
  </w:style>
  <w:style w:type="table" w:styleId="857">
    <w:name w:val="List Table 3 - Accent 5"/>
    <w:next w:val="857"/>
    <w:link w:val="719"/>
    <w:uiPriority w:val="99"/>
    <w:qFormat/>
    <w:pPr>
      <w:spacing w:after="0" w:line="240" w:lineRule="auto"/>
    </w:pPr>
    <w:tblPr/>
  </w:style>
  <w:style w:type="table" w:styleId="858">
    <w:name w:val="List Table 3 - Accent 6"/>
    <w:next w:val="858"/>
    <w:link w:val="719"/>
    <w:uiPriority w:val="99"/>
    <w:qFormat/>
    <w:pPr>
      <w:spacing w:after="0" w:line="240" w:lineRule="auto"/>
    </w:pPr>
    <w:tblPr/>
  </w:style>
  <w:style w:type="table" w:styleId="859">
    <w:name w:val="List Table 4"/>
    <w:next w:val="859"/>
    <w:link w:val="719"/>
    <w:uiPriority w:val="99"/>
    <w:qFormat/>
    <w:pPr>
      <w:spacing w:after="0" w:line="240" w:lineRule="auto"/>
    </w:pPr>
    <w:tblPr/>
  </w:style>
  <w:style w:type="table" w:styleId="860">
    <w:name w:val="List Table 4 - Accent 1"/>
    <w:next w:val="860"/>
    <w:link w:val="719"/>
    <w:uiPriority w:val="99"/>
    <w:qFormat/>
    <w:pPr>
      <w:spacing w:after="0" w:line="240" w:lineRule="auto"/>
    </w:pPr>
    <w:tblPr/>
  </w:style>
  <w:style w:type="table" w:styleId="861">
    <w:name w:val="List Table 4 - Accent 2"/>
    <w:next w:val="861"/>
    <w:link w:val="719"/>
    <w:uiPriority w:val="99"/>
    <w:qFormat/>
    <w:pPr>
      <w:spacing w:after="0" w:line="240" w:lineRule="auto"/>
    </w:pPr>
    <w:tblPr/>
  </w:style>
  <w:style w:type="table" w:styleId="862">
    <w:name w:val="List Table 4 - Accent 3"/>
    <w:next w:val="862"/>
    <w:link w:val="719"/>
    <w:uiPriority w:val="99"/>
    <w:qFormat/>
    <w:pPr>
      <w:spacing w:after="0" w:line="240" w:lineRule="auto"/>
    </w:pPr>
    <w:tblPr/>
  </w:style>
  <w:style w:type="table" w:styleId="863">
    <w:name w:val="List Table 4 - Accent 4"/>
    <w:next w:val="863"/>
    <w:link w:val="719"/>
    <w:uiPriority w:val="99"/>
    <w:qFormat/>
    <w:pPr>
      <w:spacing w:after="0" w:line="240" w:lineRule="auto"/>
    </w:pPr>
    <w:tblPr/>
  </w:style>
  <w:style w:type="table" w:styleId="864">
    <w:name w:val="List Table 4 - Accent 5"/>
    <w:next w:val="864"/>
    <w:link w:val="719"/>
    <w:uiPriority w:val="99"/>
    <w:qFormat/>
    <w:pPr>
      <w:spacing w:after="0" w:line="240" w:lineRule="auto"/>
    </w:pPr>
    <w:tblPr/>
  </w:style>
  <w:style w:type="table" w:styleId="865">
    <w:name w:val="List Table 4 - Accent 6"/>
    <w:next w:val="865"/>
    <w:link w:val="719"/>
    <w:uiPriority w:val="99"/>
    <w:qFormat/>
    <w:pPr>
      <w:spacing w:after="0" w:line="240" w:lineRule="auto"/>
    </w:pPr>
    <w:tblPr/>
  </w:style>
  <w:style w:type="table" w:styleId="866">
    <w:name w:val="List Table 5 Dark"/>
    <w:next w:val="866"/>
    <w:link w:val="719"/>
    <w:uiPriority w:val="99"/>
    <w:qFormat/>
    <w:pPr>
      <w:spacing w:after="0" w:line="240" w:lineRule="auto"/>
    </w:pPr>
    <w:tblPr/>
  </w:style>
  <w:style w:type="table" w:styleId="867">
    <w:name w:val="List Table 5 Dark - Accent 1"/>
    <w:next w:val="867"/>
    <w:link w:val="719"/>
    <w:uiPriority w:val="99"/>
    <w:qFormat/>
    <w:pPr>
      <w:spacing w:after="0" w:line="240" w:lineRule="auto"/>
    </w:pPr>
    <w:tblPr/>
  </w:style>
  <w:style w:type="table" w:styleId="868">
    <w:name w:val="List Table 5 Dark - Accent 2"/>
    <w:next w:val="868"/>
    <w:link w:val="719"/>
    <w:uiPriority w:val="99"/>
    <w:qFormat/>
    <w:pPr>
      <w:spacing w:after="0" w:line="240" w:lineRule="auto"/>
    </w:pPr>
    <w:tblPr/>
  </w:style>
  <w:style w:type="table" w:styleId="869">
    <w:name w:val="List Table 5 Dark - Accent 3"/>
    <w:next w:val="869"/>
    <w:link w:val="719"/>
    <w:uiPriority w:val="99"/>
    <w:qFormat/>
    <w:pPr>
      <w:spacing w:after="0" w:line="240" w:lineRule="auto"/>
    </w:pPr>
    <w:tblPr/>
  </w:style>
  <w:style w:type="table" w:styleId="870">
    <w:name w:val="List Table 5 Dark - Accent 4"/>
    <w:next w:val="870"/>
    <w:link w:val="719"/>
    <w:uiPriority w:val="99"/>
    <w:qFormat/>
    <w:pPr>
      <w:spacing w:after="0" w:line="240" w:lineRule="auto"/>
    </w:pPr>
    <w:tblPr/>
  </w:style>
  <w:style w:type="table" w:styleId="871">
    <w:name w:val="List Table 5 Dark - Accent 5"/>
    <w:next w:val="871"/>
    <w:link w:val="719"/>
    <w:uiPriority w:val="99"/>
    <w:qFormat/>
    <w:pPr>
      <w:spacing w:after="0" w:line="240" w:lineRule="auto"/>
    </w:pPr>
    <w:tblPr/>
  </w:style>
  <w:style w:type="table" w:styleId="872">
    <w:name w:val="List Table 5 Dark - Accent 6"/>
    <w:next w:val="872"/>
    <w:link w:val="719"/>
    <w:uiPriority w:val="99"/>
    <w:qFormat/>
    <w:pPr>
      <w:spacing w:after="0" w:line="240" w:lineRule="auto"/>
    </w:pPr>
    <w:tblPr/>
  </w:style>
  <w:style w:type="table" w:styleId="873">
    <w:name w:val="List Table 6 Colorful"/>
    <w:next w:val="873"/>
    <w:link w:val="719"/>
    <w:uiPriority w:val="99"/>
    <w:qFormat/>
    <w:pPr>
      <w:spacing w:after="0" w:line="240" w:lineRule="auto"/>
    </w:pPr>
    <w:tblPr/>
  </w:style>
  <w:style w:type="table" w:styleId="874">
    <w:name w:val="List Table 6 Colorful - Accent 1"/>
    <w:next w:val="874"/>
    <w:link w:val="719"/>
    <w:uiPriority w:val="99"/>
    <w:qFormat/>
    <w:pPr>
      <w:spacing w:after="0" w:line="240" w:lineRule="auto"/>
    </w:pPr>
    <w:tblPr/>
  </w:style>
  <w:style w:type="table" w:styleId="875">
    <w:name w:val="List Table 6 Colorful - Accent 2"/>
    <w:next w:val="875"/>
    <w:link w:val="719"/>
    <w:uiPriority w:val="99"/>
    <w:qFormat/>
    <w:pPr>
      <w:spacing w:after="0" w:line="240" w:lineRule="auto"/>
    </w:pPr>
    <w:tblPr/>
  </w:style>
  <w:style w:type="table" w:styleId="876">
    <w:name w:val="List Table 6 Colorful - Accent 3"/>
    <w:next w:val="876"/>
    <w:link w:val="719"/>
    <w:uiPriority w:val="99"/>
    <w:qFormat/>
    <w:pPr>
      <w:spacing w:after="0" w:line="240" w:lineRule="auto"/>
    </w:pPr>
    <w:tblPr/>
  </w:style>
  <w:style w:type="table" w:styleId="877">
    <w:name w:val="List Table 6 Colorful - Accent 4"/>
    <w:next w:val="877"/>
    <w:link w:val="719"/>
    <w:uiPriority w:val="99"/>
    <w:qFormat/>
    <w:pPr>
      <w:spacing w:after="0" w:line="240" w:lineRule="auto"/>
    </w:pPr>
    <w:tblPr/>
  </w:style>
  <w:style w:type="table" w:styleId="878">
    <w:name w:val="List Table 6 Colorful - Accent 5"/>
    <w:next w:val="878"/>
    <w:link w:val="719"/>
    <w:uiPriority w:val="99"/>
    <w:qFormat/>
    <w:pPr>
      <w:spacing w:after="0" w:line="240" w:lineRule="auto"/>
    </w:pPr>
    <w:tblPr/>
  </w:style>
  <w:style w:type="table" w:styleId="879">
    <w:name w:val="List Table 6 Colorful - Accent 6"/>
    <w:next w:val="879"/>
    <w:link w:val="719"/>
    <w:uiPriority w:val="99"/>
    <w:qFormat/>
    <w:pPr>
      <w:spacing w:after="0" w:line="240" w:lineRule="auto"/>
    </w:pPr>
    <w:tblPr/>
  </w:style>
  <w:style w:type="table" w:styleId="880">
    <w:name w:val="List Table 7 Colorful"/>
    <w:next w:val="880"/>
    <w:link w:val="719"/>
    <w:uiPriority w:val="99"/>
    <w:qFormat/>
    <w:pPr>
      <w:spacing w:after="0" w:line="240" w:lineRule="auto"/>
    </w:pPr>
    <w:tblPr/>
  </w:style>
  <w:style w:type="table" w:styleId="881">
    <w:name w:val="List Table 7 Colorful - Accent 1"/>
    <w:next w:val="881"/>
    <w:link w:val="719"/>
    <w:uiPriority w:val="99"/>
    <w:qFormat/>
    <w:pPr>
      <w:spacing w:after="0" w:line="240" w:lineRule="auto"/>
    </w:pPr>
    <w:tblPr/>
  </w:style>
  <w:style w:type="table" w:styleId="882">
    <w:name w:val="List Table 7 Colorful - Accent 2"/>
    <w:next w:val="882"/>
    <w:link w:val="719"/>
    <w:uiPriority w:val="99"/>
    <w:qFormat/>
    <w:pPr>
      <w:spacing w:after="0" w:line="240" w:lineRule="auto"/>
    </w:pPr>
    <w:tblPr/>
  </w:style>
  <w:style w:type="table" w:styleId="883">
    <w:name w:val="List Table 7 Colorful - Accent 3"/>
    <w:next w:val="883"/>
    <w:link w:val="719"/>
    <w:uiPriority w:val="99"/>
    <w:qFormat/>
    <w:pPr>
      <w:spacing w:after="0" w:line="240" w:lineRule="auto"/>
    </w:pPr>
    <w:tblPr/>
  </w:style>
  <w:style w:type="table" w:styleId="884">
    <w:name w:val="List Table 7 Colorful - Accent 4"/>
    <w:next w:val="884"/>
    <w:link w:val="719"/>
    <w:uiPriority w:val="99"/>
    <w:qFormat/>
    <w:pPr>
      <w:spacing w:after="0" w:line="240" w:lineRule="auto"/>
    </w:pPr>
    <w:tblPr/>
  </w:style>
  <w:style w:type="table" w:styleId="885">
    <w:name w:val="List Table 7 Colorful - Accent 5"/>
    <w:next w:val="885"/>
    <w:link w:val="719"/>
    <w:uiPriority w:val="99"/>
    <w:qFormat/>
    <w:pPr>
      <w:spacing w:after="0" w:line="240" w:lineRule="auto"/>
    </w:pPr>
    <w:tblPr/>
  </w:style>
  <w:style w:type="table" w:styleId="886">
    <w:name w:val="List Table 7 Colorful - Accent 6"/>
    <w:next w:val="886"/>
    <w:link w:val="719"/>
    <w:uiPriority w:val="99"/>
    <w:qFormat/>
    <w:pPr>
      <w:spacing w:after="0" w:line="240" w:lineRule="auto"/>
    </w:pPr>
    <w:tblPr/>
  </w:style>
  <w:style w:type="table" w:styleId="887">
    <w:name w:val="Lined - Accent"/>
    <w:next w:val="887"/>
    <w:link w:val="719"/>
    <w:uiPriority w:val="99"/>
    <w:qFormat/>
    <w:pPr>
      <w:spacing w:after="0" w:line="240" w:lineRule="auto"/>
    </w:pPr>
    <w:rPr>
      <w:color w:val="404040"/>
    </w:rPr>
    <w:tblPr/>
  </w:style>
  <w:style w:type="table" w:styleId="888">
    <w:name w:val="Lined - Accent 1"/>
    <w:next w:val="888"/>
    <w:link w:val="719"/>
    <w:uiPriority w:val="99"/>
    <w:qFormat/>
    <w:pPr>
      <w:spacing w:after="0" w:line="240" w:lineRule="auto"/>
    </w:pPr>
    <w:rPr>
      <w:color w:val="404040"/>
    </w:rPr>
    <w:tblPr/>
  </w:style>
  <w:style w:type="table" w:styleId="889">
    <w:name w:val="Lined - Accent 2"/>
    <w:next w:val="889"/>
    <w:link w:val="719"/>
    <w:uiPriority w:val="99"/>
    <w:qFormat/>
    <w:pPr>
      <w:spacing w:after="0" w:line="240" w:lineRule="auto"/>
    </w:pPr>
    <w:rPr>
      <w:color w:val="404040"/>
    </w:rPr>
    <w:tblPr/>
  </w:style>
  <w:style w:type="table" w:styleId="890">
    <w:name w:val="Lined - Accent 3"/>
    <w:next w:val="890"/>
    <w:link w:val="719"/>
    <w:uiPriority w:val="99"/>
    <w:qFormat/>
    <w:pPr>
      <w:spacing w:after="0" w:line="240" w:lineRule="auto"/>
    </w:pPr>
    <w:rPr>
      <w:color w:val="404040"/>
    </w:rPr>
    <w:tblPr/>
  </w:style>
  <w:style w:type="table" w:styleId="891">
    <w:name w:val="Lined - Accent 4"/>
    <w:next w:val="891"/>
    <w:link w:val="719"/>
    <w:uiPriority w:val="99"/>
    <w:qFormat/>
    <w:pPr>
      <w:spacing w:after="0" w:line="240" w:lineRule="auto"/>
    </w:pPr>
    <w:rPr>
      <w:color w:val="404040"/>
    </w:rPr>
    <w:tblPr/>
  </w:style>
  <w:style w:type="table" w:styleId="892">
    <w:name w:val="Lined - Accent 5"/>
    <w:next w:val="892"/>
    <w:link w:val="719"/>
    <w:uiPriority w:val="99"/>
    <w:qFormat/>
    <w:pPr>
      <w:spacing w:after="0" w:line="240" w:lineRule="auto"/>
    </w:pPr>
    <w:rPr>
      <w:color w:val="404040"/>
    </w:rPr>
    <w:tblPr/>
  </w:style>
  <w:style w:type="table" w:styleId="893">
    <w:name w:val="Lined - Accent 6"/>
    <w:next w:val="893"/>
    <w:link w:val="719"/>
    <w:uiPriority w:val="99"/>
    <w:qFormat/>
    <w:pPr>
      <w:spacing w:after="0" w:line="240" w:lineRule="auto"/>
    </w:pPr>
    <w:rPr>
      <w:color w:val="404040"/>
    </w:rPr>
    <w:tblPr/>
  </w:style>
  <w:style w:type="table" w:styleId="894">
    <w:name w:val="Bordered &amp; Lined - Accent"/>
    <w:next w:val="894"/>
    <w:link w:val="719"/>
    <w:uiPriority w:val="99"/>
    <w:qFormat/>
    <w:pPr>
      <w:spacing w:after="0" w:line="240" w:lineRule="auto"/>
    </w:pPr>
    <w:rPr>
      <w:color w:val="404040"/>
    </w:rPr>
    <w:tblPr/>
  </w:style>
  <w:style w:type="table" w:styleId="895">
    <w:name w:val="Bordered &amp; Lined - Accent 1"/>
    <w:next w:val="895"/>
    <w:link w:val="719"/>
    <w:uiPriority w:val="99"/>
    <w:qFormat/>
    <w:pPr>
      <w:spacing w:after="0" w:line="240" w:lineRule="auto"/>
    </w:pPr>
    <w:rPr>
      <w:color w:val="404040"/>
    </w:rPr>
    <w:tblPr/>
  </w:style>
  <w:style w:type="table" w:styleId="896">
    <w:name w:val="Bordered &amp; Lined - Accent 2"/>
    <w:next w:val="896"/>
    <w:link w:val="719"/>
    <w:uiPriority w:val="99"/>
    <w:qFormat/>
    <w:pPr>
      <w:spacing w:after="0" w:line="240" w:lineRule="auto"/>
    </w:pPr>
    <w:rPr>
      <w:color w:val="404040"/>
    </w:rPr>
    <w:tblPr/>
  </w:style>
  <w:style w:type="table" w:styleId="897">
    <w:name w:val="Bordered &amp; Lined - Accent 3"/>
    <w:next w:val="897"/>
    <w:link w:val="719"/>
    <w:uiPriority w:val="99"/>
    <w:qFormat/>
    <w:pPr>
      <w:spacing w:after="0" w:line="240" w:lineRule="auto"/>
    </w:pPr>
    <w:rPr>
      <w:color w:val="404040"/>
    </w:rPr>
    <w:tblPr/>
  </w:style>
  <w:style w:type="table" w:styleId="898">
    <w:name w:val="Bordered &amp; Lined - Accent 4"/>
    <w:next w:val="898"/>
    <w:link w:val="719"/>
    <w:uiPriority w:val="99"/>
    <w:qFormat/>
    <w:pPr>
      <w:spacing w:after="0" w:line="240" w:lineRule="auto"/>
    </w:pPr>
    <w:rPr>
      <w:color w:val="404040"/>
    </w:rPr>
    <w:tblPr/>
  </w:style>
  <w:style w:type="table" w:styleId="899">
    <w:name w:val="Bordered &amp; Lined - Accent 5"/>
    <w:next w:val="899"/>
    <w:link w:val="719"/>
    <w:uiPriority w:val="99"/>
    <w:qFormat/>
    <w:pPr>
      <w:spacing w:after="0" w:line="240" w:lineRule="auto"/>
    </w:pPr>
    <w:rPr>
      <w:color w:val="404040"/>
    </w:rPr>
    <w:tblPr/>
  </w:style>
  <w:style w:type="table" w:styleId="900">
    <w:name w:val="Bordered &amp; Lined - Accent 6"/>
    <w:next w:val="900"/>
    <w:link w:val="719"/>
    <w:uiPriority w:val="99"/>
    <w:qFormat/>
    <w:pPr>
      <w:spacing w:after="0" w:line="240" w:lineRule="auto"/>
    </w:pPr>
    <w:rPr>
      <w:color w:val="404040"/>
    </w:rPr>
    <w:tblPr/>
  </w:style>
  <w:style w:type="table" w:styleId="901">
    <w:name w:val="Bordered"/>
    <w:next w:val="901"/>
    <w:link w:val="719"/>
    <w:uiPriority w:val="99"/>
    <w:qFormat/>
    <w:pPr>
      <w:spacing w:after="0" w:line="240" w:lineRule="auto"/>
    </w:pPr>
    <w:tblPr/>
  </w:style>
  <w:style w:type="table" w:styleId="902">
    <w:name w:val="Bordered - Accent 1"/>
    <w:next w:val="902"/>
    <w:link w:val="719"/>
    <w:uiPriority w:val="99"/>
    <w:qFormat/>
    <w:pPr>
      <w:spacing w:after="0" w:line="240" w:lineRule="auto"/>
    </w:pPr>
    <w:tblPr/>
  </w:style>
  <w:style w:type="table" w:styleId="903">
    <w:name w:val="Bordered - Accent 2"/>
    <w:next w:val="903"/>
    <w:link w:val="719"/>
    <w:uiPriority w:val="99"/>
    <w:qFormat/>
    <w:pPr>
      <w:spacing w:after="0" w:line="240" w:lineRule="auto"/>
    </w:pPr>
    <w:tblPr/>
  </w:style>
  <w:style w:type="table" w:styleId="904">
    <w:name w:val="Bordered - Accent 3"/>
    <w:next w:val="904"/>
    <w:link w:val="719"/>
    <w:uiPriority w:val="99"/>
    <w:qFormat/>
    <w:pPr>
      <w:spacing w:after="0" w:line="240" w:lineRule="auto"/>
    </w:pPr>
    <w:tblPr/>
  </w:style>
  <w:style w:type="table" w:styleId="905">
    <w:name w:val="Bordered - Accent 4"/>
    <w:next w:val="905"/>
    <w:link w:val="719"/>
    <w:uiPriority w:val="99"/>
    <w:qFormat/>
    <w:pPr>
      <w:spacing w:after="0" w:line="240" w:lineRule="auto"/>
    </w:pPr>
    <w:tblPr/>
  </w:style>
  <w:style w:type="table" w:styleId="906">
    <w:name w:val="Bordered - Accent 5"/>
    <w:next w:val="906"/>
    <w:link w:val="719"/>
    <w:uiPriority w:val="99"/>
    <w:qFormat/>
    <w:pPr>
      <w:spacing w:after="0" w:line="240" w:lineRule="auto"/>
    </w:pPr>
    <w:tblPr/>
  </w:style>
  <w:style w:type="table" w:styleId="907">
    <w:name w:val="Bordered - Accent 6"/>
    <w:next w:val="907"/>
    <w:link w:val="719"/>
    <w:uiPriority w:val="99"/>
    <w:qFormat/>
    <w:pPr>
      <w:spacing w:after="0" w:line="240" w:lineRule="auto"/>
    </w:pPr>
    <w:tblPr/>
  </w:style>
  <w:style w:type="paragraph" w:styleId="908">
    <w:name w:val="TOC Heading"/>
    <w:next w:val="908"/>
    <w:link w:val="719"/>
    <w:uiPriority w:val="39"/>
    <w:unhideWhenUsed/>
    <w:qFormat/>
    <w:rPr>
      <w:rFonts w:ascii="Times New Roman" w:hAnsi="Times New Roman" w:eastAsia="宋体" w:cs="Times New Roman"/>
    </w:rPr>
  </w:style>
  <w:style w:type="paragraph" w:styleId="909">
    <w:name w:val="标题 21"/>
    <w:basedOn w:val="719"/>
    <w:next w:val="773"/>
    <w:link w:val="910"/>
    <w:qFormat/>
    <w:pPr>
      <w:jc w:val="center"/>
      <w:keepLines/>
      <w:keepNext/>
      <w:spacing w:before="260" w:after="260" w:line="416" w:lineRule="auto"/>
      <w:outlineLvl w:val="1"/>
    </w:pPr>
    <w:rPr>
      <w:rFonts w:ascii="Arial" w:hAnsi="Arial" w:eastAsia="幼圆"/>
      <w:b/>
      <w:bCs/>
      <w:sz w:val="44"/>
      <w:szCs w:val="44"/>
    </w:rPr>
  </w:style>
  <w:style w:type="character" w:styleId="910">
    <w:name w:val="标题 2 Char"/>
    <w:next w:val="910"/>
    <w:link w:val="909"/>
    <w:qFormat/>
    <w:rPr>
      <w:rFonts w:ascii="Arial" w:hAnsi="Arial" w:eastAsia="幼圆" w:cs="Arial"/>
      <w:b/>
      <w:bCs/>
      <w:sz w:val="44"/>
      <w:szCs w:val="44"/>
    </w:rPr>
  </w:style>
  <w:style w:type="paragraph" w:styleId="911">
    <w:name w:val="标题 411"/>
    <w:basedOn w:val="719"/>
    <w:next w:val="719"/>
    <w:link w:val="912"/>
    <w:uiPriority w:val="9"/>
    <w:qFormat/>
    <w:pPr>
      <w:keepLines/>
      <w:keepNext/>
      <w:spacing w:before="280" w:after="290" w:line="376" w:lineRule="auto"/>
      <w:outlineLvl w:val="3"/>
    </w:pPr>
    <w:rPr>
      <w:rFonts w:ascii="Arial" w:hAnsi="Arial" w:eastAsia="黑体"/>
      <w:b/>
      <w:bCs/>
      <w:sz w:val="28"/>
      <w:szCs w:val="28"/>
    </w:rPr>
  </w:style>
  <w:style w:type="character" w:styleId="912">
    <w:name w:val="标题 4 Char"/>
    <w:next w:val="912"/>
    <w:link w:val="911"/>
    <w:uiPriority w:val="9"/>
    <w:qFormat/>
    <w:rPr>
      <w:rFonts w:ascii="Arial" w:hAnsi="Arial" w:eastAsia="黑体" w:cs="Arial"/>
      <w:b/>
      <w:bCs/>
      <w:sz w:val="28"/>
      <w:szCs w:val="28"/>
    </w:rPr>
  </w:style>
  <w:style w:type="paragraph" w:styleId="913">
    <w:name w:val="标题 51"/>
    <w:basedOn w:val="719"/>
    <w:next w:val="773"/>
    <w:link w:val="914"/>
    <w:qFormat/>
    <w:pPr>
      <w:keepNext/>
      <w:outlineLvl w:val="4"/>
    </w:pPr>
    <w:rPr>
      <w:rFonts w:ascii="宋体"/>
      <w:color w:val="000000"/>
      <w:sz w:val="28"/>
      <w:szCs w:val="28"/>
    </w:rPr>
  </w:style>
  <w:style w:type="character" w:styleId="914">
    <w:name w:val="标题 5 Char"/>
    <w:next w:val="914"/>
    <w:link w:val="913"/>
    <w:qFormat/>
    <w:rPr>
      <w:rFonts w:ascii="宋体" w:hAnsi="Times New Roman" w:eastAsia="宋体" w:cs="Times New Roman"/>
      <w:color w:val="000000"/>
      <w:sz w:val="28"/>
      <w:szCs w:val="28"/>
    </w:rPr>
  </w:style>
  <w:style w:type="paragraph" w:styleId="915">
    <w:name w:val="标题 61"/>
    <w:basedOn w:val="719"/>
    <w:next w:val="719"/>
    <w:link w:val="916"/>
    <w:qFormat/>
    <w:pPr>
      <w:numPr>
        <w:ilvl w:val="5"/>
        <w:numId w:val="1"/>
      </w:numPr>
      <w:keepLines/>
      <w:keepNext/>
      <w:spacing w:before="240" w:after="64" w:line="320" w:lineRule="auto"/>
      <w:outlineLvl w:val="5"/>
    </w:pPr>
    <w:rPr>
      <w:rFonts w:ascii="Arial" w:hAnsi="Arial" w:eastAsia="黑体"/>
      <w:b/>
      <w:bCs/>
      <w:sz w:val="24"/>
      <w:szCs w:val="24"/>
    </w:rPr>
  </w:style>
  <w:style w:type="character" w:styleId="916">
    <w:name w:val="标题 6 Char"/>
    <w:next w:val="916"/>
    <w:link w:val="915"/>
    <w:qFormat/>
    <w:rPr>
      <w:rFonts w:ascii="Arial" w:hAnsi="Arial" w:eastAsia="黑体" w:cs="Times New Roman"/>
      <w:b/>
      <w:bCs/>
      <w:sz w:val="24"/>
      <w:szCs w:val="24"/>
    </w:rPr>
  </w:style>
  <w:style w:type="paragraph" w:styleId="917">
    <w:name w:val="标题 71"/>
    <w:basedOn w:val="719"/>
    <w:next w:val="719"/>
    <w:link w:val="918"/>
    <w:qFormat/>
    <w:pPr>
      <w:numPr>
        <w:ilvl w:val="6"/>
        <w:numId w:val="1"/>
      </w:numPr>
      <w:keepLines/>
      <w:keepNext/>
      <w:spacing w:before="240" w:after="64" w:line="320" w:lineRule="auto"/>
      <w:outlineLvl w:val="6"/>
    </w:pPr>
    <w:rPr>
      <w:b/>
      <w:bCs/>
      <w:sz w:val="24"/>
      <w:szCs w:val="24"/>
    </w:rPr>
  </w:style>
  <w:style w:type="character" w:styleId="918">
    <w:name w:val="标题 7 Char"/>
    <w:next w:val="918"/>
    <w:link w:val="917"/>
    <w:qFormat/>
    <w:rPr>
      <w:rFonts w:ascii="Times New Roman" w:hAnsi="Times New Roman" w:eastAsia="宋体" w:cs="Times New Roman"/>
      <w:b/>
      <w:bCs/>
      <w:sz w:val="24"/>
      <w:szCs w:val="24"/>
    </w:rPr>
  </w:style>
  <w:style w:type="paragraph" w:styleId="919">
    <w:name w:val="标题 81"/>
    <w:basedOn w:val="719"/>
    <w:next w:val="719"/>
    <w:link w:val="920"/>
    <w:qFormat/>
    <w:pPr>
      <w:numPr>
        <w:ilvl w:val="7"/>
        <w:numId w:val="1"/>
      </w:numPr>
      <w:keepLines/>
      <w:keepNext/>
      <w:spacing w:before="240" w:after="64" w:line="320" w:lineRule="auto"/>
      <w:outlineLvl w:val="7"/>
    </w:pPr>
    <w:rPr>
      <w:rFonts w:ascii="Arial" w:hAnsi="Arial" w:eastAsia="黑体"/>
      <w:sz w:val="24"/>
      <w:szCs w:val="24"/>
    </w:rPr>
  </w:style>
  <w:style w:type="character" w:styleId="920">
    <w:name w:val="标题 8 Char"/>
    <w:next w:val="920"/>
    <w:link w:val="919"/>
    <w:qFormat/>
    <w:rPr>
      <w:rFonts w:ascii="Arial" w:hAnsi="Arial" w:eastAsia="黑体" w:cs="Times New Roman"/>
      <w:sz w:val="24"/>
      <w:szCs w:val="24"/>
    </w:rPr>
  </w:style>
  <w:style w:type="paragraph" w:styleId="921">
    <w:name w:val="标题 91"/>
    <w:basedOn w:val="719"/>
    <w:next w:val="719"/>
    <w:link w:val="922"/>
    <w:qFormat/>
    <w:pPr>
      <w:numPr>
        <w:ilvl w:val="8"/>
        <w:numId w:val="1"/>
      </w:numPr>
      <w:keepLines/>
      <w:keepNext/>
      <w:spacing w:before="240" w:after="64" w:line="320" w:lineRule="auto"/>
      <w:outlineLvl w:val="8"/>
    </w:pPr>
    <w:rPr>
      <w:rFonts w:ascii="Arial" w:hAnsi="Arial" w:eastAsia="黑体"/>
      <w:sz w:val="20"/>
    </w:rPr>
  </w:style>
  <w:style w:type="character" w:styleId="922">
    <w:name w:val="标题 9 Char"/>
    <w:next w:val="922"/>
    <w:link w:val="921"/>
    <w:qFormat/>
    <w:rPr>
      <w:rFonts w:ascii="Arial" w:hAnsi="Arial" w:eastAsia="黑体" w:cs="Times New Roman"/>
      <w:szCs w:val="21"/>
    </w:rPr>
  </w:style>
  <w:style w:type="character" w:styleId="923">
    <w:name w:val="默认段落字体1"/>
    <w:next w:val="923"/>
    <w:link w:val="719"/>
    <w:uiPriority w:val="1"/>
    <w:unhideWhenUsed/>
    <w:qFormat/>
  </w:style>
  <w:style w:type="table" w:styleId="924">
    <w:name w:val="普通表格1"/>
    <w:next w:val="924"/>
    <w:link w:val="719"/>
    <w:uiPriority w:val="99"/>
    <w:unhideWhenUsed/>
    <w:qFormat/>
    <w:tblPr/>
  </w:style>
  <w:style w:type="paragraph" w:styleId="925">
    <w:name w:val="列表 31"/>
    <w:basedOn w:val="719"/>
    <w:next w:val="925"/>
    <w:link w:val="719"/>
    <w:qFormat/>
    <w:pPr>
      <w:ind w:left="100" w:hanging="200"/>
    </w:pPr>
  </w:style>
  <w:style w:type="paragraph" w:styleId="926">
    <w:name w:val="目录 71"/>
    <w:basedOn w:val="719"/>
    <w:next w:val="719"/>
    <w:link w:val="719"/>
    <w:semiHidden/>
    <w:qFormat/>
    <w:pPr>
      <w:ind w:left="1260"/>
      <w:jc w:val="left"/>
    </w:pPr>
  </w:style>
  <w:style w:type="paragraph" w:styleId="927">
    <w:name w:val="文档结构图1"/>
    <w:basedOn w:val="719"/>
    <w:next w:val="927"/>
    <w:link w:val="928"/>
    <w:semiHidden/>
    <w:qFormat/>
    <w:pPr>
      <w:shd w:val="clear" w:color="auto" w:fill="000080"/>
    </w:pPr>
    <w:rPr>
      <w:sz w:val="20"/>
    </w:rPr>
  </w:style>
  <w:style w:type="character" w:styleId="928">
    <w:name w:val="文档结构图 Char"/>
    <w:next w:val="928"/>
    <w:link w:val="927"/>
    <w:semiHidden/>
    <w:qFormat/>
    <w:rPr>
      <w:rFonts w:ascii="Times New Roman" w:hAnsi="Times New Roman" w:eastAsia="宋体" w:cs="Times New Roman"/>
      <w:szCs w:val="21"/>
      <w:shd w:val="clear" w:color="auto" w:fill="000080"/>
    </w:rPr>
  </w:style>
  <w:style w:type="paragraph" w:styleId="929">
    <w:name w:val="批注文字1"/>
    <w:basedOn w:val="719"/>
    <w:next w:val="929"/>
    <w:link w:val="930"/>
    <w:uiPriority w:val="99"/>
    <w:semiHidden/>
    <w:qFormat/>
    <w:pPr>
      <w:jc w:val="left"/>
    </w:pPr>
    <w:rPr>
      <w:sz w:val="20"/>
    </w:rPr>
  </w:style>
  <w:style w:type="character" w:styleId="930">
    <w:name w:val="批注文字 Char"/>
    <w:next w:val="930"/>
    <w:link w:val="929"/>
    <w:uiPriority w:val="99"/>
    <w:semiHidden/>
    <w:qFormat/>
    <w:rPr>
      <w:rFonts w:ascii="Times New Roman" w:hAnsi="Times New Roman" w:eastAsia="宋体" w:cs="Times New Roman"/>
      <w:szCs w:val="21"/>
    </w:rPr>
  </w:style>
  <w:style w:type="paragraph" w:styleId="931">
    <w:name w:val="正文文本 31"/>
    <w:basedOn w:val="719"/>
    <w:next w:val="931"/>
    <w:link w:val="932"/>
    <w:qFormat/>
    <w:rPr>
      <w:rFonts w:ascii="仿宋_GB2312" w:hAnsi="Arial" w:eastAsia="仿宋_GB2312"/>
      <w:sz w:val="32"/>
      <w:szCs w:val="32"/>
    </w:rPr>
  </w:style>
  <w:style w:type="character" w:styleId="932">
    <w:name w:val="正文文本 3 Char"/>
    <w:next w:val="932"/>
    <w:link w:val="931"/>
    <w:qFormat/>
    <w:rPr>
      <w:rFonts w:ascii="仿宋_GB2312" w:hAnsi="Arial" w:eastAsia="仿宋_GB2312" w:cs="Times New Roman"/>
      <w:sz w:val="32"/>
      <w:szCs w:val="32"/>
    </w:rPr>
  </w:style>
  <w:style w:type="paragraph" w:styleId="933">
    <w:name w:val="正文文本1"/>
    <w:basedOn w:val="719"/>
    <w:next w:val="933"/>
    <w:link w:val="934"/>
    <w:uiPriority w:val="99"/>
    <w:qFormat/>
    <w:rPr>
      <w:rFonts w:ascii="楷体_GB2312" w:hAnsi="Arial" w:eastAsia="楷体_GB2312"/>
      <w:sz w:val="28"/>
      <w:szCs w:val="28"/>
    </w:rPr>
  </w:style>
  <w:style w:type="character" w:styleId="934">
    <w:name w:val="正文文本 Char"/>
    <w:next w:val="934"/>
    <w:link w:val="933"/>
    <w:qFormat/>
    <w:rPr>
      <w:rFonts w:ascii="楷体_GB2312" w:hAnsi="Arial" w:eastAsia="楷体_GB2312" w:cs="Times New Roman"/>
      <w:sz w:val="28"/>
      <w:szCs w:val="28"/>
    </w:rPr>
  </w:style>
  <w:style w:type="paragraph" w:styleId="935">
    <w:name w:val="正文文本缩进1"/>
    <w:basedOn w:val="719"/>
    <w:next w:val="937"/>
    <w:link w:val="936"/>
    <w:uiPriority w:val="99"/>
    <w:qFormat/>
    <w:pPr>
      <w:ind w:firstLine="645"/>
    </w:pPr>
    <w:rPr>
      <w:rFonts w:ascii="楷体_GB2312" w:eastAsia="楷体_GB2312"/>
      <w:sz w:val="32"/>
      <w:szCs w:val="32"/>
    </w:rPr>
  </w:style>
  <w:style w:type="character" w:styleId="936">
    <w:name w:val="正文文本缩进 Char"/>
    <w:next w:val="936"/>
    <w:link w:val="935"/>
    <w:qFormat/>
    <w:rPr>
      <w:rFonts w:ascii="楷体_GB2312" w:hAnsi="Times New Roman" w:eastAsia="楷体_GB2312" w:cs="Times New Roman"/>
      <w:sz w:val="32"/>
      <w:szCs w:val="32"/>
    </w:rPr>
  </w:style>
  <w:style w:type="paragraph" w:styleId="937">
    <w:name w:val="寄信人地址1"/>
    <w:basedOn w:val="719"/>
    <w:next w:val="937"/>
    <w:link w:val="719"/>
    <w:uiPriority w:val="99"/>
    <w:unhideWhenUsed/>
    <w:qFormat/>
    <w:rPr>
      <w:rFonts w:hint="eastAsia" w:ascii="Arial" w:hAnsi="Arial" w:eastAsia="宋体" w:cs="Times New Roman"/>
      <w:sz w:val="24"/>
      <w:szCs w:val="24"/>
    </w:rPr>
  </w:style>
  <w:style w:type="paragraph" w:styleId="938">
    <w:name w:val="列表 21"/>
    <w:basedOn w:val="719"/>
    <w:next w:val="938"/>
    <w:link w:val="719"/>
    <w:qFormat/>
    <w:pPr>
      <w:ind w:left="100" w:hanging="200"/>
    </w:pPr>
  </w:style>
  <w:style w:type="paragraph" w:styleId="939">
    <w:name w:val="索引 41"/>
    <w:basedOn w:val="719"/>
    <w:next w:val="719"/>
    <w:link w:val="719"/>
    <w:uiPriority w:val="99"/>
    <w:qFormat/>
    <w:pPr>
      <w:ind w:left="600"/>
    </w:pPr>
    <w:rPr>
      <w:rFonts w:ascii="Calibri" w:hAnsi="Calibri" w:eastAsia="宋体" w:cs="Times New Roman"/>
      <w:szCs w:val="24"/>
    </w:rPr>
  </w:style>
  <w:style w:type="paragraph" w:styleId="940">
    <w:name w:val="目录 51"/>
    <w:basedOn w:val="719"/>
    <w:next w:val="719"/>
    <w:link w:val="719"/>
    <w:semiHidden/>
    <w:qFormat/>
    <w:pPr>
      <w:ind w:left="840"/>
      <w:jc w:val="left"/>
    </w:pPr>
  </w:style>
  <w:style w:type="paragraph" w:styleId="941">
    <w:name w:val="目录 31"/>
    <w:basedOn w:val="719"/>
    <w:next w:val="719"/>
    <w:link w:val="719"/>
    <w:semiHidden/>
    <w:qFormat/>
    <w:pPr>
      <w:ind w:left="420"/>
      <w:jc w:val="left"/>
    </w:pPr>
    <w:rPr>
      <w:i/>
      <w:iCs/>
      <w:szCs w:val="24"/>
    </w:rPr>
  </w:style>
  <w:style w:type="paragraph" w:styleId="942">
    <w:name w:val="纯文本1"/>
    <w:basedOn w:val="719"/>
    <w:next w:val="942"/>
    <w:link w:val="943"/>
    <w:qFormat/>
    <w:rPr>
      <w:rFonts w:ascii="宋体" w:hAnsi="Courier New"/>
      <w:sz w:val="20"/>
    </w:rPr>
  </w:style>
  <w:style w:type="character" w:styleId="943">
    <w:name w:val="纯文本 Char"/>
    <w:next w:val="943"/>
    <w:link w:val="942"/>
    <w:qFormat/>
    <w:rPr>
      <w:rFonts w:ascii="宋体" w:hAnsi="Courier New" w:eastAsia="宋体" w:cs="Courier New"/>
      <w:szCs w:val="21"/>
    </w:rPr>
  </w:style>
  <w:style w:type="paragraph" w:styleId="944">
    <w:name w:val="目录 81"/>
    <w:basedOn w:val="719"/>
    <w:next w:val="719"/>
    <w:link w:val="719"/>
    <w:semiHidden/>
    <w:qFormat/>
    <w:pPr>
      <w:ind w:left="1470"/>
      <w:jc w:val="left"/>
    </w:pPr>
  </w:style>
  <w:style w:type="paragraph" w:styleId="945">
    <w:name w:val="日期1"/>
    <w:basedOn w:val="719"/>
    <w:next w:val="719"/>
    <w:link w:val="946"/>
    <w:qFormat/>
    <w:rPr>
      <w:sz w:val="24"/>
      <w:szCs w:val="24"/>
    </w:rPr>
  </w:style>
  <w:style w:type="character" w:styleId="946">
    <w:name w:val="日期 Char"/>
    <w:next w:val="946"/>
    <w:link w:val="945"/>
    <w:qFormat/>
    <w:rPr>
      <w:rFonts w:ascii="Times New Roman" w:hAnsi="Times New Roman" w:eastAsia="宋体" w:cs="Times New Roman"/>
      <w:sz w:val="24"/>
      <w:szCs w:val="24"/>
    </w:rPr>
  </w:style>
  <w:style w:type="paragraph" w:styleId="947">
    <w:name w:val="正文文本缩进 21"/>
    <w:basedOn w:val="719"/>
    <w:next w:val="947"/>
    <w:link w:val="948"/>
    <w:qFormat/>
    <w:pPr>
      <w:ind w:left="630" w:firstLine="645"/>
    </w:pPr>
    <w:rPr>
      <w:rFonts w:ascii="Arial" w:hAnsi="Arial" w:eastAsia="仿宋_GB2312"/>
      <w:sz w:val="32"/>
      <w:szCs w:val="32"/>
    </w:rPr>
  </w:style>
  <w:style w:type="character" w:styleId="948">
    <w:name w:val="正文文本缩进 2 Char"/>
    <w:next w:val="948"/>
    <w:link w:val="947"/>
    <w:qFormat/>
    <w:rPr>
      <w:rFonts w:ascii="Arial" w:hAnsi="Arial" w:eastAsia="仿宋_GB2312" w:cs="Arial"/>
      <w:sz w:val="32"/>
      <w:szCs w:val="32"/>
    </w:rPr>
  </w:style>
  <w:style w:type="paragraph" w:styleId="949">
    <w:name w:val="批注框文本1"/>
    <w:basedOn w:val="719"/>
    <w:next w:val="949"/>
    <w:link w:val="950"/>
    <w:qFormat/>
    <w:rPr>
      <w:sz w:val="18"/>
      <w:szCs w:val="18"/>
    </w:rPr>
  </w:style>
  <w:style w:type="character" w:styleId="950">
    <w:name w:val="批注框文本 Char"/>
    <w:next w:val="950"/>
    <w:link w:val="949"/>
    <w:qFormat/>
    <w:rPr>
      <w:rFonts w:ascii="Times New Roman" w:hAnsi="Times New Roman" w:eastAsia="宋体" w:cs="Times New Roman"/>
      <w:sz w:val="18"/>
      <w:szCs w:val="18"/>
    </w:rPr>
  </w:style>
  <w:style w:type="paragraph" w:styleId="951">
    <w:name w:val="页脚11"/>
    <w:basedOn w:val="719"/>
    <w:next w:val="953"/>
    <w:link w:val="952"/>
    <w:qFormat/>
    <w:pPr>
      <w:jc w:val="left"/>
      <w:tabs>
        <w:tab w:val="center" w:pos="4153" w:leader="none"/>
        <w:tab w:val="right" w:pos="8306" w:leader="none"/>
      </w:tabs>
    </w:pPr>
    <w:rPr>
      <w:sz w:val="18"/>
      <w:szCs w:val="18"/>
    </w:rPr>
  </w:style>
  <w:style w:type="character" w:styleId="952">
    <w:name w:val="页脚 Char"/>
    <w:next w:val="952"/>
    <w:link w:val="951"/>
    <w:qFormat/>
    <w:rPr>
      <w:rFonts w:ascii="Times New Roman" w:hAnsi="Times New Roman" w:eastAsia="宋体" w:cs="Times New Roman"/>
      <w:sz w:val="18"/>
      <w:szCs w:val="18"/>
    </w:rPr>
  </w:style>
  <w:style w:type="paragraph" w:styleId="953">
    <w:name w:val="TOC Heading1"/>
    <w:next w:val="719"/>
    <w:link w:val="719"/>
    <w:qFormat/>
    <w:rPr>
      <w:rFonts w:ascii="Times New Roman" w:hAnsi="Times New Roman" w:eastAsia="宋体" w:cs="Times New Roman"/>
      <w:sz w:val="32"/>
      <w:lang w:val="en-US" w:eastAsia="zh-CN" w:bidi="ar-SA"/>
    </w:rPr>
  </w:style>
  <w:style w:type="paragraph" w:styleId="954">
    <w:name w:val="页眉11"/>
    <w:basedOn w:val="719"/>
    <w:next w:val="954"/>
    <w:link w:val="955"/>
    <w:qFormat/>
    <w:pPr>
      <w:jc w:val="center"/>
      <w:tabs>
        <w:tab w:val="center" w:pos="4153" w:leader="none"/>
        <w:tab w:val="right" w:pos="8306" w:leader="none"/>
      </w:tabs>
      <w:pBdr>
        <w:bottom w:val="single" w:color="000000" w:sz="6" w:space="1"/>
      </w:pBdr>
    </w:pPr>
    <w:rPr>
      <w:sz w:val="18"/>
      <w:szCs w:val="18"/>
    </w:rPr>
  </w:style>
  <w:style w:type="character" w:styleId="955">
    <w:name w:val="页眉 Char"/>
    <w:next w:val="955"/>
    <w:link w:val="954"/>
    <w:qFormat/>
    <w:rPr>
      <w:rFonts w:ascii="Times New Roman" w:hAnsi="Times New Roman" w:eastAsia="宋体" w:cs="Times New Roman"/>
      <w:sz w:val="18"/>
      <w:szCs w:val="18"/>
    </w:rPr>
  </w:style>
  <w:style w:type="paragraph" w:styleId="956">
    <w:name w:val="目录 11"/>
    <w:basedOn w:val="719"/>
    <w:next w:val="719"/>
    <w:link w:val="719"/>
    <w:semiHidden/>
    <w:qFormat/>
    <w:pPr>
      <w:jc w:val="left"/>
      <w:spacing w:before="120" w:after="120" w:line="400" w:lineRule="exact"/>
      <w:tabs>
        <w:tab w:val="right" w:pos="8720" w:leader="dot"/>
      </w:tabs>
    </w:pPr>
    <w:rPr>
      <w:rFonts w:ascii="宋体" w:hAnsi="宋体"/>
      <w:caps/>
      <w:sz w:val="24"/>
      <w:szCs w:val="24"/>
    </w:rPr>
  </w:style>
  <w:style w:type="paragraph" w:styleId="957">
    <w:name w:val="目录 41"/>
    <w:basedOn w:val="719"/>
    <w:next w:val="719"/>
    <w:link w:val="719"/>
    <w:semiHidden/>
    <w:qFormat/>
    <w:pPr>
      <w:ind w:left="630"/>
      <w:jc w:val="left"/>
    </w:pPr>
  </w:style>
  <w:style w:type="paragraph" w:styleId="958">
    <w:name w:val="列表1"/>
    <w:basedOn w:val="719"/>
    <w:next w:val="958"/>
    <w:link w:val="719"/>
    <w:qFormat/>
    <w:pPr>
      <w:ind w:left="200" w:hanging="200"/>
    </w:pPr>
  </w:style>
  <w:style w:type="paragraph" w:styleId="959">
    <w:name w:val="目录 61"/>
    <w:basedOn w:val="719"/>
    <w:next w:val="719"/>
    <w:link w:val="719"/>
    <w:semiHidden/>
    <w:qFormat/>
    <w:pPr>
      <w:ind w:left="1050"/>
      <w:jc w:val="left"/>
    </w:pPr>
  </w:style>
  <w:style w:type="paragraph" w:styleId="960">
    <w:name w:val="正文文本缩进 31"/>
    <w:basedOn w:val="719"/>
    <w:next w:val="960"/>
    <w:link w:val="961"/>
    <w:qFormat/>
    <w:pPr>
      <w:ind w:left="645" w:firstLine="645"/>
    </w:pPr>
    <w:rPr>
      <w:rFonts w:ascii="Arial" w:hAnsi="Arial" w:eastAsia="仿宋_GB2312"/>
      <w:color w:val="ffff00"/>
      <w:sz w:val="32"/>
      <w:szCs w:val="32"/>
    </w:rPr>
  </w:style>
  <w:style w:type="character" w:styleId="961">
    <w:name w:val="正文文本缩进 3 Char"/>
    <w:next w:val="961"/>
    <w:link w:val="960"/>
    <w:qFormat/>
    <w:rPr>
      <w:rFonts w:ascii="Arial" w:hAnsi="Arial" w:eastAsia="仿宋_GB2312" w:cs="Arial"/>
      <w:color w:val="ffff00"/>
      <w:sz w:val="32"/>
      <w:szCs w:val="32"/>
    </w:rPr>
  </w:style>
  <w:style w:type="paragraph" w:styleId="962">
    <w:name w:val="图表目录1"/>
    <w:basedOn w:val="719"/>
    <w:next w:val="719"/>
    <w:link w:val="719"/>
    <w:semiHidden/>
    <w:qFormat/>
    <w:pPr>
      <w:ind w:left="840" w:hanging="420"/>
    </w:pPr>
  </w:style>
  <w:style w:type="paragraph" w:styleId="963">
    <w:name w:val="目录 21"/>
    <w:basedOn w:val="719"/>
    <w:next w:val="719"/>
    <w:link w:val="719"/>
    <w:semiHidden/>
    <w:qFormat/>
    <w:pPr>
      <w:ind w:left="210"/>
      <w:jc w:val="left"/>
    </w:pPr>
    <w:rPr>
      <w:smallCaps/>
      <w:szCs w:val="24"/>
    </w:rPr>
  </w:style>
  <w:style w:type="paragraph" w:styleId="964">
    <w:name w:val="目录 91"/>
    <w:basedOn w:val="719"/>
    <w:next w:val="719"/>
    <w:link w:val="719"/>
    <w:semiHidden/>
    <w:qFormat/>
    <w:pPr>
      <w:ind w:left="1680"/>
      <w:jc w:val="left"/>
    </w:pPr>
  </w:style>
  <w:style w:type="paragraph" w:styleId="965">
    <w:name w:val="正文文本 21"/>
    <w:basedOn w:val="719"/>
    <w:next w:val="965"/>
    <w:link w:val="966"/>
    <w:qFormat/>
    <w:pPr>
      <w:jc w:val="center"/>
      <w:widowControl/>
    </w:pPr>
    <w:rPr>
      <w:rFonts w:ascii="楷体_GB2312" w:eastAsia="楷体_GB2312"/>
      <w:sz w:val="28"/>
      <w:szCs w:val="28"/>
    </w:rPr>
  </w:style>
  <w:style w:type="character" w:styleId="966">
    <w:name w:val="正文文本 2 Char"/>
    <w:next w:val="966"/>
    <w:link w:val="965"/>
    <w:qFormat/>
    <w:rPr>
      <w:rFonts w:ascii="楷体_GB2312" w:hAnsi="Times New Roman" w:eastAsia="楷体_GB2312" w:cs="Times New Roman"/>
      <w:sz w:val="28"/>
      <w:szCs w:val="28"/>
    </w:rPr>
  </w:style>
  <w:style w:type="paragraph" w:styleId="967">
    <w:name w:val="普通(网站)1"/>
    <w:basedOn w:val="719"/>
    <w:next w:val="967"/>
    <w:link w:val="719"/>
    <w:uiPriority w:val="99"/>
    <w:qFormat/>
    <w:pPr>
      <w:jc w:val="left"/>
      <w:spacing w:before="100" w:beforeAutospacing="1" w:after="100" w:afterAutospacing="1"/>
      <w:widowControl/>
    </w:pPr>
    <w:rPr>
      <w:rFonts w:ascii="宋体" w:hAnsi="宋体" w:cs="宋体"/>
      <w:sz w:val="24"/>
      <w:szCs w:val="24"/>
    </w:rPr>
  </w:style>
  <w:style w:type="paragraph" w:styleId="968">
    <w:name w:val="索引 11"/>
    <w:basedOn w:val="719"/>
    <w:next w:val="719"/>
    <w:link w:val="719"/>
    <w:semiHidden/>
    <w:qFormat/>
    <w:pPr>
      <w:spacing w:line="240" w:lineRule="atLeast"/>
    </w:pPr>
    <w:rPr>
      <w:b/>
      <w:bCs/>
    </w:rPr>
  </w:style>
  <w:style w:type="paragraph" w:styleId="969">
    <w:name w:val="批注主题1"/>
    <w:basedOn w:val="929"/>
    <w:next w:val="929"/>
    <w:link w:val="970"/>
    <w:qFormat/>
    <w:rPr>
      <w:b/>
      <w:bCs/>
    </w:rPr>
  </w:style>
  <w:style w:type="character" w:styleId="970">
    <w:name w:val="批注主题 Char"/>
    <w:next w:val="970"/>
    <w:link w:val="969"/>
    <w:qFormat/>
    <w:rPr>
      <w:rFonts w:ascii="Times New Roman" w:hAnsi="Times New Roman" w:eastAsia="宋体" w:cs="Times New Roman"/>
      <w:b/>
      <w:bCs/>
      <w:szCs w:val="21"/>
    </w:rPr>
  </w:style>
  <w:style w:type="paragraph" w:styleId="971">
    <w:name w:val="正文首行缩进1"/>
    <w:basedOn w:val="719"/>
    <w:next w:val="971"/>
    <w:link w:val="972"/>
    <w:uiPriority w:val="99"/>
    <w:qFormat/>
    <w:pPr>
      <w:ind w:firstLine="200"/>
      <w:spacing w:line="360" w:lineRule="auto"/>
    </w:pPr>
    <w:rPr>
      <w:rFonts w:ascii="仿宋_GB2312" w:eastAsia="仿宋_GB2312"/>
      <w:sz w:val="30"/>
      <w:szCs w:val="30"/>
    </w:rPr>
  </w:style>
  <w:style w:type="character" w:styleId="972">
    <w:name w:val="正文首行缩进 Char"/>
    <w:next w:val="972"/>
    <w:link w:val="971"/>
    <w:qFormat/>
    <w:rPr>
      <w:rFonts w:ascii="仿宋_GB2312" w:hAnsi="Times New Roman" w:eastAsia="仿宋_GB2312" w:cs="Times New Roman"/>
      <w:sz w:val="30"/>
      <w:szCs w:val="30"/>
    </w:rPr>
  </w:style>
  <w:style w:type="paragraph" w:styleId="973">
    <w:name w:val="正文首行缩进 21"/>
    <w:basedOn w:val="935"/>
    <w:next w:val="973"/>
    <w:link w:val="974"/>
    <w:uiPriority w:val="99"/>
    <w:qFormat/>
    <w:pPr>
      <w:ind w:firstLine="420"/>
      <w:spacing w:line="360" w:lineRule="auto"/>
    </w:pPr>
    <w:rPr>
      <w:rFonts w:ascii="宋体" w:hAnsi="宋体" w:eastAsia="宋体"/>
      <w:szCs w:val="20"/>
    </w:rPr>
  </w:style>
  <w:style w:type="character" w:styleId="974">
    <w:name w:val="正文首行缩进 2 Char"/>
    <w:next w:val="974"/>
    <w:link w:val="973"/>
    <w:qFormat/>
    <w:rPr>
      <w:rFonts w:ascii="宋体" w:hAnsi="宋体" w:eastAsia="宋体" w:cs="Times New Roman"/>
      <w:sz w:val="32"/>
      <w:szCs w:val="20"/>
    </w:rPr>
  </w:style>
  <w:style w:type="table" w:styleId="975">
    <w:name w:val="网格型1"/>
    <w:basedOn w:val="924"/>
    <w:next w:val="975"/>
    <w:link w:val="719"/>
    <w:qFormat/>
    <w:pPr>
      <w:jc w:val="both"/>
      <w:widowControl w:val="off"/>
    </w:pPr>
    <w:rPr>
      <w:rFonts w:ascii="Times New Roman" w:hAnsi="Times New Roman" w:eastAsia="宋体" w:cs="Times New Roman"/>
      <w:sz w:val="20"/>
      <w:szCs w:val="20"/>
    </w:rPr>
    <w:tblPr/>
  </w:style>
  <w:style w:type="character" w:styleId="976">
    <w:name w:val="要点1"/>
    <w:next w:val="976"/>
    <w:link w:val="719"/>
    <w:qFormat/>
    <w:rPr>
      <w:b/>
      <w:bCs/>
    </w:rPr>
  </w:style>
  <w:style w:type="character" w:styleId="977">
    <w:name w:val="页码11"/>
    <w:next w:val="977"/>
    <w:link w:val="719"/>
    <w:qFormat/>
  </w:style>
  <w:style w:type="character" w:styleId="978">
    <w:name w:val="已访问的超链接1"/>
    <w:next w:val="978"/>
    <w:link w:val="719"/>
    <w:uiPriority w:val="99"/>
    <w:qFormat/>
    <w:rPr>
      <w:color w:val="800080"/>
      <w:u w:val="single"/>
    </w:rPr>
  </w:style>
  <w:style w:type="character" w:styleId="979">
    <w:name w:val="HTML 打字机1"/>
    <w:next w:val="979"/>
    <w:link w:val="719"/>
    <w:uiPriority w:val="99"/>
    <w:qFormat/>
    <w:rPr>
      <w:rFonts w:ascii="宋体" w:hAnsi="宋体" w:eastAsia="宋体" w:cs="宋体"/>
      <w:sz w:val="24"/>
      <w:szCs w:val="24"/>
    </w:rPr>
  </w:style>
  <w:style w:type="character" w:styleId="980">
    <w:name w:val="超链接1"/>
    <w:next w:val="980"/>
    <w:link w:val="719"/>
    <w:uiPriority w:val="99"/>
    <w:qFormat/>
    <w:rPr>
      <w:color w:val="0000ff"/>
      <w:u w:val="single"/>
    </w:rPr>
  </w:style>
  <w:style w:type="character" w:styleId="981">
    <w:name w:val="批注引用1"/>
    <w:next w:val="981"/>
    <w:link w:val="719"/>
    <w:qFormat/>
    <w:rPr>
      <w:sz w:val="21"/>
      <w:szCs w:val="21"/>
    </w:rPr>
  </w:style>
  <w:style w:type="paragraph" w:styleId="982">
    <w:name w:val="toc 11"/>
    <w:next w:val="719"/>
    <w:link w:val="719"/>
    <w:qFormat/>
    <w:pPr>
      <w:jc w:val="both"/>
    </w:pPr>
    <w:rPr>
      <w:rFonts w:ascii="Times New Roman" w:hAnsi="Times New Roman" w:eastAsia="宋体" w:cs="Times New Roman"/>
      <w:sz w:val="21"/>
      <w:lang w:val="en-US" w:eastAsia="zh-CN" w:bidi="ar-SA"/>
    </w:rPr>
  </w:style>
  <w:style w:type="paragraph" w:styleId="983">
    <w:name w:val="AONormal"/>
    <w:next w:val="983"/>
    <w:link w:val="719"/>
    <w:qFormat/>
    <w:pPr>
      <w:ind w:firstLine="440"/>
      <w:spacing w:line="400" w:lineRule="exact"/>
    </w:pPr>
    <w:rPr>
      <w:rFonts w:ascii="华文楷体" w:hAnsi="华文楷体" w:eastAsia="华文楷体" w:cs="华文楷体"/>
      <w:sz w:val="22"/>
      <w:szCs w:val="21"/>
      <w:lang w:val="en-US" w:eastAsia="zh-CN" w:bidi="ar-SA"/>
    </w:rPr>
  </w:style>
  <w:style w:type="character" w:styleId="984">
    <w:name w:val="页码1"/>
    <w:next w:val="984"/>
    <w:link w:val="719"/>
    <w:qFormat/>
    <w:rPr>
      <w:sz w:val="21"/>
      <w:szCs w:val="21"/>
      <w:lang w:val="en-US" w:eastAsia="zh-CN" w:bidi="ar-SA"/>
    </w:rPr>
  </w:style>
  <w:style w:type="character" w:styleId="985">
    <w:name w:val="font5 Char"/>
    <w:next w:val="985"/>
    <w:link w:val="719"/>
    <w:qFormat/>
    <w:rPr>
      <w:rFonts w:ascii="宋体" w:hAnsi="宋体" w:eastAsia="宋体"/>
      <w:sz w:val="28"/>
      <w:szCs w:val="28"/>
      <w:lang w:val="en-US" w:eastAsia="zh-CN" w:bidi="ar-SA"/>
    </w:rPr>
  </w:style>
  <w:style w:type="character" w:styleId="986">
    <w:name w:val="二级目录 Char"/>
    <w:next w:val="986"/>
    <w:link w:val="987"/>
    <w:qFormat/>
    <w:rPr>
      <w:b/>
      <w:sz w:val="30"/>
      <w:szCs w:val="28"/>
      <w:lang w:val="en-US" w:eastAsia="zh-CN" w:bidi="ar-SA"/>
    </w:rPr>
  </w:style>
  <w:style w:type="paragraph" w:styleId="987">
    <w:name w:val="二级目录"/>
    <w:next w:val="719"/>
    <w:link w:val="986"/>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8">
    <w:name w:val="列出段落 Char"/>
    <w:next w:val="988"/>
    <w:link w:val="989"/>
    <w:qFormat/>
    <w:rPr>
      <w:rFonts w:ascii="Calibri" w:hAnsi="Calibri"/>
      <w:sz w:val="24"/>
      <w:szCs w:val="24"/>
      <w:lang w:eastAsia="en-US" w:bidi="en-US"/>
    </w:rPr>
  </w:style>
  <w:style w:type="paragraph" w:styleId="989">
    <w:name w:val="列出段落1"/>
    <w:basedOn w:val="719"/>
    <w:next w:val="989"/>
    <w:link w:val="988"/>
    <w:qFormat/>
    <w:pPr>
      <w:contextualSpacing/>
      <w:ind w:left="720"/>
      <w:jc w:val="left"/>
      <w:widowControl/>
    </w:pPr>
    <w:rPr>
      <w:rFonts w:ascii="Calibri" w:hAnsi="Calibri"/>
      <w:sz w:val="24"/>
      <w:szCs w:val="24"/>
      <w:lang w:eastAsia="en-US" w:bidi="en-US"/>
    </w:rPr>
  </w:style>
  <w:style w:type="paragraph" w:styleId="990">
    <w:name w:val="Body Text(ch)"/>
    <w:basedOn w:val="719"/>
    <w:next w:val="933"/>
    <w:link w:val="719"/>
    <w:qFormat/>
    <w:pPr>
      <w:spacing w:after="120"/>
    </w:pPr>
    <w:rPr>
      <w:rFonts w:ascii="宋体" w:hAnsi="Arial"/>
      <w:bCs/>
      <w:iCs/>
      <w:szCs w:val="24"/>
    </w:rPr>
  </w:style>
  <w:style w:type="paragraph" w:styleId="991">
    <w:name w:val="xl27"/>
    <w:basedOn w:val="719"/>
    <w:next w:val="991"/>
    <w:link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6"/>
    <w:basedOn w:val="719"/>
    <w:next w:val="992"/>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name w:val="Char"/>
    <w:basedOn w:val="719"/>
    <w:next w:val="993"/>
    <w:link w:val="719"/>
    <w:qFormat/>
    <w:pPr>
      <w:ind w:firstLine="200"/>
      <w:tabs>
        <w:tab w:val="left" w:pos="360" w:leader="none"/>
      </w:tabs>
    </w:pPr>
    <w:rPr>
      <w:sz w:val="28"/>
      <w:szCs w:val="30"/>
    </w:rPr>
  </w:style>
  <w:style w:type="paragraph" w:styleId="994">
    <w:name w:val=" Char"/>
    <w:basedOn w:val="927"/>
    <w:next w:val="994"/>
    <w:link w:val="719"/>
    <w:qFormat/>
    <w:rPr>
      <w:rFonts w:ascii="Tahoma" w:hAnsi="Tahoma"/>
      <w:sz w:val="24"/>
      <w:szCs w:val="24"/>
    </w:rPr>
  </w:style>
  <w:style w:type="paragraph" w:styleId="995">
    <w:name w:val="普通正文"/>
    <w:basedOn w:val="719"/>
    <w:next w:val="995"/>
    <w:link w:val="719"/>
    <w:qFormat/>
    <w:pPr>
      <w:ind w:firstLine="480"/>
      <w:jc w:val="left"/>
      <w:spacing w:before="120" w:after="120" w:line="360" w:lineRule="auto"/>
    </w:pPr>
    <w:rPr>
      <w:rFonts w:ascii="Arial" w:hAnsi="Arial"/>
      <w:sz w:val="24"/>
      <w:szCs w:val="24"/>
    </w:rPr>
  </w:style>
  <w:style w:type="paragraph" w:styleId="996">
    <w:name w:val="table_lines"/>
    <w:basedOn w:val="719"/>
    <w:next w:val="996"/>
    <w:link w:val="719"/>
    <w:qFormat/>
    <w:pPr>
      <w:jc w:val="left"/>
      <w:widowControl/>
    </w:pPr>
    <w:rPr>
      <w:sz w:val="20"/>
      <w:szCs w:val="20"/>
      <w:lang w:val="de-DE" w:eastAsia="de-DE"/>
    </w:rPr>
  </w:style>
  <w:style w:type="paragraph" w:styleId="997">
    <w:name w:val="附录1"/>
    <w:next w:val="997"/>
    <w:link w:val="719"/>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98">
    <w:name w:val="font7"/>
    <w:basedOn w:val="719"/>
    <w:next w:val="998"/>
    <w:link w:val="719"/>
    <w:qFormat/>
    <w:pPr>
      <w:jc w:val="left"/>
      <w:spacing w:before="100" w:beforeAutospacing="1" w:after="100" w:afterAutospacing="1"/>
      <w:widowControl/>
    </w:pPr>
    <w:rPr>
      <w:rFonts w:hint="eastAsia" w:ascii="宋体" w:hAnsi="宋体"/>
      <w:sz w:val="18"/>
      <w:szCs w:val="18"/>
    </w:rPr>
  </w:style>
  <w:style w:type="paragraph" w:styleId="999">
    <w:name w:val=" Char Char Char Char"/>
    <w:basedOn w:val="927"/>
    <w:next w:val="999"/>
    <w:link w:val="719"/>
    <w:qFormat/>
    <w:pPr>
      <w:spacing w:line="360" w:lineRule="auto"/>
    </w:pPr>
    <w:rPr>
      <w:rFonts w:ascii="Tahoma" w:hAnsi="Tahoma"/>
      <w:sz w:val="24"/>
      <w:szCs w:val="24"/>
    </w:rPr>
  </w:style>
  <w:style w:type="paragraph" w:styleId="1000">
    <w:name w:val="列出段落"/>
    <w:basedOn w:val="719"/>
    <w:next w:val="1000"/>
    <w:link w:val="719"/>
    <w:uiPriority w:val="99"/>
    <w:qFormat/>
    <w:pPr>
      <w:contextualSpacing/>
      <w:ind w:left="720"/>
      <w:jc w:val="left"/>
      <w:widowControl/>
    </w:pPr>
    <w:rPr>
      <w:rFonts w:ascii="Calibri" w:hAnsi="Calibri"/>
      <w:sz w:val="24"/>
      <w:szCs w:val="24"/>
      <w:lang w:eastAsia="en-US" w:bidi="en-US"/>
    </w:rPr>
  </w:style>
  <w:style w:type="paragraph" w:styleId="1001">
    <w:name w:val="4"/>
    <w:basedOn w:val="719"/>
    <w:next w:val="960"/>
    <w:link w:val="719"/>
    <w:qFormat/>
    <w:pPr>
      <w:ind w:firstLine="420"/>
      <w:spacing w:line="360" w:lineRule="auto"/>
    </w:pPr>
    <w:rPr>
      <w:color w:val="ff0000"/>
      <w:sz w:val="24"/>
      <w:szCs w:val="24"/>
    </w:rPr>
  </w:style>
  <w:style w:type="paragraph" w:styleId="1002">
    <w:name w:val="普通 (Web)"/>
    <w:basedOn w:val="719"/>
    <w:next w:val="1002"/>
    <w:link w:val="719"/>
    <w:qFormat/>
    <w:pPr>
      <w:jc w:val="left"/>
      <w:spacing w:before="100" w:beforeAutospacing="1" w:after="100" w:afterAutospacing="1"/>
      <w:widowControl/>
    </w:pPr>
    <w:rPr>
      <w:rFonts w:ascii="宋体" w:hAnsi="宋体"/>
      <w:sz w:val="24"/>
      <w:szCs w:val="24"/>
    </w:rPr>
  </w:style>
  <w:style w:type="paragraph" w:styleId="1003">
    <w:name w:val=" Char Char Char Char Char Char Char Char Char Char"/>
    <w:basedOn w:val="719"/>
    <w:next w:val="1003"/>
    <w:link w:val="719"/>
    <w:qFormat/>
    <w:pPr>
      <w:spacing w:line="360" w:lineRule="auto"/>
    </w:pPr>
    <w:rPr>
      <w:sz w:val="24"/>
      <w:szCs w:val="20"/>
    </w:rPr>
  </w:style>
  <w:style w:type="paragraph" w:styleId="1004">
    <w:name w:val="样式1"/>
    <w:basedOn w:val="719"/>
    <w:next w:val="1004"/>
    <w:link w:val="719"/>
    <w:qFormat/>
    <w:pPr>
      <w:numPr>
        <w:ilvl w:val="0"/>
        <w:numId w:val="3"/>
      </w:numPr>
      <w:tabs>
        <w:tab w:val="left" w:pos="709" w:leader="none"/>
      </w:tabs>
    </w:pPr>
    <w:rPr>
      <w:rFonts w:ascii="宋体" w:hAnsi="宋体"/>
    </w:rPr>
  </w:style>
  <w:style w:type="paragraph" w:styleId="1005">
    <w:name w:val="font6"/>
    <w:basedOn w:val="719"/>
    <w:next w:val="1005"/>
    <w:link w:val="719"/>
    <w:qFormat/>
    <w:pPr>
      <w:jc w:val="left"/>
      <w:spacing w:before="100" w:beforeAutospacing="1" w:after="100" w:afterAutospacing="1"/>
      <w:widowControl/>
    </w:pPr>
    <w:rPr>
      <w:rFonts w:hint="eastAsia" w:ascii="宋体" w:hAnsi="宋体"/>
      <w:sz w:val="28"/>
      <w:szCs w:val="28"/>
      <w:u w:val="single"/>
    </w:rPr>
  </w:style>
  <w:style w:type="paragraph" w:styleId="1006">
    <w:name w:val="xl25"/>
    <w:basedOn w:val="719"/>
    <w:next w:val="1006"/>
    <w:link w:val="71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719"/>
    <w:next w:val="719"/>
    <w:link w:val="71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name w:val="标题3"/>
    <w:basedOn w:val="719"/>
    <w:next w:val="719"/>
    <w:link w:val="719"/>
    <w:qFormat/>
    <w:pPr>
      <w:ind w:firstLine="624"/>
      <w:spacing w:line="590" w:lineRule="atLeast"/>
    </w:pPr>
    <w:rPr>
      <w:rFonts w:ascii="方正黑体_GBK" w:eastAsia="方正黑体_GBK"/>
      <w:sz w:val="32"/>
      <w:szCs w:val="32"/>
    </w:rPr>
  </w:style>
  <w:style w:type="paragraph" w:styleId="1009">
    <w:name w:val="xl24"/>
    <w:basedOn w:val="719"/>
    <w:next w:val="1009"/>
    <w:link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xl29"/>
    <w:basedOn w:val="719"/>
    <w:next w:val="1010"/>
    <w:link w:val="71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name w:val="Char Char Char Char Char Char Char Char"/>
    <w:basedOn w:val="719"/>
    <w:next w:val="1011"/>
    <w:link w:val="719"/>
    <w:qFormat/>
    <w:pPr>
      <w:jc w:val="left"/>
      <w:spacing w:after="160" w:line="240" w:lineRule="exact"/>
      <w:widowControl/>
    </w:pPr>
    <w:rPr>
      <w:rFonts w:ascii="Verdana" w:hAnsi="Verdana"/>
      <w:sz w:val="20"/>
      <w:szCs w:val="20"/>
      <w:lang w:eastAsia="en-US"/>
    </w:rPr>
  </w:style>
  <w:style w:type="paragraph" w:styleId="1012">
    <w:name w:val="xl28"/>
    <w:basedOn w:val="719"/>
    <w:next w:val="1012"/>
    <w:link w:val="71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name w:val=" Char Char Char Char Char Char Char Char"/>
    <w:basedOn w:val="719"/>
    <w:next w:val="1013"/>
    <w:link w:val="719"/>
    <w:qFormat/>
    <w:pPr>
      <w:jc w:val="left"/>
      <w:spacing w:after="160" w:line="240" w:lineRule="exact"/>
      <w:widowControl/>
    </w:pPr>
    <w:rPr>
      <w:rFonts w:ascii="Verdana" w:hAnsi="Verdana"/>
      <w:sz w:val="20"/>
      <w:szCs w:val="20"/>
      <w:lang w:eastAsia="en-US"/>
    </w:rPr>
  </w:style>
  <w:style w:type="paragraph" w:styleId="1014">
    <w:name w:val="xl30"/>
    <w:basedOn w:val="719"/>
    <w:next w:val="1014"/>
    <w:link w:val="719"/>
    <w:qFormat/>
    <w:pPr>
      <w:jc w:val="center"/>
      <w:spacing w:before="100" w:beforeAutospacing="1" w:after="100" w:afterAutospacing="1"/>
      <w:widowControl/>
    </w:pPr>
    <w:rPr>
      <w:rFonts w:ascii="宋体" w:hAnsi="宋体"/>
      <w:b/>
      <w:bCs/>
      <w:sz w:val="36"/>
      <w:szCs w:val="36"/>
    </w:rPr>
  </w:style>
  <w:style w:type="paragraph" w:styleId="1015">
    <w:name w:val="Char Char Char Char"/>
    <w:basedOn w:val="927"/>
    <w:next w:val="1015"/>
    <w:link w:val="719"/>
    <w:qFormat/>
    <w:pPr>
      <w:spacing w:line="360" w:lineRule="auto"/>
    </w:pPr>
    <w:rPr>
      <w:rFonts w:ascii="Tahoma" w:hAnsi="Tahoma"/>
      <w:sz w:val="24"/>
      <w:szCs w:val="24"/>
    </w:rPr>
  </w:style>
  <w:style w:type="paragraph" w:styleId="1016">
    <w:name w:val="table_1stline"/>
    <w:basedOn w:val="719"/>
    <w:next w:val="1016"/>
    <w:link w:val="719"/>
    <w:qFormat/>
    <w:pPr>
      <w:jc w:val="left"/>
      <w:spacing w:before="120"/>
      <w:widowControl/>
    </w:pPr>
    <w:rPr>
      <w:bCs/>
      <w:sz w:val="20"/>
      <w:szCs w:val="20"/>
      <w:lang w:val="de-DE" w:eastAsia="de-DE"/>
    </w:rPr>
  </w:style>
  <w:style w:type="paragraph" w:styleId="1017">
    <w:name w:val="font5"/>
    <w:basedOn w:val="719"/>
    <w:next w:val="1017"/>
    <w:link w:val="719"/>
    <w:qFormat/>
    <w:pPr>
      <w:jc w:val="left"/>
      <w:spacing w:before="100" w:beforeAutospacing="1" w:after="100" w:afterAutospacing="1"/>
      <w:widowControl/>
    </w:pPr>
    <w:rPr>
      <w:rFonts w:hint="eastAsia" w:ascii="宋体" w:hAnsi="宋体"/>
      <w:sz w:val="28"/>
      <w:szCs w:val="28"/>
    </w:rPr>
  </w:style>
  <w:style w:type="paragraph" w:styleId="1018">
    <w:name w:val="标题1"/>
    <w:basedOn w:val="719"/>
    <w:next w:val="719"/>
    <w:link w:val="71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name w:val="修订"/>
    <w:next w:val="1019"/>
    <w:link w:val="719"/>
    <w:uiPriority w:val="99"/>
    <w:semiHidden/>
    <w:qFormat/>
    <w:rPr>
      <w:rFonts w:ascii="Times New Roman" w:hAnsi="Times New Roman" w:eastAsia="宋体" w:cs="Times New Roman"/>
      <w:sz w:val="21"/>
      <w:szCs w:val="21"/>
      <w:lang w:val="en-US" w:eastAsia="zh-CN" w:bidi="ar-SA"/>
    </w:rPr>
  </w:style>
  <w:style w:type="paragraph" w:styleId="1020">
    <w:name w:val="无间隔"/>
    <w:next w:val="1020"/>
    <w:link w:val="719"/>
    <w:uiPriority w:val="99"/>
    <w:qFormat/>
    <w:pPr>
      <w:jc w:val="both"/>
      <w:widowControl w:val="off"/>
    </w:pPr>
    <w:rPr>
      <w:rFonts w:ascii="Times New Roman" w:hAnsi="Times New Roman" w:eastAsia="宋体" w:cs="Times New Roman"/>
      <w:sz w:val="21"/>
      <w:szCs w:val="21"/>
      <w:lang w:val="en-US" w:eastAsia="zh-CN" w:bidi="ar-SA"/>
    </w:rPr>
  </w:style>
  <w:style w:type="paragraph" w:styleId="1021">
    <w:name w:val="普通文字"/>
    <w:basedOn w:val="719"/>
    <w:next w:val="719"/>
    <w:link w:val="719"/>
    <w:uiPriority w:val="99"/>
    <w:qFormat/>
    <w:rPr>
      <w:rFonts w:ascii="宋体" w:hAnsi="Times New Roman" w:eastAsia="宋体" w:cs="Times New Roman"/>
      <w:sz w:val="24"/>
      <w:szCs w:val="20"/>
      <w:u w:val="none"/>
    </w:rPr>
  </w:style>
  <w:style w:type="paragraph" w:styleId="1022">
    <w:name w:val="目录 111"/>
    <w:basedOn w:val="719"/>
    <w:next w:val="719"/>
    <w:link w:val="719"/>
    <w:uiPriority w:val="39"/>
    <w:unhideWhenUsed/>
    <w:qFormat/>
    <w:pPr>
      <w:jc w:val="left"/>
      <w:spacing w:after="100" w:line="259" w:lineRule="auto"/>
      <w:widowControl/>
    </w:pPr>
    <w:rPr>
      <w:rFonts w:ascii="Calibri" w:hAnsi="Calibri" w:eastAsia="宋体"/>
      <w:sz w:val="22"/>
      <w:szCs w:val="22"/>
    </w:rPr>
  </w:style>
  <w:style w:type="character" w:styleId="1023">
    <w:name w:val="font11"/>
    <w:next w:val="1023"/>
    <w:link w:val="719"/>
    <w:qFormat/>
    <w:rPr>
      <w:rFonts w:hint="eastAsia" w:ascii="宋体" w:hAnsi="宋体" w:eastAsia="宋体" w:cs="宋体"/>
      <w:color w:val="000000"/>
      <w:sz w:val="20"/>
      <w:szCs w:val="20"/>
      <w:u w:val="none"/>
    </w:rPr>
  </w:style>
  <w:style w:type="paragraph" w:styleId="1024">
    <w:name w:val="msonormal"/>
    <w:basedOn w:val="719"/>
    <w:next w:val="1024"/>
    <w:link w:val="719"/>
    <w:qFormat/>
    <w:pPr>
      <w:jc w:val="left"/>
      <w:spacing w:before="100" w:beforeAutospacing="1" w:after="100" w:afterAutospacing="1"/>
      <w:widowControl/>
    </w:pPr>
    <w:rPr>
      <w:rFonts w:ascii="宋体" w:hAnsi="宋体" w:cs="宋体"/>
      <w:sz w:val="24"/>
      <w:szCs w:val="24"/>
    </w:rPr>
  </w:style>
  <w:style w:type="paragraph" w:styleId="1025">
    <w:name w:val="xl66"/>
    <w:basedOn w:val="719"/>
    <w:next w:val="1025"/>
    <w:link w:val="719"/>
    <w:qFormat/>
    <w:pPr>
      <w:jc w:val="left"/>
      <w:spacing w:before="100" w:beforeAutospacing="1" w:after="100" w:afterAutospacing="1"/>
      <w:widowControl/>
    </w:pPr>
    <w:rPr>
      <w:rFonts w:ascii="宋体" w:hAnsi="宋体" w:cs="宋体"/>
      <w:sz w:val="22"/>
      <w:szCs w:val="22"/>
    </w:rPr>
  </w:style>
  <w:style w:type="paragraph" w:styleId="1026">
    <w:name w:val="xl67"/>
    <w:basedOn w:val="719"/>
    <w:next w:val="1026"/>
    <w:link w:val="719"/>
    <w:qFormat/>
    <w:pPr>
      <w:jc w:val="left"/>
      <w:spacing w:before="100" w:beforeAutospacing="1" w:after="100" w:afterAutospacing="1"/>
      <w:widowControl/>
    </w:pPr>
    <w:rPr>
      <w:rFonts w:ascii="宋体" w:hAnsi="宋体" w:cs="宋体"/>
      <w:color w:val="000000"/>
      <w:sz w:val="22"/>
      <w:szCs w:val="22"/>
    </w:rPr>
  </w:style>
  <w:style w:type="paragraph" w:styleId="1027">
    <w:name w:val="xl68"/>
    <w:basedOn w:val="719"/>
    <w:next w:val="1027"/>
    <w:link w:val="719"/>
    <w:qFormat/>
    <w:pPr>
      <w:jc w:val="center"/>
      <w:spacing w:before="100" w:beforeAutospacing="1" w:after="100" w:afterAutospacing="1"/>
      <w:widowControl/>
    </w:pPr>
    <w:rPr>
      <w:rFonts w:ascii="宋体" w:hAnsi="宋体" w:cs="宋体"/>
      <w:sz w:val="22"/>
      <w:szCs w:val="22"/>
    </w:rPr>
  </w:style>
  <w:style w:type="paragraph" w:styleId="1028">
    <w:name w:val="xl69"/>
    <w:basedOn w:val="719"/>
    <w:next w:val="1028"/>
    <w:link w:val="719"/>
    <w:qFormat/>
    <w:pPr>
      <w:jc w:val="center"/>
      <w:spacing w:before="100" w:beforeAutospacing="1" w:after="100" w:afterAutospacing="1"/>
      <w:widowControl/>
    </w:pPr>
    <w:rPr>
      <w:rFonts w:ascii="宋体" w:hAnsi="宋体" w:cs="宋体"/>
      <w:sz w:val="18"/>
      <w:szCs w:val="18"/>
    </w:rPr>
  </w:style>
  <w:style w:type="paragraph" w:styleId="1029">
    <w:name w:val="xl70"/>
    <w:basedOn w:val="719"/>
    <w:next w:val="1029"/>
    <w:link w:val="719"/>
    <w:qFormat/>
    <w:pPr>
      <w:jc w:val="center"/>
      <w:spacing w:before="100" w:beforeAutospacing="1" w:after="100" w:afterAutospacing="1"/>
      <w:widowControl/>
    </w:pPr>
    <w:rPr>
      <w:rFonts w:ascii="宋体" w:hAnsi="宋体" w:cs="宋体"/>
      <w:color w:val="000000"/>
      <w:sz w:val="22"/>
      <w:szCs w:val="22"/>
    </w:rPr>
  </w:style>
  <w:style w:type="paragraph" w:styleId="1030">
    <w:name w:val="xl71"/>
    <w:basedOn w:val="719"/>
    <w:next w:val="1030"/>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31">
    <w:name w:val="xl72"/>
    <w:basedOn w:val="719"/>
    <w:next w:val="1031"/>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32">
    <w:name w:val="xl73"/>
    <w:basedOn w:val="719"/>
    <w:next w:val="1032"/>
    <w:link w:val="719"/>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33">
    <w:name w:val="xl74"/>
    <w:basedOn w:val="719"/>
    <w:next w:val="1033"/>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34">
    <w:name w:val="xl75"/>
    <w:basedOn w:val="719"/>
    <w:next w:val="1034"/>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35">
    <w:name w:val="xl76"/>
    <w:basedOn w:val="719"/>
    <w:next w:val="1035"/>
    <w:link w:val="719"/>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36">
    <w:name w:val="xl77"/>
    <w:basedOn w:val="719"/>
    <w:next w:val="1036"/>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name w:val="xl78"/>
    <w:basedOn w:val="719"/>
    <w:next w:val="1037"/>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name w:val="xl79"/>
    <w:basedOn w:val="719"/>
    <w:next w:val="1038"/>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9">
    <w:name w:val="xl80"/>
    <w:basedOn w:val="719"/>
    <w:next w:val="1039"/>
    <w:link w:val="71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040">
    <w:name w:val="xl81"/>
    <w:basedOn w:val="719"/>
    <w:next w:val="1040"/>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1">
    <w:name w:val="xl82"/>
    <w:basedOn w:val="719"/>
    <w:next w:val="1041"/>
    <w:link w:val="719"/>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name w:val="xl83"/>
    <w:basedOn w:val="719"/>
    <w:next w:val="1042"/>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3">
    <w:name w:val="xl84"/>
    <w:basedOn w:val="719"/>
    <w:next w:val="1043"/>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4">
    <w:name w:val="xl85"/>
    <w:basedOn w:val="719"/>
    <w:next w:val="1044"/>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45">
    <w:name w:val="xl86"/>
    <w:basedOn w:val="719"/>
    <w:next w:val="1045"/>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46">
    <w:name w:val="xl87"/>
    <w:basedOn w:val="719"/>
    <w:next w:val="1046"/>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47">
    <w:name w:val="xl88"/>
    <w:basedOn w:val="719"/>
    <w:next w:val="1047"/>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8">
    <w:name w:val="xl89"/>
    <w:basedOn w:val="719"/>
    <w:next w:val="1048"/>
    <w:link w:val="719"/>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049">
    <w:name w:val="xl90"/>
    <w:basedOn w:val="719"/>
    <w:next w:val="1049"/>
    <w:link w:val="7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050">
    <w:name w:val="xl91"/>
    <w:basedOn w:val="719"/>
    <w:next w:val="1050"/>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1">
    <w:name w:val="xl92"/>
    <w:basedOn w:val="719"/>
    <w:next w:val="1051"/>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2">
    <w:name w:val="xl93"/>
    <w:basedOn w:val="719"/>
    <w:next w:val="1052"/>
    <w:link w:val="719"/>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3">
    <w:name w:val="xl94"/>
    <w:basedOn w:val="719"/>
    <w:next w:val="1053"/>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4">
    <w:name w:val="xl95"/>
    <w:basedOn w:val="719"/>
    <w:next w:val="1054"/>
    <w:link w:val="71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055">
    <w:name w:val="xl96"/>
    <w:basedOn w:val="719"/>
    <w:next w:val="1055"/>
    <w:link w:val="71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56">
    <w:name w:val="xl97"/>
    <w:basedOn w:val="719"/>
    <w:next w:val="1056"/>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7">
    <w:name w:val="xl98"/>
    <w:basedOn w:val="719"/>
    <w:next w:val="1057"/>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8">
    <w:name w:val="xl99"/>
    <w:basedOn w:val="719"/>
    <w:next w:val="1058"/>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9">
    <w:name w:val="xl100"/>
    <w:basedOn w:val="719"/>
    <w:next w:val="1059"/>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0">
    <w:name w:val="xl101"/>
    <w:basedOn w:val="719"/>
    <w:next w:val="1060"/>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1">
    <w:name w:val="xl102"/>
    <w:basedOn w:val="719"/>
    <w:next w:val="1061"/>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62">
    <w:name w:val="xl103"/>
    <w:basedOn w:val="719"/>
    <w:next w:val="1062"/>
    <w:link w:val="7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063">
    <w:name w:val="xl104"/>
    <w:basedOn w:val="719"/>
    <w:next w:val="1063"/>
    <w:link w:val="719"/>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064">
    <w:name w:val="xl105"/>
    <w:basedOn w:val="719"/>
    <w:next w:val="1064"/>
    <w:link w:val="719"/>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5">
    <w:name w:val="xl106"/>
    <w:basedOn w:val="719"/>
    <w:next w:val="1065"/>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66">
    <w:name w:val="xl107"/>
    <w:basedOn w:val="719"/>
    <w:next w:val="1066"/>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67">
    <w:name w:val="xl108"/>
    <w:basedOn w:val="719"/>
    <w:next w:val="1067"/>
    <w:link w:val="719"/>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68">
    <w:name w:val="xl109"/>
    <w:basedOn w:val="719"/>
    <w:next w:val="1068"/>
    <w:link w:val="719"/>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69">
    <w:name w:val="xl110"/>
    <w:basedOn w:val="719"/>
    <w:next w:val="1069"/>
    <w:link w:val="719"/>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070">
    <w:name w:val="xl111"/>
    <w:basedOn w:val="719"/>
    <w:next w:val="1070"/>
    <w:link w:val="719"/>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name w:val="xl112"/>
    <w:basedOn w:val="719"/>
    <w:next w:val="1071"/>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name w:val="xl113"/>
    <w:basedOn w:val="719"/>
    <w:next w:val="1072"/>
    <w:link w:val="71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073">
    <w:name w:val="xl114"/>
    <w:basedOn w:val="719"/>
    <w:next w:val="1073"/>
    <w:link w:val="719"/>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4">
    <w:name w:val="xl115"/>
    <w:basedOn w:val="719"/>
    <w:next w:val="1074"/>
    <w:link w:val="719"/>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5">
    <w:name w:val="xl116"/>
    <w:basedOn w:val="719"/>
    <w:next w:val="1075"/>
    <w:link w:val="719"/>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6">
    <w:name w:val="xl117"/>
    <w:basedOn w:val="719"/>
    <w:next w:val="1076"/>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77">
    <w:name w:val="xl118"/>
    <w:basedOn w:val="719"/>
    <w:next w:val="1077"/>
    <w:link w:val="719"/>
    <w:qFormat/>
    <w:pPr>
      <w:jc w:val="left"/>
      <w:spacing w:before="100" w:beforeAutospacing="1" w:after="100" w:afterAutospacing="1"/>
      <w:widowControl/>
    </w:pPr>
    <w:rPr>
      <w:rFonts w:ascii="宋体" w:hAnsi="宋体" w:cs="宋体"/>
      <w:sz w:val="24"/>
      <w:szCs w:val="24"/>
    </w:rPr>
  </w:style>
  <w:style w:type="paragraph" w:styleId="1078">
    <w:name w:val="xl119"/>
    <w:basedOn w:val="719"/>
    <w:next w:val="1078"/>
    <w:link w:val="719"/>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079">
    <w:name w:val="xl120"/>
    <w:basedOn w:val="719"/>
    <w:next w:val="1079"/>
    <w:link w:val="719"/>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080">
    <w:name w:val="xl121"/>
    <w:basedOn w:val="719"/>
    <w:next w:val="1080"/>
    <w:link w:val="719"/>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081">
    <w:name w:val="xl122"/>
    <w:basedOn w:val="719"/>
    <w:next w:val="1081"/>
    <w:link w:val="719"/>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82">
    <w:name w:val="xl123"/>
    <w:basedOn w:val="719"/>
    <w:next w:val="1082"/>
    <w:link w:val="71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083">
    <w:name w:val="xl124"/>
    <w:basedOn w:val="719"/>
    <w:next w:val="1083"/>
    <w:link w:val="71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084">
    <w:name w:val="xl125"/>
    <w:basedOn w:val="719"/>
    <w:next w:val="1084"/>
    <w:link w:val="7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085">
    <w:name w:val="xl126"/>
    <w:basedOn w:val="719"/>
    <w:next w:val="1085"/>
    <w:link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6">
    <w:name w:val="xl127"/>
    <w:basedOn w:val="719"/>
    <w:next w:val="1086"/>
    <w:link w:val="7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87">
    <w:name w:val="xl128"/>
    <w:basedOn w:val="719"/>
    <w:next w:val="1087"/>
    <w:link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8">
    <w:name w:val="xl129"/>
    <w:basedOn w:val="719"/>
    <w:next w:val="1088"/>
    <w:link w:val="719"/>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089">
    <w:name w:val="xl130"/>
    <w:basedOn w:val="719"/>
    <w:next w:val="1089"/>
    <w:link w:val="719"/>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090">
    <w:name w:val="xl131"/>
    <w:basedOn w:val="719"/>
    <w:next w:val="1090"/>
    <w:link w:val="719"/>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091">
    <w:name w:val="xl132"/>
    <w:basedOn w:val="719"/>
    <w:next w:val="1091"/>
    <w:link w:val="719"/>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092">
    <w:name w:val="xl133"/>
    <w:basedOn w:val="719"/>
    <w:next w:val="1092"/>
    <w:link w:val="719"/>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093">
    <w:name w:val="xl134"/>
    <w:basedOn w:val="719"/>
    <w:next w:val="1093"/>
    <w:link w:val="719"/>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094">
    <w:name w:val="xl135"/>
    <w:basedOn w:val="719"/>
    <w:next w:val="1094"/>
    <w:link w:val="719"/>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095">
    <w:name w:val="xl136"/>
    <w:basedOn w:val="719"/>
    <w:next w:val="1095"/>
    <w:link w:val="719"/>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096">
    <w:name w:val="xl137"/>
    <w:basedOn w:val="719"/>
    <w:next w:val="1096"/>
    <w:link w:val="719"/>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097">
    <w:name w:val="font101"/>
    <w:next w:val="1097"/>
    <w:link w:val="719"/>
    <w:qFormat/>
    <w:rPr>
      <w:rFonts w:ascii="Times New Roman" w:hAnsi="Times New Roman" w:cs="Times New Roman"/>
      <w:color w:val="000000"/>
      <w:sz w:val="22"/>
      <w:szCs w:val="22"/>
      <w:u w:val="none"/>
    </w:rPr>
  </w:style>
  <w:style w:type="character" w:styleId="1098">
    <w:name w:val="font71"/>
    <w:next w:val="1098"/>
    <w:link w:val="719"/>
    <w:qFormat/>
    <w:rPr>
      <w:rFonts w:hint="eastAsia" w:ascii="宋体" w:hAnsi="宋体" w:eastAsia="宋体" w:cs="宋体"/>
      <w:color w:val="000000"/>
      <w:sz w:val="20"/>
      <w:szCs w:val="20"/>
      <w:u w:val="none"/>
    </w:rPr>
  </w:style>
  <w:style w:type="character" w:styleId="1099">
    <w:name w:val="font31"/>
    <w:next w:val="1099"/>
    <w:link w:val="719"/>
    <w:qFormat/>
    <w:rPr>
      <w:rFonts w:hint="eastAsia" w:ascii="宋体" w:hAnsi="宋体" w:eastAsia="宋体" w:cs="宋体"/>
      <w:b/>
      <w:bCs/>
      <w:color w:val="000000"/>
      <w:sz w:val="22"/>
      <w:szCs w:val="22"/>
      <w:u w:val="none"/>
    </w:rPr>
  </w:style>
  <w:style w:type="character" w:styleId="1100">
    <w:name w:val="font01"/>
    <w:next w:val="1100"/>
    <w:link w:val="719"/>
    <w:qFormat/>
    <w:rPr>
      <w:rFonts w:hint="eastAsia" w:ascii="宋体" w:hAnsi="宋体" w:eastAsia="宋体" w:cs="宋体"/>
      <w:color w:val="000000"/>
      <w:sz w:val="24"/>
      <w:szCs w:val="24"/>
      <w:u w:val="none"/>
    </w:rPr>
  </w:style>
  <w:style w:type="paragraph" w:styleId="1101">
    <w:name w:val="正文文本首行缩进 21"/>
    <w:basedOn w:val="935"/>
    <w:next w:val="1101"/>
    <w:link w:val="719"/>
    <w:qFormat/>
    <w:pPr>
      <w:ind w:left="420" w:firstLine="420"/>
      <w:spacing w:after="120"/>
    </w:pPr>
    <w:rPr>
      <w:rFonts w:ascii="Calibri" w:hAnsi="Calibri" w:eastAsia="宋体" w:cs="Times New Roman"/>
      <w:sz w:val="21"/>
      <w:szCs w:val="24"/>
      <w:lang w:val="en-US" w:eastAsia="zh-CN"/>
    </w:rPr>
  </w:style>
  <w:style w:type="paragraph" w:styleId="1102">
    <w:name w:val="段"/>
    <w:next w:val="719"/>
    <w:link w:val="719"/>
    <w:qFormat/>
    <w:pPr>
      <w:ind w:firstLine="200"/>
      <w:jc w:val="both"/>
    </w:pPr>
    <w:rPr>
      <w:rFonts w:ascii="宋体" w:hAnsi="Times New Roman" w:eastAsia="宋体" w:cs="Times New Roman"/>
      <w:sz w:val="21"/>
      <w:lang w:val="en-US" w:eastAsia="zh-CN" w:bidi="ar-SA"/>
    </w:rPr>
  </w:style>
  <w:style w:type="paragraph" w:styleId="1103">
    <w:name w:val="页眉1"/>
    <w:basedOn w:val="719"/>
    <w:next w:val="1103"/>
    <w:link w:val="719"/>
    <w:uiPriority w:val="99"/>
    <w:qFormat/>
    <w:pPr>
      <w:jc w:val="center"/>
      <w:tabs>
        <w:tab w:val="center" w:pos="4153" w:leader="none"/>
        <w:tab w:val="right" w:pos="8306" w:leader="none"/>
      </w:tabs>
      <w:pBdr>
        <w:bottom w:val="single" w:color="000000" w:sz="6" w:space="1"/>
      </w:pBdr>
    </w:pPr>
    <w:rPr>
      <w:sz w:val="18"/>
      <w:szCs w:val="18"/>
    </w:rPr>
  </w:style>
  <w:style w:type="paragraph" w:styleId="1104">
    <w:name w:val="页脚1"/>
    <w:basedOn w:val="719"/>
    <w:next w:val="1105"/>
    <w:link w:val="719"/>
    <w:qFormat/>
    <w:pPr>
      <w:jc w:val="left"/>
      <w:tabs>
        <w:tab w:val="center" w:pos="4153" w:leader="none"/>
        <w:tab w:val="right" w:pos="8306" w:leader="none"/>
      </w:tabs>
    </w:pPr>
    <w:rPr>
      <w:sz w:val="18"/>
      <w:szCs w:val="18"/>
    </w:rPr>
  </w:style>
  <w:style w:type="paragraph" w:styleId="1105">
    <w:name w:val="Intense Quote"/>
    <w:basedOn w:val="719"/>
    <w:next w:val="719"/>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6">
    <w:name w:val="font121"/>
    <w:basedOn w:val="923"/>
    <w:next w:val="1106"/>
    <w:link w:val="719"/>
    <w:qFormat/>
    <w:rPr>
      <w:rFonts w:hint="eastAsia" w:ascii="宋体" w:hAnsi="宋体" w:eastAsia="宋体" w:cs="宋体"/>
      <w:color w:val="000000"/>
      <w:sz w:val="18"/>
      <w:szCs w:val="18"/>
      <w:u w:val="none"/>
    </w:rPr>
  </w:style>
  <w:style w:type="character" w:styleId="1107">
    <w:name w:val="font61"/>
    <w:basedOn w:val="923"/>
    <w:next w:val="1107"/>
    <w:link w:val="719"/>
    <w:qFormat/>
    <w:rPr>
      <w:rFonts w:hint="eastAsia" w:ascii="宋体" w:hAnsi="宋体" w:eastAsia="宋体" w:cs="宋体"/>
      <w:b/>
      <w:bCs/>
      <w:color w:val="000000"/>
      <w:sz w:val="22"/>
      <w:szCs w:val="22"/>
      <w:u w:val="none"/>
    </w:rPr>
  </w:style>
  <w:style w:type="paragraph" w:styleId="1108">
    <w:name w:val="首行缩进"/>
    <w:next w:val="1108"/>
    <w:link w:val="719"/>
    <w:qFormat/>
    <w:pPr>
      <w:ind w:firstLine="480"/>
      <w:jc w:val="both"/>
      <w:widowControl w:val="off"/>
    </w:pPr>
    <w:rPr>
      <w:rFonts w:ascii="Times New Roman" w:hAnsi="Times New Roman" w:eastAsia="宋体" w:cs="Times New Roman"/>
      <w:sz w:val="21"/>
      <w:lang w:val="zh-CN" w:eastAsia="zh-CN" w:bidi="ar-SA"/>
    </w:rPr>
  </w:style>
  <w:style w:type="paragraph" w:styleId="1109">
    <w:name w:val="WPSOffice手动目录 1"/>
    <w:next w:val="1109"/>
    <w:link w:val="719"/>
    <w:qFormat/>
    <w:rPr>
      <w:rFonts w:ascii="Times New Roman" w:hAnsi="Times New Roman" w:eastAsia="宋体" w:cs="Times New Roman"/>
      <w:sz w:val="20"/>
      <w:szCs w:val="20"/>
    </w:rPr>
  </w:style>
  <w:style w:type="paragraph" w:styleId="1110">
    <w:name w:val="_Style 1"/>
    <w:basedOn w:val="719"/>
    <w:next w:val="1110"/>
    <w:link w:val="719"/>
    <w:uiPriority w:val="99"/>
    <w:qFormat/>
    <w:pPr>
      <w:ind w:firstLine="420"/>
    </w:pPr>
    <w:rPr>
      <w:rFonts w:ascii="Calibri" w:hAnsi="Calibri"/>
      <w:szCs w:val="22"/>
    </w:rPr>
  </w:style>
  <w:style w:type="paragraph" w:styleId="1111">
    <w:name w:val="标题 41"/>
    <w:basedOn w:val="719"/>
    <w:next w:val="1112"/>
    <w:link w:val="719"/>
    <w:qFormat/>
    <w:pPr>
      <w:keepLines/>
      <w:keepNext/>
      <w:spacing w:before="280" w:after="290" w:line="376" w:lineRule="auto"/>
      <w:outlineLvl w:val="3"/>
    </w:pPr>
    <w:rPr>
      <w:rFonts w:ascii="Arial" w:hAnsi="Arial" w:eastAsia="黑体"/>
      <w:b/>
      <w:bCs/>
      <w:sz w:val="28"/>
      <w:szCs w:val="28"/>
    </w:rPr>
  </w:style>
  <w:style w:type="paragraph" w:styleId="1112">
    <w:name w:val="正文缩进1"/>
    <w:basedOn w:val="719"/>
    <w:next w:val="1112"/>
    <w:link w:val="719"/>
    <w:qFormat/>
    <w:pPr>
      <w:ind w:firstLine="420"/>
    </w:pPr>
    <w:rPr>
      <w:sz w:val="20"/>
    </w:rPr>
  </w:style>
  <w:style w:type="character" w:styleId="1113">
    <w:name w:val="font201"/>
    <w:basedOn w:val="729"/>
    <w:next w:val="1113"/>
    <w:link w:val="719"/>
    <w:qFormat/>
    <w:rPr>
      <w:rFonts w:ascii="Arial Narrow" w:hAnsi="Arial Narrow" w:eastAsia="Arial Narrow" w:cs="Arial Narrow"/>
      <w:color w:val="000000"/>
      <w:sz w:val="20"/>
      <w:szCs w:val="20"/>
      <w:u w:val="none"/>
    </w:rPr>
  </w:style>
  <w:style w:type="character" w:styleId="1114">
    <w:name w:val="font212"/>
    <w:basedOn w:val="729"/>
    <w:next w:val="1114"/>
    <w:link w:val="719"/>
    <w:qFormat/>
    <w:rPr>
      <w:rFonts w:hint="eastAsia" w:ascii="宋体" w:hAnsi="宋体" w:eastAsia="宋体" w:cs="宋体"/>
      <w:color w:val="000000"/>
      <w:sz w:val="20"/>
      <w:szCs w:val="20"/>
      <w:u w:val="none"/>
      <w:vertAlign w:val="superscript"/>
    </w:rPr>
  </w:style>
  <w:style w:type="character" w:styleId="1115">
    <w:name w:val="15"/>
    <w:basedOn w:val="729"/>
    <w:next w:val="1115"/>
    <w:link w:val="719"/>
    <w:rPr>
      <w:rFonts w:ascii="Times New Roman" w:hAnsi="Times New Roman" w:cs="Times New Roman"/>
    </w:rPr>
  </w:style>
  <w:style w:type="character" w:styleId="40233" w:default="1">
    <w:name w:val="Default Paragraph Font"/>
    <w:uiPriority w:val="1"/>
    <w:semiHidden/>
    <w:unhideWhenUsed/>
  </w:style>
  <w:style w:type="numbering" w:styleId="40234" w:default="1">
    <w:name w:val="No List"/>
    <w:uiPriority w:val="99"/>
    <w:semiHidden/>
    <w:unhideWhenUsed/>
  </w:style>
  <w:style w:type="table" w:styleId="402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潘琳芳</cp:lastModifiedBy>
  <cp:revision>1</cp:revision>
  <dcterms:created xsi:type="dcterms:W3CDTF">2024-05-19T13:55:00Z</dcterms:created>
  <dcterms:modified xsi:type="dcterms:W3CDTF">2026-04-24T02:37:09Z</dcterms:modified>
</cp:coreProperties>
</file>