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C5F17">
      <w:pPr>
        <w:spacing w:line="360" w:lineRule="auto"/>
        <w:jc w:val="left"/>
        <w:rPr>
          <w:rFonts w:hint="eastAsia" w:ascii="宋体" w:hAnsi="宋体" w:cs="宋体"/>
          <w:color w:val="auto"/>
          <w:sz w:val="24"/>
          <w:szCs w:val="24"/>
          <w:highlight w:val="none"/>
        </w:rPr>
      </w:pPr>
    </w:p>
    <w:p w14:paraId="7BDDED45">
      <w:pPr>
        <w:spacing w:line="360" w:lineRule="auto"/>
        <w:jc w:val="left"/>
        <w:rPr>
          <w:rFonts w:hint="eastAsia" w:ascii="宋体" w:hAnsi="宋体" w:cs="宋体"/>
          <w:color w:val="auto"/>
          <w:sz w:val="24"/>
          <w:szCs w:val="24"/>
          <w:highlight w:val="none"/>
        </w:rPr>
      </w:pPr>
    </w:p>
    <w:p w14:paraId="3E694B5A">
      <w:pPr>
        <w:spacing w:line="360" w:lineRule="auto"/>
        <w:jc w:val="left"/>
        <w:rPr>
          <w:rFonts w:hint="eastAsia" w:ascii="宋体" w:hAnsi="宋体" w:cs="宋体"/>
          <w:color w:val="auto"/>
          <w:sz w:val="24"/>
          <w:szCs w:val="24"/>
          <w:highlight w:val="none"/>
        </w:rPr>
      </w:pPr>
    </w:p>
    <w:p w14:paraId="1A782714">
      <w:pPr>
        <w:spacing w:line="360" w:lineRule="auto"/>
        <w:jc w:val="left"/>
        <w:rPr>
          <w:rFonts w:hint="eastAsia" w:ascii="宋体" w:hAnsi="宋体" w:cs="宋体"/>
          <w:color w:val="auto"/>
          <w:sz w:val="24"/>
          <w:szCs w:val="24"/>
          <w:highlight w:val="none"/>
        </w:rPr>
      </w:pPr>
    </w:p>
    <w:p w14:paraId="23C525CF">
      <w:pPr>
        <w:spacing w:line="360" w:lineRule="auto"/>
        <w:jc w:val="left"/>
        <w:rPr>
          <w:rFonts w:hint="eastAsia" w:ascii="宋体" w:hAnsi="宋体" w:cs="宋体"/>
          <w:color w:val="auto"/>
          <w:sz w:val="24"/>
          <w:szCs w:val="24"/>
          <w:highlight w:val="none"/>
        </w:rPr>
      </w:pPr>
    </w:p>
    <w:p w14:paraId="6610DD26">
      <w:pPr>
        <w:spacing w:line="360" w:lineRule="auto"/>
        <w:jc w:val="left"/>
        <w:rPr>
          <w:rFonts w:hint="eastAsia" w:ascii="宋体" w:hAnsi="宋体" w:cs="宋体"/>
          <w:color w:val="auto"/>
          <w:sz w:val="24"/>
          <w:szCs w:val="24"/>
          <w:highlight w:val="none"/>
        </w:rPr>
      </w:pPr>
    </w:p>
    <w:p w14:paraId="2CC5517A">
      <w:pPr>
        <w:spacing w:before="120" w:after="120" w:line="360" w:lineRule="auto"/>
        <w:jc w:val="center"/>
        <w:rPr>
          <w:rFonts w:hint="eastAsia" w:ascii="宋体" w:hAnsi="宋体" w:cs="宋体"/>
          <w:b/>
          <w:bCs/>
          <w:color w:val="auto"/>
          <w:sz w:val="84"/>
          <w:szCs w:val="24"/>
          <w:highlight w:val="none"/>
        </w:rPr>
      </w:pPr>
      <w:r>
        <w:rPr>
          <w:rFonts w:hint="eastAsia" w:ascii="宋体" w:hAnsi="宋体" w:cs="宋体"/>
          <w:b/>
          <w:bCs/>
          <w:color w:val="auto"/>
          <w:sz w:val="84"/>
          <w:szCs w:val="24"/>
          <w:highlight w:val="none"/>
          <w:lang w:val="en-US" w:eastAsia="zh-CN"/>
        </w:rPr>
        <w:t>采</w:t>
      </w:r>
      <w:r>
        <w:rPr>
          <w:rFonts w:hint="eastAsia" w:ascii="宋体" w:hAnsi="宋体" w:cs="宋体"/>
          <w:b/>
          <w:bCs/>
          <w:color w:val="auto"/>
          <w:sz w:val="84"/>
          <w:szCs w:val="24"/>
          <w:highlight w:val="none"/>
        </w:rPr>
        <w:t>　</w:t>
      </w:r>
      <w:r>
        <w:rPr>
          <w:rFonts w:hint="eastAsia" w:ascii="宋体" w:hAnsi="宋体" w:cs="宋体"/>
          <w:b/>
          <w:bCs/>
          <w:color w:val="auto"/>
          <w:sz w:val="84"/>
          <w:szCs w:val="24"/>
          <w:highlight w:val="none"/>
          <w:lang w:val="en-US" w:eastAsia="zh-CN"/>
        </w:rPr>
        <w:t>购</w:t>
      </w:r>
      <w:r>
        <w:rPr>
          <w:rFonts w:hint="eastAsia" w:ascii="宋体" w:hAnsi="宋体" w:cs="宋体"/>
          <w:b/>
          <w:bCs/>
          <w:color w:val="auto"/>
          <w:sz w:val="84"/>
          <w:szCs w:val="24"/>
          <w:highlight w:val="none"/>
        </w:rPr>
        <w:t>　文　件</w:t>
      </w:r>
    </w:p>
    <w:p w14:paraId="7D43DE6E">
      <w:pPr>
        <w:spacing w:before="120" w:after="120" w:line="360" w:lineRule="auto"/>
        <w:jc w:val="center"/>
        <w:rPr>
          <w:rFonts w:hint="eastAsia" w:ascii="宋体" w:hAnsi="宋体" w:eastAsia="宋体" w:cs="宋体"/>
          <w:b/>
          <w:bCs/>
          <w:color w:val="auto"/>
          <w:sz w:val="32"/>
          <w:szCs w:val="24"/>
          <w:highlight w:val="none"/>
          <w:lang w:val="en-US" w:eastAsia="zh-CN"/>
        </w:rPr>
      </w:pPr>
      <w:r>
        <w:rPr>
          <w:rFonts w:hint="eastAsia" w:ascii="宋体" w:hAnsi="宋体" w:cs="宋体"/>
          <w:b/>
          <w:bCs/>
          <w:color w:val="auto"/>
          <w:sz w:val="32"/>
          <w:szCs w:val="24"/>
          <w:highlight w:val="none"/>
        </w:rPr>
        <w:t>项目名称：</w:t>
      </w:r>
      <w:r>
        <w:rPr>
          <w:rFonts w:hint="eastAsia" w:ascii="宋体" w:hAnsi="宋体" w:cs="宋体"/>
          <w:b/>
          <w:bCs/>
          <w:color w:val="auto"/>
          <w:sz w:val="32"/>
          <w:szCs w:val="24"/>
          <w:highlight w:val="none"/>
          <w:lang w:eastAsia="zh-CN"/>
        </w:rPr>
        <w:t>机器人智能焊接实训中心</w:t>
      </w:r>
    </w:p>
    <w:p w14:paraId="44E8A682">
      <w:pPr>
        <w:spacing w:before="120" w:after="120" w:line="360" w:lineRule="auto"/>
        <w:jc w:val="center"/>
        <w:rPr>
          <w:rFonts w:hint="default" w:ascii="宋体" w:hAnsi="宋体" w:eastAsia="宋体" w:cs="宋体"/>
          <w:b/>
          <w:bCs/>
          <w:color w:val="auto"/>
          <w:sz w:val="32"/>
          <w:szCs w:val="24"/>
          <w:highlight w:val="none"/>
          <w:lang w:val="en-US" w:eastAsia="zh-CN"/>
        </w:rPr>
      </w:pPr>
      <w:r>
        <w:rPr>
          <w:rFonts w:hint="eastAsia" w:ascii="宋体" w:hAnsi="宋体" w:cs="宋体"/>
          <w:b/>
          <w:bCs/>
          <w:color w:val="auto"/>
          <w:sz w:val="32"/>
          <w:szCs w:val="24"/>
          <w:highlight w:val="none"/>
        </w:rPr>
        <w:t>项目编号：</w:t>
      </w:r>
      <w:r>
        <w:rPr>
          <w:rFonts w:hint="eastAsia" w:ascii="宋体" w:hAnsi="宋体" w:cs="宋体"/>
          <w:b/>
          <w:bCs/>
          <w:color w:val="auto"/>
          <w:sz w:val="32"/>
          <w:szCs w:val="24"/>
          <w:highlight w:val="none"/>
          <w:lang w:eastAsia="zh-CN"/>
        </w:rPr>
        <w:t>JSZC-320000</w:t>
      </w:r>
      <w:r>
        <w:rPr>
          <w:rFonts w:hint="eastAsia" w:ascii="宋体" w:hAnsi="宋体" w:cs="宋体"/>
          <w:b/>
          <w:bCs/>
          <w:color w:val="auto"/>
          <w:sz w:val="32"/>
          <w:szCs w:val="24"/>
          <w:highlight w:val="none"/>
          <w:lang w:val="en-US" w:eastAsia="zh-CN"/>
        </w:rPr>
        <w:t>-BJZC-G2026-0001</w:t>
      </w:r>
    </w:p>
    <w:p w14:paraId="1EAD59D0">
      <w:pPr>
        <w:spacing w:line="360" w:lineRule="auto"/>
        <w:ind w:left="2800" w:hanging="2800"/>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color w:val="auto"/>
          <w:sz w:val="28"/>
          <w:szCs w:val="28"/>
          <w:highlight w:val="none"/>
        </w:rPr>
        <w:t xml:space="preserve"> </w:t>
      </w:r>
    </w:p>
    <w:p w14:paraId="0C609B32">
      <w:pPr>
        <w:spacing w:line="360" w:lineRule="auto"/>
        <w:ind w:left="2295" w:hanging="156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6B25360F">
      <w:pPr>
        <w:spacing w:line="360" w:lineRule="auto"/>
        <w:jc w:val="left"/>
        <w:rPr>
          <w:rFonts w:hint="eastAsia" w:ascii="宋体" w:hAnsi="宋体" w:cs="宋体"/>
          <w:color w:val="auto"/>
          <w:sz w:val="24"/>
          <w:szCs w:val="24"/>
          <w:highlight w:val="none"/>
        </w:rPr>
      </w:pPr>
    </w:p>
    <w:p w14:paraId="6B1FFA00">
      <w:pPr>
        <w:spacing w:line="360" w:lineRule="auto"/>
        <w:jc w:val="left"/>
        <w:rPr>
          <w:rFonts w:hint="eastAsia" w:ascii="宋体" w:hAnsi="宋体" w:cs="宋体"/>
          <w:color w:val="auto"/>
          <w:sz w:val="24"/>
          <w:szCs w:val="24"/>
          <w:highlight w:val="none"/>
        </w:rPr>
      </w:pPr>
    </w:p>
    <w:p w14:paraId="39AECF00">
      <w:pPr>
        <w:spacing w:line="360" w:lineRule="auto"/>
        <w:jc w:val="left"/>
        <w:rPr>
          <w:rFonts w:hint="eastAsia" w:ascii="宋体" w:hAnsi="宋体" w:cs="宋体"/>
          <w:color w:val="auto"/>
          <w:sz w:val="24"/>
          <w:szCs w:val="24"/>
          <w:highlight w:val="none"/>
        </w:rPr>
      </w:pPr>
    </w:p>
    <w:p w14:paraId="5B28024C">
      <w:pPr>
        <w:spacing w:line="360" w:lineRule="auto"/>
        <w:jc w:val="left"/>
        <w:rPr>
          <w:rFonts w:hint="eastAsia" w:ascii="宋体" w:hAnsi="宋体" w:cs="宋体"/>
          <w:color w:val="auto"/>
          <w:sz w:val="24"/>
          <w:szCs w:val="24"/>
          <w:highlight w:val="none"/>
        </w:rPr>
      </w:pPr>
    </w:p>
    <w:p w14:paraId="43430D35">
      <w:pPr>
        <w:spacing w:line="360" w:lineRule="auto"/>
        <w:jc w:val="left"/>
        <w:rPr>
          <w:rFonts w:hint="eastAsia" w:ascii="宋体" w:hAnsi="宋体" w:cs="宋体"/>
          <w:color w:val="auto"/>
          <w:sz w:val="24"/>
          <w:szCs w:val="24"/>
          <w:highlight w:val="none"/>
        </w:rPr>
      </w:pPr>
    </w:p>
    <w:p w14:paraId="0704FD7D">
      <w:pPr>
        <w:spacing w:line="360" w:lineRule="auto"/>
        <w:jc w:val="left"/>
        <w:rPr>
          <w:rFonts w:hint="eastAsia" w:ascii="宋体" w:hAnsi="宋体" w:cs="宋体"/>
          <w:color w:val="auto"/>
          <w:sz w:val="24"/>
          <w:szCs w:val="24"/>
          <w:highlight w:val="none"/>
        </w:rPr>
      </w:pPr>
    </w:p>
    <w:p w14:paraId="0BB5B44D">
      <w:pPr>
        <w:spacing w:line="360" w:lineRule="auto"/>
        <w:jc w:val="left"/>
        <w:rPr>
          <w:rFonts w:hint="eastAsia" w:ascii="宋体" w:hAnsi="宋体" w:cs="宋体"/>
          <w:color w:val="auto"/>
          <w:sz w:val="24"/>
          <w:szCs w:val="24"/>
          <w:highlight w:val="none"/>
        </w:rPr>
      </w:pPr>
    </w:p>
    <w:p w14:paraId="3A1194A7">
      <w:pPr>
        <w:spacing w:line="360" w:lineRule="auto"/>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采购人：</w:t>
      </w:r>
      <w:r>
        <w:rPr>
          <w:rFonts w:hint="eastAsia" w:ascii="宋体" w:hAnsi="宋体" w:cs="宋体"/>
          <w:b/>
          <w:color w:val="auto"/>
          <w:sz w:val="36"/>
          <w:szCs w:val="36"/>
          <w:highlight w:val="none"/>
          <w:lang w:eastAsia="zh-CN"/>
        </w:rPr>
        <w:t>江苏省无锡交通高等职业技术学校</w:t>
      </w:r>
    </w:p>
    <w:p w14:paraId="1ECE1314">
      <w:pPr>
        <w:spacing w:line="360" w:lineRule="auto"/>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采购代理机构：</w:t>
      </w:r>
      <w:r>
        <w:rPr>
          <w:rFonts w:hint="eastAsia" w:ascii="宋体" w:hAnsi="宋体" w:cs="宋体"/>
          <w:b/>
          <w:color w:val="auto"/>
          <w:sz w:val="36"/>
          <w:szCs w:val="36"/>
          <w:highlight w:val="none"/>
          <w:lang w:eastAsia="zh-CN"/>
        </w:rPr>
        <w:t>北京中昌工程咨询有限公司</w:t>
      </w:r>
    </w:p>
    <w:p w14:paraId="2AAAD6F6">
      <w:pPr>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二〇二</w:t>
      </w:r>
      <w:r>
        <w:rPr>
          <w:rFonts w:hint="eastAsia" w:ascii="宋体" w:hAnsi="宋体" w:cs="宋体"/>
          <w:b/>
          <w:color w:val="auto"/>
          <w:sz w:val="36"/>
          <w:szCs w:val="36"/>
          <w:highlight w:val="none"/>
          <w:lang w:val="en-US" w:eastAsia="zh-CN"/>
        </w:rPr>
        <w:t>六</w:t>
      </w:r>
      <w:r>
        <w:rPr>
          <w:rFonts w:hint="eastAsia" w:ascii="宋体" w:hAnsi="宋体" w:cs="宋体"/>
          <w:b/>
          <w:color w:val="auto"/>
          <w:sz w:val="36"/>
          <w:szCs w:val="36"/>
          <w:highlight w:val="none"/>
        </w:rPr>
        <w:t>年</w:t>
      </w:r>
      <w:r>
        <w:rPr>
          <w:rFonts w:hint="eastAsia" w:ascii="宋体" w:hAnsi="宋体" w:cs="宋体"/>
          <w:b/>
          <w:color w:val="auto"/>
          <w:sz w:val="36"/>
          <w:szCs w:val="36"/>
          <w:highlight w:val="none"/>
          <w:lang w:val="en-US" w:eastAsia="zh-CN"/>
        </w:rPr>
        <w:t>三</w:t>
      </w:r>
      <w:r>
        <w:rPr>
          <w:rFonts w:hint="eastAsia" w:ascii="宋体" w:hAnsi="宋体" w:cs="宋体"/>
          <w:b/>
          <w:color w:val="auto"/>
          <w:sz w:val="36"/>
          <w:szCs w:val="36"/>
          <w:highlight w:val="none"/>
        </w:rPr>
        <w:t>月</w:t>
      </w:r>
    </w:p>
    <w:p w14:paraId="269CB34D">
      <w:pPr>
        <w:spacing w:before="120" w:after="120" w:line="360" w:lineRule="auto"/>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p>
    <w:p w14:paraId="33925E48">
      <w:pPr>
        <w:keepNext/>
        <w:jc w:val="center"/>
        <w:outlineLvl w:val="0"/>
        <w:rPr>
          <w:rFonts w:hint="eastAsia" w:ascii="宋体" w:hAnsi="宋体" w:cs="宋体"/>
          <w:b/>
          <w:bCs/>
          <w:color w:val="auto"/>
          <w:sz w:val="44"/>
          <w:szCs w:val="44"/>
          <w:highlight w:val="none"/>
        </w:rPr>
      </w:pPr>
      <w:bookmarkStart w:id="0" w:name="_Toc120614210"/>
      <w:bookmarkStart w:id="1" w:name="_Toc523127445"/>
      <w:bookmarkStart w:id="2" w:name="_Toc479757206"/>
      <w:bookmarkStart w:id="3" w:name="_Toc513029200"/>
      <w:bookmarkStart w:id="4" w:name="_Toc20823272"/>
      <w:bookmarkStart w:id="5" w:name="_Toc16938516"/>
      <w:r>
        <w:rPr>
          <w:rFonts w:hint="eastAsia" w:ascii="宋体" w:hAnsi="宋体" w:cs="宋体"/>
          <w:b/>
          <w:color w:val="auto"/>
          <w:sz w:val="44"/>
          <w:szCs w:val="44"/>
          <w:highlight w:val="none"/>
        </w:rPr>
        <w:t xml:space="preserve">第一章  </w:t>
      </w:r>
      <w:bookmarkEnd w:id="0"/>
      <w:r>
        <w:rPr>
          <w:rFonts w:hint="eastAsia" w:ascii="宋体" w:hAnsi="宋体" w:cs="宋体"/>
          <w:b/>
          <w:color w:val="auto"/>
          <w:sz w:val="44"/>
          <w:szCs w:val="44"/>
          <w:highlight w:val="none"/>
        </w:rPr>
        <w:t>投标邀请</w:t>
      </w:r>
    </w:p>
    <w:p w14:paraId="4C94EE48">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2F20828B">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机器人智能焊接实训中心</w:t>
      </w:r>
      <w:r>
        <w:rPr>
          <w:rFonts w:hint="eastAsia" w:ascii="宋体" w:hAnsi="宋体" w:cs="宋体"/>
          <w:color w:val="auto"/>
          <w:sz w:val="24"/>
          <w:szCs w:val="24"/>
          <w:highlight w:val="none"/>
        </w:rPr>
        <w:t>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JSZC-320000</w:t>
      </w:r>
      <w:r>
        <w:rPr>
          <w:rFonts w:hint="eastAsia" w:ascii="宋体" w:hAnsi="宋体" w:cs="宋体"/>
          <w:color w:val="auto"/>
          <w:sz w:val="24"/>
          <w:szCs w:val="24"/>
          <w:highlight w:val="none"/>
          <w:u w:val="single"/>
          <w:lang w:val="en-US" w:eastAsia="zh-CN"/>
        </w:rPr>
        <w:t xml:space="preserve">-BJZC-G2026-0001  </w:t>
      </w:r>
      <w:r>
        <w:rPr>
          <w:rFonts w:hint="eastAsia" w:ascii="宋体" w:hAnsi="宋体" w:cs="宋体"/>
          <w:color w:val="auto"/>
          <w:sz w:val="24"/>
          <w:szCs w:val="24"/>
          <w:highlight w:val="none"/>
        </w:rPr>
        <w:t>招标项目的潜在</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应在</w:t>
      </w:r>
      <w:r>
        <w:rPr>
          <w:rFonts w:hint="eastAsia" w:ascii="宋体" w:hAnsi="宋体" w:cs="宋体"/>
          <w:color w:val="auto"/>
          <w:sz w:val="24"/>
          <w:szCs w:val="24"/>
          <w:highlight w:val="none"/>
          <w:u w:val="single"/>
          <w:lang w:eastAsia="zh-CN"/>
        </w:rPr>
        <w:t>北京中昌工程咨询有限公司</w:t>
      </w:r>
      <w:r>
        <w:rPr>
          <w:rFonts w:hint="eastAsia" w:ascii="宋体" w:hAnsi="宋体" w:cs="宋体"/>
          <w:color w:val="auto"/>
          <w:sz w:val="24"/>
          <w:szCs w:val="24"/>
          <w:highlight w:val="none"/>
        </w:rPr>
        <w:t>获取</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，并于</w:t>
      </w:r>
      <w:r>
        <w:rPr>
          <w:rFonts w:hint="eastAsia" w:ascii="宋体" w:hAnsi="宋体" w:cs="宋体"/>
          <w:b/>
          <w:bCs/>
          <w:color w:val="auto"/>
          <w:sz w:val="24"/>
          <w:szCs w:val="24"/>
          <w:highlight w:val="none"/>
          <w:u w:val="single"/>
          <w:lang w:eastAsia="zh-CN"/>
        </w:rPr>
        <w:t>2026</w:t>
      </w:r>
      <w:r>
        <w:rPr>
          <w:rFonts w:hint="eastAsia" w:ascii="宋体" w:hAnsi="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4</w:t>
      </w:r>
      <w:r>
        <w:rPr>
          <w:rFonts w:hint="eastAsia" w:ascii="宋体" w:hAnsi="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27</w:t>
      </w:r>
      <w:r>
        <w:rPr>
          <w:rFonts w:hint="eastAsia" w:ascii="宋体" w:hAnsi="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13时3</w:t>
      </w:r>
      <w:r>
        <w:rPr>
          <w:rFonts w:hint="eastAsia" w:ascii="宋体" w:hAnsi="宋体" w:cs="宋体"/>
          <w:b/>
          <w:bCs/>
          <w:color w:val="auto"/>
          <w:sz w:val="24"/>
          <w:szCs w:val="24"/>
          <w:highlight w:val="none"/>
          <w:u w:val="single"/>
        </w:rPr>
        <w:t>0分</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rPr>
        <w:t>北京时间）前递交投标文件</w:t>
      </w:r>
      <w:r>
        <w:rPr>
          <w:rFonts w:hint="eastAsia" w:ascii="宋体" w:hAnsi="宋体" w:cs="宋体"/>
          <w:color w:val="auto"/>
          <w:sz w:val="24"/>
          <w:szCs w:val="24"/>
          <w:highlight w:val="none"/>
        </w:rPr>
        <w:t>。</w:t>
      </w:r>
    </w:p>
    <w:p w14:paraId="5906761F">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bookmarkStart w:id="6" w:name="_Toc35393790"/>
      <w:bookmarkStart w:id="7" w:name="_Toc28359079"/>
      <w:bookmarkStart w:id="8" w:name="_Toc28359002"/>
      <w:bookmarkStart w:id="9" w:name="_Toc38985263"/>
      <w:bookmarkStart w:id="10" w:name="_Toc35393621"/>
      <w:bookmarkStart w:id="11" w:name="_Hlk24379207"/>
      <w:r>
        <w:rPr>
          <w:rFonts w:hint="eastAsia" w:ascii="宋体" w:hAnsi="宋体" w:eastAsia="宋体" w:cs="宋体"/>
          <w:b/>
          <w:bCs/>
          <w:color w:val="auto"/>
          <w:sz w:val="32"/>
          <w:szCs w:val="32"/>
          <w:highlight w:val="none"/>
        </w:rPr>
        <w:t>一、项目基本情况</w:t>
      </w:r>
      <w:bookmarkEnd w:id="6"/>
      <w:bookmarkEnd w:id="7"/>
      <w:bookmarkEnd w:id="8"/>
      <w:bookmarkEnd w:id="9"/>
      <w:bookmarkEnd w:id="10"/>
    </w:p>
    <w:p w14:paraId="62C24D8A">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JSZC-320000</w:t>
      </w:r>
      <w:r>
        <w:rPr>
          <w:rFonts w:hint="eastAsia" w:ascii="宋体" w:hAnsi="宋体" w:cs="宋体"/>
          <w:color w:val="auto"/>
          <w:sz w:val="24"/>
          <w:szCs w:val="24"/>
          <w:highlight w:val="none"/>
          <w:lang w:val="en-US" w:eastAsia="zh-CN"/>
        </w:rPr>
        <w:t>-BJZC-G2026-0001</w:t>
      </w:r>
    </w:p>
    <w:p w14:paraId="37A65A26">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机器人智能焊接实训中心</w:t>
      </w:r>
    </w:p>
    <w:bookmarkEnd w:id="11"/>
    <w:p w14:paraId="6AE58B4D">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3.预算金额：</w:t>
      </w:r>
      <w:r>
        <w:rPr>
          <w:rFonts w:hint="eastAsia" w:ascii="宋体" w:hAnsi="宋体" w:cs="宋体"/>
          <w:color w:val="auto"/>
          <w:sz w:val="24"/>
          <w:szCs w:val="24"/>
          <w:highlight w:val="none"/>
          <w:lang w:val="en-US" w:eastAsia="zh-CN"/>
        </w:rPr>
        <w:t>325</w:t>
      </w:r>
      <w:r>
        <w:rPr>
          <w:rFonts w:hint="eastAsia" w:ascii="宋体" w:hAnsi="宋体" w:cs="宋体"/>
          <w:color w:val="auto"/>
          <w:sz w:val="24"/>
          <w:szCs w:val="24"/>
          <w:highlight w:val="none"/>
        </w:rPr>
        <w:t>万元</w:t>
      </w:r>
    </w:p>
    <w:p w14:paraId="72425465">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4.最高限价：</w:t>
      </w:r>
      <w:r>
        <w:rPr>
          <w:rFonts w:hint="eastAsia" w:ascii="宋体" w:hAnsi="宋体" w:cs="宋体"/>
          <w:color w:val="auto"/>
          <w:sz w:val="24"/>
          <w:szCs w:val="24"/>
          <w:highlight w:val="none"/>
          <w:lang w:val="en-US" w:eastAsia="zh-CN"/>
        </w:rPr>
        <w:t>325</w:t>
      </w:r>
      <w:r>
        <w:rPr>
          <w:rFonts w:hint="eastAsia" w:ascii="宋体" w:hAnsi="宋体" w:cs="宋体"/>
          <w:color w:val="auto"/>
          <w:sz w:val="24"/>
          <w:szCs w:val="24"/>
          <w:highlight w:val="none"/>
        </w:rPr>
        <w:t>万元</w:t>
      </w:r>
    </w:p>
    <w:p w14:paraId="3651FEF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5.采购需求(简介)：</w:t>
      </w:r>
      <w:r>
        <w:rPr>
          <w:rFonts w:hint="eastAsia" w:ascii="宋体" w:hAnsi="宋体" w:cs="宋体"/>
          <w:color w:val="auto"/>
          <w:sz w:val="24"/>
          <w:highlight w:val="none"/>
          <w:lang w:val="en-US" w:eastAsia="zh-CN"/>
        </w:rPr>
        <w:t>机器人智能焊接实训中心规划包括：①智能弧焊机器人实训区；②AR手工焊实训室；</w:t>
      </w:r>
      <w:r>
        <w:rPr>
          <w:rFonts w:hint="eastAsia" w:ascii="宋体" w:hAnsi="宋体" w:cs="宋体"/>
          <w:color w:val="auto"/>
          <w:sz w:val="24"/>
          <w:highlight w:val="none"/>
          <w:lang w:val="en-US" w:eastAsia="zh-CN"/>
        </w:rPr>
        <w:fldChar w:fldCharType="begin"/>
      </w:r>
      <w:r>
        <w:rPr>
          <w:rFonts w:hint="eastAsia" w:ascii="宋体" w:hAnsi="宋体" w:cs="宋体"/>
          <w:color w:val="auto"/>
          <w:sz w:val="24"/>
          <w:highlight w:val="none"/>
          <w:lang w:val="en-US" w:eastAsia="zh-CN"/>
        </w:rPr>
        <w:instrText xml:space="preserve"> = 3 \* GB3 \* MERGEFORMAT </w:instrText>
      </w:r>
      <w:r>
        <w:rPr>
          <w:rFonts w:hint="eastAsia" w:ascii="宋体" w:hAnsi="宋体" w:cs="宋体"/>
          <w:color w:val="auto"/>
          <w:sz w:val="24"/>
          <w:highlight w:val="none"/>
          <w:lang w:val="en-US" w:eastAsia="zh-CN"/>
        </w:rPr>
        <w:fldChar w:fldCharType="separate"/>
      </w:r>
      <w:r>
        <w:rPr>
          <w:color w:val="auto"/>
          <w:highlight w:val="none"/>
        </w:rPr>
        <w:t>③</w:t>
      </w:r>
      <w:r>
        <w:rPr>
          <w:rFonts w:hint="eastAsia" w:ascii="宋体" w:hAnsi="宋体" w:cs="宋体"/>
          <w:color w:val="auto"/>
          <w:sz w:val="24"/>
          <w:highlight w:val="none"/>
          <w:lang w:val="en-US" w:eastAsia="zh-CN"/>
        </w:rPr>
        <w:fldChar w:fldCharType="end"/>
      </w:r>
      <w:r>
        <w:rPr>
          <w:rFonts w:hint="eastAsia" w:ascii="宋体" w:hAnsi="宋体" w:cs="宋体"/>
          <w:color w:val="auto"/>
          <w:sz w:val="24"/>
          <w:highlight w:val="none"/>
          <w:lang w:val="en-US" w:eastAsia="zh-CN"/>
        </w:rPr>
        <w:t>手工焊接实训区</w:t>
      </w:r>
      <w:r>
        <w:rPr>
          <w:rFonts w:hint="eastAsia" w:ascii="宋体" w:hAnsi="宋体" w:cs="宋体"/>
          <w:color w:val="auto"/>
          <w:sz w:val="24"/>
          <w:highlight w:val="none"/>
          <w:lang w:eastAsia="zh-CN"/>
        </w:rPr>
        <w:t>。</w:t>
      </w:r>
      <w:r>
        <w:rPr>
          <w:rFonts w:hint="eastAsia" w:ascii="宋体" w:hAnsi="宋体" w:eastAsia="宋体" w:cs="宋体"/>
          <w:b/>
          <w:bCs/>
          <w:color w:val="auto"/>
          <w:sz w:val="24"/>
          <w:szCs w:val="24"/>
          <w:highlight w:val="none"/>
        </w:rPr>
        <w:t>需同时满足校内人才培养、职业技能大赛备赛、社会化焊接技能培训三大核心需求，设备及服务需适配焊工职业技能等级考核、企业定制化培训、国赛/省赛实训备赛等多场景应用</w:t>
      </w:r>
      <w:r>
        <w:rPr>
          <w:rFonts w:hint="eastAsia" w:ascii="宋体" w:hAnsi="宋体" w:eastAsia="宋体" w:cs="宋体"/>
          <w:b/>
          <w:bCs/>
          <w:color w:val="auto"/>
          <w:sz w:val="24"/>
          <w:szCs w:val="24"/>
          <w:highlight w:val="none"/>
          <w:lang w:eastAsia="zh-CN"/>
        </w:rPr>
        <w:t>。</w:t>
      </w:r>
      <w:r>
        <w:rPr>
          <w:rFonts w:hint="eastAsia" w:ascii="宋体" w:hAnsi="宋体" w:cs="宋体"/>
          <w:color w:val="auto"/>
          <w:sz w:val="24"/>
          <w:highlight w:val="none"/>
        </w:rPr>
        <w:t>（详细内容见本</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第四章）。</w:t>
      </w:r>
    </w:p>
    <w:p w14:paraId="38EB6CD9">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6.合同履行期限：</w:t>
      </w:r>
      <w:r>
        <w:rPr>
          <w:rFonts w:hint="eastAsia" w:ascii="宋体" w:hAnsi="宋体" w:eastAsia="宋体" w:cs="宋体"/>
          <w:b w:val="0"/>
          <w:bCs w:val="0"/>
          <w:color w:val="auto"/>
          <w:kern w:val="0"/>
          <w:sz w:val="24"/>
          <w:szCs w:val="24"/>
          <w:highlight w:val="none"/>
          <w:lang w:val="en-US" w:eastAsia="zh-CN" w:bidi="ar"/>
        </w:rPr>
        <w:t>合同签订</w:t>
      </w:r>
      <w:r>
        <w:rPr>
          <w:rStyle w:val="35"/>
          <w:rFonts w:hint="eastAsia" w:ascii="宋体" w:hAnsi="宋体" w:eastAsia="宋体" w:cs="宋体"/>
          <w:b w:val="0"/>
          <w:bCs w:val="0"/>
          <w:color w:val="auto"/>
          <w:kern w:val="0"/>
          <w:sz w:val="24"/>
          <w:szCs w:val="24"/>
          <w:highlight w:val="none"/>
          <w:lang w:val="en-US" w:eastAsia="zh-CN" w:bidi="ar"/>
        </w:rPr>
        <w:t>90日历天</w:t>
      </w:r>
      <w:r>
        <w:rPr>
          <w:rFonts w:hint="eastAsia" w:ascii="宋体" w:hAnsi="宋体" w:eastAsia="宋体" w:cs="宋体"/>
          <w:b w:val="0"/>
          <w:bCs w:val="0"/>
          <w:color w:val="auto"/>
          <w:kern w:val="0"/>
          <w:sz w:val="24"/>
          <w:szCs w:val="24"/>
          <w:highlight w:val="none"/>
          <w:lang w:val="en-US" w:eastAsia="zh-CN" w:bidi="ar"/>
        </w:rPr>
        <w:t>内完成供货安装调试，并完成三大场景设备适配测试、校内师资首次培训、三区布局落地，交付验收（具体时间可按照采购人要求执行）</w:t>
      </w:r>
      <w:r>
        <w:rPr>
          <w:rFonts w:hint="eastAsia" w:ascii="宋体" w:hAnsi="宋体" w:cs="宋体"/>
          <w:color w:val="auto"/>
          <w:sz w:val="24"/>
          <w:szCs w:val="24"/>
          <w:highlight w:val="none"/>
        </w:rPr>
        <w:t>。</w:t>
      </w:r>
    </w:p>
    <w:p w14:paraId="1B1E63D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本项目标的所属行业：工业。</w:t>
      </w:r>
    </w:p>
    <w:p w14:paraId="7FF2C66A">
      <w:pPr>
        <w:spacing w:line="40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本项目是否专门面向中小企业：</w:t>
      </w:r>
      <w:r>
        <w:rPr>
          <w:rFonts w:hint="eastAsia" w:ascii="宋体" w:hAnsi="宋体" w:eastAsia="宋体" w:cs="宋体"/>
          <w:b w:val="0"/>
          <w:bCs w:val="0"/>
          <w:color w:val="auto"/>
          <w:sz w:val="24"/>
          <w:szCs w:val="24"/>
          <w:highlight w:val="none"/>
          <w:lang w:val="en-US" w:eastAsia="zh-CN"/>
        </w:rPr>
        <w:t>否</w:t>
      </w:r>
      <w:r>
        <w:rPr>
          <w:rFonts w:hint="eastAsia" w:ascii="宋体" w:hAnsi="宋体" w:eastAsia="宋体" w:cs="宋体"/>
          <w:b w:val="0"/>
          <w:bCs w:val="0"/>
          <w:color w:val="auto"/>
          <w:sz w:val="24"/>
          <w:szCs w:val="24"/>
          <w:highlight w:val="none"/>
          <w:lang w:eastAsia="zh-CN"/>
        </w:rPr>
        <w:t>。</w:t>
      </w:r>
    </w:p>
    <w:p w14:paraId="5095B038">
      <w:pPr>
        <w:spacing w:line="400" w:lineRule="exact"/>
        <w:ind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本项目（是/否）接受联合体投标：否</w:t>
      </w:r>
      <w:r>
        <w:rPr>
          <w:rFonts w:hint="eastAsia" w:ascii="宋体" w:hAnsi="宋体" w:cs="宋体"/>
          <w:color w:val="auto"/>
          <w:sz w:val="24"/>
          <w:szCs w:val="24"/>
          <w:highlight w:val="none"/>
          <w:lang w:eastAsia="zh-CN"/>
        </w:rPr>
        <w:t>。</w:t>
      </w:r>
    </w:p>
    <w:p w14:paraId="62F654A8">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cs="宋体"/>
          <w:b/>
          <w:bCs/>
          <w:color w:val="auto"/>
          <w:sz w:val="32"/>
          <w:szCs w:val="32"/>
          <w:highlight w:val="none"/>
        </w:rPr>
      </w:pPr>
      <w:bookmarkStart w:id="12" w:name="_Toc28359080"/>
      <w:bookmarkStart w:id="13" w:name="_Toc28359003"/>
      <w:bookmarkStart w:id="14" w:name="_Toc38985264"/>
      <w:bookmarkStart w:id="15" w:name="_Toc35393622"/>
      <w:bookmarkStart w:id="16" w:name="_Toc35393791"/>
      <w:r>
        <w:rPr>
          <w:rFonts w:hint="eastAsia" w:ascii="宋体" w:hAnsi="宋体" w:cs="宋体"/>
          <w:b/>
          <w:bCs/>
          <w:color w:val="auto"/>
          <w:sz w:val="32"/>
          <w:szCs w:val="32"/>
          <w:highlight w:val="none"/>
        </w:rPr>
        <w:t>二、申请人的资格要求</w:t>
      </w:r>
      <w:bookmarkEnd w:id="12"/>
      <w:bookmarkEnd w:id="13"/>
      <w:bookmarkEnd w:id="14"/>
      <w:bookmarkEnd w:id="15"/>
      <w:bookmarkEnd w:id="16"/>
    </w:p>
    <w:p w14:paraId="624CD385">
      <w:pPr>
        <w:spacing w:line="400" w:lineRule="exact"/>
        <w:ind w:firstLine="480"/>
        <w:rPr>
          <w:rFonts w:hint="eastAsia" w:ascii="宋体" w:hAnsi="宋体" w:cs="宋体"/>
          <w:color w:val="auto"/>
          <w:sz w:val="24"/>
          <w:szCs w:val="24"/>
          <w:highlight w:val="none"/>
        </w:rPr>
      </w:pPr>
      <w:bookmarkStart w:id="17" w:name="_Toc28359004"/>
      <w:bookmarkStart w:id="18" w:name="_Toc35393792"/>
      <w:bookmarkStart w:id="19" w:name="_Toc38985265"/>
      <w:bookmarkStart w:id="20" w:name="_Toc28359081"/>
      <w:bookmarkStart w:id="21" w:name="_Toc35393623"/>
      <w:r>
        <w:rPr>
          <w:rFonts w:hint="eastAsia" w:ascii="宋体" w:hAnsi="宋体" w:cs="宋体"/>
          <w:color w:val="auto"/>
          <w:sz w:val="24"/>
          <w:szCs w:val="24"/>
          <w:highlight w:val="none"/>
        </w:rPr>
        <w:t>（一）满足《中华人民共和国政府采购法》第二十二条规定，并提供下列材料：</w:t>
      </w:r>
    </w:p>
    <w:p w14:paraId="184EBE8E">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1、具有独立承担民事责任的能力（提供法人或者其他组织的营业执照等证明文件）；</w:t>
      </w:r>
    </w:p>
    <w:p w14:paraId="023867EE">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年度或202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年度</w:t>
      </w:r>
      <w:r>
        <w:rPr>
          <w:rFonts w:hint="eastAsia" w:ascii="宋体" w:hAnsi="宋体" w:cs="宋体"/>
          <w:color w:val="auto"/>
          <w:sz w:val="24"/>
          <w:szCs w:val="24"/>
          <w:highlight w:val="none"/>
        </w:rPr>
        <w:t>财务报告，成立不满一年的提供至少一个月财务报告，或银行出具的资信证明，或财政部门认可的政府采购专业担保机构出具的投标担保函等，或提供资格承诺函）；</w:t>
      </w:r>
    </w:p>
    <w:p w14:paraId="4FD49828">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相关信息一览表或提供资格承诺函）；</w:t>
      </w:r>
    </w:p>
    <w:p w14:paraId="0EED9A31">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4、有依法缴纳税收和社会保障资金的良好记录（提供参加本次政府采购活动前半年（至少一个月）依法缴纳</w:t>
      </w:r>
      <w:r>
        <w:rPr>
          <w:rFonts w:hint="eastAsia" w:ascii="宋体" w:hAnsi="宋体" w:cs="宋体"/>
          <w:color w:val="auto"/>
          <w:sz w:val="24"/>
          <w:szCs w:val="24"/>
          <w:highlight w:val="none"/>
          <w:lang w:eastAsia="zh-CN"/>
        </w:rPr>
        <w:t>社会保障资金</w:t>
      </w:r>
      <w:r>
        <w:rPr>
          <w:rFonts w:hint="eastAsia" w:ascii="宋体" w:hAnsi="宋体" w:cs="宋体"/>
          <w:color w:val="auto"/>
          <w:sz w:val="24"/>
          <w:szCs w:val="24"/>
          <w:highlight w:val="none"/>
        </w:rPr>
        <w:t>的相关材料，或提供资格承诺函）；</w:t>
      </w:r>
    </w:p>
    <w:p w14:paraId="436B945E">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5、参加政府采购活动前三年内，在经营活动中没有重大违法记录（提供承诺函或提供资格承诺函）；</w:t>
      </w:r>
    </w:p>
    <w:p w14:paraId="7581A9B4">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14:paraId="00C52704">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（二）落实政府采购政策需满足的资格要求：</w:t>
      </w:r>
      <w:r>
        <w:rPr>
          <w:rFonts w:hint="eastAsia" w:ascii="宋体" w:hAnsi="宋体" w:cs="宋体"/>
          <w:bCs w:val="0"/>
          <w:color w:val="auto"/>
          <w:sz w:val="24"/>
          <w:szCs w:val="24"/>
          <w:highlight w:val="none"/>
          <w:lang w:val="en-US" w:eastAsia="zh-CN"/>
        </w:rPr>
        <w:t>无</w:t>
      </w:r>
      <w:r>
        <w:rPr>
          <w:rFonts w:hint="eastAsia" w:ascii="宋体" w:hAnsi="宋体" w:eastAsia="宋体" w:cs="宋体"/>
          <w:bCs w:val="0"/>
          <w:color w:val="auto"/>
          <w:sz w:val="24"/>
          <w:szCs w:val="24"/>
          <w:highlight w:val="none"/>
          <w:lang w:eastAsia="zh-CN"/>
        </w:rPr>
        <w:t>。</w:t>
      </w:r>
      <w:r>
        <w:rPr>
          <w:rFonts w:hint="eastAsia" w:ascii="宋体" w:hAnsi="宋体" w:cs="宋体"/>
          <w:color w:val="auto"/>
          <w:sz w:val="24"/>
          <w:szCs w:val="24"/>
          <w:highlight w:val="none"/>
        </w:rPr>
        <w:t>供应商如为中小微企业、监狱企业、残疾人福利性单位、节能环保产品须提供相关证明材料。</w:t>
      </w:r>
    </w:p>
    <w:p w14:paraId="2AC7C79E">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（三）本项目的特定资格要求：投标供应商未被“信用中国”网站（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重大税收违法案件当事人名单、政府采购严重违法失信行为记录名单的。（有上述处罚记录但处罚期已届满的，视为无记录，以采购机构评标当日查询结果为准）</w:t>
      </w:r>
    </w:p>
    <w:p w14:paraId="4F9A311E">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三、获取</w:t>
      </w:r>
      <w:r>
        <w:rPr>
          <w:rFonts w:hint="eastAsia" w:ascii="宋体" w:hAnsi="宋体" w:cs="宋体"/>
          <w:b/>
          <w:bCs/>
          <w:color w:val="auto"/>
          <w:sz w:val="32"/>
          <w:szCs w:val="32"/>
          <w:highlight w:val="none"/>
          <w:lang w:eastAsia="zh-CN"/>
        </w:rPr>
        <w:t>采购文件</w:t>
      </w:r>
    </w:p>
    <w:p w14:paraId="78DDCA17">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1.时间：2026年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val="zh-CN"/>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lang w:val="zh-CN"/>
        </w:rPr>
        <w:t>日至2026年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val="zh-CN"/>
        </w:rPr>
        <w:t>月</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val="zh-CN"/>
        </w:rPr>
        <w:t>日，每天上午9:00至11:30，下午14:00至17:00。（北京时间，法定节假日除外）</w:t>
      </w:r>
    </w:p>
    <w:p w14:paraId="06D9F14E">
      <w:pPr>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rPr>
        <w:t>2.地点：</w:t>
      </w:r>
      <w:r>
        <w:rPr>
          <w:rFonts w:hint="eastAsia" w:ascii="宋体" w:hAnsi="宋体" w:cs="宋体"/>
          <w:bCs/>
          <w:color w:val="auto"/>
          <w:sz w:val="24"/>
          <w:szCs w:val="24"/>
          <w:highlight w:val="none"/>
        </w:rPr>
        <w:t>无锡市南湖大道501号扬名创智园H座</w:t>
      </w:r>
      <w:r>
        <w:rPr>
          <w:rFonts w:hint="eastAsia" w:ascii="宋体" w:hAnsi="宋体" w:cs="宋体"/>
          <w:bCs/>
          <w:color w:val="auto"/>
          <w:sz w:val="24"/>
          <w:szCs w:val="24"/>
          <w:highlight w:val="none"/>
          <w:lang w:eastAsia="zh-CN"/>
        </w:rPr>
        <w:t>2楼</w:t>
      </w:r>
    </w:p>
    <w:p w14:paraId="5D261997">
      <w:pPr>
        <w:spacing w:line="36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方式：</w:t>
      </w:r>
      <w:r>
        <w:rPr>
          <w:rFonts w:hint="eastAsia" w:ascii="宋体" w:hAnsi="宋体" w:cs="宋体"/>
          <w:color w:val="auto"/>
          <w:sz w:val="24"/>
          <w:highlight w:val="none"/>
        </w:rPr>
        <w:t>凡有意参加投标者，携带</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法定代表人授权委托书原件及授权委托人身份证复印件至</w:t>
      </w:r>
      <w:r>
        <w:rPr>
          <w:rFonts w:hint="eastAsia" w:ascii="宋体" w:hAnsi="宋体" w:cs="宋体"/>
          <w:bCs/>
          <w:color w:val="auto"/>
          <w:sz w:val="24"/>
          <w:szCs w:val="24"/>
          <w:highlight w:val="none"/>
        </w:rPr>
        <w:t>无锡市南湖大道501号扬名创智园H座</w:t>
      </w:r>
      <w:r>
        <w:rPr>
          <w:rFonts w:hint="eastAsia" w:ascii="宋体" w:hAnsi="宋体" w:cs="宋体"/>
          <w:bCs/>
          <w:color w:val="auto"/>
          <w:sz w:val="24"/>
          <w:szCs w:val="24"/>
          <w:highlight w:val="none"/>
          <w:lang w:eastAsia="zh-CN"/>
        </w:rPr>
        <w:t>2楼</w:t>
      </w:r>
      <w:r>
        <w:rPr>
          <w:rFonts w:hint="eastAsia" w:ascii="宋体" w:hAnsi="宋体" w:cs="宋体"/>
          <w:color w:val="auto"/>
          <w:sz w:val="24"/>
          <w:szCs w:val="24"/>
          <w:highlight w:val="none"/>
        </w:rPr>
        <w:t>报名并领取</w:t>
      </w:r>
      <w:r>
        <w:rPr>
          <w:rFonts w:hint="eastAsia" w:ascii="宋体" w:hAnsi="宋体" w:cs="宋体"/>
          <w:color w:val="auto"/>
          <w:sz w:val="24"/>
          <w:szCs w:val="24"/>
          <w:highlight w:val="none"/>
          <w:lang w:val="en-US" w:eastAsia="zh-CN"/>
        </w:rPr>
        <w:t>纸质</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w:t>
      </w:r>
    </w:p>
    <w:p w14:paraId="31A7D4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文本费</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500</w:t>
      </w:r>
      <w:r>
        <w:rPr>
          <w:rFonts w:hint="eastAsia" w:ascii="宋体" w:hAnsi="宋体" w:cs="宋体"/>
          <w:color w:val="auto"/>
          <w:sz w:val="24"/>
          <w:highlight w:val="none"/>
        </w:rPr>
        <w:t>元。</w:t>
      </w:r>
    </w:p>
    <w:bookmarkEnd w:id="17"/>
    <w:bookmarkEnd w:id="18"/>
    <w:bookmarkEnd w:id="19"/>
    <w:bookmarkEnd w:id="20"/>
    <w:bookmarkEnd w:id="21"/>
    <w:p w14:paraId="3A807CA7">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bookmarkStart w:id="22" w:name="_Toc28359082"/>
      <w:bookmarkStart w:id="23" w:name="_Toc28359005"/>
      <w:bookmarkStart w:id="24" w:name="_Toc38985266"/>
      <w:bookmarkStart w:id="25" w:name="_Toc35393793"/>
      <w:bookmarkStart w:id="26" w:name="_Toc35393624"/>
      <w:r>
        <w:rPr>
          <w:rFonts w:hint="eastAsia" w:ascii="宋体" w:hAnsi="宋体" w:eastAsia="宋体" w:cs="宋体"/>
          <w:b/>
          <w:bCs/>
          <w:color w:val="auto"/>
          <w:sz w:val="32"/>
          <w:szCs w:val="32"/>
          <w:highlight w:val="none"/>
        </w:rPr>
        <w:t>四、提交投标文件</w:t>
      </w:r>
      <w:bookmarkEnd w:id="22"/>
      <w:bookmarkEnd w:id="23"/>
      <w:r>
        <w:rPr>
          <w:rFonts w:hint="eastAsia" w:ascii="宋体" w:hAnsi="宋体" w:eastAsia="宋体" w:cs="宋体"/>
          <w:b/>
          <w:bCs/>
          <w:color w:val="auto"/>
          <w:sz w:val="32"/>
          <w:szCs w:val="32"/>
          <w:highlight w:val="none"/>
        </w:rPr>
        <w:t>截止时间、开标时间和地点</w:t>
      </w:r>
      <w:bookmarkEnd w:id="24"/>
      <w:bookmarkEnd w:id="25"/>
      <w:bookmarkEnd w:id="26"/>
    </w:p>
    <w:p w14:paraId="4AAD139D">
      <w:pPr>
        <w:spacing w:line="400" w:lineRule="exact"/>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 </w:t>
      </w:r>
      <w:r>
        <w:rPr>
          <w:rFonts w:hint="eastAsia" w:ascii="宋体" w:hAnsi="宋体" w:cs="宋体"/>
          <w:bCs/>
          <w:color w:val="auto"/>
          <w:sz w:val="24"/>
          <w:szCs w:val="24"/>
          <w:highlight w:val="none"/>
          <w:u w:val="single"/>
          <w:lang w:eastAsia="zh-CN"/>
        </w:rPr>
        <w:t>2026</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lang w:val="en-US" w:eastAsia="zh-CN"/>
        </w:rPr>
        <w:t>27</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13</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3</w:t>
      </w:r>
      <w:r>
        <w:rPr>
          <w:rFonts w:hint="eastAsia" w:ascii="宋体" w:hAnsi="宋体" w:cs="宋体"/>
          <w:bCs/>
          <w:color w:val="auto"/>
          <w:sz w:val="24"/>
          <w:szCs w:val="24"/>
          <w:highlight w:val="none"/>
          <w:u w:val="single"/>
        </w:rPr>
        <w:t xml:space="preserve">0 </w:t>
      </w:r>
      <w:r>
        <w:rPr>
          <w:rFonts w:hint="eastAsia" w:ascii="宋体" w:hAnsi="宋体" w:cs="宋体"/>
          <w:bCs/>
          <w:color w:val="auto"/>
          <w:sz w:val="24"/>
          <w:szCs w:val="24"/>
          <w:highlight w:val="none"/>
        </w:rPr>
        <w:t>分（北京时间）。</w:t>
      </w:r>
    </w:p>
    <w:p w14:paraId="6F1A0443">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lang w:val="en-US" w:eastAsia="zh-CN"/>
        </w:rPr>
        <w:t>地点：</w:t>
      </w:r>
      <w:r>
        <w:rPr>
          <w:rFonts w:hint="eastAsia" w:ascii="宋体" w:hAnsi="宋体" w:cs="宋体"/>
          <w:color w:val="auto"/>
          <w:sz w:val="24"/>
          <w:szCs w:val="24"/>
          <w:highlight w:val="none"/>
          <w:u w:val="single"/>
          <w:lang w:eastAsia="zh-CN"/>
        </w:rPr>
        <w:t>北京中昌工程咨询有限公司</w:t>
      </w:r>
      <w:r>
        <w:rPr>
          <w:rFonts w:hint="eastAsia" w:ascii="宋体" w:hAnsi="宋体" w:cs="宋体"/>
          <w:color w:val="auto"/>
          <w:sz w:val="24"/>
          <w:szCs w:val="24"/>
          <w:highlight w:val="none"/>
          <w:u w:val="single"/>
        </w:rPr>
        <w:t>（无锡市南湖大道501号扬名创智园H座</w:t>
      </w:r>
      <w:r>
        <w:rPr>
          <w:rFonts w:hint="eastAsia" w:ascii="宋体" w:hAnsi="宋体" w:cs="宋体"/>
          <w:color w:val="auto"/>
          <w:sz w:val="24"/>
          <w:szCs w:val="24"/>
          <w:highlight w:val="none"/>
          <w:u w:val="single"/>
          <w:lang w:eastAsia="zh-CN"/>
        </w:rPr>
        <w:t>2楼</w:t>
      </w:r>
      <w:r>
        <w:rPr>
          <w:rFonts w:hint="eastAsia" w:ascii="宋体" w:hAnsi="宋体" w:cs="宋体"/>
          <w:color w:val="auto"/>
          <w:sz w:val="24"/>
          <w:szCs w:val="24"/>
          <w:highlight w:val="none"/>
          <w:u w:val="single"/>
        </w:rPr>
        <w:t>）</w:t>
      </w:r>
    </w:p>
    <w:p w14:paraId="5FF080E5">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bookmarkStart w:id="27" w:name="_Toc35393794"/>
      <w:bookmarkStart w:id="28" w:name="_Toc28359084"/>
      <w:bookmarkStart w:id="29" w:name="_Toc38985267"/>
      <w:bookmarkStart w:id="30" w:name="_Toc28359007"/>
      <w:bookmarkStart w:id="31" w:name="_Toc35393625"/>
      <w:r>
        <w:rPr>
          <w:rFonts w:hint="eastAsia" w:ascii="宋体" w:hAnsi="宋体" w:eastAsia="宋体" w:cs="宋体"/>
          <w:b/>
          <w:bCs/>
          <w:color w:val="auto"/>
          <w:sz w:val="32"/>
          <w:szCs w:val="32"/>
          <w:highlight w:val="none"/>
        </w:rPr>
        <w:t>五、公告期限</w:t>
      </w:r>
      <w:bookmarkEnd w:id="27"/>
      <w:bookmarkEnd w:id="28"/>
      <w:bookmarkEnd w:id="29"/>
      <w:bookmarkEnd w:id="30"/>
      <w:bookmarkEnd w:id="31"/>
    </w:p>
    <w:p w14:paraId="66E518A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招标公告及</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公告期限为自本公告发布之日起5个工作日。</w:t>
      </w:r>
    </w:p>
    <w:p w14:paraId="5959080B">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bookmarkStart w:id="32" w:name="_Toc35393795"/>
      <w:bookmarkStart w:id="33" w:name="_Toc35393626"/>
      <w:bookmarkStart w:id="34" w:name="_Toc38985268"/>
      <w:r>
        <w:rPr>
          <w:rFonts w:hint="eastAsia" w:ascii="宋体" w:hAnsi="宋体" w:eastAsia="宋体" w:cs="宋体"/>
          <w:b/>
          <w:bCs/>
          <w:color w:val="auto"/>
          <w:sz w:val="32"/>
          <w:szCs w:val="32"/>
          <w:highlight w:val="none"/>
        </w:rPr>
        <w:t>六、其他补充事宜</w:t>
      </w:r>
      <w:bookmarkEnd w:id="32"/>
      <w:bookmarkEnd w:id="33"/>
      <w:bookmarkEnd w:id="34"/>
    </w:p>
    <w:p w14:paraId="17DDC870">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无</w:t>
      </w:r>
    </w:p>
    <w:p w14:paraId="1305CDEE">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bookmarkStart w:id="35" w:name="_Toc35393627"/>
      <w:bookmarkStart w:id="36" w:name="_Toc35393796"/>
      <w:bookmarkStart w:id="37" w:name="_Toc38985269"/>
      <w:bookmarkStart w:id="38" w:name="_Toc28359008"/>
      <w:bookmarkStart w:id="39" w:name="_Toc28359085"/>
      <w:r>
        <w:rPr>
          <w:rFonts w:hint="eastAsia" w:ascii="宋体" w:hAnsi="宋体" w:eastAsia="宋体" w:cs="宋体"/>
          <w:b/>
          <w:bCs/>
          <w:color w:val="auto"/>
          <w:sz w:val="32"/>
          <w:szCs w:val="32"/>
          <w:highlight w:val="none"/>
        </w:rPr>
        <w:t>七、本次招标联系方式</w:t>
      </w:r>
      <w:bookmarkEnd w:id="35"/>
      <w:bookmarkEnd w:id="36"/>
      <w:bookmarkEnd w:id="37"/>
      <w:bookmarkEnd w:id="38"/>
      <w:bookmarkEnd w:id="39"/>
    </w:p>
    <w:p w14:paraId="7BC2007C">
      <w:pPr>
        <w:widowControl/>
        <w:spacing w:line="400" w:lineRule="exact"/>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　　</w:t>
      </w:r>
      <w:r>
        <w:rPr>
          <w:rFonts w:hint="eastAsia" w:ascii="宋体" w:hAnsi="宋体" w:cs="宋体"/>
          <w:color w:val="auto"/>
          <w:sz w:val="24"/>
          <w:szCs w:val="24"/>
          <w:highlight w:val="none"/>
        </w:rPr>
        <w:t>1.采购人信息</w:t>
      </w:r>
    </w:p>
    <w:p w14:paraId="7879366D">
      <w:pPr>
        <w:spacing w:line="40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single"/>
          <w:lang w:eastAsia="zh-CN"/>
        </w:rPr>
        <w:t>江苏省无锡交通高等职业技术学校</w:t>
      </w:r>
    </w:p>
    <w:p w14:paraId="117992DE">
      <w:pPr>
        <w:spacing w:line="40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lang w:eastAsia="zh-CN"/>
        </w:rPr>
        <w:t>无锡市滨湖区荣巷街道钱荣路98号</w:t>
      </w:r>
    </w:p>
    <w:p w14:paraId="799947A5">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刘老师 </w:t>
      </w:r>
    </w:p>
    <w:p w14:paraId="570903A6">
      <w:pPr>
        <w:spacing w:line="400" w:lineRule="exact"/>
        <w:ind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联系方式：</w:t>
      </w:r>
      <w:bookmarkStart w:id="40" w:name="_Toc28359086"/>
      <w:bookmarkStart w:id="41" w:name="_Toc28359009"/>
      <w:r>
        <w:rPr>
          <w:rFonts w:hint="eastAsia" w:ascii="宋体" w:hAnsi="宋体" w:cs="宋体"/>
          <w:color w:val="auto"/>
          <w:sz w:val="24"/>
          <w:szCs w:val="24"/>
          <w:highlight w:val="none"/>
          <w:u w:val="single"/>
        </w:rPr>
        <w:t>0510</w:t>
      </w:r>
      <w:r>
        <w:rPr>
          <w:rFonts w:hint="eastAsia" w:ascii="宋体" w:hAnsi="宋体" w:cs="宋体"/>
          <w:color w:val="auto"/>
          <w:sz w:val="24"/>
          <w:szCs w:val="24"/>
          <w:highlight w:val="none"/>
          <w:u w:val="single"/>
          <w:lang w:val="en-US" w:eastAsia="zh-CN"/>
        </w:rPr>
        <w:t>-</w:t>
      </w:r>
      <w:r>
        <w:rPr>
          <w:rFonts w:hint="eastAsia" w:ascii="宋体" w:hAnsi="宋体" w:cs="宋体"/>
          <w:color w:val="auto"/>
          <w:sz w:val="24"/>
          <w:szCs w:val="24"/>
          <w:highlight w:val="none"/>
          <w:u w:val="single"/>
        </w:rPr>
        <w:t>6878123</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 xml:space="preserve"> </w:t>
      </w:r>
    </w:p>
    <w:p w14:paraId="1C2EDB12">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68D15C28">
      <w:pPr>
        <w:spacing w:line="40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名称：</w:t>
      </w:r>
      <w:bookmarkEnd w:id="40"/>
      <w:bookmarkEnd w:id="41"/>
      <w:r>
        <w:rPr>
          <w:rFonts w:hint="eastAsia" w:ascii="宋体" w:hAnsi="宋体" w:cs="宋体"/>
          <w:color w:val="auto"/>
          <w:sz w:val="24"/>
          <w:szCs w:val="24"/>
          <w:highlight w:val="none"/>
          <w:u w:val="single"/>
          <w:lang w:eastAsia="zh-CN"/>
        </w:rPr>
        <w:t>北京中昌工程咨询有限公司</w:t>
      </w:r>
    </w:p>
    <w:p w14:paraId="11C30D36">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无锡市南湖大道501号扬名创智园H座</w:t>
      </w:r>
      <w:r>
        <w:rPr>
          <w:rFonts w:hint="eastAsia" w:ascii="宋体" w:hAnsi="宋体" w:cs="宋体"/>
          <w:color w:val="auto"/>
          <w:sz w:val="24"/>
          <w:szCs w:val="24"/>
          <w:highlight w:val="none"/>
          <w:u w:val="single"/>
          <w:lang w:eastAsia="zh-CN"/>
        </w:rPr>
        <w:t>2楼</w:t>
      </w:r>
    </w:p>
    <w:p w14:paraId="41EB180A">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lang w:val="en-US" w:eastAsia="zh-CN"/>
        </w:rPr>
        <w:t>祁娜</w:t>
      </w:r>
      <w:r>
        <w:rPr>
          <w:rFonts w:hint="eastAsia" w:ascii="宋体" w:hAnsi="宋体" w:cs="宋体"/>
          <w:color w:val="auto"/>
          <w:sz w:val="24"/>
          <w:szCs w:val="24"/>
          <w:highlight w:val="none"/>
          <w:u w:val="single"/>
        </w:rPr>
        <w:t xml:space="preserve"> </w:t>
      </w:r>
    </w:p>
    <w:p w14:paraId="431F3A0A">
      <w:p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42" w:name="_Toc28359087"/>
      <w:bookmarkStart w:id="43" w:name="_Toc28359010"/>
      <w:r>
        <w:rPr>
          <w:rFonts w:hint="eastAsia" w:ascii="宋体" w:hAnsi="宋体" w:cs="宋体"/>
          <w:color w:val="auto"/>
          <w:sz w:val="24"/>
          <w:szCs w:val="24"/>
          <w:highlight w:val="none"/>
          <w:u w:val="single"/>
          <w:lang w:val="en-US" w:eastAsia="zh-CN"/>
        </w:rPr>
        <w:t>0510-88102819、19952293931</w:t>
      </w:r>
    </w:p>
    <w:bookmarkEnd w:id="42"/>
    <w:bookmarkEnd w:id="43"/>
    <w:p w14:paraId="135AC0A1">
      <w:pPr>
        <w:keepNext/>
        <w:keepLines/>
        <w:pageBreakBefore w:val="0"/>
        <w:widowControl w:val="0"/>
        <w:kinsoku/>
        <w:wordWrap/>
        <w:overflowPunct/>
        <w:topLinePunct w:val="0"/>
        <w:autoSpaceDE/>
        <w:autoSpaceDN/>
        <w:bidi w:val="0"/>
        <w:adjustRightInd/>
        <w:snapToGrid/>
        <w:spacing w:before="0" w:after="0" w:line="400" w:lineRule="exact"/>
        <w:ind w:firstLine="482"/>
        <w:textAlignment w:val="auto"/>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八、其他</w:t>
      </w:r>
    </w:p>
    <w:p w14:paraId="00ACD3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1、有关本次招标的事项若存在变动或修改，敬请及时关注</w:t>
      </w:r>
      <w:r>
        <w:rPr>
          <w:rFonts w:hint="eastAsia" w:ascii="宋体" w:hAnsi="宋体" w:eastAsia="宋体" w:cs="宋体"/>
          <w:color w:val="auto"/>
          <w:sz w:val="24"/>
          <w:szCs w:val="24"/>
          <w:highlight w:val="none"/>
          <w:lang w:eastAsia="zh-CN"/>
        </w:rPr>
        <w:t>北京中昌工程咨询有限公司</w:t>
      </w:r>
      <w:r>
        <w:rPr>
          <w:rFonts w:hint="eastAsia" w:ascii="宋体" w:hAnsi="宋体" w:eastAsia="宋体" w:cs="宋体"/>
          <w:color w:val="auto"/>
          <w:sz w:val="24"/>
          <w:szCs w:val="24"/>
          <w:highlight w:val="none"/>
        </w:rPr>
        <w:t>在“江苏政府采购网”发布的更正公告。</w:t>
      </w:r>
    </w:p>
    <w:p w14:paraId="31506C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2、本次招标不收取投标保证金。</w:t>
      </w:r>
    </w:p>
    <w:p w14:paraId="2F11C0E0">
      <w:pPr>
        <w:keepNext/>
        <w:jc w:val="center"/>
        <w:outlineLvl w:val="0"/>
        <w:rPr>
          <w:rFonts w:hint="eastAsia" w:ascii="宋体" w:hAnsi="宋体" w:cs="宋体"/>
          <w:b/>
          <w:color w:val="auto"/>
          <w:sz w:val="44"/>
          <w:szCs w:val="44"/>
          <w:highlight w:val="none"/>
        </w:rPr>
      </w:pPr>
      <w:r>
        <w:rPr>
          <w:rFonts w:hint="eastAsia" w:ascii="宋体" w:hAnsi="宋体" w:cs="宋体"/>
          <w:color w:val="auto"/>
          <w:sz w:val="24"/>
          <w:szCs w:val="24"/>
          <w:highlight w:val="none"/>
        </w:rPr>
        <w:br w:type="page" w:clear="all"/>
      </w:r>
      <w:bookmarkStart w:id="44" w:name="_Toc120614211"/>
      <w:r>
        <w:rPr>
          <w:rFonts w:hint="eastAsia" w:ascii="宋体" w:hAnsi="宋体" w:cs="宋体"/>
          <w:b/>
          <w:color w:val="auto"/>
          <w:sz w:val="44"/>
          <w:szCs w:val="44"/>
          <w:highlight w:val="none"/>
        </w:rPr>
        <w:t xml:space="preserve">第二章  </w:t>
      </w:r>
      <w:bookmarkEnd w:id="1"/>
      <w:bookmarkEnd w:id="2"/>
      <w:bookmarkEnd w:id="3"/>
      <w:bookmarkEnd w:id="4"/>
      <w:bookmarkEnd w:id="5"/>
      <w:bookmarkEnd w:id="44"/>
      <w:bookmarkStart w:id="45" w:name="_Toc120614213"/>
      <w:bookmarkStart w:id="46" w:name="_Toc20823274"/>
      <w:bookmarkStart w:id="47" w:name="_Toc513029202"/>
      <w:bookmarkStart w:id="48" w:name="_Toc16938518"/>
      <w:r>
        <w:rPr>
          <w:rFonts w:hint="eastAsia" w:ascii="宋体" w:hAnsi="宋体" w:cs="宋体"/>
          <w:b/>
          <w:color w:val="auto"/>
          <w:sz w:val="44"/>
          <w:szCs w:val="44"/>
          <w:highlight w:val="none"/>
          <w:lang w:eastAsia="zh-CN"/>
        </w:rPr>
        <w:t>投标供应商</w:t>
      </w:r>
      <w:r>
        <w:rPr>
          <w:rFonts w:hint="eastAsia" w:ascii="宋体" w:hAnsi="宋体" w:cs="宋体"/>
          <w:b/>
          <w:color w:val="auto"/>
          <w:sz w:val="44"/>
          <w:szCs w:val="44"/>
          <w:highlight w:val="none"/>
        </w:rPr>
        <w:t>须知</w:t>
      </w:r>
      <w:bookmarkEnd w:id="45"/>
      <w:bookmarkEnd w:id="46"/>
      <w:bookmarkEnd w:id="47"/>
      <w:bookmarkEnd w:id="48"/>
    </w:p>
    <w:p w14:paraId="2E17F52A">
      <w:pPr>
        <w:spacing w:line="360" w:lineRule="auto"/>
        <w:jc w:val="center"/>
        <w:outlineLvl w:val="2"/>
        <w:rPr>
          <w:rFonts w:hint="eastAsia" w:ascii="宋体" w:hAnsi="宋体" w:cs="宋体"/>
          <w:b/>
          <w:color w:val="auto"/>
          <w:sz w:val="32"/>
          <w:szCs w:val="32"/>
          <w:highlight w:val="none"/>
        </w:rPr>
      </w:pPr>
      <w:bookmarkStart w:id="49" w:name="_Toc92168000"/>
      <w:bookmarkStart w:id="50" w:name="_Toc100386034"/>
      <w:bookmarkStart w:id="51" w:name="_Toc98669699"/>
      <w:bookmarkStart w:id="52" w:name="_Toc98669341"/>
      <w:bookmarkStart w:id="53" w:name="_Toc92168010"/>
      <w:bookmarkStart w:id="54" w:name="_Toc100386044"/>
      <w:bookmarkStart w:id="55" w:name="_Toc20732978"/>
      <w:r>
        <w:rPr>
          <w:rFonts w:hint="eastAsia" w:ascii="宋体" w:hAnsi="宋体" w:cs="宋体"/>
          <w:b/>
          <w:color w:val="auto"/>
          <w:sz w:val="32"/>
          <w:szCs w:val="32"/>
          <w:highlight w:val="none"/>
          <w:lang w:eastAsia="zh-CN"/>
        </w:rPr>
        <w:t>投标供应商</w:t>
      </w:r>
      <w:r>
        <w:rPr>
          <w:rFonts w:hint="eastAsia" w:ascii="宋体" w:hAnsi="宋体" w:cs="宋体"/>
          <w:b/>
          <w:color w:val="auto"/>
          <w:sz w:val="32"/>
          <w:szCs w:val="32"/>
          <w:highlight w:val="none"/>
        </w:rPr>
        <w:t>须知前附表</w:t>
      </w:r>
    </w:p>
    <w:tbl>
      <w:tblPr>
        <w:tblStyle w:val="32"/>
        <w:tblW w:w="100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9278"/>
      </w:tblGrid>
      <w:tr w14:paraId="62B10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2FB96E32">
            <w:pPr>
              <w:spacing w:line="440" w:lineRule="exact"/>
              <w:jc w:val="center"/>
              <w:rPr>
                <w:rFonts w:hint="eastAsia" w:ascii="宋体" w:hAnsi="宋体" w:cs="宋体"/>
                <w:b/>
                <w:color w:val="auto"/>
                <w:sz w:val="24"/>
                <w:szCs w:val="20"/>
                <w:highlight w:val="none"/>
              </w:rPr>
            </w:pPr>
            <w:r>
              <w:rPr>
                <w:rFonts w:hint="eastAsia" w:ascii="宋体" w:hAnsi="宋体" w:cs="宋体"/>
                <w:b/>
                <w:color w:val="auto"/>
                <w:sz w:val="24"/>
                <w:szCs w:val="20"/>
                <w:highlight w:val="none"/>
              </w:rPr>
              <w:t>序号</w:t>
            </w:r>
          </w:p>
        </w:tc>
        <w:tc>
          <w:tcPr>
            <w:tcW w:w="9278" w:type="dxa"/>
            <w:noWrap w:val="0"/>
            <w:vAlign w:val="center"/>
          </w:tcPr>
          <w:p w14:paraId="376D6100">
            <w:pPr>
              <w:spacing w:line="440" w:lineRule="exact"/>
              <w:jc w:val="center"/>
              <w:rPr>
                <w:rFonts w:hint="eastAsia" w:ascii="宋体" w:hAnsi="宋体" w:cs="宋体"/>
                <w:b/>
                <w:color w:val="auto"/>
                <w:sz w:val="24"/>
                <w:szCs w:val="20"/>
                <w:highlight w:val="none"/>
              </w:rPr>
            </w:pPr>
            <w:r>
              <w:rPr>
                <w:rFonts w:hint="eastAsia" w:ascii="宋体" w:hAnsi="宋体" w:cs="宋体"/>
                <w:b/>
                <w:color w:val="auto"/>
                <w:sz w:val="24"/>
                <w:szCs w:val="20"/>
                <w:highlight w:val="none"/>
              </w:rPr>
              <w:t>主要内容</w:t>
            </w:r>
          </w:p>
        </w:tc>
      </w:tr>
      <w:tr w14:paraId="36370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29A19670">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9278" w:type="dxa"/>
            <w:noWrap w:val="0"/>
            <w:vAlign w:val="center"/>
          </w:tcPr>
          <w:p w14:paraId="067E2621">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江苏省无锡交通高等职业技术学校</w:t>
            </w:r>
          </w:p>
          <w:p w14:paraId="5218A14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none"/>
              </w:rPr>
              <w:t xml:space="preserve">刘老师 </w:t>
            </w:r>
          </w:p>
          <w:p w14:paraId="61DB3802">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联系方式：0510</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6878123</w:t>
            </w:r>
            <w:r>
              <w:rPr>
                <w:rFonts w:hint="eastAsia" w:ascii="宋体" w:hAnsi="宋体" w:cs="宋体"/>
                <w:color w:val="auto"/>
                <w:sz w:val="24"/>
                <w:szCs w:val="24"/>
                <w:highlight w:val="none"/>
                <w:u w:val="none"/>
                <w:lang w:val="en-US" w:eastAsia="zh-CN"/>
              </w:rPr>
              <w:t>3</w:t>
            </w:r>
          </w:p>
          <w:p w14:paraId="66306A46">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联系地址：</w:t>
            </w:r>
            <w:r>
              <w:rPr>
                <w:rFonts w:hint="eastAsia" w:ascii="宋体" w:hAnsi="宋体" w:cs="宋体"/>
                <w:color w:val="auto"/>
                <w:sz w:val="24"/>
                <w:szCs w:val="24"/>
                <w:highlight w:val="none"/>
                <w:lang w:eastAsia="zh-CN"/>
              </w:rPr>
              <w:t>无锡市滨湖区荣巷街道钱荣路98号</w:t>
            </w:r>
          </w:p>
        </w:tc>
      </w:tr>
      <w:tr w14:paraId="1861A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7ECEBD37">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9278" w:type="dxa"/>
            <w:noWrap w:val="0"/>
            <w:vAlign w:val="center"/>
          </w:tcPr>
          <w:p w14:paraId="49DE2EDC">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eastAsia="zh-CN"/>
              </w:rPr>
              <w:t>北京中昌工程咨询有限公司</w:t>
            </w:r>
          </w:p>
          <w:p w14:paraId="2FE878D5">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祁娜</w:t>
            </w:r>
          </w:p>
          <w:p w14:paraId="79939418">
            <w:pPr>
              <w:widowControl/>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eastAsia="zh-CN"/>
              </w:rPr>
              <w:t>0510-88102819、</w:t>
            </w:r>
            <w:r>
              <w:rPr>
                <w:rFonts w:hint="eastAsia" w:ascii="宋体" w:hAnsi="宋体" w:cs="宋体"/>
                <w:color w:val="auto"/>
                <w:sz w:val="24"/>
                <w:szCs w:val="24"/>
                <w:highlight w:val="none"/>
                <w:lang w:val="en-US" w:eastAsia="zh-CN"/>
              </w:rPr>
              <w:t>19952293931</w:t>
            </w:r>
          </w:p>
          <w:p w14:paraId="44E1D266">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联系地址：</w:t>
            </w:r>
            <w:r>
              <w:rPr>
                <w:rFonts w:hint="eastAsia" w:ascii="宋体" w:hAnsi="宋体" w:cs="宋体"/>
                <w:bCs/>
                <w:color w:val="auto"/>
                <w:sz w:val="24"/>
                <w:szCs w:val="24"/>
                <w:highlight w:val="none"/>
              </w:rPr>
              <w:t>无锡市南湖大道501号扬名创智园H座</w:t>
            </w:r>
            <w:r>
              <w:rPr>
                <w:rFonts w:hint="eastAsia" w:ascii="宋体" w:hAnsi="宋体" w:cs="宋体"/>
                <w:bCs/>
                <w:color w:val="auto"/>
                <w:sz w:val="24"/>
                <w:szCs w:val="24"/>
                <w:highlight w:val="none"/>
                <w:lang w:eastAsia="zh-CN"/>
              </w:rPr>
              <w:t>2楼</w:t>
            </w:r>
          </w:p>
        </w:tc>
      </w:tr>
      <w:tr w14:paraId="0434A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39ED8F9D">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9278" w:type="dxa"/>
            <w:noWrap w:val="0"/>
            <w:vAlign w:val="center"/>
          </w:tcPr>
          <w:p w14:paraId="6ED96037">
            <w:pPr>
              <w:widowControl/>
              <w:shd w:val="clear" w:color="auto" w:fill="FFFFFF"/>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机器人智能焊接实训中心</w:t>
            </w:r>
          </w:p>
        </w:tc>
      </w:tr>
      <w:tr w14:paraId="390D2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0F7A1DDA">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9278" w:type="dxa"/>
            <w:noWrap w:val="0"/>
            <w:vAlign w:val="center"/>
          </w:tcPr>
          <w:p w14:paraId="3310F535">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采购方式：</w:t>
            </w:r>
            <w:r>
              <w:rPr>
                <w:rFonts w:hint="eastAsia" w:ascii="宋体" w:hAnsi="宋体" w:cs="宋体"/>
                <w:bCs/>
                <w:color w:val="auto"/>
                <w:sz w:val="24"/>
                <w:szCs w:val="24"/>
                <w:highlight w:val="none"/>
              </w:rPr>
              <w:t>公开招标</w:t>
            </w:r>
          </w:p>
        </w:tc>
      </w:tr>
      <w:tr w14:paraId="1FB55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2A519870">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9278" w:type="dxa"/>
            <w:noWrap w:val="0"/>
            <w:vAlign w:val="center"/>
          </w:tcPr>
          <w:p w14:paraId="3BBD7942">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投标有效期</w:t>
            </w:r>
            <w:r>
              <w:rPr>
                <w:rFonts w:hint="eastAsia" w:ascii="宋体" w:hAnsi="宋体" w:cs="宋体"/>
                <w:color w:val="auto"/>
                <w:sz w:val="24"/>
                <w:szCs w:val="24"/>
                <w:highlight w:val="none"/>
              </w:rPr>
              <w:t xml:space="preserve">：开标之日起90天 </w:t>
            </w:r>
          </w:p>
        </w:tc>
      </w:tr>
      <w:tr w14:paraId="0D12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3932A812">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9278" w:type="dxa"/>
            <w:noWrap w:val="0"/>
            <w:vAlign w:val="center"/>
          </w:tcPr>
          <w:p w14:paraId="40F14458">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投标保证金：本次采购不收取</w:t>
            </w:r>
          </w:p>
        </w:tc>
      </w:tr>
      <w:tr w14:paraId="2DDFF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16D042D7">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9278" w:type="dxa"/>
            <w:noWrap w:val="0"/>
            <w:vAlign w:val="center"/>
          </w:tcPr>
          <w:p w14:paraId="7AACF84D">
            <w:pPr>
              <w:widowControl/>
              <w:topLinePunc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投标文件份数：正本1份，副本4份。</w:t>
            </w:r>
            <w:r>
              <w:rPr>
                <w:rFonts w:hint="eastAsia" w:ascii="宋体" w:hAnsi="宋体" w:cs="宋体"/>
                <w:bCs w:val="0"/>
                <w:color w:val="auto"/>
                <w:sz w:val="24"/>
                <w:szCs w:val="24"/>
                <w:highlight w:val="none"/>
              </w:rPr>
              <w:t>电子文档的份数：</w:t>
            </w:r>
            <w:r>
              <w:rPr>
                <w:rFonts w:hint="eastAsia" w:ascii="宋体" w:hAnsi="宋体" w:cs="宋体"/>
                <w:bCs w:val="0"/>
                <w:color w:val="auto"/>
                <w:sz w:val="24"/>
                <w:szCs w:val="24"/>
                <w:highlight w:val="none"/>
                <w:u w:val="none"/>
                <w:lang w:eastAsia="zh-CN"/>
              </w:rPr>
              <w:t>1</w:t>
            </w:r>
            <w:r>
              <w:rPr>
                <w:rFonts w:hint="eastAsia" w:ascii="宋体" w:hAnsi="宋体" w:cs="宋体"/>
                <w:bCs w:val="0"/>
                <w:color w:val="auto"/>
                <w:sz w:val="24"/>
                <w:szCs w:val="24"/>
                <w:highlight w:val="none"/>
              </w:rPr>
              <w:t>份（U盘形式内含正本PDF格式扫描件及同版本WPS兼容格式文件）。</w:t>
            </w:r>
          </w:p>
        </w:tc>
      </w:tr>
      <w:tr w14:paraId="11E88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4116A4B9">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9278" w:type="dxa"/>
            <w:noWrap w:val="0"/>
            <w:vAlign w:val="center"/>
          </w:tcPr>
          <w:p w14:paraId="736F0114">
            <w:pPr>
              <w:widowControl/>
              <w:shd w:val="clear" w:color="auto" w:fill="FFFFFF"/>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投标文件开始接收时间：</w:t>
            </w:r>
            <w:r>
              <w:rPr>
                <w:rFonts w:hint="eastAsia" w:ascii="宋体" w:hAnsi="宋体" w:cs="宋体"/>
                <w:color w:val="auto"/>
                <w:sz w:val="24"/>
                <w:szCs w:val="24"/>
                <w:highlight w:val="none"/>
                <w:lang w:val="en-US" w:eastAsia="zh-CN"/>
              </w:rPr>
              <w:t>2026年4月27日下午13时</w:t>
            </w:r>
          </w:p>
          <w:p w14:paraId="3FF4C39B">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投标文件接收截止时间：</w:t>
            </w:r>
            <w:r>
              <w:rPr>
                <w:rFonts w:hint="eastAsia" w:ascii="宋体" w:hAnsi="宋体" w:cs="宋体"/>
                <w:color w:val="auto"/>
                <w:sz w:val="24"/>
                <w:szCs w:val="24"/>
                <w:highlight w:val="none"/>
                <w:lang w:val="en-US" w:eastAsia="zh-CN"/>
              </w:rPr>
              <w:t>2026年4月27日下午13时30分</w:t>
            </w:r>
          </w:p>
          <w:p w14:paraId="58435B9D">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投标文件接收地点：</w:t>
            </w:r>
            <w:r>
              <w:rPr>
                <w:rFonts w:hint="eastAsia" w:ascii="宋体" w:hAnsi="宋体" w:cs="宋体"/>
                <w:color w:val="auto"/>
                <w:sz w:val="24"/>
                <w:szCs w:val="24"/>
                <w:highlight w:val="none"/>
                <w:u w:val="single"/>
                <w:lang w:eastAsia="zh-CN"/>
              </w:rPr>
              <w:t>北京中昌工程咨询有限公司</w:t>
            </w:r>
            <w:r>
              <w:rPr>
                <w:rFonts w:hint="eastAsia" w:ascii="宋体" w:hAnsi="宋体" w:cs="宋体"/>
                <w:color w:val="auto"/>
                <w:sz w:val="24"/>
                <w:szCs w:val="24"/>
                <w:highlight w:val="none"/>
                <w:u w:val="single"/>
              </w:rPr>
              <w:t>（无锡市南湖大道501号扬名创智园H座</w:t>
            </w:r>
            <w:r>
              <w:rPr>
                <w:rFonts w:hint="eastAsia" w:ascii="宋体" w:hAnsi="宋体" w:cs="宋体"/>
                <w:color w:val="auto"/>
                <w:sz w:val="24"/>
                <w:szCs w:val="24"/>
                <w:highlight w:val="none"/>
                <w:u w:val="single"/>
                <w:lang w:eastAsia="zh-CN"/>
              </w:rPr>
              <w:t>2楼</w:t>
            </w:r>
            <w:r>
              <w:rPr>
                <w:rFonts w:hint="eastAsia" w:ascii="宋体" w:hAnsi="宋体" w:cs="宋体"/>
                <w:color w:val="auto"/>
                <w:sz w:val="24"/>
                <w:szCs w:val="24"/>
                <w:highlight w:val="none"/>
                <w:u w:val="single"/>
              </w:rPr>
              <w:t>）</w:t>
            </w:r>
          </w:p>
          <w:p w14:paraId="66245D7A">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开标时间：同投标文件接收截止时间</w:t>
            </w:r>
          </w:p>
          <w:p w14:paraId="0583F4EF">
            <w:pPr>
              <w:widowControl/>
              <w:shd w:val="clear" w:color="auto" w:fill="FFFFFF"/>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地点：同投标文件接收地点</w:t>
            </w:r>
          </w:p>
        </w:tc>
      </w:tr>
      <w:tr w14:paraId="6B286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51FB201D">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9278" w:type="dxa"/>
            <w:noWrap w:val="0"/>
            <w:vAlign w:val="center"/>
          </w:tcPr>
          <w:p w14:paraId="1ADE6F36">
            <w:pPr>
              <w:spacing w:line="44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投标报价：</w:t>
            </w:r>
            <w:r>
              <w:rPr>
                <w:rFonts w:hint="eastAsia" w:ascii="宋体" w:hAnsi="宋体" w:cs="宋体"/>
                <w:color w:val="auto"/>
                <w:sz w:val="24"/>
                <w:szCs w:val="24"/>
                <w:highlight w:val="none"/>
              </w:rPr>
              <w:t>所有投标响应均以</w:t>
            </w:r>
            <w:r>
              <w:rPr>
                <w:rFonts w:hint="eastAsia" w:ascii="宋体" w:hAnsi="宋体" w:cs="宋体"/>
                <w:b w:val="0"/>
                <w:bCs/>
                <w:color w:val="auto"/>
                <w:sz w:val="24"/>
                <w:szCs w:val="24"/>
                <w:highlight w:val="none"/>
              </w:rPr>
              <w:t>人民币报价。</w:t>
            </w:r>
            <w:r>
              <w:rPr>
                <w:rFonts w:hint="eastAsia" w:ascii="宋体" w:hAnsi="宋体" w:cs="宋体"/>
                <w:color w:val="auto"/>
                <w:sz w:val="24"/>
                <w:szCs w:val="24"/>
                <w:highlight w:val="none"/>
              </w:rPr>
              <w:t>该报价为采购后送到指定地点的全部费用，含相关税费，运输费，保险费及相关服务费等一切可能发生的费用。</w:t>
            </w:r>
          </w:p>
          <w:p w14:paraId="0860A64F">
            <w:pPr>
              <w:spacing w:line="46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投标报价不得超过招标公告、</w:t>
            </w:r>
            <w:r>
              <w:rPr>
                <w:rFonts w:hint="eastAsia" w:ascii="宋体" w:hAnsi="宋体" w:cs="宋体"/>
                <w:b/>
                <w:bCs/>
                <w:color w:val="auto"/>
                <w:sz w:val="24"/>
                <w:szCs w:val="24"/>
                <w:highlight w:val="none"/>
                <w:lang w:eastAsia="zh-CN"/>
              </w:rPr>
              <w:t>采购文件</w:t>
            </w:r>
            <w:r>
              <w:rPr>
                <w:rFonts w:hint="eastAsia" w:ascii="宋体" w:hAnsi="宋体" w:cs="宋体"/>
                <w:b/>
                <w:bCs/>
                <w:color w:val="auto"/>
                <w:sz w:val="24"/>
                <w:szCs w:val="24"/>
                <w:highlight w:val="none"/>
              </w:rPr>
              <w:t>规定的</w:t>
            </w:r>
            <w:r>
              <w:rPr>
                <w:rFonts w:hint="eastAsia" w:ascii="宋体" w:hAnsi="宋体" w:cs="宋体"/>
                <w:b/>
                <w:bCs/>
                <w:color w:val="auto"/>
                <w:sz w:val="24"/>
                <w:szCs w:val="24"/>
                <w:highlight w:val="none"/>
                <w:lang w:val="en-US" w:eastAsia="zh-CN"/>
              </w:rPr>
              <w:t>最高限价</w:t>
            </w:r>
            <w:r>
              <w:rPr>
                <w:rFonts w:hint="eastAsia" w:ascii="宋体" w:hAnsi="宋体" w:cs="宋体"/>
                <w:b/>
                <w:bCs/>
                <w:color w:val="auto"/>
                <w:sz w:val="24"/>
                <w:szCs w:val="24"/>
                <w:highlight w:val="none"/>
              </w:rPr>
              <w:t>，超过规定的</w:t>
            </w:r>
            <w:r>
              <w:rPr>
                <w:rFonts w:hint="eastAsia" w:ascii="宋体" w:hAnsi="宋体" w:cs="宋体"/>
                <w:b/>
                <w:bCs/>
                <w:color w:val="auto"/>
                <w:sz w:val="24"/>
                <w:szCs w:val="24"/>
                <w:highlight w:val="none"/>
                <w:lang w:val="en-US" w:eastAsia="zh-CN"/>
              </w:rPr>
              <w:t>最高限价</w:t>
            </w:r>
            <w:r>
              <w:rPr>
                <w:rFonts w:hint="eastAsia" w:ascii="宋体" w:hAnsi="宋体" w:cs="宋体"/>
                <w:b/>
                <w:bCs/>
                <w:color w:val="auto"/>
                <w:sz w:val="24"/>
                <w:szCs w:val="24"/>
                <w:highlight w:val="none"/>
              </w:rPr>
              <w:t xml:space="preserve">的投标文件，按无效投标处理。 </w:t>
            </w:r>
          </w:p>
        </w:tc>
      </w:tr>
      <w:tr w14:paraId="1A835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1345884F">
            <w:pPr>
              <w:widowControl/>
              <w:shd w:val="clear" w:color="auto" w:fill="FFFFFF"/>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9278" w:type="dxa"/>
            <w:noWrap w:val="0"/>
            <w:vAlign w:val="center"/>
          </w:tcPr>
          <w:p w14:paraId="5E8879C1">
            <w:pPr>
              <w:widowControl/>
              <w:shd w:val="clear" w:color="auto" w:fill="FFFFFF"/>
              <w:spacing w:line="440" w:lineRule="exact"/>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rPr>
              <w:t>采购标的对应中小企业划分标准所属行业：工业</w:t>
            </w:r>
          </w:p>
        </w:tc>
      </w:tr>
      <w:tr w14:paraId="1572F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9" w:type="dxa"/>
            <w:noWrap w:val="0"/>
            <w:vAlign w:val="center"/>
          </w:tcPr>
          <w:p w14:paraId="47BDDAE6">
            <w:pPr>
              <w:widowControl/>
              <w:shd w:val="clear" w:color="auto" w:fill="FFFFFF"/>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9278" w:type="dxa"/>
            <w:noWrap w:val="0"/>
            <w:vAlign w:val="center"/>
          </w:tcPr>
          <w:p w14:paraId="777D6229">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招标代理服务费按照以下方式计算：</w:t>
            </w:r>
          </w:p>
          <w:tbl>
            <w:tblPr>
              <w:tblStyle w:val="32"/>
              <w:tblW w:w="0" w:type="auto"/>
              <w:tblInd w:w="111" w:type="dxa"/>
              <w:tblLayout w:type="fixed"/>
              <w:tblCellMar>
                <w:top w:w="0" w:type="dxa"/>
                <w:left w:w="108" w:type="dxa"/>
                <w:bottom w:w="0" w:type="dxa"/>
                <w:right w:w="108" w:type="dxa"/>
              </w:tblCellMar>
            </w:tblPr>
            <w:tblGrid>
              <w:gridCol w:w="2727"/>
              <w:gridCol w:w="2455"/>
              <w:gridCol w:w="1977"/>
              <w:gridCol w:w="1909"/>
            </w:tblGrid>
            <w:tr w14:paraId="322BCECA">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2239308D">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成交金额（万元）</w:t>
                  </w:r>
                </w:p>
              </w:tc>
              <w:tc>
                <w:tcPr>
                  <w:tcW w:w="2455" w:type="dxa"/>
                  <w:tcBorders>
                    <w:top w:val="nil"/>
                    <w:left w:val="nil"/>
                    <w:bottom w:val="nil"/>
                    <w:right w:val="nil"/>
                  </w:tcBorders>
                  <w:noWrap w:val="0"/>
                  <w:vAlign w:val="center"/>
                </w:tcPr>
                <w:p w14:paraId="60E09BA2">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货物类</w:t>
                  </w:r>
                </w:p>
              </w:tc>
              <w:tc>
                <w:tcPr>
                  <w:tcW w:w="1977" w:type="dxa"/>
                  <w:tcBorders>
                    <w:top w:val="nil"/>
                    <w:left w:val="nil"/>
                    <w:bottom w:val="nil"/>
                    <w:right w:val="nil"/>
                  </w:tcBorders>
                  <w:noWrap w:val="0"/>
                  <w:vAlign w:val="center"/>
                </w:tcPr>
                <w:p w14:paraId="3434F487">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服务类</w:t>
                  </w:r>
                </w:p>
              </w:tc>
              <w:tc>
                <w:tcPr>
                  <w:tcW w:w="1909" w:type="dxa"/>
                  <w:tcBorders>
                    <w:top w:val="nil"/>
                    <w:left w:val="nil"/>
                    <w:bottom w:val="nil"/>
                    <w:right w:val="nil"/>
                  </w:tcBorders>
                  <w:noWrap w:val="0"/>
                  <w:vAlign w:val="center"/>
                </w:tcPr>
                <w:p w14:paraId="21C95B60">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工程类</w:t>
                  </w:r>
                </w:p>
              </w:tc>
            </w:tr>
            <w:tr w14:paraId="31337087">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766DE66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100以下</w:t>
                  </w:r>
                </w:p>
              </w:tc>
              <w:tc>
                <w:tcPr>
                  <w:tcW w:w="2455" w:type="dxa"/>
                  <w:tcBorders>
                    <w:top w:val="nil"/>
                    <w:left w:val="nil"/>
                    <w:bottom w:val="nil"/>
                    <w:right w:val="nil"/>
                  </w:tcBorders>
                  <w:noWrap w:val="0"/>
                  <w:vAlign w:val="center"/>
                </w:tcPr>
                <w:p w14:paraId="4CCA2A02">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1977" w:type="dxa"/>
                  <w:tcBorders>
                    <w:top w:val="nil"/>
                    <w:left w:val="nil"/>
                    <w:bottom w:val="nil"/>
                    <w:right w:val="nil"/>
                  </w:tcBorders>
                  <w:noWrap w:val="0"/>
                  <w:vAlign w:val="center"/>
                </w:tcPr>
                <w:p w14:paraId="425789F6">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1909" w:type="dxa"/>
                  <w:tcBorders>
                    <w:top w:val="nil"/>
                    <w:left w:val="nil"/>
                    <w:bottom w:val="nil"/>
                    <w:right w:val="nil"/>
                  </w:tcBorders>
                  <w:noWrap w:val="0"/>
                  <w:vAlign w:val="center"/>
                </w:tcPr>
                <w:p w14:paraId="1F618453">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r>
            <w:tr w14:paraId="14D9B4FC">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350CC62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100-500</w:t>
                  </w:r>
                </w:p>
              </w:tc>
              <w:tc>
                <w:tcPr>
                  <w:tcW w:w="2455" w:type="dxa"/>
                  <w:tcBorders>
                    <w:top w:val="nil"/>
                    <w:left w:val="nil"/>
                    <w:bottom w:val="nil"/>
                    <w:right w:val="nil"/>
                  </w:tcBorders>
                  <w:noWrap w:val="0"/>
                  <w:vAlign w:val="center"/>
                </w:tcPr>
                <w:p w14:paraId="62FA627D">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977" w:type="dxa"/>
                  <w:tcBorders>
                    <w:top w:val="nil"/>
                    <w:left w:val="nil"/>
                    <w:bottom w:val="nil"/>
                    <w:right w:val="nil"/>
                  </w:tcBorders>
                  <w:noWrap w:val="0"/>
                  <w:vAlign w:val="center"/>
                </w:tcPr>
                <w:p w14:paraId="4EFF5053">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c>
                <w:tcPr>
                  <w:tcW w:w="1909" w:type="dxa"/>
                  <w:tcBorders>
                    <w:top w:val="nil"/>
                    <w:left w:val="nil"/>
                    <w:bottom w:val="nil"/>
                    <w:right w:val="nil"/>
                  </w:tcBorders>
                  <w:noWrap w:val="0"/>
                  <w:vAlign w:val="center"/>
                </w:tcPr>
                <w:p w14:paraId="1A53D5A9">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0.7%</w:t>
                  </w:r>
                </w:p>
              </w:tc>
            </w:tr>
            <w:tr w14:paraId="60B80312">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3B7625FC">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500-1000</w:t>
                  </w:r>
                </w:p>
              </w:tc>
              <w:tc>
                <w:tcPr>
                  <w:tcW w:w="2455" w:type="dxa"/>
                  <w:tcBorders>
                    <w:top w:val="nil"/>
                    <w:left w:val="nil"/>
                    <w:bottom w:val="nil"/>
                    <w:right w:val="nil"/>
                  </w:tcBorders>
                  <w:noWrap w:val="0"/>
                  <w:vAlign w:val="center"/>
                </w:tcPr>
                <w:p w14:paraId="0195FF8D">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c>
                <w:tcPr>
                  <w:tcW w:w="1977" w:type="dxa"/>
                  <w:tcBorders>
                    <w:top w:val="nil"/>
                    <w:left w:val="nil"/>
                    <w:bottom w:val="nil"/>
                    <w:right w:val="nil"/>
                  </w:tcBorders>
                  <w:noWrap w:val="0"/>
                  <w:vAlign w:val="center"/>
                </w:tcPr>
                <w:p w14:paraId="07B22DB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0.45%</w:t>
                  </w:r>
                </w:p>
              </w:tc>
              <w:tc>
                <w:tcPr>
                  <w:tcW w:w="1909" w:type="dxa"/>
                  <w:tcBorders>
                    <w:top w:val="nil"/>
                    <w:left w:val="nil"/>
                    <w:bottom w:val="nil"/>
                    <w:right w:val="nil"/>
                  </w:tcBorders>
                  <w:noWrap w:val="0"/>
                  <w:vAlign w:val="center"/>
                </w:tcPr>
                <w:p w14:paraId="61291BC8">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0.55%</w:t>
                  </w:r>
                </w:p>
              </w:tc>
            </w:tr>
            <w:tr w14:paraId="7703A2C4">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0738C1A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1000-5000</w:t>
                  </w:r>
                </w:p>
              </w:tc>
              <w:tc>
                <w:tcPr>
                  <w:tcW w:w="2455" w:type="dxa"/>
                  <w:tcBorders>
                    <w:top w:val="nil"/>
                    <w:left w:val="nil"/>
                    <w:bottom w:val="nil"/>
                    <w:right w:val="nil"/>
                  </w:tcBorders>
                  <w:noWrap w:val="0"/>
                  <w:vAlign w:val="center"/>
                </w:tcPr>
                <w:p w14:paraId="2D467D7F">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0.5%</w:t>
                  </w:r>
                </w:p>
              </w:tc>
              <w:tc>
                <w:tcPr>
                  <w:tcW w:w="1977" w:type="dxa"/>
                  <w:tcBorders>
                    <w:top w:val="nil"/>
                    <w:left w:val="nil"/>
                    <w:bottom w:val="nil"/>
                    <w:right w:val="nil"/>
                  </w:tcBorders>
                  <w:noWrap w:val="0"/>
                  <w:vAlign w:val="center"/>
                </w:tcPr>
                <w:p w14:paraId="0806FD15">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0.25%</w:t>
                  </w:r>
                </w:p>
              </w:tc>
              <w:tc>
                <w:tcPr>
                  <w:tcW w:w="1909" w:type="dxa"/>
                  <w:tcBorders>
                    <w:top w:val="nil"/>
                    <w:left w:val="nil"/>
                    <w:bottom w:val="nil"/>
                    <w:right w:val="nil"/>
                  </w:tcBorders>
                  <w:noWrap w:val="0"/>
                  <w:vAlign w:val="center"/>
                </w:tcPr>
                <w:p w14:paraId="73252705">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0.35%</w:t>
                  </w:r>
                </w:p>
              </w:tc>
            </w:tr>
            <w:tr w14:paraId="7D448048">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49431028">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5000-10000</w:t>
                  </w:r>
                </w:p>
              </w:tc>
              <w:tc>
                <w:tcPr>
                  <w:tcW w:w="2455" w:type="dxa"/>
                  <w:tcBorders>
                    <w:top w:val="nil"/>
                    <w:left w:val="nil"/>
                    <w:bottom w:val="nil"/>
                    <w:right w:val="nil"/>
                  </w:tcBorders>
                  <w:noWrap w:val="0"/>
                  <w:vAlign w:val="center"/>
                </w:tcPr>
                <w:p w14:paraId="52A42A26">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0.25%</w:t>
                  </w:r>
                </w:p>
              </w:tc>
              <w:tc>
                <w:tcPr>
                  <w:tcW w:w="1977" w:type="dxa"/>
                  <w:tcBorders>
                    <w:top w:val="nil"/>
                    <w:left w:val="nil"/>
                    <w:bottom w:val="nil"/>
                    <w:right w:val="nil"/>
                  </w:tcBorders>
                  <w:noWrap w:val="0"/>
                  <w:vAlign w:val="center"/>
                </w:tcPr>
                <w:p w14:paraId="15F7644B">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0.1%</w:t>
                  </w:r>
                </w:p>
              </w:tc>
              <w:tc>
                <w:tcPr>
                  <w:tcW w:w="1909" w:type="dxa"/>
                  <w:tcBorders>
                    <w:top w:val="nil"/>
                    <w:left w:val="nil"/>
                    <w:bottom w:val="nil"/>
                    <w:right w:val="nil"/>
                  </w:tcBorders>
                  <w:noWrap w:val="0"/>
                  <w:vAlign w:val="center"/>
                </w:tcPr>
                <w:p w14:paraId="67BDC9C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0.2%</w:t>
                  </w:r>
                </w:p>
              </w:tc>
            </w:tr>
            <w:tr w14:paraId="0487F466">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0F53500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10000-100000</w:t>
                  </w:r>
                </w:p>
              </w:tc>
              <w:tc>
                <w:tcPr>
                  <w:tcW w:w="2455" w:type="dxa"/>
                  <w:tcBorders>
                    <w:top w:val="nil"/>
                    <w:left w:val="nil"/>
                    <w:bottom w:val="nil"/>
                    <w:right w:val="nil"/>
                  </w:tcBorders>
                  <w:noWrap w:val="0"/>
                  <w:vAlign w:val="center"/>
                </w:tcPr>
                <w:p w14:paraId="315BCB83">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0.05%</w:t>
                  </w:r>
                </w:p>
              </w:tc>
              <w:tc>
                <w:tcPr>
                  <w:tcW w:w="1977" w:type="dxa"/>
                  <w:tcBorders>
                    <w:top w:val="nil"/>
                    <w:left w:val="nil"/>
                    <w:bottom w:val="nil"/>
                    <w:right w:val="nil"/>
                  </w:tcBorders>
                  <w:noWrap w:val="0"/>
                  <w:vAlign w:val="center"/>
                </w:tcPr>
                <w:p w14:paraId="1187621D">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0.05%</w:t>
                  </w:r>
                </w:p>
              </w:tc>
              <w:tc>
                <w:tcPr>
                  <w:tcW w:w="1909" w:type="dxa"/>
                  <w:tcBorders>
                    <w:top w:val="nil"/>
                    <w:left w:val="nil"/>
                    <w:bottom w:val="nil"/>
                    <w:right w:val="nil"/>
                  </w:tcBorders>
                  <w:noWrap w:val="0"/>
                  <w:vAlign w:val="center"/>
                </w:tcPr>
                <w:p w14:paraId="7BBD47B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0.05%</w:t>
                  </w:r>
                </w:p>
              </w:tc>
            </w:tr>
            <w:tr w14:paraId="26C16F33">
              <w:tblPrEx>
                <w:tblCellMar>
                  <w:top w:w="0" w:type="dxa"/>
                  <w:left w:w="108" w:type="dxa"/>
                  <w:bottom w:w="0" w:type="dxa"/>
                  <w:right w:w="108" w:type="dxa"/>
                </w:tblCellMar>
              </w:tblPrEx>
              <w:tc>
                <w:tcPr>
                  <w:tcW w:w="2727" w:type="dxa"/>
                  <w:tcBorders>
                    <w:top w:val="nil"/>
                    <w:left w:val="nil"/>
                    <w:bottom w:val="nil"/>
                    <w:right w:val="nil"/>
                  </w:tcBorders>
                  <w:noWrap w:val="0"/>
                  <w:vAlign w:val="center"/>
                </w:tcPr>
                <w:p w14:paraId="010EA9E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100000以上</w:t>
                  </w:r>
                </w:p>
              </w:tc>
              <w:tc>
                <w:tcPr>
                  <w:tcW w:w="2455" w:type="dxa"/>
                  <w:tcBorders>
                    <w:top w:val="nil"/>
                    <w:left w:val="nil"/>
                    <w:bottom w:val="nil"/>
                    <w:right w:val="nil"/>
                  </w:tcBorders>
                  <w:noWrap w:val="0"/>
                  <w:vAlign w:val="center"/>
                </w:tcPr>
                <w:p w14:paraId="5FA58E5D">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0.01%</w:t>
                  </w:r>
                </w:p>
              </w:tc>
              <w:tc>
                <w:tcPr>
                  <w:tcW w:w="1977" w:type="dxa"/>
                  <w:tcBorders>
                    <w:top w:val="nil"/>
                    <w:left w:val="nil"/>
                    <w:bottom w:val="nil"/>
                    <w:right w:val="nil"/>
                  </w:tcBorders>
                  <w:noWrap w:val="0"/>
                  <w:vAlign w:val="center"/>
                </w:tcPr>
                <w:p w14:paraId="74B19C8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0.01%</w:t>
                  </w:r>
                </w:p>
              </w:tc>
              <w:tc>
                <w:tcPr>
                  <w:tcW w:w="1909" w:type="dxa"/>
                  <w:tcBorders>
                    <w:top w:val="nil"/>
                    <w:left w:val="nil"/>
                    <w:bottom w:val="nil"/>
                    <w:right w:val="nil"/>
                  </w:tcBorders>
                  <w:noWrap w:val="0"/>
                  <w:vAlign w:val="center"/>
                </w:tcPr>
                <w:p w14:paraId="250B7E03">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0.01%</w:t>
                  </w:r>
                </w:p>
              </w:tc>
            </w:tr>
            <w:tr w14:paraId="6EE25ED1">
              <w:tblPrEx>
                <w:tblCellMar>
                  <w:top w:w="0" w:type="dxa"/>
                  <w:left w:w="108" w:type="dxa"/>
                  <w:bottom w:w="0" w:type="dxa"/>
                  <w:right w:w="108" w:type="dxa"/>
                </w:tblCellMar>
              </w:tblPrEx>
              <w:tc>
                <w:tcPr>
                  <w:tcW w:w="9068" w:type="dxa"/>
                  <w:gridSpan w:val="4"/>
                  <w:tcBorders>
                    <w:top w:val="nil"/>
                    <w:left w:val="nil"/>
                    <w:bottom w:val="nil"/>
                    <w:right w:val="nil"/>
                  </w:tcBorders>
                  <w:noWrap w:val="0"/>
                  <w:vAlign w:val="center"/>
                </w:tcPr>
                <w:p w14:paraId="430FA05E">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1、按本表费率计算的费用为代理服务全过程的收费基准价格。</w:t>
                  </w:r>
                </w:p>
                <w:p w14:paraId="060ADBE3">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2、代理服务费</w:t>
                  </w:r>
                  <w:r>
                    <w:rPr>
                      <w:rFonts w:hint="eastAsia" w:ascii="宋体" w:hAnsi="宋体" w:eastAsia="宋体" w:cs="宋体"/>
                      <w:b/>
                      <w:bCs/>
                      <w:color w:val="auto"/>
                      <w:sz w:val="24"/>
                      <w:szCs w:val="24"/>
                      <w:highlight w:val="none"/>
                      <w:lang w:val="en-US" w:eastAsia="zh-CN"/>
                    </w:rPr>
                    <w:t>以</w:t>
                  </w:r>
                  <w:r>
                    <w:rPr>
                      <w:rFonts w:hint="eastAsia" w:ascii="宋体" w:hAnsi="宋体" w:eastAsia="宋体" w:cs="宋体"/>
                      <w:b/>
                      <w:bCs/>
                      <w:color w:val="auto"/>
                      <w:sz w:val="24"/>
                      <w:szCs w:val="24"/>
                      <w:highlight w:val="none"/>
                    </w:rPr>
                    <w:t>收费标准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货物类</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70%收取</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按差额定率累进法计算。</w:t>
                  </w:r>
                </w:p>
              </w:tc>
            </w:tr>
          </w:tbl>
          <w:p w14:paraId="7D5B129C">
            <w:pPr>
              <w:spacing w:line="460" w:lineRule="exact"/>
              <w:ind w:firstLine="241" w:firstLineChars="1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中标供应商向采购代理机构一次</w:t>
            </w:r>
            <w:r>
              <w:rPr>
                <w:rFonts w:hint="eastAsia" w:ascii="宋体" w:hAnsi="宋体" w:eastAsia="宋体" w:cs="宋体"/>
                <w:b/>
                <w:bCs/>
                <w:color w:val="auto"/>
                <w:sz w:val="24"/>
                <w:szCs w:val="24"/>
                <w:highlight w:val="none"/>
                <w:lang w:val="en-US" w:eastAsia="zh-CN"/>
              </w:rPr>
              <w:t>性</w:t>
            </w:r>
            <w:r>
              <w:rPr>
                <w:rFonts w:hint="eastAsia" w:ascii="宋体" w:hAnsi="宋体" w:eastAsia="宋体" w:cs="宋体"/>
                <w:b/>
                <w:bCs/>
                <w:color w:val="auto"/>
                <w:sz w:val="24"/>
                <w:szCs w:val="24"/>
                <w:highlight w:val="none"/>
              </w:rPr>
              <w:t>付清招标代理服务费。</w:t>
            </w:r>
          </w:p>
        </w:tc>
      </w:tr>
    </w:tbl>
    <w:p w14:paraId="1A9E070C">
      <w:pPr>
        <w:spacing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3855889D">
      <w:pPr>
        <w:spacing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一、总  则</w:t>
      </w:r>
      <w:bookmarkEnd w:id="49"/>
      <w:bookmarkEnd w:id="50"/>
    </w:p>
    <w:p w14:paraId="0FEC4F1A">
      <w:pPr>
        <w:spacing w:line="360" w:lineRule="auto"/>
        <w:outlineLvl w:val="2"/>
        <w:rPr>
          <w:rFonts w:hint="eastAsia" w:ascii="宋体" w:hAnsi="宋体" w:cs="宋体"/>
          <w:b/>
          <w:color w:val="auto"/>
          <w:sz w:val="30"/>
          <w:szCs w:val="20"/>
          <w:highlight w:val="none"/>
        </w:rPr>
      </w:pPr>
      <w:bookmarkStart w:id="56" w:name="_Toc100386035"/>
      <w:bookmarkStart w:id="57" w:name="_Toc92168001"/>
      <w:r>
        <w:rPr>
          <w:rFonts w:hint="eastAsia" w:ascii="宋体" w:hAnsi="宋体" w:cs="宋体"/>
          <w:b/>
          <w:color w:val="auto"/>
          <w:sz w:val="30"/>
          <w:szCs w:val="20"/>
          <w:highlight w:val="none"/>
        </w:rPr>
        <w:t>1、适用范围</w:t>
      </w:r>
      <w:bookmarkEnd w:id="56"/>
      <w:bookmarkEnd w:id="57"/>
    </w:p>
    <w:p w14:paraId="5FE4E55B">
      <w:pPr>
        <w:spacing w:line="360" w:lineRule="auto"/>
        <w:ind w:left="525" w:hanging="286"/>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 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仅适用于</w:t>
      </w:r>
      <w:r>
        <w:rPr>
          <w:rFonts w:hint="eastAsia" w:ascii="宋体" w:hAnsi="宋体" w:cs="宋体"/>
          <w:color w:val="auto"/>
          <w:sz w:val="24"/>
          <w:szCs w:val="24"/>
          <w:highlight w:val="none"/>
          <w:u w:val="single"/>
          <w:lang w:eastAsia="zh-CN"/>
        </w:rPr>
        <w:t>机器人智能焊接实训中心</w:t>
      </w:r>
      <w:r>
        <w:rPr>
          <w:rFonts w:hint="eastAsia" w:ascii="宋体" w:hAnsi="宋体" w:cs="宋体"/>
          <w:color w:val="auto"/>
          <w:sz w:val="24"/>
          <w:szCs w:val="24"/>
          <w:highlight w:val="none"/>
        </w:rPr>
        <w:t>。</w:t>
      </w:r>
    </w:p>
    <w:p w14:paraId="08251D19">
      <w:pPr>
        <w:spacing w:before="200" w:after="200" w:line="360" w:lineRule="auto"/>
        <w:outlineLvl w:val="2"/>
        <w:rPr>
          <w:rFonts w:hint="eastAsia" w:ascii="宋体" w:hAnsi="宋体" w:cs="宋体"/>
          <w:b/>
          <w:color w:val="auto"/>
          <w:sz w:val="30"/>
          <w:szCs w:val="20"/>
          <w:highlight w:val="none"/>
        </w:rPr>
      </w:pPr>
      <w:bookmarkStart w:id="58" w:name="_Toc92168002"/>
      <w:bookmarkStart w:id="59" w:name="_Toc100386036"/>
      <w:r>
        <w:rPr>
          <w:rFonts w:hint="eastAsia" w:ascii="宋体" w:hAnsi="宋体" w:cs="宋体"/>
          <w:b/>
          <w:color w:val="auto"/>
          <w:sz w:val="30"/>
          <w:szCs w:val="20"/>
          <w:highlight w:val="none"/>
        </w:rPr>
        <w:t>2、定义</w:t>
      </w:r>
      <w:bookmarkEnd w:id="58"/>
      <w:bookmarkEnd w:id="59"/>
    </w:p>
    <w:p w14:paraId="40EE276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中下列术语应解释为：</w:t>
      </w:r>
    </w:p>
    <w:p w14:paraId="7695CA2B">
      <w:pPr>
        <w:spacing w:line="360" w:lineRule="auto"/>
        <w:ind w:left="525" w:hanging="286"/>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 “招标组织方”系指政府分散采购代理机构，即：</w:t>
      </w:r>
      <w:r>
        <w:rPr>
          <w:rFonts w:hint="eastAsia" w:ascii="宋体" w:hAnsi="宋体" w:cs="宋体"/>
          <w:color w:val="auto"/>
          <w:sz w:val="24"/>
          <w:szCs w:val="24"/>
          <w:highlight w:val="none"/>
          <w:u w:val="single"/>
          <w:lang w:eastAsia="zh-CN"/>
        </w:rPr>
        <w:t>北京中昌工程咨询有限公司</w:t>
      </w:r>
      <w:r>
        <w:rPr>
          <w:rFonts w:hint="eastAsia" w:ascii="宋体" w:hAnsi="宋体" w:cs="宋体"/>
          <w:color w:val="auto"/>
          <w:sz w:val="24"/>
          <w:szCs w:val="24"/>
          <w:highlight w:val="none"/>
        </w:rPr>
        <w:t>。</w:t>
      </w:r>
    </w:p>
    <w:p w14:paraId="2AC7A53E">
      <w:pPr>
        <w:spacing w:line="360" w:lineRule="auto"/>
        <w:ind w:left="525" w:hanging="286"/>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2.2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”系指向招标组织方提交投标文件的供应商。</w:t>
      </w:r>
    </w:p>
    <w:p w14:paraId="13C57AFA">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2.3 “采购人”系指委托采购单位，即：</w:t>
      </w:r>
      <w:r>
        <w:rPr>
          <w:rFonts w:hint="eastAsia" w:ascii="宋体" w:hAnsi="宋体" w:cs="宋体"/>
          <w:color w:val="auto"/>
          <w:sz w:val="24"/>
          <w:szCs w:val="24"/>
          <w:highlight w:val="none"/>
          <w:u w:val="single"/>
          <w:lang w:eastAsia="zh-CN"/>
        </w:rPr>
        <w:t>江苏省无锡交通高等职业技术学校</w:t>
      </w:r>
      <w:r>
        <w:rPr>
          <w:rFonts w:hint="eastAsia" w:ascii="宋体" w:hAnsi="宋体" w:cs="宋体"/>
          <w:color w:val="auto"/>
          <w:sz w:val="24"/>
          <w:szCs w:val="24"/>
          <w:highlight w:val="none"/>
        </w:rPr>
        <w:t>。</w:t>
      </w:r>
    </w:p>
    <w:p w14:paraId="64CC669D">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2.4 “货物”系指</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提供的系统、套件、成套技术资料及手册。</w:t>
      </w:r>
    </w:p>
    <w:p w14:paraId="5094CC16">
      <w:pPr>
        <w:spacing w:line="360" w:lineRule="auto"/>
        <w:ind w:firstLine="28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 “服务”系指按合同规定中标人必须承担的供货安装、设备调试、系统集成、技术指导、培训等以及其他服务。服务亦包括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中特别描述的</w:t>
      </w:r>
      <w:r>
        <w:rPr>
          <w:rFonts w:hint="eastAsia" w:ascii="宋体" w:hAnsi="宋体" w:cs="宋体"/>
          <w:color w:val="auto"/>
          <w:sz w:val="24"/>
          <w:szCs w:val="24"/>
          <w:highlight w:val="none"/>
          <w:lang w:eastAsia="zh-CN"/>
        </w:rPr>
        <w:t>其他形式的</w:t>
      </w:r>
      <w:r>
        <w:rPr>
          <w:rFonts w:hint="eastAsia" w:ascii="宋体" w:hAnsi="宋体" w:cs="宋体"/>
          <w:color w:val="auto"/>
          <w:sz w:val="24"/>
          <w:szCs w:val="24"/>
          <w:highlight w:val="none"/>
        </w:rPr>
        <w:t>服务。</w:t>
      </w:r>
    </w:p>
    <w:p w14:paraId="0AC35244">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2.6“工程”系指本次采购范围内所描述的工程。</w:t>
      </w:r>
    </w:p>
    <w:p w14:paraId="2AEB607F">
      <w:pPr>
        <w:spacing w:before="260" w:after="260" w:line="360" w:lineRule="auto"/>
        <w:outlineLvl w:val="2"/>
        <w:rPr>
          <w:rFonts w:hint="eastAsia" w:ascii="宋体" w:hAnsi="宋体" w:cs="宋体"/>
          <w:b/>
          <w:color w:val="auto"/>
          <w:sz w:val="30"/>
          <w:szCs w:val="20"/>
          <w:highlight w:val="none"/>
        </w:rPr>
      </w:pPr>
      <w:bookmarkStart w:id="60" w:name="_Toc20732971"/>
      <w:bookmarkStart w:id="61" w:name="_Toc98669335"/>
      <w:bookmarkStart w:id="62" w:name="_Toc92168004"/>
      <w:bookmarkStart w:id="63" w:name="_Toc98669693"/>
      <w:bookmarkStart w:id="64" w:name="_Toc100386038"/>
      <w:r>
        <w:rPr>
          <w:rFonts w:hint="eastAsia" w:ascii="宋体" w:hAnsi="宋体" w:cs="宋体"/>
          <w:b/>
          <w:color w:val="auto"/>
          <w:sz w:val="30"/>
          <w:szCs w:val="20"/>
          <w:highlight w:val="none"/>
        </w:rPr>
        <w:t>3、本次采购方式</w:t>
      </w:r>
    </w:p>
    <w:p w14:paraId="21C609F6">
      <w:pPr>
        <w:spacing w:line="360" w:lineRule="auto"/>
        <w:ind w:left="520" w:hanging="28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3.1本次采购采取公开招标方式（本项目</w:t>
      </w:r>
      <w:r>
        <w:rPr>
          <w:rFonts w:hint="eastAsia" w:ascii="宋体" w:hAnsi="宋体" w:cs="宋体"/>
          <w:b/>
          <w:color w:val="auto"/>
          <w:sz w:val="24"/>
          <w:szCs w:val="24"/>
          <w:highlight w:val="none"/>
          <w:u w:val="single"/>
        </w:rPr>
        <w:t>不接受联合体投标</w:t>
      </w:r>
      <w:r>
        <w:rPr>
          <w:rFonts w:hint="eastAsia" w:ascii="宋体" w:hAnsi="宋体" w:cs="宋体"/>
          <w:color w:val="auto"/>
          <w:sz w:val="24"/>
          <w:szCs w:val="24"/>
          <w:highlight w:val="none"/>
        </w:rPr>
        <w:t>）。</w:t>
      </w:r>
    </w:p>
    <w:p w14:paraId="6E45585B">
      <w:pPr>
        <w:spacing w:before="260" w:after="26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4、投标费用</w:t>
      </w:r>
      <w:bookmarkEnd w:id="60"/>
      <w:bookmarkEnd w:id="61"/>
      <w:bookmarkEnd w:id="62"/>
      <w:bookmarkEnd w:id="63"/>
      <w:bookmarkEnd w:id="64"/>
    </w:p>
    <w:p w14:paraId="076A1369">
      <w:pPr>
        <w:spacing w:line="360" w:lineRule="auto"/>
        <w:ind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4.1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应自行承担所有与参加投标有关的费用</w:t>
      </w:r>
      <w:r>
        <w:rPr>
          <w:rFonts w:hint="eastAsia" w:ascii="宋体" w:hAnsi="宋体" w:cs="宋体"/>
          <w:b/>
          <w:color w:val="auto"/>
          <w:sz w:val="24"/>
          <w:szCs w:val="24"/>
          <w:highlight w:val="none"/>
        </w:rPr>
        <w:t>（</w:t>
      </w:r>
      <w:r>
        <w:rPr>
          <w:rFonts w:hint="eastAsia" w:ascii="宋体" w:hAnsi="宋体" w:cs="宋体"/>
          <w:b/>
          <w:color w:val="auto"/>
          <w:sz w:val="24"/>
          <w:szCs w:val="24"/>
          <w:highlight w:val="none"/>
          <w:u w:val="single"/>
        </w:rPr>
        <w:t>包括中标单位需向招标组织方缴纳的代理服务费及评审费</w:t>
      </w:r>
      <w:r>
        <w:rPr>
          <w:rFonts w:hint="eastAsia" w:ascii="宋体" w:hAnsi="宋体" w:cs="宋体"/>
          <w:b/>
          <w:color w:val="auto"/>
          <w:sz w:val="24"/>
          <w:szCs w:val="24"/>
          <w:highlight w:val="none"/>
        </w:rPr>
        <w:t>）</w:t>
      </w:r>
      <w:r>
        <w:rPr>
          <w:rFonts w:hint="eastAsia" w:ascii="宋体" w:hAnsi="宋体" w:cs="宋体"/>
          <w:color w:val="auto"/>
          <w:sz w:val="24"/>
          <w:szCs w:val="24"/>
          <w:highlight w:val="none"/>
        </w:rPr>
        <w:t>。不论投标的结果如何，招标组织方在任何情况下均无义务和责任承担上述费用。</w:t>
      </w:r>
    </w:p>
    <w:p w14:paraId="5F621AE3">
      <w:pPr>
        <w:spacing w:before="200" w:after="200" w:line="360" w:lineRule="auto"/>
        <w:outlineLvl w:val="2"/>
        <w:rPr>
          <w:rFonts w:hint="eastAsia" w:ascii="宋体" w:hAnsi="宋体" w:cs="宋体"/>
          <w:b/>
          <w:color w:val="auto"/>
          <w:sz w:val="30"/>
          <w:szCs w:val="20"/>
          <w:highlight w:val="none"/>
        </w:rPr>
      </w:pPr>
      <w:bookmarkStart w:id="65" w:name="_Toc98669694"/>
      <w:bookmarkStart w:id="66" w:name="_Toc92168005"/>
      <w:bookmarkStart w:id="67" w:name="_Toc100386039"/>
      <w:bookmarkStart w:id="68" w:name="_Toc20732973"/>
      <w:bookmarkStart w:id="69" w:name="_Toc98669336"/>
      <w:r>
        <w:rPr>
          <w:rFonts w:hint="eastAsia" w:ascii="宋体" w:hAnsi="宋体" w:cs="宋体"/>
          <w:b/>
          <w:color w:val="auto"/>
          <w:sz w:val="30"/>
          <w:szCs w:val="20"/>
          <w:highlight w:val="none"/>
        </w:rPr>
        <w:t>5、</w:t>
      </w:r>
      <w:bookmarkEnd w:id="65"/>
      <w:bookmarkEnd w:id="66"/>
      <w:bookmarkEnd w:id="67"/>
      <w:bookmarkEnd w:id="68"/>
      <w:bookmarkEnd w:id="69"/>
      <w:r>
        <w:rPr>
          <w:rFonts w:hint="eastAsia" w:ascii="宋体" w:hAnsi="宋体" w:cs="宋体"/>
          <w:b/>
          <w:color w:val="auto"/>
          <w:sz w:val="30"/>
          <w:szCs w:val="20"/>
          <w:highlight w:val="none"/>
        </w:rPr>
        <w:t>适用法律、政策及约束力</w:t>
      </w:r>
      <w:bookmarkStart w:id="70" w:name="_Toc98669695"/>
      <w:bookmarkStart w:id="71" w:name="_Toc100386040"/>
      <w:bookmarkStart w:id="72" w:name="_Toc92168006"/>
      <w:bookmarkStart w:id="73" w:name="_Toc20732974"/>
      <w:bookmarkStart w:id="74" w:name="_Toc98669337"/>
    </w:p>
    <w:bookmarkEnd w:id="70"/>
    <w:bookmarkEnd w:id="71"/>
    <w:bookmarkEnd w:id="72"/>
    <w:bookmarkEnd w:id="73"/>
    <w:bookmarkEnd w:id="74"/>
    <w:p w14:paraId="6A185F24">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5.1强制采购信息安全产品，信息安全产品指国家质检总局国家认监委《信息安全产品强制性认证目录》，并获得强制性产品认证证书的产品。</w:t>
      </w:r>
    </w:p>
    <w:p w14:paraId="08560962">
      <w:pPr>
        <w:spacing w:line="360" w:lineRule="auto"/>
        <w:ind w:firstLine="360"/>
        <w:rPr>
          <w:rFonts w:hint="eastAsia" w:ascii="宋体" w:hAnsi="宋体" w:cs="宋体"/>
          <w:bCs/>
          <w:color w:val="auto"/>
          <w:sz w:val="24"/>
          <w:szCs w:val="24"/>
          <w:highlight w:val="none"/>
        </w:rPr>
      </w:pPr>
      <w:r>
        <w:rPr>
          <w:rFonts w:hint="eastAsia" w:ascii="宋体" w:hAnsi="宋体" w:cs="宋体"/>
          <w:color w:val="auto"/>
          <w:sz w:val="24"/>
          <w:szCs w:val="24"/>
          <w:highlight w:val="none"/>
        </w:rPr>
        <w:t>5.2根据财库</w:t>
      </w:r>
      <w:r>
        <w:rPr>
          <w:rFonts w:hint="eastAsia" w:ascii="宋体" w:hAnsi="宋体" w:cs="宋体"/>
          <w:color w:val="auto"/>
          <w:sz w:val="24"/>
          <w:szCs w:val="24"/>
          <w:highlight w:val="none"/>
          <w:lang w:eastAsia="zh-CN"/>
        </w:rPr>
        <w:t>〔2020〕46号</w:t>
      </w:r>
      <w:r>
        <w:rPr>
          <w:rFonts w:hint="eastAsia" w:ascii="宋体" w:hAnsi="宋体" w:cs="宋体"/>
          <w:color w:val="auto"/>
          <w:sz w:val="24"/>
          <w:szCs w:val="24"/>
          <w:highlight w:val="none"/>
        </w:rPr>
        <w:t>《政府采购促进中小企业发展管理办法》中的规定，对小型和微型企业产品的价格给予10%的扣除，用扣除后价格参与评审。</w:t>
      </w:r>
      <w:r>
        <w:rPr>
          <w:rFonts w:hint="eastAsia" w:ascii="宋体" w:hAnsi="宋体" w:cs="宋体"/>
          <w:bCs/>
          <w:color w:val="auto"/>
          <w:sz w:val="24"/>
          <w:szCs w:val="24"/>
          <w:highlight w:val="none"/>
        </w:rPr>
        <w:t>本项目属于货物类，</w:t>
      </w:r>
      <w:r>
        <w:rPr>
          <w:rFonts w:hint="eastAsia" w:ascii="宋体" w:hAnsi="宋体" w:cs="宋体"/>
          <w:b/>
          <w:bCs/>
          <w:color w:val="auto"/>
          <w:sz w:val="24"/>
          <w:szCs w:val="24"/>
          <w:highlight w:val="none"/>
        </w:rPr>
        <w:t>本项目所属行业：工业</w:t>
      </w:r>
      <w:r>
        <w:rPr>
          <w:rFonts w:hint="eastAsia" w:ascii="宋体" w:hAnsi="宋体" w:cs="宋体"/>
          <w:bCs/>
          <w:color w:val="auto"/>
          <w:sz w:val="24"/>
          <w:szCs w:val="24"/>
          <w:highlight w:val="none"/>
        </w:rPr>
        <w:t>。</w:t>
      </w:r>
    </w:p>
    <w:p w14:paraId="78EB7378">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11DB845">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337C7806">
      <w:pPr>
        <w:spacing w:line="360" w:lineRule="auto"/>
        <w:ind w:firstLine="360"/>
        <w:rPr>
          <w:rFonts w:hint="eastAsia" w:ascii="宋体" w:hAnsi="宋体" w:cs="宋体"/>
          <w:color w:val="auto"/>
          <w:sz w:val="24"/>
          <w:szCs w:val="24"/>
          <w:highlight w:val="none"/>
        </w:rPr>
      </w:pPr>
      <w:r>
        <w:rPr>
          <w:rFonts w:hint="eastAsia" w:ascii="宋体" w:hAnsi="宋体" w:cs="宋体"/>
          <w:bCs/>
          <w:color w:val="auto"/>
          <w:sz w:val="24"/>
          <w:szCs w:val="24"/>
          <w:highlight w:val="none"/>
        </w:rPr>
        <w:t>5.3</w:t>
      </w:r>
      <w:r>
        <w:rPr>
          <w:rFonts w:hint="eastAsia" w:ascii="宋体" w:hAnsi="宋体" w:cs="宋体"/>
          <w:color w:val="auto"/>
          <w:sz w:val="24"/>
          <w:szCs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1FD59A6">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5.4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012084E0">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DCD5CEF">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5.6本次招标及由本次招标产生的合同受中华人民共和国法律制约和保护。</w:t>
      </w:r>
    </w:p>
    <w:p w14:paraId="38F7B229">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5.7</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一旦领取了本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并参加投标，即被认为接受了本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中的第一、第二、第三、第四部分的所有条款。</w:t>
      </w:r>
    </w:p>
    <w:p w14:paraId="60E4852E">
      <w:pPr>
        <w:spacing w:line="360" w:lineRule="auto"/>
        <w:jc w:val="center"/>
        <w:rPr>
          <w:rFonts w:hint="eastAsia" w:ascii="宋体" w:hAnsi="宋体" w:eastAsia="宋体" w:cs="宋体"/>
          <w:b/>
          <w:color w:val="auto"/>
          <w:sz w:val="30"/>
          <w:szCs w:val="20"/>
          <w:highlight w:val="none"/>
          <w:lang w:eastAsia="zh-CN"/>
        </w:rPr>
      </w:pPr>
      <w:r>
        <w:rPr>
          <w:rFonts w:hint="eastAsia" w:ascii="宋体" w:hAnsi="宋体" w:cs="宋体"/>
          <w:b/>
          <w:color w:val="auto"/>
          <w:sz w:val="30"/>
          <w:szCs w:val="20"/>
          <w:highlight w:val="none"/>
        </w:rPr>
        <w:br w:type="page" w:clear="all"/>
      </w:r>
      <w:r>
        <w:rPr>
          <w:rFonts w:hint="eastAsia" w:ascii="宋体" w:hAnsi="宋体" w:cs="宋体"/>
          <w:b/>
          <w:color w:val="auto"/>
          <w:sz w:val="30"/>
          <w:szCs w:val="20"/>
          <w:highlight w:val="none"/>
        </w:rPr>
        <w:t>二、</w:t>
      </w:r>
      <w:r>
        <w:rPr>
          <w:rFonts w:hint="eastAsia" w:ascii="宋体" w:hAnsi="宋体" w:cs="宋体"/>
          <w:b/>
          <w:color w:val="auto"/>
          <w:sz w:val="30"/>
          <w:szCs w:val="20"/>
          <w:highlight w:val="none"/>
          <w:lang w:eastAsia="zh-CN"/>
        </w:rPr>
        <w:t>采购文件</w:t>
      </w:r>
    </w:p>
    <w:p w14:paraId="2AAC18A7">
      <w:pPr>
        <w:tabs>
          <w:tab w:val="left" w:pos="6600"/>
        </w:tabs>
        <w:spacing w:before="200" w:after="200" w:line="360" w:lineRule="auto"/>
        <w:outlineLvl w:val="2"/>
        <w:rPr>
          <w:rFonts w:hint="eastAsia" w:ascii="宋体" w:hAnsi="宋体" w:cs="宋体"/>
          <w:b/>
          <w:color w:val="auto"/>
          <w:sz w:val="30"/>
          <w:szCs w:val="20"/>
          <w:highlight w:val="none"/>
        </w:rPr>
      </w:pPr>
      <w:bookmarkStart w:id="75" w:name="_Toc98669338"/>
      <w:bookmarkStart w:id="76" w:name="_Toc100386041"/>
      <w:bookmarkStart w:id="77" w:name="_Toc98669696"/>
      <w:bookmarkStart w:id="78" w:name="_Toc20732975"/>
      <w:bookmarkStart w:id="79" w:name="_Toc92168007"/>
      <w:r>
        <w:rPr>
          <w:rFonts w:hint="eastAsia" w:ascii="宋体" w:hAnsi="宋体" w:cs="宋体"/>
          <w:b/>
          <w:color w:val="auto"/>
          <w:sz w:val="30"/>
          <w:szCs w:val="20"/>
          <w:highlight w:val="none"/>
        </w:rPr>
        <w:t>6、</w:t>
      </w:r>
      <w:r>
        <w:rPr>
          <w:rFonts w:hint="eastAsia" w:ascii="宋体" w:hAnsi="宋体" w:cs="宋体"/>
          <w:b/>
          <w:color w:val="auto"/>
          <w:sz w:val="30"/>
          <w:szCs w:val="20"/>
          <w:highlight w:val="none"/>
          <w:lang w:eastAsia="zh-CN"/>
        </w:rPr>
        <w:t>采购文件</w:t>
      </w:r>
      <w:r>
        <w:rPr>
          <w:rFonts w:hint="eastAsia" w:ascii="宋体" w:hAnsi="宋体" w:cs="宋体"/>
          <w:b/>
          <w:color w:val="auto"/>
          <w:sz w:val="30"/>
          <w:szCs w:val="20"/>
          <w:highlight w:val="none"/>
        </w:rPr>
        <w:t>构成</w:t>
      </w:r>
      <w:bookmarkEnd w:id="75"/>
      <w:bookmarkEnd w:id="76"/>
      <w:bookmarkEnd w:id="77"/>
      <w:bookmarkEnd w:id="78"/>
      <w:bookmarkEnd w:id="79"/>
    </w:p>
    <w:p w14:paraId="0FFCC816">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6.1 </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包括：</w:t>
      </w:r>
    </w:p>
    <w:p w14:paraId="66BDD45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 招标公告；</w:t>
      </w:r>
    </w:p>
    <w:p w14:paraId="70B7214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须知；</w:t>
      </w:r>
    </w:p>
    <w:p w14:paraId="13603236">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 合同条款；</w:t>
      </w:r>
    </w:p>
    <w:p w14:paraId="111E578A">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 项目需求；</w:t>
      </w:r>
    </w:p>
    <w:p w14:paraId="4D28C382">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 投标文件（格式）；</w:t>
      </w:r>
    </w:p>
    <w:p w14:paraId="27A01EBD">
      <w:pPr>
        <w:spacing w:line="360" w:lineRule="auto"/>
        <w:ind w:left="315" w:firstLine="236"/>
        <w:rPr>
          <w:rFonts w:hint="eastAsia" w:ascii="宋体" w:hAnsi="宋体" w:cs="宋体"/>
          <w:b/>
          <w:color w:val="auto"/>
          <w:sz w:val="24"/>
          <w:szCs w:val="24"/>
          <w:highlight w:val="none"/>
        </w:rPr>
      </w:pPr>
      <w:r>
        <w:rPr>
          <w:rFonts w:hint="eastAsia" w:ascii="宋体" w:hAnsi="宋体" w:cs="宋体"/>
          <w:b/>
          <w:color w:val="auto"/>
          <w:sz w:val="24"/>
          <w:szCs w:val="24"/>
          <w:highlight w:val="none"/>
          <w:u w:val="single"/>
        </w:rPr>
        <w:t>请仔细检查</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是否齐全，如有缺漏请立即与招标组织方联系解决</w:t>
      </w:r>
      <w:r>
        <w:rPr>
          <w:rFonts w:hint="eastAsia" w:ascii="宋体" w:hAnsi="宋体" w:cs="宋体"/>
          <w:b/>
          <w:color w:val="auto"/>
          <w:sz w:val="24"/>
          <w:szCs w:val="24"/>
          <w:highlight w:val="none"/>
        </w:rPr>
        <w:t>。</w:t>
      </w:r>
    </w:p>
    <w:p w14:paraId="20CBA59B">
      <w:pPr>
        <w:spacing w:line="360" w:lineRule="auto"/>
        <w:ind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6.2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应当按照</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的要求编制投标文件。投标文件应当对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提出的要求和条件作出明确响应。</w:t>
      </w:r>
    </w:p>
    <w:p w14:paraId="0088CFC5">
      <w:pPr>
        <w:spacing w:before="200" w:after="200" w:line="360" w:lineRule="auto"/>
        <w:outlineLvl w:val="2"/>
        <w:rPr>
          <w:rFonts w:hint="eastAsia" w:ascii="宋体" w:hAnsi="宋体" w:cs="宋体"/>
          <w:b/>
          <w:color w:val="auto"/>
          <w:sz w:val="30"/>
          <w:szCs w:val="20"/>
          <w:highlight w:val="none"/>
        </w:rPr>
      </w:pPr>
      <w:bookmarkStart w:id="80" w:name="_Toc92168008"/>
      <w:bookmarkStart w:id="81" w:name="_Toc98669339"/>
      <w:bookmarkStart w:id="82" w:name="_Toc98669697"/>
      <w:bookmarkStart w:id="83" w:name="_Toc100386042"/>
      <w:bookmarkStart w:id="84" w:name="_Toc20732976"/>
      <w:r>
        <w:rPr>
          <w:rFonts w:hint="eastAsia" w:ascii="宋体" w:hAnsi="宋体" w:cs="宋体"/>
          <w:b/>
          <w:color w:val="auto"/>
          <w:sz w:val="30"/>
          <w:szCs w:val="20"/>
          <w:highlight w:val="none"/>
        </w:rPr>
        <w:t>7、</w:t>
      </w:r>
      <w:r>
        <w:rPr>
          <w:rFonts w:hint="eastAsia" w:ascii="宋体" w:hAnsi="宋体" w:cs="宋体"/>
          <w:b/>
          <w:color w:val="auto"/>
          <w:sz w:val="30"/>
          <w:szCs w:val="20"/>
          <w:highlight w:val="none"/>
          <w:lang w:eastAsia="zh-CN"/>
        </w:rPr>
        <w:t>采购文件</w:t>
      </w:r>
      <w:r>
        <w:rPr>
          <w:rFonts w:hint="eastAsia" w:ascii="宋体" w:hAnsi="宋体" w:cs="宋体"/>
          <w:b/>
          <w:color w:val="auto"/>
          <w:sz w:val="30"/>
          <w:szCs w:val="20"/>
          <w:highlight w:val="none"/>
        </w:rPr>
        <w:t>的澄清</w:t>
      </w:r>
      <w:bookmarkEnd w:id="80"/>
      <w:bookmarkEnd w:id="81"/>
      <w:bookmarkEnd w:id="82"/>
      <w:bookmarkEnd w:id="83"/>
      <w:bookmarkEnd w:id="84"/>
      <w:bookmarkStart w:id="85" w:name="_Toc98669340"/>
      <w:bookmarkStart w:id="86" w:name="_Toc92168009"/>
      <w:bookmarkStart w:id="87" w:name="_Toc100386043"/>
      <w:bookmarkStart w:id="88" w:name="_Toc20732977"/>
      <w:bookmarkStart w:id="89" w:name="_Toc98669698"/>
      <w:r>
        <w:rPr>
          <w:rFonts w:hint="eastAsia" w:ascii="宋体" w:hAnsi="宋体" w:cs="宋体"/>
          <w:b/>
          <w:color w:val="auto"/>
          <w:sz w:val="30"/>
          <w:szCs w:val="20"/>
          <w:highlight w:val="none"/>
        </w:rPr>
        <w:t>和修改</w:t>
      </w:r>
      <w:bookmarkEnd w:id="85"/>
      <w:bookmarkEnd w:id="86"/>
      <w:bookmarkEnd w:id="87"/>
      <w:bookmarkEnd w:id="88"/>
      <w:bookmarkEnd w:id="89"/>
    </w:p>
    <w:p w14:paraId="7FAC9968">
      <w:pPr>
        <w:spacing w:line="360" w:lineRule="auto"/>
        <w:ind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7.1 任何要求对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进行澄清的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，均</w:t>
      </w:r>
      <w:r>
        <w:rPr>
          <w:rFonts w:hint="eastAsia" w:ascii="宋体" w:hAnsi="宋体"/>
          <w:bCs/>
          <w:color w:val="auto"/>
          <w:sz w:val="24"/>
          <w:highlight w:val="none"/>
        </w:rPr>
        <w:t>应在投标截止期至少十五日前</w:t>
      </w:r>
      <w:r>
        <w:rPr>
          <w:rFonts w:hint="eastAsia" w:ascii="宋体" w:hAnsi="宋体" w:cs="宋体"/>
          <w:color w:val="auto"/>
          <w:sz w:val="24"/>
          <w:szCs w:val="24"/>
          <w:highlight w:val="none"/>
        </w:rPr>
        <w:t>按</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中的通讯地址，以书面形式（如信件、传真、电报等）通知招标组织方。</w:t>
      </w:r>
    </w:p>
    <w:p w14:paraId="59F4DD6A">
      <w:pPr>
        <w:spacing w:line="360" w:lineRule="auto"/>
        <w:ind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7.2招标组织方可以对已发出的</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进行必要的澄清或者修改，但不改变采购标的和资格条件。澄清或者修改将在“江苏省政府采购网”网站上发布澄清公告。澄清或者修改的内容为</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组成部分。澄清或者修改的内容可能影响投标文件编制的，招标组织方将在投标截止时间至少15日前，以书面形式通知所有已完成报名的供应商，供应商请登录系统查看相应内容；不足15日的，招标组织方将顺延提交投标文件的截止时间。</w:t>
      </w:r>
    </w:p>
    <w:p w14:paraId="11E11FC4">
      <w:pPr>
        <w:spacing w:line="360" w:lineRule="auto"/>
        <w:ind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7.3 </w:t>
      </w:r>
      <w:r>
        <w:rPr>
          <w:rFonts w:hint="eastAsia" w:ascii="宋体" w:hAnsi="宋体" w:cs="宋体"/>
          <w:b/>
          <w:color w:val="auto"/>
          <w:sz w:val="24"/>
          <w:szCs w:val="24"/>
          <w:highlight w:val="none"/>
          <w:u w:val="single"/>
        </w:rPr>
        <w:t>除非有特殊要求，</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不单独提供招标标的所在地自然环境、气象条件、公用设施等情况，</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被视为熟悉上述与签订和履行合同有关的一切情况</w:t>
      </w:r>
      <w:r>
        <w:rPr>
          <w:rFonts w:hint="eastAsia" w:ascii="宋体" w:hAnsi="宋体" w:cs="宋体"/>
          <w:color w:val="auto"/>
          <w:sz w:val="24"/>
          <w:szCs w:val="24"/>
          <w:highlight w:val="none"/>
        </w:rPr>
        <w:t>。</w:t>
      </w:r>
    </w:p>
    <w:p w14:paraId="350D1050">
      <w:pPr>
        <w:spacing w:before="260" w:after="260"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三、投标文件的编制</w:t>
      </w:r>
    </w:p>
    <w:p w14:paraId="318E788F">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8、投标文件的编写</w:t>
      </w:r>
    </w:p>
    <w:p w14:paraId="570F35F4">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8.1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应仔细阅读</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，了解</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的要求。在完全了解采购要求和服务的技术规范和要求以及商务条件后，编制投标文件。</w:t>
      </w:r>
    </w:p>
    <w:p w14:paraId="4D8EEAAD">
      <w:pPr>
        <w:spacing w:line="360" w:lineRule="auto"/>
        <w:ind w:left="1" w:firstLine="354"/>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8.2</w:t>
      </w:r>
      <w:r>
        <w:rPr>
          <w:rFonts w:hint="eastAsia" w:ascii="宋体" w:hAnsi="宋体" w:cs="宋体"/>
          <w:b/>
          <w:color w:val="auto"/>
          <w:sz w:val="24"/>
          <w:szCs w:val="24"/>
          <w:highlight w:val="none"/>
          <w:u w:val="single"/>
        </w:rPr>
        <w:t>投标文件的正本和所有的副本均需双面打印并装订胶装成册，凡修改处（书写应清楚工整）需加盖</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公章。</w:t>
      </w:r>
    </w:p>
    <w:p w14:paraId="4F35B94A">
      <w:pPr>
        <w:spacing w:line="360" w:lineRule="auto"/>
        <w:ind w:left="1" w:firstLine="354"/>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8.3</w:t>
      </w:r>
      <w:r>
        <w:rPr>
          <w:rFonts w:hint="eastAsia" w:ascii="宋体" w:hAnsi="宋体" w:cs="宋体"/>
          <w:b/>
          <w:color w:val="auto"/>
          <w:sz w:val="24"/>
          <w:szCs w:val="24"/>
          <w:highlight w:val="none"/>
          <w:u w:val="single"/>
        </w:rPr>
        <w:t>投标文件应有</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的法定代表人或其委托代理人在规定签章处逐一签署及加盖</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的公章（副本的签字和盖章可以是复印的）。</w:t>
      </w:r>
    </w:p>
    <w:p w14:paraId="081890DC">
      <w:pPr>
        <w:spacing w:line="360" w:lineRule="auto"/>
        <w:ind w:left="1" w:firstLine="354"/>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8.4</w:t>
      </w:r>
      <w:r>
        <w:rPr>
          <w:rFonts w:hint="eastAsia" w:ascii="宋体" w:hAnsi="宋体" w:cs="宋体"/>
          <w:b/>
          <w:color w:val="auto"/>
          <w:sz w:val="24"/>
          <w:szCs w:val="24"/>
          <w:highlight w:val="none"/>
          <w:u w:val="single"/>
        </w:rPr>
        <w:t>投标文件的份数：一式伍份。正本壹份，副本肆份（正本和副本的内容和资料应当一致），并注明“正本”、“副本”字样，一旦正本和副本不符，以正本为准。</w:t>
      </w:r>
    </w:p>
    <w:p w14:paraId="57AB9345">
      <w:pPr>
        <w:spacing w:line="360" w:lineRule="auto"/>
        <w:ind w:firstLine="354"/>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rPr>
        <w:t>8.5</w:t>
      </w:r>
      <w:r>
        <w:rPr>
          <w:rFonts w:hint="eastAsia" w:ascii="宋体" w:hAnsi="宋体" w:cs="宋体"/>
          <w:b/>
          <w:color w:val="auto"/>
          <w:sz w:val="24"/>
          <w:szCs w:val="24"/>
          <w:highlight w:val="none"/>
          <w:u w:val="single"/>
        </w:rPr>
        <w:t>投标文件需提供详细的目录及评分索引表，并按顺序编写页码。</w:t>
      </w:r>
    </w:p>
    <w:p w14:paraId="14DB9C62">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9、投标语言及度量衡单位</w:t>
      </w:r>
    </w:p>
    <w:p w14:paraId="2DCCD612">
      <w:pPr>
        <w:spacing w:line="360" w:lineRule="auto"/>
        <w:ind w:left="628" w:hanging="389"/>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9.1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的投标文件以及</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就有关投标的所有来往函电等均应使用中文。</w:t>
      </w:r>
    </w:p>
    <w:p w14:paraId="6762D18A">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9.2 投标文件中所使用的计量单位除</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中另有特殊规定外，一律使用法定计量单位。</w:t>
      </w:r>
    </w:p>
    <w:p w14:paraId="27043EBD">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10、投标文件构成</w:t>
      </w:r>
    </w:p>
    <w:p w14:paraId="566AFAB1">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 10.1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编写的投标文件应按照</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第五部分投标文件（格式）的要求编写</w:t>
      </w:r>
      <w:r>
        <w:rPr>
          <w:rFonts w:hint="eastAsia" w:ascii="宋体" w:hAnsi="宋体" w:cs="宋体"/>
          <w:color w:val="auto"/>
          <w:sz w:val="24"/>
          <w:szCs w:val="24"/>
          <w:highlight w:val="none"/>
          <w:lang w:eastAsia="zh-CN"/>
        </w:rPr>
        <w:t>。</w:t>
      </w:r>
    </w:p>
    <w:p w14:paraId="1E998C86">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应将投标文件按顺序装订成册，并编制投标文件资料目录。</w:t>
      </w:r>
    </w:p>
    <w:p w14:paraId="4B10F0AD">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11、投标函</w:t>
      </w:r>
    </w:p>
    <w:p w14:paraId="281AE7EB">
      <w:pPr>
        <w:spacing w:line="360" w:lineRule="auto"/>
        <w:ind w:left="628" w:hanging="389"/>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应按照</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中提供的“投标书（函）”的格式及要求填写。</w:t>
      </w:r>
    </w:p>
    <w:p w14:paraId="2698DB9E">
      <w:pPr>
        <w:spacing w:before="260" w:after="26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12、投标报价</w:t>
      </w:r>
    </w:p>
    <w:p w14:paraId="763AB025">
      <w:pPr>
        <w:spacing w:line="360" w:lineRule="auto"/>
        <w:ind w:firstLine="23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12.1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对本项目应报出最具有竞争力的价格，项目总报价中需包括本次招标所包含的所有要求提供货物及服务本身已支付或将支付的各种税费及其他相关费用。</w:t>
      </w:r>
    </w:p>
    <w:p w14:paraId="48A8B289">
      <w:pPr>
        <w:spacing w:line="360" w:lineRule="auto"/>
        <w:ind w:left="2"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12.2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应按</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所提供的各报价表格式报价。</w:t>
      </w:r>
    </w:p>
    <w:p w14:paraId="23056CB5">
      <w:pPr>
        <w:spacing w:line="360" w:lineRule="auto"/>
        <w:ind w:left="520" w:hanging="28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12.3 中标价即为合同签约价。</w:t>
      </w:r>
    </w:p>
    <w:p w14:paraId="4589F7FC">
      <w:pPr>
        <w:spacing w:line="360" w:lineRule="auto"/>
        <w:ind w:left="520" w:hanging="28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12.4 最低投标报价不能作为中标的唯一保证。</w:t>
      </w:r>
    </w:p>
    <w:p w14:paraId="30673A87">
      <w:pPr>
        <w:spacing w:line="360" w:lineRule="auto"/>
        <w:ind w:left="520" w:hanging="28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12.5 投标应以人民币报价。</w:t>
      </w:r>
    </w:p>
    <w:p w14:paraId="164EED8C">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13、技术规格要求和项目需求的响应</w:t>
      </w:r>
    </w:p>
    <w:p w14:paraId="600B41D0">
      <w:pPr>
        <w:spacing w:line="360" w:lineRule="auto"/>
        <w:ind w:left="-14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13.1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必须依据技术要求及规格，逐条说明投标货物、服务的技术参数、运行性能以及适用性。</w:t>
      </w:r>
    </w:p>
    <w:p w14:paraId="4488DF92">
      <w:pPr>
        <w:spacing w:line="360" w:lineRule="auto"/>
        <w:ind w:left="-143"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13.2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必须提交其所投标货物是符合</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的技术响应文件。该文件可以是文字资料、拓扑图和数据，并须提供在技术规格中规定的保证货物和服务正常和连续运转期间所需要的所有备件和专用工具的详细清单，包括其价格和供货来源资料。</w:t>
      </w:r>
    </w:p>
    <w:p w14:paraId="056D94FA">
      <w:pPr>
        <w:spacing w:line="360" w:lineRule="auto"/>
        <w:ind w:left="2"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13.3 技术规格的响应，应对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中的技术规格逐项作出实质性响应。</w:t>
      </w:r>
    </w:p>
    <w:p w14:paraId="74463B9F">
      <w:pPr>
        <w:spacing w:line="360" w:lineRule="auto"/>
        <w:ind w:left="628" w:hanging="389"/>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13.4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的服务承诺应按不低于</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中项目需求的标准做出响应。</w:t>
      </w:r>
    </w:p>
    <w:p w14:paraId="13907EC1">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14、</w:t>
      </w:r>
      <w:r>
        <w:rPr>
          <w:rFonts w:hint="eastAsia" w:ascii="宋体" w:hAnsi="宋体" w:cs="宋体"/>
          <w:b/>
          <w:color w:val="auto"/>
          <w:sz w:val="30"/>
          <w:szCs w:val="20"/>
          <w:highlight w:val="none"/>
          <w:lang w:eastAsia="zh-CN"/>
        </w:rPr>
        <w:t>投标供应商</w:t>
      </w:r>
      <w:r>
        <w:rPr>
          <w:rFonts w:hint="eastAsia" w:ascii="宋体" w:hAnsi="宋体" w:cs="宋体"/>
          <w:b/>
          <w:color w:val="auto"/>
          <w:sz w:val="30"/>
          <w:szCs w:val="20"/>
          <w:highlight w:val="none"/>
        </w:rPr>
        <w:t>资格和能力的证明文件</w:t>
      </w:r>
    </w:p>
    <w:p w14:paraId="1A81531D">
      <w:pPr>
        <w:spacing w:line="360" w:lineRule="auto"/>
        <w:ind w:left="2"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14.1按照合格</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的规定，</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应提交证明其有资格参加投标和中标后有能力签订和履行合同的文件，并作为其投标文件的一部分。</w:t>
      </w:r>
    </w:p>
    <w:p w14:paraId="5FFACC12">
      <w:pPr>
        <w:spacing w:line="360" w:lineRule="auto"/>
        <w:ind w:left="2"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14.2 </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除必须具有履行合同所需提供的货物和服务的能力外，还必须具备相应的财务、技术等各方面的能力。</w:t>
      </w:r>
    </w:p>
    <w:p w14:paraId="018BA65D">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15、投标保证金</w:t>
      </w:r>
    </w:p>
    <w:p w14:paraId="7DAE7F28">
      <w:pPr>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15.1本项目不收取投标保证金</w:t>
      </w:r>
    </w:p>
    <w:p w14:paraId="69A79DF4">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16、投标有效期</w:t>
      </w:r>
    </w:p>
    <w:p w14:paraId="33E35CDB">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16.1 投标有效期为：投标文件自开标之日起</w:t>
      </w:r>
      <w:r>
        <w:rPr>
          <w:rFonts w:hint="eastAsia" w:ascii="宋体" w:hAnsi="宋体" w:cs="宋体"/>
          <w:b/>
          <w:color w:val="auto"/>
          <w:sz w:val="24"/>
          <w:szCs w:val="24"/>
          <w:highlight w:val="none"/>
          <w:u w:val="none"/>
        </w:rPr>
        <w:t>90</w:t>
      </w:r>
      <w:r>
        <w:rPr>
          <w:rFonts w:hint="eastAsia" w:ascii="宋体" w:hAnsi="宋体" w:cs="宋体"/>
          <w:color w:val="auto"/>
          <w:sz w:val="24"/>
          <w:szCs w:val="24"/>
          <w:highlight w:val="none"/>
        </w:rPr>
        <w:t>天内有效。供应商一旦报名本项目并参加投标，即被认为接受了投标有效期的约定。</w:t>
      </w:r>
    </w:p>
    <w:p w14:paraId="561F4714">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16.2在特殊情况下，招标组织方于原投标有效期满之前，可向</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提出延长投标有效期的要求。这种要求与答复均应采用书面形式（如信件、传真或电报等）。</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可以拒绝招标组织方的这一要求而放弃投标。同意延长的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既不能要求也不允许修改其投标文件。</w:t>
      </w:r>
    </w:p>
    <w:p w14:paraId="4FDADE02">
      <w:pPr>
        <w:spacing w:before="200" w:after="200"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四、投标文件的递交</w:t>
      </w:r>
    </w:p>
    <w:p w14:paraId="018BEA92">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17、投标文件的密封和标记</w:t>
      </w:r>
    </w:p>
    <w:p w14:paraId="0028853D">
      <w:pPr>
        <w:spacing w:line="360" w:lineRule="auto"/>
        <w:ind w:left="2" w:firstLine="360"/>
        <w:rPr>
          <w:rFonts w:hint="eastAsia" w:ascii="宋体" w:hAnsi="宋体" w:cs="宋体"/>
          <w:color w:val="auto"/>
          <w:sz w:val="24"/>
          <w:szCs w:val="20"/>
          <w:highlight w:val="none"/>
        </w:rPr>
      </w:pPr>
      <w:r>
        <w:rPr>
          <w:rFonts w:hint="eastAsia" w:ascii="宋体" w:hAnsi="宋体" w:cs="宋体"/>
          <w:color w:val="auto"/>
          <w:sz w:val="24"/>
          <w:szCs w:val="20"/>
          <w:highlight w:val="none"/>
        </w:rPr>
        <w:t>17.1</w:t>
      </w:r>
      <w:r>
        <w:rPr>
          <w:rFonts w:hint="eastAsia" w:ascii="宋体" w:hAnsi="宋体" w:cs="宋体"/>
          <w:b/>
          <w:color w:val="auto"/>
          <w:sz w:val="24"/>
          <w:szCs w:val="20"/>
          <w:highlight w:val="none"/>
          <w:u w:val="single"/>
          <w:lang w:eastAsia="zh-CN"/>
        </w:rPr>
        <w:t>投标供应商</w:t>
      </w:r>
      <w:r>
        <w:rPr>
          <w:rFonts w:hint="eastAsia" w:ascii="宋体" w:hAnsi="宋体" w:cs="宋体"/>
          <w:b/>
          <w:color w:val="auto"/>
          <w:sz w:val="24"/>
          <w:szCs w:val="20"/>
          <w:highlight w:val="none"/>
          <w:u w:val="single"/>
        </w:rPr>
        <w:t>应将投标文件正本、副本及开标一览表密封，包装物上应加盖</w:t>
      </w:r>
      <w:r>
        <w:rPr>
          <w:rFonts w:hint="eastAsia" w:ascii="宋体" w:hAnsi="宋体" w:cs="宋体"/>
          <w:b/>
          <w:color w:val="auto"/>
          <w:sz w:val="24"/>
          <w:szCs w:val="20"/>
          <w:highlight w:val="none"/>
          <w:u w:val="single"/>
          <w:lang w:eastAsia="zh-CN"/>
        </w:rPr>
        <w:t>投标供应商</w:t>
      </w:r>
      <w:r>
        <w:rPr>
          <w:rFonts w:hint="eastAsia" w:ascii="宋体" w:hAnsi="宋体" w:cs="宋体"/>
          <w:b/>
          <w:color w:val="auto"/>
          <w:sz w:val="24"/>
          <w:szCs w:val="20"/>
          <w:highlight w:val="none"/>
          <w:u w:val="single"/>
        </w:rPr>
        <w:t>公章，并注明</w:t>
      </w:r>
      <w:r>
        <w:rPr>
          <w:rFonts w:hint="eastAsia" w:ascii="宋体" w:hAnsi="宋体" w:cs="宋体"/>
          <w:b/>
          <w:color w:val="auto"/>
          <w:sz w:val="24"/>
          <w:szCs w:val="20"/>
          <w:highlight w:val="none"/>
          <w:u w:val="single"/>
          <w:lang w:eastAsia="zh-CN"/>
        </w:rPr>
        <w:t>投标供应商</w:t>
      </w:r>
      <w:r>
        <w:rPr>
          <w:rFonts w:hint="eastAsia" w:ascii="宋体" w:hAnsi="宋体" w:cs="宋体"/>
          <w:b/>
          <w:color w:val="auto"/>
          <w:sz w:val="24"/>
          <w:szCs w:val="20"/>
          <w:highlight w:val="none"/>
          <w:u w:val="single"/>
        </w:rPr>
        <w:t>名称、项目名称、项目编号</w:t>
      </w:r>
      <w:r>
        <w:rPr>
          <w:rFonts w:hint="eastAsia" w:ascii="宋体" w:hAnsi="宋体" w:cs="宋体"/>
          <w:b/>
          <w:color w:val="auto"/>
          <w:sz w:val="24"/>
          <w:szCs w:val="20"/>
          <w:highlight w:val="none"/>
          <w:u w:val="single"/>
          <w:lang w:val="en-US" w:eastAsia="zh-CN"/>
        </w:rPr>
        <w:t>。</w:t>
      </w:r>
    </w:p>
    <w:p w14:paraId="40771165">
      <w:pPr>
        <w:spacing w:line="360" w:lineRule="auto"/>
        <w:ind w:firstLine="360"/>
        <w:rPr>
          <w:rFonts w:hint="eastAsia" w:ascii="宋体" w:hAnsi="宋体" w:cs="宋体"/>
          <w:color w:val="auto"/>
          <w:sz w:val="24"/>
          <w:szCs w:val="20"/>
          <w:highlight w:val="none"/>
        </w:rPr>
      </w:pPr>
      <w:r>
        <w:rPr>
          <w:rFonts w:hint="eastAsia" w:ascii="宋体" w:hAnsi="宋体" w:cs="宋体"/>
          <w:color w:val="auto"/>
          <w:sz w:val="24"/>
          <w:szCs w:val="20"/>
          <w:highlight w:val="none"/>
        </w:rPr>
        <w:t>17.2</w:t>
      </w:r>
      <w:r>
        <w:rPr>
          <w:rFonts w:hint="eastAsia" w:ascii="宋体" w:hAnsi="宋体" w:cs="宋体"/>
          <w:b/>
          <w:color w:val="auto"/>
          <w:sz w:val="24"/>
          <w:szCs w:val="20"/>
          <w:highlight w:val="none"/>
          <w:u w:val="single"/>
        </w:rPr>
        <w:t>未密封的投标文件，招标组织方应当拒收。</w:t>
      </w:r>
    </w:p>
    <w:p w14:paraId="1F7E1BD2">
      <w:pPr>
        <w:spacing w:line="360" w:lineRule="auto"/>
        <w:ind w:firstLine="360"/>
        <w:rPr>
          <w:rFonts w:hint="eastAsia" w:ascii="宋体" w:hAnsi="宋体" w:cs="宋体"/>
          <w:b/>
          <w:color w:val="auto"/>
          <w:sz w:val="24"/>
          <w:szCs w:val="20"/>
          <w:highlight w:val="none"/>
        </w:rPr>
      </w:pPr>
      <w:r>
        <w:rPr>
          <w:rFonts w:hint="eastAsia" w:ascii="宋体" w:hAnsi="宋体" w:cs="宋体"/>
          <w:color w:val="auto"/>
          <w:sz w:val="24"/>
          <w:szCs w:val="20"/>
          <w:highlight w:val="none"/>
        </w:rPr>
        <w:t>17.3</w:t>
      </w:r>
      <w:r>
        <w:rPr>
          <w:rFonts w:hint="eastAsia" w:ascii="宋体" w:hAnsi="宋体" w:cs="宋体"/>
          <w:color w:val="auto"/>
          <w:sz w:val="24"/>
          <w:szCs w:val="20"/>
          <w:highlight w:val="none"/>
          <w:u w:val="single"/>
          <w:lang w:eastAsia="zh-CN"/>
        </w:rPr>
        <w:t>投标供应商</w:t>
      </w:r>
      <w:r>
        <w:rPr>
          <w:rFonts w:hint="eastAsia" w:ascii="宋体" w:hAnsi="宋体" w:cs="宋体"/>
          <w:color w:val="auto"/>
          <w:sz w:val="24"/>
          <w:szCs w:val="20"/>
          <w:highlight w:val="none"/>
          <w:u w:val="single"/>
        </w:rPr>
        <w:t>在递交投标文件时须由法定代表人或其委托代理人出示居民身份证，并填写签到簿。</w:t>
      </w:r>
      <w:r>
        <w:rPr>
          <w:rFonts w:hint="eastAsia" w:ascii="宋体" w:hAnsi="宋体" w:cs="宋体"/>
          <w:b/>
          <w:color w:val="auto"/>
          <w:sz w:val="24"/>
          <w:szCs w:val="20"/>
          <w:highlight w:val="none"/>
          <w:u w:val="single"/>
          <w:lang w:eastAsia="zh-CN"/>
        </w:rPr>
        <w:t>投标供应商</w:t>
      </w:r>
      <w:r>
        <w:rPr>
          <w:rFonts w:hint="eastAsia" w:ascii="宋体" w:hAnsi="宋体" w:cs="宋体"/>
          <w:b/>
          <w:color w:val="auto"/>
          <w:sz w:val="24"/>
          <w:szCs w:val="20"/>
          <w:highlight w:val="none"/>
          <w:u w:val="single"/>
        </w:rPr>
        <w:t>法定代表人或其委托代理人未出示居民身份证的，招标组织方拒绝接收其投标文件。</w:t>
      </w:r>
    </w:p>
    <w:p w14:paraId="3626AB42">
      <w:pPr>
        <w:spacing w:line="360" w:lineRule="auto"/>
        <w:rPr>
          <w:rFonts w:hint="eastAsia" w:ascii="宋体" w:hAnsi="宋体" w:cs="宋体"/>
          <w:b/>
          <w:color w:val="auto"/>
          <w:sz w:val="10"/>
          <w:szCs w:val="10"/>
          <w:highlight w:val="none"/>
        </w:rPr>
      </w:pPr>
    </w:p>
    <w:p w14:paraId="0CC39C33">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18、投标截止时间</w:t>
      </w:r>
    </w:p>
    <w:p w14:paraId="6F47019D">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18.1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需在</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规定的投标截止时间前，将投标文件送达招标公告指定的投标地点。</w:t>
      </w:r>
    </w:p>
    <w:p w14:paraId="466A8B47">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18.2</w:t>
      </w:r>
      <w:r>
        <w:rPr>
          <w:rFonts w:hint="eastAsia" w:ascii="宋体" w:hAnsi="宋体" w:cs="宋体"/>
          <w:b/>
          <w:color w:val="auto"/>
          <w:sz w:val="24"/>
          <w:szCs w:val="24"/>
          <w:highlight w:val="none"/>
          <w:u w:val="single"/>
        </w:rPr>
        <w:t>在投标截止时间以后送达的投标文件，招标组织方拒绝接收。</w:t>
      </w:r>
    </w:p>
    <w:p w14:paraId="214C2EA0">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18.3招标组织方可以通过修改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自行酌情延长投标截止时间，在此情况下，推迟投标截止时间将以书面形式通知已完成报名的供应商，并在“江苏省政府采购网”上发布公告。</w:t>
      </w:r>
      <w:r>
        <w:rPr>
          <w:rFonts w:hint="eastAsia" w:ascii="宋体" w:hAnsi="宋体" w:cs="宋体"/>
          <w:b/>
          <w:color w:val="auto"/>
          <w:sz w:val="24"/>
          <w:szCs w:val="24"/>
          <w:highlight w:val="none"/>
          <w:u w:val="single"/>
        </w:rPr>
        <w:t>供应商请登录系统查看相应内容</w:t>
      </w:r>
      <w:r>
        <w:rPr>
          <w:rFonts w:hint="eastAsia" w:ascii="宋体" w:hAnsi="宋体" w:cs="宋体"/>
          <w:color w:val="auto"/>
          <w:sz w:val="24"/>
          <w:szCs w:val="24"/>
          <w:highlight w:val="none"/>
        </w:rPr>
        <w:t>。</w:t>
      </w:r>
    </w:p>
    <w:p w14:paraId="3260C00A">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19、投标文件的补充、修改或者撤回</w:t>
      </w:r>
    </w:p>
    <w:p w14:paraId="6AA64DE9">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19.1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在投标截止时间前，可以对所递交的投标文件进行补充、修改或者撤回，并书面通知招标组织方。补充、修改的内容应当签署、盖章、密封，包装物上应注明“补充”、“修改”或“撤回”字样。补充、修改的内容作为投标文件的组成部分。</w:t>
      </w:r>
    </w:p>
    <w:p w14:paraId="13D886BF">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19.2在投标截止时间之后，</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不得对其投标文件作任何修改。</w:t>
      </w:r>
    </w:p>
    <w:p w14:paraId="3EED246D">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19.3在投标截止时间至招标组织方在</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中规定的投标有效期满之间的这段时间内，</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不得撤回其投标。</w:t>
      </w:r>
    </w:p>
    <w:p w14:paraId="13DEB865">
      <w:pPr>
        <w:spacing w:before="0" w:after="0" w:line="240" w:lineRule="auto"/>
        <w:jc w:val="center"/>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t>五、开标与评标</w:t>
      </w:r>
    </w:p>
    <w:p w14:paraId="5514895D">
      <w:pPr>
        <w:spacing w:before="200" w:after="200" w:line="360" w:lineRule="auto"/>
        <w:outlineLvl w:val="2"/>
        <w:rPr>
          <w:rFonts w:hint="default" w:ascii="宋体" w:hAnsi="宋体" w:eastAsia="宋体" w:cs="宋体"/>
          <w:b/>
          <w:color w:val="auto"/>
          <w:sz w:val="30"/>
          <w:szCs w:val="20"/>
          <w:highlight w:val="none"/>
          <w:lang w:val="en-US" w:eastAsia="zh-CN"/>
        </w:rPr>
      </w:pPr>
      <w:r>
        <w:rPr>
          <w:rFonts w:hint="eastAsia" w:ascii="宋体" w:hAnsi="宋体" w:cs="宋体"/>
          <w:b/>
          <w:color w:val="auto"/>
          <w:sz w:val="30"/>
          <w:szCs w:val="20"/>
          <w:highlight w:val="none"/>
        </w:rPr>
        <w:t>20、开标及评委会组成</w:t>
      </w:r>
    </w:p>
    <w:p w14:paraId="4C3F6418">
      <w:pPr>
        <w:spacing w:line="360" w:lineRule="auto"/>
        <w:ind w:left="1" w:firstLine="14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20.1招标组织方将在</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确定的时间和地点进行开标。</w:t>
      </w:r>
    </w:p>
    <w:p w14:paraId="682065CF">
      <w:pPr>
        <w:spacing w:line="360" w:lineRule="auto"/>
        <w:ind w:left="1" w:firstLine="238"/>
        <w:rPr>
          <w:rFonts w:hint="eastAsia" w:ascii="宋体" w:hAnsi="宋体" w:cs="宋体"/>
          <w:b/>
          <w:color w:val="auto"/>
          <w:sz w:val="24"/>
          <w:szCs w:val="24"/>
          <w:highlight w:val="none"/>
          <w:u w:val="single"/>
        </w:rPr>
      </w:pPr>
      <w:r>
        <w:rPr>
          <w:rFonts w:hint="eastAsia" w:ascii="宋体" w:hAnsi="宋体" w:cs="宋体"/>
          <w:b w:val="0"/>
          <w:bCs/>
          <w:color w:val="auto"/>
          <w:sz w:val="24"/>
          <w:szCs w:val="24"/>
          <w:highlight w:val="none"/>
          <w:u w:val="single"/>
        </w:rPr>
        <w:t xml:space="preserve"> 20.2</w:t>
      </w:r>
      <w:r>
        <w:rPr>
          <w:rFonts w:hint="eastAsia" w:ascii="宋体" w:hAnsi="宋体" w:cs="宋体"/>
          <w:b/>
          <w:color w:val="auto"/>
          <w:sz w:val="24"/>
          <w:szCs w:val="24"/>
          <w:highlight w:val="none"/>
          <w:u w:val="single"/>
        </w:rPr>
        <w:t>开标时，由</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或者其推选的代表检查投标文件的密封情况。经确认无误后，由招标组织方工作人员当众拆封。</w:t>
      </w:r>
    </w:p>
    <w:p w14:paraId="0910E926">
      <w:pPr>
        <w:spacing w:line="360" w:lineRule="auto"/>
        <w:ind w:left="1" w:firstLine="238"/>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 20.3</w:t>
      </w:r>
      <w:r>
        <w:rPr>
          <w:rFonts w:hint="eastAsia" w:ascii="宋体" w:hAnsi="宋体" w:cs="宋体"/>
          <w:b/>
          <w:color w:val="auto"/>
          <w:sz w:val="24"/>
          <w:szCs w:val="24"/>
          <w:highlight w:val="none"/>
          <w:u w:val="single"/>
        </w:rPr>
        <w:t>招标组织方将当众宣读</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名称、项目编号、项目总报价、项目工期等情况，以及招标组织方认为合适的其他详细内容。招标组织方将做开标记录，开标记录由参加开标的各</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代表和相关工作人员签字确认。</w:t>
      </w:r>
    </w:p>
    <w:p w14:paraId="7AE47BCC">
      <w:pPr>
        <w:spacing w:line="360" w:lineRule="auto"/>
        <w:ind w:left="1"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20.4</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在报价时不允许出现选择性报价，否则将被视为无效投标。</w:t>
      </w:r>
    </w:p>
    <w:p w14:paraId="27FADB0E">
      <w:pPr>
        <w:spacing w:line="360" w:lineRule="auto"/>
        <w:ind w:left="1" w:firstLine="2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20.5</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代表对开标过程和开标记录有疑义，以及认为采购人、招标组织方相关工作人员有需要回避的情形的，应当场提出询问或者回避申请。采购人、招标组织方及时处理</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代表提出的询问或者回避申请。</w:t>
      </w:r>
    </w:p>
    <w:p w14:paraId="26EFE3EB">
      <w:pPr>
        <w:spacing w:line="360" w:lineRule="auto"/>
        <w:ind w:firstLine="360"/>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20.6</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未参加开标的，视同认可开标结果。</w:t>
      </w:r>
    </w:p>
    <w:p w14:paraId="43A67384">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20.7评标委员会将由5人或5人以上（单数）组成。</w:t>
      </w:r>
    </w:p>
    <w:p w14:paraId="2BE316EE">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21、评标过程的保密</w:t>
      </w:r>
    </w:p>
    <w:p w14:paraId="7A96EF65">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21.1 开标开始后，至向中标的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授予合同时止，与审查、澄清、评价和比较投标的有关资料以及授标建议等，均不得向</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以及与评标无关的其他人员透露。</w:t>
      </w:r>
    </w:p>
    <w:p w14:paraId="07447D6C">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21.2 在评标过程中，如果</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试图在投标文件审查、澄清、比较及授标建议等方面向招标组织方或参加评标的人员施加任何影响，都将会导致其投标被拒绝。</w:t>
      </w:r>
    </w:p>
    <w:p w14:paraId="770367CA">
      <w:pPr>
        <w:spacing w:line="360" w:lineRule="auto"/>
        <w:ind w:left="1" w:firstLine="36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21.3</w:t>
      </w:r>
      <w:r>
        <w:rPr>
          <w:rFonts w:hint="eastAsia" w:ascii="宋体" w:hAnsi="宋体" w:cs="宋体"/>
          <w:b/>
          <w:color w:val="auto"/>
          <w:sz w:val="24"/>
          <w:szCs w:val="24"/>
          <w:highlight w:val="none"/>
          <w:u w:val="single"/>
        </w:rPr>
        <w:t>评标应当在严格保密的情况下进行，除采购人代表、评标现场组织人员外，采购人的其他工作人员以及与评标工作无关的人员不得进入评标现场。</w:t>
      </w:r>
    </w:p>
    <w:p w14:paraId="71B281FC">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22、评标委员会评标注意事项</w:t>
      </w:r>
    </w:p>
    <w:p w14:paraId="4FA82BCF">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22.1评标时，评标委员会各成员应当独立对每个</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的投标文件进行评价，并汇总每个</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的得分。</w:t>
      </w:r>
    </w:p>
    <w:p w14:paraId="4465A4A8">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22.2评标委员会认为</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的报价明显低于其他通过符合性审查</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的报价，有可能影响产品质量或者不能诚信履约的，应当要求其在评标现场合理的时间内提供书面说明，必要时提交相关证明材料；</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不能证明其报价合理性的，评标委员会应当将其作为无效投标处理。</w:t>
      </w:r>
    </w:p>
    <w:p w14:paraId="0E2DEFB8">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22.3评标委员会成员对需要共同认定的事项存在争议的，应当按照少数服从多数的原则作出结论。持不同意见的评标委员会成员应当在评标报告上签署不同意见及理由，否则视为同意评标报告。</w:t>
      </w:r>
    </w:p>
    <w:p w14:paraId="209195B9">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22.4评标委员会及其成员不得有下列行为：</w:t>
      </w:r>
    </w:p>
    <w:p w14:paraId="6D9F86CF">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（1）确定参与评标至评标结束前私自接触</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w:t>
      </w:r>
    </w:p>
    <w:p w14:paraId="7720BA00">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（2）接受</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提出的与投标文件不一致的澄清或者说明，《政府采购货物和服务招标投标管理办法》（财政部87号令）第五十一条规定的情形除外；</w:t>
      </w:r>
    </w:p>
    <w:p w14:paraId="2F5517E1">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（3）违反评标纪律发表倾向性意见或者征询采购人的倾向性意见；</w:t>
      </w:r>
    </w:p>
    <w:p w14:paraId="74CCC0F9">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（4）对需要专业判断的主观评审因素协商评分；</w:t>
      </w:r>
    </w:p>
    <w:p w14:paraId="27A27A9F">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（5）在评标过程中擅离职守，影响评标程序正常进行的；</w:t>
      </w:r>
    </w:p>
    <w:p w14:paraId="2D5A5093">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（6）记录、复制或者带走任何评标资料；</w:t>
      </w:r>
    </w:p>
    <w:p w14:paraId="54938EA8">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（7）其他不遵守评标纪律的行为。</w:t>
      </w:r>
    </w:p>
    <w:p w14:paraId="61E66E86">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评标委员会成员有上述第一至五项行为之一的，其评审意见无效，并不得获取评审劳务报酬和报销异地评审差旅费。</w:t>
      </w:r>
    </w:p>
    <w:p w14:paraId="5F55D591">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22.5评标中因评标委员会成员缺席、回避或者健康等特殊原因导致评标委员会组成不符合相关法律法规规定的，采购人、招标组织方将依法补足后继续评标，被更换的评标委员会成员所作出的评标意见无效。无法及时补足评标委员会成员的，采购人、招标组织方将停止评标活动，封存所有投标文件和开标、评标资料，依法重新组建评标委员会进行评标，原评标委员会所作出的评标意见无效。采购人、招标组织方将变更、重新组建评标委员会的情况予以记录，并随采购文件一并存档。</w:t>
      </w:r>
    </w:p>
    <w:p w14:paraId="3F9F6BA0">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22.6评标委员会发现</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存在歧义、重大缺陷导致评标工作无法进行，或者</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内容违反国家有关强制性规定的，应当停止评标工作，与采购人、招标组织方沟通并作书面记录。采购人、招标组织方确认后，应当修改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，重新组织采购活动。</w:t>
      </w:r>
    </w:p>
    <w:p w14:paraId="6B75B3F2">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22.7（一）评审中出现下列情形之一的，评审委员会应当启动异常低价投标审查程序：</w:t>
      </w:r>
    </w:p>
    <w:p w14:paraId="6F1F2EB9">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1.投标报价低于全部通过符合性审查供应商投标报价平均值50%的，即投标报价＜全部通过符合性审查供应商投标报价平均值*50%；</w:t>
      </w:r>
    </w:p>
    <w:p w14:paraId="64D9897F">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2.投标报价低于通过符合性审查的次低报价供应商投标报价50%的，即投标报价＜通过符合性审查的次低报价供应商投标（响应）报价*50%;</w:t>
      </w:r>
    </w:p>
    <w:p w14:paraId="5543B78B">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3.投标报价低于采购项目最高限价45%的，即投标报价＜采购项目最高限价*45%；</w:t>
      </w:r>
    </w:p>
    <w:p w14:paraId="36CAD254">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4.评审委员会基于专业判断，认为供应商报价过低，有可能影响产品质量或者不能诚信履约的其他情形。</w:t>
      </w:r>
    </w:p>
    <w:p w14:paraId="2F94BFCB">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采购人可以结合具体项目实际情况，提高上述第1项至第3项中启动异常低价投标审查的数值标准，但是最高不得超过65%。</w:t>
      </w:r>
    </w:p>
    <w:p w14:paraId="3094AA1F">
      <w:pPr>
        <w:spacing w:line="360" w:lineRule="auto"/>
        <w:ind w:left="1" w:firstLine="36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相关法律法规对供应商报价有规定的，从其规定。</w:t>
      </w:r>
    </w:p>
    <w:p w14:paraId="4283531D">
      <w:pPr>
        <w:spacing w:line="360" w:lineRule="auto"/>
        <w:ind w:left="1" w:firstLine="3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57495A9E">
      <w:pPr>
        <w:spacing w:line="360" w:lineRule="auto"/>
        <w:ind w:left="1" w:firstLine="3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CBDAA1F">
      <w:pPr>
        <w:spacing w:line="360" w:lineRule="auto"/>
        <w:ind w:left="1" w:firstLine="3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BEB946D">
      <w:pPr>
        <w:spacing w:line="360" w:lineRule="auto"/>
        <w:ind w:left="1" w:firstLine="3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异常低价投标审查的启动原因、审查意见和审查结果应当在评审报告中记录，并随供应 商提供的相关书面说明及证明材料，以及评审委员会有关互联网浏览、查询历史一并归档。</w:t>
      </w:r>
    </w:p>
    <w:p w14:paraId="39B43AD1">
      <w:pPr>
        <w:spacing w:line="360" w:lineRule="auto"/>
        <w:ind w:left="1" w:firstLine="3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6D1E8A8">
      <w:pPr>
        <w:pStyle w:val="14"/>
        <w:rPr>
          <w:rFonts w:hint="default" w:eastAsia="宋体"/>
          <w:color w:val="auto"/>
          <w:highlight w:val="none"/>
          <w:lang w:val="en-US" w:eastAsia="zh-CN"/>
        </w:rPr>
      </w:pPr>
    </w:p>
    <w:p w14:paraId="3D26D90E">
      <w:pPr>
        <w:spacing w:before="200" w:after="200" w:line="360" w:lineRule="auto"/>
        <w:outlineLvl w:val="2"/>
        <w:rPr>
          <w:rFonts w:hint="eastAsia" w:ascii="宋体" w:hAnsi="宋体" w:eastAsia="宋体" w:cs="宋体"/>
          <w:b/>
          <w:color w:val="auto"/>
          <w:sz w:val="30"/>
          <w:szCs w:val="20"/>
          <w:highlight w:val="none"/>
          <w:lang w:eastAsia="zh-CN"/>
        </w:rPr>
      </w:pPr>
      <w:r>
        <w:rPr>
          <w:rFonts w:hint="eastAsia" w:ascii="宋体" w:hAnsi="宋体" w:cs="宋体"/>
          <w:b/>
          <w:color w:val="auto"/>
          <w:sz w:val="30"/>
          <w:szCs w:val="20"/>
          <w:highlight w:val="none"/>
        </w:rPr>
        <w:br w:type="page" w:clear="all"/>
      </w:r>
      <w:r>
        <w:rPr>
          <w:rFonts w:hint="eastAsia" w:ascii="宋体" w:hAnsi="宋体" w:cs="宋体"/>
          <w:b/>
          <w:color w:val="auto"/>
          <w:sz w:val="30"/>
          <w:szCs w:val="20"/>
          <w:highlight w:val="none"/>
        </w:rPr>
        <w:t>23、</w:t>
      </w:r>
      <w:r>
        <w:rPr>
          <w:rFonts w:hint="eastAsia" w:ascii="宋体" w:hAnsi="宋体" w:cs="宋体"/>
          <w:b/>
          <w:color w:val="auto"/>
          <w:sz w:val="30"/>
          <w:szCs w:val="20"/>
          <w:highlight w:val="none"/>
          <w:lang w:eastAsia="zh-CN"/>
        </w:rPr>
        <w:t>投标供应商</w:t>
      </w:r>
      <w:r>
        <w:rPr>
          <w:rFonts w:hint="eastAsia" w:ascii="宋体" w:hAnsi="宋体" w:cs="宋体"/>
          <w:b/>
          <w:color w:val="auto"/>
          <w:sz w:val="30"/>
          <w:szCs w:val="20"/>
          <w:highlight w:val="none"/>
        </w:rPr>
        <w:t>资格审查</w:t>
      </w:r>
    </w:p>
    <w:p w14:paraId="25916847">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23.1 开标后，采购人将依法对</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的资格进行审查。资格审查的内容如下：</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3401"/>
        <w:gridCol w:w="5375"/>
      </w:tblGrid>
      <w:tr w14:paraId="53823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top"/>
          </w:tcPr>
          <w:p w14:paraId="11865719">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3401" w:type="dxa"/>
            <w:noWrap w:val="0"/>
            <w:vAlign w:val="top"/>
          </w:tcPr>
          <w:p w14:paraId="7DEC6135">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审查要素</w:t>
            </w:r>
          </w:p>
        </w:tc>
        <w:tc>
          <w:tcPr>
            <w:tcW w:w="5375" w:type="dxa"/>
            <w:noWrap w:val="0"/>
            <w:vAlign w:val="top"/>
          </w:tcPr>
          <w:p w14:paraId="2B87C6D5">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审查内容</w:t>
            </w:r>
          </w:p>
        </w:tc>
      </w:tr>
      <w:tr w14:paraId="45C61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1D28CFE8">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401" w:type="dxa"/>
            <w:noWrap w:val="0"/>
            <w:vAlign w:val="center"/>
          </w:tcPr>
          <w:p w14:paraId="0B9614EC">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具有独立承担民事责任的能力</w:t>
            </w:r>
          </w:p>
        </w:tc>
        <w:tc>
          <w:tcPr>
            <w:tcW w:w="5375" w:type="dxa"/>
            <w:noWrap w:val="0"/>
            <w:vAlign w:val="center"/>
          </w:tcPr>
          <w:p w14:paraId="74B4B41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提供法人或者其他组织的营业执照等证明文件复印件。</w:t>
            </w:r>
          </w:p>
        </w:tc>
      </w:tr>
      <w:tr w14:paraId="51EF9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42FD46D9">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401" w:type="dxa"/>
            <w:noWrap w:val="0"/>
            <w:vAlign w:val="center"/>
          </w:tcPr>
          <w:p w14:paraId="26C043CA">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具有良好的商业信誉和健全的财务会计制度</w:t>
            </w:r>
          </w:p>
        </w:tc>
        <w:tc>
          <w:tcPr>
            <w:tcW w:w="5375" w:type="dxa"/>
            <w:noWrap w:val="0"/>
            <w:vAlign w:val="top"/>
          </w:tcPr>
          <w:p w14:paraId="2967E36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年度或202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年度</w:t>
            </w:r>
            <w:r>
              <w:rPr>
                <w:rFonts w:hint="eastAsia" w:ascii="宋体" w:hAnsi="宋体" w:cs="宋体"/>
                <w:color w:val="auto"/>
                <w:sz w:val="24"/>
                <w:szCs w:val="24"/>
                <w:highlight w:val="none"/>
              </w:rPr>
              <w:t>财务报告，成立不满一年的提供至少一个月财务报告，或银行出具的资信证明，或财政部门认可的政府采购专业担保机构出具的投标担保函等，或提供资格承诺函。</w:t>
            </w:r>
          </w:p>
        </w:tc>
      </w:tr>
      <w:tr w14:paraId="6EDCB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4D3772B7">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3401" w:type="dxa"/>
            <w:noWrap w:val="0"/>
            <w:vAlign w:val="center"/>
          </w:tcPr>
          <w:p w14:paraId="7B92518C">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具有履行合同所必需的设备和专业技术能力</w:t>
            </w:r>
          </w:p>
        </w:tc>
        <w:tc>
          <w:tcPr>
            <w:tcW w:w="5375" w:type="dxa"/>
            <w:noWrap w:val="0"/>
            <w:vAlign w:val="top"/>
          </w:tcPr>
          <w:p w14:paraId="7D9C867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相关信息一览表，或提供资格承诺函。</w:t>
            </w:r>
          </w:p>
        </w:tc>
      </w:tr>
      <w:tr w14:paraId="019D5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08BAA19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3401" w:type="dxa"/>
            <w:noWrap w:val="0"/>
            <w:vAlign w:val="center"/>
          </w:tcPr>
          <w:p w14:paraId="106B10A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有依法缴纳税收和社会保障资金的良好记录</w:t>
            </w:r>
          </w:p>
        </w:tc>
        <w:tc>
          <w:tcPr>
            <w:tcW w:w="5375" w:type="dxa"/>
            <w:noWrap w:val="0"/>
            <w:vAlign w:val="top"/>
          </w:tcPr>
          <w:p w14:paraId="673D43C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提供参加本次政府采购活动前半年（至少一个月）依法缴纳税收和</w:t>
            </w:r>
            <w:r>
              <w:rPr>
                <w:rFonts w:hint="eastAsia" w:ascii="宋体" w:hAnsi="宋体" w:cs="宋体"/>
                <w:color w:val="auto"/>
                <w:sz w:val="24"/>
                <w:szCs w:val="24"/>
                <w:highlight w:val="none"/>
                <w:lang w:eastAsia="zh-CN"/>
              </w:rPr>
              <w:t>社会保障资金</w:t>
            </w:r>
            <w:r>
              <w:rPr>
                <w:rFonts w:hint="eastAsia" w:ascii="宋体" w:hAnsi="宋体" w:cs="宋体"/>
                <w:color w:val="auto"/>
                <w:sz w:val="24"/>
                <w:szCs w:val="24"/>
                <w:highlight w:val="none"/>
              </w:rPr>
              <w:t xml:space="preserve">的相关材料，或提供资格承诺函。 </w:t>
            </w:r>
          </w:p>
        </w:tc>
      </w:tr>
      <w:tr w14:paraId="726A1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6E10DD67">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401" w:type="dxa"/>
            <w:noWrap w:val="0"/>
            <w:vAlign w:val="center"/>
          </w:tcPr>
          <w:p w14:paraId="71273396">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参加政府采购活动前三年内，在经营活动中没有重大违法记录</w:t>
            </w:r>
          </w:p>
        </w:tc>
        <w:tc>
          <w:tcPr>
            <w:tcW w:w="5375" w:type="dxa"/>
            <w:noWrap w:val="0"/>
            <w:vAlign w:val="top"/>
          </w:tcPr>
          <w:p w14:paraId="66A2DB8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详见投标函（书）格式，或提供资格承诺函。</w:t>
            </w:r>
          </w:p>
        </w:tc>
      </w:tr>
      <w:tr w14:paraId="48454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0E807C8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3401" w:type="dxa"/>
            <w:noWrap w:val="0"/>
            <w:vAlign w:val="center"/>
          </w:tcPr>
          <w:p w14:paraId="3244DF13">
            <w:pPr>
              <w:jc w:val="left"/>
              <w:rPr>
                <w:rFonts w:ascii="宋体" w:hAnsi="宋体" w:cs="宋体"/>
                <w:color w:val="auto"/>
                <w:sz w:val="24"/>
                <w:szCs w:val="24"/>
                <w:highlight w:val="none"/>
              </w:rPr>
            </w:pPr>
            <w:r>
              <w:rPr>
                <w:rFonts w:hint="eastAsia" w:ascii="宋体" w:hAnsi="宋体" w:cs="宋体"/>
                <w:color w:val="auto"/>
                <w:sz w:val="24"/>
                <w:szCs w:val="24"/>
                <w:highlight w:val="none"/>
              </w:rPr>
              <w:t>信用记录</w:t>
            </w:r>
          </w:p>
          <w:p w14:paraId="6C05C672">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（由网上直接查询，供应商无需提供证明材料）</w:t>
            </w:r>
          </w:p>
        </w:tc>
        <w:tc>
          <w:tcPr>
            <w:tcW w:w="5375" w:type="dxa"/>
            <w:noWrap w:val="0"/>
            <w:vAlign w:val="top"/>
          </w:tcPr>
          <w:p w14:paraId="0DA47C12">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投标</w:t>
            </w:r>
            <w:r>
              <w:rPr>
                <w:rFonts w:hint="eastAsia" w:ascii="宋体" w:hAnsi="宋体" w:cs="宋体"/>
                <w:color w:val="auto"/>
                <w:sz w:val="24"/>
                <w:szCs w:val="24"/>
                <w:highlight w:val="none"/>
              </w:rPr>
              <w:t>供应商未</w:t>
            </w:r>
            <w:r>
              <w:rPr>
                <w:rFonts w:hint="eastAsia" w:ascii="宋体" w:hAnsi="宋体" w:cs="宋体"/>
                <w:bCs/>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）、中国政府采购网（www.ccgp.gov.cn）列入失信被执行人、重大税收违法案件当事人名单、政府采购严重违法失信行为记录名单的</w:t>
            </w:r>
            <w:r>
              <w:rPr>
                <w:rFonts w:hint="eastAsia" w:ascii="宋体" w:hAnsi="宋体" w:cs="宋体"/>
                <w:color w:val="auto"/>
                <w:sz w:val="24"/>
                <w:szCs w:val="24"/>
                <w:highlight w:val="none"/>
              </w:rPr>
              <w:t>。（有上述处罚记录但处罚期已届满的，视为无记录，以采购机构评标当日查询结果为准）</w:t>
            </w:r>
          </w:p>
        </w:tc>
      </w:tr>
      <w:tr w14:paraId="63F82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2BF2645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3401" w:type="dxa"/>
            <w:noWrap w:val="0"/>
            <w:vAlign w:val="center"/>
          </w:tcPr>
          <w:p w14:paraId="25092DEF">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授权委托人劳动合同和社保证明</w:t>
            </w:r>
          </w:p>
        </w:tc>
        <w:tc>
          <w:tcPr>
            <w:tcW w:w="5375" w:type="dxa"/>
            <w:noWrap w:val="0"/>
            <w:vAlign w:val="top"/>
          </w:tcPr>
          <w:p w14:paraId="47AE5563">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授权委托人与投标供应商签订的劳动合同、</w:t>
            </w:r>
            <w:r>
              <w:rPr>
                <w:rFonts w:hint="eastAsia" w:ascii="宋体" w:hAnsi="宋体" w:cs="宋体"/>
                <w:bCs/>
                <w:color w:val="auto"/>
                <w:sz w:val="24"/>
                <w:szCs w:val="24"/>
                <w:highlight w:val="none"/>
              </w:rPr>
              <w:t>由法定的社保收缴部门出具的近三个月中任意一个月份（不含开标当月）的投标供应商依法为其缴纳社会保险证明（如因投标供应商新成立确实无法提供的，可以不提供；</w:t>
            </w:r>
            <w:r>
              <w:rPr>
                <w:rFonts w:hint="eastAsia" w:ascii="宋体" w:hAnsi="宋体" w:cs="宋体"/>
                <w:bCs/>
                <w:color w:val="auto"/>
                <w:sz w:val="24"/>
                <w:szCs w:val="24"/>
                <w:highlight w:val="none"/>
                <w:lang w:val="zh-CN"/>
              </w:rPr>
              <w:t>如为法定代表人可不提供</w:t>
            </w:r>
            <w:r>
              <w:rPr>
                <w:rFonts w:hint="eastAsia" w:ascii="宋体" w:hAnsi="宋体" w:cs="宋体"/>
                <w:bCs/>
                <w:color w:val="auto"/>
                <w:sz w:val="24"/>
                <w:szCs w:val="24"/>
                <w:highlight w:val="none"/>
              </w:rPr>
              <w:t>；社保缴费证明必须提交带有社保部门红章的扫描件或含有县（区）级及以上社保部门电子加盖公章或签电子公章或带二维码验证的扫描件）</w:t>
            </w:r>
          </w:p>
        </w:tc>
      </w:tr>
    </w:tbl>
    <w:p w14:paraId="77510022">
      <w:pPr>
        <w:spacing w:line="360" w:lineRule="auto"/>
        <w:ind w:firstLine="360"/>
        <w:rPr>
          <w:rFonts w:hint="eastAsia" w:ascii="宋体" w:hAnsi="宋体" w:cs="宋体"/>
          <w:color w:val="auto"/>
          <w:sz w:val="24"/>
          <w:szCs w:val="24"/>
          <w:highlight w:val="none"/>
        </w:rPr>
      </w:pPr>
    </w:p>
    <w:p w14:paraId="641D412B">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br w:type="page" w:clear="all"/>
      </w:r>
      <w:r>
        <w:rPr>
          <w:rFonts w:hint="eastAsia" w:ascii="宋体" w:hAnsi="宋体" w:cs="宋体"/>
          <w:b/>
          <w:color w:val="auto"/>
          <w:sz w:val="30"/>
          <w:szCs w:val="20"/>
          <w:highlight w:val="none"/>
        </w:rPr>
        <w:t>24、</w:t>
      </w:r>
      <w:r>
        <w:rPr>
          <w:rFonts w:hint="eastAsia" w:ascii="宋体" w:hAnsi="宋体" w:cs="宋体"/>
          <w:b/>
          <w:color w:val="auto"/>
          <w:sz w:val="30"/>
          <w:szCs w:val="20"/>
          <w:highlight w:val="none"/>
          <w:lang w:eastAsia="zh-CN"/>
        </w:rPr>
        <w:t>投标供应商</w:t>
      </w:r>
      <w:r>
        <w:rPr>
          <w:rFonts w:hint="eastAsia" w:ascii="宋体" w:hAnsi="宋体" w:cs="宋体"/>
          <w:b/>
          <w:color w:val="auto"/>
          <w:sz w:val="30"/>
          <w:szCs w:val="20"/>
          <w:highlight w:val="none"/>
        </w:rPr>
        <w:t>符合性审查</w:t>
      </w:r>
    </w:p>
    <w:p w14:paraId="562CB7F3">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24.1评标委员会应当对投标文件进行符合性审查，审查内容主要是投标文件的有效性、完整性和对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的响应程度，以确定是否满足</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的实质性要求。</w:t>
      </w:r>
    </w:p>
    <w:tbl>
      <w:tblPr>
        <w:tblStyle w:val="32"/>
        <w:tblpPr w:leftFromText="180" w:rightFromText="180" w:vertAnchor="text" w:horzAnchor="page" w:tblpX="1489" w:tblpY="29"/>
        <w:tblW w:w="96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3"/>
        <w:gridCol w:w="3524"/>
        <w:gridCol w:w="5182"/>
      </w:tblGrid>
      <w:tr w14:paraId="4DE66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3" w:type="dxa"/>
            <w:noWrap w:val="0"/>
            <w:vAlign w:val="top"/>
          </w:tcPr>
          <w:p w14:paraId="152263A9">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3524" w:type="dxa"/>
            <w:noWrap w:val="0"/>
            <w:vAlign w:val="top"/>
          </w:tcPr>
          <w:p w14:paraId="786F939F">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审查要素</w:t>
            </w:r>
          </w:p>
        </w:tc>
        <w:tc>
          <w:tcPr>
            <w:tcW w:w="5182" w:type="dxa"/>
            <w:noWrap w:val="0"/>
            <w:vAlign w:val="top"/>
          </w:tcPr>
          <w:p w14:paraId="160AA815">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审查内容</w:t>
            </w:r>
          </w:p>
        </w:tc>
      </w:tr>
      <w:tr w14:paraId="1C482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23" w:type="dxa"/>
            <w:vMerge w:val="restart"/>
            <w:noWrap w:val="0"/>
            <w:vAlign w:val="center"/>
          </w:tcPr>
          <w:p w14:paraId="01323D4D">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524" w:type="dxa"/>
            <w:vMerge w:val="restart"/>
            <w:noWrap w:val="0"/>
            <w:vAlign w:val="center"/>
          </w:tcPr>
          <w:p w14:paraId="12C8090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投标文件有效性</w:t>
            </w:r>
          </w:p>
        </w:tc>
        <w:tc>
          <w:tcPr>
            <w:tcW w:w="5182" w:type="dxa"/>
            <w:noWrap w:val="0"/>
            <w:vAlign w:val="top"/>
          </w:tcPr>
          <w:p w14:paraId="1636700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投标文件签署、盖章（含法定代表人身份证明书和法人授权委托书）；</w:t>
            </w:r>
          </w:p>
        </w:tc>
      </w:tr>
      <w:tr w14:paraId="019C8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23" w:type="dxa"/>
            <w:vMerge w:val="continue"/>
            <w:noWrap w:val="0"/>
            <w:vAlign w:val="center"/>
          </w:tcPr>
          <w:p w14:paraId="60AE7508">
            <w:pPr>
              <w:spacing w:line="360" w:lineRule="auto"/>
              <w:jc w:val="center"/>
              <w:rPr>
                <w:rFonts w:hint="eastAsia" w:ascii="宋体" w:hAnsi="宋体" w:cs="宋体"/>
                <w:color w:val="auto"/>
                <w:sz w:val="24"/>
                <w:szCs w:val="24"/>
                <w:highlight w:val="none"/>
              </w:rPr>
            </w:pPr>
          </w:p>
        </w:tc>
        <w:tc>
          <w:tcPr>
            <w:tcW w:w="3524" w:type="dxa"/>
            <w:vMerge w:val="continue"/>
            <w:noWrap w:val="0"/>
            <w:vAlign w:val="center"/>
          </w:tcPr>
          <w:p w14:paraId="21384EFB">
            <w:pPr>
              <w:spacing w:line="360" w:lineRule="auto"/>
              <w:rPr>
                <w:rFonts w:hint="eastAsia" w:ascii="宋体" w:hAnsi="宋体" w:cs="宋体"/>
                <w:color w:val="auto"/>
                <w:sz w:val="24"/>
                <w:szCs w:val="24"/>
                <w:highlight w:val="none"/>
              </w:rPr>
            </w:pPr>
          </w:p>
        </w:tc>
        <w:tc>
          <w:tcPr>
            <w:tcW w:w="5182" w:type="dxa"/>
            <w:noWrap w:val="0"/>
            <w:vAlign w:val="top"/>
          </w:tcPr>
          <w:p w14:paraId="64F6B26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r>
      <w:tr w14:paraId="3812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23" w:type="dxa"/>
            <w:vMerge w:val="continue"/>
            <w:noWrap w:val="0"/>
            <w:vAlign w:val="center"/>
          </w:tcPr>
          <w:p w14:paraId="0B97AC19">
            <w:pPr>
              <w:spacing w:line="360" w:lineRule="auto"/>
              <w:jc w:val="center"/>
              <w:rPr>
                <w:rFonts w:hint="eastAsia" w:ascii="宋体" w:hAnsi="宋体" w:cs="宋体"/>
                <w:color w:val="auto"/>
                <w:sz w:val="24"/>
                <w:szCs w:val="24"/>
                <w:highlight w:val="none"/>
              </w:rPr>
            </w:pPr>
          </w:p>
        </w:tc>
        <w:tc>
          <w:tcPr>
            <w:tcW w:w="3524" w:type="dxa"/>
            <w:vMerge w:val="continue"/>
            <w:noWrap w:val="0"/>
            <w:vAlign w:val="center"/>
          </w:tcPr>
          <w:p w14:paraId="1FABD1F5">
            <w:pPr>
              <w:spacing w:line="360" w:lineRule="auto"/>
              <w:rPr>
                <w:rFonts w:hint="eastAsia" w:ascii="宋体" w:hAnsi="宋体" w:cs="宋体"/>
                <w:color w:val="auto"/>
                <w:sz w:val="24"/>
                <w:szCs w:val="24"/>
                <w:highlight w:val="none"/>
              </w:rPr>
            </w:pPr>
          </w:p>
        </w:tc>
        <w:tc>
          <w:tcPr>
            <w:tcW w:w="5182" w:type="dxa"/>
            <w:noWrap w:val="0"/>
            <w:vAlign w:val="top"/>
          </w:tcPr>
          <w:p w14:paraId="58588E2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无效投标情形的判定和处理；</w:t>
            </w:r>
          </w:p>
        </w:tc>
      </w:tr>
      <w:tr w14:paraId="48E5E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23" w:type="dxa"/>
            <w:vMerge w:val="continue"/>
            <w:noWrap w:val="0"/>
            <w:vAlign w:val="center"/>
          </w:tcPr>
          <w:p w14:paraId="3CA11A7F">
            <w:pPr>
              <w:spacing w:line="360" w:lineRule="auto"/>
              <w:jc w:val="center"/>
              <w:rPr>
                <w:rFonts w:hint="eastAsia" w:ascii="宋体" w:hAnsi="宋体" w:cs="宋体"/>
                <w:color w:val="auto"/>
                <w:sz w:val="24"/>
                <w:szCs w:val="24"/>
                <w:highlight w:val="none"/>
              </w:rPr>
            </w:pPr>
          </w:p>
        </w:tc>
        <w:tc>
          <w:tcPr>
            <w:tcW w:w="3524" w:type="dxa"/>
            <w:vMerge w:val="continue"/>
            <w:noWrap w:val="0"/>
            <w:vAlign w:val="center"/>
          </w:tcPr>
          <w:p w14:paraId="5CB9BE37">
            <w:pPr>
              <w:spacing w:line="360" w:lineRule="auto"/>
              <w:rPr>
                <w:rFonts w:hint="eastAsia" w:ascii="宋体" w:hAnsi="宋体" w:cs="宋体"/>
                <w:color w:val="auto"/>
                <w:sz w:val="24"/>
                <w:szCs w:val="24"/>
                <w:highlight w:val="none"/>
              </w:rPr>
            </w:pPr>
          </w:p>
        </w:tc>
        <w:tc>
          <w:tcPr>
            <w:tcW w:w="5182" w:type="dxa"/>
            <w:noWrap w:val="0"/>
            <w:vAlign w:val="top"/>
          </w:tcPr>
          <w:p w14:paraId="6C15140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法律、法规和</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规定的其他资格证明材料；</w:t>
            </w:r>
            <w:bookmarkStart w:id="119" w:name="_GoBack"/>
            <w:bookmarkEnd w:id="119"/>
          </w:p>
        </w:tc>
      </w:tr>
      <w:tr w14:paraId="79658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3" w:type="dxa"/>
            <w:noWrap w:val="0"/>
            <w:vAlign w:val="center"/>
          </w:tcPr>
          <w:p w14:paraId="03595C2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524" w:type="dxa"/>
            <w:noWrap w:val="0"/>
            <w:vAlign w:val="center"/>
          </w:tcPr>
          <w:p w14:paraId="6CF9FEB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投标文件完整性</w:t>
            </w:r>
          </w:p>
        </w:tc>
        <w:tc>
          <w:tcPr>
            <w:tcW w:w="5182" w:type="dxa"/>
            <w:noWrap w:val="0"/>
            <w:vAlign w:val="top"/>
          </w:tcPr>
          <w:p w14:paraId="774535D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投标文件内容完整性、齐全性；</w:t>
            </w:r>
          </w:p>
        </w:tc>
      </w:tr>
      <w:tr w14:paraId="77CAD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923" w:type="dxa"/>
            <w:noWrap w:val="0"/>
            <w:vAlign w:val="center"/>
          </w:tcPr>
          <w:p w14:paraId="2C1334DE">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3524" w:type="dxa"/>
            <w:noWrap w:val="0"/>
            <w:vAlign w:val="center"/>
          </w:tcPr>
          <w:p w14:paraId="6E57160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响应程度</w:t>
            </w:r>
          </w:p>
        </w:tc>
        <w:tc>
          <w:tcPr>
            <w:tcW w:w="5182" w:type="dxa"/>
            <w:noWrap w:val="0"/>
            <w:vAlign w:val="top"/>
          </w:tcPr>
          <w:p w14:paraId="31F6D72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审查投标文件与</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要求的主要条款、条件和技术规格是否相符，是否存在重大偏离或保留；</w:t>
            </w:r>
          </w:p>
        </w:tc>
      </w:tr>
    </w:tbl>
    <w:p w14:paraId="594CD63E">
      <w:pPr>
        <w:spacing w:line="360" w:lineRule="auto"/>
        <w:ind w:left="1" w:firstLine="360"/>
        <w:rPr>
          <w:rFonts w:hint="eastAsia" w:ascii="宋体" w:hAnsi="宋体" w:cs="宋体"/>
          <w:color w:val="auto"/>
          <w:sz w:val="24"/>
          <w:szCs w:val="24"/>
          <w:highlight w:val="none"/>
        </w:rPr>
      </w:pPr>
    </w:p>
    <w:p w14:paraId="72C18563">
      <w:pPr>
        <w:spacing w:line="360" w:lineRule="auto"/>
        <w:ind w:left="1" w:firstLine="478"/>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审查投标文件与</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要求的主要条款、条件和技术规格是否相符，是否存在重大偏离或保留。所谓重大偏离或保留系指影响到</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规定的供货（或服务）范围、质量和性能的，或者在实质上与</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不一致，有限制采购方权利和投标方义务的规定，而纠正这些偏离或保留将会对其他实质上响应</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的投标方的竞争地位产生不公正的影响（重大偏离或保留的认定须经评标委员会半数以上同意）。评标委员会决定投标文件的响应性只根据投标文件本身的内容，而不寻求外部的证据。</w:t>
      </w:r>
    </w:p>
    <w:p w14:paraId="0EBAB731">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25、无效投标的情形</w:t>
      </w:r>
    </w:p>
    <w:p w14:paraId="310540D8">
      <w:pPr>
        <w:spacing w:line="360" w:lineRule="auto"/>
        <w:ind w:left="1" w:firstLine="478"/>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存在下列情况之一的，其投标无效：　</w:t>
      </w:r>
    </w:p>
    <w:p w14:paraId="5DA9BE41">
      <w:pPr>
        <w:spacing w:line="360" w:lineRule="auto"/>
        <w:ind w:firstLine="48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（1）未按规定由</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的法定代表人签字或盖章；或其委托代理人未按规定签字的；或未加盖</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公章的；或签字人未经法定代表人有效授权委托的；</w:t>
      </w:r>
    </w:p>
    <w:p w14:paraId="52025BE1">
      <w:pPr>
        <w:spacing w:line="360" w:lineRule="auto"/>
        <w:ind w:firstLine="48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（2）如有委托代理人的，未提供委托代理人证明材料的；</w:t>
      </w:r>
    </w:p>
    <w:p w14:paraId="7C20F956">
      <w:pPr>
        <w:spacing w:line="360" w:lineRule="auto"/>
        <w:ind w:firstLine="48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（3）单位负责人为同一人或者存在直接控股、管理关系的不同供应商参加同一合同项下的政府采购活动的；</w:t>
      </w:r>
    </w:p>
    <w:p w14:paraId="7E760F64">
      <w:pPr>
        <w:spacing w:line="360" w:lineRule="auto"/>
        <w:ind w:left="1" w:firstLine="479"/>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（4）不具备</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中规定的资格要求的；</w:t>
      </w:r>
    </w:p>
    <w:p w14:paraId="3D110FAF">
      <w:pPr>
        <w:spacing w:line="360" w:lineRule="auto"/>
        <w:ind w:left="1" w:firstLine="479"/>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（5）“信用中国”网站（www.creditchina.gov.cn）、中国政府采购网（www.ccgp.gov.cn）查询结果为失信被执行人名单、重大税收违法案件当事人名单、政府采购严重违法失信行为名单；</w:t>
      </w:r>
    </w:p>
    <w:p w14:paraId="186C7C5F">
      <w:pPr>
        <w:spacing w:line="360" w:lineRule="auto"/>
        <w:ind w:left="1" w:firstLine="479"/>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（6）报价超过</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中规定的预算金额的；</w:t>
      </w:r>
    </w:p>
    <w:p w14:paraId="0B93A856">
      <w:pPr>
        <w:spacing w:line="360" w:lineRule="auto"/>
        <w:ind w:left="1" w:firstLine="48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w:t>
      </w:r>
      <w:r>
        <w:rPr>
          <w:rFonts w:hint="eastAsia" w:ascii="宋体" w:hAnsi="宋体" w:cs="宋体"/>
          <w:b/>
          <w:color w:val="auto"/>
          <w:sz w:val="24"/>
          <w:szCs w:val="24"/>
          <w:highlight w:val="none"/>
          <w:u w:val="single"/>
          <w:lang w:val="en-US" w:eastAsia="zh-CN"/>
        </w:rPr>
        <w:t>7</w:t>
      </w:r>
      <w:r>
        <w:rPr>
          <w:rFonts w:hint="eastAsia" w:ascii="宋体" w:hAnsi="宋体" w:cs="宋体"/>
          <w:b/>
          <w:color w:val="auto"/>
          <w:sz w:val="24"/>
          <w:szCs w:val="24"/>
          <w:highlight w:val="none"/>
          <w:u w:val="single"/>
        </w:rPr>
        <w:t>）</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提交的是可选择报价的；</w:t>
      </w:r>
    </w:p>
    <w:p w14:paraId="1B01A2D7">
      <w:pPr>
        <w:spacing w:line="360" w:lineRule="auto"/>
        <w:ind w:left="1" w:firstLine="600"/>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w:t>
      </w:r>
      <w:r>
        <w:rPr>
          <w:rFonts w:hint="eastAsia" w:ascii="宋体" w:hAnsi="宋体" w:cs="宋体"/>
          <w:b/>
          <w:color w:val="auto"/>
          <w:sz w:val="24"/>
          <w:szCs w:val="24"/>
          <w:highlight w:val="none"/>
          <w:u w:val="single"/>
          <w:lang w:val="en-US" w:eastAsia="zh-CN"/>
        </w:rPr>
        <w:t>8</w:t>
      </w:r>
      <w:r>
        <w:rPr>
          <w:rFonts w:hint="eastAsia" w:ascii="宋体" w:hAnsi="宋体" w:cs="宋体"/>
          <w:b/>
          <w:color w:val="auto"/>
          <w:sz w:val="24"/>
          <w:szCs w:val="24"/>
          <w:highlight w:val="none"/>
          <w:u w:val="single"/>
        </w:rPr>
        <w:t>) 投标文件中提供了虚假或失实资料的；</w:t>
      </w:r>
    </w:p>
    <w:p w14:paraId="2B760B73">
      <w:pPr>
        <w:spacing w:line="360" w:lineRule="auto"/>
        <w:ind w:firstLine="47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w:t>
      </w:r>
      <w:r>
        <w:rPr>
          <w:rFonts w:hint="eastAsia" w:ascii="宋体" w:hAnsi="宋体" w:cs="宋体"/>
          <w:b/>
          <w:color w:val="auto"/>
          <w:sz w:val="24"/>
          <w:szCs w:val="24"/>
          <w:highlight w:val="none"/>
          <w:u w:val="single"/>
          <w:lang w:val="en-US" w:eastAsia="zh-CN"/>
        </w:rPr>
        <w:t>9</w:t>
      </w:r>
      <w:r>
        <w:rPr>
          <w:rFonts w:hint="eastAsia" w:ascii="宋体" w:hAnsi="宋体" w:cs="宋体"/>
          <w:b/>
          <w:color w:val="auto"/>
          <w:sz w:val="24"/>
          <w:szCs w:val="24"/>
          <w:highlight w:val="none"/>
          <w:u w:val="single"/>
        </w:rPr>
        <w:t>）不同</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的投标文件出现了评委会认为不应当雷同的；</w:t>
      </w:r>
    </w:p>
    <w:p w14:paraId="63052A96">
      <w:pPr>
        <w:spacing w:line="360" w:lineRule="auto"/>
        <w:ind w:left="1" w:firstLine="472"/>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（1</w:t>
      </w:r>
      <w:r>
        <w:rPr>
          <w:rFonts w:hint="eastAsia" w:ascii="宋体" w:hAnsi="宋体" w:cs="宋体"/>
          <w:b/>
          <w:color w:val="auto"/>
          <w:sz w:val="24"/>
          <w:szCs w:val="24"/>
          <w:highlight w:val="none"/>
          <w:u w:val="single"/>
          <w:lang w:val="en-US" w:eastAsia="zh-CN"/>
        </w:rPr>
        <w:t>0</w:t>
      </w:r>
      <w:r>
        <w:rPr>
          <w:rFonts w:hint="eastAsia" w:ascii="宋体" w:hAnsi="宋体" w:cs="宋体"/>
          <w:b/>
          <w:color w:val="auto"/>
          <w:sz w:val="24"/>
          <w:szCs w:val="24"/>
          <w:highlight w:val="none"/>
          <w:u w:val="single"/>
        </w:rPr>
        <w:t>）投标文件含有采购人不能接受的附加条件的;</w:t>
      </w:r>
    </w:p>
    <w:p w14:paraId="765976DC">
      <w:pPr>
        <w:spacing w:line="360" w:lineRule="auto"/>
        <w:ind w:left="1" w:firstLine="479"/>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（1</w:t>
      </w:r>
      <w:r>
        <w:rPr>
          <w:rFonts w:hint="eastAsia" w:ascii="宋体" w:hAnsi="宋体" w:cs="宋体"/>
          <w:b/>
          <w:color w:val="auto"/>
          <w:sz w:val="24"/>
          <w:szCs w:val="24"/>
          <w:highlight w:val="none"/>
          <w:u w:val="single"/>
          <w:lang w:val="en-US" w:eastAsia="zh-CN"/>
        </w:rPr>
        <w:t>1</w:t>
      </w:r>
      <w:r>
        <w:rPr>
          <w:rFonts w:hint="eastAsia" w:ascii="宋体" w:hAnsi="宋体" w:cs="宋体"/>
          <w:b/>
          <w:color w:val="auto"/>
          <w:sz w:val="24"/>
          <w:szCs w:val="24"/>
          <w:highlight w:val="none"/>
          <w:u w:val="single"/>
        </w:rPr>
        <w:t>）</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存在串通投标情形的；</w:t>
      </w:r>
    </w:p>
    <w:p w14:paraId="47D86145">
      <w:pPr>
        <w:spacing w:line="360" w:lineRule="auto"/>
        <w:ind w:left="1" w:firstLine="479"/>
        <w:rPr>
          <w:rFonts w:hint="eastAsia" w:ascii="宋体" w:hAnsi="宋体" w:cs="宋体"/>
          <w:b/>
          <w:color w:val="auto"/>
          <w:sz w:val="24"/>
          <w:szCs w:val="24"/>
          <w:highlight w:val="none"/>
          <w:u w:val="single"/>
          <w:lang w:eastAsia="zh-CN"/>
        </w:rPr>
      </w:pPr>
      <w:r>
        <w:rPr>
          <w:rFonts w:hint="eastAsia" w:ascii="宋体" w:hAnsi="宋体" w:cs="宋体"/>
          <w:b/>
          <w:color w:val="auto"/>
          <w:sz w:val="24"/>
          <w:szCs w:val="24"/>
          <w:highlight w:val="none"/>
          <w:u w:val="single"/>
        </w:rPr>
        <w:t>（1</w:t>
      </w:r>
      <w:r>
        <w:rPr>
          <w:rFonts w:hint="eastAsia" w:ascii="宋体" w:hAnsi="宋体" w:cs="宋体"/>
          <w:b/>
          <w:color w:val="auto"/>
          <w:sz w:val="24"/>
          <w:szCs w:val="24"/>
          <w:highlight w:val="none"/>
          <w:u w:val="single"/>
          <w:lang w:val="en-US" w:eastAsia="zh-CN"/>
        </w:rPr>
        <w:t>2</w:t>
      </w:r>
      <w:r>
        <w:rPr>
          <w:rFonts w:hint="eastAsia" w:ascii="宋体" w:hAnsi="宋体" w:cs="宋体"/>
          <w:b/>
          <w:color w:val="auto"/>
          <w:sz w:val="24"/>
          <w:szCs w:val="24"/>
          <w:highlight w:val="none"/>
          <w:u w:val="single"/>
        </w:rPr>
        <w:t>）不符合法律、法规和</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规定的</w:t>
      </w:r>
      <w:r>
        <w:rPr>
          <w:rFonts w:hint="eastAsia" w:ascii="宋体" w:hAnsi="宋体" w:cs="宋体"/>
          <w:b/>
          <w:color w:val="auto"/>
          <w:sz w:val="24"/>
          <w:szCs w:val="24"/>
          <w:highlight w:val="none"/>
          <w:u w:val="single"/>
          <w:lang w:eastAsia="zh-CN"/>
        </w:rPr>
        <w:t>其他</w:t>
      </w:r>
      <w:r>
        <w:rPr>
          <w:rFonts w:hint="eastAsia" w:ascii="宋体" w:hAnsi="宋体" w:cs="宋体"/>
          <w:b/>
          <w:color w:val="auto"/>
          <w:sz w:val="24"/>
          <w:szCs w:val="24"/>
          <w:highlight w:val="none"/>
          <w:u w:val="single"/>
        </w:rPr>
        <w:t>实质性条款（须经评标委员会半数以上同意）。</w:t>
      </w:r>
    </w:p>
    <w:p w14:paraId="7466F4BA">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26、废标的情形</w:t>
      </w:r>
    </w:p>
    <w:p w14:paraId="221A5D7E">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（一）符合专业条件的供应商或者对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作实质响应的供应商不足三家的；</w:t>
      </w:r>
    </w:p>
    <w:p w14:paraId="422921A8">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（二）出现影响采购公正的违法、违规行为的；</w:t>
      </w:r>
    </w:p>
    <w:p w14:paraId="76B2D749">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的报价均超过了采购预算，采购人不能支付的；</w:t>
      </w:r>
    </w:p>
    <w:p w14:paraId="58CB5097">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 </w:t>
      </w:r>
    </w:p>
    <w:p w14:paraId="646585CE">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废标后，采购人应当将废标理由通知所有</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w:t>
      </w:r>
    </w:p>
    <w:p w14:paraId="5E6E5EE4">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27、供应商不足三家的处理</w:t>
      </w:r>
    </w:p>
    <w:p w14:paraId="1D3CF079">
      <w:pPr>
        <w:spacing w:line="360" w:lineRule="auto"/>
        <w:ind w:left="1"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27.1如出现投标截止时间结束后参加投标的供应商或者在评标期间对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做出实质响应的供应商不足三家情况，按政府采购相关规定执行。</w:t>
      </w:r>
    </w:p>
    <w:p w14:paraId="683B2B4B">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28、串通投标的情形</w:t>
      </w:r>
    </w:p>
    <w:p w14:paraId="6888492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有下列情形之一的，视为</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串通投标，投标无效：</w:t>
      </w:r>
    </w:p>
    <w:p w14:paraId="03314567">
      <w:pPr>
        <w:spacing w:line="360" w:lineRule="auto"/>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（1）不同</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的投标文件由同一单位或者个人编制；</w:t>
      </w:r>
    </w:p>
    <w:p w14:paraId="3C672A4A">
      <w:pPr>
        <w:spacing w:line="360" w:lineRule="auto"/>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（2）不同</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委托同一单位或者个人办理投标事宜；</w:t>
      </w:r>
    </w:p>
    <w:p w14:paraId="3EF7C66A">
      <w:pPr>
        <w:spacing w:line="360" w:lineRule="auto"/>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（3）不同</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的投标文件载明的项目管理成员或者联系人员为同一人；</w:t>
      </w:r>
    </w:p>
    <w:p w14:paraId="17F55C9A">
      <w:pPr>
        <w:spacing w:line="360" w:lineRule="auto"/>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（4）不同</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的投标文件异常一致或者投标报价呈规律性差异；</w:t>
      </w:r>
    </w:p>
    <w:p w14:paraId="4D311C52">
      <w:pPr>
        <w:spacing w:line="360" w:lineRule="auto"/>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（5）不同</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的投标文件相互混装；</w:t>
      </w:r>
    </w:p>
    <w:p w14:paraId="601FE675">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29、投标文件的澄清</w:t>
      </w:r>
    </w:p>
    <w:p w14:paraId="6DFD9AFD">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29.1对于投标文件中含义不明确、同类问题表述不一致或者有明显文字和计算错误的内容，评标委员会应当以书面形式要求</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作出必要的澄清、说明或者补正。</w:t>
      </w:r>
    </w:p>
    <w:p w14:paraId="05C7B133">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29.2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的澄清、说明或者补正应当采用书面形式，并加盖公章，或者由法定代表人或其委托代理人签字。</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的澄清、说明或者补正不得超出投标文件的范围或者改变投标文件的实质性内容。</w:t>
      </w:r>
    </w:p>
    <w:p w14:paraId="370C625F">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30、报价前后不一致的处理原则</w:t>
      </w:r>
    </w:p>
    <w:p w14:paraId="57A5405D">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30.1投标文件报价出现前后不一致的，按照下列规定修正：</w:t>
      </w:r>
    </w:p>
    <w:p w14:paraId="4A3C36A2">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（1）投标文件中开标（报价）一览表内容与投标文件中相应内容不一致的，以开标（报价）一览表为准；</w:t>
      </w:r>
    </w:p>
    <w:p w14:paraId="7A88A5B1">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（2）大写金额和小写金额不一致的，以大写金额为准；</w:t>
      </w:r>
    </w:p>
    <w:p w14:paraId="59C48E73">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（3）单价金额小数点或者百分比有明显错位的，以开标一览表的总价为准，并修改单价；</w:t>
      </w:r>
    </w:p>
    <w:p w14:paraId="39B0DE19">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（4）总价金额与按单价汇总金额不一致的，以单价金额计算结果为准。</w:t>
      </w:r>
    </w:p>
    <w:p w14:paraId="5E37F615">
      <w:pPr>
        <w:spacing w:line="360" w:lineRule="auto"/>
        <w:ind w:left="1" w:firstLine="238"/>
        <w:rPr>
          <w:rFonts w:hint="eastAsia" w:ascii="宋体" w:hAnsi="宋体" w:cs="宋体"/>
          <w:color w:val="auto"/>
          <w:sz w:val="24"/>
          <w:szCs w:val="24"/>
          <w:highlight w:val="none"/>
        </w:rPr>
      </w:pPr>
      <w:r>
        <w:rPr>
          <w:rFonts w:hint="eastAsia" w:ascii="宋体" w:hAnsi="宋体" w:cs="宋体"/>
          <w:color w:val="auto"/>
          <w:sz w:val="24"/>
          <w:szCs w:val="24"/>
          <w:highlight w:val="none"/>
        </w:rPr>
        <w:t>　同时出现两种以上不一致的，按照上述规定的顺序修正。修正后的报价经</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法定代表人或其委托代理人签字确认后产生约束力，</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不确认的，其投标无效。</w:t>
      </w:r>
    </w:p>
    <w:p w14:paraId="15024730">
      <w:pPr>
        <w:spacing w:line="360" w:lineRule="auto"/>
        <w:ind w:firstLine="99"/>
        <w:rPr>
          <w:rFonts w:hint="eastAsia" w:ascii="宋体" w:hAnsi="宋体" w:cs="宋体"/>
          <w:b/>
          <w:color w:val="auto"/>
          <w:sz w:val="10"/>
          <w:szCs w:val="10"/>
          <w:highlight w:val="none"/>
        </w:rPr>
      </w:pPr>
      <w:bookmarkStart w:id="90" w:name="_Toc98669361"/>
      <w:bookmarkStart w:id="91" w:name="_Toc20732998"/>
      <w:bookmarkStart w:id="92" w:name="_Toc100386064"/>
      <w:bookmarkStart w:id="93" w:name="_Toc98669719"/>
      <w:bookmarkStart w:id="94" w:name="_Toc92168030"/>
    </w:p>
    <w:p w14:paraId="0272CB3A">
      <w:pPr>
        <w:spacing w:line="360" w:lineRule="auto"/>
        <w:rPr>
          <w:rFonts w:hint="eastAsia" w:ascii="宋体" w:hAnsi="宋体" w:cs="宋体"/>
          <w:b/>
          <w:color w:val="auto"/>
          <w:sz w:val="30"/>
          <w:szCs w:val="24"/>
          <w:highlight w:val="none"/>
        </w:rPr>
      </w:pPr>
      <w:r>
        <w:rPr>
          <w:rFonts w:hint="eastAsia" w:ascii="宋体" w:hAnsi="宋体" w:cs="宋体"/>
          <w:b/>
          <w:color w:val="auto"/>
          <w:sz w:val="30"/>
          <w:szCs w:val="24"/>
          <w:highlight w:val="none"/>
        </w:rPr>
        <w:br w:type="page" w:clear="all"/>
      </w:r>
      <w:r>
        <w:rPr>
          <w:rFonts w:hint="eastAsia" w:ascii="宋体" w:hAnsi="宋体" w:cs="宋体"/>
          <w:b/>
          <w:color w:val="auto"/>
          <w:sz w:val="30"/>
          <w:szCs w:val="24"/>
          <w:highlight w:val="none"/>
        </w:rPr>
        <w:t>31、投标文件的评价和比较</w:t>
      </w:r>
      <w:bookmarkEnd w:id="90"/>
      <w:bookmarkEnd w:id="91"/>
      <w:bookmarkEnd w:id="92"/>
      <w:bookmarkEnd w:id="93"/>
      <w:bookmarkEnd w:id="94"/>
    </w:p>
    <w:p w14:paraId="2C4139FA">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31.1本项目评标采用</w:t>
      </w:r>
      <w:r>
        <w:rPr>
          <w:rFonts w:hint="eastAsia" w:ascii="宋体" w:hAnsi="宋体" w:cs="宋体"/>
          <w:b/>
          <w:bCs/>
          <w:color w:val="auto"/>
          <w:sz w:val="24"/>
          <w:szCs w:val="24"/>
          <w:highlight w:val="none"/>
          <w:u w:val="single"/>
        </w:rPr>
        <w:t>综合评分法</w:t>
      </w:r>
      <w:r>
        <w:rPr>
          <w:rFonts w:hint="eastAsia" w:ascii="宋体" w:hAnsi="宋体" w:cs="宋体"/>
          <w:bCs/>
          <w:color w:val="auto"/>
          <w:sz w:val="24"/>
          <w:szCs w:val="24"/>
          <w:highlight w:val="none"/>
        </w:rPr>
        <w:t>。</w:t>
      </w:r>
    </w:p>
    <w:bookmarkEnd w:id="51"/>
    <w:bookmarkEnd w:id="52"/>
    <w:bookmarkEnd w:id="53"/>
    <w:bookmarkEnd w:id="54"/>
    <w:bookmarkEnd w:id="55"/>
    <w:p w14:paraId="4323FBE2">
      <w:pPr>
        <w:spacing w:line="360" w:lineRule="auto"/>
        <w:ind w:left="1" w:firstLine="238"/>
        <w:rPr>
          <w:rFonts w:hint="eastAsia" w:ascii="宋体" w:hAnsi="宋体" w:cs="宋体"/>
          <w:color w:val="auto"/>
          <w:sz w:val="24"/>
          <w:szCs w:val="24"/>
          <w:highlight w:val="none"/>
        </w:rPr>
      </w:pPr>
      <w:bookmarkStart w:id="95" w:name="_Toc98669730"/>
      <w:bookmarkStart w:id="96" w:name="_Toc100386076"/>
      <w:bookmarkStart w:id="97" w:name="_Toc98669372"/>
      <w:bookmarkStart w:id="98" w:name="_Toc20821546"/>
      <w:bookmarkStart w:id="99" w:name="_Toc76955302"/>
      <w:r>
        <w:rPr>
          <w:rFonts w:hint="eastAsia" w:ascii="宋体" w:hAnsi="宋体" w:cs="宋体"/>
          <w:color w:val="auto"/>
          <w:sz w:val="24"/>
          <w:szCs w:val="24"/>
          <w:highlight w:val="none"/>
        </w:rPr>
        <w:t xml:space="preserve">  31.2评委会在评标时，将主要考虑下列因素：</w:t>
      </w:r>
    </w:p>
    <w:p w14:paraId="4EE46EFE">
      <w:pPr>
        <w:shd w:val="clear" w:color="auto" w:fill="auto"/>
        <w:spacing w:line="360" w:lineRule="auto"/>
        <w:ind w:firstLine="482"/>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（一）价格部分（30分）</w:t>
      </w:r>
    </w:p>
    <w:p w14:paraId="1122689D">
      <w:pPr>
        <w:shd w:val="clear" w:color="auto" w:fill="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第一步：投标报价低于或等于</w:t>
      </w:r>
      <w:r>
        <w:rPr>
          <w:rFonts w:hint="eastAsia" w:ascii="宋体" w:hAnsi="宋体" w:cs="宋体"/>
          <w:color w:val="auto"/>
          <w:sz w:val="24"/>
          <w:szCs w:val="24"/>
          <w:highlight w:val="none"/>
          <w:lang w:val="en-US" w:eastAsia="zh-CN"/>
        </w:rPr>
        <w:t>最高限价</w:t>
      </w:r>
      <w:r>
        <w:rPr>
          <w:rFonts w:hint="eastAsia" w:ascii="宋体" w:hAnsi="宋体" w:cs="宋体"/>
          <w:color w:val="auto"/>
          <w:sz w:val="24"/>
          <w:szCs w:val="24"/>
          <w:highlight w:val="none"/>
        </w:rPr>
        <w:t>的，为有效报价。超</w:t>
      </w:r>
      <w:r>
        <w:rPr>
          <w:rFonts w:hint="eastAsia" w:ascii="宋体" w:hAnsi="宋体" w:cs="宋体"/>
          <w:color w:val="auto"/>
          <w:sz w:val="24"/>
          <w:szCs w:val="24"/>
          <w:highlight w:val="none"/>
          <w:lang w:val="en-US" w:eastAsia="zh-CN"/>
        </w:rPr>
        <w:t>最高限价</w:t>
      </w:r>
      <w:r>
        <w:rPr>
          <w:rFonts w:hint="eastAsia" w:ascii="宋体" w:hAnsi="宋体" w:cs="宋体"/>
          <w:color w:val="auto"/>
          <w:sz w:val="24"/>
          <w:szCs w:val="24"/>
          <w:highlight w:val="none"/>
        </w:rPr>
        <w:t>的投标报价为无效报价。无效报价的投标文件不进行评审，也不得标。</w:t>
      </w:r>
    </w:p>
    <w:p w14:paraId="71AC4594">
      <w:pPr>
        <w:shd w:val="clear" w:color="auto" w:fill="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第二步：在所有有效投标报价中满足</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要求，且投标价格最低的投标报价为评标基准价，其价格分为3</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分，其他</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的价格分按照下列公式计算（计算结果四舍五入保留两位小数）：</w:t>
      </w:r>
    </w:p>
    <w:p w14:paraId="300DAA00">
      <w:pPr>
        <w:shd w:val="clear" w:color="auto" w:fill="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投标报价得分=（评标基准价/投标报价）×</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%×100。</w:t>
      </w:r>
    </w:p>
    <w:p w14:paraId="12698843">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注：1.对小型和微型企业产品的价格给予10%的扣除，用扣除后的价格参与评审。参加投标的中小企业，应当按照《政府采购促进中小企业发展管理办法》（财库﹝2020﹞46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1A1E2620">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D37440D">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3EA4A80">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4.残疾人福利单位、监狱企业属于小型、微型企业的，不重复享受政策。</w:t>
      </w:r>
    </w:p>
    <w:p w14:paraId="24952585">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.采购本国产品的支持政策</w:t>
      </w:r>
    </w:p>
    <w:p w14:paraId="1D6F028D">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.1 本项目政府采购活动中既有本国产品又有非本国产品参与竞争的，依法对本国产品给予价格评审优惠，对本国产品的报价给予20%的价格扣除，用扣除后的价格参与评审。</w:t>
      </w:r>
    </w:p>
    <w:p w14:paraId="28928092">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.2 当采购项目或者采购包中含有多种产品，供应商为该采购项目或者采购包提供的符合本国产品标准的产品成本之和占该供应商提供的全部产品成本之和的比例达到80%以上时（供应商需在“投标文件格式”的“</w:t>
      </w:r>
      <w:r>
        <w:rPr>
          <w:rFonts w:hint="eastAsia" w:ascii="宋体" w:hAnsi="宋体" w:cs="宋体"/>
          <w:b/>
          <w:color w:val="auto"/>
          <w:sz w:val="24"/>
          <w:highlight w:val="none"/>
          <w:lang w:val="en-US" w:eastAsia="zh-CN"/>
        </w:rPr>
        <w:t>明细报价表</w:t>
      </w:r>
      <w:r>
        <w:rPr>
          <w:rFonts w:hint="eastAsia" w:ascii="宋体" w:hAnsi="宋体" w:eastAsia="宋体" w:cs="宋体"/>
          <w:b/>
          <w:color w:val="auto"/>
          <w:sz w:val="24"/>
          <w:highlight w:val="none"/>
          <w:lang w:val="en-US" w:eastAsia="zh-CN"/>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0978EC6">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.3 供应商需按照招标文件的要求提供《关于符合本国产品标准的声明函》（以下简称《声明函》），如不提供将不享受本国产品价格评审优惠。</w:t>
      </w:r>
    </w:p>
    <w:p w14:paraId="0135B217">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A907456">
      <w:pPr>
        <w:spacing w:line="360" w:lineRule="auto"/>
        <w:ind w:firstLine="475"/>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lang w:val="en-US" w:eastAsia="zh-CN"/>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9BEAED">
      <w:pPr>
        <w:shd w:val="clear" w:color="auto" w:fill="auto"/>
        <w:spacing w:line="360" w:lineRule="auto"/>
        <w:ind w:firstLine="42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二</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投标人综合评价（40分）</w:t>
      </w:r>
    </w:p>
    <w:p w14:paraId="364CD879">
      <w:pPr>
        <w:shd w:val="clear" w:color="auto" w:fill="auto"/>
        <w:spacing w:line="360" w:lineRule="auto"/>
        <w:ind w:firstLine="420"/>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1、技术条款（30分）</w:t>
      </w:r>
    </w:p>
    <w:p w14:paraId="66C58633">
      <w:pPr>
        <w:shd w:val="clear" w:color="auto" w:fill="auto"/>
        <w:spacing w:line="360" w:lineRule="auto"/>
        <w:ind w:firstLine="42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）带“▲”号标注项的内容，有</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项满足</w:t>
      </w:r>
      <w:r>
        <w:rPr>
          <w:rFonts w:hint="eastAsia" w:ascii="宋体" w:hAnsi="宋体" w:cs="宋体"/>
          <w:b w:val="0"/>
          <w:bCs/>
          <w:color w:val="auto"/>
          <w:sz w:val="24"/>
          <w:szCs w:val="24"/>
          <w:highlight w:val="none"/>
          <w:lang w:val="en-US" w:eastAsia="zh-CN"/>
        </w:rPr>
        <w:t>得</w:t>
      </w:r>
      <w:r>
        <w:rPr>
          <w:rFonts w:hint="eastAsia" w:ascii="宋体" w:hAnsi="宋体" w:cs="宋体"/>
          <w:b w:val="0"/>
          <w:bCs/>
          <w:color w:val="auto"/>
          <w:sz w:val="24"/>
          <w:szCs w:val="24"/>
          <w:highlight w:val="none"/>
          <w:lang w:eastAsia="zh-CN"/>
        </w:rPr>
        <w:t>0.5分，</w:t>
      </w:r>
      <w:r>
        <w:rPr>
          <w:rFonts w:hint="eastAsia" w:ascii="宋体" w:hAnsi="宋体" w:cs="宋体"/>
          <w:b/>
          <w:bCs w:val="0"/>
          <w:color w:val="auto"/>
          <w:sz w:val="24"/>
          <w:szCs w:val="24"/>
          <w:highlight w:val="none"/>
          <w:lang w:val="en-US" w:eastAsia="zh-CN"/>
        </w:rPr>
        <w:t>最高得18</w:t>
      </w:r>
      <w:r>
        <w:rPr>
          <w:rFonts w:hint="eastAsia" w:ascii="宋体" w:hAnsi="宋体" w:cs="宋体"/>
          <w:b/>
          <w:bCs w:val="0"/>
          <w:color w:val="auto"/>
          <w:sz w:val="24"/>
          <w:szCs w:val="24"/>
          <w:highlight w:val="none"/>
          <w:lang w:eastAsia="zh-CN"/>
        </w:rPr>
        <w:t>分。</w:t>
      </w:r>
    </w:p>
    <w:p w14:paraId="7EAD9133">
      <w:pPr>
        <w:shd w:val="clear" w:color="auto" w:fill="auto"/>
        <w:spacing w:line="360" w:lineRule="auto"/>
        <w:ind w:firstLine="42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）带“</w:t>
      </w: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eastAsia="zh-CN"/>
        </w:rPr>
        <w:t>”号标注项的内容，</w:t>
      </w:r>
      <w:r>
        <w:rPr>
          <w:rFonts w:hint="eastAsia" w:ascii="宋体" w:hAnsi="宋体" w:cs="宋体"/>
          <w:b w:val="0"/>
          <w:bCs/>
          <w:color w:val="auto"/>
          <w:sz w:val="24"/>
          <w:szCs w:val="24"/>
          <w:highlight w:val="none"/>
          <w:lang w:val="en-US" w:eastAsia="zh-CN"/>
        </w:rPr>
        <w:t>有1项满足得1分，</w:t>
      </w:r>
      <w:r>
        <w:rPr>
          <w:rFonts w:hint="eastAsia" w:ascii="宋体" w:hAnsi="宋体" w:cs="宋体"/>
          <w:b/>
          <w:bCs w:val="0"/>
          <w:color w:val="auto"/>
          <w:sz w:val="24"/>
          <w:szCs w:val="24"/>
          <w:highlight w:val="none"/>
          <w:lang w:val="en-US" w:eastAsia="zh-CN"/>
        </w:rPr>
        <w:t>最高得12分</w:t>
      </w:r>
      <w:r>
        <w:rPr>
          <w:rFonts w:hint="eastAsia" w:ascii="宋体" w:hAnsi="宋体" w:cs="宋体"/>
          <w:b/>
          <w:bCs w:val="0"/>
          <w:color w:val="auto"/>
          <w:sz w:val="24"/>
          <w:szCs w:val="24"/>
          <w:highlight w:val="none"/>
          <w:lang w:eastAsia="zh-CN"/>
        </w:rPr>
        <w:t>。</w:t>
      </w:r>
    </w:p>
    <w:p w14:paraId="2C56EC1E">
      <w:pPr>
        <w:shd w:val="clear" w:color="auto" w:fill="auto"/>
        <w:spacing w:line="360" w:lineRule="auto"/>
        <w:ind w:firstLine="42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技术偏离表中投标响应情况应如实填写，并与</w:t>
      </w:r>
      <w:r>
        <w:rPr>
          <w:rFonts w:hint="eastAsia" w:ascii="宋体" w:hAnsi="宋体" w:cs="宋体"/>
          <w:b w:val="0"/>
          <w:bCs/>
          <w:color w:val="auto"/>
          <w:sz w:val="24"/>
          <w:szCs w:val="24"/>
          <w:highlight w:val="none"/>
          <w:lang w:val="en-US" w:eastAsia="zh-CN"/>
        </w:rPr>
        <w:t>采购</w:t>
      </w:r>
      <w:r>
        <w:rPr>
          <w:rFonts w:hint="eastAsia" w:ascii="宋体" w:hAnsi="宋体" w:cs="宋体"/>
          <w:b w:val="0"/>
          <w:bCs/>
          <w:color w:val="auto"/>
          <w:sz w:val="24"/>
          <w:szCs w:val="24"/>
          <w:highlight w:val="none"/>
          <w:lang w:eastAsia="zh-CN"/>
        </w:rPr>
        <w:t>文件技术要求对应，如简单填写“响应或完全响应”将视为实质性不满足，视为投标无效。提供虚假参数的作废标处理。带“★”号标注项</w:t>
      </w:r>
      <w:r>
        <w:rPr>
          <w:rFonts w:hint="eastAsia" w:ascii="宋体" w:hAnsi="宋体" w:cs="宋体"/>
          <w:b w:val="0"/>
          <w:bCs/>
          <w:color w:val="auto"/>
          <w:sz w:val="24"/>
          <w:szCs w:val="24"/>
          <w:highlight w:val="none"/>
          <w:lang w:val="en-US" w:eastAsia="zh-CN"/>
        </w:rPr>
        <w:t>的内容中若有以</w:t>
      </w:r>
      <w:r>
        <w:rPr>
          <w:rFonts w:hint="eastAsia" w:ascii="宋体" w:hAnsi="宋体" w:cs="宋体"/>
          <w:b w:val="0"/>
          <w:bCs/>
          <w:color w:val="auto"/>
          <w:sz w:val="24"/>
          <w:szCs w:val="24"/>
          <w:highlight w:val="none"/>
          <w:lang w:eastAsia="zh-CN"/>
        </w:rPr>
        <w:t>U盘</w:t>
      </w:r>
      <w:r>
        <w:rPr>
          <w:rFonts w:hint="eastAsia" w:ascii="宋体" w:hAnsi="宋体" w:cs="宋体"/>
          <w:b w:val="0"/>
          <w:bCs/>
          <w:color w:val="auto"/>
          <w:sz w:val="24"/>
          <w:szCs w:val="24"/>
          <w:highlight w:val="none"/>
          <w:lang w:val="en-US" w:eastAsia="zh-CN"/>
        </w:rPr>
        <w:t>形式提供的</w:t>
      </w:r>
      <w:r>
        <w:rPr>
          <w:rFonts w:hint="eastAsia" w:ascii="宋体" w:hAnsi="宋体" w:cs="宋体"/>
          <w:b w:val="0"/>
          <w:bCs/>
          <w:color w:val="auto"/>
          <w:sz w:val="24"/>
          <w:szCs w:val="24"/>
          <w:highlight w:val="none"/>
          <w:lang w:eastAsia="zh-CN"/>
        </w:rPr>
        <w:t>，</w:t>
      </w:r>
      <w:r>
        <w:rPr>
          <w:rFonts w:hint="eastAsia" w:ascii="宋体" w:hAnsi="宋体" w:eastAsia="宋体" w:cs="宋体"/>
          <w:bCs/>
          <w:color w:val="auto"/>
          <w:sz w:val="24"/>
          <w:szCs w:val="24"/>
          <w:highlight w:val="none"/>
        </w:rPr>
        <w:t>随身携带（</w:t>
      </w:r>
      <w:r>
        <w:rPr>
          <w:rFonts w:hint="eastAsia" w:ascii="宋体" w:hAnsi="宋体" w:cs="宋体"/>
          <w:bCs/>
          <w:color w:val="auto"/>
          <w:sz w:val="24"/>
          <w:szCs w:val="24"/>
          <w:highlight w:val="none"/>
          <w:lang w:val="en-US" w:eastAsia="zh-CN"/>
        </w:rPr>
        <w:t>此U盘</w:t>
      </w:r>
      <w:r>
        <w:rPr>
          <w:rFonts w:hint="eastAsia" w:ascii="宋体" w:hAnsi="宋体" w:eastAsia="宋体" w:cs="宋体"/>
          <w:bCs/>
          <w:color w:val="auto"/>
          <w:sz w:val="24"/>
          <w:szCs w:val="24"/>
          <w:highlight w:val="none"/>
        </w:rPr>
        <w:t>非</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rPr>
        <w:t>中要求提供的</w:t>
      </w:r>
      <w:r>
        <w:rPr>
          <w:rFonts w:hint="eastAsia" w:ascii="宋体" w:hAnsi="宋体" w:cs="宋体"/>
          <w:bCs/>
          <w:color w:val="auto"/>
          <w:sz w:val="24"/>
          <w:szCs w:val="24"/>
          <w:highlight w:val="none"/>
          <w:lang w:val="en-US" w:eastAsia="zh-CN"/>
        </w:rPr>
        <w:t>投标文件正本</w:t>
      </w:r>
      <w:r>
        <w:rPr>
          <w:rFonts w:hint="eastAsia" w:ascii="宋体" w:hAnsi="宋体" w:eastAsia="宋体" w:cs="宋体"/>
          <w:bCs/>
          <w:color w:val="auto"/>
          <w:sz w:val="24"/>
          <w:szCs w:val="24"/>
          <w:highlight w:val="none"/>
        </w:rPr>
        <w:t>扫描盖章版的</w:t>
      </w:r>
      <w:r>
        <w:rPr>
          <w:rFonts w:hint="eastAsia" w:ascii="宋体" w:hAnsi="宋体" w:cs="宋体"/>
          <w:bCs/>
          <w:color w:val="auto"/>
          <w:sz w:val="24"/>
          <w:szCs w:val="24"/>
          <w:highlight w:val="none"/>
          <w:lang w:val="en-US" w:eastAsia="zh-CN"/>
        </w:rPr>
        <w:t>U盘</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供</w:t>
      </w:r>
      <w:r>
        <w:rPr>
          <w:rFonts w:hint="eastAsia" w:ascii="宋体" w:hAnsi="宋体" w:eastAsia="宋体" w:cs="宋体"/>
          <w:bCs/>
          <w:color w:val="auto"/>
          <w:sz w:val="24"/>
          <w:szCs w:val="24"/>
          <w:highlight w:val="none"/>
        </w:rPr>
        <w:t>现场</w:t>
      </w:r>
      <w:r>
        <w:rPr>
          <w:rFonts w:hint="eastAsia" w:ascii="宋体" w:hAnsi="宋体" w:eastAsia="宋体" w:cs="宋体"/>
          <w:bCs/>
          <w:color w:val="auto"/>
          <w:sz w:val="24"/>
          <w:szCs w:val="24"/>
          <w:highlight w:val="none"/>
          <w:lang w:val="en-US" w:eastAsia="zh-CN"/>
        </w:rPr>
        <w:t>演示</w:t>
      </w:r>
      <w:r>
        <w:rPr>
          <w:rFonts w:hint="eastAsia" w:ascii="宋体" w:hAnsi="宋体" w:eastAsia="宋体" w:cs="宋体"/>
          <w:bCs/>
          <w:color w:val="auto"/>
          <w:sz w:val="24"/>
          <w:szCs w:val="24"/>
          <w:highlight w:val="none"/>
        </w:rPr>
        <w:t>使用</w:t>
      </w:r>
      <w:r>
        <w:rPr>
          <w:rFonts w:hint="eastAsia" w:ascii="宋体" w:hAnsi="宋体" w:eastAsia="宋体" w:cs="宋体"/>
          <w:bCs/>
          <w:color w:val="auto"/>
          <w:sz w:val="24"/>
          <w:szCs w:val="24"/>
          <w:highlight w:val="none"/>
          <w:lang w:eastAsia="zh-CN"/>
        </w:rPr>
        <w:t>。</w:t>
      </w:r>
      <w:r>
        <w:rPr>
          <w:rFonts w:hint="eastAsia" w:ascii="宋体" w:hAnsi="宋体" w:cs="宋体"/>
          <w:b w:val="0"/>
          <w:bCs/>
          <w:color w:val="auto"/>
          <w:sz w:val="24"/>
          <w:szCs w:val="24"/>
          <w:highlight w:val="none"/>
          <w:lang w:eastAsia="zh-CN"/>
        </w:rPr>
        <w:t>（注：</w:t>
      </w:r>
      <w:r>
        <w:rPr>
          <w:rFonts w:hint="eastAsia" w:ascii="宋体" w:hAnsi="宋体" w:cs="宋体"/>
          <w:b w:val="0"/>
          <w:bCs/>
          <w:color w:val="auto"/>
          <w:sz w:val="24"/>
          <w:szCs w:val="24"/>
          <w:highlight w:val="none"/>
          <w:lang w:val="en-US" w:eastAsia="zh-CN"/>
        </w:rPr>
        <w:t>未提供或</w:t>
      </w:r>
      <w:r>
        <w:rPr>
          <w:rFonts w:hint="eastAsia" w:ascii="宋体" w:hAnsi="宋体" w:cs="宋体"/>
          <w:b w:val="0"/>
          <w:bCs/>
          <w:color w:val="auto"/>
          <w:sz w:val="24"/>
          <w:szCs w:val="24"/>
          <w:highlight w:val="none"/>
          <w:lang w:eastAsia="zh-CN"/>
        </w:rPr>
        <w:t>技术参数要求中需要提供佐证材料的如未按要求提供将视为该项参数不满足）。</w:t>
      </w:r>
    </w:p>
    <w:p w14:paraId="79D4FC28">
      <w:pPr>
        <w:shd w:val="clear" w:color="auto" w:fill="auto"/>
        <w:spacing w:line="360" w:lineRule="auto"/>
        <w:ind w:firstLine="420"/>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2、供应商综合服务能力（10分）</w:t>
      </w:r>
    </w:p>
    <w:p w14:paraId="1B75D2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right="0" w:firstLine="480" w:firstLineChars="200"/>
        <w:jc w:val="left"/>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（1）体系认证证书（4分）</w:t>
      </w:r>
    </w:p>
    <w:p w14:paraId="0A440C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right="0" w:firstLine="480" w:firstLineChars="200"/>
        <w:jc w:val="left"/>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投标供应商或设备生产商具有有效期内的质量管理体系认证证书</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cs="宋体"/>
          <w:b/>
          <w:color w:val="auto"/>
          <w:sz w:val="24"/>
          <w:szCs w:val="24"/>
          <w:highlight w:val="none"/>
          <w:lang w:val="en-US" w:eastAsia="zh-CN"/>
        </w:rPr>
        <w:t>（投标文件中提供证书复印件加盖投标供应商公章，不提供或不符合要求均不得分）。</w:t>
      </w:r>
    </w:p>
    <w:p w14:paraId="19F57A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right="0" w:firstLine="480" w:firstLineChars="200"/>
        <w:jc w:val="left"/>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（2）投标人业绩（6分）</w:t>
      </w:r>
    </w:p>
    <w:p w14:paraId="4FD964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right="0"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en-US" w:eastAsia="zh-CN"/>
        </w:rPr>
        <w:t>自</w:t>
      </w:r>
      <w:r>
        <w:rPr>
          <w:rFonts w:hint="eastAsia" w:ascii="宋体" w:hAnsi="宋体" w:eastAsia="宋体" w:cs="宋体"/>
          <w:b/>
          <w:bCs/>
          <w:color w:val="auto"/>
          <w:sz w:val="24"/>
          <w:szCs w:val="24"/>
          <w:highlight w:val="none"/>
        </w:rPr>
        <w:t>202</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年01月01日（以合同签订时间为准）至今</w:t>
      </w:r>
      <w:r>
        <w:rPr>
          <w:rFonts w:hint="eastAsia" w:ascii="宋体" w:hAnsi="宋体" w:eastAsia="宋体" w:cs="宋体"/>
          <w:b/>
          <w:bCs/>
          <w:color w:val="auto"/>
          <w:sz w:val="24"/>
          <w:szCs w:val="24"/>
          <w:highlight w:val="none"/>
          <w:lang w:val="en-US" w:eastAsia="zh-CN"/>
        </w:rPr>
        <w:t>承担过</w:t>
      </w:r>
      <w:r>
        <w:rPr>
          <w:rFonts w:hint="eastAsia" w:ascii="宋体" w:hAnsi="宋体" w:eastAsia="宋体" w:cs="宋体"/>
          <w:b/>
          <w:bCs/>
          <w:color w:val="auto"/>
          <w:kern w:val="0"/>
          <w:sz w:val="24"/>
          <w:szCs w:val="24"/>
          <w:highlight w:val="none"/>
          <w:lang w:val="en-US" w:eastAsia="zh-CN" w:bidi="ar"/>
        </w:rPr>
        <w:t>焊接实训设备供货</w:t>
      </w:r>
      <w:r>
        <w:rPr>
          <w:rFonts w:hint="eastAsia" w:ascii="宋体" w:hAnsi="宋体" w:eastAsia="宋体" w:cs="宋体"/>
          <w:b/>
          <w:bCs/>
          <w:color w:val="auto"/>
          <w:sz w:val="24"/>
          <w:szCs w:val="24"/>
          <w:highlight w:val="none"/>
        </w:rPr>
        <w:t>类似项目业绩，每提供一项有效合同的得</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分，最</w:t>
      </w:r>
      <w:r>
        <w:rPr>
          <w:rFonts w:hint="eastAsia" w:ascii="宋体" w:hAnsi="宋体" w:eastAsia="宋体" w:cs="宋体"/>
          <w:b/>
          <w:bCs/>
          <w:color w:val="auto"/>
          <w:sz w:val="24"/>
          <w:szCs w:val="24"/>
          <w:highlight w:val="none"/>
          <w:lang w:val="en-US" w:eastAsia="zh-CN"/>
        </w:rPr>
        <w:t>高</w:t>
      </w:r>
      <w:r>
        <w:rPr>
          <w:rFonts w:hint="eastAsia" w:ascii="宋体" w:hAnsi="宋体" w:eastAsia="宋体" w:cs="宋体"/>
          <w:b/>
          <w:bCs/>
          <w:color w:val="auto"/>
          <w:sz w:val="24"/>
          <w:szCs w:val="24"/>
          <w:highlight w:val="none"/>
        </w:rPr>
        <w:t>得</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分。（提供合同复印件，须体现签订合同双方的单位名称及盖章页、采购内容页、签订日期等关键内容）</w:t>
      </w:r>
    </w:p>
    <w:p w14:paraId="067B403D">
      <w:pPr>
        <w:rPr>
          <w:rFonts w:hint="default"/>
          <w:color w:val="auto"/>
          <w:highlight w:val="none"/>
          <w:lang w:val="en-US" w:eastAsia="zh-CN"/>
        </w:rPr>
      </w:pPr>
    </w:p>
    <w:p w14:paraId="772901BD">
      <w:pPr>
        <w:numPr>
          <w:ilvl w:val="0"/>
          <w:numId w:val="4"/>
        </w:numPr>
        <w:shd w:val="clear" w:color="auto" w:fill="auto"/>
        <w:spacing w:line="360" w:lineRule="auto"/>
        <w:ind w:firstLine="241"/>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技术标（30分）</w:t>
      </w:r>
    </w:p>
    <w:p w14:paraId="48A0CD3F">
      <w:pPr>
        <w:shd w:val="clear" w:color="auto" w:fill="auto"/>
        <w:spacing w:line="360" w:lineRule="auto"/>
        <w:ind w:firstLine="42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1.售后服务方案（6分）</w:t>
      </w:r>
    </w:p>
    <w:p w14:paraId="2113E11F">
      <w:pPr>
        <w:shd w:val="clear" w:color="auto" w:fill="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针对校内人才培养、大赛备赛、社会培训三大场景设计售后服务方案，包括①分场景售后服务保障体系、②设备故障快速响应方案、③培训/教学期间专属技术支持、④售后服务专项承诺。评分标准：三大场景方案均成熟完善、针对性强的每条得 1.5分；仅覆盖1-2个场景，</w:t>
      </w:r>
      <w:r>
        <w:rPr>
          <w:rFonts w:hint="eastAsia" w:ascii="宋体" w:hAnsi="宋体" w:cs="宋体"/>
          <w:bCs/>
          <w:color w:val="auto"/>
          <w:sz w:val="24"/>
          <w:szCs w:val="24"/>
          <w:highlight w:val="none"/>
        </w:rPr>
        <w:t>方案较具体、可实施的</w:t>
      </w:r>
      <w:r>
        <w:rPr>
          <w:rFonts w:hint="eastAsia" w:ascii="宋体" w:hAnsi="宋体" w:cs="宋体"/>
          <w:color w:val="auto"/>
          <w:sz w:val="24"/>
          <w:szCs w:val="24"/>
          <w:highlight w:val="none"/>
          <w:lang w:val="en-US" w:eastAsia="zh-CN"/>
        </w:rPr>
        <w:t>每条得1分；未按场景设计，</w:t>
      </w:r>
      <w:r>
        <w:rPr>
          <w:rFonts w:hint="eastAsia" w:ascii="宋体" w:hAnsi="宋体" w:cs="宋体"/>
          <w:bCs/>
          <w:color w:val="auto"/>
          <w:sz w:val="24"/>
          <w:szCs w:val="24"/>
          <w:highlight w:val="none"/>
        </w:rPr>
        <w:t>可实施性较差</w:t>
      </w:r>
      <w:r>
        <w:rPr>
          <w:rFonts w:hint="eastAsia" w:ascii="宋体" w:hAnsi="宋体" w:cs="宋体"/>
          <w:color w:val="auto"/>
          <w:sz w:val="24"/>
          <w:szCs w:val="24"/>
          <w:highlight w:val="none"/>
          <w:lang w:val="en-US" w:eastAsia="zh-CN"/>
        </w:rPr>
        <w:t>的每条得0.5分，</w:t>
      </w:r>
      <w:r>
        <w:rPr>
          <w:rFonts w:hint="eastAsia" w:ascii="宋体" w:hAnsi="宋体" w:cs="宋体"/>
          <w:color w:val="auto"/>
          <w:sz w:val="24"/>
          <w:szCs w:val="24"/>
          <w:highlight w:val="none"/>
        </w:rPr>
        <w:t>未提供</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不得分</w:t>
      </w:r>
      <w:r>
        <w:rPr>
          <w:rFonts w:hint="eastAsia" w:ascii="宋体" w:hAnsi="宋体" w:cs="宋体"/>
          <w:color w:val="auto"/>
          <w:sz w:val="24"/>
          <w:szCs w:val="24"/>
          <w:highlight w:val="none"/>
          <w:lang w:val="en-US" w:eastAsia="zh-CN"/>
        </w:rPr>
        <w:t>。</w:t>
      </w:r>
    </w:p>
    <w:p w14:paraId="2D73F1AF">
      <w:pPr>
        <w:shd w:val="clear" w:color="auto" w:fill="auto"/>
        <w:spacing w:line="360" w:lineRule="auto"/>
        <w:ind w:firstLine="42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2.培训方案（8分）</w:t>
      </w:r>
    </w:p>
    <w:p w14:paraId="481C1531">
      <w:pPr>
        <w:shd w:val="clear" w:color="auto" w:fill="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针对本项目提供①校内师资培训方案、②大赛备赛专项培训方案、③社会培训师资/学员培训方案、</w:t>
      </w:r>
      <w:r>
        <w:rPr>
          <w:rFonts w:hint="eastAsia" w:ascii="宋体" w:hAnsi="宋体" w:cs="宋体"/>
          <w:b w:val="0"/>
          <w:bCs w:val="0"/>
          <w:color w:val="auto"/>
          <w:sz w:val="24"/>
          <w:szCs w:val="24"/>
          <w:highlight w:val="none"/>
          <w:lang w:val="en-US" w:eastAsia="zh-CN"/>
        </w:rPr>
        <w:t>④配套培训视频/教材,</w:t>
      </w:r>
      <w:r>
        <w:rPr>
          <w:rFonts w:hint="eastAsia" w:ascii="宋体" w:hAnsi="宋体" w:cs="宋体"/>
          <w:color w:val="auto"/>
          <w:sz w:val="24"/>
          <w:szCs w:val="24"/>
          <w:highlight w:val="none"/>
          <w:lang w:val="en-US" w:eastAsia="zh-CN"/>
        </w:rPr>
        <w:t>方案需包含培训计划、内容、方式、团队、考核标准。评分标准：方案科学合理、可实施性强的，每条得2分。</w:t>
      </w:r>
      <w:r>
        <w:rPr>
          <w:rFonts w:hint="eastAsia" w:ascii="宋体" w:hAnsi="宋体" w:cs="宋体"/>
          <w:bCs/>
          <w:color w:val="auto"/>
          <w:sz w:val="24"/>
          <w:szCs w:val="24"/>
          <w:highlight w:val="none"/>
        </w:rPr>
        <w:t>方案较具体、可实施的</w:t>
      </w:r>
      <w:r>
        <w:rPr>
          <w:rFonts w:hint="eastAsia" w:ascii="宋体" w:hAnsi="宋体" w:cs="宋体"/>
          <w:bCs/>
          <w:color w:val="auto"/>
          <w:sz w:val="24"/>
          <w:szCs w:val="24"/>
          <w:highlight w:val="none"/>
          <w:lang w:val="en-US" w:eastAsia="zh-CN"/>
        </w:rPr>
        <w:t>每条</w:t>
      </w:r>
      <w:r>
        <w:rPr>
          <w:rFonts w:hint="eastAsia" w:ascii="宋体" w:hAnsi="宋体" w:cs="宋体"/>
          <w:bCs/>
          <w:color w:val="auto"/>
          <w:sz w:val="24"/>
          <w:szCs w:val="24"/>
          <w:highlight w:val="none"/>
        </w:rPr>
        <w:t>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分，方案较差、可实施性较差</w:t>
      </w:r>
      <w:r>
        <w:rPr>
          <w:rFonts w:hint="eastAsia" w:ascii="宋体" w:hAnsi="宋体" w:cs="宋体"/>
          <w:bCs/>
          <w:color w:val="auto"/>
          <w:sz w:val="24"/>
          <w:szCs w:val="24"/>
          <w:highlight w:val="none"/>
          <w:lang w:val="en-US" w:eastAsia="zh-CN"/>
        </w:rPr>
        <w:t>每条</w:t>
      </w:r>
      <w:r>
        <w:rPr>
          <w:rFonts w:hint="eastAsia" w:ascii="宋体" w:hAnsi="宋体" w:cs="宋体"/>
          <w:bCs/>
          <w:color w:val="auto"/>
          <w:sz w:val="24"/>
          <w:szCs w:val="24"/>
          <w:highlight w:val="none"/>
        </w:rPr>
        <w:t>得</w:t>
      </w:r>
      <w:r>
        <w:rPr>
          <w:rFonts w:hint="eastAsia" w:ascii="宋体" w:hAnsi="宋体" w:cs="宋体"/>
          <w:bCs/>
          <w:color w:val="auto"/>
          <w:sz w:val="24"/>
          <w:szCs w:val="24"/>
          <w:highlight w:val="none"/>
          <w:lang w:val="en-US" w:eastAsia="zh-CN"/>
        </w:rPr>
        <w:t>0.5</w:t>
      </w:r>
      <w:r>
        <w:rPr>
          <w:rFonts w:hint="eastAsia" w:ascii="宋体" w:hAnsi="宋体" w:cs="宋体"/>
          <w:bCs/>
          <w:color w:val="auto"/>
          <w:sz w:val="24"/>
          <w:szCs w:val="24"/>
          <w:highlight w:val="none"/>
        </w:rPr>
        <w:t>分，未提供方案说明</w:t>
      </w:r>
      <w:r>
        <w:rPr>
          <w:rFonts w:hint="eastAsia" w:ascii="宋体" w:hAnsi="宋体" w:cs="宋体"/>
          <w:bCs/>
          <w:color w:val="auto"/>
          <w:sz w:val="24"/>
          <w:szCs w:val="24"/>
          <w:highlight w:val="none"/>
          <w:lang w:eastAsia="zh-CN"/>
        </w:rPr>
        <w:t>的</w:t>
      </w:r>
      <w:r>
        <w:rPr>
          <w:rFonts w:hint="eastAsia" w:ascii="宋体" w:hAnsi="宋体" w:cs="宋体"/>
          <w:bCs/>
          <w:color w:val="auto"/>
          <w:sz w:val="24"/>
          <w:szCs w:val="24"/>
          <w:highlight w:val="none"/>
        </w:rPr>
        <w:t>不得分。</w:t>
      </w:r>
    </w:p>
    <w:p w14:paraId="58F16CBD">
      <w:pPr>
        <w:shd w:val="clear" w:color="auto" w:fill="auto"/>
        <w:spacing w:line="360" w:lineRule="auto"/>
        <w:ind w:firstLine="42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3.项目设计方案（8分）</w:t>
      </w:r>
    </w:p>
    <w:p w14:paraId="46122AF4">
      <w:pPr>
        <w:shd w:val="clear" w:color="auto" w:fill="auto"/>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评标委员会根据供应商提供图纸及技术方案进行综合评审，方案需明确划分校内实训区、大赛备赛区、社会培训区，且三区可灵活切换使用：(1) 图纸及技术方案准确完善，三区布局合理、切换便捷，与现场及三大场景需求相符的得8分；(2)布局基本合理，但三区切换不便或与场景需求不符处多于1处的得4分；(3)未划分三大功能区的得2分；未提供图纸及技术方案者不得分。</w:t>
      </w:r>
    </w:p>
    <w:p w14:paraId="4031A9B9">
      <w:pPr>
        <w:shd w:val="clear" w:color="auto" w:fill="auto"/>
        <w:spacing w:line="360" w:lineRule="auto"/>
        <w:ind w:firstLine="42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4.项目实施方案（8分）</w:t>
      </w:r>
    </w:p>
    <w:p w14:paraId="42F53458">
      <w:pPr>
        <w:shd w:val="clear" w:color="auto" w:fill="auto"/>
        <w:spacing w:line="360" w:lineRule="auto"/>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针对人才培养、大赛备赛、社会培训三大场景提供实施及运营方案，包括①分场景项目管理方案、②进度安排与控制、③技术保障、④安全与风险控制、⑤社会培训运营配套支持。评分标准：五大内容均科学合理、可实施性强的每条得1.6分；仅覆盖校内/大赛场景，方案较具体、可实施的的每条得1分；方案较差，可实施性较差的每条得0.5分，未提供方案说明的不得分。</w:t>
      </w:r>
    </w:p>
    <w:p w14:paraId="4251097A">
      <w:pPr>
        <w:spacing w:line="360" w:lineRule="auto"/>
        <w:ind w:left="1" w:firstLine="360"/>
        <w:rPr>
          <w:rFonts w:hint="eastAsia" w:ascii="宋体" w:hAnsi="宋体" w:cs="宋体"/>
          <w:bCs/>
          <w:color w:val="auto"/>
          <w:sz w:val="24"/>
          <w:szCs w:val="24"/>
          <w:highlight w:val="none"/>
        </w:rPr>
      </w:pPr>
      <w:r>
        <w:rPr>
          <w:rFonts w:hint="eastAsia" w:ascii="宋体" w:hAnsi="宋体" w:cs="宋体"/>
          <w:color w:val="auto"/>
          <w:sz w:val="24"/>
          <w:szCs w:val="24"/>
          <w:highlight w:val="none"/>
        </w:rPr>
        <w:t>31.3</w:t>
      </w:r>
      <w:r>
        <w:rPr>
          <w:rFonts w:hint="eastAsia" w:ascii="宋体" w:hAnsi="宋体" w:cs="宋体"/>
          <w:bCs/>
          <w:color w:val="auto"/>
          <w:sz w:val="24"/>
          <w:szCs w:val="24"/>
          <w:highlight w:val="none"/>
        </w:rPr>
        <w:t>采用综合评分法的，评标结果按评审后得分由高到低顺序排列。得分相同的(得分保留到小数点后2位，四舍五入)，按投标报价由低到高顺序排列。得分且投标报价相同的，按技术指标优劣顺序排列，中标候选人由评标委员会确定。投标文件满足</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全部实质性要求，且按照评审因素的量化指标评审得分最高的</w:t>
      </w:r>
      <w:r>
        <w:rPr>
          <w:rFonts w:hint="eastAsia" w:ascii="宋体" w:hAnsi="宋体" w:cs="宋体"/>
          <w:bCs/>
          <w:color w:val="auto"/>
          <w:sz w:val="24"/>
          <w:szCs w:val="24"/>
          <w:highlight w:val="none"/>
          <w:lang w:eastAsia="zh-CN"/>
        </w:rPr>
        <w:t>投标供应商</w:t>
      </w:r>
      <w:r>
        <w:rPr>
          <w:rFonts w:hint="eastAsia" w:ascii="宋体" w:hAnsi="宋体" w:cs="宋体"/>
          <w:bCs/>
          <w:color w:val="auto"/>
          <w:sz w:val="24"/>
          <w:szCs w:val="24"/>
          <w:highlight w:val="none"/>
        </w:rPr>
        <w:t>为排名第一的中标候选人。</w:t>
      </w:r>
    </w:p>
    <w:p w14:paraId="018D1C77">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32、相同品牌产品的处理原则</w:t>
      </w:r>
    </w:p>
    <w:p w14:paraId="64EEA6DC">
      <w:pPr>
        <w:spacing w:line="360" w:lineRule="auto"/>
        <w:ind w:firstLine="354"/>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32.1</w:t>
      </w:r>
      <w:r>
        <w:rPr>
          <w:rFonts w:hint="eastAsia" w:ascii="宋体" w:hAnsi="宋体" w:cs="宋体"/>
          <w:b/>
          <w:color w:val="auto"/>
          <w:sz w:val="24"/>
          <w:szCs w:val="24"/>
          <w:highlight w:val="none"/>
          <w:u w:val="single"/>
        </w:rPr>
        <w:t>使用综合评分法的采购项目，核心产品提供相同品牌产品且通过资格审查、符合性审查的不同</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参加同一合同项下投标的，按一家</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计算，评审后得分最高的同品牌</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获得中标人推荐资格；评审得分相同的，由采购人委托评标委员会按照技术指标优劣顺序确定一个</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获得中标人推荐资格，其他同品牌</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不作为中标候选人。</w:t>
      </w:r>
    </w:p>
    <w:p w14:paraId="4ABA1B63">
      <w:pPr>
        <w:spacing w:line="360" w:lineRule="auto"/>
        <w:ind w:firstLine="354"/>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32.2非单一产品采购项目，采购人应当根据采购项目技术构成、产品价格比重等合理确定核心产品，并在</w:t>
      </w:r>
      <w:r>
        <w:rPr>
          <w:rFonts w:hint="eastAsia" w:ascii="宋体" w:hAnsi="宋体" w:cs="宋体"/>
          <w:b/>
          <w:color w:val="auto"/>
          <w:sz w:val="24"/>
          <w:szCs w:val="24"/>
          <w:highlight w:val="none"/>
          <w:u w:val="single"/>
          <w:lang w:eastAsia="zh-CN"/>
        </w:rPr>
        <w:t>采购文件</w:t>
      </w:r>
      <w:r>
        <w:rPr>
          <w:rFonts w:hint="eastAsia" w:ascii="宋体" w:hAnsi="宋体" w:cs="宋体"/>
          <w:b/>
          <w:color w:val="auto"/>
          <w:sz w:val="24"/>
          <w:szCs w:val="24"/>
          <w:highlight w:val="none"/>
          <w:u w:val="single"/>
        </w:rPr>
        <w:t>中载明。多家</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提供的核心产品品牌相同的，按上述规定处理。</w:t>
      </w:r>
    </w:p>
    <w:p w14:paraId="7959D698">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33、允许修改评标结果的情形</w:t>
      </w:r>
    </w:p>
    <w:p w14:paraId="23E65E50">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33.1评标结果汇总完成后，除下列情形外，任何人不得修改评标结果：</w:t>
      </w:r>
    </w:p>
    <w:p w14:paraId="7CCFE73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（1）分值汇总计算错误的；</w:t>
      </w:r>
    </w:p>
    <w:p w14:paraId="54C4D17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（2）分项评分超出评分标准范围的；</w:t>
      </w:r>
    </w:p>
    <w:p w14:paraId="6D54685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（3）评标委员会成员对客观评审因素评分不一致的；</w:t>
      </w:r>
    </w:p>
    <w:p w14:paraId="1545AC0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（4）经评标委员会认定评分畸高、畸低的。</w:t>
      </w:r>
    </w:p>
    <w:p w14:paraId="1BB3DCB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2B4F9135">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34、推荐和确定中标人</w:t>
      </w:r>
    </w:p>
    <w:p w14:paraId="3A0978AC">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34.1 评标委员会将根据评标结果向采购人推荐出中标人。</w:t>
      </w:r>
    </w:p>
    <w:p w14:paraId="53DCA92E">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34.2 采购人根据评标委员会的推荐最终确定中标人。</w:t>
      </w:r>
    </w:p>
    <w:p w14:paraId="79F5903E">
      <w:pPr>
        <w:spacing w:before="200" w:after="200"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七、授予合同</w:t>
      </w:r>
    </w:p>
    <w:p w14:paraId="3419F1D5">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35、招标组织方接受和拒绝任何或所有投标的权利</w:t>
      </w:r>
    </w:p>
    <w:p w14:paraId="1270FE79">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35.1 为维护国家和社会公共利益，招标组织方保留在授标之前任何时候接受或拒绝任何</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中标的权利，且对受影响的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不承担任何责任。</w:t>
      </w:r>
    </w:p>
    <w:p w14:paraId="4C12C8A0">
      <w:pPr>
        <w:spacing w:before="200" w:after="200" w:line="24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36、中标通知书</w:t>
      </w:r>
    </w:p>
    <w:p w14:paraId="41126622">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36.1 在投标有效期期满之前，招标组织方将以书面形式通知中标人，中标人在收到中标通知书后，须立即以书面签收形式回复招标组织方，确认中标通知书已收悉。</w:t>
      </w:r>
    </w:p>
    <w:p w14:paraId="0825A5A0">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36.2 中标通知书将是合同的一个组成部分。</w:t>
      </w:r>
    </w:p>
    <w:p w14:paraId="74C6FC19">
      <w:pPr>
        <w:spacing w:line="240" w:lineRule="auto"/>
        <w:ind w:firstLine="354"/>
        <w:outlineLvl w:val="2"/>
        <w:rPr>
          <w:rFonts w:hint="eastAsia" w:ascii="宋体" w:hAnsi="宋体" w:cs="宋体"/>
          <w:b/>
          <w:color w:val="auto"/>
          <w:sz w:val="30"/>
          <w:szCs w:val="20"/>
          <w:highlight w:val="none"/>
        </w:rPr>
      </w:pPr>
      <w:r>
        <w:rPr>
          <w:rFonts w:hint="eastAsia" w:ascii="宋体" w:hAnsi="宋体" w:cs="宋体"/>
          <w:b/>
          <w:color w:val="auto"/>
          <w:sz w:val="24"/>
          <w:szCs w:val="20"/>
          <w:highlight w:val="none"/>
        </w:rPr>
        <w:t>36.3</w:t>
      </w:r>
      <w:r>
        <w:rPr>
          <w:rFonts w:hint="eastAsia" w:ascii="宋体" w:hAnsi="宋体" w:cs="宋体"/>
          <w:b/>
          <w:color w:val="auto"/>
          <w:sz w:val="24"/>
          <w:szCs w:val="20"/>
          <w:highlight w:val="none"/>
          <w:u w:val="single"/>
        </w:rPr>
        <w:t>中标通知书发出后，采购人不得违法改变中标结果，中标人无正当理由不得放弃中标。</w:t>
      </w:r>
    </w:p>
    <w:p w14:paraId="70189B7B">
      <w:pPr>
        <w:spacing w:before="200" w:after="200" w:line="24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37、签订合同时不得对投标文件作实质性修改</w:t>
      </w:r>
    </w:p>
    <w:p w14:paraId="56FF7FC9">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37.1采购人按照</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和中标人投标文件的约定，与中标人签订书面合同。所签订的合同不得对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和中标人投标文件作实质性修改。</w:t>
      </w:r>
    </w:p>
    <w:p w14:paraId="1160CDDD">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37.2合同履行中，采购人需追加与合同标的相同货物时，在不改变合同其他条款的前提下，可以与中标人协商签订补充合同，但所有补充合同的采购金额不得超过原合同采购金额的百分之十。</w:t>
      </w:r>
    </w:p>
    <w:p w14:paraId="2728BBBC">
      <w:pPr>
        <w:spacing w:before="200" w:after="200" w:line="24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38、签订合同</w:t>
      </w:r>
    </w:p>
    <w:p w14:paraId="1EB607E0">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38.1采购人应当自中标通知书发出之日起</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日内，按照</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和中标人投标文件的规定，与中标人签订书面合同。所签订的合同不得对</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确定的事项和中标人投标文件作实质性修改。采购人不得向中标人提出任何不合理的要求作为签订合同的条件。</w:t>
      </w:r>
    </w:p>
    <w:p w14:paraId="63C64C69">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38.2政府采购合同应当包括采购人与中标人的名称和住所、标的、数量、质量、价款或者报酬、履行期限及地点和方式、验收要求、违约责任、解决争议的方法等内容。</w:t>
      </w:r>
    </w:p>
    <w:p w14:paraId="77417A9F">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38.3采购人与中标人应当根据合同的约定依法履行合同义务。政府采购合同的履行、违约责任和解决争议的方法等适用《中华人民共和国民法典》。 </w:t>
      </w:r>
    </w:p>
    <w:p w14:paraId="60EBD285">
      <w:pPr>
        <w:spacing w:before="200" w:after="200" w:line="24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 xml:space="preserve">39、政府采购贷款扶持政策 </w:t>
      </w:r>
    </w:p>
    <w:p w14:paraId="6683CD7A">
      <w:pPr>
        <w:spacing w:line="24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39.1根据国家扶持中小企业的有关政策，招标组织方负责代理的采购项目中标企业，在履约过程中如遇到资金困难，凭中标通知书在相关金融机构办理授信申请，相关事宜请查阅“江苏省政府采购”网站。 </w:t>
      </w:r>
    </w:p>
    <w:p w14:paraId="5C5985E9">
      <w:pPr>
        <w:spacing w:line="240" w:lineRule="auto"/>
        <w:ind w:firstLine="360"/>
        <w:jc w:val="center"/>
        <w:rPr>
          <w:rFonts w:hint="eastAsia" w:ascii="宋体" w:hAnsi="宋体" w:cs="宋体"/>
          <w:b/>
          <w:color w:val="auto"/>
          <w:sz w:val="32"/>
          <w:szCs w:val="32"/>
          <w:highlight w:val="none"/>
          <w:shd w:val="clear" w:color="auto" w:fill="FFFFFF"/>
        </w:rPr>
      </w:pPr>
      <w:r>
        <w:rPr>
          <w:rFonts w:hint="eastAsia" w:ascii="宋体" w:hAnsi="宋体" w:cs="宋体"/>
          <w:b/>
          <w:color w:val="auto"/>
          <w:sz w:val="32"/>
          <w:szCs w:val="32"/>
          <w:highlight w:val="none"/>
          <w:shd w:val="clear" w:color="auto" w:fill="FFFFFF"/>
        </w:rPr>
        <w:t>八、询问、质疑、投诉</w:t>
      </w:r>
    </w:p>
    <w:p w14:paraId="5F1634A8">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41、询问</w:t>
      </w:r>
    </w:p>
    <w:p w14:paraId="374982F1">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41.1 供应商对招标活动事项有疑问的，可以向采购人或招标组织方提出询问，采购人或招标组织方将依法作出答复，但答复的内容不涉及商业秘密。</w:t>
      </w:r>
    </w:p>
    <w:p w14:paraId="43E98F38">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42、质疑</w:t>
      </w:r>
    </w:p>
    <w:p w14:paraId="60507E4C">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42.1质疑供应商是指直接参加本项目采购活动的供应商；供应商认为采购文件、采购过程和中标结果使自己的合法权益受到损害的，可以在知道或者应当知道其权益受到损害之日起七个工作日内，将质疑文件原件送达采购人或招标组织方。对采购文件提出质疑的，应自供应商获得采购文件之日起计算；对采购过程提出质疑的，自采购程序环节结束之日起计算；对中标结果提出质疑的，自中标结果公告届满之日起计算。</w:t>
      </w:r>
    </w:p>
    <w:p w14:paraId="6F260457">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70FC59DD">
      <w:pPr>
        <w:spacing w:line="360" w:lineRule="auto"/>
        <w:ind w:firstLine="36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42.3供应商如对采购需求提出质疑，除向招标组织方递交质疑文件外，还应当向采购人递交质疑文件。采购人负责处理和答复涉及采购需求、评分标准（如为采购人提供的）的质疑内容。</w:t>
      </w:r>
    </w:p>
    <w:p w14:paraId="3F94A7B2">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42.4质疑流程及注意事项见“江苏省政府采购”网站。</w:t>
      </w:r>
    </w:p>
    <w:p w14:paraId="232B6353">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42.5采购人或招标组织方在收到供应商的书面质疑后将及时组织调查核实，在七个工作日内作出答复，并以书面或在网站公告形式通知质疑供应商和其他有关供应商，答复的内容不涉及商业秘密。</w:t>
      </w:r>
    </w:p>
    <w:p w14:paraId="405ACA9B">
      <w:pPr>
        <w:spacing w:before="200" w:after="200" w:line="360" w:lineRule="auto"/>
        <w:outlineLvl w:val="2"/>
        <w:rPr>
          <w:rFonts w:hint="eastAsia" w:ascii="宋体" w:hAnsi="宋体" w:cs="宋体"/>
          <w:b/>
          <w:color w:val="auto"/>
          <w:sz w:val="30"/>
          <w:szCs w:val="20"/>
          <w:highlight w:val="none"/>
        </w:rPr>
      </w:pPr>
      <w:r>
        <w:rPr>
          <w:rFonts w:hint="eastAsia" w:ascii="宋体" w:hAnsi="宋体" w:cs="宋体"/>
          <w:b/>
          <w:color w:val="auto"/>
          <w:sz w:val="30"/>
          <w:szCs w:val="20"/>
          <w:highlight w:val="none"/>
        </w:rPr>
        <w:t>43、投诉</w:t>
      </w:r>
    </w:p>
    <w:p w14:paraId="20CB7A6D">
      <w:pPr>
        <w:spacing w:line="360" w:lineRule="auto"/>
        <w:jc w:val="left"/>
        <w:rPr>
          <w:rFonts w:hint="eastAsia" w:ascii="宋体" w:hAnsi="宋体" w:cs="宋体"/>
          <w:color w:val="auto"/>
          <w:sz w:val="32"/>
          <w:szCs w:val="32"/>
          <w:highlight w:val="none"/>
        </w:rPr>
      </w:pPr>
      <w:r>
        <w:rPr>
          <w:rFonts w:hint="eastAsia" w:ascii="宋体" w:hAnsi="宋体" w:cs="宋体"/>
          <w:color w:val="auto"/>
          <w:sz w:val="24"/>
          <w:szCs w:val="24"/>
          <w:highlight w:val="none"/>
        </w:rPr>
        <w:t xml:space="preserve">   43.1 质疑供应商对采购人或招标组织方的答复不满意，以及采购人或招标组织方未在规定的时间内作出答复的，可以在答复期满后十五个工作日内向采购项目同级财政部门投诉。</w:t>
      </w:r>
    </w:p>
    <w:p w14:paraId="0E3C4810">
      <w:pPr>
        <w:spacing w:line="360" w:lineRule="auto"/>
        <w:jc w:val="center"/>
        <w:rPr>
          <w:rFonts w:hint="eastAsia" w:ascii="宋体" w:hAnsi="宋体" w:cs="宋体"/>
          <w:b/>
          <w:color w:val="auto"/>
          <w:sz w:val="10"/>
          <w:szCs w:val="10"/>
          <w:highlight w:val="none"/>
          <w:shd w:val="clear" w:color="auto" w:fill="FFFFFF"/>
        </w:rPr>
      </w:pPr>
    </w:p>
    <w:p w14:paraId="25B09612">
      <w:pPr>
        <w:spacing w:line="360" w:lineRule="auto"/>
        <w:jc w:val="center"/>
        <w:rPr>
          <w:rFonts w:hint="eastAsia" w:ascii="宋体" w:hAnsi="宋体" w:cs="宋体"/>
          <w:color w:val="auto"/>
          <w:sz w:val="32"/>
          <w:szCs w:val="32"/>
          <w:highlight w:val="none"/>
        </w:rPr>
      </w:pPr>
      <w:r>
        <w:rPr>
          <w:rFonts w:hint="eastAsia" w:ascii="宋体" w:hAnsi="宋体" w:cs="宋体"/>
          <w:b/>
          <w:color w:val="auto"/>
          <w:sz w:val="32"/>
          <w:szCs w:val="32"/>
          <w:highlight w:val="none"/>
          <w:shd w:val="clear" w:color="auto" w:fill="FFFFFF"/>
        </w:rPr>
        <w:t>九、诚实信用和解释权</w:t>
      </w:r>
    </w:p>
    <w:p w14:paraId="06249249">
      <w:pPr>
        <w:spacing w:line="360" w:lineRule="auto"/>
        <w:ind w:left="446" w:hanging="446"/>
        <w:rPr>
          <w:rFonts w:hint="eastAsia" w:ascii="宋体" w:hAnsi="宋体" w:cs="宋体"/>
          <w:color w:val="auto"/>
          <w:sz w:val="24"/>
          <w:szCs w:val="24"/>
          <w:highlight w:val="none"/>
        </w:rPr>
      </w:pPr>
      <w:r>
        <w:rPr>
          <w:rFonts w:hint="eastAsia" w:ascii="宋体" w:hAnsi="宋体" w:cs="宋体"/>
          <w:b/>
          <w:color w:val="auto"/>
          <w:sz w:val="30"/>
          <w:szCs w:val="30"/>
          <w:highlight w:val="none"/>
          <w:shd w:val="clear" w:color="auto" w:fill="FFFFFF"/>
        </w:rPr>
        <w:t>44、诚实信用</w:t>
      </w:r>
    </w:p>
    <w:p w14:paraId="34144090">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44.1 供应商之间不得相互串通投标报价，不得妨碍其他供应商的公平竞争，不得损害</w:t>
      </w:r>
    </w:p>
    <w:p w14:paraId="27B0597D">
      <w:pPr>
        <w:spacing w:line="360" w:lineRule="auto"/>
        <w:ind w:left="355" w:hanging="355"/>
        <w:rPr>
          <w:rFonts w:hint="eastAsia" w:ascii="宋体" w:hAnsi="宋体" w:cs="宋体"/>
          <w:color w:val="auto"/>
          <w:sz w:val="24"/>
          <w:szCs w:val="24"/>
          <w:highlight w:val="none"/>
        </w:rPr>
      </w:pPr>
      <w:r>
        <w:rPr>
          <w:rFonts w:hint="eastAsia" w:ascii="宋体" w:hAnsi="宋体" w:cs="宋体"/>
          <w:color w:val="auto"/>
          <w:sz w:val="24"/>
          <w:szCs w:val="24"/>
          <w:highlight w:val="none"/>
        </w:rPr>
        <w:t>采购人和其他供应商的合法权益。</w:t>
      </w:r>
    </w:p>
    <w:p w14:paraId="3E0B7FB1">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44.2 供应商不得以向招标组织方工作人员、评标委员会成员行贿或者采取其他不正当手段谋取中标。经查实供应商有此行为的，将在“江苏省政府采购”网站公告，政府采购管理部门将供应商列入不良行为记录名单，按照政府采购有关规定处理。</w:t>
      </w:r>
    </w:p>
    <w:p w14:paraId="3A081892">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44.3供应商不得虚假承诺，否则，按照提供虚假材料谋取中标（成交）处理。</w:t>
      </w:r>
    </w:p>
    <w:p w14:paraId="3EB0EB2C">
      <w:pPr>
        <w:spacing w:line="360" w:lineRule="auto"/>
        <w:ind w:left="2" w:firstLine="36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44.4供应商应自觉遵守开标、评标纪律，扰乱开标评标现场秩序的，属于失信行为，根据《江苏省政府采购供应商监督管理暂行办法》，失信行为将被记入供应商诚信档案。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44.5根据《财政部关于在政府采购活动中查询及使用信息记录有关问题的通知》（财库〔2016〕125号）、江苏省财政厅《关于做好政府采购信用信息查询使用及登记等工作的通知》（苏财购〔2016〕50号）等文件精神，评标委员会（谈判小组/磋商小组）在项目资格性审查时对参加本项目的各供应商进行信用记录查询，信用记录查询渠道为“信用中国”网站（www.creditchina.gov.cn ）、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F3F75D3">
      <w:pPr>
        <w:spacing w:line="360" w:lineRule="auto"/>
        <w:rPr>
          <w:rFonts w:hint="eastAsia" w:ascii="宋体" w:hAnsi="宋体" w:cs="宋体"/>
          <w:b/>
          <w:color w:val="auto"/>
          <w:sz w:val="10"/>
          <w:szCs w:val="10"/>
          <w:highlight w:val="none"/>
        </w:rPr>
      </w:pPr>
    </w:p>
    <w:p w14:paraId="265BF051">
      <w:pPr>
        <w:spacing w:line="360" w:lineRule="auto"/>
        <w:rPr>
          <w:rFonts w:hint="eastAsia" w:ascii="宋体" w:hAnsi="宋体" w:cs="宋体"/>
          <w:b/>
          <w:color w:val="auto"/>
          <w:sz w:val="30"/>
          <w:szCs w:val="24"/>
          <w:highlight w:val="none"/>
        </w:rPr>
      </w:pPr>
      <w:r>
        <w:rPr>
          <w:rFonts w:hint="eastAsia" w:ascii="宋体" w:hAnsi="宋体" w:cs="宋体"/>
          <w:b/>
          <w:color w:val="auto"/>
          <w:sz w:val="30"/>
          <w:szCs w:val="24"/>
          <w:highlight w:val="none"/>
        </w:rPr>
        <w:t>45、解释权</w:t>
      </w:r>
    </w:p>
    <w:p w14:paraId="3E7CEB93">
      <w:pPr>
        <w:spacing w:line="360" w:lineRule="auto"/>
        <w:rPr>
          <w:rFonts w:hint="eastAsia" w:ascii="宋体" w:hAnsi="宋体" w:cs="宋体"/>
          <w:b/>
          <w:color w:val="auto"/>
          <w:sz w:val="10"/>
          <w:szCs w:val="10"/>
          <w:highlight w:val="none"/>
        </w:rPr>
      </w:pPr>
    </w:p>
    <w:p w14:paraId="7A423448">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45.1除相关法律、法规规定外，本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的解释权归采购代理机构所有。</w:t>
      </w:r>
      <w:bookmarkEnd w:id="95"/>
      <w:bookmarkEnd w:id="96"/>
      <w:bookmarkEnd w:id="97"/>
      <w:bookmarkEnd w:id="98"/>
      <w:bookmarkEnd w:id="99"/>
    </w:p>
    <w:p w14:paraId="5672FFF5">
      <w:pPr>
        <w:spacing w:line="360" w:lineRule="auto"/>
        <w:jc w:val="center"/>
        <w:rPr>
          <w:rFonts w:hint="eastAsia" w:ascii="宋体" w:hAnsi="宋体" w:cs="宋体"/>
          <w:b/>
          <w:color w:val="auto"/>
          <w:sz w:val="36"/>
          <w:szCs w:val="20"/>
          <w:highlight w:val="none"/>
        </w:rPr>
      </w:pPr>
    </w:p>
    <w:p w14:paraId="6CA65109">
      <w:pPr>
        <w:spacing w:line="360" w:lineRule="auto"/>
        <w:jc w:val="center"/>
        <w:rPr>
          <w:rFonts w:hint="eastAsia" w:ascii="宋体" w:hAnsi="宋体" w:cs="宋体"/>
          <w:b/>
          <w:color w:val="auto"/>
          <w:sz w:val="36"/>
          <w:szCs w:val="20"/>
          <w:highlight w:val="none"/>
        </w:rPr>
      </w:pPr>
    </w:p>
    <w:p w14:paraId="37C8D092">
      <w:pPr>
        <w:spacing w:line="360" w:lineRule="auto"/>
        <w:jc w:val="center"/>
        <w:rPr>
          <w:rFonts w:hint="eastAsia" w:ascii="宋体" w:hAnsi="宋体" w:cs="宋体"/>
          <w:b/>
          <w:color w:val="auto"/>
          <w:sz w:val="36"/>
          <w:szCs w:val="20"/>
          <w:highlight w:val="none"/>
        </w:rPr>
      </w:pPr>
    </w:p>
    <w:p w14:paraId="0F08F8C5">
      <w:pPr>
        <w:spacing w:line="360" w:lineRule="auto"/>
        <w:jc w:val="center"/>
        <w:rPr>
          <w:rFonts w:hint="eastAsia" w:ascii="宋体" w:hAnsi="宋体" w:cs="宋体"/>
          <w:b/>
          <w:color w:val="auto"/>
          <w:sz w:val="36"/>
          <w:szCs w:val="20"/>
          <w:highlight w:val="none"/>
        </w:rPr>
      </w:pPr>
    </w:p>
    <w:p w14:paraId="36E55560">
      <w:pPr>
        <w:spacing w:line="360" w:lineRule="auto"/>
        <w:jc w:val="center"/>
        <w:rPr>
          <w:rFonts w:hint="eastAsia" w:ascii="宋体" w:hAnsi="宋体" w:cs="宋体"/>
          <w:b/>
          <w:color w:val="auto"/>
          <w:sz w:val="36"/>
          <w:szCs w:val="20"/>
          <w:highlight w:val="none"/>
        </w:rPr>
      </w:pPr>
    </w:p>
    <w:p w14:paraId="2675DB35">
      <w:pPr>
        <w:spacing w:line="360" w:lineRule="auto"/>
        <w:jc w:val="center"/>
        <w:rPr>
          <w:rFonts w:hint="eastAsia" w:ascii="宋体" w:hAnsi="宋体" w:cs="宋体"/>
          <w:b/>
          <w:color w:val="auto"/>
          <w:sz w:val="36"/>
          <w:szCs w:val="20"/>
          <w:highlight w:val="none"/>
        </w:rPr>
      </w:pPr>
    </w:p>
    <w:p w14:paraId="50B76788">
      <w:pPr>
        <w:spacing w:line="360" w:lineRule="auto"/>
        <w:jc w:val="center"/>
        <w:rPr>
          <w:rFonts w:hint="eastAsia" w:ascii="宋体" w:hAnsi="宋体" w:cs="宋体"/>
          <w:b/>
          <w:color w:val="auto"/>
          <w:sz w:val="36"/>
          <w:szCs w:val="20"/>
          <w:highlight w:val="none"/>
        </w:rPr>
      </w:pPr>
    </w:p>
    <w:p w14:paraId="180C163F">
      <w:pPr>
        <w:spacing w:line="360" w:lineRule="auto"/>
        <w:jc w:val="center"/>
        <w:rPr>
          <w:rFonts w:hint="eastAsia" w:ascii="宋体" w:hAnsi="宋体" w:cs="宋体"/>
          <w:b/>
          <w:color w:val="auto"/>
          <w:sz w:val="36"/>
          <w:szCs w:val="20"/>
          <w:highlight w:val="none"/>
        </w:rPr>
      </w:pPr>
    </w:p>
    <w:p w14:paraId="5EAB3FD6">
      <w:pPr>
        <w:spacing w:line="360" w:lineRule="auto"/>
        <w:jc w:val="center"/>
        <w:rPr>
          <w:rFonts w:hint="eastAsia" w:ascii="宋体" w:hAnsi="宋体" w:cs="宋体"/>
          <w:b/>
          <w:color w:val="auto"/>
          <w:sz w:val="36"/>
          <w:szCs w:val="20"/>
          <w:highlight w:val="none"/>
        </w:rPr>
      </w:pPr>
    </w:p>
    <w:p w14:paraId="18C8D331">
      <w:pPr>
        <w:spacing w:line="360" w:lineRule="auto"/>
        <w:jc w:val="center"/>
        <w:rPr>
          <w:rFonts w:hint="eastAsia" w:ascii="宋体" w:hAnsi="宋体" w:cs="宋体"/>
          <w:b/>
          <w:color w:val="auto"/>
          <w:sz w:val="36"/>
          <w:szCs w:val="20"/>
          <w:highlight w:val="none"/>
        </w:rPr>
      </w:pPr>
    </w:p>
    <w:p w14:paraId="69A75E4A">
      <w:pPr>
        <w:spacing w:line="360" w:lineRule="auto"/>
        <w:jc w:val="center"/>
        <w:rPr>
          <w:rFonts w:hint="eastAsia" w:ascii="宋体" w:hAnsi="宋体" w:cs="宋体"/>
          <w:b/>
          <w:color w:val="auto"/>
          <w:sz w:val="36"/>
          <w:szCs w:val="20"/>
          <w:highlight w:val="none"/>
        </w:rPr>
      </w:pPr>
    </w:p>
    <w:p w14:paraId="223C10B5">
      <w:pPr>
        <w:spacing w:line="360" w:lineRule="auto"/>
        <w:jc w:val="center"/>
        <w:rPr>
          <w:rFonts w:hint="eastAsia" w:ascii="宋体" w:hAnsi="宋体" w:cs="宋体"/>
          <w:b/>
          <w:color w:val="auto"/>
          <w:sz w:val="36"/>
          <w:szCs w:val="20"/>
          <w:highlight w:val="none"/>
        </w:rPr>
      </w:pPr>
    </w:p>
    <w:p w14:paraId="55A33F94">
      <w:pPr>
        <w:spacing w:line="360" w:lineRule="auto"/>
        <w:jc w:val="center"/>
        <w:rPr>
          <w:rFonts w:hint="eastAsia" w:ascii="宋体" w:hAnsi="宋体" w:cs="宋体"/>
          <w:b/>
          <w:color w:val="auto"/>
          <w:sz w:val="36"/>
          <w:szCs w:val="20"/>
          <w:highlight w:val="none"/>
        </w:rPr>
      </w:pPr>
    </w:p>
    <w:p w14:paraId="259EBA7B">
      <w:pPr>
        <w:spacing w:line="360" w:lineRule="auto"/>
        <w:jc w:val="center"/>
        <w:rPr>
          <w:rFonts w:hint="eastAsia" w:ascii="宋体" w:hAnsi="宋体" w:cs="宋体"/>
          <w:b/>
          <w:color w:val="auto"/>
          <w:sz w:val="36"/>
          <w:szCs w:val="20"/>
          <w:highlight w:val="none"/>
        </w:rPr>
      </w:pPr>
    </w:p>
    <w:p w14:paraId="0E67025B">
      <w:pPr>
        <w:spacing w:line="360" w:lineRule="auto"/>
        <w:jc w:val="center"/>
        <w:rPr>
          <w:rFonts w:hint="eastAsia" w:ascii="宋体" w:hAnsi="宋体" w:cs="宋体"/>
          <w:b/>
          <w:color w:val="auto"/>
          <w:sz w:val="36"/>
          <w:szCs w:val="20"/>
          <w:highlight w:val="none"/>
        </w:rPr>
      </w:pPr>
    </w:p>
    <w:p w14:paraId="7B993C3C">
      <w:pPr>
        <w:spacing w:line="360" w:lineRule="auto"/>
        <w:jc w:val="center"/>
        <w:rPr>
          <w:rFonts w:hint="eastAsia" w:ascii="宋体" w:hAnsi="宋体" w:cs="宋体"/>
          <w:b/>
          <w:color w:val="auto"/>
          <w:sz w:val="36"/>
          <w:szCs w:val="20"/>
          <w:highlight w:val="none"/>
        </w:rPr>
      </w:pPr>
    </w:p>
    <w:p w14:paraId="6FCBAA8B">
      <w:pPr>
        <w:spacing w:line="360" w:lineRule="auto"/>
        <w:jc w:val="center"/>
        <w:rPr>
          <w:rFonts w:hint="eastAsia" w:ascii="宋体" w:hAnsi="宋体" w:cs="宋体"/>
          <w:b/>
          <w:bCs/>
          <w:color w:val="auto"/>
          <w:sz w:val="72"/>
          <w:szCs w:val="32"/>
          <w:highlight w:val="none"/>
          <w:lang w:eastAsia="zh-CN"/>
        </w:rPr>
      </w:pPr>
      <w:r>
        <w:rPr>
          <w:rFonts w:hint="eastAsia" w:ascii="宋体" w:hAnsi="宋体" w:cs="宋体"/>
          <w:b/>
          <w:color w:val="auto"/>
          <w:sz w:val="36"/>
          <w:szCs w:val="20"/>
          <w:highlight w:val="none"/>
        </w:rPr>
        <w:t>第三章  合同条款</w:t>
      </w:r>
    </w:p>
    <w:p w14:paraId="15CCF8B4">
      <w:pPr>
        <w:spacing w:line="360" w:lineRule="auto"/>
        <w:jc w:val="center"/>
        <w:rPr>
          <w:rFonts w:hint="eastAsia" w:ascii="宋体" w:hAnsi="宋体" w:cs="宋体"/>
          <w:b/>
          <w:bCs/>
          <w:color w:val="auto"/>
          <w:sz w:val="72"/>
          <w:szCs w:val="32"/>
          <w:highlight w:val="none"/>
          <w:lang w:eastAsia="zh-CN"/>
        </w:rPr>
      </w:pPr>
      <w:r>
        <w:rPr>
          <w:rFonts w:hint="eastAsia" w:ascii="宋体" w:hAnsi="宋体" w:cs="宋体"/>
          <w:b/>
          <w:bCs/>
          <w:color w:val="auto"/>
          <w:sz w:val="72"/>
          <w:szCs w:val="32"/>
          <w:highlight w:val="none"/>
          <w:lang w:eastAsia="zh-CN"/>
        </w:rPr>
        <w:t>江苏省无锡交通</w:t>
      </w:r>
    </w:p>
    <w:p w14:paraId="7950EDEF">
      <w:pPr>
        <w:spacing w:line="360" w:lineRule="auto"/>
        <w:jc w:val="center"/>
        <w:rPr>
          <w:rFonts w:hint="eastAsia" w:ascii="宋体" w:hAnsi="宋体" w:eastAsia="宋体" w:cs="宋体"/>
          <w:b/>
          <w:bCs/>
          <w:color w:val="auto"/>
          <w:sz w:val="72"/>
          <w:szCs w:val="32"/>
          <w:highlight w:val="none"/>
          <w:lang w:eastAsia="zh-CN"/>
        </w:rPr>
      </w:pPr>
      <w:r>
        <w:rPr>
          <w:rFonts w:hint="eastAsia" w:ascii="宋体" w:hAnsi="宋体" w:cs="宋体"/>
          <w:b/>
          <w:bCs/>
          <w:color w:val="auto"/>
          <w:sz w:val="72"/>
          <w:szCs w:val="32"/>
          <w:highlight w:val="none"/>
          <w:lang w:eastAsia="zh-CN"/>
        </w:rPr>
        <w:t>高等职业技术学校</w:t>
      </w:r>
    </w:p>
    <w:p w14:paraId="45AA86D0">
      <w:pPr>
        <w:spacing w:line="360" w:lineRule="auto"/>
        <w:jc w:val="center"/>
        <w:rPr>
          <w:rFonts w:hint="eastAsia" w:ascii="宋体" w:hAnsi="宋体" w:cs="宋体"/>
          <w:b/>
          <w:bCs/>
          <w:color w:val="auto"/>
          <w:sz w:val="72"/>
          <w:szCs w:val="32"/>
          <w:highlight w:val="none"/>
        </w:rPr>
      </w:pPr>
      <w:r>
        <w:rPr>
          <w:rFonts w:hint="eastAsia" w:ascii="宋体" w:hAnsi="宋体" w:cs="宋体"/>
          <w:b/>
          <w:bCs/>
          <w:color w:val="auto"/>
          <w:sz w:val="72"/>
          <w:szCs w:val="32"/>
          <w:highlight w:val="none"/>
        </w:rPr>
        <w:t>采购合同</w:t>
      </w:r>
    </w:p>
    <w:p w14:paraId="55AE7576">
      <w:pPr>
        <w:spacing w:line="360" w:lineRule="auto"/>
        <w:jc w:val="center"/>
        <w:rPr>
          <w:rFonts w:hint="eastAsia" w:ascii="宋体" w:hAnsi="宋体" w:cs="宋体"/>
          <w:b/>
          <w:bCs/>
          <w:color w:val="auto"/>
          <w:sz w:val="32"/>
          <w:szCs w:val="32"/>
          <w:highlight w:val="none"/>
        </w:rPr>
      </w:pPr>
    </w:p>
    <w:p w14:paraId="653EE2A4">
      <w:pPr>
        <w:spacing w:line="360" w:lineRule="auto"/>
        <w:jc w:val="center"/>
        <w:rPr>
          <w:rFonts w:hint="eastAsia" w:ascii="宋体" w:hAnsi="宋体" w:cs="宋体"/>
          <w:b/>
          <w:bCs/>
          <w:color w:val="auto"/>
          <w:sz w:val="32"/>
          <w:szCs w:val="32"/>
          <w:highlight w:val="none"/>
        </w:rPr>
      </w:pPr>
    </w:p>
    <w:p w14:paraId="157A281D">
      <w:pPr>
        <w:spacing w:line="360" w:lineRule="auto"/>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cs="宋体"/>
          <w:b/>
          <w:bCs/>
          <w:color w:val="auto"/>
          <w:sz w:val="32"/>
          <w:szCs w:val="32"/>
          <w:highlight w:val="none"/>
          <w:lang w:eastAsia="zh-CN"/>
        </w:rPr>
        <w:t>机器人智能焊接实训中心</w:t>
      </w:r>
    </w:p>
    <w:p w14:paraId="1F5D2E20">
      <w:pPr>
        <w:spacing w:line="360" w:lineRule="auto"/>
        <w:jc w:val="center"/>
        <w:rPr>
          <w:rFonts w:hint="eastAsia" w:ascii="宋体" w:hAnsi="宋体" w:cs="宋体"/>
          <w:b/>
          <w:bCs/>
          <w:color w:val="auto"/>
          <w:sz w:val="32"/>
          <w:szCs w:val="32"/>
          <w:highlight w:val="none"/>
        </w:rPr>
      </w:pPr>
    </w:p>
    <w:p w14:paraId="30C5AC3D">
      <w:pPr>
        <w:spacing w:line="360" w:lineRule="auto"/>
        <w:jc w:val="both"/>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eastAsia="zh-CN"/>
        </w:rPr>
        <w:t>JSZC-320000</w:t>
      </w:r>
      <w:r>
        <w:rPr>
          <w:rFonts w:hint="eastAsia" w:ascii="宋体" w:hAnsi="宋体" w:cs="宋体"/>
          <w:b/>
          <w:bCs/>
          <w:color w:val="auto"/>
          <w:sz w:val="32"/>
          <w:szCs w:val="32"/>
          <w:highlight w:val="none"/>
          <w:lang w:val="en-US" w:eastAsia="zh-CN"/>
        </w:rPr>
        <w:t>-BJZC-G2026-0001</w:t>
      </w:r>
    </w:p>
    <w:p w14:paraId="380BF0E0">
      <w:pPr>
        <w:spacing w:line="360" w:lineRule="auto"/>
        <w:jc w:val="center"/>
        <w:rPr>
          <w:rFonts w:hint="eastAsia" w:ascii="宋体" w:hAnsi="宋体" w:cs="宋体"/>
          <w:b/>
          <w:bCs/>
          <w:color w:val="auto"/>
          <w:sz w:val="32"/>
          <w:szCs w:val="32"/>
          <w:highlight w:val="none"/>
        </w:rPr>
      </w:pPr>
    </w:p>
    <w:p w14:paraId="01B8BB5F">
      <w:pPr>
        <w:spacing w:line="360" w:lineRule="auto"/>
        <w:jc w:val="both"/>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采购单位：</w:t>
      </w:r>
      <w:r>
        <w:rPr>
          <w:rFonts w:hint="eastAsia" w:ascii="宋体" w:hAnsi="宋体" w:cs="宋体"/>
          <w:b/>
          <w:bCs/>
          <w:color w:val="auto"/>
          <w:sz w:val="32"/>
          <w:szCs w:val="32"/>
          <w:highlight w:val="none"/>
          <w:lang w:eastAsia="zh-CN"/>
        </w:rPr>
        <w:t>江苏省无锡交通高等职业技术学校</w:t>
      </w:r>
    </w:p>
    <w:p w14:paraId="4DA7EA7E">
      <w:pPr>
        <w:spacing w:line="360" w:lineRule="auto"/>
        <w:ind w:firstLine="2249"/>
        <w:rPr>
          <w:rFonts w:hint="eastAsia" w:ascii="宋体" w:hAnsi="宋体" w:cs="宋体"/>
          <w:b/>
          <w:bCs/>
          <w:color w:val="auto"/>
          <w:sz w:val="32"/>
          <w:szCs w:val="32"/>
          <w:highlight w:val="none"/>
        </w:rPr>
      </w:pPr>
    </w:p>
    <w:p w14:paraId="344B9030">
      <w:pPr>
        <w:spacing w:line="360" w:lineRule="auto"/>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供应商： </w:t>
      </w:r>
    </w:p>
    <w:p w14:paraId="0CFCA148">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二〇二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月</w:t>
      </w:r>
    </w:p>
    <w:p w14:paraId="36B22AAC">
      <w:pPr>
        <w:spacing w:line="360" w:lineRule="auto"/>
        <w:jc w:val="center"/>
        <w:rPr>
          <w:rFonts w:hint="eastAsia" w:ascii="宋体" w:hAnsi="宋体" w:cs="宋体"/>
          <w:b/>
          <w:bCs/>
          <w:color w:val="auto"/>
          <w:sz w:val="32"/>
          <w:szCs w:val="32"/>
          <w:highlight w:val="none"/>
        </w:rPr>
      </w:pPr>
    </w:p>
    <w:p w14:paraId="64EC9C1B">
      <w:pPr>
        <w:spacing w:line="360" w:lineRule="auto"/>
        <w:jc w:val="center"/>
        <w:rPr>
          <w:rFonts w:hint="eastAsia" w:ascii="宋体" w:hAnsi="宋体" w:cs="宋体"/>
          <w:b/>
          <w:bCs/>
          <w:color w:val="auto"/>
          <w:sz w:val="32"/>
          <w:szCs w:val="32"/>
          <w:highlight w:val="none"/>
        </w:rPr>
      </w:pPr>
      <w:bookmarkStart w:id="100" w:name="_Hlk177037596"/>
    </w:p>
    <w:p w14:paraId="72B12047">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合  同</w:t>
      </w:r>
    </w:p>
    <w:p w14:paraId="41B27A64">
      <w:pPr>
        <w:spacing w:line="460" w:lineRule="exact"/>
        <w:ind w:firstLine="472"/>
        <w:rPr>
          <w:rFonts w:hint="eastAsia" w:ascii="宋体" w:hAnsi="宋体" w:cs="宋体"/>
          <w:color w:val="auto"/>
          <w:sz w:val="24"/>
          <w:highlight w:val="none"/>
        </w:rPr>
      </w:pPr>
      <w:r>
        <w:rPr>
          <w:rFonts w:hint="eastAsia" w:ascii="宋体" w:hAnsi="宋体" w:cs="宋体"/>
          <w:b/>
          <w:color w:val="auto"/>
          <w:sz w:val="24"/>
          <w:highlight w:val="none"/>
          <w:u w:val="single"/>
          <w:lang w:eastAsia="zh-CN"/>
        </w:rPr>
        <w:t>江苏省无锡交通高等职业技术学校</w:t>
      </w:r>
      <w:r>
        <w:rPr>
          <w:rFonts w:hint="eastAsia" w:ascii="宋体" w:hAnsi="宋体" w:cs="宋体"/>
          <w:color w:val="auto"/>
          <w:sz w:val="24"/>
          <w:highlight w:val="none"/>
        </w:rPr>
        <w:t>（采购人，以下简称“甲方”）和</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（供应商，以下简称“乙方”）同意按下述条款和条件签订本合同（以下简称“合同”）：</w:t>
      </w:r>
    </w:p>
    <w:p w14:paraId="48AEA65D">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bookmarkStart w:id="101" w:name="_Toc22000633"/>
      <w:r>
        <w:rPr>
          <w:rFonts w:hint="eastAsia" w:ascii="宋体" w:hAnsi="宋体" w:cs="宋体"/>
          <w:color w:val="auto"/>
          <w:sz w:val="24"/>
          <w:highlight w:val="none"/>
        </w:rPr>
        <w:t>1.合同文件</w:t>
      </w:r>
      <w:bookmarkEnd w:id="101"/>
    </w:p>
    <w:p w14:paraId="14B2178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下列关于</w:t>
      </w:r>
      <w:r>
        <w:rPr>
          <w:rFonts w:hint="eastAsia" w:ascii="宋体" w:hAnsi="宋体" w:cs="宋体"/>
          <w:b/>
          <w:color w:val="auto"/>
          <w:sz w:val="24"/>
          <w:highlight w:val="none"/>
          <w:u w:val="single"/>
          <w:lang w:eastAsia="zh-CN"/>
        </w:rPr>
        <w:t>机器人智能焊接实训中心</w:t>
      </w:r>
      <w:r>
        <w:rPr>
          <w:rFonts w:hint="eastAsia" w:ascii="宋体" w:hAnsi="宋体" w:cs="宋体"/>
          <w:color w:val="auto"/>
          <w:sz w:val="24"/>
          <w:highlight w:val="none"/>
        </w:rPr>
        <w:t>（项目名称的采购文件、乙方提交的响应文件，以及与本采购活动相关的文件是构成本合同不可分割的部分，与本合同具有同等法律效力，这些文件包括但不限于：</w:t>
      </w:r>
    </w:p>
    <w:p w14:paraId="3592BB8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（1）合同条款；</w:t>
      </w:r>
    </w:p>
    <w:p w14:paraId="2140547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（2）投标函；</w:t>
      </w:r>
    </w:p>
    <w:p w14:paraId="01898ED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（3）乙方提交的投标文件和报价表；</w:t>
      </w:r>
    </w:p>
    <w:p w14:paraId="7805680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（4）中标通知书；</w:t>
      </w:r>
    </w:p>
    <w:p w14:paraId="4FD0DFA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（5）甲方、乙方商定的其他必要文件。</w:t>
      </w:r>
    </w:p>
    <w:p w14:paraId="43131BA5">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bookmarkStart w:id="102" w:name="_Toc22000634"/>
      <w:r>
        <w:rPr>
          <w:rFonts w:hint="eastAsia" w:ascii="宋体" w:hAnsi="宋体" w:cs="宋体"/>
          <w:color w:val="auto"/>
          <w:sz w:val="24"/>
          <w:highlight w:val="none"/>
        </w:rPr>
        <w:t>2.合同范围和条件</w:t>
      </w:r>
      <w:bookmarkEnd w:id="102"/>
    </w:p>
    <w:p w14:paraId="4688F8A8">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本合同的范围和条件应与上述合同文件的规定相一致。</w:t>
      </w:r>
    </w:p>
    <w:p w14:paraId="76D160D8">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bookmarkStart w:id="103" w:name="_Toc22000635"/>
      <w:r>
        <w:rPr>
          <w:rFonts w:hint="eastAsia" w:ascii="宋体" w:hAnsi="宋体" w:cs="宋体"/>
          <w:color w:val="auto"/>
          <w:sz w:val="24"/>
          <w:highlight w:val="none"/>
        </w:rPr>
        <w:t>3</w:t>
      </w:r>
      <w:bookmarkEnd w:id="103"/>
      <w:r>
        <w:rPr>
          <w:rFonts w:hint="eastAsia" w:ascii="宋体" w:hAnsi="宋体" w:cs="宋体"/>
          <w:color w:val="auto"/>
          <w:sz w:val="24"/>
          <w:highlight w:val="none"/>
        </w:rPr>
        <w:t>.货物及数量</w:t>
      </w:r>
    </w:p>
    <w:p w14:paraId="4F425692">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本合同所提供的货物及数量详见“明细报价表”（</w:t>
      </w:r>
      <w:r>
        <w:rPr>
          <w:rFonts w:hint="eastAsia" w:ascii="宋体" w:hAnsi="宋体" w:cs="宋体"/>
          <w:bCs/>
          <w:color w:val="auto"/>
          <w:sz w:val="24"/>
          <w:highlight w:val="none"/>
        </w:rPr>
        <w:t>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cs="宋体"/>
          <w:color w:val="auto"/>
          <w:sz w:val="24"/>
          <w:highlight w:val="none"/>
        </w:rPr>
        <w:t>。</w:t>
      </w:r>
    </w:p>
    <w:p w14:paraId="40486954">
      <w:pPr>
        <w:spacing w:line="460" w:lineRule="exact"/>
        <w:ind w:firstLine="480"/>
        <w:rPr>
          <w:rFonts w:hint="eastAsia" w:ascii="宋体" w:hAnsi="宋体" w:cs="宋体"/>
          <w:b/>
          <w:color w:val="auto"/>
          <w:sz w:val="24"/>
          <w:highlight w:val="none"/>
          <w:u w:val="single"/>
        </w:rPr>
      </w:pPr>
      <w:r>
        <w:rPr>
          <w:rFonts w:hint="eastAsia" w:ascii="宋体" w:hAnsi="宋体" w:cs="宋体"/>
          <w:color w:val="auto"/>
          <w:sz w:val="24"/>
          <w:highlight w:val="none"/>
        </w:rPr>
        <w:t xml:space="preserve"> </w:t>
      </w:r>
      <w:bookmarkStart w:id="104" w:name="_Toc22000636"/>
      <w:r>
        <w:rPr>
          <w:rFonts w:hint="eastAsia" w:ascii="宋体" w:hAnsi="宋体" w:cs="宋体"/>
          <w:color w:val="auto"/>
          <w:sz w:val="24"/>
          <w:highlight w:val="none"/>
        </w:rPr>
        <w:t>4.</w:t>
      </w:r>
      <w:bookmarkEnd w:id="104"/>
      <w:bookmarkStart w:id="105" w:name="_Toc22000638"/>
      <w:r>
        <w:rPr>
          <w:rFonts w:hint="eastAsia" w:ascii="宋体" w:hAnsi="宋体" w:cs="宋体"/>
          <w:bCs/>
          <w:color w:val="auto"/>
          <w:sz w:val="24"/>
          <w:highlight w:val="none"/>
        </w:rPr>
        <w:t>合同金额及付款方式</w:t>
      </w:r>
    </w:p>
    <w:p w14:paraId="5F60B5B0">
      <w:pPr>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4.1合同金额</w:t>
      </w:r>
    </w:p>
    <w:p w14:paraId="44A4036C">
      <w:pPr>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根据上述合同文件要求，合同总金额（大写）为人民币   元整，¥ 元（项目增加费用不得超过原合同金额的10%，同时双方必须签订补充合同），合同金额为固定价款，包含且不限于税费、运输费、安装费等费用，分项价格在乙方提交的报价表中有明确规定。若乙方在甲方未签字同意的情况下，单方增加的费用，甲方不予承担。</w:t>
      </w:r>
    </w:p>
    <w:p w14:paraId="32CE16BD">
      <w:pPr>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4.2本合同以人民币付款</w:t>
      </w:r>
    </w:p>
    <w:p w14:paraId="2FA6560F">
      <w:pPr>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4.3付款方式：</w:t>
      </w:r>
    </w:p>
    <w:p w14:paraId="618A3836">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4.3.</w:t>
      </w:r>
      <w:r>
        <w:rPr>
          <w:rFonts w:hint="eastAsia" w:ascii="宋体" w:hAnsi="宋体" w:cs="宋体"/>
          <w:color w:val="auto"/>
          <w:sz w:val="24"/>
          <w:highlight w:val="none"/>
          <w:lang w:eastAsia="zh-CN"/>
        </w:rPr>
        <w:t>1</w:t>
      </w:r>
      <w:r>
        <w:rPr>
          <w:rFonts w:hint="eastAsia" w:ascii="宋体" w:hAnsi="宋体" w:cs="宋体"/>
          <w:color w:val="auto"/>
          <w:sz w:val="24"/>
          <w:highlight w:val="none"/>
        </w:rPr>
        <w:t xml:space="preserve"> 合同签订后十五个工作日内采购人向中标人支付合同总金额的</w:t>
      </w:r>
      <w:r>
        <w:rPr>
          <w:rFonts w:hint="eastAsia" w:ascii="宋体" w:hAnsi="宋体" w:cs="宋体"/>
          <w:color w:val="auto"/>
          <w:sz w:val="24"/>
          <w:highlight w:val="none"/>
          <w:lang w:eastAsia="zh-CN"/>
        </w:rPr>
        <w:t>3</w:t>
      </w:r>
      <w:r>
        <w:rPr>
          <w:rFonts w:hint="eastAsia" w:ascii="宋体" w:hAnsi="宋体" w:cs="宋体"/>
          <w:color w:val="auto"/>
          <w:sz w:val="24"/>
          <w:highlight w:val="none"/>
        </w:rPr>
        <w:t>0％预付款。</w:t>
      </w:r>
    </w:p>
    <w:p w14:paraId="6A2FBB8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4.3.</w:t>
      </w: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中标人在合同签订90日历天内完成供货安装调试，并完成校内师资首次培训、三大功能区布局落地、设备多场景适配测试，经项目整体验收合格后，十五个工作日内支付至合同总金额的70%；剩余的30%作为质保金，分两次付清：</w:t>
      </w:r>
    </w:p>
    <w:p w14:paraId="733D525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验收合格一年后，确认设备正常支撑校内教学、大赛备赛、至少1次社会培训开展，无质量问题支付剩余的25%；</w:t>
      </w:r>
    </w:p>
    <w:p w14:paraId="57352D4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验收合格三年后无质量问题，且软件持续升级、培训服务按承诺落地，支付剩余5%。</w:t>
      </w:r>
    </w:p>
    <w:p w14:paraId="31CE8F3D">
      <w:pPr>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备注：每次付款前，中标人须向招标人开具正式增值税专用发票。</w:t>
      </w:r>
    </w:p>
    <w:p w14:paraId="5EFEEA7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5.交货时间和地点</w:t>
      </w:r>
      <w:bookmarkEnd w:id="105"/>
    </w:p>
    <w:p w14:paraId="713B1FD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本合同货物的交付时间在乙方提交的响应文件中有明确规定。</w:t>
      </w:r>
    </w:p>
    <w:p w14:paraId="75E9A8E6">
      <w:pPr>
        <w:spacing w:line="460" w:lineRule="exact"/>
        <w:ind w:firstLine="480"/>
        <w:rPr>
          <w:rFonts w:hint="eastAsia" w:ascii="宋体" w:hAnsi="宋体" w:cs="宋体"/>
          <w:color w:val="auto"/>
          <w:sz w:val="24"/>
          <w:highlight w:val="none"/>
        </w:rPr>
      </w:pPr>
      <w:bookmarkStart w:id="106" w:name="_Toc22000640"/>
      <w:r>
        <w:rPr>
          <w:rFonts w:hint="eastAsia" w:ascii="宋体" w:hAnsi="宋体" w:cs="宋体"/>
          <w:color w:val="auto"/>
          <w:sz w:val="24"/>
          <w:highlight w:val="none"/>
        </w:rPr>
        <w:t>6. 验收方式</w:t>
      </w:r>
    </w:p>
    <w:p w14:paraId="37A5122E">
      <w:pPr>
        <w:spacing w:line="460" w:lineRule="exact"/>
        <w:ind w:firstLine="480"/>
        <w:rPr>
          <w:rFonts w:hint="eastAsia" w:ascii="宋体" w:hAnsi="宋体" w:cs="宋体"/>
          <w:b/>
          <w:color w:val="auto"/>
          <w:sz w:val="24"/>
          <w:highlight w:val="none"/>
        </w:rPr>
      </w:pPr>
      <w:r>
        <w:rPr>
          <w:rFonts w:hint="eastAsia" w:ascii="宋体" w:hAnsi="宋体" w:cs="宋体"/>
          <w:color w:val="auto"/>
          <w:sz w:val="24"/>
          <w:highlight w:val="none"/>
        </w:rPr>
        <w:t>6.1本项目由采购人自行组织验收。按国家标准、谈判文件、响应文件和采购人及</w:t>
      </w:r>
      <w:r>
        <w:rPr>
          <w:rFonts w:hint="eastAsia" w:ascii="宋体" w:hAnsi="宋体" w:cs="宋体"/>
          <w:bCs/>
          <w:color w:val="auto"/>
          <w:sz w:val="24"/>
          <w:highlight w:val="none"/>
        </w:rPr>
        <w:t>中标</w:t>
      </w:r>
      <w:r>
        <w:rPr>
          <w:rFonts w:hint="eastAsia" w:ascii="宋体" w:hAnsi="宋体" w:cs="宋体"/>
          <w:color w:val="auto"/>
          <w:sz w:val="24"/>
          <w:highlight w:val="none"/>
        </w:rPr>
        <w:t>供应商双方约定标准，合同内未作约束的服务按照现行的适用于该服务的国家和行业最高标准执行，由采购人组织人员按照要求规格、配置、型号和技术标准进行验收。本项目需整体达到验收合格，若仅完成部分内容，不给予验收合格认定。在规定时间内完成服务并经采购人综合验收合格。采购人在综合验收前的开箱验收和对产品部分指标进行的初步验收不是本条所指的综合验收。若</w:t>
      </w:r>
      <w:r>
        <w:rPr>
          <w:rFonts w:hint="eastAsia" w:ascii="宋体" w:hAnsi="宋体" w:cs="宋体"/>
          <w:bCs/>
          <w:color w:val="auto"/>
          <w:sz w:val="24"/>
          <w:highlight w:val="none"/>
        </w:rPr>
        <w:t>中标</w:t>
      </w:r>
      <w:r>
        <w:rPr>
          <w:rFonts w:hint="eastAsia" w:ascii="宋体" w:hAnsi="宋体" w:cs="宋体"/>
          <w:color w:val="auto"/>
          <w:sz w:val="24"/>
          <w:highlight w:val="none"/>
        </w:rPr>
        <w:t>供应商投标书响应情况低于采购文件要求而未被评审专家发现，采购合同签订时仍以采购文件要求为准，验收时按采购文件技术协议要求执行。如中标商品未能通过学院验收，</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有权中止合同。</w:t>
      </w:r>
    </w:p>
    <w:p w14:paraId="2004BE3B">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6.2具体验收步骤：</w:t>
      </w:r>
    </w:p>
    <w:p w14:paraId="7F37743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6.2.1货物到达现场后，供应商应经采购人（使用部门项目负责人）或其指定验收单位清点品名、规格、数量；检查外观，作出开箱验收记录，双方签字确认。</w:t>
      </w:r>
    </w:p>
    <w:p w14:paraId="4D61464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6.2.2供应商应保证货物到达用户所在地完好无损，如有缺漏、损坏，由供应商负责调换、补齐或赔偿。</w:t>
      </w:r>
    </w:p>
    <w:p w14:paraId="1916870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6.2.3供应商应提供完备的技术资料、装箱单和合格证等，并派遣专业技术人员进行现场安装调试。验收合格条件如下：</w:t>
      </w:r>
    </w:p>
    <w:p w14:paraId="7FF7BAA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①设备品种、规格、数量、技术参数以及商品品牌、生产厂家等与采购合同一致，性能指标达到规定的标准。</w:t>
      </w:r>
    </w:p>
    <w:p w14:paraId="633C732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②货物技术资料、装箱单、合格证等资料齐全（用塑料袋密封），上述资料视为产品的组成部分，包装箱完好。</w:t>
      </w:r>
    </w:p>
    <w:p w14:paraId="70F6B85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③在规定时间内完成交货并验收，并经采购人确认。</w:t>
      </w:r>
    </w:p>
    <w:p w14:paraId="72B20B0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④若投标书与</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要求或</w:t>
      </w:r>
      <w:r>
        <w:rPr>
          <w:rFonts w:hint="eastAsia" w:ascii="宋体" w:hAnsi="宋体" w:cs="宋体"/>
          <w:color w:val="auto"/>
          <w:sz w:val="24"/>
          <w:highlight w:val="none"/>
          <w:lang w:eastAsia="zh-CN"/>
        </w:rPr>
        <w:t>其他</w:t>
      </w:r>
      <w:r>
        <w:rPr>
          <w:rFonts w:hint="eastAsia" w:ascii="宋体" w:hAnsi="宋体" w:cs="宋体"/>
          <w:color w:val="auto"/>
          <w:sz w:val="24"/>
          <w:highlight w:val="none"/>
        </w:rPr>
        <w:t>内容不一致而未被评标专家发现，采购合同签订时仍以</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要求为准，验收时按采购合同及技术协议要求执行。</w:t>
      </w:r>
    </w:p>
    <w:p w14:paraId="47042AFC">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6.2.4供应商提供的货物未达到</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规定要求，且对采购人造成损失的，由供应商承担一切责任，并赔偿所造成的损失。</w:t>
      </w:r>
    </w:p>
    <w:p w14:paraId="0981AD65">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6.2.5采购人可邀请国家认可的质量检测机构参加验收工作，验收检测费用全部由中标供应商支付。</w:t>
      </w:r>
    </w:p>
    <w:p w14:paraId="79E8701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6.2.6采购人需要厂家对中标供应商交付的产品（包括质量、技术参数等）进行确认的，厂家应予以配合，并出具书面意见。</w:t>
      </w:r>
    </w:p>
    <w:p w14:paraId="2AB84805">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7.合同生效及其</w:t>
      </w:r>
      <w:r>
        <w:rPr>
          <w:rFonts w:hint="eastAsia" w:ascii="宋体" w:hAnsi="宋体" w:cs="宋体"/>
          <w:color w:val="auto"/>
          <w:sz w:val="24"/>
          <w:highlight w:val="none"/>
          <w:lang w:eastAsia="zh-CN"/>
        </w:rPr>
        <w:t>他</w:t>
      </w:r>
      <w:bookmarkEnd w:id="106"/>
    </w:p>
    <w:p w14:paraId="0B7BA8D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本合同经甲方、乙方签章</w:t>
      </w:r>
      <w:r>
        <w:rPr>
          <w:rFonts w:hint="eastAsia" w:ascii="宋体" w:hAnsi="宋体" w:cs="宋体"/>
          <w:color w:val="auto"/>
          <w:sz w:val="24"/>
          <w:highlight w:val="none"/>
          <w:lang w:val="en-US" w:eastAsia="zh-CN"/>
        </w:rPr>
        <w:t>并经见证</w:t>
      </w:r>
      <w:r>
        <w:rPr>
          <w:rFonts w:hint="eastAsia" w:ascii="宋体" w:hAnsi="宋体" w:cs="宋体"/>
          <w:color w:val="auto"/>
          <w:sz w:val="24"/>
          <w:highlight w:val="none"/>
        </w:rPr>
        <w:t>后生效。</w:t>
      </w:r>
    </w:p>
    <w:p w14:paraId="52D80F6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8.违约责任</w:t>
      </w:r>
    </w:p>
    <w:p w14:paraId="5BA1286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甲乙双方应严格履约，如违约，由违约方承付本合同标的总价20﹪的违约金给受损方，并赔偿受损方由此造成的一切经济损失。</w:t>
      </w:r>
    </w:p>
    <w:p w14:paraId="425191B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9.纠纷解决办法</w:t>
      </w:r>
    </w:p>
    <w:p w14:paraId="783D332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在执行本合同中所发生的或与本合同有关的一切争端，甲方和乙方应通过友好协商的办法进行解决。如协商仍不能解决，则通过由甲方所在地人民法院诉讼。</w:t>
      </w:r>
    </w:p>
    <w:p w14:paraId="7235B583">
      <w:pPr>
        <w:spacing w:line="460" w:lineRule="exact"/>
        <w:ind w:firstLine="48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本合同</w:t>
      </w:r>
      <w:r>
        <w:rPr>
          <w:rFonts w:hint="eastAsia" w:ascii="宋体" w:hAnsi="宋体" w:eastAsia="宋体" w:cs="宋体"/>
          <w:color w:val="auto"/>
          <w:sz w:val="24"/>
          <w:highlight w:val="none"/>
        </w:rPr>
        <w:t>一式</w:t>
      </w:r>
      <w:r>
        <w:rPr>
          <w:rFonts w:hint="eastAsia" w:ascii="宋体" w:hAnsi="宋体" w:eastAsia="宋体" w:cs="宋体"/>
          <w:color w:val="auto"/>
          <w:sz w:val="24"/>
          <w:highlight w:val="none"/>
          <w:u w:val="single"/>
          <w:lang w:val="en-US" w:eastAsia="zh-CN"/>
        </w:rPr>
        <w:t>伍</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甲乙</w:t>
      </w:r>
      <w:r>
        <w:rPr>
          <w:rFonts w:hint="eastAsia" w:ascii="宋体" w:hAnsi="宋体" w:eastAsia="宋体" w:cs="宋体"/>
          <w:color w:val="auto"/>
          <w:sz w:val="24"/>
          <w:highlight w:val="none"/>
        </w:rPr>
        <w:t>双方各执</w:t>
      </w:r>
      <w:r>
        <w:rPr>
          <w:rFonts w:hint="eastAsia" w:ascii="宋体" w:hAnsi="宋体" w:eastAsia="宋体" w:cs="宋体"/>
          <w:color w:val="auto"/>
          <w:sz w:val="24"/>
          <w:highlight w:val="none"/>
          <w:u w:val="single"/>
          <w:lang w:eastAsia="zh-CN"/>
        </w:rPr>
        <w:t>贰</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见证单位</w:t>
      </w:r>
      <w:r>
        <w:rPr>
          <w:rFonts w:hint="eastAsia" w:ascii="宋体" w:hAnsi="宋体" w:eastAsia="宋体" w:cs="宋体"/>
          <w:color w:val="auto"/>
          <w:sz w:val="24"/>
          <w:highlight w:val="none"/>
          <w:u w:val="single"/>
          <w:lang w:val="en-US" w:eastAsia="zh-CN"/>
        </w:rPr>
        <w:t>壹</w:t>
      </w:r>
      <w:r>
        <w:rPr>
          <w:rFonts w:hint="eastAsia" w:ascii="宋体" w:hAnsi="宋体" w:eastAsia="宋体" w:cs="宋体"/>
          <w:color w:val="auto"/>
          <w:sz w:val="24"/>
          <w:highlight w:val="none"/>
          <w:lang w:val="en-US" w:eastAsia="zh-CN"/>
        </w:rPr>
        <w:t>份</w:t>
      </w:r>
    </w:p>
    <w:p w14:paraId="00D5256F">
      <w:pPr>
        <w:pStyle w:val="68"/>
        <w:spacing w:line="460" w:lineRule="exact"/>
        <w:rPr>
          <w:rFonts w:hint="eastAsia" w:ascii="宋体" w:hAnsi="宋体" w:cs="宋体"/>
          <w:color w:val="auto"/>
          <w:highlight w:val="none"/>
        </w:rPr>
      </w:pPr>
    </w:p>
    <w:p w14:paraId="1B1F1D79">
      <w:pPr>
        <w:spacing w:line="460" w:lineRule="exact"/>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甲方（单位盖章）：</w:t>
      </w:r>
    </w:p>
    <w:p w14:paraId="45271A1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地    址：                           </w:t>
      </w:r>
    </w:p>
    <w:p w14:paraId="7D01458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联系电话：</w:t>
      </w:r>
    </w:p>
    <w:p w14:paraId="47DF331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代表签字： </w:t>
      </w:r>
    </w:p>
    <w:p w14:paraId="74F006DB">
      <w:pPr>
        <w:spacing w:line="460" w:lineRule="exact"/>
        <w:rPr>
          <w:rFonts w:hint="eastAsia" w:ascii="宋体" w:hAnsi="宋体" w:cs="宋体"/>
          <w:color w:val="auto"/>
          <w:sz w:val="24"/>
          <w:highlight w:val="none"/>
        </w:rPr>
      </w:pPr>
    </w:p>
    <w:p w14:paraId="53F89A2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乙方（单位盖章）：</w:t>
      </w:r>
    </w:p>
    <w:p w14:paraId="1A68839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地    址：                              </w:t>
      </w:r>
    </w:p>
    <w:p w14:paraId="5072E4C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联系电话：</w:t>
      </w:r>
    </w:p>
    <w:p w14:paraId="4002EB5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代表签字：</w:t>
      </w:r>
    </w:p>
    <w:p w14:paraId="4112C942">
      <w:pPr>
        <w:spacing w:line="460" w:lineRule="exact"/>
        <w:ind w:firstLine="480"/>
        <w:rPr>
          <w:rFonts w:hint="eastAsia" w:ascii="宋体" w:hAnsi="宋体" w:cs="宋体"/>
          <w:color w:val="auto"/>
          <w:sz w:val="24"/>
          <w:highlight w:val="none"/>
          <w:lang w:val="en-US" w:eastAsia="zh-CN"/>
        </w:rPr>
      </w:pPr>
    </w:p>
    <w:p w14:paraId="753785BD">
      <w:pPr>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见证单位（盖章）：</w:t>
      </w:r>
    </w:p>
    <w:p w14:paraId="18499AD1">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合同签订日期：    年   月  日</w:t>
      </w:r>
      <w:bookmarkEnd w:id="100"/>
    </w:p>
    <w:p w14:paraId="6ABC9472">
      <w:pPr>
        <w:spacing w:line="360" w:lineRule="auto"/>
        <w:ind w:firstLine="480"/>
        <w:rPr>
          <w:rFonts w:hint="eastAsia" w:ascii="宋体" w:hAnsi="宋体" w:cs="宋体"/>
          <w:color w:val="auto"/>
          <w:sz w:val="24"/>
          <w:szCs w:val="24"/>
          <w:highlight w:val="none"/>
        </w:rPr>
      </w:pPr>
    </w:p>
    <w:p w14:paraId="081CFC94">
      <w:pPr>
        <w:pStyle w:val="498"/>
        <w:jc w:val="center"/>
        <w:rPr>
          <w:rFonts w:hint="eastAsia" w:ascii="宋体" w:hAnsi="宋体" w:cs="宋体"/>
          <w:b/>
          <w:bCs/>
          <w:color w:val="auto"/>
          <w:highlight w:val="none"/>
        </w:rPr>
      </w:pPr>
      <w:bookmarkStart w:id="107" w:name="_Toc237516017"/>
      <w:r>
        <w:rPr>
          <w:rFonts w:hint="eastAsia" w:ascii="宋体" w:hAnsi="宋体" w:cs="宋体"/>
          <w:color w:val="auto"/>
          <w:highlight w:val="none"/>
        </w:rPr>
        <w:br w:type="page" w:clear="all"/>
      </w:r>
      <w:r>
        <w:rPr>
          <w:rFonts w:hint="eastAsia" w:ascii="宋体" w:hAnsi="宋体" w:cs="宋体"/>
          <w:b/>
          <w:bCs/>
          <w:color w:val="auto"/>
          <w:highlight w:val="none"/>
        </w:rPr>
        <w:t xml:space="preserve">第四章  </w:t>
      </w:r>
      <w:bookmarkEnd w:id="107"/>
      <w:r>
        <w:rPr>
          <w:rFonts w:hint="eastAsia" w:ascii="宋体" w:hAnsi="宋体" w:cs="宋体"/>
          <w:b/>
          <w:bCs/>
          <w:color w:val="auto"/>
          <w:highlight w:val="none"/>
        </w:rPr>
        <w:t>项目需求</w:t>
      </w:r>
    </w:p>
    <w:p w14:paraId="7DE5D926">
      <w:pPr>
        <w:pStyle w:val="498"/>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技术参数</w:t>
      </w:r>
      <w:r>
        <w:rPr>
          <w:rFonts w:hint="eastAsia" w:ascii="宋体" w:hAnsi="宋体" w:cs="宋体"/>
          <w:b/>
          <w:bCs/>
          <w:color w:val="auto"/>
          <w:sz w:val="24"/>
          <w:szCs w:val="24"/>
          <w:highlight w:val="none"/>
        </w:rPr>
        <w:t>必须全部满足</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带“▲”</w:t>
      </w:r>
      <w:r>
        <w:rPr>
          <w:rFonts w:hint="eastAsia" w:ascii="宋体" w:hAnsi="宋体" w:cs="宋体"/>
          <w:b/>
          <w:bCs/>
          <w:color w:val="auto"/>
          <w:sz w:val="24"/>
          <w:szCs w:val="24"/>
          <w:highlight w:val="none"/>
          <w:lang w:val="en-US" w:eastAsia="zh-CN"/>
        </w:rPr>
        <w:t>和</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eastAsia="zh-CN"/>
        </w:rPr>
        <w:t>”</w:t>
      </w:r>
      <w:r>
        <w:rPr>
          <w:rFonts w:hint="eastAsia" w:ascii="宋体" w:hAnsi="宋体" w:cs="宋体"/>
          <w:b/>
          <w:bCs/>
          <w:color w:val="auto"/>
          <w:sz w:val="24"/>
          <w:szCs w:val="24"/>
          <w:highlight w:val="none"/>
        </w:rPr>
        <w:t>号标注项</w:t>
      </w:r>
      <w:r>
        <w:rPr>
          <w:rFonts w:hint="eastAsia" w:ascii="宋体" w:hAnsi="宋体" w:cs="宋体"/>
          <w:b/>
          <w:bCs/>
          <w:color w:val="auto"/>
          <w:sz w:val="24"/>
          <w:szCs w:val="24"/>
          <w:highlight w:val="none"/>
          <w:lang w:val="en-US" w:eastAsia="zh-CN"/>
        </w:rPr>
        <w:t>的除外</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，否则投标文件无效</w:t>
      </w:r>
      <w:r>
        <w:rPr>
          <w:rFonts w:hint="eastAsia" w:ascii="宋体" w:hAnsi="宋体" w:cs="宋体"/>
          <w:b/>
          <w:bCs/>
          <w:color w:val="auto"/>
          <w:sz w:val="24"/>
          <w:szCs w:val="24"/>
          <w:highlight w:val="none"/>
          <w:lang w:eastAsia="zh-CN"/>
        </w:rPr>
        <w:t>。</w:t>
      </w:r>
    </w:p>
    <w:p w14:paraId="1CE1098D">
      <w:pPr>
        <w:pStyle w:val="498"/>
        <w:rPr>
          <w:rFonts w:hint="eastAsia" w:ascii="宋体" w:hAnsi="宋体" w:cs="宋体"/>
          <w:color w:val="auto"/>
          <w:sz w:val="24"/>
          <w:szCs w:val="24"/>
          <w:highlight w:val="none"/>
        </w:rPr>
      </w:pPr>
      <w:r>
        <w:rPr>
          <w:rFonts w:hint="eastAsia" w:ascii="宋体" w:hAnsi="宋体" w:cs="宋体"/>
          <w:color w:val="auto"/>
          <w:sz w:val="24"/>
          <w:szCs w:val="24"/>
          <w:highlight w:val="none"/>
        </w:rPr>
        <w:t>核心产品：</w:t>
      </w:r>
    </w:p>
    <w:tbl>
      <w:tblPr>
        <w:tblStyle w:val="32"/>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6"/>
        <w:gridCol w:w="3998"/>
        <w:gridCol w:w="4519"/>
      </w:tblGrid>
      <w:tr w14:paraId="7972D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blHeader/>
          <w:jc w:val="center"/>
        </w:trPr>
        <w:tc>
          <w:tcPr>
            <w:tcW w:w="936" w:type="dxa"/>
            <w:noWrap/>
            <w:vAlign w:val="center"/>
          </w:tcPr>
          <w:p w14:paraId="44BFEFAA">
            <w:pPr>
              <w:widowControl/>
              <w:spacing w:line="288"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3998" w:type="dxa"/>
            <w:noWrap/>
            <w:vAlign w:val="center"/>
          </w:tcPr>
          <w:p w14:paraId="7A08F477">
            <w:pPr>
              <w:widowControl/>
              <w:spacing w:line="288"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实训室名称</w:t>
            </w:r>
          </w:p>
        </w:tc>
        <w:tc>
          <w:tcPr>
            <w:tcW w:w="4519" w:type="dxa"/>
            <w:noWrap/>
            <w:vAlign w:val="center"/>
          </w:tcPr>
          <w:p w14:paraId="4B6CBEB4">
            <w:pPr>
              <w:widowControl/>
              <w:spacing w:line="288" w:lineRule="auto"/>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核心产品</w:t>
            </w:r>
          </w:p>
        </w:tc>
      </w:tr>
      <w:tr w14:paraId="17D5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3" w:hRule="exact"/>
          <w:jc w:val="center"/>
        </w:trPr>
        <w:tc>
          <w:tcPr>
            <w:tcW w:w="936" w:type="dxa"/>
            <w:noWrap/>
            <w:vAlign w:val="center"/>
          </w:tcPr>
          <w:p w14:paraId="42BD757D">
            <w:pPr>
              <w:spacing w:line="288"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998" w:type="dxa"/>
            <w:noWrap w:val="0"/>
            <w:vAlign w:val="center"/>
          </w:tcPr>
          <w:p w14:paraId="05481BF1">
            <w:pPr>
              <w:widowControl/>
              <w:spacing w:line="288"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机器人智能焊接实训中心</w:t>
            </w:r>
          </w:p>
        </w:tc>
        <w:tc>
          <w:tcPr>
            <w:tcW w:w="4519" w:type="dxa"/>
            <w:noWrap/>
            <w:vAlign w:val="center"/>
          </w:tcPr>
          <w:p w14:paraId="4C3584A4">
            <w:pPr>
              <w:widowControl/>
              <w:spacing w:line="264" w:lineRule="auto"/>
              <w:jc w:val="center"/>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0"/>
                <w:szCs w:val="20"/>
                <w:highlight w:val="none"/>
              </w:rPr>
              <w:t>产教融合型机器人焊接培训站</w:t>
            </w:r>
          </w:p>
        </w:tc>
      </w:tr>
    </w:tbl>
    <w:p w14:paraId="75CB78BA">
      <w:pPr>
        <w:numPr>
          <w:ilvl w:val="0"/>
          <w:numId w:val="5"/>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采购清单</w:t>
      </w:r>
    </w:p>
    <w:tbl>
      <w:tblPr>
        <w:tblStyle w:val="33"/>
        <w:tblW w:w="7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375"/>
        <w:gridCol w:w="4862"/>
        <w:gridCol w:w="863"/>
        <w:gridCol w:w="887"/>
      </w:tblGrid>
      <w:tr w14:paraId="4E66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06432994">
            <w:pPr>
              <w:spacing w:after="0" w:line="240" w:lineRule="auto"/>
              <w:jc w:val="center"/>
              <w:rPr>
                <w:rFonts w:ascii="Times New Roman" w:hAnsi="Times New Roman" w:eastAsia="宋体" w:cs="Times New Roman"/>
                <w:b/>
                <w:bCs/>
                <w:color w:val="auto"/>
                <w:sz w:val="20"/>
                <w:szCs w:val="20"/>
                <w:highlight w:val="none"/>
              </w:rPr>
            </w:pPr>
            <w:r>
              <w:rPr>
                <w:rFonts w:ascii="Times New Roman" w:hAnsi="Times New Roman" w:eastAsia="宋体" w:cs="Times New Roman"/>
                <w:b/>
                <w:bCs/>
                <w:color w:val="auto"/>
                <w:sz w:val="20"/>
                <w:szCs w:val="20"/>
                <w:highlight w:val="none"/>
              </w:rPr>
              <w:t>序号</w:t>
            </w:r>
          </w:p>
        </w:tc>
        <w:tc>
          <w:tcPr>
            <w:tcW w:w="4862" w:type="dxa"/>
            <w:vAlign w:val="center"/>
          </w:tcPr>
          <w:p w14:paraId="2856A526">
            <w:pPr>
              <w:spacing w:after="0" w:line="240" w:lineRule="auto"/>
              <w:jc w:val="center"/>
              <w:rPr>
                <w:rFonts w:ascii="Times New Roman" w:hAnsi="Times New Roman" w:eastAsia="宋体" w:cs="Times New Roman"/>
                <w:b/>
                <w:bCs/>
                <w:color w:val="auto"/>
                <w:sz w:val="20"/>
                <w:szCs w:val="20"/>
                <w:highlight w:val="none"/>
              </w:rPr>
            </w:pPr>
            <w:r>
              <w:rPr>
                <w:rFonts w:ascii="Times New Roman" w:hAnsi="Times New Roman" w:eastAsia="宋体" w:cs="Times New Roman"/>
                <w:b/>
                <w:bCs/>
                <w:color w:val="auto"/>
                <w:sz w:val="20"/>
                <w:szCs w:val="20"/>
                <w:highlight w:val="none"/>
              </w:rPr>
              <w:t>标的名称</w:t>
            </w:r>
          </w:p>
        </w:tc>
        <w:tc>
          <w:tcPr>
            <w:tcW w:w="863" w:type="dxa"/>
            <w:vAlign w:val="center"/>
          </w:tcPr>
          <w:p w14:paraId="7D0C85F0">
            <w:pPr>
              <w:spacing w:after="0" w:line="240" w:lineRule="auto"/>
              <w:jc w:val="center"/>
              <w:rPr>
                <w:rFonts w:ascii="Times New Roman" w:hAnsi="Times New Roman" w:eastAsia="宋体" w:cs="Times New Roman"/>
                <w:b/>
                <w:bCs/>
                <w:color w:val="auto"/>
                <w:sz w:val="20"/>
                <w:szCs w:val="20"/>
                <w:highlight w:val="none"/>
              </w:rPr>
            </w:pPr>
            <w:r>
              <w:rPr>
                <w:rFonts w:ascii="Times New Roman" w:hAnsi="Times New Roman" w:eastAsia="宋体" w:cs="Times New Roman"/>
                <w:b/>
                <w:bCs/>
                <w:color w:val="auto"/>
                <w:sz w:val="20"/>
                <w:szCs w:val="20"/>
                <w:highlight w:val="none"/>
              </w:rPr>
              <w:t>单位</w:t>
            </w:r>
          </w:p>
        </w:tc>
        <w:tc>
          <w:tcPr>
            <w:tcW w:w="887" w:type="dxa"/>
            <w:vAlign w:val="center"/>
          </w:tcPr>
          <w:p w14:paraId="46E02317">
            <w:pPr>
              <w:spacing w:after="0" w:line="240" w:lineRule="auto"/>
              <w:jc w:val="center"/>
              <w:rPr>
                <w:rFonts w:ascii="Times New Roman" w:hAnsi="Times New Roman" w:eastAsia="宋体" w:cs="Times New Roman"/>
                <w:b/>
                <w:bCs/>
                <w:color w:val="auto"/>
                <w:sz w:val="20"/>
                <w:szCs w:val="20"/>
                <w:highlight w:val="none"/>
              </w:rPr>
            </w:pPr>
            <w:r>
              <w:rPr>
                <w:rFonts w:ascii="Times New Roman" w:hAnsi="Times New Roman" w:eastAsia="宋体" w:cs="Times New Roman"/>
                <w:b/>
                <w:bCs/>
                <w:color w:val="auto"/>
                <w:sz w:val="20"/>
                <w:szCs w:val="20"/>
                <w:highlight w:val="none"/>
              </w:rPr>
              <w:t>数量</w:t>
            </w:r>
          </w:p>
        </w:tc>
      </w:tr>
      <w:tr w14:paraId="123C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3FCD840E">
            <w:pPr>
              <w:spacing w:after="0" w:line="240" w:lineRule="auto"/>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t>1</w:t>
            </w:r>
          </w:p>
        </w:tc>
        <w:tc>
          <w:tcPr>
            <w:tcW w:w="4862" w:type="dxa"/>
            <w:vAlign w:val="center"/>
          </w:tcPr>
          <w:p w14:paraId="0378368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视觉机器人焊接工作站</w:t>
            </w:r>
          </w:p>
        </w:tc>
        <w:tc>
          <w:tcPr>
            <w:tcW w:w="863" w:type="dxa"/>
            <w:vAlign w:val="center"/>
          </w:tcPr>
          <w:p w14:paraId="200A9BE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5D18B318">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w:t>
            </w:r>
          </w:p>
        </w:tc>
      </w:tr>
      <w:tr w14:paraId="6A47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2B618C15">
            <w:pPr>
              <w:spacing w:after="0" w:line="240" w:lineRule="auto"/>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t>2</w:t>
            </w:r>
          </w:p>
        </w:tc>
        <w:tc>
          <w:tcPr>
            <w:tcW w:w="4862" w:type="dxa"/>
            <w:vAlign w:val="center"/>
          </w:tcPr>
          <w:p w14:paraId="3E094D33">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产教融合型机器人焊接培训站</w:t>
            </w:r>
          </w:p>
        </w:tc>
        <w:tc>
          <w:tcPr>
            <w:tcW w:w="863" w:type="dxa"/>
            <w:vAlign w:val="center"/>
          </w:tcPr>
          <w:p w14:paraId="58DAAF83">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6D58FAF2">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3</w:t>
            </w:r>
          </w:p>
        </w:tc>
      </w:tr>
      <w:tr w14:paraId="13C0F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1F8C311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3</w:t>
            </w:r>
          </w:p>
        </w:tc>
        <w:tc>
          <w:tcPr>
            <w:tcW w:w="4862" w:type="dxa"/>
            <w:vAlign w:val="center"/>
          </w:tcPr>
          <w:p w14:paraId="092838F5">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焊接机器人虚拟仿真系统</w:t>
            </w:r>
          </w:p>
        </w:tc>
        <w:tc>
          <w:tcPr>
            <w:tcW w:w="863" w:type="dxa"/>
            <w:vAlign w:val="center"/>
          </w:tcPr>
          <w:p w14:paraId="671DC2A1">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7BC07A18">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w:t>
            </w:r>
          </w:p>
        </w:tc>
      </w:tr>
      <w:tr w14:paraId="2659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5C6C2696">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4</w:t>
            </w:r>
          </w:p>
        </w:tc>
        <w:tc>
          <w:tcPr>
            <w:tcW w:w="4862" w:type="dxa"/>
            <w:vAlign w:val="center"/>
          </w:tcPr>
          <w:p w14:paraId="4C47C16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柔性协作机器人焊接工作站</w:t>
            </w:r>
          </w:p>
        </w:tc>
        <w:tc>
          <w:tcPr>
            <w:tcW w:w="863" w:type="dxa"/>
            <w:vAlign w:val="center"/>
          </w:tcPr>
          <w:p w14:paraId="77D3DB71">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15967963">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2</w:t>
            </w:r>
          </w:p>
        </w:tc>
      </w:tr>
      <w:tr w14:paraId="20EE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7E523C97">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5</w:t>
            </w:r>
          </w:p>
        </w:tc>
        <w:tc>
          <w:tcPr>
            <w:tcW w:w="4862" w:type="dxa"/>
            <w:vAlign w:val="center"/>
          </w:tcPr>
          <w:p w14:paraId="0C8E775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焊接操作增强训练仪（AR气保焊）GM</w:t>
            </w:r>
          </w:p>
        </w:tc>
        <w:tc>
          <w:tcPr>
            <w:tcW w:w="863" w:type="dxa"/>
            <w:vAlign w:val="center"/>
          </w:tcPr>
          <w:p w14:paraId="50859C2C">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30C53414">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15</w:t>
            </w:r>
          </w:p>
        </w:tc>
      </w:tr>
      <w:tr w14:paraId="2227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21BC9F08">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6</w:t>
            </w:r>
          </w:p>
        </w:tc>
        <w:tc>
          <w:tcPr>
            <w:tcW w:w="4862" w:type="dxa"/>
            <w:vAlign w:val="center"/>
          </w:tcPr>
          <w:p w14:paraId="144D9CA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焊接操作增强训练仪（AR焊条焊）SM</w:t>
            </w:r>
          </w:p>
        </w:tc>
        <w:tc>
          <w:tcPr>
            <w:tcW w:w="863" w:type="dxa"/>
            <w:vAlign w:val="center"/>
          </w:tcPr>
          <w:p w14:paraId="00800239">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49E1FDB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15</w:t>
            </w:r>
          </w:p>
        </w:tc>
      </w:tr>
      <w:tr w14:paraId="6A20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182B30F8">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7</w:t>
            </w:r>
          </w:p>
        </w:tc>
        <w:tc>
          <w:tcPr>
            <w:tcW w:w="4862" w:type="dxa"/>
            <w:vAlign w:val="center"/>
          </w:tcPr>
          <w:p w14:paraId="04579B94">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国赛用铝合金焊机TIG</w:t>
            </w:r>
          </w:p>
        </w:tc>
        <w:tc>
          <w:tcPr>
            <w:tcW w:w="863" w:type="dxa"/>
            <w:vAlign w:val="center"/>
          </w:tcPr>
          <w:p w14:paraId="2FF823B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5D7F81C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2</w:t>
            </w:r>
          </w:p>
        </w:tc>
      </w:tr>
      <w:tr w14:paraId="5BFF1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42A97EC0">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8</w:t>
            </w:r>
          </w:p>
        </w:tc>
        <w:tc>
          <w:tcPr>
            <w:tcW w:w="4862" w:type="dxa"/>
            <w:vAlign w:val="center"/>
          </w:tcPr>
          <w:p w14:paraId="21DFA2C0">
            <w:pPr>
              <w:wordWrap w:val="0"/>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国赛用铝合金焊机MIG</w:t>
            </w:r>
          </w:p>
        </w:tc>
        <w:tc>
          <w:tcPr>
            <w:tcW w:w="863" w:type="dxa"/>
            <w:vAlign w:val="center"/>
          </w:tcPr>
          <w:p w14:paraId="1B735ACC">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336EFCAE">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2</w:t>
            </w:r>
          </w:p>
        </w:tc>
      </w:tr>
      <w:tr w14:paraId="7D0B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2795B242">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9</w:t>
            </w:r>
          </w:p>
        </w:tc>
        <w:tc>
          <w:tcPr>
            <w:tcW w:w="4862" w:type="dxa"/>
            <w:vAlign w:val="center"/>
          </w:tcPr>
          <w:p w14:paraId="4D1B28A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智能焊接培训系统</w:t>
            </w:r>
          </w:p>
        </w:tc>
        <w:tc>
          <w:tcPr>
            <w:tcW w:w="863" w:type="dxa"/>
            <w:vAlign w:val="center"/>
          </w:tcPr>
          <w:p w14:paraId="25F3EB09">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198C739E">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w:t>
            </w:r>
          </w:p>
        </w:tc>
      </w:tr>
      <w:tr w14:paraId="32F6A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5AB539C1">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10</w:t>
            </w:r>
          </w:p>
        </w:tc>
        <w:tc>
          <w:tcPr>
            <w:tcW w:w="4862" w:type="dxa"/>
            <w:vAlign w:val="center"/>
          </w:tcPr>
          <w:p w14:paraId="017B6C7F">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气保焊机</w:t>
            </w:r>
          </w:p>
        </w:tc>
        <w:tc>
          <w:tcPr>
            <w:tcW w:w="863" w:type="dxa"/>
            <w:vAlign w:val="center"/>
          </w:tcPr>
          <w:p w14:paraId="76FDEDA5">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0692C4E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6</w:t>
            </w:r>
          </w:p>
        </w:tc>
      </w:tr>
      <w:tr w14:paraId="3707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38C10819">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11</w:t>
            </w:r>
          </w:p>
        </w:tc>
        <w:tc>
          <w:tcPr>
            <w:tcW w:w="4862" w:type="dxa"/>
            <w:vAlign w:val="center"/>
          </w:tcPr>
          <w:p w14:paraId="4E6B05BD">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氩弧焊机</w:t>
            </w:r>
          </w:p>
        </w:tc>
        <w:tc>
          <w:tcPr>
            <w:tcW w:w="863" w:type="dxa"/>
            <w:vAlign w:val="center"/>
          </w:tcPr>
          <w:p w14:paraId="7AC7F21B">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套</w:t>
            </w:r>
          </w:p>
        </w:tc>
        <w:tc>
          <w:tcPr>
            <w:tcW w:w="887" w:type="dxa"/>
            <w:vAlign w:val="center"/>
          </w:tcPr>
          <w:p w14:paraId="639FFCD4">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6</w:t>
            </w:r>
          </w:p>
        </w:tc>
      </w:tr>
      <w:tr w14:paraId="23CB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1375" w:type="dxa"/>
            <w:vAlign w:val="center"/>
          </w:tcPr>
          <w:p w14:paraId="01BF9F4A">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12</w:t>
            </w:r>
          </w:p>
        </w:tc>
        <w:tc>
          <w:tcPr>
            <w:tcW w:w="4862" w:type="dxa"/>
            <w:vAlign w:val="center"/>
          </w:tcPr>
          <w:p w14:paraId="38B4C4FC">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基础建设</w:t>
            </w:r>
          </w:p>
        </w:tc>
        <w:tc>
          <w:tcPr>
            <w:tcW w:w="863" w:type="dxa"/>
            <w:vAlign w:val="center"/>
          </w:tcPr>
          <w:p w14:paraId="09F5C819">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项</w:t>
            </w:r>
          </w:p>
        </w:tc>
        <w:tc>
          <w:tcPr>
            <w:tcW w:w="887" w:type="dxa"/>
            <w:vAlign w:val="center"/>
          </w:tcPr>
          <w:p w14:paraId="350A24AD">
            <w:pPr>
              <w:spacing w:after="0" w:line="240" w:lineRule="auto"/>
              <w:jc w:val="center"/>
              <w:rPr>
                <w:rFonts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1</w:t>
            </w:r>
          </w:p>
        </w:tc>
      </w:tr>
    </w:tbl>
    <w:p w14:paraId="21365637">
      <w:pPr>
        <w:numPr>
          <w:ilvl w:val="0"/>
          <w:numId w:val="5"/>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采购标的技术（参数）表</w:t>
      </w:r>
    </w:p>
    <w:tbl>
      <w:tblPr>
        <w:tblStyle w:val="188"/>
        <w:tblW w:w="9879"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57" w:type="dxa"/>
          <w:bottom w:w="0" w:type="dxa"/>
          <w:right w:w="57" w:type="dxa"/>
        </w:tblCellMar>
      </w:tblPr>
      <w:tblGrid>
        <w:gridCol w:w="867"/>
        <w:gridCol w:w="1562"/>
        <w:gridCol w:w="5900"/>
        <w:gridCol w:w="825"/>
        <w:gridCol w:w="725"/>
      </w:tblGrid>
      <w:tr w14:paraId="0C7513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tcBorders>
              <w:bottom w:val="nil"/>
            </w:tcBorders>
            <w:vAlign w:val="center"/>
          </w:tcPr>
          <w:p w14:paraId="422948F4">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序号</w:t>
            </w:r>
          </w:p>
        </w:tc>
        <w:tc>
          <w:tcPr>
            <w:tcW w:w="1562" w:type="dxa"/>
            <w:tcBorders>
              <w:bottom w:val="nil"/>
            </w:tcBorders>
            <w:vAlign w:val="center"/>
          </w:tcPr>
          <w:p w14:paraId="44E09A0C">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设备名称</w:t>
            </w:r>
          </w:p>
        </w:tc>
        <w:tc>
          <w:tcPr>
            <w:tcW w:w="5900" w:type="dxa"/>
            <w:tcBorders>
              <w:bottom w:val="nil"/>
            </w:tcBorders>
            <w:vAlign w:val="center"/>
          </w:tcPr>
          <w:p w14:paraId="77829D4A">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技术参数</w:t>
            </w:r>
          </w:p>
        </w:tc>
        <w:tc>
          <w:tcPr>
            <w:tcW w:w="825" w:type="dxa"/>
            <w:tcBorders>
              <w:bottom w:val="nil"/>
            </w:tcBorders>
            <w:vAlign w:val="center"/>
          </w:tcPr>
          <w:p w14:paraId="68D92567">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 xml:space="preserve">数量 </w:t>
            </w:r>
          </w:p>
        </w:tc>
        <w:tc>
          <w:tcPr>
            <w:tcW w:w="725" w:type="dxa"/>
            <w:tcBorders>
              <w:bottom w:val="nil"/>
            </w:tcBorders>
            <w:vAlign w:val="center"/>
          </w:tcPr>
          <w:p w14:paraId="6ACC37FA">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单位</w:t>
            </w:r>
          </w:p>
        </w:tc>
      </w:tr>
      <w:tr w14:paraId="0725F8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68F61A20">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1</w:t>
            </w:r>
          </w:p>
        </w:tc>
        <w:tc>
          <w:tcPr>
            <w:tcW w:w="1562" w:type="dxa"/>
            <w:vAlign w:val="center"/>
          </w:tcPr>
          <w:p w14:paraId="44551E5C">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视觉机器人焊接工作站</w:t>
            </w:r>
          </w:p>
        </w:tc>
        <w:tc>
          <w:tcPr>
            <w:tcW w:w="5900" w:type="dxa"/>
            <w:vAlign w:val="center"/>
          </w:tcPr>
          <w:p w14:paraId="107A7602">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一、机器人本体要求</w:t>
            </w:r>
          </w:p>
          <w:p w14:paraId="450DE24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1.手臂形式：垂直多关节</w:t>
            </w:r>
          </w:p>
          <w:p w14:paraId="40AD7B9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动作自由度 ：6 轴</w:t>
            </w:r>
          </w:p>
          <w:p w14:paraId="5A6ABDC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 重复定位精度≤ ±0.05mm</w:t>
            </w:r>
          </w:p>
          <w:p w14:paraId="4C001D9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最大覆盖范围≥1600mm</w:t>
            </w:r>
          </w:p>
          <w:p w14:paraId="3B7B111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安装方式： 地面、顶装、壁挂</w:t>
            </w:r>
          </w:p>
          <w:p w14:paraId="7B4AF81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IP 等级 ：手腕≥IP67 ，电锯防护等级≥IP43</w:t>
            </w:r>
          </w:p>
          <w:p w14:paraId="061C83A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 最大负载≥6KG</w:t>
            </w:r>
          </w:p>
          <w:p w14:paraId="0EF3ED9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 本体重量≥145KG</w:t>
            </w:r>
          </w:p>
          <w:p w14:paraId="3EEEBC1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 .最大行程：</w:t>
            </w:r>
          </w:p>
          <w:p w14:paraId="67B23FA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轴≥ -165°/165°</w:t>
            </w:r>
          </w:p>
          <w:p w14:paraId="3C3FE0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轴≥ +80°﹣135°</w:t>
            </w:r>
          </w:p>
          <w:p w14:paraId="799C0B5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 轴≥ +163°﹣75°</w:t>
            </w:r>
          </w:p>
          <w:p w14:paraId="726CF4E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轴≥ -180°﹣180°</w:t>
            </w:r>
          </w:p>
          <w:p w14:paraId="58FC478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轴≥ -130°﹣130°</w:t>
            </w:r>
          </w:p>
          <w:p w14:paraId="615067B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轴≥ -360°﹣360°</w:t>
            </w:r>
          </w:p>
          <w:p w14:paraId="64A7023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 最大速度：</w:t>
            </w:r>
          </w:p>
          <w:p w14:paraId="760CB6B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轴≥170°/S，2 轴≥160°/S，</w:t>
            </w:r>
          </w:p>
          <w:p w14:paraId="60C9A5C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 轴≥180°/S，4 轴≥330°/S，</w:t>
            </w:r>
          </w:p>
          <w:p w14:paraId="32E9985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轴≥360°/S，6 轴≥600°/S。</w:t>
            </w:r>
          </w:p>
          <w:p w14:paraId="4685FB4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 手腕允许扭矩：</w:t>
            </w:r>
          </w:p>
          <w:p w14:paraId="1D068D9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轴≥20N·m，5 轴≥20N·m，6 轴≥10N·m</w:t>
            </w:r>
          </w:p>
          <w:p w14:paraId="1F71D04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 手腕允许转动惯量：</w:t>
            </w:r>
          </w:p>
          <w:p w14:paraId="6C506DD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轴≥0.625kg·m²，5 轴≥0.625kg·m²，6 轴≥0.2kg·m²</w:t>
            </w:r>
          </w:p>
          <w:p w14:paraId="6492AB78">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二、机器人控制系统</w:t>
            </w:r>
          </w:p>
          <w:p w14:paraId="69C8F6D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示教器：TFT 8-inch LCD、触摸屏、键盘、热插拔功能、模式选择开关（3种）、急停按钮</w:t>
            </w:r>
          </w:p>
          <w:p w14:paraId="5DB213D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2.机器人控制柜接口：USB接口、以太网、数字IO，不少于8个数字输入/8个数字输出（支持扩展）</w:t>
            </w:r>
          </w:p>
          <w:p w14:paraId="13B0A78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3.操作模式：示教，再现，远程</w:t>
            </w:r>
          </w:p>
          <w:p w14:paraId="7B17C04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运动模式：点到点，直线，圆弧</w:t>
            </w:r>
          </w:p>
          <w:p w14:paraId="5937722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5.坐标系统：关节坐标，直角坐标，用户坐标，工具坐标，基坐标常检出 功能：急停异常，伺服异常，用户坐标异常，工具坐标异常，安全维护，起弧 异常等机器人安全：外部急停，防碰撞、安全插销等接口；MC 安全回路，伺服软化等预留专用接口：弧焊专用接口、工位接口、Remote 上位接口软件包： 焊接、搬运、码垛、喷涂等可选其他：内置 PLC，断电再生，编码器接口，电 弧跟踪及配件，视觉软件，激光跟踪软件等。</w:t>
            </w:r>
          </w:p>
          <w:p w14:paraId="3F2220D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6.供电电源：3×380V±10%，50/60Hz</w:t>
            </w:r>
          </w:p>
          <w:p w14:paraId="1B52FBE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 .异常检测：急停异常、伺服异常、语句异常、各种弧焊异常等</w:t>
            </w:r>
          </w:p>
          <w:p w14:paraId="599682F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 .软件包 ：焊接、搬运、码垛等可选</w:t>
            </w:r>
          </w:p>
          <w:p w14:paraId="7E2A2FF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9.链接电缆：标配长度8m，支持常规定制12m、16m、20m</w:t>
            </w:r>
          </w:p>
          <w:p w14:paraId="337EFD7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10.电柜防护等级：IP54，散热单元 IP30</w:t>
            </w:r>
          </w:p>
          <w:p w14:paraId="29CE4C8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 重量：≥125kg</w:t>
            </w:r>
          </w:p>
          <w:p w14:paraId="497C4B38">
            <w:pPr>
              <w:rPr>
                <w:rFonts w:ascii="Times New Roman" w:hAnsi="Times New Roman" w:eastAsia="宋体" w:cs="Times New Roman"/>
                <w:b/>
                <w:bCs/>
                <w:color w:val="auto"/>
                <w:szCs w:val="21"/>
                <w:highlight w:val="none"/>
              </w:rPr>
            </w:pPr>
            <w:r>
              <w:rPr>
                <w:rFonts w:hint="eastAsia" w:ascii="宋体" w:hAnsi="宋体" w:eastAsia="宋体" w:cs="宋体"/>
                <w:b w:val="0"/>
                <w:bCs/>
                <w:color w:val="auto"/>
                <w:sz w:val="24"/>
                <w:szCs w:val="24"/>
                <w:highlight w:val="none"/>
                <w:lang w:eastAsia="zh-CN"/>
              </w:rPr>
              <w:t>★</w:t>
            </w:r>
            <w:r>
              <w:rPr>
                <w:rFonts w:ascii="Times New Roman" w:hAnsi="Times New Roman" w:eastAsia="宋体" w:cs="Times New Roman"/>
                <w:b/>
                <w:bCs/>
                <w:color w:val="auto"/>
                <w:szCs w:val="21"/>
                <w:highlight w:val="none"/>
              </w:rPr>
              <w:t>1</w:t>
            </w:r>
            <w:r>
              <w:rPr>
                <w:rFonts w:hint="eastAsia" w:ascii="Times New Roman" w:hAnsi="Times New Roman" w:eastAsia="宋体" w:cs="Times New Roman"/>
                <w:b/>
                <w:bCs/>
                <w:color w:val="auto"/>
                <w:szCs w:val="21"/>
                <w:highlight w:val="none"/>
                <w:lang w:val="en-US" w:eastAsia="zh-CN"/>
              </w:rPr>
              <w:t>2</w:t>
            </w:r>
            <w:r>
              <w:rPr>
                <w:rFonts w:ascii="Times New Roman" w:hAnsi="Times New Roman" w:eastAsia="宋体" w:cs="Times New Roman"/>
                <w:b/>
                <w:bCs/>
                <w:color w:val="auto"/>
                <w:szCs w:val="21"/>
                <w:highlight w:val="none"/>
              </w:rPr>
              <w:t>.支持接触引弧功能（</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p>
          <w:p w14:paraId="405E7790">
            <w:pPr>
              <w:rPr>
                <w:rFonts w:ascii="Times New Roman" w:hAnsi="Times New Roman" w:eastAsia="宋体" w:cs="Times New Roman"/>
                <w:b/>
                <w:bCs/>
                <w:color w:val="auto"/>
                <w:szCs w:val="21"/>
                <w:highlight w:val="none"/>
              </w:rPr>
            </w:pPr>
            <w:r>
              <w:rPr>
                <w:rFonts w:hint="eastAsia" w:ascii="宋体" w:hAnsi="宋体" w:eastAsia="宋体" w:cs="宋体"/>
                <w:b w:val="0"/>
                <w:bCs/>
                <w:color w:val="auto"/>
                <w:sz w:val="24"/>
                <w:szCs w:val="24"/>
                <w:highlight w:val="none"/>
                <w:lang w:eastAsia="zh-CN"/>
              </w:rPr>
              <w:t>★</w:t>
            </w:r>
            <w:r>
              <w:rPr>
                <w:rFonts w:ascii="Times New Roman" w:hAnsi="Times New Roman" w:eastAsia="宋体" w:cs="Times New Roman"/>
                <w:b/>
                <w:bCs/>
                <w:color w:val="auto"/>
                <w:szCs w:val="21"/>
                <w:highlight w:val="none"/>
              </w:rPr>
              <w:t>1</w:t>
            </w:r>
            <w:r>
              <w:rPr>
                <w:rFonts w:hint="eastAsia" w:ascii="Times New Roman" w:hAnsi="Times New Roman" w:eastAsia="宋体" w:cs="Times New Roman"/>
                <w:b/>
                <w:bCs/>
                <w:color w:val="auto"/>
                <w:szCs w:val="21"/>
                <w:highlight w:val="none"/>
                <w:lang w:val="en-US" w:eastAsia="zh-CN"/>
              </w:rPr>
              <w:t>3</w:t>
            </w:r>
            <w:r>
              <w:rPr>
                <w:rFonts w:ascii="Times New Roman" w:hAnsi="Times New Roman" w:eastAsia="宋体" w:cs="Times New Roman"/>
                <w:b/>
                <w:bCs/>
                <w:color w:val="auto"/>
                <w:szCs w:val="21"/>
                <w:highlight w:val="none"/>
              </w:rPr>
              <w:t>.可支持外接拓展功能，可连接虚拟仿真设备进行数字孪生可视化教学，同时仿真机器人可以同步真实机器人进行姿态仿真以及焊接参数实时动态分析评判，实现实时对比（</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p>
          <w:p w14:paraId="031DAF73">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三、焊接电源</w:t>
            </w:r>
          </w:p>
          <w:p w14:paraId="24E083F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1.主要技术及性能：</w:t>
            </w:r>
          </w:p>
          <w:p w14:paraId="5433E65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全数字化DSP 微处理逆变技术；焊机有多组焊接专家程序，一元化的调节；配置弧焊机器人数据联接端口，全位置焊接； 具有通道存储记忆功能；可进行MIG/MAG 脉冲焊接；手工电弧焊接；直流TIG 焊（接触引弧）；碳弧气刨等多种功能；主机面板具有送丝速度、母材厚度、电流及电压数字液晶显示屏。内存多组焊接专家系统。可焊结构钢、碳钢、不锈钢、双相钢、镍基合金、铝、铝合金等特殊材料，并可根据用户选择量身定制专家数据库；具有恒压、恒流、欠压、欠流、过压、过流保护功能；</w:t>
            </w:r>
          </w:p>
          <w:p w14:paraId="6617696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送丝机：采用带编码的送丝电机，四轮送丝，有点动送丝及2 步、4 步和带初期电流调节的收弧控制方式；</w:t>
            </w:r>
          </w:p>
          <w:p w14:paraId="2B333BD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3.焊枪：焊枪具有双循环水冷系统直接冷却至导电嘴座和喷嘴内，焊枪负载率为100%；</w:t>
            </w:r>
          </w:p>
          <w:p w14:paraId="19B90D6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4.具有温度报警保护功能及回路的电阻（R）和电感（L）的检测功能；</w:t>
            </w:r>
          </w:p>
          <w:p w14:paraId="5FBE784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.相数、额定输入电压：三相交流380V±1</w:t>
            </w:r>
            <w:r>
              <w:rPr>
                <w:rFonts w:hint="eastAsia" w:ascii="Times New Roman" w:hAnsi="Times New Roman" w:eastAsia="宋体" w:cs="Times New Roman"/>
                <w:color w:val="auto"/>
                <w:szCs w:val="21"/>
                <w:highlight w:val="none"/>
                <w:lang w:val="en-US" w:eastAsia="zh-CN"/>
              </w:rPr>
              <w:t>0</w:t>
            </w:r>
            <w:r>
              <w:rPr>
                <w:rFonts w:ascii="Times New Roman" w:hAnsi="Times New Roman" w:eastAsia="宋体" w:cs="Times New Roman"/>
                <w:color w:val="auto"/>
                <w:szCs w:val="21"/>
                <w:highlight w:val="none"/>
              </w:rPr>
              <w:t xml:space="preserve">％ </w:t>
            </w:r>
          </w:p>
          <w:p w14:paraId="29191A6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额定频率：50Hz/60Hz 通用</w:t>
            </w:r>
          </w:p>
          <w:p w14:paraId="4317B13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 额定输入功率：不大于23.5kW</w:t>
            </w:r>
          </w:p>
          <w:p w14:paraId="7EF79C1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 空载电压：76±5%</w:t>
            </w:r>
          </w:p>
          <w:p w14:paraId="7C2B44B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 空载电流：0.7~0.9A</w:t>
            </w:r>
          </w:p>
          <w:p w14:paraId="22F8FD9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 空载损耗：不大于300W</w:t>
            </w:r>
          </w:p>
          <w:p w14:paraId="4524AE1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11.电压调节范围：10~45V</w:t>
            </w:r>
          </w:p>
          <w:p w14:paraId="2B36AED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12.电流输出范围：30~500A</w:t>
            </w:r>
          </w:p>
          <w:p w14:paraId="6BDD96A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13.手工焊接电流范围：30~500A</w:t>
            </w:r>
          </w:p>
          <w:p w14:paraId="2EE9D29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 适应焊丝类型:实芯焊丝</w:t>
            </w:r>
          </w:p>
          <w:p w14:paraId="5B400A9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15.适应焊丝直径:Φ1.0/Φ1.2/Φ1.6</w:t>
            </w:r>
          </w:p>
          <w:p w14:paraId="42E2739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16.焊接方法:手工焊条电弧焊；脉冲MIG/MAG 焊</w:t>
            </w:r>
          </w:p>
          <w:p w14:paraId="0478EE3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17. 负载持续率（40℃）:60％（500A/39V）</w:t>
            </w:r>
          </w:p>
          <w:p w14:paraId="2E57EB6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18.外壳防护等级:IP21</w:t>
            </w:r>
          </w:p>
          <w:p w14:paraId="7DEEC16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19.绝缘等级:F</w:t>
            </w:r>
          </w:p>
          <w:p w14:paraId="78185E1B">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四、防碰撞焊枪要求</w:t>
            </w:r>
          </w:p>
          <w:p w14:paraId="59DF18C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1.承载电流：500A</w:t>
            </w:r>
          </w:p>
          <w:p w14:paraId="5EC5BA7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2.冷却方式：液冷</w:t>
            </w:r>
          </w:p>
          <w:p w14:paraId="629062D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3.暂载率：100%</w:t>
            </w:r>
          </w:p>
          <w:p w14:paraId="582BCD1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4.焊丝直径：0.8-1.6</w:t>
            </w:r>
          </w:p>
          <w:p w14:paraId="2368753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5.枪颈角度：45°</w:t>
            </w:r>
          </w:p>
          <w:p w14:paraId="7965110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6.鹅颈长度：180mm-220mm</w:t>
            </w:r>
          </w:p>
          <w:p w14:paraId="354BEC4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五、数据交换器</w:t>
            </w:r>
          </w:p>
          <w:p w14:paraId="3CB5120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1.主要技术及性能：</w:t>
            </w:r>
          </w:p>
          <w:p w14:paraId="0981580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数据交换器是焊机专用的外置接口设备，自动化焊接设备可通过数据交换控制器实时控制焊机，并获得焊机的运行状态数据，进而实现反馈控制。</w:t>
            </w:r>
          </w:p>
          <w:p w14:paraId="421AFB4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输入电压：24V DC</w:t>
            </w:r>
          </w:p>
          <w:p w14:paraId="2027B55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3.外壳防护等级：IP21S</w:t>
            </w:r>
          </w:p>
          <w:p w14:paraId="2E652B9E">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六、柔性焊接工作台</w:t>
            </w:r>
          </w:p>
          <w:p w14:paraId="7A4711C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焊接工作台采用碳钢结构；</w:t>
            </w:r>
          </w:p>
          <w:p w14:paraId="1382072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平台尺寸不小于 1000mm×1000mm×750mm；</w:t>
            </w:r>
          </w:p>
          <w:p w14:paraId="7E58AFB0">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 平台具有机器人示教 TCP 点；</w:t>
            </w:r>
          </w:p>
          <w:p w14:paraId="2B58FB4F">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七．焊接工艺智能分析仪</w:t>
            </w:r>
          </w:p>
          <w:p w14:paraId="0FADCFA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1.主机规格：尺寸470mm×320mm×280mm（长×宽×高），重量≤5kg，符合工业级便携/立式安装需求。</w:t>
            </w:r>
          </w:p>
          <w:p w14:paraId="1A041E3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2.显示配置：15.6英寸高清触控屏，分辨率≥1920×1080，支持多点触控操作。</w:t>
            </w:r>
          </w:p>
          <w:p w14:paraId="2B08416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3.供电要求：支持AC220V±10%、50/60Hz电源输入，功耗≤80W，适配工业现场供电环境。</w:t>
            </w:r>
          </w:p>
          <w:p w14:paraId="76C1FE4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4.支持多模态信号的高频接入、高清查看及动态回溯（信号来自选配传感器类型）；</w:t>
            </w:r>
            <w:r>
              <w:rPr>
                <w:rFonts w:hint="eastAsia" w:ascii="Times New Roman" w:hAnsi="Times New Roman" w:eastAsia="宋体" w:cs="Times New Roman"/>
                <w:color w:val="auto"/>
                <w:szCs w:val="21"/>
                <w:highlight w:val="none"/>
              </w:rPr>
              <w:t>（提供产品说明书）</w:t>
            </w:r>
          </w:p>
          <w:p w14:paraId="0B45FA2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5.硬件配置：i9-16G内存-RTX3070 16G-4TB硬盘-触摸屏，可移动拉杆箱；</w:t>
            </w:r>
          </w:p>
          <w:p w14:paraId="1699D7A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6.内置AD高频采集能力，最高50khz；</w:t>
            </w:r>
          </w:p>
          <w:p w14:paraId="26F3BBD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7.存储能力：本地存储容量≥4TB，支持≥10万组焊接数据本地存储。</w:t>
            </w:r>
          </w:p>
          <w:p w14:paraId="6F7A4FE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8.接口配置：至少包含USB3.0×2、千兆网口×1、WiFi（802.11b/g/n）、传感器专用接口×3（电流/电压/气体流量各1路）。</w:t>
            </w:r>
          </w:p>
          <w:p w14:paraId="4258CD4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9.需支持焊接过程中电流、电压、气体流量、送丝速度、气体压力、温湿度等核心工艺参数的实时采集、同步展示与异常预警，满足生产现场实时监控需求。</w:t>
            </w:r>
          </w:p>
          <w:p w14:paraId="63C7EDA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▲10.需具备多模态数据接入能力，可兼容熔池视频、电弧光谱、焊接声波、焊接机器人姿态等数据，为工艺全面分析构建焊接缺陷AI模型提供数据支撑。（投标文件中需提供</w:t>
            </w:r>
            <w:r>
              <w:rPr>
                <w:rFonts w:hint="eastAsia" w:ascii="Times New Roman" w:hAnsi="Times New Roman" w:eastAsia="宋体" w:cs="Times New Roman"/>
                <w:color w:val="auto"/>
                <w:szCs w:val="21"/>
                <w:highlight w:val="none"/>
                <w:lang w:val="en-US" w:eastAsia="zh-CN"/>
              </w:rPr>
              <w:t>软件功能截图</w:t>
            </w:r>
            <w:r>
              <w:rPr>
                <w:rFonts w:ascii="Times New Roman" w:hAnsi="Times New Roman" w:eastAsia="宋体" w:cs="Times New Roman"/>
                <w:color w:val="auto"/>
                <w:szCs w:val="21"/>
                <w:highlight w:val="none"/>
              </w:rPr>
              <w:t>）</w:t>
            </w:r>
          </w:p>
          <w:p w14:paraId="07F4860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11.电压传感器：输入范围0-100V，输出信号0-5V，线性度＜0.5%，精度±0.8%，四线制接线，工作电源DC24V。</w:t>
            </w:r>
          </w:p>
          <w:p w14:paraId="4AC7293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12.电流传感器（标准版）：输入范围0-500A，精度＜±1%；卡扣式设计。</w:t>
            </w:r>
          </w:p>
          <w:p w14:paraId="5584046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13.数据同步精度：工艺参数与熔池视频同步误差≤500ms，多源信号（电信号、视频、设备轨迹）时间戳统一校准，回溯误差＜0.1s。</w:t>
            </w:r>
          </w:p>
          <w:p w14:paraId="44AAE2A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▲14.报警响应速度：超规范阈值报警响应延迟≤300ms，支持声光双重报警弹窗提示。（投标文件中需提供软件功能截图）</w:t>
            </w:r>
          </w:p>
          <w:p w14:paraId="6AC6E43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15.数据存储周期：本地数据存储周期≥1年，支持历史数据1秒粒度回溯。</w:t>
            </w:r>
          </w:p>
          <w:p w14:paraId="6B2DAB8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▲16.模块配置：包含工艺镜像、过程报警、生产任务、质量分析、工艺回溯、设备配置6大核心模块；实现焊接采集数据与焊接工单任务的关联绑定。（投标文件中需提供软件功能截图）</w:t>
            </w:r>
          </w:p>
          <w:p w14:paraId="521A57F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17.导出格式：支持Excel、CSV格式数据及分析报告导出，兼容主流数据分析软件。</w:t>
            </w:r>
          </w:p>
          <w:p w14:paraId="57AEB88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▲18.需支持智能网关采集数据的实时呈现，包括电压、电流、送丝速度、焊接速度、线能量、气体流量等核心参数，满足工艺实时监控需求。（投标文件中需提供软件功能截图）</w:t>
            </w:r>
          </w:p>
          <w:p w14:paraId="64E9627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19.需实现焊接过程多源异构数据同步呈现，涵盖电信号、熔池视频、红外视频、规范异常、工艺事件、质量风险等，便于全面掌握工艺状态。</w:t>
            </w:r>
          </w:p>
          <w:p w14:paraId="68743AA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▲20.需支持生产任务全流程管理，包括工作任务新增、焊接规范定义、生产执行（开工/完工）、焊缝外观记录、附件上传等功能，实现生产过程可追溯。（投标文件中需提供软件功能截图）</w:t>
            </w:r>
          </w:p>
          <w:p w14:paraId="4DFA684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▲21.需具备焊接质量分析能力，通过熔池监测、AI诊断、UI相图等方式，实时识别焊接缺陷与工艺异常，为质量管控提供支撑。（投标文件中需提供软件功能截图）</w:t>
            </w:r>
          </w:p>
          <w:p w14:paraId="1A7EC58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22.需支持工艺参数历史数据查询与导出，可按生产任务、时间区间、设备编号等多维度筛选，满足工艺优化与质量追溯需求。</w:t>
            </w:r>
          </w:p>
          <w:p w14:paraId="0C6BC6A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kern w:val="0"/>
                <w:szCs w:val="21"/>
                <w:highlight w:val="none"/>
                <w:lang w:bidi="ar"/>
              </w:rPr>
              <w:t>八、防护装置</w:t>
            </w:r>
          </w:p>
          <w:p w14:paraId="1DB1820A">
            <w:pPr>
              <w:numPr>
                <w:ilvl w:val="0"/>
                <w:numId w:val="0"/>
              </w:numPr>
              <w:ind w:leftChars="0"/>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3米×3米×2米防护围栏由型材、冷轧板、亚克力板等组合而成，美观、大方，有效阻挡弧光污染的同时不影响观察视野；</w:t>
            </w:r>
          </w:p>
          <w:p w14:paraId="3DD66D09">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配置防护门，增强出入口的防护；</w:t>
            </w:r>
          </w:p>
          <w:p w14:paraId="6621BCF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3．每个工位安全门上端应配置安全指示灯，机器人处于作业状态时显示红色警告，禁止进入，机器人处于示教或急停状态，解除安全警报，安全门外观察处应配备外部急停按钮；</w:t>
            </w:r>
          </w:p>
          <w:p w14:paraId="375B79F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4．配备视频监控及显示系统；</w:t>
            </w:r>
          </w:p>
          <w:p w14:paraId="4B62ECF2">
            <w:pPr>
              <w:widowControl/>
              <w:spacing w:after="180"/>
              <w:jc w:val="left"/>
              <w:textAlignment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工位配备灭火器2个；</w:t>
            </w:r>
          </w:p>
        </w:tc>
        <w:tc>
          <w:tcPr>
            <w:tcW w:w="825" w:type="dxa"/>
            <w:vAlign w:val="center"/>
          </w:tcPr>
          <w:p w14:paraId="2D28CF31">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725" w:type="dxa"/>
            <w:shd w:val="clear" w:color="auto" w:fill="auto"/>
            <w:vAlign w:val="center"/>
          </w:tcPr>
          <w:p w14:paraId="5BFEBFC6">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2281593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72E1AFD3">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2</w:t>
            </w:r>
          </w:p>
        </w:tc>
        <w:tc>
          <w:tcPr>
            <w:tcW w:w="1562" w:type="dxa"/>
            <w:vAlign w:val="center"/>
          </w:tcPr>
          <w:p w14:paraId="572317C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产教融合型机器人焊接培训站</w:t>
            </w:r>
          </w:p>
        </w:tc>
        <w:tc>
          <w:tcPr>
            <w:tcW w:w="5900" w:type="dxa"/>
            <w:vAlign w:val="center"/>
          </w:tcPr>
          <w:p w14:paraId="23E94A69">
            <w:pPr>
              <w:numPr>
                <w:ilvl w:val="0"/>
                <w:numId w:val="6"/>
              </w:numPr>
              <w:rPr>
                <w:rFonts w:ascii="Times New Roman" w:hAnsi="Times New Roman" w:cs="Times New Roman"/>
                <w:color w:val="auto"/>
                <w:szCs w:val="21"/>
                <w:highlight w:val="none"/>
              </w:rPr>
            </w:pPr>
            <w:r>
              <w:rPr>
                <w:rFonts w:ascii="Times New Roman" w:hAnsi="Times New Roman" w:cs="Times New Roman"/>
                <w:color w:val="auto"/>
                <w:szCs w:val="21"/>
                <w:highlight w:val="none"/>
              </w:rPr>
              <w:t>弧焊机器人</w:t>
            </w:r>
          </w:p>
          <w:p w14:paraId="47D874E9">
            <w:pPr>
              <w:numPr>
                <w:ilvl w:val="0"/>
                <w:numId w:val="0"/>
              </w:numPr>
              <w:ind w:leftChars="0"/>
              <w:rPr>
                <w:rFonts w:hint="eastAsia" w:ascii="Times New Roman" w:hAnsi="Times New Roman" w:cs="Times New Roman" w:eastAsiaTheme="minorEastAsia"/>
                <w:color w:val="auto"/>
                <w:szCs w:val="21"/>
                <w:highlight w:val="none"/>
                <w:lang w:eastAsia="zh-CN"/>
              </w:rPr>
            </w:pPr>
            <w:r>
              <w:rPr>
                <w:rFonts w:hint="eastAsia"/>
                <w:color w:val="auto"/>
                <w:highlight w:val="none"/>
              </w:rPr>
              <w:t>▲</w:t>
            </w:r>
            <w:r>
              <w:rPr>
                <w:rFonts w:hint="eastAsia"/>
                <w:color w:val="auto"/>
                <w:highlight w:val="none"/>
                <w:lang w:val="en-US" w:eastAsia="zh-CN"/>
              </w:rPr>
              <w:t xml:space="preserve">1. </w:t>
            </w:r>
            <w:r>
              <w:rPr>
                <w:rFonts w:ascii="Times New Roman" w:hAnsi="Times New Roman" w:cs="Times New Roman"/>
                <w:color w:val="auto"/>
                <w:szCs w:val="21"/>
                <w:highlight w:val="none"/>
              </w:rPr>
              <w:t>机械臂内置中空结构，有效负载≥12kg，重复定位精度±0.05mm，通信接口采用总线Ethercat；基于PC和DSP运动控制系统；</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投标文件中需提供相关证明材料</w:t>
            </w:r>
            <w:r>
              <w:rPr>
                <w:rFonts w:hint="eastAsia" w:ascii="Times New Roman" w:hAnsi="Times New Roman" w:cs="Times New Roman"/>
                <w:color w:val="auto"/>
                <w:szCs w:val="21"/>
                <w:highlight w:val="none"/>
                <w:lang w:eastAsia="zh-CN"/>
              </w:rPr>
              <w:t>）</w:t>
            </w:r>
          </w:p>
          <w:p w14:paraId="5609F585">
            <w:pPr>
              <w:numPr>
                <w:ilvl w:val="0"/>
                <w:numId w:val="0"/>
              </w:num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2.</w:t>
            </w:r>
            <w:r>
              <w:rPr>
                <w:rFonts w:ascii="Times New Roman" w:hAnsi="Times New Roman" w:cs="Times New Roman"/>
                <w:color w:val="auto"/>
                <w:szCs w:val="21"/>
                <w:highlight w:val="none"/>
              </w:rPr>
              <w:t>具备安全限制功能，具有碰撞检测及超限报警功能；</w:t>
            </w:r>
          </w:p>
          <w:p w14:paraId="571CD837">
            <w:pPr>
              <w:numPr>
                <w:ilvl w:val="0"/>
                <w:numId w:val="0"/>
              </w:numPr>
              <w:ind w:leftChars="0"/>
              <w:rPr>
                <w:rFonts w:ascii="Times New Roman" w:hAnsi="Times New Roman"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color w:val="auto"/>
                <w:highlight w:val="none"/>
                <w:lang w:val="en-US" w:eastAsia="zh-CN"/>
              </w:rPr>
              <w:t xml:space="preserve">3. </w:t>
            </w:r>
            <w:r>
              <w:rPr>
                <w:rFonts w:ascii="Times New Roman" w:hAnsi="Times New Roman" w:cs="Times New Roman"/>
                <w:color w:val="auto"/>
                <w:szCs w:val="21"/>
                <w:highlight w:val="none"/>
              </w:rPr>
              <w:t>防碰撞生效时，4轴、5轴、6轴自动切换软伺服状态，有效防止碰撞对人员及设备的二次损伤</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cs="Times New Roman"/>
                <w:color w:val="auto"/>
                <w:szCs w:val="21"/>
                <w:highlight w:val="none"/>
              </w:rPr>
              <w:t>；</w:t>
            </w:r>
          </w:p>
          <w:p w14:paraId="089F9B36">
            <w:pPr>
              <w:numPr>
                <w:ilvl w:val="0"/>
                <w:numId w:val="7"/>
              </w:numPr>
              <w:ind w:left="0" w:leftChars="0"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指令支持切换中英文状态；</w:t>
            </w:r>
          </w:p>
          <w:p w14:paraId="6E12294D">
            <w:pPr>
              <w:numPr>
                <w:ilvl w:val="0"/>
                <w:numId w:val="0"/>
              </w:numPr>
              <w:ind w:leftChars="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5. </w:t>
            </w:r>
            <w:r>
              <w:rPr>
                <w:rFonts w:ascii="Times New Roman" w:hAnsi="Times New Roman" w:cs="Times New Roman"/>
                <w:color w:val="auto"/>
                <w:szCs w:val="21"/>
                <w:highlight w:val="none"/>
              </w:rPr>
              <w:t>预置8个IO接口用于与传感器电磁阀等进行简单外部通信，并且接口数量可根据实际需求增加；</w:t>
            </w:r>
          </w:p>
          <w:p w14:paraId="49C76223">
            <w:pPr>
              <w:numPr>
                <w:ilvl w:val="0"/>
                <w:numId w:val="0"/>
              </w:numPr>
              <w:ind w:leftChars="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6. </w:t>
            </w:r>
            <w:r>
              <w:rPr>
                <w:rFonts w:ascii="Times New Roman" w:hAnsi="Times New Roman" w:cs="Times New Roman"/>
                <w:color w:val="auto"/>
                <w:szCs w:val="21"/>
                <w:highlight w:val="none"/>
              </w:rPr>
              <w:t>开放机器人控制器通讯接口，用户可根据TCP协议，实现与机器人的通讯；</w:t>
            </w:r>
          </w:p>
          <w:p w14:paraId="010CB99A">
            <w:pPr>
              <w:numPr>
                <w:ilvl w:val="0"/>
                <w:numId w:val="0"/>
              </w:numPr>
              <w:ind w:leftChars="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7. </w:t>
            </w:r>
            <w:r>
              <w:rPr>
                <w:rFonts w:ascii="Times New Roman" w:hAnsi="Times New Roman" w:cs="Times New Roman"/>
                <w:color w:val="auto"/>
                <w:szCs w:val="21"/>
                <w:highlight w:val="none"/>
              </w:rPr>
              <w:t>预留外部轴接口，允许扩展最多3个外部轴实现9轴联动；</w:t>
            </w:r>
          </w:p>
          <w:p w14:paraId="6038F719">
            <w:pPr>
              <w:numPr>
                <w:ilvl w:val="0"/>
                <w:numId w:val="0"/>
              </w:numPr>
              <w:ind w:leftChars="0"/>
              <w:rPr>
                <w:rFonts w:ascii="Times New Roman" w:hAnsi="Times New Roman" w:cs="Times New Roman"/>
                <w:color w:val="auto"/>
                <w:szCs w:val="21"/>
                <w:highlight w:val="none"/>
              </w:rPr>
            </w:pPr>
            <w:r>
              <w:rPr>
                <w:rFonts w:hint="eastAsia"/>
                <w:color w:val="auto"/>
                <w:highlight w:val="none"/>
              </w:rPr>
              <w:t>▲</w:t>
            </w:r>
            <w:r>
              <w:rPr>
                <w:rFonts w:hint="eastAsia"/>
                <w:color w:val="auto"/>
                <w:highlight w:val="none"/>
                <w:lang w:val="en-US" w:eastAsia="zh-CN"/>
              </w:rPr>
              <w:t xml:space="preserve">8. </w:t>
            </w:r>
            <w:r>
              <w:rPr>
                <w:rFonts w:ascii="Times New Roman" w:hAnsi="Times New Roman" w:cs="Times New Roman"/>
                <w:color w:val="auto"/>
                <w:szCs w:val="21"/>
                <w:highlight w:val="none"/>
              </w:rPr>
              <w:t>系统内配置弧焊软件包，针对弧焊应用的优化功能、简化操作，内置多层多道焊接软件包、摆弧焊软件包、接触寻位软件包、电弧跟踪软件包、折返焊软件包等常用及进阶焊接功能</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需提供软件功能截图</w:t>
            </w:r>
            <w:r>
              <w:rPr>
                <w:rFonts w:hint="eastAsia"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w:t>
            </w:r>
          </w:p>
          <w:p w14:paraId="046C7618">
            <w:pPr>
              <w:numPr>
                <w:ilvl w:val="0"/>
                <w:numId w:val="0"/>
              </w:numPr>
              <w:ind w:leftChars="0"/>
              <w:rPr>
                <w:rFonts w:ascii="Times New Roman" w:hAnsi="Times New Roman"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color w:val="auto"/>
                <w:highlight w:val="none"/>
                <w:lang w:val="en-US" w:eastAsia="zh-CN"/>
              </w:rPr>
              <w:t xml:space="preserve">9. </w:t>
            </w:r>
            <w:r>
              <w:rPr>
                <w:rFonts w:ascii="Times New Roman" w:hAnsi="Times New Roman" w:cs="Times New Roman"/>
                <w:color w:val="auto"/>
                <w:szCs w:val="21"/>
                <w:highlight w:val="none"/>
              </w:rPr>
              <w:t>可通过机器人控制器在实际焊接过程中不断弧情况下切换脉冲、低飞溅、恒压等模式</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cs="Times New Roman"/>
                <w:color w:val="auto"/>
                <w:szCs w:val="21"/>
                <w:highlight w:val="none"/>
              </w:rPr>
              <w:t>；</w:t>
            </w:r>
          </w:p>
          <w:p w14:paraId="4FFB26E6">
            <w:pPr>
              <w:numPr>
                <w:ilvl w:val="0"/>
                <w:numId w:val="0"/>
              </w:numPr>
              <w:ind w:left="0" w:leftChars="0"/>
              <w:rPr>
                <w:rFonts w:ascii="Times New Roman" w:hAnsi="Times New Roman" w:cs="Times New Roman"/>
                <w:color w:val="auto"/>
                <w:szCs w:val="21"/>
                <w:highlight w:val="none"/>
              </w:rPr>
            </w:pPr>
            <w:r>
              <w:rPr>
                <w:rFonts w:ascii="Times New Roman" w:hAnsi="Times New Roman" w:cs="Times New Roman" w:eastAsiaTheme="minorEastAsia"/>
                <w:color w:val="auto"/>
                <w:kern w:val="2"/>
                <w:sz w:val="21"/>
                <w:szCs w:val="21"/>
                <w:highlight w:val="none"/>
                <w:lang w:val="en-US" w:eastAsia="zh-CN" w:bidi="ar-SA"/>
              </w:rPr>
              <w:t>10.</w:t>
            </w:r>
            <w:r>
              <w:rPr>
                <w:rFonts w:ascii="Times New Roman" w:hAnsi="Times New Roman" w:cs="Times New Roman"/>
                <w:color w:val="auto"/>
                <w:szCs w:val="21"/>
                <w:highlight w:val="none"/>
              </w:rPr>
              <w:t>根据客户需求系统预留接口可扩展增加激光焊缝跟踪功能、机器人视觉功能；</w:t>
            </w:r>
          </w:p>
          <w:p w14:paraId="4FB83D7B">
            <w:pPr>
              <w:numPr>
                <w:ilvl w:val="0"/>
                <w:numId w:val="0"/>
              </w:numPr>
              <w:ind w:leftChars="0"/>
              <w:rPr>
                <w:rFonts w:ascii="Times New Roman" w:hAnsi="Times New Roman" w:cs="Times New Roman"/>
                <w:color w:val="auto"/>
                <w:szCs w:val="21"/>
                <w:highlight w:val="none"/>
              </w:rPr>
            </w:pPr>
            <w:r>
              <w:rPr>
                <w:rFonts w:hint="eastAsia"/>
                <w:color w:val="auto"/>
                <w:highlight w:val="none"/>
              </w:rPr>
              <w:t>▲</w:t>
            </w:r>
            <w:r>
              <w:rPr>
                <w:rFonts w:hint="eastAsia"/>
                <w:color w:val="auto"/>
                <w:highlight w:val="none"/>
                <w:lang w:val="en-US" w:eastAsia="zh-CN"/>
              </w:rPr>
              <w:t xml:space="preserve">11. </w:t>
            </w:r>
            <w:r>
              <w:rPr>
                <w:rFonts w:hint="eastAsia" w:ascii="Times New Roman" w:hAnsi="Times New Roman" w:cs="Times New Roman"/>
                <w:color w:val="auto"/>
                <w:szCs w:val="21"/>
                <w:highlight w:val="none"/>
                <w:lang w:val="en-US" w:eastAsia="zh-CN"/>
              </w:rPr>
              <w:t>所投产品满足近2年</w:t>
            </w:r>
            <w:r>
              <w:rPr>
                <w:rFonts w:hint="eastAsia" w:cs="Times New Roman"/>
                <w:color w:val="auto"/>
                <w:szCs w:val="21"/>
                <w:highlight w:val="none"/>
                <w:lang w:val="en-US" w:eastAsia="zh-CN"/>
              </w:rPr>
              <w:t>（自2024年1月1日以来）省级以上</w:t>
            </w:r>
            <w:r>
              <w:rPr>
                <w:rFonts w:hint="eastAsia" w:ascii="Times New Roman" w:hAnsi="Times New Roman" w:cs="Times New Roman"/>
                <w:color w:val="auto"/>
                <w:szCs w:val="21"/>
                <w:highlight w:val="none"/>
                <w:lang w:val="en-US" w:eastAsia="zh-CN"/>
              </w:rPr>
              <w:t>院校技能大赛使用要求（需提供相关证明材料）；</w:t>
            </w:r>
          </w:p>
          <w:p w14:paraId="116364F2">
            <w:pPr>
              <w:numPr>
                <w:ilvl w:val="0"/>
                <w:numId w:val="0"/>
              </w:numPr>
              <w:ind w:leftChars="0"/>
              <w:rPr>
                <w:rFonts w:ascii="Times New Roman" w:hAnsi="Times New Roman" w:cs="Times New Roman"/>
                <w:color w:val="auto"/>
                <w:szCs w:val="21"/>
                <w:highlight w:val="none"/>
              </w:rPr>
            </w:pPr>
            <w:r>
              <w:rPr>
                <w:rFonts w:hint="eastAsia"/>
                <w:color w:val="auto"/>
                <w:highlight w:val="none"/>
              </w:rPr>
              <w:t>▲</w:t>
            </w:r>
            <w:r>
              <w:rPr>
                <w:rFonts w:hint="eastAsia"/>
                <w:color w:val="auto"/>
                <w:highlight w:val="none"/>
                <w:lang w:val="en-US" w:eastAsia="zh-CN"/>
              </w:rPr>
              <w:t xml:space="preserve">12. </w:t>
            </w:r>
            <w:r>
              <w:rPr>
                <w:rFonts w:ascii="Times New Roman" w:hAnsi="Times New Roman" w:cs="Times New Roman"/>
                <w:b/>
                <w:bCs/>
                <w:color w:val="auto"/>
                <w:szCs w:val="21"/>
                <w:highlight w:val="none"/>
              </w:rPr>
              <w:t>焊接技术大赛合作品牌，获得国家焊接、机器人行业相关奖项</w:t>
            </w:r>
            <w:r>
              <w:rPr>
                <w:rFonts w:hint="eastAsia" w:ascii="Times New Roman" w:hAnsi="Times New Roman" w:cs="Times New Roman"/>
                <w:b/>
                <w:bCs/>
                <w:color w:val="auto"/>
                <w:szCs w:val="21"/>
                <w:highlight w:val="none"/>
                <w:lang w:eastAsia="zh-CN"/>
              </w:rPr>
              <w:t>（</w:t>
            </w:r>
            <w:r>
              <w:rPr>
                <w:rFonts w:hint="eastAsia" w:ascii="Times New Roman" w:hAnsi="Times New Roman" w:cs="Times New Roman"/>
                <w:b/>
                <w:bCs/>
                <w:color w:val="auto"/>
                <w:szCs w:val="21"/>
                <w:highlight w:val="none"/>
                <w:lang w:val="en-US" w:eastAsia="zh-CN"/>
              </w:rPr>
              <w:t>需提供相关证明材料</w:t>
            </w:r>
            <w:r>
              <w:rPr>
                <w:rFonts w:hint="eastAsia" w:ascii="Times New Roman" w:hAnsi="Times New Roman" w:cs="Times New Roman"/>
                <w:b/>
                <w:bCs/>
                <w:color w:val="auto"/>
                <w:szCs w:val="21"/>
                <w:highlight w:val="none"/>
                <w:lang w:eastAsia="zh-CN"/>
              </w:rPr>
              <w:t>）</w:t>
            </w:r>
            <w:r>
              <w:rPr>
                <w:rFonts w:ascii="Times New Roman" w:hAnsi="Times New Roman" w:cs="Times New Roman"/>
                <w:b/>
                <w:bCs/>
                <w:color w:val="auto"/>
                <w:szCs w:val="21"/>
                <w:highlight w:val="none"/>
              </w:rPr>
              <w:t>；</w:t>
            </w:r>
          </w:p>
          <w:p w14:paraId="2D2455BB">
            <w:pPr>
              <w:numPr>
                <w:ilvl w:val="0"/>
                <w:numId w:val="8"/>
              </w:numPr>
              <w:ind w:leftChars="0"/>
              <w:rPr>
                <w:rFonts w:ascii="Times New Roman" w:hAnsi="Times New Roman" w:cs="Times New Roman"/>
                <w:color w:val="auto"/>
                <w:szCs w:val="21"/>
                <w:highlight w:val="none"/>
              </w:rPr>
            </w:pPr>
            <w:r>
              <w:rPr>
                <w:rFonts w:ascii="Times New Roman" w:hAnsi="Times New Roman" w:cs="Times New Roman"/>
                <w:color w:val="auto"/>
                <w:szCs w:val="21"/>
                <w:highlight w:val="none"/>
              </w:rPr>
              <w:t>机器人焊接系统核心技术本体、控制器有自主知识产权；</w:t>
            </w:r>
          </w:p>
          <w:p w14:paraId="65F9BB27">
            <w:pPr>
              <w:numPr>
                <w:ilvl w:val="0"/>
                <w:numId w:val="8"/>
              </w:numPr>
              <w:ind w:left="0" w:leftChars="0"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通过ISO9001-2015质量管理体系认证；</w:t>
            </w:r>
          </w:p>
          <w:p w14:paraId="08F42252">
            <w:pPr>
              <w:numPr>
                <w:ilvl w:val="0"/>
                <w:numId w:val="8"/>
              </w:numPr>
              <w:ind w:left="0" w:leftChars="0" w:firstLine="0" w:firstLineChars="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设备需适配焊工职业技能等级（中/高）考核，提供适配证明；支持校内小班化实训、大赛集中备赛、社会培训批量教学三种模式，操作界面简洁，适配不同基础学员</w:t>
            </w:r>
            <w:r>
              <w:rPr>
                <w:rFonts w:hint="eastAsia" w:cs="Times New Roman"/>
                <w:color w:val="auto"/>
                <w:szCs w:val="21"/>
                <w:highlight w:val="none"/>
                <w:lang w:eastAsia="zh-CN"/>
              </w:rPr>
              <w:t>。</w:t>
            </w:r>
          </w:p>
          <w:p w14:paraId="388DA74D">
            <w:pPr>
              <w:numPr>
                <w:ilvl w:val="0"/>
                <w:numId w:val="0"/>
              </w:numPr>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二、</w:t>
            </w:r>
            <w:r>
              <w:rPr>
                <w:rFonts w:ascii="Times New Roman" w:hAnsi="Times New Roman" w:cs="Times New Roman"/>
                <w:b/>
                <w:bCs/>
                <w:color w:val="auto"/>
                <w:szCs w:val="21"/>
                <w:highlight w:val="none"/>
              </w:rPr>
              <w:t>焊接机器人本体</w:t>
            </w:r>
          </w:p>
          <w:p w14:paraId="2D581089">
            <w:pPr>
              <w:numPr>
                <w:ilvl w:val="0"/>
                <w:numId w:val="9"/>
              </w:numPr>
              <w:rPr>
                <w:rFonts w:ascii="Times New Roman" w:hAnsi="Times New Roman" w:cs="Times New Roman"/>
                <w:color w:val="auto"/>
                <w:szCs w:val="21"/>
                <w:highlight w:val="none"/>
              </w:rPr>
            </w:pPr>
            <w:r>
              <w:rPr>
                <w:rFonts w:ascii="Times New Roman" w:hAnsi="Times New Roman" w:cs="Times New Roman"/>
                <w:color w:val="auto"/>
                <w:szCs w:val="21"/>
                <w:highlight w:val="none"/>
              </w:rPr>
              <w:t>此机型针对弧焊功能设计，采用中空手臂结构，重量轻便、结构紧凑，可实现狭小空间的焊接工作；</w:t>
            </w:r>
          </w:p>
          <w:p w14:paraId="267F3043">
            <w:pPr>
              <w:numPr>
                <w:ilvl w:val="0"/>
                <w:numId w:val="9"/>
              </w:numPr>
              <w:rPr>
                <w:rFonts w:ascii="Times New Roman" w:hAnsi="Times New Roman" w:cs="Times New Roman"/>
                <w:color w:val="auto"/>
                <w:szCs w:val="21"/>
                <w:highlight w:val="none"/>
              </w:rPr>
            </w:pPr>
            <w:r>
              <w:rPr>
                <w:rFonts w:ascii="Times New Roman" w:hAnsi="Times New Roman" w:cs="Times New Roman"/>
                <w:color w:val="auto"/>
                <w:szCs w:val="21"/>
                <w:highlight w:val="none"/>
              </w:rPr>
              <w:t>工作空间大、运行速度快、定位精度高，适用于各种高焊接质量要求的工作；</w:t>
            </w:r>
          </w:p>
          <w:p w14:paraId="786B41AB">
            <w:pPr>
              <w:numPr>
                <w:ilvl w:val="0"/>
                <w:numId w:val="9"/>
              </w:numPr>
              <w:rPr>
                <w:rFonts w:ascii="Times New Roman" w:hAnsi="Times New Roman" w:cs="Times New Roman"/>
                <w:color w:val="auto"/>
                <w:szCs w:val="21"/>
                <w:highlight w:val="none"/>
              </w:rPr>
            </w:pPr>
            <w:r>
              <w:rPr>
                <w:rFonts w:ascii="Times New Roman" w:hAnsi="Times New Roman" w:cs="Times New Roman"/>
                <w:color w:val="auto"/>
                <w:szCs w:val="21"/>
                <w:highlight w:val="none"/>
              </w:rPr>
              <w:t>通过加装机身罩盖实现防尘防滴适应各种恶劣的工作环境；</w:t>
            </w:r>
          </w:p>
          <w:p w14:paraId="45C33A54">
            <w:pPr>
              <w:numPr>
                <w:ilvl w:val="0"/>
                <w:numId w:val="9"/>
              </w:numPr>
              <w:rPr>
                <w:rFonts w:ascii="Times New Roman" w:hAnsi="Times New Roman" w:cs="Times New Roman"/>
                <w:color w:val="auto"/>
                <w:szCs w:val="21"/>
                <w:highlight w:val="none"/>
              </w:rPr>
            </w:pPr>
            <w:r>
              <w:rPr>
                <w:rFonts w:ascii="Times New Roman" w:hAnsi="Times New Roman" w:cs="Times New Roman"/>
                <w:color w:val="auto"/>
                <w:szCs w:val="21"/>
                <w:highlight w:val="none"/>
              </w:rPr>
              <w:t>支持地面、吊装等多种安装方式</w:t>
            </w:r>
          </w:p>
          <w:p w14:paraId="6DA17012">
            <w:pPr>
              <w:numPr>
                <w:ilvl w:val="0"/>
                <w:numId w:val="9"/>
              </w:numPr>
              <w:rPr>
                <w:rFonts w:ascii="Times New Roman" w:hAnsi="Times New Roman" w:cs="Times New Roman"/>
                <w:color w:val="auto"/>
                <w:szCs w:val="21"/>
                <w:highlight w:val="none"/>
              </w:rPr>
            </w:pPr>
            <w:r>
              <w:rPr>
                <w:rFonts w:ascii="Times New Roman" w:hAnsi="Times New Roman" w:cs="Times New Roman"/>
                <w:color w:val="auto"/>
                <w:szCs w:val="21"/>
                <w:highlight w:val="none"/>
              </w:rPr>
              <w:t>焊接机器人本体参数：</w:t>
            </w:r>
          </w:p>
          <w:p w14:paraId="65554E49">
            <w:pPr>
              <w:rPr>
                <w:rFonts w:ascii="Times New Roman" w:hAnsi="Times New Roman" w:cs="Times New Roman"/>
                <w:color w:val="auto"/>
                <w:szCs w:val="21"/>
                <w:highlight w:val="none"/>
              </w:rPr>
            </w:pPr>
            <w:r>
              <w:rPr>
                <w:rFonts w:ascii="Times New Roman" w:hAnsi="Times New Roman" w:cs="Times New Roman"/>
                <w:color w:val="auto"/>
                <w:szCs w:val="21"/>
                <w:highlight w:val="none"/>
              </w:rPr>
              <w:t>自由度：6</w:t>
            </w:r>
          </w:p>
          <w:p w14:paraId="14A92827">
            <w:pPr>
              <w:rPr>
                <w:rFonts w:ascii="Times New Roman" w:hAnsi="Times New Roman" w:cs="Times New Roman"/>
                <w:color w:val="auto"/>
                <w:szCs w:val="21"/>
                <w:highlight w:val="none"/>
              </w:rPr>
            </w:pPr>
            <w:r>
              <w:rPr>
                <w:rFonts w:ascii="Times New Roman" w:hAnsi="Times New Roman" w:cs="Times New Roman"/>
                <w:color w:val="auto"/>
                <w:szCs w:val="21"/>
                <w:highlight w:val="none"/>
              </w:rPr>
              <w:t>最大负载能力：≥12Kg</w:t>
            </w:r>
          </w:p>
          <w:p w14:paraId="38762DA5">
            <w:pPr>
              <w:rPr>
                <w:rFonts w:ascii="Times New Roman" w:hAnsi="Times New Roman" w:cs="Times New Roman"/>
                <w:color w:val="auto"/>
                <w:szCs w:val="21"/>
                <w:highlight w:val="none"/>
              </w:rPr>
            </w:pPr>
            <w:r>
              <w:rPr>
                <w:rFonts w:ascii="Times New Roman" w:hAnsi="Times New Roman" w:cs="Times New Roman"/>
                <w:color w:val="auto"/>
                <w:szCs w:val="21"/>
                <w:highlight w:val="none"/>
              </w:rPr>
              <w:t>重复定位精度：±0.05mm</w:t>
            </w:r>
          </w:p>
          <w:p w14:paraId="28C1E5BD">
            <w:pPr>
              <w:rPr>
                <w:rFonts w:ascii="Times New Roman" w:hAnsi="Times New Roman" w:cs="Times New Roman"/>
                <w:color w:val="auto"/>
                <w:szCs w:val="21"/>
                <w:highlight w:val="none"/>
              </w:rPr>
            </w:pPr>
            <w:r>
              <w:rPr>
                <w:rFonts w:ascii="Times New Roman" w:hAnsi="Times New Roman" w:cs="Times New Roman"/>
                <w:color w:val="auto"/>
                <w:szCs w:val="21"/>
                <w:highlight w:val="none"/>
              </w:rPr>
              <w:t>最大运动半径：14</w:t>
            </w:r>
            <w:r>
              <w:rPr>
                <w:rFonts w:hint="eastAsia" w:ascii="Times New Roman" w:hAnsi="Times New Roman" w:cs="Times New Roman"/>
                <w:color w:val="auto"/>
                <w:szCs w:val="21"/>
                <w:highlight w:val="none"/>
                <w:lang w:val="en-US" w:eastAsia="zh-CN"/>
              </w:rPr>
              <w:t>30</w:t>
            </w:r>
            <w:r>
              <w:rPr>
                <w:rFonts w:ascii="Times New Roman" w:hAnsi="Times New Roman" w:cs="Times New Roman"/>
                <w:color w:val="auto"/>
                <w:szCs w:val="21"/>
                <w:highlight w:val="none"/>
              </w:rPr>
              <w:t>mm</w:t>
            </w:r>
            <w:r>
              <w:rPr>
                <w:rFonts w:ascii="Times New Roman" w:hAnsi="Times New Roman" w:cs="Times New Roman"/>
                <w:color w:val="auto"/>
                <w:kern w:val="0"/>
                <w:szCs w:val="21"/>
                <w:highlight w:val="none"/>
                <w:lang w:bidi="ar"/>
              </w:rPr>
              <w:t xml:space="preserve"> </w:t>
            </w:r>
          </w:p>
          <w:p w14:paraId="3197527C">
            <w:pPr>
              <w:widowControl/>
              <w:jc w:val="left"/>
              <w:rPr>
                <w:rFonts w:ascii="Times New Roman" w:hAnsi="Times New Roman" w:cs="Times New Roman"/>
                <w:color w:val="auto"/>
                <w:szCs w:val="21"/>
                <w:highlight w:val="none"/>
              </w:rPr>
            </w:pPr>
            <w:r>
              <w:rPr>
                <w:rFonts w:ascii="Times New Roman" w:hAnsi="Times New Roman" w:cs="Times New Roman"/>
                <w:color w:val="auto"/>
                <w:kern w:val="0"/>
                <w:szCs w:val="21"/>
                <w:highlight w:val="none"/>
                <w:lang w:bidi="ar"/>
              </w:rPr>
              <w:t>6.</w:t>
            </w:r>
            <w:r>
              <w:rPr>
                <w:rFonts w:ascii="Times New Roman" w:hAnsi="Times New Roman" w:cs="Times New Roman"/>
                <w:color w:val="auto"/>
                <w:szCs w:val="21"/>
                <w:highlight w:val="none"/>
              </w:rPr>
              <w:t xml:space="preserve">本体重量：≤150KG； </w:t>
            </w:r>
          </w:p>
          <w:p w14:paraId="15443C30">
            <w:pPr>
              <w:widowControl/>
              <w:jc w:val="left"/>
              <w:rPr>
                <w:rFonts w:ascii="Times New Roman" w:hAnsi="Times New Roman" w:cs="Times New Roman"/>
                <w:color w:val="auto"/>
                <w:szCs w:val="21"/>
                <w:highlight w:val="none"/>
              </w:rPr>
            </w:pPr>
            <w:r>
              <w:rPr>
                <w:rFonts w:ascii="Times New Roman" w:hAnsi="Times New Roman" w:cs="Times New Roman"/>
                <w:color w:val="auto"/>
                <w:kern w:val="0"/>
                <w:szCs w:val="21"/>
                <w:highlight w:val="none"/>
                <w:lang w:bidi="ar"/>
              </w:rPr>
              <w:t>7.</w:t>
            </w:r>
            <w:r>
              <w:rPr>
                <w:rFonts w:ascii="Times New Roman" w:hAnsi="Times New Roman" w:cs="Times New Roman"/>
                <w:color w:val="auto"/>
                <w:szCs w:val="21"/>
                <w:highlight w:val="none"/>
              </w:rPr>
              <w:t xml:space="preserve">动作范围： </w:t>
            </w:r>
          </w:p>
          <w:p w14:paraId="75C5A872">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轴（旋转）：±175°； </w:t>
            </w:r>
          </w:p>
          <w:p w14:paraId="3ADC014B">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轴（下臂）：+159°，-97°； </w:t>
            </w:r>
          </w:p>
          <w:p w14:paraId="252A7908">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 轴（上臂）：+150°，-125°； </w:t>
            </w:r>
          </w:p>
          <w:p w14:paraId="6971F920">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 轴（手臂旋转）：±200°； </w:t>
            </w:r>
          </w:p>
          <w:p w14:paraId="546F3CEE">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 轴（手臂摆动）：±150°； </w:t>
            </w:r>
          </w:p>
          <w:p w14:paraId="4A815D69">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6 轴（手臂回转）：±360°；</w:t>
            </w:r>
            <w:r>
              <w:rPr>
                <w:rFonts w:ascii="Times New Roman" w:hAnsi="Times New Roman" w:cs="Times New Roman"/>
                <w:color w:val="auto"/>
                <w:kern w:val="0"/>
                <w:szCs w:val="21"/>
                <w:highlight w:val="none"/>
                <w:lang w:bidi="ar"/>
              </w:rPr>
              <w:t xml:space="preserve"> </w:t>
            </w:r>
          </w:p>
          <w:p w14:paraId="5FE97503">
            <w:pPr>
              <w:widowControl/>
              <w:jc w:val="left"/>
              <w:rPr>
                <w:rFonts w:ascii="Times New Roman" w:hAnsi="Times New Roman" w:cs="Times New Roman"/>
                <w:color w:val="auto"/>
                <w:szCs w:val="21"/>
                <w:highlight w:val="none"/>
              </w:rPr>
            </w:pPr>
            <w:r>
              <w:rPr>
                <w:rFonts w:ascii="Times New Roman" w:hAnsi="Times New Roman" w:cs="Times New Roman"/>
                <w:color w:val="auto"/>
                <w:kern w:val="0"/>
                <w:szCs w:val="21"/>
                <w:highlight w:val="none"/>
                <w:lang w:bidi="ar"/>
              </w:rPr>
              <w:t>8.</w:t>
            </w:r>
            <w:r>
              <w:rPr>
                <w:rFonts w:ascii="Times New Roman" w:hAnsi="Times New Roman" w:cs="Times New Roman"/>
                <w:color w:val="auto"/>
                <w:szCs w:val="21"/>
                <w:highlight w:val="none"/>
              </w:rPr>
              <w:t xml:space="preserve">最大速度： </w:t>
            </w:r>
          </w:p>
          <w:p w14:paraId="1A3AD533">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轴（旋转）：220°/s； </w:t>
            </w:r>
          </w:p>
          <w:p w14:paraId="5E11C896">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轴（下臂）：230°/s； </w:t>
            </w:r>
          </w:p>
          <w:p w14:paraId="6B491222">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 轴（上臂）：240°/s； </w:t>
            </w:r>
          </w:p>
          <w:p w14:paraId="6D4994EA">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 轴（手臂旋转）：360°/s； </w:t>
            </w:r>
          </w:p>
          <w:p w14:paraId="3AE2CADF">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 轴（手臂摆动）：320°/s； </w:t>
            </w:r>
          </w:p>
          <w:p w14:paraId="298D9C36">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6 轴（手臂回转）：974°/s；</w:t>
            </w:r>
            <w:r>
              <w:rPr>
                <w:rFonts w:ascii="Times New Roman" w:hAnsi="Times New Roman" w:cs="Times New Roman"/>
                <w:color w:val="auto"/>
                <w:kern w:val="0"/>
                <w:szCs w:val="21"/>
                <w:highlight w:val="none"/>
                <w:lang w:bidi="ar"/>
              </w:rPr>
              <w:t xml:space="preserve"> </w:t>
            </w:r>
          </w:p>
          <w:p w14:paraId="38AE9D3B">
            <w:pPr>
              <w:widowControl/>
              <w:jc w:val="left"/>
              <w:rPr>
                <w:rFonts w:ascii="Times New Roman" w:hAnsi="Times New Roman" w:cs="Times New Roman"/>
                <w:color w:val="auto"/>
                <w:szCs w:val="21"/>
                <w:highlight w:val="none"/>
              </w:rPr>
            </w:pPr>
            <w:r>
              <w:rPr>
                <w:rFonts w:ascii="Times New Roman" w:hAnsi="Times New Roman" w:cs="Times New Roman"/>
                <w:color w:val="auto"/>
                <w:kern w:val="0"/>
                <w:szCs w:val="21"/>
                <w:highlight w:val="none"/>
                <w:lang w:bidi="ar"/>
              </w:rPr>
              <w:t>9.</w:t>
            </w:r>
            <w:r>
              <w:rPr>
                <w:rFonts w:ascii="Times New Roman" w:hAnsi="Times New Roman" w:cs="Times New Roman"/>
                <w:color w:val="auto"/>
                <w:szCs w:val="21"/>
                <w:highlight w:val="none"/>
              </w:rPr>
              <w:t xml:space="preserve">容许惯性力矩： </w:t>
            </w:r>
          </w:p>
          <w:p w14:paraId="1DD2C391">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 轴（手臂旋转）：22N·m； </w:t>
            </w:r>
          </w:p>
          <w:p w14:paraId="39A55111">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5 轴（手臂摆动）：22N·m；</w:t>
            </w:r>
            <w:r>
              <w:rPr>
                <w:rFonts w:ascii="Times New Roman" w:hAnsi="Times New Roman" w:cs="Times New Roman"/>
                <w:color w:val="auto"/>
                <w:kern w:val="0"/>
                <w:szCs w:val="21"/>
                <w:highlight w:val="none"/>
                <w:lang w:bidi="ar"/>
              </w:rPr>
              <w:t xml:space="preserve"> </w:t>
            </w:r>
          </w:p>
          <w:p w14:paraId="1623C648">
            <w:pPr>
              <w:widowControl/>
              <w:ind w:firstLine="210" w:firstLineChars="10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6 轴（手臂回转）：15N·m</w:t>
            </w:r>
          </w:p>
          <w:p w14:paraId="757A681C">
            <w:pPr>
              <w:widowControl/>
              <w:jc w:val="left"/>
              <w:rPr>
                <w:rFonts w:ascii="Times New Roman" w:hAnsi="Times New Roman" w:cs="Times New Roman"/>
                <w:color w:val="auto"/>
                <w:kern w:val="0"/>
                <w:szCs w:val="21"/>
                <w:highlight w:val="none"/>
                <w:lang w:bidi="ar"/>
              </w:rPr>
            </w:pPr>
            <w:r>
              <w:rPr>
                <w:rFonts w:ascii="Times New Roman" w:hAnsi="Times New Roman" w:cs="Times New Roman"/>
                <w:color w:val="auto"/>
                <w:kern w:val="0"/>
                <w:szCs w:val="21"/>
                <w:highlight w:val="none"/>
                <w:lang w:bidi="ar"/>
              </w:rPr>
              <w:t>10.</w:t>
            </w:r>
            <w:r>
              <w:rPr>
                <w:rFonts w:ascii="Times New Roman" w:hAnsi="Times New Roman" w:cs="Times New Roman"/>
                <w:color w:val="auto"/>
                <w:szCs w:val="21"/>
                <w:highlight w:val="none"/>
              </w:rPr>
              <w:t>驱动方式：交流伺服电机</w:t>
            </w:r>
          </w:p>
          <w:p w14:paraId="73F8DD99">
            <w:pPr>
              <w:widowControl/>
              <w:jc w:val="left"/>
              <w:rPr>
                <w:rFonts w:ascii="Times New Roman" w:hAnsi="Times New Roman" w:cs="Times New Roman"/>
                <w:color w:val="auto"/>
                <w:kern w:val="0"/>
                <w:szCs w:val="21"/>
                <w:highlight w:val="none"/>
                <w:lang w:bidi="ar"/>
              </w:rPr>
            </w:pPr>
            <w:r>
              <w:rPr>
                <w:rFonts w:ascii="Times New Roman" w:hAnsi="Times New Roman" w:cs="Times New Roman"/>
                <w:color w:val="auto"/>
                <w:kern w:val="0"/>
                <w:szCs w:val="21"/>
                <w:highlight w:val="none"/>
                <w:lang w:bidi="ar"/>
              </w:rPr>
              <w:t>11.</w:t>
            </w:r>
            <w:r>
              <w:rPr>
                <w:rFonts w:ascii="Times New Roman" w:hAnsi="Times New Roman" w:cs="Times New Roman"/>
                <w:color w:val="auto"/>
                <w:szCs w:val="21"/>
                <w:highlight w:val="none"/>
              </w:rPr>
              <w:t>防护等级：IP54</w:t>
            </w:r>
          </w:p>
          <w:p w14:paraId="2D5A3849">
            <w:pPr>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三</w:t>
            </w:r>
            <w:r>
              <w:rPr>
                <w:rFonts w:ascii="Times New Roman" w:hAnsi="Times New Roman" w:cs="Times New Roman"/>
                <w:b/>
                <w:bCs/>
                <w:color w:val="auto"/>
                <w:szCs w:val="21"/>
                <w:highlight w:val="none"/>
              </w:rPr>
              <w:t>、机器人电控柜</w:t>
            </w:r>
          </w:p>
          <w:p w14:paraId="792E0C2D">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电控柜的小型化、紧凑化，可以更加节省空间；</w:t>
            </w:r>
          </w:p>
          <w:p w14:paraId="76961B5F">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模块化设计预留各种外扩接口，便于扩展，系统预留mes接口；</w:t>
            </w:r>
          </w:p>
          <w:p w14:paraId="77A5039E">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预留2个外部轴的安装空间</w:t>
            </w:r>
          </w:p>
          <w:p w14:paraId="1088CB33">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机器人控制器内置数字孪生应用的数据格式描述和开发接口支持，用户可以进行相关的应用开发；</w:t>
            </w:r>
          </w:p>
          <w:p w14:paraId="6AE80E4F">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配备集成语言编程系统和图形示教软件，操作界面友好，便于机器人的编程操作和应用培训；</w:t>
            </w:r>
          </w:p>
          <w:p w14:paraId="6379E209">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以太网总线远程调试；</w:t>
            </w:r>
          </w:p>
          <w:p w14:paraId="55E15E7E">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电柜参数：</w:t>
            </w:r>
          </w:p>
          <w:p w14:paraId="41F2DED7">
            <w:pPr>
              <w:ind w:firstLine="420" w:firstLineChars="200"/>
              <w:rPr>
                <w:rFonts w:ascii="Times New Roman" w:hAnsi="Times New Roman" w:cs="Times New Roman"/>
                <w:color w:val="auto"/>
                <w:szCs w:val="21"/>
                <w:highlight w:val="none"/>
              </w:rPr>
            </w:pPr>
            <w:r>
              <w:rPr>
                <w:rFonts w:ascii="Times New Roman" w:hAnsi="Times New Roman" w:cs="Times New Roman"/>
                <w:color w:val="auto"/>
                <w:szCs w:val="21"/>
                <w:highlight w:val="none"/>
              </w:rPr>
              <w:t>电源容量：2.6KVA</w:t>
            </w:r>
          </w:p>
          <w:p w14:paraId="1D5BBA7F">
            <w:pPr>
              <w:ind w:firstLine="420" w:firstLineChars="200"/>
              <w:rPr>
                <w:rFonts w:ascii="Times New Roman" w:hAnsi="Times New Roman" w:cs="Times New Roman"/>
                <w:color w:val="auto"/>
                <w:szCs w:val="21"/>
                <w:highlight w:val="none"/>
              </w:rPr>
            </w:pPr>
            <w:r>
              <w:rPr>
                <w:rFonts w:ascii="Times New Roman" w:hAnsi="Times New Roman" w:cs="Times New Roman"/>
                <w:color w:val="auto"/>
                <w:szCs w:val="21"/>
                <w:highlight w:val="none"/>
              </w:rPr>
              <w:t>输入电源：单相AC220V±10%</w:t>
            </w:r>
          </w:p>
          <w:p w14:paraId="630E4C30">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防护等级：IP54</w:t>
            </w:r>
          </w:p>
          <w:p w14:paraId="368DB42A">
            <w:pPr>
              <w:numPr>
                <w:ilvl w:val="0"/>
                <w:numId w:val="10"/>
              </w:numPr>
              <w:rPr>
                <w:rFonts w:ascii="Times New Roman" w:hAnsi="Times New Roman" w:cs="Times New Roman"/>
                <w:color w:val="auto"/>
                <w:szCs w:val="21"/>
                <w:highlight w:val="none"/>
              </w:rPr>
            </w:pPr>
            <w:r>
              <w:rPr>
                <w:rFonts w:ascii="Times New Roman" w:hAnsi="Times New Roman" w:cs="Times New Roman"/>
                <w:color w:val="auto"/>
                <w:szCs w:val="21"/>
                <w:highlight w:val="none"/>
              </w:rPr>
              <w:t>尺寸：600x480x920mm</w:t>
            </w:r>
          </w:p>
          <w:p w14:paraId="75458A38">
            <w:pPr>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四</w:t>
            </w:r>
            <w:r>
              <w:rPr>
                <w:rFonts w:ascii="Times New Roman" w:hAnsi="Times New Roman" w:cs="Times New Roman"/>
                <w:b/>
                <w:bCs/>
                <w:color w:val="auto"/>
                <w:szCs w:val="21"/>
                <w:highlight w:val="none"/>
              </w:rPr>
              <w:t>、机器人示教器</w:t>
            </w:r>
          </w:p>
          <w:p w14:paraId="07D473D1">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8寸VGA分辨率彩色LCD触摸屏；</w:t>
            </w:r>
          </w:p>
          <w:p w14:paraId="7C6BDAEF">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分布式网络设计，支持单示教器适配多机器人控制单元，方便工厂管理，焊接指令快捷键，高级弧焊包、寻位、电弧跟踪、多层多道工艺包，恒压、低飞溅、脉冲不停弧的情况下切换等；</w:t>
            </w:r>
          </w:p>
          <w:p w14:paraId="50BB0400">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嵌入式+实时系统架构，支持中、英文界面，支持中文指令；</w:t>
            </w:r>
          </w:p>
          <w:p w14:paraId="31955389">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具有本地高速I/O接口，支持PS2，USB</w:t>
            </w:r>
            <w:r>
              <w:rPr>
                <w:rFonts w:hint="eastAsia" w:cs="Times New Roman"/>
                <w:color w:val="auto"/>
                <w:szCs w:val="21"/>
                <w:highlight w:val="none"/>
                <w:lang w:eastAsia="zh-CN"/>
              </w:rPr>
              <w:t>，</w:t>
            </w:r>
            <w:r>
              <w:rPr>
                <w:rFonts w:ascii="Times New Roman" w:hAnsi="Times New Roman" w:cs="Times New Roman"/>
                <w:color w:val="auto"/>
                <w:szCs w:val="21"/>
                <w:highlight w:val="none"/>
              </w:rPr>
              <w:t>RS232接口协议；</w:t>
            </w:r>
          </w:p>
          <w:p w14:paraId="48B278F3">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低功耗嵌入式技术，无风扇解决方案；</w:t>
            </w:r>
          </w:p>
          <w:p w14:paraId="01D6D560">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支持系统监控功能，监视面板的监视项包括： 坐标、时间、电机、IO、变量、工艺等31项监视内容；</w:t>
            </w:r>
          </w:p>
          <w:p w14:paraId="29C48836">
            <w:pPr>
              <w:numPr>
                <w:ilvl w:val="0"/>
                <w:numId w:val="11"/>
              </w:numPr>
              <w:rPr>
                <w:rFonts w:ascii="Times New Roman" w:hAnsi="Times New Roman" w:cs="Times New Roman"/>
                <w:color w:val="auto"/>
                <w:szCs w:val="21"/>
                <w:highlight w:val="none"/>
              </w:rPr>
            </w:pPr>
            <w:r>
              <w:rPr>
                <w:rFonts w:ascii="Times New Roman" w:hAnsi="Times New Roman" w:cs="Times New Roman"/>
                <w:color w:val="auto"/>
                <w:szCs w:val="21"/>
                <w:highlight w:val="none"/>
              </w:rPr>
              <w:t>按钮集中分布在右侧和下方，设37个物理按键+1个滚轮（相当于上下键）具备手轮功能及触控笔；</w:t>
            </w:r>
          </w:p>
          <w:p w14:paraId="73AA4C45">
            <w:pPr>
              <w:numPr>
                <w:ilvl w:val="0"/>
                <w:numId w:val="0"/>
              </w:numPr>
              <w:ind w:leftChars="0"/>
              <w:rPr>
                <w:rFonts w:ascii="Times New Roman" w:hAnsi="Times New Roman" w:cs="Times New Roman"/>
                <w:color w:val="auto"/>
                <w:szCs w:val="21"/>
                <w:highlight w:val="none"/>
              </w:rPr>
            </w:pPr>
            <w:r>
              <w:rPr>
                <w:rFonts w:hint="eastAsia"/>
                <w:color w:val="auto"/>
                <w:highlight w:val="none"/>
                <w:lang w:val="en-US" w:eastAsia="zh-CN"/>
              </w:rPr>
              <w:t xml:space="preserve">8. </w:t>
            </w:r>
            <w:r>
              <w:rPr>
                <w:rFonts w:ascii="Times New Roman" w:hAnsi="Times New Roman" w:cs="Times New Roman"/>
                <w:color w:val="auto"/>
                <w:szCs w:val="21"/>
                <w:highlight w:val="none"/>
              </w:rPr>
              <w:t>示教器下方物理按键F1-F8可自定义按键8个为用户提供便捷、高效的操作体验。具有专用按钮，如打开关闭程序文件按钮、删除程序文件按钮、打开程序文件按钮、打开/关闭监视器按钮、切换运行模式按钮（单步、连续、循环）、切换工作机构按钮（机器人、变位机）、前进、后退按钮、一键回零按钮 ；</w:t>
            </w:r>
          </w:p>
          <w:p w14:paraId="0EF1C602">
            <w:pPr>
              <w:numPr>
                <w:ilvl w:val="0"/>
                <w:numId w:val="0"/>
              </w:numPr>
              <w:ind w:leftChars="0"/>
              <w:rPr>
                <w:rFonts w:hint="eastAsia" w:ascii="Times New Roman" w:hAnsi="Times New Roman" w:eastAsia="宋体" w:cs="Times New Roman"/>
                <w:color w:val="auto"/>
                <w:szCs w:val="21"/>
                <w:highlight w:val="none"/>
                <w:lang w:val="en-US" w:eastAsia="zh-CN"/>
              </w:rPr>
            </w:pPr>
            <w:r>
              <w:rPr>
                <w:rFonts w:hint="eastAsia"/>
                <w:color w:val="auto"/>
                <w:highlight w:val="none"/>
                <w:lang w:val="en-US" w:eastAsia="zh-CN"/>
              </w:rPr>
              <w:t xml:space="preserve">9. </w:t>
            </w:r>
            <w:r>
              <w:rPr>
                <w:rFonts w:ascii="Times New Roman" w:hAnsi="Times New Roman" w:cs="Times New Roman"/>
                <w:color w:val="auto"/>
                <w:szCs w:val="21"/>
                <w:highlight w:val="none"/>
              </w:rPr>
              <w:t>主界面三项防误操作功能：1. 防误触开关；2.软快捷按钮面板；3. 回显最近一次调用窗口；</w:t>
            </w:r>
          </w:p>
          <w:p w14:paraId="356EC30E">
            <w:pPr>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五、离线编程系统</w:t>
            </w:r>
          </w:p>
          <w:p w14:paraId="753DD1D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与实际示教器操作界面一致；</w:t>
            </w:r>
          </w:p>
          <w:p w14:paraId="5FA90D0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程序编辑及修改与实际程序对比进行判断问题；</w:t>
            </w:r>
          </w:p>
          <w:p w14:paraId="7366E95D">
            <w:pPr>
              <w:keepNext w:val="0"/>
              <w:keepLines w:val="0"/>
              <w:pageBreakBefore w:val="0"/>
              <w:widowControl w:val="0"/>
              <w:kinsoku/>
              <w:wordWrap/>
              <w:overflowPunct/>
              <w:topLinePunct w:val="0"/>
              <w:autoSpaceDE/>
              <w:autoSpaceDN/>
              <w:bidi w:val="0"/>
              <w:adjustRightInd w:val="0"/>
              <w:snapToGrid w:val="0"/>
              <w:ind w:left="0" w:hanging="720" w:hangingChars="300"/>
              <w:jc w:val="left"/>
              <w:textAlignment w:val="auto"/>
              <w:rPr>
                <w:rFonts w:hint="eastAsia" w:ascii="Times New Roman" w:hAnsi="Times New Roman" w:eastAsia="宋体" w:cs="Times New Roman"/>
                <w:color w:val="auto"/>
                <w:szCs w:val="21"/>
                <w:highlight w:val="none"/>
                <w:lang w:eastAsia="zh-CN"/>
              </w:rPr>
            </w:pPr>
            <w:r>
              <w:rPr>
                <w:rFonts w:hint="eastAsia" w:ascii="宋体" w:hAnsi="宋体" w:eastAsia="宋体" w:cs="宋体"/>
                <w:b w:val="0"/>
                <w:bCs/>
                <w:color w:val="auto"/>
                <w:sz w:val="24"/>
                <w:szCs w:val="24"/>
                <w:highlight w:val="none"/>
                <w:lang w:eastAsia="zh-CN"/>
              </w:rPr>
              <w:t>★</w:t>
            </w:r>
            <w:r>
              <w:rPr>
                <w:rFonts w:ascii="Times New Roman" w:hAnsi="Times New Roman" w:eastAsia="宋体" w:cs="Times New Roman"/>
                <w:color w:val="auto"/>
                <w:szCs w:val="21"/>
                <w:highlight w:val="none"/>
              </w:rPr>
              <w:t>3. 提供对焊接工艺文件参数的全面编辑功能，涵盖起弧与收弧时间、电流与电压设定、模式配置、摆动参数调整以及电弧跟踪参数优化等关键要素；</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p>
          <w:p w14:paraId="28D5754C">
            <w:pPr>
              <w:ind w:left="630" w:hanging="720" w:hangingChars="300"/>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ascii="Times New Roman" w:hAnsi="Times New Roman" w:eastAsia="宋体" w:cs="Times New Roman"/>
                <w:color w:val="auto"/>
                <w:szCs w:val="21"/>
                <w:highlight w:val="none"/>
              </w:rPr>
              <w:t>4. 可编辑焊接工艺文件参数（起弧时间、电流、电压，收弧时间、电流电压，模式设置，摆动参数、电弧跟踪参数等）；</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p>
          <w:p w14:paraId="72703F67">
            <w:pPr>
              <w:ind w:left="630" w:hanging="720" w:hangingChars="300"/>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ascii="Times New Roman" w:hAnsi="Times New Roman" w:eastAsia="宋体" w:cs="Times New Roman"/>
                <w:color w:val="auto"/>
                <w:szCs w:val="21"/>
                <w:highlight w:val="none"/>
              </w:rPr>
              <w:t>5. 监视界面：机器人坐标、运行速度、运行时间、IO监视、焊接电流、电压监视、电机、预约状态、变量、后台程序监视、网络连接监视、动力学模块监视、跟踪监视、编码器监视、PLC、焊接监视；</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p>
          <w:p w14:paraId="2E4D653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程序储存管理可实现快速拷贝等功能</w:t>
            </w:r>
          </w:p>
          <w:p w14:paraId="6A31B48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   模拟按键操作说明等功能；</w:t>
            </w:r>
          </w:p>
          <w:p w14:paraId="0FE81B1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8. </w:t>
            </w:r>
            <w:r>
              <w:rPr>
                <w:rFonts w:hint="eastAsia" w:cs="Times New Roman"/>
                <w:color w:val="auto"/>
                <w:szCs w:val="21"/>
                <w:highlight w:val="none"/>
                <w:lang w:val="en-US" w:eastAsia="zh-CN"/>
              </w:rPr>
              <w:t xml:space="preserve"> </w:t>
            </w:r>
            <w:r>
              <w:rPr>
                <w:rFonts w:ascii="Times New Roman" w:hAnsi="Times New Roman" w:eastAsia="宋体" w:cs="Times New Roman"/>
                <w:color w:val="auto"/>
                <w:szCs w:val="21"/>
                <w:highlight w:val="none"/>
              </w:rPr>
              <w:t xml:space="preserve"> 具备电脑程序安装；</w:t>
            </w:r>
          </w:p>
          <w:p w14:paraId="56648FC8">
            <w:pPr>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六、焊接电源</w:t>
            </w:r>
          </w:p>
          <w:p w14:paraId="6AECD59A">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数字化接口种类丰富，能直接调用客户参数；</w:t>
            </w:r>
          </w:p>
          <w:p w14:paraId="1ACB6F02">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具有恒压、超低飞溅、快速</w:t>
            </w:r>
            <w:r>
              <w:rPr>
                <w:rFonts w:hint="eastAsia" w:cs="Times New Roman"/>
                <w:color w:val="auto"/>
                <w:szCs w:val="21"/>
                <w:highlight w:val="none"/>
                <w:lang w:val="en-US" w:eastAsia="zh-CN"/>
              </w:rPr>
              <w:t>点焊</w:t>
            </w:r>
            <w:r>
              <w:rPr>
                <w:rFonts w:ascii="Times New Roman" w:hAnsi="Times New Roman" w:eastAsia="宋体" w:cs="Times New Roman"/>
                <w:color w:val="auto"/>
                <w:szCs w:val="21"/>
                <w:highlight w:val="none"/>
              </w:rPr>
              <w:t>、多种焊接模式，可以实现碳钢、不锈钢及镀锌板的焊接</w:t>
            </w:r>
          </w:p>
          <w:p w14:paraId="096E4F29">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w:t>
            </w:r>
            <w:r>
              <w:rPr>
                <w:rFonts w:ascii="Times New Roman" w:hAnsi="Times New Roman" w:eastAsia="宋体" w:cs="Times New Roman"/>
                <w:color w:val="auto"/>
                <w:szCs w:val="21"/>
                <w:highlight w:val="none"/>
              </w:rPr>
              <w:t>焊机采用FPGA+CPU全数字化精确控制，控制回路周期0.1us，系统运算时间提升至纳秒级，实现精细化电弧控制；</w:t>
            </w:r>
          </w:p>
          <w:p w14:paraId="67DF8A8B">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使用全新的送丝控制系统采用双闭环光栅反馈，送丝更精确、平稳；</w:t>
            </w:r>
          </w:p>
          <w:p w14:paraId="05D2EE9C">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内置焊接专家数据库，自动智能组合参数；</w:t>
            </w:r>
          </w:p>
          <w:p w14:paraId="081890AC">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操作界面友好、单元调节，易于掌握；</w:t>
            </w:r>
          </w:p>
          <w:p w14:paraId="3172BA3A">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软开关逆变技术，整机可靠性高、节能省电；</w:t>
            </w:r>
          </w:p>
          <w:p w14:paraId="195F0F33">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技术参数：</w:t>
            </w:r>
          </w:p>
          <w:p w14:paraId="6ED6DFF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输入电源：三相380V±10%，50Hz</w:t>
            </w:r>
          </w:p>
          <w:p w14:paraId="445B92D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电源容量：14KVA</w:t>
            </w:r>
          </w:p>
          <w:p w14:paraId="081C7F3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额定输入电流：30A</w:t>
            </w:r>
          </w:p>
          <w:p w14:paraId="4848732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额定输出电压：31.5V</w:t>
            </w:r>
          </w:p>
          <w:p w14:paraId="1E75D49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额定负载持续率：60%</w:t>
            </w:r>
          </w:p>
          <w:p w14:paraId="296A6F2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空载输出电压：</w:t>
            </w:r>
            <w:r>
              <w:rPr>
                <w:rFonts w:hint="eastAsia" w:cs="Times New Roman"/>
                <w:color w:val="auto"/>
                <w:szCs w:val="21"/>
                <w:highlight w:val="none"/>
                <w:lang w:val="en-US" w:eastAsia="zh-CN"/>
              </w:rPr>
              <w:t>96</w:t>
            </w:r>
            <w:r>
              <w:rPr>
                <w:rFonts w:ascii="Times New Roman" w:hAnsi="Times New Roman" w:eastAsia="宋体" w:cs="Times New Roman"/>
                <w:color w:val="auto"/>
                <w:szCs w:val="21"/>
                <w:highlight w:val="none"/>
              </w:rPr>
              <w:t>V</w:t>
            </w:r>
          </w:p>
          <w:p w14:paraId="7336855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输出电流/电压范围：</w:t>
            </w:r>
            <w:r>
              <w:rPr>
                <w:rFonts w:hint="eastAsia" w:cs="Times New Roman"/>
                <w:color w:val="auto"/>
                <w:szCs w:val="21"/>
                <w:highlight w:val="none"/>
                <w:lang w:val="en-US" w:eastAsia="zh-CN"/>
              </w:rPr>
              <w:t>60</w:t>
            </w:r>
            <w:r>
              <w:rPr>
                <w:rFonts w:ascii="Times New Roman" w:hAnsi="Times New Roman" w:eastAsia="宋体" w:cs="Times New Roman"/>
                <w:color w:val="auto"/>
                <w:szCs w:val="21"/>
                <w:highlight w:val="none"/>
              </w:rPr>
              <w:t xml:space="preserve">A/17V～350A/31.5V </w:t>
            </w:r>
          </w:p>
          <w:p w14:paraId="0DA5CBC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焊丝直径：0.8mm、1.0mm、1.2mm</w:t>
            </w:r>
          </w:p>
          <w:p w14:paraId="2C871FE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送丝类型：推丝</w:t>
            </w:r>
          </w:p>
          <w:p w14:paraId="56DFCAD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适应焊丝类型：实心焊丝、药芯焊丝</w:t>
            </w:r>
          </w:p>
          <w:p w14:paraId="62767A5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负载持续率：60％</w:t>
            </w:r>
          </w:p>
          <w:p w14:paraId="764057A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气体流量（L/min）：15～20</w:t>
            </w:r>
          </w:p>
          <w:p w14:paraId="1D70CCF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焊枪冷却方式：水冷/气冷</w:t>
            </w:r>
          </w:p>
          <w:p w14:paraId="0B74B57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外壳防护等级：IP23</w:t>
            </w:r>
          </w:p>
          <w:p w14:paraId="1763635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绝缘等级：H</w:t>
            </w:r>
          </w:p>
          <w:p w14:paraId="5AE7B04A">
            <w:pPr>
              <w:numPr>
                <w:ilvl w:val="0"/>
                <w:numId w:val="0"/>
              </w:numPr>
              <w:ind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防碰撞焊枪</w:t>
            </w:r>
          </w:p>
          <w:p w14:paraId="0562E7F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1安装快捷简便、使用寿命长、性价比高；</w:t>
            </w:r>
          </w:p>
          <w:p w14:paraId="3E6ABE5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2紧凑型设计可在狭小复杂空间使用；</w:t>
            </w:r>
          </w:p>
          <w:p w14:paraId="2014B28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3复位精准碰撞偏移安全空间大；</w:t>
            </w:r>
          </w:p>
          <w:p w14:paraId="55118AE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4高扭矩同轴电缆，使用安全可靠；</w:t>
            </w:r>
          </w:p>
          <w:p w14:paraId="1D09CF87">
            <w:pPr>
              <w:ind w:left="420" w:hanging="420" w:hanging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  碰撞后机器人位置恢复时，焊枪自动恢复，无需再校正焊枪及重新示教 编程，提高了工作站使用效率；</w:t>
            </w:r>
          </w:p>
          <w:p w14:paraId="1C6B3634">
            <w:pPr>
              <w:ind w:left="420" w:hanging="420" w:hanging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焊枪装有碰撞传感器，发生碰撞后，机器人停止运动配合机器人4轴、5轴、6轴自动切换软伺服状态，有效防止碰撞对人员及设备的二次损伤；</w:t>
            </w:r>
          </w:p>
          <w:p w14:paraId="580B194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  额定电流：350A； </w:t>
            </w:r>
          </w:p>
          <w:p w14:paraId="3CD6392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  负载持续率：100%；</w:t>
            </w:r>
          </w:p>
          <w:p w14:paraId="015A432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  枪颈角度：22°-45°；</w:t>
            </w:r>
          </w:p>
          <w:p w14:paraId="7ECF611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10 适合焊丝材质：碳钢、不锈钢、铝合金； </w:t>
            </w:r>
          </w:p>
          <w:p w14:paraId="74CDCB4F">
            <w:pPr>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七、二维柔性焊接平台</w:t>
            </w:r>
          </w:p>
          <w:p w14:paraId="15FD9468">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采用模块化设计安装简便，成本低；</w:t>
            </w:r>
          </w:p>
          <w:p w14:paraId="3C331340">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工作台工作面设置大量标准销孔，配合快锁销可实现工装夹具的快速安装卸除；</w:t>
            </w:r>
          </w:p>
          <w:p w14:paraId="0E76644E">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标准化的夹具模块、定位模块能满足各式产品的装夹定位需求；</w:t>
            </w:r>
          </w:p>
          <w:p w14:paraId="6EF2C6F2">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平台及各模块均做防焊渣飞溅处理，适应焊接需求</w:t>
            </w:r>
            <w:r>
              <w:rPr>
                <w:rFonts w:hint="eastAsia" w:ascii="Times New Roman" w:hAnsi="Times New Roman" w:eastAsia="宋体" w:cs="Times New Roman"/>
                <w:color w:val="auto"/>
                <w:szCs w:val="21"/>
                <w:highlight w:val="none"/>
                <w:lang w:eastAsia="zh-CN"/>
              </w:rPr>
              <w:t>；</w:t>
            </w:r>
          </w:p>
          <w:p w14:paraId="72C71E1C">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尺寸：1000mm×1000mm×700mm（长*宽*高）</w:t>
            </w:r>
            <w:r>
              <w:rPr>
                <w:rFonts w:hint="eastAsia" w:ascii="Times New Roman" w:hAnsi="Times New Roman" w:eastAsia="宋体" w:cs="Times New Roman"/>
                <w:color w:val="auto"/>
                <w:szCs w:val="21"/>
                <w:highlight w:val="none"/>
                <w:lang w:eastAsia="zh-CN"/>
              </w:rPr>
              <w:t>；</w:t>
            </w:r>
          </w:p>
          <w:p w14:paraId="56050618">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6. </w:t>
            </w:r>
            <w:r>
              <w:rPr>
                <w:rFonts w:hint="eastAsia" w:ascii="Times New Roman" w:hAnsi="Times New Roman" w:cs="Times New Roman"/>
                <w:color w:val="auto"/>
                <w:szCs w:val="21"/>
                <w:highlight w:val="none"/>
              </w:rPr>
              <w:t>底板：2000*1500*150mm，方钢上板10mm焊接一体成型，有叉车脚方便移动，预留机器人底座安装螺纹孔，可移动机器人安装位置</w:t>
            </w:r>
            <w:r>
              <w:rPr>
                <w:rFonts w:hint="eastAsia" w:ascii="Times New Roman" w:hAnsi="Times New Roman" w:cs="Times New Roman"/>
                <w:color w:val="auto"/>
                <w:szCs w:val="21"/>
                <w:highlight w:val="none"/>
                <w:lang w:eastAsia="zh-CN"/>
              </w:rPr>
              <w:t>。</w:t>
            </w:r>
          </w:p>
          <w:p w14:paraId="5BDAFD19">
            <w:pPr>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八、防护装置</w:t>
            </w:r>
          </w:p>
          <w:p w14:paraId="7B2C9BB1">
            <w:pPr>
              <w:numPr>
                <w:ilvl w:val="0"/>
                <w:numId w:val="0"/>
              </w:numPr>
              <w:ind w:leftChars="0"/>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3米×3米×2米防护围栏由型材、冷轧板、亚克力板等组合而成，美观、大方，有效阻挡弧光污染的同时不影响观察视野；</w:t>
            </w:r>
          </w:p>
          <w:p w14:paraId="795DDFEA">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配置防护门，增强出入口的防护；</w:t>
            </w:r>
          </w:p>
          <w:p w14:paraId="216415B6">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每个工位安全门上端应配置安全指示灯，机器人处于作业状态时显示红色警告，禁止进入，机器人处于示教或急停状态，解除安全警报，安全门外观察处应配备外部急停按钮；</w:t>
            </w:r>
          </w:p>
          <w:p w14:paraId="30216EF5">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配备视频监控及显示系统；工位配备灭火器2个；</w:t>
            </w:r>
          </w:p>
        </w:tc>
        <w:tc>
          <w:tcPr>
            <w:tcW w:w="825" w:type="dxa"/>
            <w:vAlign w:val="center"/>
          </w:tcPr>
          <w:p w14:paraId="0DAA7E9B">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w:t>
            </w:r>
          </w:p>
        </w:tc>
        <w:tc>
          <w:tcPr>
            <w:tcW w:w="725" w:type="dxa"/>
            <w:shd w:val="clear" w:color="auto" w:fill="auto"/>
            <w:vAlign w:val="center"/>
          </w:tcPr>
          <w:p w14:paraId="0F5A3271">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253A72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672C647E">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3</w:t>
            </w:r>
          </w:p>
        </w:tc>
        <w:tc>
          <w:tcPr>
            <w:tcW w:w="1562" w:type="dxa"/>
            <w:vAlign w:val="center"/>
          </w:tcPr>
          <w:p w14:paraId="2D182784">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焊接机器人虚拟仿真系统</w:t>
            </w:r>
          </w:p>
        </w:tc>
        <w:tc>
          <w:tcPr>
            <w:tcW w:w="5900" w:type="dxa"/>
            <w:vAlign w:val="center"/>
          </w:tcPr>
          <w:p w14:paraId="12B0C275">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一、焊接机器人虚拟仿真系统</w:t>
            </w:r>
          </w:p>
          <w:p w14:paraId="2220AB4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（一）模拟焊接设备主机</w:t>
            </w:r>
          </w:p>
          <w:p w14:paraId="5A57225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实体弧焊机器人和模拟焊接设备主机为分体式设计，具备实现弧焊机器人和焊接机器人系统的自由切换。采用真实弧焊机器人和真实示教器，结合实体3D工业机器人虚拟仿真模型，做到数据实时互通，真实示教，真实编译，虚实同步焊接，以此达到既可进行焊接实操又可进行仿真教学和竞赛，机身、中控台分离，便于装卸。</w:t>
            </w:r>
          </w:p>
          <w:p w14:paraId="5BCD979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2.主机配置参数：内存≥16G；固态存储空间≥500GB；人机窗口（触摸屏尺寸）≥21英寸。</w:t>
            </w:r>
          </w:p>
          <w:p w14:paraId="793D148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3.主机音响系统：2.1声道，模拟各类作业环境音效。</w:t>
            </w:r>
          </w:p>
          <w:p w14:paraId="37488FD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4.多功能焊接模拟器在实时输出图像到投影机幕布或者屏幕时，模拟器不会发生速度降低或卡顿延迟等情况。</w:t>
            </w:r>
          </w:p>
          <w:p w14:paraId="75C362C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5.具备项目训练、项目考核、自由训练三种模式，训练模式具有各种辅助教学提示，纠正学员规范操作功能。</w:t>
            </w:r>
          </w:p>
          <w:p w14:paraId="63B067A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6.具备两种用户登录方式：人脸登录、账号登录。</w:t>
            </w:r>
          </w:p>
          <w:p w14:paraId="0185F82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模拟器中的3D弧焊机器人与焊枪的移动、旋转必须与现实弧焊机器人动作实时快速准确同步，整体操作同步延时响应小于30ms；物理空间与虚拟空间定位后，焊枪枪嘴触碰平板三个对角，物理空间的焊枪距离与虚拟空间的距离误差≤3mm，枪嘴尖端触碰平板高度误差≤3mm。（投标文件中需提供软件功能截图）</w:t>
            </w:r>
          </w:p>
          <w:p w14:paraId="0B8D61E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▲8.设备</w:t>
            </w:r>
            <w:r>
              <w:rPr>
                <w:rFonts w:hint="eastAsia" w:ascii="Times New Roman" w:hAnsi="Times New Roman" w:eastAsia="宋体" w:cs="Times New Roman"/>
                <w:b/>
                <w:bCs/>
                <w:color w:val="auto"/>
                <w:szCs w:val="21"/>
                <w:highlight w:val="none"/>
              </w:rPr>
              <w:t>支持主流焊接机器人品牌虚实联动，至少2种，提供适配证明</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（投标文件中需提供现场图片证明材料）</w:t>
            </w:r>
          </w:p>
          <w:p w14:paraId="3F6DA0B2">
            <w:pPr>
              <w:rPr>
                <w:color w:val="auto"/>
                <w:szCs w:val="21"/>
                <w:highlight w:val="none"/>
              </w:rPr>
            </w:pPr>
            <w:r>
              <w:rPr>
                <w:rFonts w:hint="eastAsia" w:cs="Times New Roman"/>
                <w:color w:val="auto"/>
                <w:szCs w:val="21"/>
                <w:highlight w:val="none"/>
                <w:lang w:val="en-US" w:eastAsia="zh-CN"/>
              </w:rPr>
              <w:t>9.</w:t>
            </w:r>
            <w:r>
              <w:rPr>
                <w:rFonts w:hint="eastAsia"/>
                <w:color w:val="auto"/>
                <w:szCs w:val="21"/>
                <w:highlight w:val="none"/>
              </w:rPr>
              <w:t>系统需包含仿真考核模块，支持社会培训学员线上考核、成绩统计；支持校内教学课件上传、实训过程记录，适配教师教学管理需求。</w:t>
            </w:r>
          </w:p>
          <w:p w14:paraId="49F2D40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（二）实训工作站</w:t>
            </w:r>
          </w:p>
          <w:p w14:paraId="03BD23D2">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1.模拟器设备尺寸：≥700×600×1100mm。</w:t>
            </w:r>
          </w:p>
          <w:p w14:paraId="0A13D01C">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2.仿真工件位置：支持实训过程中，焊接区域内任意位置摆放。</w:t>
            </w:r>
          </w:p>
          <w:p w14:paraId="35238B14">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3.系统内置仿真模型焊枪：气保焊焊枪，满足气保焊日常训练。</w:t>
            </w:r>
          </w:p>
          <w:p w14:paraId="2F9B4DFE">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4.配备不限于焊接接头的压力容器组合件：对接接头、T形角接头和插入式T形接头等。</w:t>
            </w:r>
          </w:p>
          <w:p w14:paraId="740BC6F0">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5.至少包含两种焊接坡口类型：V形坡口和I形坡口。</w:t>
            </w:r>
          </w:p>
          <w:p w14:paraId="02DBD1D6">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6.至少包含三种焊缝位置：平焊、横焊、立焊。</w:t>
            </w:r>
          </w:p>
          <w:p w14:paraId="460DC0E7">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7.一种模拟母材：低碳钢。</w:t>
            </w:r>
          </w:p>
          <w:p w14:paraId="18AE46AC">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8.至少包含2种焊件厚度：板件的厚度规格为6mm、12mm。</w:t>
            </w:r>
          </w:p>
          <w:p w14:paraId="70D9FC6A">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▲9.配备不同类型装配式实物仿真焊接构件，至少包含I形板、V形坡口板、T形板、管板、组合件、压力容器件、轨迹示教板等；（投标文件中需提供实物工件照片）</w:t>
            </w:r>
          </w:p>
          <w:p w14:paraId="75B556B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（三）系统功能模块</w:t>
            </w:r>
          </w:p>
          <w:p w14:paraId="48CD373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系统功能模块主界面至少包含：基础认知、轨迹训练、课程训练、赛事训练、模拟示教、工艺模拟、理论实练、成绩分析等功能模块。</w:t>
            </w:r>
          </w:p>
          <w:p w14:paraId="03CD5AB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▲1.基础认知</w:t>
            </w:r>
          </w:p>
          <w:p w14:paraId="1AEB0D8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系统平台支持展示不少于JPG/PDF格式、视频的学习内容，支持外接投屏展示；其中JPG/PDF理论资源不少于6项；视频资源不少于20个高清教学视频，其中必须包含2024年智能焊接技术大赛试件平对接焊缝的全流程实操视频讲解，含插入起弧指令和摆动开始指令，插入摆动结束指令和熄弧指令的讲解。视频内容具有画中画对比展示操作细节与要点。（投标文件中需提供软件功能截图）</w:t>
            </w:r>
          </w:p>
          <w:p w14:paraId="23446F4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▲2.轨迹训练</w:t>
            </w:r>
          </w:p>
          <w:p w14:paraId="136EA11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空间感知课程不少于3项，避障训练课程不少于3项，平面轨迹课程不少于7项；且平面轨迹至少包含直线、圆弧以及字形的轨迹训练课程；（投标文件中需提供软件功能截图）</w:t>
            </w:r>
          </w:p>
          <w:p w14:paraId="162680B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3.课程训练：</w:t>
            </w:r>
          </w:p>
          <w:p w14:paraId="5E25B1E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包含初级-中级-高级模块：</w:t>
            </w:r>
          </w:p>
          <w:p w14:paraId="672672D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3.1初级阶段：针对薄板材料，包含I形坡口对接（平位）、T形接头（平位和立位）以及骑坐式管板角接（垂直位置）等的示教编程。</w:t>
            </w:r>
          </w:p>
          <w:p w14:paraId="4911458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3.2中级阶段：针对中厚板材料，包含平焊、立焊、水平角接等实操练习；V形坡口对接与骑坐式管板角接的示教编程。</w:t>
            </w:r>
          </w:p>
          <w:p w14:paraId="36A428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▲3.3高级阶段：包含管-板组合件，可系统性学习外立包角焊缝、内立角焊缝与平角焊缝示教编程。（投标文件中需提供软件功能截图）</w:t>
            </w:r>
          </w:p>
          <w:p w14:paraId="52BA35C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4.赛项训练</w:t>
            </w:r>
          </w:p>
          <w:p w14:paraId="4CAD78C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训练项目至少包含焊接技术赛题工件训练、智能焊接技术赛题工件训练；</w:t>
            </w:r>
          </w:p>
          <w:p w14:paraId="35FEEBD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5.模拟示教</w:t>
            </w:r>
          </w:p>
          <w:p w14:paraId="0FAB765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5.1模拟编程操作逻辑与实际焊接编程逻辑相符，具备点位命令设置（直线和圆弧命令）、示教焊枪姿态、角度调整功能，以及焊接模式和起弧、摆弧、突变渐变参数等设置功能。（投标文件中需提供软件功能截图）</w:t>
            </w:r>
          </w:p>
          <w:p w14:paraId="3FE8E25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▲5.2离线预演精准再现规划流程，可返回进行参数修正。预演完成后可跳转至模拟焊接环节进行仿真焊接，呈现焊缝、飞溅、弧光、烟尘及焊接声音效果。（投标文件中需提供软件功能截图）</w:t>
            </w:r>
          </w:p>
          <w:p w14:paraId="6441116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▲5.3智能评测包含编程能力及外观评测。编程能力评测项不少于焊接顺序、焊接方向、点位示教、电源模式、机械限位、安全过渡、碰枪次数、编程时间等；外观评测项不少于对 T 形角接焊缝的 K1/K2、凸度进行评测，以及对 V 形坡口焊缝的焊缝余高 H、焊缝宽度 B 等进行评测。（投标文件中需提供软件功能截图）</w:t>
            </w:r>
          </w:p>
          <w:p w14:paraId="2F4593C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6.工艺模拟</w:t>
            </w:r>
          </w:p>
          <w:p w14:paraId="1B4320B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项目训练至少包含以下模块化训练任务：加工工艺、焊前工艺、焊接编程、检测工艺。</w:t>
            </w:r>
          </w:p>
          <w:p w14:paraId="794A199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6.1加工工艺：至少包含“下料、零件加工”两大模块，包含“工艺分析、工艺制定-调试-优化、工艺检测”三个单项任务；可进行任务计时，可查看训练成绩，具备查看回放和重新训练功能；（投标文件中需提供软件功能截图）</w:t>
            </w:r>
          </w:p>
          <w:p w14:paraId="2AC58AC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6.2焊前工艺：至少包含“划线、装配组焊、校TCP、试件放置与装夹”四大模块，具备“工艺分析、工艺制定-调试-优化、工艺检测”三个单项任务；可进行任务计时，可查看训练成绩，具备查看回放和重新训练功能； </w:t>
            </w:r>
          </w:p>
          <w:p w14:paraId="7769E01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6.3焊接编程：至少包含“示教编程与焊接”一个大模块，且模块中包含“工艺分析、工艺制定_调试_优化”两个单项任务，其中“工艺制定-调试-优化”中需要包含“焊缝顺序制定、轨迹规划制定、焊接工艺制定”三个任务；可进行任务计时，可查看训练成绩，具备查看回放和重新训练功能；</w:t>
            </w:r>
          </w:p>
          <w:p w14:paraId="33C7A0F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▲6.4检测工艺：至少包含“水压测试、焊缝断口检测”两个模块，有“检测工艺”任务；可进行任务计时，可查看训练成绩，具备查看回放和重新训练功能。（投标文件中需提供软件功能截图）</w:t>
            </w:r>
          </w:p>
          <w:p w14:paraId="0C77C57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7.理论练习</w:t>
            </w:r>
          </w:p>
          <w:p w14:paraId="69DFC2A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7.1安全防护</w:t>
            </w:r>
          </w:p>
          <w:p w14:paraId="483C02C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7.1.1安全考核：系统提供虚拟场景展示，劳保用品穿戴模拟演示。系统具备正确选择劳保用品的功能。</w:t>
            </w:r>
          </w:p>
          <w:p w14:paraId="41441C6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▲7.1.2安全排查训练：运用3D建模和虚拟技术构建作业场景，预设安全隐患的问题点。（投标文件中需提供软件功能截图）</w:t>
            </w:r>
          </w:p>
          <w:p w14:paraId="6D039D5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7.2.理论答题</w:t>
            </w:r>
          </w:p>
          <w:p w14:paraId="3EB9378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7.2.1具备在仿真设备上进行答题操作功能。考题可通过“系统后台”管理系统进行创建，可通过Excel模板批量导入，或单个添加试题，考核时随机抽题。</w:t>
            </w:r>
          </w:p>
          <w:p w14:paraId="629507B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7.2.2具备自动阅卷功能，可生成考试报表。</w:t>
            </w:r>
          </w:p>
          <w:p w14:paraId="0A56F6F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7.2.3题库管理：具备试题库管理功能。</w:t>
            </w:r>
          </w:p>
          <w:p w14:paraId="454D2DA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7.2.4成绩管理与发布：自动计算成绩，生成成绩报告。</w:t>
            </w:r>
          </w:p>
          <w:p w14:paraId="3CDC79C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8.成绩分析</w:t>
            </w:r>
          </w:p>
          <w:p w14:paraId="71382CD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可查看焊接实训记录，至少包括训练时间、训练等级、得分情况、训练次数和焊缝等级等。</w:t>
            </w:r>
          </w:p>
          <w:p w14:paraId="131D2FB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（四）虚实结合的焊接机器人实操训练</w:t>
            </w:r>
          </w:p>
          <w:p w14:paraId="61BD346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1.训练方式</w:t>
            </w:r>
          </w:p>
          <w:p w14:paraId="3290765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1.1真实弧焊机器人与示教器结合：系统使用真实弧焊工业机器人和示教器，实现人机实时交互。可以通过示教器编辑指令和编程逻辑，使虚拟仿真机器人实现与真实机器人完全一致的动作。</w:t>
            </w:r>
          </w:p>
          <w:p w14:paraId="6B17B08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1.2实时视角调整和观察：可手持示教器，适时调整和观察，实现虚实结合。</w:t>
            </w:r>
          </w:p>
          <w:p w14:paraId="06DD1B1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虚实结合的焊接机器人：可实现单次或连续焊接不同类型的焊缝，匹配实体机器人进行实际焊接。仿真机器人可以同步真实机器人进行姿态仿真以及焊接参数实时动态分析评判，实现实时对比。（投标文件中需提供软件功能截图及实体机器人实物照片证明）</w:t>
            </w:r>
          </w:p>
          <w:p w14:paraId="6B65239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1.4焊接状态动态提示：至少包含6轴旋转度数、前进角度、工作角度、干伸长度、标准可视化焊接点位图以及焊接数据实时对比分析等。</w:t>
            </w:r>
          </w:p>
          <w:p w14:paraId="2213105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1.5焊接实训成绩展示：至少包含实训成绩、操作分析、实训报告、重新训练等模块。</w:t>
            </w:r>
          </w:p>
          <w:p w14:paraId="5067250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2.焊接效果</w:t>
            </w:r>
          </w:p>
          <w:p w14:paraId="2004AA0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2.1虚拟焊接效果：根据电流电压等参数的设置不同，焊接中具有对应的物体表现不同，具有鱼鳞纹焊缝、液态熔池、飞溅、弧光、烟尘、焊接声音等效果。</w:t>
            </w:r>
          </w:p>
          <w:p w14:paraId="6DFBADA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2.2四种焊接评价： </w:t>
            </w:r>
          </w:p>
          <w:p w14:paraId="6B40C038">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①</w:t>
            </w:r>
            <w:r>
              <w:rPr>
                <w:rFonts w:ascii="Times New Roman" w:hAnsi="Times New Roman" w:eastAsia="宋体" w:cs="Times New Roman"/>
                <w:color w:val="auto"/>
                <w:szCs w:val="21"/>
                <w:highlight w:val="none"/>
              </w:rPr>
              <w:t>操作评价：至少包含垂直倾角、水平倾角、干伸长度、行走速度等。根据学生的操作数据，以曲线图的形式进行展示；</w:t>
            </w:r>
          </w:p>
          <w:p w14:paraId="2E1B102B">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②</w:t>
            </w:r>
            <w:r>
              <w:rPr>
                <w:rFonts w:ascii="Times New Roman" w:hAnsi="Times New Roman" w:eastAsia="宋体" w:cs="Times New Roman"/>
                <w:color w:val="auto"/>
                <w:szCs w:val="21"/>
                <w:highlight w:val="none"/>
              </w:rPr>
              <w:t>编程能力评价：至少包含安全过渡、焊接顺序、示教位姿、工艺编程（参数）、碰枪次数、机械限位等；</w:t>
            </w:r>
          </w:p>
          <w:p w14:paraId="5F4803C8">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③</w:t>
            </w:r>
            <w:r>
              <w:rPr>
                <w:rFonts w:ascii="Times New Roman" w:hAnsi="Times New Roman" w:eastAsia="宋体" w:cs="Times New Roman"/>
                <w:color w:val="auto"/>
                <w:szCs w:val="21"/>
                <w:highlight w:val="none"/>
              </w:rPr>
              <w:t>示教位姿评价：至少包含点位距离、点位角度、垂直高度H、水平间距W等；</w:t>
            </w:r>
          </w:p>
          <w:p w14:paraId="68C5F867">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④</w:t>
            </w:r>
            <w:r>
              <w:rPr>
                <w:rFonts w:ascii="Times New Roman" w:hAnsi="Times New Roman" w:eastAsia="宋体" w:cs="Times New Roman"/>
                <w:color w:val="auto"/>
                <w:szCs w:val="21"/>
                <w:highlight w:val="none"/>
              </w:rPr>
              <w:t>工艺监测评价：至少包含运动指令的应用、弧焊指令的监测等。</w:t>
            </w:r>
          </w:p>
        </w:tc>
        <w:tc>
          <w:tcPr>
            <w:tcW w:w="825" w:type="dxa"/>
            <w:vAlign w:val="center"/>
          </w:tcPr>
          <w:p w14:paraId="0DD78513">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725" w:type="dxa"/>
            <w:shd w:val="clear" w:color="auto" w:fill="auto"/>
            <w:vAlign w:val="center"/>
          </w:tcPr>
          <w:p w14:paraId="0ADB8C12">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2CB219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78755B6E">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4</w:t>
            </w:r>
          </w:p>
        </w:tc>
        <w:tc>
          <w:tcPr>
            <w:tcW w:w="1562" w:type="dxa"/>
            <w:vAlign w:val="center"/>
          </w:tcPr>
          <w:p w14:paraId="494172D0">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柔性协作机器人焊接工作站</w:t>
            </w:r>
          </w:p>
        </w:tc>
        <w:tc>
          <w:tcPr>
            <w:tcW w:w="5900" w:type="dxa"/>
            <w:vAlign w:val="center"/>
          </w:tcPr>
          <w:p w14:paraId="6EDE661C">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一、机器人控制系统</w:t>
            </w:r>
          </w:p>
          <w:p w14:paraId="6500242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机器人控制器是机器人系统的核心部分，它包括控制柜和示教器两部分,机器人在控制器的控制下可以实现摆动焊接功能、连续点焊功能等。</w:t>
            </w:r>
          </w:p>
          <w:p w14:paraId="5176C57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1、机器人本体参数</w:t>
            </w:r>
          </w:p>
          <w:p w14:paraId="5481C73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轴 数： 6轴 </w:t>
            </w:r>
          </w:p>
          <w:p w14:paraId="11C434D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安装方式 ：任意角度</w:t>
            </w:r>
          </w:p>
          <w:p w14:paraId="2F2AF35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有效负载：5kg</w:t>
            </w:r>
          </w:p>
          <w:p w14:paraId="1DC734E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功 能：：焊接、搬运等工业场景；器人零售、机器人咖啡和机器人冰激凌等商用场景</w:t>
            </w:r>
          </w:p>
          <w:p w14:paraId="7E44DD3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重复定位精度 ：±0.03mm </w:t>
            </w:r>
          </w:p>
          <w:p w14:paraId="32E6ED9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最大臂展：919mm </w:t>
            </w:r>
          </w:p>
          <w:p w14:paraId="603530F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本体重量：16.5kg （不带底座）</w:t>
            </w:r>
          </w:p>
          <w:p w14:paraId="73A34FC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本体防护等级 ：IP65（手腕IP67） </w:t>
            </w:r>
          </w:p>
          <w:p w14:paraId="5B38C1B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能耗：3kw </w:t>
            </w:r>
          </w:p>
          <w:p w14:paraId="2B6D42E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电柜防护等级 ：IP54</w:t>
            </w:r>
          </w:p>
          <w:p w14:paraId="19AC908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2、各轴运动范围</w:t>
            </w:r>
          </w:p>
          <w:p w14:paraId="0C325C0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J1轴 ±360° </w:t>
            </w:r>
          </w:p>
          <w:p w14:paraId="0300194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J2轴-160°到+150° </w:t>
            </w:r>
          </w:p>
          <w:p w14:paraId="35D5C7B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J3轴-170°到+140°</w:t>
            </w:r>
          </w:p>
          <w:p w14:paraId="655C00B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J4轴 ±360° </w:t>
            </w:r>
          </w:p>
          <w:p w14:paraId="15953F2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J5轴 ±360°</w:t>
            </w:r>
          </w:p>
          <w:p w14:paraId="19A4BBF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J6轴 ±360°</w:t>
            </w:r>
          </w:p>
          <w:p w14:paraId="5FCBFC2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3、最大单轴运动速度</w:t>
            </w:r>
          </w:p>
          <w:p w14:paraId="2F951C9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J1轴 180°/s</w:t>
            </w:r>
          </w:p>
          <w:p w14:paraId="06769E1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J2轴180°/s</w:t>
            </w:r>
          </w:p>
          <w:p w14:paraId="0F9B3B3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J3轴 180°/s</w:t>
            </w:r>
          </w:p>
          <w:p w14:paraId="513B473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J4轴 180°/s</w:t>
            </w:r>
          </w:p>
          <w:p w14:paraId="6A2785C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J5轴180°/s</w:t>
            </w:r>
          </w:p>
          <w:p w14:paraId="0943449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J6轴 180°/s</w:t>
            </w:r>
          </w:p>
          <w:p w14:paraId="74AAF18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二、控制柜参数</w:t>
            </w:r>
          </w:p>
          <w:p w14:paraId="5D019DD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1、功能安全ISO13849-1:2015，Cat 3，PL d</w:t>
            </w:r>
          </w:p>
          <w:p w14:paraId="22121A0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2、安装方式：地面放置，背板安装</w:t>
            </w:r>
          </w:p>
          <w:p w14:paraId="2B7C4F5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3、噪音：≤70dB</w:t>
            </w:r>
          </w:p>
          <w:p w14:paraId="5AFD62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4、防护等级：IP54</w:t>
            </w:r>
          </w:p>
          <w:p w14:paraId="45C0448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5、电源：单相交流90V～264VAC，频率47-63Hz</w:t>
            </w:r>
          </w:p>
          <w:p w14:paraId="7C12685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6、最大输出功率：2kW</w:t>
            </w:r>
          </w:p>
          <w:p w14:paraId="6939449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7、短路电流：40A</w:t>
            </w:r>
          </w:p>
          <w:p w14:paraId="550857C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8、工作环境温度： 0℃~+45℃</w:t>
            </w:r>
          </w:p>
          <w:p w14:paraId="3C1D273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9、工作/储存环境最大相对湿度：≤95%，无凝露，无结霜</w:t>
            </w:r>
          </w:p>
          <w:p w14:paraId="4577523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10、外形尺寸：长450mm×宽250mm×高350mm（主体）</w:t>
            </w:r>
          </w:p>
          <w:p w14:paraId="0D99AF8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11、重量：约15kg</w:t>
            </w:r>
          </w:p>
          <w:p w14:paraId="5BF03DB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12、柜体颜色：灰白配色</w:t>
            </w:r>
          </w:p>
          <w:p w14:paraId="2A7D582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13、通用数字IO：16路输入/16路输出（标配），最大支持48路输入/48路输出（需选配相应组件）</w:t>
            </w:r>
          </w:p>
          <w:p w14:paraId="25AA7CA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14、安全IO：5路安全输入，4路安全输出，均为双冗余通道</w:t>
            </w:r>
          </w:p>
          <w:p w14:paraId="187CA88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15、通信接口：RS232*1、标准以太网*1、USB3.0*2、HDMI*1</w:t>
            </w:r>
          </w:p>
          <w:p w14:paraId="015ADE3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16、现场总线：EtherCAT*1</w:t>
            </w:r>
          </w:p>
          <w:p w14:paraId="160B0E1E">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17、可选配扩展支持：CC-Link通信模块、通用数字IO模块、模拟电压/电流IO模块、增量式编码器信号采集模块。</w:t>
            </w:r>
          </w:p>
          <w:p w14:paraId="4129423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18、对外输出直流电源：输出电压：DC24V、最大电流：2A、带短路保护</w:t>
            </w:r>
          </w:p>
          <w:p w14:paraId="66DEB2A7">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三、示教器参数</w:t>
            </w:r>
          </w:p>
          <w:p w14:paraId="0878915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1、屏幕尺寸：10.1英寸</w:t>
            </w:r>
          </w:p>
          <w:p w14:paraId="146C032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2、屏幕分辨率：1920*1200</w:t>
            </w:r>
          </w:p>
          <w:p w14:paraId="0EC0EAF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3、外形尺寸：290×170×80mm3</w:t>
            </w:r>
          </w:p>
          <w:p w14:paraId="1A04029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4、重量：840g（不含线缆）</w:t>
            </w:r>
          </w:p>
          <w:p w14:paraId="26E43F6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5、仅线缆最小弯折半径：77mm</w:t>
            </w:r>
          </w:p>
          <w:p w14:paraId="1D616FD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6、防护等级：IP54</w:t>
            </w:r>
          </w:p>
          <w:p w14:paraId="3E0C7CF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7、外部接口：USB 3.0</w:t>
            </w:r>
          </w:p>
          <w:p w14:paraId="0024201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8、线缆长度：5米</w:t>
            </w:r>
          </w:p>
          <w:p w14:paraId="04EF3FC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9、工作环境温度：0℃ ~ +45℃</w:t>
            </w:r>
          </w:p>
          <w:p w14:paraId="696ED56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10、储存温度：-25℃~ +55℃</w:t>
            </w:r>
          </w:p>
          <w:p w14:paraId="5BFE321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11、工作/储存最大环境湿度：≤90%，无凝露，无结霜</w:t>
            </w:r>
          </w:p>
          <w:p w14:paraId="41D4633D">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四、焊接电源</w:t>
            </w:r>
            <w:r>
              <w:rPr>
                <w:rFonts w:ascii="Times New Roman" w:hAnsi="Times New Roman" w:eastAsia="宋体" w:cs="Times New Roman"/>
                <w:color w:val="auto"/>
                <w:szCs w:val="21"/>
                <w:highlight w:val="none"/>
              </w:rPr>
              <w:t xml:space="preserve"> </w:t>
            </w:r>
          </w:p>
          <w:p w14:paraId="0BEFEE8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 本焊接电源采用了 IGBT 软开关逆变技术，提高了焊接电源 的动态响应速度，减小了焊接电源的体积和重量。控制电路对整机进行闭环控制，使焊接电源具有良好的抗电网波 动能力，焊接性能优异。</w:t>
            </w:r>
          </w:p>
          <w:p w14:paraId="0E9F9DC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 适用于平焊、立焊、仰焊、横焊及全位置焊接。</w:t>
            </w:r>
            <w:r>
              <w:rPr>
                <w:rFonts w:ascii="Times New Roman" w:hAnsi="Times New Roman" w:eastAsia="宋体" w:cs="Times New Roman"/>
                <w:color w:val="auto"/>
                <w:szCs w:val="21"/>
                <w:highlight w:val="none"/>
              </w:rPr>
              <w:br w:type="textWrapping"/>
            </w:r>
            <w:r>
              <w:rPr>
                <w:rFonts w:ascii="Times New Roman" w:hAnsi="Times New Roman" w:eastAsia="宋体" w:cs="Times New Roman"/>
                <w:color w:val="auto"/>
                <w:szCs w:val="21"/>
                <w:highlight w:val="none"/>
              </w:rPr>
              <w:t>3、 全数字化控制系统，实现焊接过程的精确控制、弧长稳定。</w:t>
            </w:r>
          </w:p>
          <w:p w14:paraId="1C75574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 可具有高速脉冲焊、聚能弧、大熔深焊功能，实现高速大熔深的焊接，焊接效率比普通脉冲效率提高30%左右。</w:t>
            </w:r>
            <w:r>
              <w:rPr>
                <w:rFonts w:ascii="Times New Roman" w:hAnsi="Times New Roman" w:eastAsia="宋体" w:cs="Times New Roman"/>
                <w:color w:val="auto"/>
                <w:szCs w:val="21"/>
                <w:highlight w:val="none"/>
              </w:rPr>
              <w:br w:type="textWrapping"/>
            </w:r>
            <w:r>
              <w:rPr>
                <w:rFonts w:ascii="Times New Roman" w:hAnsi="Times New Roman" w:eastAsia="宋体" w:cs="Times New Roman"/>
                <w:color w:val="auto"/>
                <w:szCs w:val="21"/>
                <w:highlight w:val="none"/>
              </w:rPr>
              <w:t>5、 适用于丝径 0.8/1.0/1.2/1.6mm实芯和药芯焊丝。</w:t>
            </w:r>
            <w:r>
              <w:rPr>
                <w:rFonts w:ascii="Times New Roman" w:hAnsi="Times New Roman" w:eastAsia="宋体" w:cs="Times New Roman"/>
                <w:color w:val="auto"/>
                <w:szCs w:val="21"/>
                <w:highlight w:val="none"/>
              </w:rPr>
              <w:br w:type="textWrapping"/>
            </w:r>
            <w:r>
              <w:rPr>
                <w:rFonts w:ascii="Times New Roman" w:hAnsi="Times New Roman" w:eastAsia="宋体" w:cs="Times New Roman"/>
                <w:color w:val="auto"/>
                <w:szCs w:val="21"/>
                <w:highlight w:val="none"/>
              </w:rPr>
              <w:t>主机面板具有送丝速度、母材厚度、电流及电压数字液晶显示屏。具有焊接结束时焊接参数" 自动暂储" 功能。内存多组焊接专家系统。可焊结构钢、碳钢、不锈钢、双相钢、镍基合金、铝、铝合金等特殊材料，并可根据用户选择量身定制专家数据库；</w:t>
            </w:r>
            <w:r>
              <w:rPr>
                <w:rFonts w:ascii="Times New Roman" w:hAnsi="Times New Roman" w:eastAsia="宋体" w:cs="Times New Roman"/>
                <w:color w:val="auto"/>
                <w:szCs w:val="21"/>
                <w:highlight w:val="none"/>
              </w:rPr>
              <w:br w:type="textWrapping"/>
            </w:r>
            <w:r>
              <w:rPr>
                <w:rFonts w:ascii="Times New Roman" w:hAnsi="Times New Roman" w:eastAsia="宋体" w:cs="Times New Roman"/>
                <w:color w:val="auto"/>
                <w:szCs w:val="21"/>
                <w:highlight w:val="none"/>
              </w:rPr>
              <w:t>全数字送丝控制系统，送丝精确、平稳。</w:t>
            </w:r>
            <w:r>
              <w:rPr>
                <w:rFonts w:ascii="Times New Roman" w:hAnsi="Times New Roman" w:eastAsia="宋体" w:cs="Times New Roman"/>
                <w:color w:val="auto"/>
                <w:szCs w:val="21"/>
                <w:highlight w:val="none"/>
              </w:rPr>
              <w:br w:type="textWrapping"/>
            </w:r>
            <w:r>
              <w:rPr>
                <w:rFonts w:ascii="Times New Roman" w:hAnsi="Times New Roman" w:eastAsia="宋体" w:cs="Times New Roman"/>
                <w:color w:val="auto"/>
                <w:szCs w:val="21"/>
                <w:highlight w:val="none"/>
              </w:rPr>
              <w:t>具有焊丝自动回烧消小球处理功能。</w:t>
            </w:r>
          </w:p>
          <w:p w14:paraId="5CA2132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具有恒压、恒流、欠压、欠流、过压、过流保护功能。</w:t>
            </w:r>
          </w:p>
          <w:p w14:paraId="50C5F9F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7、可存储 100套焊接程序，节省操作时间。</w:t>
            </w:r>
          </w:p>
          <w:p w14:paraId="56134C0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 特殊四步功能适合焊接导热性很好的金属，起弧，收弧时焊接质量完美。</w:t>
            </w:r>
          </w:p>
          <w:p w14:paraId="3D5967F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9、软开关逆变技术，可提高整机可靠性、节能省电。</w:t>
            </w:r>
          </w:p>
          <w:p w14:paraId="29F62F0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10、双脉冲功能可获得美观的鱼鳞纹状焊缝外观。</w:t>
            </w:r>
          </w:p>
          <w:p w14:paraId="6476A6C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11、可配数字焊枪，调节更加快捷，方便。</w:t>
            </w:r>
          </w:p>
          <w:p w14:paraId="36EA44C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12、具有故障错误代码报警显示功能，方便诊断故障类型，便于客户进行自检。</w:t>
            </w:r>
          </w:p>
          <w:p w14:paraId="545DE14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技术参数：</w:t>
            </w:r>
          </w:p>
          <w:tbl>
            <w:tblPr>
              <w:tblStyle w:val="32"/>
              <w:tblW w:w="4999" w:type="pct"/>
              <w:tblInd w:w="0" w:type="dxa"/>
              <w:tblLayout w:type="fixed"/>
              <w:tblCellMar>
                <w:top w:w="0" w:type="dxa"/>
                <w:left w:w="108" w:type="dxa"/>
                <w:bottom w:w="0" w:type="dxa"/>
                <w:right w:w="108" w:type="dxa"/>
              </w:tblCellMar>
            </w:tblPr>
            <w:tblGrid>
              <w:gridCol w:w="1921"/>
              <w:gridCol w:w="3864"/>
            </w:tblGrid>
            <w:tr w14:paraId="790CC9D5">
              <w:tblPrEx>
                <w:tblCellMar>
                  <w:top w:w="0" w:type="dxa"/>
                  <w:left w:w="108" w:type="dxa"/>
                  <w:bottom w:w="0" w:type="dxa"/>
                  <w:right w:w="108" w:type="dxa"/>
                </w:tblCellMar>
              </w:tblPrEx>
              <w:trPr>
                <w:trHeight w:val="397" w:hRule="atLeast"/>
              </w:trPr>
              <w:tc>
                <w:tcPr>
                  <w:tcW w:w="1660" w:type="pct"/>
                  <w:vAlign w:val="center"/>
                </w:tcPr>
                <w:p w14:paraId="30996B11">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输入电压</w:t>
                  </w:r>
                </w:p>
              </w:tc>
              <w:tc>
                <w:tcPr>
                  <w:tcW w:w="3340" w:type="pct"/>
                  <w:vAlign w:val="center"/>
                </w:tcPr>
                <w:p w14:paraId="08AD3D1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380V±1</w:t>
                  </w:r>
                  <w:r>
                    <w:rPr>
                      <w:rFonts w:hint="eastAsia" w:ascii="Times New Roman" w:hAnsi="Times New Roman" w:eastAsia="宋体" w:cs="Times New Roman"/>
                      <w:color w:val="auto"/>
                      <w:szCs w:val="21"/>
                      <w:highlight w:val="none"/>
                      <w:lang w:val="en-US" w:eastAsia="zh-CN"/>
                    </w:rPr>
                    <w:t>0</w:t>
                  </w:r>
                  <w:r>
                    <w:rPr>
                      <w:rFonts w:ascii="Times New Roman" w:hAnsi="Times New Roman" w:eastAsia="宋体" w:cs="Times New Roman"/>
                      <w:color w:val="auto"/>
                      <w:szCs w:val="21"/>
                      <w:highlight w:val="none"/>
                    </w:rPr>
                    <w:t>％ 50/60Hz 三相交流</w:t>
                  </w:r>
                </w:p>
              </w:tc>
            </w:tr>
            <w:tr w14:paraId="3077F5CC">
              <w:tblPrEx>
                <w:tblCellMar>
                  <w:top w:w="0" w:type="dxa"/>
                  <w:left w:w="108" w:type="dxa"/>
                  <w:bottom w:w="0" w:type="dxa"/>
                  <w:right w:w="108" w:type="dxa"/>
                </w:tblCellMar>
              </w:tblPrEx>
              <w:trPr>
                <w:trHeight w:val="397" w:hRule="atLeast"/>
              </w:trPr>
              <w:tc>
                <w:tcPr>
                  <w:tcW w:w="1660" w:type="pct"/>
                  <w:vAlign w:val="center"/>
                </w:tcPr>
                <w:p w14:paraId="7AA7D89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额定输入电流</w:t>
                  </w:r>
                </w:p>
              </w:tc>
              <w:tc>
                <w:tcPr>
                  <w:tcW w:w="3340" w:type="pct"/>
                  <w:vAlign w:val="center"/>
                </w:tcPr>
                <w:p w14:paraId="142D7F4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36.0A</w:t>
                  </w:r>
                </w:p>
              </w:tc>
            </w:tr>
            <w:tr w14:paraId="23E2A075">
              <w:tblPrEx>
                <w:tblCellMar>
                  <w:top w:w="0" w:type="dxa"/>
                  <w:left w:w="108" w:type="dxa"/>
                  <w:bottom w:w="0" w:type="dxa"/>
                  <w:right w:w="108" w:type="dxa"/>
                </w:tblCellMar>
              </w:tblPrEx>
              <w:trPr>
                <w:trHeight w:val="397" w:hRule="atLeast"/>
              </w:trPr>
              <w:tc>
                <w:tcPr>
                  <w:tcW w:w="1660" w:type="pct"/>
                  <w:vAlign w:val="center"/>
                </w:tcPr>
                <w:p w14:paraId="051D5F6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额定负载持续率(40℃)</w:t>
                  </w:r>
                </w:p>
              </w:tc>
              <w:tc>
                <w:tcPr>
                  <w:tcW w:w="3340" w:type="pct"/>
                  <w:vAlign w:val="center"/>
                </w:tcPr>
                <w:p w14:paraId="52E12F5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500A/39V 100%</w:t>
                  </w:r>
                </w:p>
              </w:tc>
            </w:tr>
            <w:tr w14:paraId="4578F7E7">
              <w:tblPrEx>
                <w:tblCellMar>
                  <w:top w:w="0" w:type="dxa"/>
                  <w:left w:w="108" w:type="dxa"/>
                  <w:bottom w:w="0" w:type="dxa"/>
                  <w:right w:w="108" w:type="dxa"/>
                </w:tblCellMar>
              </w:tblPrEx>
              <w:trPr>
                <w:trHeight w:val="397" w:hRule="atLeast"/>
              </w:trPr>
              <w:tc>
                <w:tcPr>
                  <w:tcW w:w="1660" w:type="pct"/>
                  <w:vAlign w:val="center"/>
                </w:tcPr>
                <w:p w14:paraId="48327FA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空载电压</w:t>
                  </w:r>
                </w:p>
              </w:tc>
              <w:tc>
                <w:tcPr>
                  <w:tcW w:w="3340" w:type="pct"/>
                  <w:vAlign w:val="center"/>
                </w:tcPr>
                <w:p w14:paraId="5457C04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97V</w:t>
                  </w:r>
                </w:p>
              </w:tc>
            </w:tr>
            <w:tr w14:paraId="0D45D7D8">
              <w:tblPrEx>
                <w:tblCellMar>
                  <w:top w:w="0" w:type="dxa"/>
                  <w:left w:w="108" w:type="dxa"/>
                  <w:bottom w:w="0" w:type="dxa"/>
                  <w:right w:w="108" w:type="dxa"/>
                </w:tblCellMar>
              </w:tblPrEx>
              <w:trPr>
                <w:trHeight w:val="397" w:hRule="atLeast"/>
              </w:trPr>
              <w:tc>
                <w:tcPr>
                  <w:tcW w:w="1660" w:type="pct"/>
                  <w:vAlign w:val="center"/>
                </w:tcPr>
                <w:p w14:paraId="4CCB400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电压调节范围</w:t>
                  </w:r>
                </w:p>
              </w:tc>
              <w:tc>
                <w:tcPr>
                  <w:tcW w:w="3340" w:type="pct"/>
                  <w:vAlign w:val="center"/>
                </w:tcPr>
                <w:p w14:paraId="2C63D74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12～50V</w:t>
                  </w:r>
                </w:p>
              </w:tc>
            </w:tr>
            <w:tr w14:paraId="7F50AD0B">
              <w:tblPrEx>
                <w:tblCellMar>
                  <w:top w:w="0" w:type="dxa"/>
                  <w:left w:w="108" w:type="dxa"/>
                  <w:bottom w:w="0" w:type="dxa"/>
                  <w:right w:w="108" w:type="dxa"/>
                </w:tblCellMar>
              </w:tblPrEx>
              <w:trPr>
                <w:trHeight w:val="397" w:hRule="atLeast"/>
              </w:trPr>
              <w:tc>
                <w:tcPr>
                  <w:tcW w:w="1660" w:type="pct"/>
                  <w:vAlign w:val="center"/>
                </w:tcPr>
                <w:p w14:paraId="4B763D4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电流输出范围</w:t>
                  </w:r>
                </w:p>
              </w:tc>
              <w:tc>
                <w:tcPr>
                  <w:tcW w:w="3340" w:type="pct"/>
                  <w:vAlign w:val="center"/>
                </w:tcPr>
                <w:p w14:paraId="1219B56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50～500A</w:t>
                  </w:r>
                </w:p>
              </w:tc>
            </w:tr>
            <w:tr w14:paraId="285C0264">
              <w:tblPrEx>
                <w:tblCellMar>
                  <w:top w:w="0" w:type="dxa"/>
                  <w:left w:w="108" w:type="dxa"/>
                  <w:bottom w:w="0" w:type="dxa"/>
                  <w:right w:w="108" w:type="dxa"/>
                </w:tblCellMar>
              </w:tblPrEx>
              <w:trPr>
                <w:trHeight w:val="397" w:hRule="atLeast"/>
              </w:trPr>
              <w:tc>
                <w:tcPr>
                  <w:tcW w:w="1660" w:type="pct"/>
                  <w:vAlign w:val="center"/>
                </w:tcPr>
                <w:p w14:paraId="550B788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适应焊丝直径</w:t>
                  </w:r>
                </w:p>
              </w:tc>
              <w:tc>
                <w:tcPr>
                  <w:tcW w:w="3340" w:type="pct"/>
                  <w:vAlign w:val="center"/>
                </w:tcPr>
                <w:p w14:paraId="341BC4D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Φ0.8、Φ1.0、Φ1.2、Φ1.6</w:t>
                  </w:r>
                </w:p>
              </w:tc>
            </w:tr>
            <w:tr w14:paraId="53C89749">
              <w:tblPrEx>
                <w:tblCellMar>
                  <w:top w:w="0" w:type="dxa"/>
                  <w:left w:w="108" w:type="dxa"/>
                  <w:bottom w:w="0" w:type="dxa"/>
                  <w:right w:w="108" w:type="dxa"/>
                </w:tblCellMar>
              </w:tblPrEx>
              <w:trPr>
                <w:trHeight w:val="397" w:hRule="atLeast"/>
              </w:trPr>
              <w:tc>
                <w:tcPr>
                  <w:tcW w:w="1660" w:type="pct"/>
                  <w:vAlign w:val="center"/>
                </w:tcPr>
                <w:p w14:paraId="6CD4815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适应焊丝材料</w:t>
                  </w:r>
                </w:p>
              </w:tc>
              <w:tc>
                <w:tcPr>
                  <w:tcW w:w="3340" w:type="pct"/>
                  <w:vAlign w:val="center"/>
                </w:tcPr>
                <w:p w14:paraId="2F726CE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碳钢/ 不锈钢/ 铝镁合金</w:t>
                  </w:r>
                </w:p>
              </w:tc>
            </w:tr>
            <w:tr w14:paraId="21274157">
              <w:tblPrEx>
                <w:tblCellMar>
                  <w:top w:w="0" w:type="dxa"/>
                  <w:left w:w="108" w:type="dxa"/>
                  <w:bottom w:w="0" w:type="dxa"/>
                  <w:right w:w="108" w:type="dxa"/>
                </w:tblCellMar>
              </w:tblPrEx>
              <w:trPr>
                <w:trHeight w:val="397" w:hRule="atLeast"/>
              </w:trPr>
              <w:tc>
                <w:tcPr>
                  <w:tcW w:w="1660" w:type="pct"/>
                  <w:vAlign w:val="center"/>
                </w:tcPr>
                <w:p w14:paraId="51609C4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外壳防护等级</w:t>
                  </w:r>
                </w:p>
              </w:tc>
              <w:tc>
                <w:tcPr>
                  <w:tcW w:w="3340" w:type="pct"/>
                  <w:vAlign w:val="center"/>
                </w:tcPr>
                <w:p w14:paraId="0258BBB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IP23S</w:t>
                  </w:r>
                </w:p>
              </w:tc>
            </w:tr>
            <w:tr w14:paraId="38E973DF">
              <w:tblPrEx>
                <w:tblCellMar>
                  <w:top w:w="0" w:type="dxa"/>
                  <w:left w:w="108" w:type="dxa"/>
                  <w:bottom w:w="0" w:type="dxa"/>
                  <w:right w:w="108" w:type="dxa"/>
                </w:tblCellMar>
              </w:tblPrEx>
              <w:trPr>
                <w:trHeight w:val="397" w:hRule="atLeast"/>
              </w:trPr>
              <w:tc>
                <w:tcPr>
                  <w:tcW w:w="1660" w:type="pct"/>
                  <w:vAlign w:val="center"/>
                </w:tcPr>
                <w:p w14:paraId="7A026DD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绝缘等级</w:t>
                  </w:r>
                </w:p>
              </w:tc>
              <w:tc>
                <w:tcPr>
                  <w:tcW w:w="3340" w:type="pct"/>
                  <w:vAlign w:val="center"/>
                </w:tcPr>
                <w:p w14:paraId="4A3D9E2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H</w:t>
                  </w:r>
                </w:p>
              </w:tc>
            </w:tr>
            <w:tr w14:paraId="3A9A5C4E">
              <w:tblPrEx>
                <w:tblCellMar>
                  <w:top w:w="0" w:type="dxa"/>
                  <w:left w:w="108" w:type="dxa"/>
                  <w:bottom w:w="0" w:type="dxa"/>
                  <w:right w:w="108" w:type="dxa"/>
                </w:tblCellMar>
              </w:tblPrEx>
              <w:trPr>
                <w:trHeight w:val="397" w:hRule="atLeast"/>
              </w:trPr>
              <w:tc>
                <w:tcPr>
                  <w:tcW w:w="1660" w:type="pct"/>
                  <w:vAlign w:val="center"/>
                </w:tcPr>
                <w:p w14:paraId="6F0EF7D8">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冷却方式</w:t>
                  </w:r>
                </w:p>
              </w:tc>
              <w:tc>
                <w:tcPr>
                  <w:tcW w:w="3340" w:type="pct"/>
                  <w:vAlign w:val="center"/>
                </w:tcPr>
                <w:p w14:paraId="2C46FE66">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温控风冷</w:t>
                  </w:r>
                </w:p>
              </w:tc>
            </w:tr>
          </w:tbl>
          <w:p w14:paraId="4ED40097">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五、机器人焊枪（空冷）</w:t>
            </w:r>
          </w:p>
          <w:p w14:paraId="36277C0B">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1、承载电流：350A； </w:t>
            </w:r>
          </w:p>
          <w:p w14:paraId="23CE8E0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2、冷却方式：空冷；</w:t>
            </w:r>
          </w:p>
          <w:p w14:paraId="462ABEA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3、暂率：100%； </w:t>
            </w:r>
          </w:p>
          <w:p w14:paraId="70E154B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4、焊丝直径：0.8-1.6；</w:t>
            </w:r>
          </w:p>
          <w:p w14:paraId="0F7C3CA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5、枪颈角度：45°；</w:t>
            </w:r>
          </w:p>
          <w:p w14:paraId="2C2FF83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 鹅颈长度：318mm；</w:t>
            </w:r>
          </w:p>
          <w:p w14:paraId="4751064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ascii="Times New Roman" w:hAnsi="Times New Roman" w:eastAsia="宋体" w:cs="Times New Roman"/>
                <w:b/>
                <w:bCs/>
                <w:color w:val="auto"/>
                <w:szCs w:val="21"/>
                <w:highlight w:val="none"/>
              </w:rPr>
              <w:t>六、柔性工作平台</w:t>
            </w:r>
          </w:p>
          <w:p w14:paraId="0A6ABE8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1、焊接工作台尺寸（长×宽×高）：1000mm×1000mm×750mm</w:t>
            </w:r>
          </w:p>
          <w:p w14:paraId="3C1B96E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2、台面材质：HT300</w:t>
            </w:r>
          </w:p>
          <w:p w14:paraId="097A258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3、支撑腿尺寸：径 89mm、高 750mm</w:t>
            </w:r>
          </w:p>
          <w:p w14:paraId="2DFE18D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4、侧边上下孔距 ：50mm</w:t>
            </w:r>
          </w:p>
          <w:p w14:paraId="080C9CF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5、侧表面的孔径：16mm</w:t>
            </w:r>
          </w:p>
          <w:p w14:paraId="66EDAE6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6、孔间距：50m</w:t>
            </w:r>
          </w:p>
        </w:tc>
        <w:tc>
          <w:tcPr>
            <w:tcW w:w="825" w:type="dxa"/>
            <w:vAlign w:val="center"/>
          </w:tcPr>
          <w:p w14:paraId="474891FD">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tc>
        <w:tc>
          <w:tcPr>
            <w:tcW w:w="725" w:type="dxa"/>
            <w:shd w:val="clear" w:color="auto" w:fill="auto"/>
            <w:vAlign w:val="center"/>
          </w:tcPr>
          <w:p w14:paraId="1347CBFE">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732233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40B59A5C">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5</w:t>
            </w:r>
          </w:p>
        </w:tc>
        <w:tc>
          <w:tcPr>
            <w:tcW w:w="1562" w:type="dxa"/>
            <w:vAlign w:val="center"/>
          </w:tcPr>
          <w:p w14:paraId="11EF9A95">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焊接操作增强训练仪   （AR气保焊）GM</w:t>
            </w:r>
          </w:p>
        </w:tc>
        <w:tc>
          <w:tcPr>
            <w:tcW w:w="5900" w:type="dxa"/>
            <w:vAlign w:val="center"/>
          </w:tcPr>
          <w:p w14:paraId="300A13D5">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基于增强现实（AR）技术，让焊接技能训练与真实实训环境高度融合，实现教、学、练同步展开。系统交互式训练课程以焊接工艺卡虚拟实训的交互形式进行，学员可通过AR一体化设备直接识别焊接工艺卡进入实训模式。</w:t>
            </w:r>
          </w:p>
          <w:p w14:paraId="0DA793B8">
            <w:pPr>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 xml:space="preserve">总体要求 </w:t>
            </w:r>
          </w:p>
          <w:p w14:paraId="70DABC4D">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采用裸眼AR技术，无需佩戴头显设备，通过AR一体化设备直接识别焊接工艺卡进入实训模式。 </w:t>
            </w:r>
          </w:p>
          <w:p w14:paraId="1276DA9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▲裸眼AR技术，无需佩戴头显设备（要求提供实物AR一体化设备采用AR技术识别实物工艺卡进行焊接的实物照片。） </w:t>
            </w:r>
          </w:p>
          <w:p w14:paraId="74ACE68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焊接时可以实时表现熔池大小以及形状的变化。 </w:t>
            </w:r>
          </w:p>
          <w:p w14:paraId="2815168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可进行多种焊接位置的训练。 </w:t>
            </w:r>
          </w:p>
          <w:p w14:paraId="4C0CE25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系统包括课程选择任务和焊接工艺卡虚拟实训两种形式，学员既可通过AR一体化设备界面操作进入实训模式，也可直接识别焊接工艺卡进入实训模式。 </w:t>
            </w:r>
          </w:p>
          <w:p w14:paraId="2555475B">
            <w:pPr>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 xml:space="preserve">技术要求及参数 </w:t>
            </w:r>
          </w:p>
          <w:p w14:paraId="539F36AA">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⑴</w:t>
            </w:r>
            <w:r>
              <w:rPr>
                <w:rFonts w:ascii="Times New Roman" w:hAnsi="Times New Roman" w:eastAsia="宋体" w:cs="Times New Roman"/>
                <w:color w:val="auto"/>
                <w:szCs w:val="21"/>
                <w:highlight w:val="none"/>
              </w:rPr>
              <w:t>课程内容应具有引弧、收弧、运弧及平板、T形接头、V形坡口对接接头的平焊、横焊、立焊等；课程中包括8mm 、25mm、12mmV形坡口对接接头焊接、可进行多层多道焊接训练，包含打底层、填充层、盖面层。</w:t>
            </w:r>
          </w:p>
          <w:p w14:paraId="1E00F1F9">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课程内容：</w:t>
            </w:r>
          </w:p>
          <w:p w14:paraId="254FAB9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基础手法训练内容：</w:t>
            </w:r>
          </w:p>
          <w:p w14:paraId="7C774474">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①</w:t>
            </w:r>
            <w:r>
              <w:rPr>
                <w:rFonts w:ascii="Times New Roman" w:hAnsi="Times New Roman" w:eastAsia="宋体" w:cs="Times New Roman"/>
                <w:color w:val="auto"/>
                <w:szCs w:val="21"/>
                <w:highlight w:val="none"/>
              </w:rPr>
              <w:t>引弧</w:t>
            </w:r>
          </w:p>
          <w:p w14:paraId="068A0C9B">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②</w:t>
            </w:r>
            <w:r>
              <w:rPr>
                <w:rFonts w:ascii="Times New Roman" w:hAnsi="Times New Roman" w:eastAsia="宋体" w:cs="Times New Roman"/>
                <w:color w:val="auto"/>
                <w:szCs w:val="21"/>
                <w:highlight w:val="none"/>
              </w:rPr>
              <w:t>运弧之直线运弧法</w:t>
            </w:r>
          </w:p>
          <w:p w14:paraId="79125086">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③</w:t>
            </w:r>
            <w:r>
              <w:rPr>
                <w:rFonts w:ascii="Times New Roman" w:hAnsi="Times New Roman" w:eastAsia="宋体" w:cs="Times New Roman"/>
                <w:color w:val="auto"/>
                <w:szCs w:val="21"/>
                <w:highlight w:val="none"/>
              </w:rPr>
              <w:t>运弧之直线往复运弧法</w:t>
            </w:r>
          </w:p>
          <w:p w14:paraId="4EA82A0D">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④</w:t>
            </w:r>
            <w:r>
              <w:rPr>
                <w:rFonts w:ascii="Times New Roman" w:hAnsi="Times New Roman" w:eastAsia="宋体" w:cs="Times New Roman"/>
                <w:color w:val="auto"/>
                <w:szCs w:val="21"/>
                <w:highlight w:val="none"/>
              </w:rPr>
              <w:t>运弧之锯齿形运弧法</w:t>
            </w:r>
          </w:p>
          <w:p w14:paraId="24621ADA">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⑤</w:t>
            </w:r>
            <w:r>
              <w:rPr>
                <w:rFonts w:ascii="Times New Roman" w:hAnsi="Times New Roman" w:eastAsia="宋体" w:cs="Times New Roman"/>
                <w:color w:val="auto"/>
                <w:szCs w:val="21"/>
                <w:highlight w:val="none"/>
              </w:rPr>
              <w:t>运弧之月牙形运弧法</w:t>
            </w:r>
          </w:p>
          <w:p w14:paraId="62ACE6C6">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⑥</w:t>
            </w:r>
            <w:r>
              <w:rPr>
                <w:rFonts w:ascii="Times New Roman" w:hAnsi="Times New Roman" w:eastAsia="宋体" w:cs="Times New Roman"/>
                <w:color w:val="auto"/>
                <w:szCs w:val="21"/>
                <w:highlight w:val="none"/>
              </w:rPr>
              <w:t>运弧之正三角形运弧法</w:t>
            </w:r>
          </w:p>
          <w:p w14:paraId="1E1E2202">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⑦</w:t>
            </w:r>
            <w:r>
              <w:rPr>
                <w:rFonts w:ascii="Times New Roman" w:hAnsi="Times New Roman" w:eastAsia="宋体" w:cs="Times New Roman"/>
                <w:color w:val="auto"/>
                <w:szCs w:val="21"/>
                <w:highlight w:val="none"/>
              </w:rPr>
              <w:t>运弧之斜三角形运弧法</w:t>
            </w:r>
          </w:p>
          <w:p w14:paraId="050B65AC">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⑧</w:t>
            </w:r>
            <w:r>
              <w:rPr>
                <w:rFonts w:ascii="Times New Roman" w:hAnsi="Times New Roman" w:eastAsia="宋体" w:cs="Times New Roman"/>
                <w:color w:val="auto"/>
                <w:szCs w:val="21"/>
                <w:highlight w:val="none"/>
              </w:rPr>
              <w:t>运弧之正圆圈形运弧法</w:t>
            </w:r>
          </w:p>
          <w:p w14:paraId="21481AC7">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⑨</w:t>
            </w:r>
            <w:r>
              <w:rPr>
                <w:rFonts w:ascii="Times New Roman" w:hAnsi="Times New Roman" w:eastAsia="宋体" w:cs="Times New Roman"/>
                <w:color w:val="auto"/>
                <w:szCs w:val="21"/>
                <w:highlight w:val="none"/>
              </w:rPr>
              <w:t>运弧之斜圆圈形运弧法</w:t>
            </w:r>
          </w:p>
          <w:p w14:paraId="66380CF9">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⑩</w:t>
            </w:r>
            <w:r>
              <w:rPr>
                <w:rFonts w:ascii="Times New Roman" w:hAnsi="Times New Roman" w:eastAsia="宋体" w:cs="Times New Roman"/>
                <w:color w:val="auto"/>
                <w:szCs w:val="21"/>
                <w:highlight w:val="none"/>
              </w:rPr>
              <w:t>收弧</w:t>
            </w:r>
          </w:p>
          <w:p w14:paraId="0F568DA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练习课程内容：</w:t>
            </w:r>
          </w:p>
          <w:p w14:paraId="0684969C">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①</w:t>
            </w:r>
            <w:r>
              <w:rPr>
                <w:rFonts w:ascii="Times New Roman" w:hAnsi="Times New Roman" w:eastAsia="宋体" w:cs="Times New Roman"/>
                <w:color w:val="auto"/>
                <w:szCs w:val="21"/>
                <w:highlight w:val="none"/>
              </w:rPr>
              <w:t>8mm低碳钢练习板（平焊PA）</w:t>
            </w:r>
          </w:p>
          <w:p w14:paraId="2792A3D5">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②</w:t>
            </w:r>
            <w:r>
              <w:rPr>
                <w:rFonts w:ascii="Times New Roman" w:hAnsi="Times New Roman" w:eastAsia="宋体" w:cs="Times New Roman"/>
                <w:color w:val="auto"/>
                <w:szCs w:val="21"/>
                <w:highlight w:val="none"/>
              </w:rPr>
              <w:t>8mm低碳钢练习板（立向上焊PF）</w:t>
            </w:r>
          </w:p>
          <w:p w14:paraId="3FA3EEF5">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③</w:t>
            </w:r>
            <w:r>
              <w:rPr>
                <w:rFonts w:ascii="Times New Roman" w:hAnsi="Times New Roman" w:eastAsia="宋体" w:cs="Times New Roman"/>
                <w:color w:val="auto"/>
                <w:szCs w:val="21"/>
                <w:highlight w:val="none"/>
              </w:rPr>
              <w:t>8mm低碳钢V形坡口对接接头BW（平焊PA）</w:t>
            </w:r>
          </w:p>
          <w:p w14:paraId="0F12F8E9">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④</w:t>
            </w:r>
            <w:r>
              <w:rPr>
                <w:rFonts w:ascii="Times New Roman" w:hAnsi="Times New Roman" w:eastAsia="宋体" w:cs="Times New Roman"/>
                <w:color w:val="auto"/>
                <w:szCs w:val="21"/>
                <w:highlight w:val="none"/>
              </w:rPr>
              <w:t>8mm低碳钢V形坡口对接接头BW（立向上焊PF）</w:t>
            </w:r>
          </w:p>
          <w:p w14:paraId="65E3B631">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⑤</w:t>
            </w:r>
            <w:r>
              <w:rPr>
                <w:rFonts w:ascii="Times New Roman" w:hAnsi="Times New Roman" w:eastAsia="宋体" w:cs="Times New Roman"/>
                <w:color w:val="auto"/>
                <w:szCs w:val="21"/>
                <w:highlight w:val="none"/>
              </w:rPr>
              <w:t>8mm低碳钢T形接头FW（横焊PB）</w:t>
            </w:r>
          </w:p>
          <w:p w14:paraId="6BD174CD">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⑥</w:t>
            </w:r>
            <w:r>
              <w:rPr>
                <w:rFonts w:ascii="Times New Roman" w:hAnsi="Times New Roman" w:eastAsia="宋体" w:cs="Times New Roman"/>
                <w:color w:val="auto"/>
                <w:szCs w:val="21"/>
                <w:highlight w:val="none"/>
              </w:rPr>
              <w:t>8mm低碳钢T形接头FW（立向上焊PF）</w:t>
            </w:r>
          </w:p>
          <w:p w14:paraId="5D7AD81A">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⑦</w:t>
            </w:r>
            <w:r>
              <w:rPr>
                <w:rFonts w:ascii="Times New Roman" w:hAnsi="Times New Roman" w:eastAsia="宋体" w:cs="Times New Roman"/>
                <w:color w:val="auto"/>
                <w:szCs w:val="21"/>
                <w:highlight w:val="none"/>
              </w:rPr>
              <w:t>25mm低合金高强度钢V形坡口对接接头BW（横焊PC）</w:t>
            </w:r>
          </w:p>
          <w:p w14:paraId="4CC1528F">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⑧</w:t>
            </w:r>
            <w:r>
              <w:rPr>
                <w:rFonts w:ascii="Times New Roman" w:hAnsi="Times New Roman" w:eastAsia="宋体" w:cs="Times New Roman"/>
                <w:color w:val="auto"/>
                <w:szCs w:val="21"/>
                <w:highlight w:val="none"/>
              </w:rPr>
              <w:t>低碳钢插入式管板焊接</w:t>
            </w:r>
          </w:p>
          <w:p w14:paraId="2F890E1E">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⑨</w:t>
            </w:r>
            <w:r>
              <w:rPr>
                <w:rFonts w:ascii="Times New Roman" w:hAnsi="Times New Roman" w:eastAsia="宋体" w:cs="Times New Roman"/>
                <w:color w:val="auto"/>
                <w:szCs w:val="21"/>
                <w:highlight w:val="none"/>
              </w:rPr>
              <w:t>低碳钢骑坐式式管板焊接</w:t>
            </w:r>
          </w:p>
          <w:p w14:paraId="37EF6A64">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⑩</w:t>
            </w:r>
            <w:r>
              <w:rPr>
                <w:rFonts w:ascii="Times New Roman" w:hAnsi="Times New Roman" w:eastAsia="宋体" w:cs="Times New Roman"/>
                <w:color w:val="auto"/>
                <w:szCs w:val="21"/>
                <w:highlight w:val="none"/>
              </w:rPr>
              <w:t>12mm低碳钢V形坡口对接接头BW（平焊PA/1G）</w:t>
            </w:r>
          </w:p>
          <w:p w14:paraId="76D161D4">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⑪</w:t>
            </w:r>
            <w:r>
              <w:rPr>
                <w:rFonts w:ascii="Times New Roman" w:hAnsi="Times New Roman" w:eastAsia="宋体" w:cs="Times New Roman"/>
                <w:color w:val="auto"/>
                <w:szCs w:val="21"/>
                <w:highlight w:val="none"/>
              </w:rPr>
              <w:t>12mm全位置V形坡口管管对接接头BW（45°固定H-LO45/6G）</w:t>
            </w:r>
          </w:p>
          <w:p w14:paraId="59A30A9C">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⑫</w:t>
            </w:r>
            <w:r>
              <w:rPr>
                <w:rFonts w:ascii="Times New Roman" w:hAnsi="Times New Roman" w:eastAsia="宋体" w:cs="Times New Roman"/>
                <w:color w:val="auto"/>
                <w:szCs w:val="21"/>
                <w:highlight w:val="none"/>
              </w:rPr>
              <w:t>12mm全位置V形坡口对接接头BW（水平固定管PH/5G）</w:t>
            </w:r>
          </w:p>
          <w:p w14:paraId="5EDAE19B">
            <w:pPr>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⑬</w:t>
            </w:r>
            <w:r>
              <w:rPr>
                <w:rFonts w:ascii="Times New Roman" w:hAnsi="Times New Roman" w:eastAsia="宋体" w:cs="Times New Roman"/>
                <w:color w:val="auto"/>
                <w:szCs w:val="21"/>
                <w:highlight w:val="none"/>
              </w:rPr>
              <w:t>12mm全位置V形坡口对接接头BW（垂直固定管PC/2G）</w:t>
            </w:r>
          </w:p>
          <w:p w14:paraId="0E0DD679">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⑵</w:t>
            </w:r>
            <w:r>
              <w:rPr>
                <w:rFonts w:ascii="Times New Roman" w:hAnsi="Times New Roman" w:eastAsia="宋体" w:cs="Times New Roman"/>
                <w:color w:val="auto"/>
                <w:szCs w:val="21"/>
                <w:highlight w:val="none"/>
              </w:rPr>
              <w:t>GMAW可进行多种焊接位置的训练：平焊、横焊、立焊、仰焊。</w:t>
            </w:r>
          </w:p>
          <w:p w14:paraId="43E9874B">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⑶</w:t>
            </w:r>
            <w:r>
              <w:rPr>
                <w:rFonts w:ascii="Times New Roman" w:hAnsi="Times New Roman" w:eastAsia="宋体" w:cs="Times New Roman"/>
                <w:color w:val="auto"/>
                <w:szCs w:val="21"/>
                <w:highlight w:val="none"/>
              </w:rPr>
              <w:t>焊接过程中应有可观察高仿真熔池反应的模拟界面、电弧、火花飞溅、焊接声效、冷却荧光效果等焊接特性，焊接完成后可看到高仿真的焊缝成形现象。</w:t>
            </w:r>
          </w:p>
          <w:p w14:paraId="70F82FF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⑷</w:t>
            </w:r>
            <w:r>
              <w:rPr>
                <w:rFonts w:ascii="Times New Roman" w:hAnsi="Times New Roman" w:eastAsia="宋体" w:cs="Times New Roman"/>
                <w:color w:val="auto"/>
                <w:szCs w:val="21"/>
                <w:highlight w:val="none"/>
              </w:rPr>
              <w:t>针对学生训练过程及结果进行自动评分，并根据分析焊接结果在焊接中以AI语音指出操作建议和训练建议。</w:t>
            </w:r>
          </w:p>
          <w:p w14:paraId="7C543FB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⑸</w:t>
            </w:r>
            <w:r>
              <w:rPr>
                <w:rFonts w:ascii="Times New Roman" w:hAnsi="Times New Roman" w:eastAsia="宋体" w:cs="Times New Roman"/>
                <w:color w:val="auto"/>
                <w:szCs w:val="21"/>
                <w:highlight w:val="none"/>
              </w:rPr>
              <w:t>需提供标准工艺卡内容、焊接操作要领虚拟焊板等；提供识别虚拟焊件载体；指导虚拟实训操作。（要求提供实物标准工艺卡照片及焊接操作的软件截图，要求软件截图清晰）。</w:t>
            </w:r>
          </w:p>
          <w:p w14:paraId="471E13FF">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⑹</w:t>
            </w:r>
            <w:r>
              <w:rPr>
                <w:rFonts w:ascii="Times New Roman" w:hAnsi="Times New Roman" w:eastAsia="宋体" w:cs="Times New Roman"/>
                <w:color w:val="auto"/>
                <w:szCs w:val="21"/>
                <w:highlight w:val="none"/>
              </w:rPr>
              <w:t xml:space="preserve">可产生焊接学习报告：焊接训练结束后提供焊接当次报告，包含但不限于分数、垂直倾角、水平倾角、干伸长度、行走速度、焊缝过宽、焊缝过窄、焊缝跑偏、未焊、咬边、焊穿、飞溅、气孔、夹渣、弧坑、余高、未焊透，以图文形式展示。 </w:t>
            </w:r>
          </w:p>
          <w:p w14:paraId="67F1EB7C">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⑺</w:t>
            </w:r>
            <w:r>
              <w:rPr>
                <w:rFonts w:ascii="Times New Roman" w:hAnsi="Times New Roman" w:eastAsia="宋体" w:cs="Times New Roman"/>
                <w:color w:val="auto"/>
                <w:szCs w:val="21"/>
                <w:highlight w:val="none"/>
              </w:rPr>
              <w:t>与AR一体化设备融合设计，一体化整体装备，用于完成焊接实训操作。（要求提供实物AR一体化设备实物照片）</w:t>
            </w:r>
          </w:p>
          <w:p w14:paraId="46E3E9AF">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⑻</w:t>
            </w:r>
            <w:r>
              <w:rPr>
                <w:rFonts w:ascii="Times New Roman" w:hAnsi="Times New Roman" w:eastAsia="宋体" w:cs="Times New Roman"/>
                <w:color w:val="auto"/>
                <w:szCs w:val="21"/>
                <w:highlight w:val="none"/>
              </w:rPr>
              <w:t>主屏幕：不小于6英寸、触屏 RAM存储：不小于6GB</w:t>
            </w:r>
          </w:p>
          <w:p w14:paraId="3088BF28">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⑼</w:t>
            </w:r>
            <w:r>
              <w:rPr>
                <w:rFonts w:ascii="Times New Roman" w:hAnsi="Times New Roman" w:eastAsia="宋体" w:cs="Times New Roman"/>
                <w:color w:val="auto"/>
                <w:szCs w:val="21"/>
                <w:highlight w:val="none"/>
              </w:rPr>
              <w:t>识别方式：图像增强捕捉，自适应智能识别</w:t>
            </w:r>
          </w:p>
          <w:p w14:paraId="091A408B">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⑽</w:t>
            </w:r>
            <w:r>
              <w:rPr>
                <w:rFonts w:ascii="Times New Roman" w:hAnsi="Times New Roman" w:eastAsia="宋体" w:cs="Times New Roman"/>
                <w:color w:val="auto"/>
                <w:szCs w:val="21"/>
                <w:highlight w:val="none"/>
              </w:rPr>
              <w:t>支架</w:t>
            </w:r>
          </w:p>
          <w:p w14:paraId="4F2AD44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伸缩桌面支架，伸缩杆结构，轻松调节高度</w:t>
            </w:r>
          </w:p>
          <w:p w14:paraId="391DD7EC">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收缩高度：不超过80cm</w:t>
            </w:r>
          </w:p>
          <w:p w14:paraId="48F13A72">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旋转角度：360度旋转</w:t>
            </w:r>
          </w:p>
          <w:p w14:paraId="695C0CB7">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功能：辅助多功能焊件进行位置调节。</w:t>
            </w:r>
          </w:p>
          <w:p w14:paraId="0B60B880">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注意：为佐证真实性要求所有提供的佐证图片中AR一体化设备保持一致，操作的软件截图清晰，否则▲项不得分</w:t>
            </w:r>
          </w:p>
          <w:p w14:paraId="1892CF2F">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▲（11）要求该投标产品具有软件著作权证书，以提供的证书复印件为准。</w:t>
            </w:r>
          </w:p>
          <w:p w14:paraId="5322F8E4">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▲（12）要求该投标产品具有省级及以上产品质量检测单位出具的产品质量检测报告，以提供的报告复印件为准（报告内容包含课程训练内容及设备总体要求）。</w:t>
            </w:r>
          </w:p>
        </w:tc>
        <w:tc>
          <w:tcPr>
            <w:tcW w:w="825" w:type="dxa"/>
            <w:vAlign w:val="center"/>
          </w:tcPr>
          <w:p w14:paraId="7FB33338">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w:t>
            </w:r>
          </w:p>
        </w:tc>
        <w:tc>
          <w:tcPr>
            <w:tcW w:w="725" w:type="dxa"/>
            <w:shd w:val="clear" w:color="auto" w:fill="auto"/>
            <w:vAlign w:val="center"/>
          </w:tcPr>
          <w:p w14:paraId="28AD507A">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72A815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38FFCF4D">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6</w:t>
            </w:r>
          </w:p>
        </w:tc>
        <w:tc>
          <w:tcPr>
            <w:tcW w:w="1562" w:type="dxa"/>
            <w:vAlign w:val="center"/>
          </w:tcPr>
          <w:p w14:paraId="48C08FD8">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焊接操作增强训练仪  （AR焊条焊）SM</w:t>
            </w:r>
          </w:p>
        </w:tc>
        <w:tc>
          <w:tcPr>
            <w:tcW w:w="5900" w:type="dxa"/>
            <w:vAlign w:val="center"/>
          </w:tcPr>
          <w:p w14:paraId="1E5B2744">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SMAW焊接操作增强训练仪基于增强现实（AR）技术，将标准焊接工艺卡编制规则与焊接教学基本要求相结合形成交互式训练课程，同时让焊接技能训练与真实实训环境高度融合，实现教、学、练一体化教学模式。</w:t>
            </w:r>
          </w:p>
          <w:p w14:paraId="29FE0E5B">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学员可通过AR一体化设备直接识别焊接工艺卡进入实训模式。</w:t>
            </w:r>
          </w:p>
          <w:p w14:paraId="12798ACF">
            <w:pPr>
              <w:rPr>
                <w:rFonts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总体要求</w:t>
            </w:r>
          </w:p>
          <w:p w14:paraId="5BCEE131">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采用裸眼AR技术，无需佩戴头显设备，通过AR一体化设备直接识别焊接工艺卡进入实训模式。</w:t>
            </w:r>
          </w:p>
          <w:p w14:paraId="2AA20545">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SMAW焊接操作增强训练仪设备与工业级焊钳无异，具有焊接面罩和实物焊钳，且焊条具有自动溃缩功能，达到虚拟与实物相结合的效果。</w:t>
            </w:r>
          </w:p>
          <w:p w14:paraId="24B0F432">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▲裸眼AR技术，无需佩戴头显设备（要求提供实物AR一体化设备采用AR技术识别实物工艺卡进行焊接的实物照片。） </w:t>
            </w:r>
          </w:p>
          <w:p w14:paraId="3394EA9F">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焊接时可以实时表现熔池大小以及形状的变化。</w:t>
            </w:r>
          </w:p>
          <w:p w14:paraId="72F9A209">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可进行不同焊接位置的训练。</w:t>
            </w:r>
          </w:p>
          <w:p w14:paraId="6DCA3006">
            <w:pPr>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 xml:space="preserve">技术要求及参数 </w:t>
            </w:r>
          </w:p>
          <w:p w14:paraId="00A140A8">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⑴</w:t>
            </w:r>
            <w:r>
              <w:rPr>
                <w:rFonts w:ascii="Times New Roman" w:hAnsi="Times New Roman" w:eastAsia="宋体" w:cs="Times New Roman"/>
                <w:color w:val="auto"/>
                <w:szCs w:val="21"/>
                <w:highlight w:val="none"/>
              </w:rPr>
              <w:t>课程内容应具有引弧、收弧、运弧及平板、T形接头、V形坡口对接接头的平焊、横焊、立焊等；课程中包括SMAW8mm 、25mm、12mmV形坡口对接接头焊接、可进行多层多道焊接训练，包含打底层、填充层、盖面层。</w:t>
            </w:r>
          </w:p>
          <w:p w14:paraId="453A24DA">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课程内容：</w:t>
            </w:r>
          </w:p>
          <w:p w14:paraId="62A4A566">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基础手法训练内容：</w:t>
            </w:r>
          </w:p>
          <w:p w14:paraId="616A1611">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①</w:t>
            </w:r>
            <w:r>
              <w:rPr>
                <w:rFonts w:ascii="Times New Roman" w:hAnsi="Times New Roman" w:eastAsia="宋体" w:cs="Times New Roman"/>
                <w:color w:val="auto"/>
                <w:szCs w:val="21"/>
                <w:highlight w:val="none"/>
              </w:rPr>
              <w:t>引弧</w:t>
            </w:r>
          </w:p>
          <w:p w14:paraId="3DDD661D">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②</w:t>
            </w:r>
            <w:r>
              <w:rPr>
                <w:rFonts w:ascii="Times New Roman" w:hAnsi="Times New Roman" w:eastAsia="宋体" w:cs="Times New Roman"/>
                <w:color w:val="auto"/>
                <w:szCs w:val="21"/>
                <w:highlight w:val="none"/>
              </w:rPr>
              <w:t>运弧之直线运弧法</w:t>
            </w:r>
          </w:p>
          <w:p w14:paraId="71A33B80">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③</w:t>
            </w:r>
            <w:r>
              <w:rPr>
                <w:rFonts w:ascii="Times New Roman" w:hAnsi="Times New Roman" w:eastAsia="宋体" w:cs="Times New Roman"/>
                <w:color w:val="auto"/>
                <w:szCs w:val="21"/>
                <w:highlight w:val="none"/>
              </w:rPr>
              <w:t>运弧之直线往复运弧法</w:t>
            </w:r>
          </w:p>
          <w:p w14:paraId="1E2E9CF5">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④</w:t>
            </w:r>
            <w:r>
              <w:rPr>
                <w:rFonts w:ascii="Times New Roman" w:hAnsi="Times New Roman" w:eastAsia="宋体" w:cs="Times New Roman"/>
                <w:color w:val="auto"/>
                <w:szCs w:val="21"/>
                <w:highlight w:val="none"/>
              </w:rPr>
              <w:t>运弧之锯齿形运弧法</w:t>
            </w:r>
          </w:p>
          <w:p w14:paraId="7D48156D">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⑤</w:t>
            </w:r>
            <w:r>
              <w:rPr>
                <w:rFonts w:ascii="Times New Roman" w:hAnsi="Times New Roman" w:eastAsia="宋体" w:cs="Times New Roman"/>
                <w:color w:val="auto"/>
                <w:szCs w:val="21"/>
                <w:highlight w:val="none"/>
              </w:rPr>
              <w:t>运弧之月牙形运弧法</w:t>
            </w:r>
          </w:p>
          <w:p w14:paraId="516B002A">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⑥</w:t>
            </w:r>
            <w:r>
              <w:rPr>
                <w:rFonts w:ascii="Times New Roman" w:hAnsi="Times New Roman" w:eastAsia="宋体" w:cs="Times New Roman"/>
                <w:color w:val="auto"/>
                <w:szCs w:val="21"/>
                <w:highlight w:val="none"/>
              </w:rPr>
              <w:t>运弧之正三角形运弧法</w:t>
            </w:r>
          </w:p>
          <w:p w14:paraId="10F237FB">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⑦</w:t>
            </w:r>
            <w:r>
              <w:rPr>
                <w:rFonts w:ascii="Times New Roman" w:hAnsi="Times New Roman" w:eastAsia="宋体" w:cs="Times New Roman"/>
                <w:color w:val="auto"/>
                <w:szCs w:val="21"/>
                <w:highlight w:val="none"/>
              </w:rPr>
              <w:t>运弧之斜三角形运弧法</w:t>
            </w:r>
          </w:p>
          <w:p w14:paraId="375A612A">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⑧</w:t>
            </w:r>
            <w:r>
              <w:rPr>
                <w:rFonts w:ascii="Times New Roman" w:hAnsi="Times New Roman" w:eastAsia="宋体" w:cs="Times New Roman"/>
                <w:color w:val="auto"/>
                <w:szCs w:val="21"/>
                <w:highlight w:val="none"/>
              </w:rPr>
              <w:t>运弧之正圆圈形运弧法</w:t>
            </w:r>
          </w:p>
          <w:p w14:paraId="214E5EF4">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⑨</w:t>
            </w:r>
            <w:r>
              <w:rPr>
                <w:rFonts w:ascii="Times New Roman" w:hAnsi="Times New Roman" w:eastAsia="宋体" w:cs="Times New Roman"/>
                <w:color w:val="auto"/>
                <w:szCs w:val="21"/>
                <w:highlight w:val="none"/>
              </w:rPr>
              <w:t>运弧之斜圆圈形运弧法</w:t>
            </w:r>
          </w:p>
          <w:p w14:paraId="569D702F">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⑩</w:t>
            </w:r>
            <w:r>
              <w:rPr>
                <w:rFonts w:ascii="Times New Roman" w:hAnsi="Times New Roman" w:eastAsia="宋体" w:cs="Times New Roman"/>
                <w:color w:val="auto"/>
                <w:szCs w:val="21"/>
                <w:highlight w:val="none"/>
              </w:rPr>
              <w:t>收弧</w:t>
            </w:r>
          </w:p>
          <w:p w14:paraId="70E5A818">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练习课程内容：</w:t>
            </w:r>
          </w:p>
          <w:p w14:paraId="356E8593">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①</w:t>
            </w:r>
            <w:r>
              <w:rPr>
                <w:rFonts w:ascii="Times New Roman" w:hAnsi="Times New Roman" w:eastAsia="宋体" w:cs="Times New Roman"/>
                <w:color w:val="auto"/>
                <w:szCs w:val="21"/>
                <w:highlight w:val="none"/>
              </w:rPr>
              <w:t>8mm低碳钢练习板（平焊PA）</w:t>
            </w:r>
          </w:p>
          <w:p w14:paraId="6C071EC2">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②</w:t>
            </w:r>
            <w:r>
              <w:rPr>
                <w:rFonts w:ascii="Times New Roman" w:hAnsi="Times New Roman" w:eastAsia="宋体" w:cs="Times New Roman"/>
                <w:color w:val="auto"/>
                <w:szCs w:val="21"/>
                <w:highlight w:val="none"/>
              </w:rPr>
              <w:t>8mm低碳钢练习板（立向上焊PF）</w:t>
            </w:r>
          </w:p>
          <w:p w14:paraId="6833E7D1">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③</w:t>
            </w:r>
            <w:r>
              <w:rPr>
                <w:rFonts w:ascii="Times New Roman" w:hAnsi="Times New Roman" w:eastAsia="宋体" w:cs="Times New Roman"/>
                <w:color w:val="auto"/>
                <w:szCs w:val="21"/>
                <w:highlight w:val="none"/>
              </w:rPr>
              <w:t>8mm低碳钢V形坡口对接接头BW（平焊PA）</w:t>
            </w:r>
          </w:p>
          <w:p w14:paraId="2A513A22">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④</w:t>
            </w:r>
            <w:r>
              <w:rPr>
                <w:rFonts w:ascii="Times New Roman" w:hAnsi="Times New Roman" w:eastAsia="宋体" w:cs="Times New Roman"/>
                <w:color w:val="auto"/>
                <w:szCs w:val="21"/>
                <w:highlight w:val="none"/>
              </w:rPr>
              <w:t>8mm低碳钢V形坡口对接接头BW（立向上焊PF）</w:t>
            </w:r>
          </w:p>
          <w:p w14:paraId="092FF1D6">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⑤</w:t>
            </w:r>
            <w:r>
              <w:rPr>
                <w:rFonts w:ascii="Times New Roman" w:hAnsi="Times New Roman" w:eastAsia="宋体" w:cs="Times New Roman"/>
                <w:color w:val="auto"/>
                <w:szCs w:val="21"/>
                <w:highlight w:val="none"/>
              </w:rPr>
              <w:t>8mm低碳钢T形接头FW（横焊PB）</w:t>
            </w:r>
          </w:p>
          <w:p w14:paraId="0F5D5D29">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⑥</w:t>
            </w:r>
            <w:r>
              <w:rPr>
                <w:rFonts w:ascii="Times New Roman" w:hAnsi="Times New Roman" w:eastAsia="宋体" w:cs="Times New Roman"/>
                <w:color w:val="auto"/>
                <w:szCs w:val="21"/>
                <w:highlight w:val="none"/>
              </w:rPr>
              <w:t>8mm低碳钢T形接头FW（立向上焊PF）</w:t>
            </w:r>
          </w:p>
          <w:p w14:paraId="0BCBAD23">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⑦</w:t>
            </w:r>
            <w:r>
              <w:rPr>
                <w:rFonts w:ascii="Times New Roman" w:hAnsi="Times New Roman" w:eastAsia="宋体" w:cs="Times New Roman"/>
                <w:color w:val="auto"/>
                <w:szCs w:val="21"/>
                <w:highlight w:val="none"/>
              </w:rPr>
              <w:t>25mm低合金高强度钢V形坡口对接接头BW（横焊PC）</w:t>
            </w:r>
          </w:p>
          <w:p w14:paraId="1FBDD6E2">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⑧</w:t>
            </w:r>
            <w:r>
              <w:rPr>
                <w:rFonts w:ascii="Times New Roman" w:hAnsi="Times New Roman" w:eastAsia="宋体" w:cs="Times New Roman"/>
                <w:color w:val="auto"/>
                <w:szCs w:val="21"/>
                <w:highlight w:val="none"/>
              </w:rPr>
              <w:t>低碳钢插入式管板焊接</w:t>
            </w:r>
          </w:p>
          <w:p w14:paraId="50E9544C">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⑨</w:t>
            </w:r>
            <w:r>
              <w:rPr>
                <w:rFonts w:ascii="Times New Roman" w:hAnsi="Times New Roman" w:eastAsia="宋体" w:cs="Times New Roman"/>
                <w:color w:val="auto"/>
                <w:szCs w:val="21"/>
                <w:highlight w:val="none"/>
              </w:rPr>
              <w:t>低碳钢骑坐式式管板焊接</w:t>
            </w:r>
          </w:p>
          <w:p w14:paraId="2253CA4B">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⑩</w:t>
            </w:r>
            <w:r>
              <w:rPr>
                <w:rFonts w:ascii="Times New Roman" w:hAnsi="Times New Roman" w:eastAsia="宋体" w:cs="Times New Roman"/>
                <w:color w:val="auto"/>
                <w:szCs w:val="21"/>
                <w:highlight w:val="none"/>
              </w:rPr>
              <w:t>12mm低碳钢V形坡口对接接头BW（平焊PA/1G）</w:t>
            </w:r>
          </w:p>
          <w:p w14:paraId="03845B31">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⑪</w:t>
            </w:r>
            <w:r>
              <w:rPr>
                <w:rFonts w:ascii="Times New Roman" w:hAnsi="Times New Roman" w:eastAsia="宋体" w:cs="Times New Roman"/>
                <w:color w:val="auto"/>
                <w:szCs w:val="21"/>
                <w:highlight w:val="none"/>
              </w:rPr>
              <w:t>12mm全位置V形坡口管管对接接头BW（45°固定H-LO45/6G）</w:t>
            </w:r>
          </w:p>
          <w:p w14:paraId="07AB2645">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⑫</w:t>
            </w:r>
            <w:r>
              <w:rPr>
                <w:rFonts w:ascii="Times New Roman" w:hAnsi="Times New Roman" w:eastAsia="宋体" w:cs="Times New Roman"/>
                <w:color w:val="auto"/>
                <w:szCs w:val="21"/>
                <w:highlight w:val="none"/>
              </w:rPr>
              <w:t>12mm全位置V形坡口对接接头BW（水平固定管PH/5G）</w:t>
            </w:r>
          </w:p>
          <w:p w14:paraId="4BE7D2C6">
            <w:pPr>
              <w:ind w:firstLine="420" w:firstLineChars="200"/>
              <w:rPr>
                <w:rFonts w:ascii="Times New Roman" w:hAnsi="Times New Roman" w:eastAsia="宋体" w:cs="Times New Roman"/>
                <w:color w:val="auto"/>
                <w:szCs w:val="21"/>
                <w:highlight w:val="none"/>
              </w:rPr>
            </w:pPr>
            <w:r>
              <w:rPr>
                <w:rFonts w:ascii="Cambria Math" w:hAnsi="Cambria Math" w:eastAsia="宋体" w:cs="Cambria Math"/>
                <w:color w:val="auto"/>
                <w:szCs w:val="21"/>
                <w:highlight w:val="none"/>
              </w:rPr>
              <w:t>⑬</w:t>
            </w:r>
            <w:r>
              <w:rPr>
                <w:rFonts w:ascii="Times New Roman" w:hAnsi="Times New Roman" w:eastAsia="宋体" w:cs="Times New Roman"/>
                <w:color w:val="auto"/>
                <w:szCs w:val="21"/>
                <w:highlight w:val="none"/>
              </w:rPr>
              <w:t>12mm全位置V形坡口对接接头BW（垂直固定管PC/2G）</w:t>
            </w:r>
          </w:p>
          <w:p w14:paraId="178DC821">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⑵</w:t>
            </w:r>
            <w:r>
              <w:rPr>
                <w:rFonts w:ascii="Times New Roman" w:hAnsi="Times New Roman" w:eastAsia="宋体" w:cs="Times New Roman"/>
                <w:color w:val="auto"/>
                <w:szCs w:val="21"/>
                <w:highlight w:val="none"/>
              </w:rPr>
              <w:t>SMAW可进行多种焊接位置的训练：平焊、横焊、立焊、仰焊。且SMAW具有焊条自动溃缩功能，达到虚拟与实物相结合的效果。</w:t>
            </w:r>
          </w:p>
          <w:p w14:paraId="3543576E">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⑶</w:t>
            </w:r>
            <w:r>
              <w:rPr>
                <w:rFonts w:ascii="Times New Roman" w:hAnsi="Times New Roman" w:eastAsia="宋体" w:cs="Times New Roman"/>
                <w:color w:val="auto"/>
                <w:szCs w:val="21"/>
                <w:highlight w:val="none"/>
              </w:rPr>
              <w:t>焊接过程中应有可观察高仿真熔池反应的模拟界面、电弧、火花飞溅、焊接声效、冷却荧光效果、热影响区等焊接特性，焊接完成后可看到高仿真的焊缝成形现象。</w:t>
            </w:r>
          </w:p>
          <w:p w14:paraId="737DEEB3">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⑷</w:t>
            </w:r>
            <w:r>
              <w:rPr>
                <w:rFonts w:ascii="Times New Roman" w:hAnsi="Times New Roman" w:eastAsia="宋体" w:cs="Times New Roman"/>
                <w:color w:val="auto"/>
                <w:szCs w:val="21"/>
                <w:highlight w:val="none"/>
              </w:rPr>
              <w:t>针对学生训练过程及结果进行自动评分，并根据分析焊接结果在焊接中以AI语音指出操作建议和训练建议。</w:t>
            </w:r>
          </w:p>
          <w:p w14:paraId="413B3DC4">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宋体" w:hAnsi="宋体" w:eastAsia="宋体" w:cs="宋体"/>
                <w:color w:val="auto"/>
                <w:szCs w:val="21"/>
                <w:highlight w:val="none"/>
              </w:rPr>
              <w:t>⑸</w:t>
            </w:r>
            <w:r>
              <w:rPr>
                <w:rFonts w:ascii="Times New Roman" w:hAnsi="Times New Roman" w:eastAsia="宋体" w:cs="Times New Roman"/>
                <w:color w:val="auto"/>
                <w:szCs w:val="21"/>
                <w:highlight w:val="none"/>
              </w:rPr>
              <w:t>需提供标准工艺卡内容、焊接操作要领虚拟焊板等；提供识别虚拟焊件载体；指导虚拟实训操作。（要求提供实物标准工艺卡照片及焊接操作的软件截图，要求软件截图清晰）。</w:t>
            </w:r>
          </w:p>
          <w:p w14:paraId="18BD620B">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⑹</w:t>
            </w:r>
            <w:r>
              <w:rPr>
                <w:rFonts w:ascii="Times New Roman" w:hAnsi="Times New Roman" w:eastAsia="宋体" w:cs="Times New Roman"/>
                <w:color w:val="auto"/>
                <w:szCs w:val="21"/>
                <w:highlight w:val="none"/>
              </w:rPr>
              <w:t xml:space="preserve">可产生焊接学习报告：焊接训练结束后提供焊接当次报告，包含但不限于分数、垂直倾角、水平倾角、行走速度、焊缝过宽、焊缝过窄、焊缝跑偏、未焊、咬边、焊穿、飞溅、气孔、夹渣、弧坑、余高、未焊透，以图文形式展示。 </w:t>
            </w:r>
          </w:p>
          <w:p w14:paraId="346711AB">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⑺</w:t>
            </w:r>
            <w:r>
              <w:rPr>
                <w:rFonts w:ascii="Times New Roman" w:hAnsi="Times New Roman" w:eastAsia="宋体" w:cs="Times New Roman"/>
                <w:color w:val="auto"/>
                <w:szCs w:val="21"/>
                <w:highlight w:val="none"/>
              </w:rPr>
              <w:t>与AR一体化设备融合设计，一体化整体装备，用于完成焊接实训操作。（要求提供实物AR一体化设备实物照片）</w:t>
            </w:r>
          </w:p>
          <w:p w14:paraId="711DA682">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⑻</w:t>
            </w:r>
            <w:r>
              <w:rPr>
                <w:rFonts w:ascii="Times New Roman" w:hAnsi="Times New Roman" w:eastAsia="宋体" w:cs="Times New Roman"/>
                <w:color w:val="auto"/>
                <w:szCs w:val="21"/>
                <w:highlight w:val="none"/>
              </w:rPr>
              <w:t>主屏幕：不小于6英寸、触屏 RAM存储：不小于6GB</w:t>
            </w:r>
          </w:p>
          <w:p w14:paraId="1989BDD1">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⑼</w:t>
            </w:r>
            <w:r>
              <w:rPr>
                <w:rFonts w:ascii="Times New Roman" w:hAnsi="Times New Roman" w:eastAsia="宋体" w:cs="Times New Roman"/>
                <w:color w:val="auto"/>
                <w:szCs w:val="21"/>
                <w:highlight w:val="none"/>
              </w:rPr>
              <w:t>识别方式：图像增强捕捉，自适应智能识别</w:t>
            </w:r>
          </w:p>
          <w:p w14:paraId="5443C6AD">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⑽</w:t>
            </w:r>
            <w:r>
              <w:rPr>
                <w:rFonts w:ascii="Times New Roman" w:hAnsi="Times New Roman" w:eastAsia="宋体" w:cs="Times New Roman"/>
                <w:color w:val="auto"/>
                <w:szCs w:val="21"/>
                <w:highlight w:val="none"/>
              </w:rPr>
              <w:t>手持式焊接面罩一体化设备重量在800g以下，厚度为1.5mm，且各个部件牢固，没有松动和脱落现象；电子部件不与人体面部接触。</w:t>
            </w:r>
          </w:p>
          <w:p w14:paraId="4729CD30">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⑾</w:t>
            </w:r>
            <w:r>
              <w:rPr>
                <w:rFonts w:ascii="Times New Roman" w:hAnsi="Times New Roman" w:eastAsia="宋体" w:cs="Times New Roman"/>
                <w:color w:val="auto"/>
                <w:szCs w:val="21"/>
                <w:highlight w:val="none"/>
              </w:rPr>
              <w:t>面罩材料采用不导电的材料sekisui kydex 热塑板材制作。</w:t>
            </w:r>
          </w:p>
          <w:p w14:paraId="29B18B52">
            <w:pPr>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⑿</w:t>
            </w:r>
            <w:r>
              <w:rPr>
                <w:rFonts w:ascii="Times New Roman" w:hAnsi="Times New Roman" w:eastAsia="宋体" w:cs="Times New Roman"/>
                <w:color w:val="auto"/>
                <w:szCs w:val="21"/>
                <w:highlight w:val="none"/>
              </w:rPr>
              <w:t>支架</w:t>
            </w:r>
          </w:p>
          <w:p w14:paraId="1B3A9D50">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伸缩桌面支架，伸缩杆结构，轻松调节高度</w:t>
            </w:r>
          </w:p>
          <w:p w14:paraId="32B1B558">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收缩高度：不超过80cm</w:t>
            </w:r>
          </w:p>
          <w:p w14:paraId="6686BC0B">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旋转角度：360度旋转</w:t>
            </w:r>
          </w:p>
          <w:p w14:paraId="59E8F259">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功能：辅助多功能焊件进行位置调节。</w:t>
            </w:r>
          </w:p>
          <w:p w14:paraId="58A61FF0">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注意：为佐证真实性要求所有提供的佐证图片中AR一体化设备保持一致，操作的软件截图清晰，否则▲项不得分</w:t>
            </w:r>
          </w:p>
          <w:p w14:paraId="782431B2">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▲（13）要求该投标产品具有软件著作权证书，以提供的证书复印件为准。</w:t>
            </w:r>
          </w:p>
          <w:p w14:paraId="1F936F01">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▲（14）要求该投标产品具有省级及以上产品质量检测单位出具的产品质量检测报告，以提供的报告复印件为准（报告内容包含课程训练内容及设备焊条具有自动溃缩功能）。</w:t>
            </w:r>
          </w:p>
          <w:p w14:paraId="7C5E7931">
            <w:pPr>
              <w:ind w:firstLine="420" w:firstLineChars="200"/>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eastAsia="zh-CN"/>
              </w:rPr>
              <w:t>（</w:t>
            </w:r>
            <w:r>
              <w:rPr>
                <w:rFonts w:hint="eastAsia" w:cs="Times New Roman"/>
                <w:color w:val="auto"/>
                <w:szCs w:val="21"/>
                <w:highlight w:val="none"/>
                <w:lang w:val="en-US" w:eastAsia="zh-CN"/>
              </w:rPr>
              <w:t>15</w:t>
            </w:r>
            <w:r>
              <w:rPr>
                <w:rFonts w:hint="eastAsia" w:cs="Times New Roman"/>
                <w:color w:val="auto"/>
                <w:szCs w:val="21"/>
                <w:highlight w:val="none"/>
                <w:lang w:eastAsia="zh-CN"/>
              </w:rPr>
              <w:t>）</w:t>
            </w:r>
            <w:r>
              <w:rPr>
                <w:rFonts w:hint="eastAsia" w:ascii="Times New Roman" w:hAnsi="Times New Roman" w:eastAsia="宋体" w:cs="Times New Roman"/>
                <w:color w:val="auto"/>
                <w:szCs w:val="21"/>
                <w:highlight w:val="none"/>
              </w:rPr>
              <w:t>课程内容需同时覆盖基础实训、职业技能考核、大赛基础训练；支持社会培训学员批量管理、培训成绩导出，适配社会化培训需求</w:t>
            </w:r>
            <w:r>
              <w:rPr>
                <w:rFonts w:hint="eastAsia" w:cs="Times New Roman"/>
                <w:color w:val="auto"/>
                <w:szCs w:val="21"/>
                <w:highlight w:val="none"/>
                <w:lang w:eastAsia="zh-CN"/>
              </w:rPr>
              <w:t>。</w:t>
            </w:r>
          </w:p>
        </w:tc>
        <w:tc>
          <w:tcPr>
            <w:tcW w:w="825" w:type="dxa"/>
            <w:vAlign w:val="center"/>
          </w:tcPr>
          <w:p w14:paraId="76163E38">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15</w:t>
            </w:r>
          </w:p>
        </w:tc>
        <w:tc>
          <w:tcPr>
            <w:tcW w:w="725" w:type="dxa"/>
            <w:shd w:val="clear" w:color="auto" w:fill="auto"/>
            <w:vAlign w:val="center"/>
          </w:tcPr>
          <w:p w14:paraId="42EB4749">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6A2C02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03917378">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7</w:t>
            </w:r>
          </w:p>
        </w:tc>
        <w:tc>
          <w:tcPr>
            <w:tcW w:w="1562" w:type="dxa"/>
            <w:vAlign w:val="center"/>
          </w:tcPr>
          <w:p w14:paraId="7E078294">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国赛用铝合金焊机TIG</w:t>
            </w:r>
          </w:p>
        </w:tc>
        <w:tc>
          <w:tcPr>
            <w:tcW w:w="5900" w:type="dxa"/>
            <w:vAlign w:val="center"/>
          </w:tcPr>
          <w:p w14:paraId="01296C9E">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设备描述</w:t>
            </w:r>
          </w:p>
          <w:p w14:paraId="2D389ED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焊机具有直流焊条电弧焊、交流手工焊、直流恒流氩弧焊、直流脉冲氩弧焊、交流 恒流氩弧焊、交流脉冲氩弧焊等功能，用于碳钢、铜、钛、铝及铝镁合金等各种材料的焊接；</w:t>
            </w:r>
          </w:p>
          <w:p w14:paraId="7031CBA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采用超高逆变频率，对电弧精细化管理，采用高速高精度处理器，微秒级响应速度；</w:t>
            </w:r>
          </w:p>
          <w:p w14:paraId="415FE568">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采用全新稳弧电路，交流小电流稳定焊接、不断弧；电弧能量集中、挺度高；</w:t>
            </w:r>
          </w:p>
          <w:p w14:paraId="16F0AD8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交流方波波形控制精细，焊接时电路噪音较基础机型及Ⅲ机型进一步降低；</w:t>
            </w:r>
          </w:p>
          <w:p w14:paraId="2A3D2F3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氩弧焊状态下具有两步、四步、点焊、反复功能，其中反复功能可以手控停弧；</w:t>
            </w:r>
          </w:p>
          <w:p w14:paraId="084831E9">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 </w:t>
            </w:r>
            <w:r>
              <w:rPr>
                <w:rFonts w:ascii="Times New Roman" w:hAnsi="Times New Roman" w:eastAsia="宋体" w:cs="Times New Roman"/>
                <w:color w:val="auto"/>
                <w:szCs w:val="21"/>
                <w:highlight w:val="none"/>
              </w:rPr>
              <w:t>可选用脚踏开关或遥控盒控制调节焊接电流；</w:t>
            </w:r>
          </w:p>
          <w:p w14:paraId="54AF7995">
            <w:pPr>
              <w:numPr>
                <w:ilvl w:val="0"/>
                <w:numId w:val="0"/>
              </w:num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同步对焊功能；</w:t>
            </w:r>
          </w:p>
          <w:p w14:paraId="6AD81CF9">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同时显示电流电压；</w:t>
            </w:r>
          </w:p>
          <w:p w14:paraId="7FDC601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9 </w:t>
            </w:r>
            <w:r>
              <w:rPr>
                <w:rFonts w:ascii="Times New Roman" w:hAnsi="Times New Roman" w:eastAsia="宋体" w:cs="Times New Roman"/>
                <w:color w:val="auto"/>
                <w:szCs w:val="21"/>
                <w:highlight w:val="none"/>
              </w:rPr>
              <w:t>存储功能，可以存储、调用100套不同参数；</w:t>
            </w:r>
          </w:p>
          <w:p w14:paraId="4460027D">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10 </w:t>
            </w:r>
            <w:r>
              <w:rPr>
                <w:rFonts w:ascii="Times New Roman" w:hAnsi="Times New Roman" w:eastAsia="宋体" w:cs="Times New Roman"/>
                <w:color w:val="auto"/>
                <w:szCs w:val="21"/>
                <w:highlight w:val="none"/>
              </w:rPr>
              <w:t>选配4G 群控功能；</w:t>
            </w:r>
          </w:p>
          <w:p w14:paraId="324C5A0A">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rPr>
              <w:t>计时功能。</w:t>
            </w:r>
          </w:p>
          <w:p w14:paraId="3627094D">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参数</w:t>
            </w:r>
          </w:p>
          <w:p w14:paraId="129C966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额定输入电压/频率：三相380V±10%50Hz</w:t>
            </w:r>
          </w:p>
          <w:p w14:paraId="1C41E50D">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额定输入容量(KVA)：35</w:t>
            </w:r>
          </w:p>
          <w:p w14:paraId="26FCE71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额定输入电流(A)：53</w:t>
            </w:r>
          </w:p>
          <w:p w14:paraId="4F39F5C8">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额定负载持续率(%)：60</w:t>
            </w:r>
          </w:p>
          <w:p w14:paraId="7D96DBB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输出空载电压(手弧/氩弧)(V)：93</w:t>
            </w:r>
          </w:p>
          <w:p w14:paraId="1F78B29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输出电流范围(A)：10~630</w:t>
            </w:r>
          </w:p>
          <w:p w14:paraId="7467DE8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起弧电流(A)：10~630</w:t>
            </w:r>
          </w:p>
          <w:p w14:paraId="4FD20B6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峰值电流(A)：10~630</w:t>
            </w:r>
          </w:p>
          <w:p w14:paraId="480B9D1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9 </w:t>
            </w:r>
            <w:r>
              <w:rPr>
                <w:rFonts w:ascii="Times New Roman" w:hAnsi="Times New Roman" w:eastAsia="宋体" w:cs="Times New Roman"/>
                <w:color w:val="auto"/>
                <w:szCs w:val="21"/>
                <w:highlight w:val="none"/>
              </w:rPr>
              <w:t>收弧电流(A)：10~630</w:t>
            </w:r>
          </w:p>
          <w:p w14:paraId="00978508">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10 </w:t>
            </w:r>
            <w:r>
              <w:rPr>
                <w:rFonts w:ascii="Times New Roman" w:hAnsi="Times New Roman" w:eastAsia="宋体" w:cs="Times New Roman"/>
                <w:color w:val="auto"/>
                <w:szCs w:val="21"/>
                <w:highlight w:val="none"/>
              </w:rPr>
              <w:t>电流缓升时间(S)：0~10</w:t>
            </w:r>
          </w:p>
          <w:p w14:paraId="4FD7446B">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rPr>
              <w:t>电流衰减时间(S)：0~15</w:t>
            </w:r>
          </w:p>
          <w:p w14:paraId="1068A5C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12 </w:t>
            </w:r>
            <w:r>
              <w:rPr>
                <w:rFonts w:ascii="Times New Roman" w:hAnsi="Times New Roman" w:eastAsia="宋体" w:cs="Times New Roman"/>
                <w:color w:val="auto"/>
                <w:szCs w:val="21"/>
                <w:highlight w:val="none"/>
              </w:rPr>
              <w:t>提前送气时间(S)：0.01~9.99</w:t>
            </w:r>
          </w:p>
          <w:p w14:paraId="19AC674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13 </w:t>
            </w:r>
            <w:r>
              <w:rPr>
                <w:rFonts w:ascii="Times New Roman" w:hAnsi="Times New Roman" w:eastAsia="宋体" w:cs="Times New Roman"/>
                <w:color w:val="auto"/>
                <w:szCs w:val="21"/>
                <w:highlight w:val="none"/>
              </w:rPr>
              <w:t>滞后停气时间(S)：0.1~60</w:t>
            </w:r>
          </w:p>
          <w:p w14:paraId="0602300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14 </w:t>
            </w:r>
            <w:r>
              <w:rPr>
                <w:rFonts w:ascii="Times New Roman" w:hAnsi="Times New Roman" w:eastAsia="宋体" w:cs="Times New Roman"/>
                <w:color w:val="auto"/>
                <w:szCs w:val="21"/>
                <w:highlight w:val="none"/>
              </w:rPr>
              <w:t>脉冲占空比%：15~85</w:t>
            </w:r>
          </w:p>
          <w:p w14:paraId="1CF89F2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15 </w:t>
            </w:r>
            <w:r>
              <w:rPr>
                <w:rFonts w:ascii="Times New Roman" w:hAnsi="Times New Roman" w:eastAsia="宋体" w:cs="Times New Roman"/>
                <w:color w:val="auto"/>
                <w:szCs w:val="21"/>
                <w:highlight w:val="none"/>
              </w:rPr>
              <w:t>交流频率(Hz)：20~200</w:t>
            </w:r>
          </w:p>
          <w:p w14:paraId="08FF9B7B">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16 </w:t>
            </w:r>
            <w:r>
              <w:rPr>
                <w:rFonts w:ascii="Times New Roman" w:hAnsi="Times New Roman" w:eastAsia="宋体" w:cs="Times New Roman"/>
                <w:color w:val="auto"/>
                <w:szCs w:val="21"/>
                <w:highlight w:val="none"/>
              </w:rPr>
              <w:t>清理比例(%)：-40~40</w:t>
            </w:r>
          </w:p>
          <w:p w14:paraId="50FC632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17 </w:t>
            </w:r>
            <w:r>
              <w:rPr>
                <w:rFonts w:ascii="Times New Roman" w:hAnsi="Times New Roman" w:eastAsia="宋体" w:cs="Times New Roman"/>
                <w:color w:val="auto"/>
                <w:szCs w:val="21"/>
                <w:highlight w:val="none"/>
              </w:rPr>
              <w:t>交流偏置(%)：-50~30</w:t>
            </w:r>
          </w:p>
          <w:p w14:paraId="7D747BB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18 </w:t>
            </w:r>
            <w:r>
              <w:rPr>
                <w:rFonts w:ascii="Times New Roman" w:hAnsi="Times New Roman" w:eastAsia="宋体" w:cs="Times New Roman"/>
                <w:color w:val="auto"/>
                <w:szCs w:val="21"/>
                <w:highlight w:val="none"/>
              </w:rPr>
              <w:t>脉冲频率(Hz)：0.2~500</w:t>
            </w:r>
          </w:p>
          <w:p w14:paraId="78BC518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19  </w:t>
            </w:r>
            <w:r>
              <w:rPr>
                <w:rFonts w:ascii="Times New Roman" w:hAnsi="Times New Roman" w:eastAsia="宋体" w:cs="Times New Roman"/>
                <w:color w:val="auto"/>
                <w:szCs w:val="21"/>
                <w:highlight w:val="none"/>
              </w:rPr>
              <w:t>TIG引弧方式：高频引弧/提升引弧</w:t>
            </w:r>
          </w:p>
          <w:p w14:paraId="6B8FE3A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20 </w:t>
            </w:r>
            <w:r>
              <w:rPr>
                <w:rFonts w:ascii="Times New Roman" w:hAnsi="Times New Roman" w:eastAsia="宋体" w:cs="Times New Roman"/>
                <w:color w:val="auto"/>
                <w:szCs w:val="21"/>
                <w:highlight w:val="none"/>
              </w:rPr>
              <w:t>推力电流(A)：10~200</w:t>
            </w:r>
          </w:p>
          <w:p w14:paraId="0A1C9DFD">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21 </w:t>
            </w:r>
            <w:r>
              <w:rPr>
                <w:rFonts w:ascii="Times New Roman" w:hAnsi="Times New Roman" w:eastAsia="宋体" w:cs="Times New Roman"/>
                <w:color w:val="auto"/>
                <w:szCs w:val="21"/>
                <w:highlight w:val="none"/>
              </w:rPr>
              <w:t>外壳防护等级：IP21S</w:t>
            </w:r>
          </w:p>
          <w:p w14:paraId="06E5A830">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22 </w:t>
            </w:r>
            <w:r>
              <w:rPr>
                <w:rFonts w:ascii="Times New Roman" w:hAnsi="Times New Roman" w:eastAsia="宋体" w:cs="Times New Roman"/>
                <w:color w:val="auto"/>
                <w:szCs w:val="21"/>
                <w:highlight w:val="none"/>
              </w:rPr>
              <w:t>绝缘等级：H</w:t>
            </w:r>
          </w:p>
          <w:p w14:paraId="3371F289">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23 </w:t>
            </w:r>
            <w:r>
              <w:rPr>
                <w:rFonts w:ascii="Times New Roman" w:hAnsi="Times New Roman" w:eastAsia="宋体" w:cs="Times New Roman"/>
                <w:color w:val="auto"/>
                <w:szCs w:val="21"/>
                <w:highlight w:val="none"/>
              </w:rPr>
              <w:t>外型尺寸LxWxH(mm)：670×350×780</w:t>
            </w:r>
          </w:p>
          <w:p w14:paraId="7967586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24 </w:t>
            </w:r>
            <w:r>
              <w:rPr>
                <w:rFonts w:ascii="Times New Roman" w:hAnsi="Times New Roman" w:eastAsia="宋体" w:cs="Times New Roman"/>
                <w:color w:val="auto"/>
                <w:szCs w:val="21"/>
                <w:highlight w:val="none"/>
              </w:rPr>
              <w:t>重量(kg)：80</w:t>
            </w:r>
          </w:p>
        </w:tc>
        <w:tc>
          <w:tcPr>
            <w:tcW w:w="825" w:type="dxa"/>
            <w:vAlign w:val="center"/>
          </w:tcPr>
          <w:p w14:paraId="0CB72B62">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tc>
        <w:tc>
          <w:tcPr>
            <w:tcW w:w="725" w:type="dxa"/>
            <w:shd w:val="clear" w:color="auto" w:fill="auto"/>
            <w:vAlign w:val="center"/>
          </w:tcPr>
          <w:p w14:paraId="1E0E51A1">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7C6E87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4ED49B7E">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8</w:t>
            </w:r>
          </w:p>
        </w:tc>
        <w:tc>
          <w:tcPr>
            <w:tcW w:w="1562" w:type="dxa"/>
            <w:vAlign w:val="center"/>
          </w:tcPr>
          <w:p w14:paraId="4D5E0092">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国赛用铝合金焊机MIG</w:t>
            </w:r>
          </w:p>
        </w:tc>
        <w:tc>
          <w:tcPr>
            <w:tcW w:w="5900" w:type="dxa"/>
            <w:vAlign w:val="center"/>
          </w:tcPr>
          <w:p w14:paraId="2A48CC0A">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设备描述</w:t>
            </w:r>
          </w:p>
          <w:p w14:paraId="45C85DCB">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采用超高逆变频率，对溶滴能量实时精细化管理，电弧能 量集中、挺度高；</w:t>
            </w:r>
          </w:p>
          <w:p w14:paraId="32C31D7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采用最新的能量控制方案，脉冲焊接时回路电缆最长可 达45米，全电流范围稳定焊接；</w:t>
            </w:r>
          </w:p>
          <w:p w14:paraId="024F686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混合气体适应范围更宽、长干伸电流一致性更准、起弧模 式可自由切换；</w:t>
            </w:r>
          </w:p>
          <w:p w14:paraId="3B660EE4">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铝合金焊接破氧化膜能力更强、电弧指向性强，溶滴过渡 均匀，焊缝成型细腻美观；</w:t>
            </w:r>
          </w:p>
          <w:p w14:paraId="2226FAD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主控系统采用双32位高速高精度处理器，纳秒级响应速 度 ；</w:t>
            </w:r>
          </w:p>
          <w:p w14:paraId="61391297">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全新设计的双闭环送丝控制系统、配合大扭矩永磁电机， 确保送丝精准、顺畅；</w:t>
            </w:r>
          </w:p>
          <w:p w14:paraId="658B188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采用平台化设计理念、可集成多种先进焊接工艺模块；可 选配搭载脉冲、双脉冲、快速脉冲、大熔深、恒压等多种焊接 模式，并可根据客户需求定制开发工艺模块；</w:t>
            </w:r>
          </w:p>
          <w:p w14:paraId="2439B01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可搭配数显送丝机加数显推拉丝焊枪，实现狭小空间内远距离作业。</w:t>
            </w:r>
          </w:p>
          <w:p w14:paraId="542443A8">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设备参数</w:t>
            </w:r>
          </w:p>
          <w:p w14:paraId="0E4468D0">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额定输入电压/频率：三相380V±15%    50Hz</w:t>
            </w:r>
          </w:p>
          <w:p w14:paraId="7175B2CD">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额定输入容量(KVA)：24</w:t>
            </w:r>
          </w:p>
          <w:p w14:paraId="4B594800">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额定输入电流(A)： 38</w:t>
            </w:r>
          </w:p>
          <w:p w14:paraId="3B2C06A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额定负载持续率(%)：100</w:t>
            </w:r>
          </w:p>
          <w:p w14:paraId="23075E8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输出空载电压(V)：76</w:t>
            </w:r>
          </w:p>
          <w:p w14:paraId="6CC132A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输出电流范围/电压范围(A/V)：30A/15.5V~500A/39V</w:t>
            </w:r>
          </w:p>
          <w:p w14:paraId="4AC249C7">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焊丝直径(mm)：0.8/1.0/1.2/1.4/1.6</w:t>
            </w:r>
          </w:p>
          <w:p w14:paraId="1A9527D8">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送丝类型：推丝</w:t>
            </w:r>
          </w:p>
          <w:p w14:paraId="6726470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9 </w:t>
            </w:r>
            <w:r>
              <w:rPr>
                <w:rFonts w:ascii="Times New Roman" w:hAnsi="Times New Roman" w:eastAsia="宋体" w:cs="Times New Roman"/>
                <w:color w:val="auto"/>
                <w:szCs w:val="21"/>
                <w:highlight w:val="none"/>
              </w:rPr>
              <w:t>气体流量(L/min)：15~20</w:t>
            </w:r>
          </w:p>
          <w:p w14:paraId="4280F02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10 </w:t>
            </w:r>
            <w:r>
              <w:rPr>
                <w:rFonts w:ascii="Times New Roman" w:hAnsi="Times New Roman" w:eastAsia="宋体" w:cs="Times New Roman"/>
                <w:color w:val="auto"/>
                <w:szCs w:val="21"/>
                <w:highlight w:val="none"/>
              </w:rPr>
              <w:t>EMC发射等级：A</w:t>
            </w:r>
          </w:p>
          <w:p w14:paraId="6788E81E">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rPr>
              <w:t>外壳防护等级：IP23</w:t>
            </w:r>
          </w:p>
          <w:p w14:paraId="0A3DC7B4">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12 </w:t>
            </w:r>
            <w:r>
              <w:rPr>
                <w:rFonts w:ascii="Times New Roman" w:hAnsi="Times New Roman" w:eastAsia="宋体" w:cs="Times New Roman"/>
                <w:color w:val="auto"/>
                <w:szCs w:val="21"/>
                <w:highlight w:val="none"/>
              </w:rPr>
              <w:t>绝缘等级：H</w:t>
            </w:r>
          </w:p>
          <w:p w14:paraId="7F230114">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13 </w:t>
            </w:r>
            <w:r>
              <w:rPr>
                <w:rFonts w:ascii="Times New Roman" w:hAnsi="Times New Roman" w:eastAsia="宋体" w:cs="Times New Roman"/>
                <w:color w:val="auto"/>
                <w:szCs w:val="21"/>
                <w:highlight w:val="none"/>
              </w:rPr>
              <w:t>外型尺寸LxWxH(cm)：66x32×56</w:t>
            </w:r>
          </w:p>
          <w:p w14:paraId="7CED6169">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14 </w:t>
            </w:r>
            <w:r>
              <w:rPr>
                <w:rFonts w:ascii="Times New Roman" w:hAnsi="Times New Roman" w:eastAsia="宋体" w:cs="Times New Roman"/>
                <w:color w:val="auto"/>
                <w:szCs w:val="21"/>
                <w:highlight w:val="none"/>
              </w:rPr>
              <w:t>重量(Kg)：55</w:t>
            </w:r>
          </w:p>
        </w:tc>
        <w:tc>
          <w:tcPr>
            <w:tcW w:w="825" w:type="dxa"/>
            <w:vAlign w:val="center"/>
          </w:tcPr>
          <w:p w14:paraId="39BEF0CE">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tc>
        <w:tc>
          <w:tcPr>
            <w:tcW w:w="725" w:type="dxa"/>
            <w:shd w:val="clear" w:color="auto" w:fill="auto"/>
            <w:vAlign w:val="center"/>
          </w:tcPr>
          <w:p w14:paraId="35907700">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17F4E2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55EBC116">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9</w:t>
            </w:r>
          </w:p>
        </w:tc>
        <w:tc>
          <w:tcPr>
            <w:tcW w:w="1562" w:type="dxa"/>
            <w:vAlign w:val="center"/>
          </w:tcPr>
          <w:p w14:paraId="505B551D">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智能焊接培训系统</w:t>
            </w:r>
          </w:p>
        </w:tc>
        <w:tc>
          <w:tcPr>
            <w:tcW w:w="5900" w:type="dxa"/>
            <w:vAlign w:val="center"/>
          </w:tcPr>
          <w:p w14:paraId="5ADD177E">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设备功能描述</w:t>
            </w:r>
          </w:p>
          <w:p w14:paraId="6EDB346E">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可以做到对学生进行平焊、横焊、立焊、仰焊四种焊接姿态的考核。</w:t>
            </w:r>
          </w:p>
          <w:p w14:paraId="6A77633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支持高度自定义功能，适应不同身高的学生。也可以做到蹲姿仰焊的考核。</w:t>
            </w:r>
          </w:p>
          <w:p w14:paraId="0126D7A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 </w:t>
            </w:r>
            <w:r>
              <w:rPr>
                <w:rFonts w:ascii="Times New Roman" w:hAnsi="Times New Roman" w:eastAsia="宋体" w:cs="Times New Roman"/>
                <w:color w:val="auto"/>
                <w:szCs w:val="21"/>
                <w:highlight w:val="none"/>
              </w:rPr>
              <w:t>平台搭载快夹工装，方便操作人员快速的更换焊件。</w:t>
            </w:r>
          </w:p>
          <w:p w14:paraId="4A2B055E">
            <w:pPr>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本系统配备专用管焊工位能够实现0°-90°角度无级调节，针对管焊0°、30°、45°、60°等过程中产生的熔池进行跟踪记录。</w:t>
            </w:r>
          </w:p>
          <w:p w14:paraId="6F79C4BC">
            <w:pPr>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可以快速更换焊件夹具采用自定心快夹工装管径支持外径D=150~200mm的焊件。</w:t>
            </w:r>
          </w:p>
          <w:p w14:paraId="2D7D4095">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焊接跟踪功能描述：</w:t>
            </w:r>
          </w:p>
          <w:p w14:paraId="39235757">
            <w:pPr>
              <w:ind w:firstLine="420" w:firstLineChars="200"/>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w:t>
            </w:r>
            <w:r>
              <w:rPr>
                <w:rFonts w:hint="eastAsia" w:ascii="Times New Roman" w:hAnsi="Times New Roman" w:eastAsia="宋体" w:cs="Times New Roman"/>
                <w:color w:val="auto"/>
                <w:kern w:val="0"/>
                <w:szCs w:val="21"/>
                <w:highlight w:val="none"/>
                <w:lang w:eastAsia="zh-CN"/>
              </w:rPr>
              <w:t>）</w:t>
            </w:r>
            <w:r>
              <w:rPr>
                <w:rFonts w:ascii="Times New Roman" w:hAnsi="Times New Roman" w:eastAsia="宋体" w:cs="Times New Roman"/>
                <w:color w:val="auto"/>
                <w:kern w:val="0"/>
                <w:szCs w:val="21"/>
                <w:highlight w:val="none"/>
              </w:rPr>
              <w:t>.在这套设备的正面有个大屏幕，老师操作学生看屏幕上的熔池和运条动作。</w:t>
            </w:r>
          </w:p>
          <w:p w14:paraId="1BDA7BD3">
            <w:pPr>
              <w:ind w:firstLine="420" w:firstLineChars="200"/>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lang w:eastAsia="zh-CN"/>
              </w:rPr>
              <w:t>）</w:t>
            </w:r>
            <w:r>
              <w:rPr>
                <w:rFonts w:ascii="Times New Roman" w:hAnsi="Times New Roman" w:eastAsia="宋体" w:cs="Times New Roman"/>
                <w:color w:val="auto"/>
                <w:kern w:val="0"/>
                <w:szCs w:val="21"/>
                <w:highlight w:val="none"/>
              </w:rPr>
              <w:t>.设备上面设计了除尘，和照明。</w:t>
            </w:r>
          </w:p>
          <w:p w14:paraId="27CD119D">
            <w:pPr>
              <w:ind w:firstLine="420" w:firstLineChars="200"/>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lang w:eastAsia="zh-CN"/>
              </w:rPr>
              <w:t>）</w:t>
            </w:r>
            <w:r>
              <w:rPr>
                <w:rFonts w:ascii="Times New Roman" w:hAnsi="Times New Roman" w:eastAsia="宋体" w:cs="Times New Roman"/>
                <w:color w:val="auto"/>
                <w:kern w:val="0"/>
                <w:szCs w:val="21"/>
                <w:highlight w:val="none"/>
              </w:rPr>
              <w:t>.熔池相机开发了一套软件能够自动捕捉手动焊接的速度自适应控制伺服电机带动滑台让相机随着人工焊接自适应移动相机，来捕捉焊接过程。</w:t>
            </w:r>
          </w:p>
          <w:p w14:paraId="01298436">
            <w:pPr>
              <w:ind w:firstLine="420" w:firstLineChars="200"/>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lang w:eastAsia="zh-CN"/>
              </w:rPr>
              <w:t>）</w:t>
            </w:r>
            <w:r>
              <w:rPr>
                <w:rFonts w:ascii="Times New Roman" w:hAnsi="Times New Roman" w:eastAsia="宋体" w:cs="Times New Roman"/>
                <w:color w:val="auto"/>
                <w:kern w:val="0"/>
                <w:szCs w:val="21"/>
                <w:highlight w:val="none"/>
              </w:rPr>
              <w:t>.左右两侧分别是管子焊接和平板焊接两个工位。</w:t>
            </w:r>
          </w:p>
          <w:p w14:paraId="30C1CCBB">
            <w:pPr>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kern w:val="0"/>
                <w:szCs w:val="21"/>
                <w:highlight w:val="none"/>
              </w:rPr>
              <w:t>5</w:t>
            </w:r>
            <w:r>
              <w:rPr>
                <w:rFonts w:hint="eastAsia" w:ascii="Times New Roman" w:hAnsi="Times New Roman" w:eastAsia="宋体" w:cs="Times New Roman"/>
                <w:color w:val="auto"/>
                <w:kern w:val="0"/>
                <w:szCs w:val="21"/>
                <w:highlight w:val="none"/>
                <w:lang w:eastAsia="zh-CN"/>
              </w:rPr>
              <w:t>）</w:t>
            </w:r>
            <w:r>
              <w:rPr>
                <w:rFonts w:ascii="Times New Roman" w:hAnsi="Times New Roman" w:eastAsia="宋体" w:cs="Times New Roman"/>
                <w:color w:val="auto"/>
                <w:kern w:val="0"/>
                <w:szCs w:val="21"/>
                <w:highlight w:val="none"/>
              </w:rPr>
              <w:t>.平板焊接能够实现平横立仰，在焊接过程中有一个熔池相机自动追踪电弧位置始终能够把焊接熔池和运条过程拍的到，能够自动覆盖一个试板范围（试板长度350mm，管子直径范围150-200mm），并记录下来整个焊接熔化过程。</w:t>
            </w:r>
          </w:p>
          <w:p w14:paraId="15D7F5DB">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设备参数</w:t>
            </w:r>
          </w:p>
          <w:p w14:paraId="18FFA253">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长2700mm款1700mm高2400mm</w:t>
            </w:r>
          </w:p>
          <w:p w14:paraId="2202F81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 </w:t>
            </w:r>
            <w:r>
              <w:rPr>
                <w:rFonts w:ascii="Times New Roman" w:hAnsi="Times New Roman" w:eastAsia="宋体" w:cs="Times New Roman"/>
                <w:color w:val="auto"/>
                <w:szCs w:val="21"/>
                <w:highlight w:val="none"/>
              </w:rPr>
              <w:t>电压220V。</w:t>
            </w:r>
          </w:p>
          <w:p w14:paraId="66F594AA">
            <w:pPr>
              <w:rPr>
                <w:rFonts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3 </w:t>
            </w:r>
            <w:r>
              <w:rPr>
                <w:rFonts w:ascii="Times New Roman" w:hAnsi="Times New Roman" w:eastAsia="宋体" w:cs="Times New Roman"/>
                <w:bCs/>
                <w:color w:val="auto"/>
                <w:szCs w:val="21"/>
                <w:highlight w:val="none"/>
              </w:rPr>
              <w:t>可以满足平、衡、立、仰、管多自由度焊接。</w:t>
            </w:r>
          </w:p>
          <w:p w14:paraId="7655265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 </w:t>
            </w:r>
            <w:r>
              <w:rPr>
                <w:rFonts w:ascii="Times New Roman" w:hAnsi="Times New Roman" w:eastAsia="宋体" w:cs="Times New Roman"/>
                <w:color w:val="auto"/>
                <w:szCs w:val="21"/>
                <w:highlight w:val="none"/>
              </w:rPr>
              <w:t>具备Z轴不低于1000mm升降。</w:t>
            </w:r>
          </w:p>
          <w:p w14:paraId="3BABF0CE">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5 </w:t>
            </w:r>
            <w:r>
              <w:rPr>
                <w:rFonts w:ascii="Times New Roman" w:hAnsi="Times New Roman" w:eastAsia="宋体" w:cs="Times New Roman"/>
                <w:color w:val="auto"/>
                <w:szCs w:val="21"/>
                <w:highlight w:val="none"/>
              </w:rPr>
              <w:t>板材工位智能追踪范围不低于280mm。</w:t>
            </w:r>
          </w:p>
          <w:p w14:paraId="4E41E095">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 </w:t>
            </w:r>
            <w:r>
              <w:rPr>
                <w:rFonts w:ascii="Times New Roman" w:hAnsi="Times New Roman" w:eastAsia="宋体" w:cs="Times New Roman"/>
                <w:color w:val="auto"/>
                <w:szCs w:val="21"/>
                <w:highlight w:val="none"/>
              </w:rPr>
              <w:t>管子工位智能追踪范围360度，管子使用直径范围150-220mm。</w:t>
            </w:r>
          </w:p>
          <w:p w14:paraId="5051947C">
            <w:pPr>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ascii="Times New Roman" w:hAnsi="Times New Roman" w:eastAsia="宋体" w:cs="Times New Roman"/>
                <w:color w:val="auto"/>
                <w:szCs w:val="21"/>
                <w:highlight w:val="none"/>
                <w:lang w:val="en-US" w:eastAsia="zh-CN"/>
              </w:rPr>
              <w:t xml:space="preserve">7 </w:t>
            </w:r>
            <w:r>
              <w:rPr>
                <w:rFonts w:ascii="Times New Roman" w:hAnsi="Times New Roman" w:eastAsia="宋体" w:cs="Times New Roman"/>
                <w:color w:val="auto"/>
                <w:szCs w:val="21"/>
                <w:highlight w:val="none"/>
              </w:rPr>
              <w:t>固定机构：平板工位采用快速夹钳，管子工位采用气缸夹爪</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w:t>
            </w:r>
          </w:p>
          <w:p w14:paraId="64BA4983">
            <w:pPr>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ascii="Times New Roman" w:hAnsi="Times New Roman" w:eastAsia="宋体" w:cs="Times New Roman"/>
                <w:color w:val="auto"/>
                <w:szCs w:val="21"/>
                <w:highlight w:val="none"/>
                <w:lang w:val="en-US" w:eastAsia="zh-CN"/>
              </w:rPr>
              <w:t xml:space="preserve">8 </w:t>
            </w:r>
            <w:r>
              <w:rPr>
                <w:rFonts w:ascii="Times New Roman" w:hAnsi="Times New Roman" w:eastAsia="宋体" w:cs="Times New Roman"/>
                <w:color w:val="auto"/>
                <w:szCs w:val="21"/>
                <w:highlight w:val="none"/>
              </w:rPr>
              <w:t>视觉系统：相机分辨率不低于1440*1080，供电方式poe。动态范围不低于140db，能看清所有明弧焊接熔池、运条手法</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w:t>
            </w:r>
          </w:p>
          <w:p w14:paraId="59A31914">
            <w:pPr>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ascii="Times New Roman" w:hAnsi="Times New Roman" w:eastAsia="宋体" w:cs="Times New Roman"/>
                <w:color w:val="auto"/>
                <w:szCs w:val="21"/>
                <w:highlight w:val="none"/>
                <w:lang w:val="en-US" w:eastAsia="zh-CN"/>
              </w:rPr>
              <w:t xml:space="preserve">9 </w:t>
            </w:r>
            <w:r>
              <w:rPr>
                <w:rFonts w:ascii="Times New Roman" w:hAnsi="Times New Roman" w:eastAsia="宋体" w:cs="Times New Roman"/>
                <w:color w:val="auto"/>
                <w:szCs w:val="21"/>
                <w:highlight w:val="none"/>
              </w:rPr>
              <w:t>智能跟随软件：焊接自动跟随熔池，智能跟随软件通过计算机运行能够计算熔池位置并反馈PLC输出数据给到伺服电机，控制直线导轨和环形导轨捕捉熔池移动速度，形成智能追踪熔池实时显示在屏幕中心。跟随流畅无卡顿，延迟小于0.01s</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w:t>
            </w:r>
          </w:p>
          <w:p w14:paraId="61060315">
            <w:pPr>
              <w:pStyle w:val="172"/>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10 </w:t>
            </w:r>
            <w:r>
              <w:rPr>
                <w:rFonts w:ascii="Times New Roman" w:hAnsi="Times New Roman" w:eastAsia="宋体" w:cs="Times New Roman"/>
                <w:color w:val="auto"/>
                <w:szCs w:val="21"/>
                <w:highlight w:val="none"/>
              </w:rPr>
              <w:t>响应速度：平焊轴0-50mm/s   管焊轴0-0.05r/s，即0-3.6°/s。</w:t>
            </w:r>
          </w:p>
          <w:p w14:paraId="3EB12F45">
            <w:pPr>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rPr>
              <w:t>具备一体化除尘和灯光照明功能</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w:t>
            </w:r>
          </w:p>
          <w:p w14:paraId="2E6F407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12 </w:t>
            </w:r>
            <w:r>
              <w:rPr>
                <w:rFonts w:ascii="Times New Roman" w:hAnsi="Times New Roman" w:eastAsia="宋体" w:cs="Times New Roman"/>
                <w:color w:val="auto"/>
                <w:szCs w:val="21"/>
                <w:highlight w:val="none"/>
              </w:rPr>
              <w:t>适用于：手工氩弧焊、气保焊、焊条电弧焊接。</w:t>
            </w:r>
          </w:p>
          <w:p w14:paraId="7D08B2E6">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13 </w:t>
            </w:r>
            <w:r>
              <w:rPr>
                <w:rFonts w:ascii="Times New Roman" w:hAnsi="Times New Roman" w:eastAsia="宋体" w:cs="Times New Roman"/>
                <w:color w:val="auto"/>
                <w:szCs w:val="21"/>
                <w:highlight w:val="none"/>
              </w:rPr>
              <w:t>软件具备视频存储、回放功能。</w:t>
            </w:r>
          </w:p>
          <w:p w14:paraId="51C41F0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14 </w:t>
            </w:r>
            <w:r>
              <w:rPr>
                <w:rFonts w:ascii="Times New Roman" w:hAnsi="Times New Roman" w:eastAsia="宋体" w:cs="Times New Roman"/>
                <w:color w:val="auto"/>
                <w:szCs w:val="21"/>
                <w:highlight w:val="none"/>
              </w:rPr>
              <w:t>计算机：处理器不低于I5、内存不低于4G、15、硬盘不低于1T，计算机数量2台。</w:t>
            </w:r>
          </w:p>
          <w:p w14:paraId="6BE865E0">
            <w:pPr>
              <w:rPr>
                <w:rFonts w:ascii="Times New Roman" w:hAnsi="Times New Roman" w:eastAsia="宋体" w:cs="Times New Roman"/>
                <w:color w:val="auto"/>
                <w:szCs w:val="21"/>
                <w:highlight w:val="none"/>
              </w:rPr>
            </w:pPr>
            <w:r>
              <w:rPr>
                <w:rFonts w:hint="eastAsia" w:ascii="宋体" w:hAnsi="宋体" w:eastAsia="宋体" w:cs="宋体"/>
                <w:b w:val="0"/>
                <w:bCs/>
                <w:color w:val="auto"/>
                <w:sz w:val="24"/>
                <w:szCs w:val="24"/>
                <w:highlight w:val="none"/>
                <w:lang w:eastAsia="zh-CN"/>
              </w:rPr>
              <w:t>★</w:t>
            </w:r>
            <w:r>
              <w:rPr>
                <w:rFonts w:hint="eastAsia" w:ascii="Times New Roman" w:hAnsi="Times New Roman" w:eastAsia="宋体" w:cs="Times New Roman"/>
                <w:color w:val="auto"/>
                <w:szCs w:val="21"/>
                <w:highlight w:val="none"/>
                <w:lang w:val="en-US" w:eastAsia="zh-CN"/>
              </w:rPr>
              <w:t xml:space="preserve">15 </w:t>
            </w:r>
            <w:r>
              <w:rPr>
                <w:rFonts w:ascii="Times New Roman" w:hAnsi="Times New Roman" w:eastAsia="宋体" w:cs="Times New Roman"/>
                <w:color w:val="auto"/>
                <w:szCs w:val="21"/>
                <w:highlight w:val="none"/>
              </w:rPr>
              <w:t>显示器：智能焊接培训系统正面集成1台大显示器不低于30寸，两侧集成了2台小显示器不低于15寸，显示智能跟随软件的界面</w:t>
            </w:r>
            <w:r>
              <w:rPr>
                <w:rFonts w:ascii="Times New Roman" w:hAnsi="Times New Roman" w:eastAsia="宋体" w:cs="Times New Roman"/>
                <w:b/>
                <w:bCs/>
                <w:color w:val="auto"/>
                <w:szCs w:val="21"/>
                <w:highlight w:val="none"/>
              </w:rPr>
              <w:t>（</w:t>
            </w:r>
            <w:r>
              <w:rPr>
                <w:rFonts w:hint="eastAsia" w:ascii="宋体" w:hAnsi="宋体" w:eastAsia="宋体" w:cs="宋体"/>
                <w:b/>
                <w:bCs/>
                <w:color w:val="auto"/>
                <w:sz w:val="24"/>
                <w:szCs w:val="24"/>
                <w:highlight w:val="none"/>
              </w:rPr>
              <w:t>可提供U盘视频/官网公示/第三方检测报告等有效佐证材料</w:t>
            </w:r>
            <w:r>
              <w:rPr>
                <w:rFonts w:ascii="Times New Roman" w:hAnsi="Times New Roman" w:eastAsia="宋体" w:cs="Times New Roman"/>
                <w:b/>
                <w:bCs/>
                <w:color w:val="auto"/>
                <w:szCs w:val="21"/>
                <w:highlight w:val="none"/>
              </w:rPr>
              <w:t>）</w:t>
            </w:r>
            <w:r>
              <w:rPr>
                <w:rFonts w:ascii="Times New Roman" w:hAnsi="Times New Roman" w:eastAsia="宋体" w:cs="Times New Roman"/>
                <w:color w:val="auto"/>
                <w:szCs w:val="21"/>
                <w:highlight w:val="none"/>
              </w:rPr>
              <w:t>。</w:t>
            </w:r>
          </w:p>
          <w:p w14:paraId="25921A55">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16 </w:t>
            </w:r>
            <w:r>
              <w:rPr>
                <w:rFonts w:ascii="Times New Roman" w:hAnsi="Times New Roman" w:eastAsia="宋体" w:cs="Times New Roman"/>
                <w:color w:val="auto"/>
                <w:szCs w:val="21"/>
                <w:highlight w:val="none"/>
              </w:rPr>
              <w:t>气泵一台：排气量100L/Min。</w:t>
            </w:r>
          </w:p>
          <w:p w14:paraId="0BD2972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17  </w:t>
            </w:r>
            <w:r>
              <w:rPr>
                <w:rFonts w:ascii="Times New Roman" w:hAnsi="Times New Roman" w:eastAsia="宋体" w:cs="Times New Roman"/>
                <w:color w:val="auto"/>
                <w:szCs w:val="21"/>
                <w:highlight w:val="none"/>
              </w:rPr>
              <w:t>PLC界面具备功能：Z轴与管端电机使能开关、Z轴生降、照明、除尘。</w:t>
            </w:r>
          </w:p>
          <w:p w14:paraId="28FCB2BE">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18 </w:t>
            </w:r>
            <w:r>
              <w:rPr>
                <w:rFonts w:ascii="Times New Roman" w:hAnsi="Times New Roman" w:eastAsia="宋体" w:cs="Times New Roman"/>
                <w:color w:val="auto"/>
                <w:szCs w:val="21"/>
                <w:highlight w:val="none"/>
              </w:rPr>
              <w:t>大屏显示器，满足多媒体教学需求</w:t>
            </w:r>
          </w:p>
          <w:p w14:paraId="0161F02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19 </w:t>
            </w:r>
            <w:r>
              <w:rPr>
                <w:rFonts w:ascii="Times New Roman" w:hAnsi="Times New Roman" w:eastAsia="宋体" w:cs="Times New Roman"/>
                <w:color w:val="auto"/>
                <w:szCs w:val="21"/>
                <w:highlight w:val="none"/>
              </w:rPr>
              <w:t>尺寸：75英寸，</w:t>
            </w:r>
          </w:p>
          <w:p w14:paraId="2545D1F2">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20 </w:t>
            </w:r>
            <w:r>
              <w:rPr>
                <w:rFonts w:ascii="Times New Roman" w:hAnsi="Times New Roman" w:eastAsia="宋体" w:cs="Times New Roman"/>
                <w:color w:val="auto"/>
                <w:szCs w:val="21"/>
                <w:highlight w:val="none"/>
              </w:rPr>
              <w:t>屏幕分辨率：超高清4K</w:t>
            </w:r>
          </w:p>
          <w:p w14:paraId="0293EDF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21 </w:t>
            </w:r>
            <w:r>
              <w:rPr>
                <w:rFonts w:ascii="Times New Roman" w:hAnsi="Times New Roman" w:eastAsia="宋体" w:cs="Times New Roman"/>
                <w:color w:val="auto"/>
                <w:szCs w:val="21"/>
                <w:highlight w:val="none"/>
              </w:rPr>
              <w:t>存储内存：64GB</w:t>
            </w:r>
          </w:p>
          <w:p w14:paraId="001D9CF4">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22 </w:t>
            </w:r>
            <w:r>
              <w:rPr>
                <w:rFonts w:ascii="Times New Roman" w:hAnsi="Times New Roman" w:eastAsia="宋体" w:cs="Times New Roman"/>
                <w:color w:val="auto"/>
                <w:szCs w:val="21"/>
                <w:highlight w:val="none"/>
              </w:rPr>
              <w:t>运行内存：3GB</w:t>
            </w:r>
          </w:p>
          <w:p w14:paraId="0B1AE18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23 </w:t>
            </w:r>
            <w:r>
              <w:rPr>
                <w:rFonts w:ascii="Times New Roman" w:hAnsi="Times New Roman" w:eastAsia="宋体" w:cs="Times New Roman"/>
                <w:color w:val="auto"/>
                <w:szCs w:val="21"/>
                <w:highlight w:val="none"/>
              </w:rPr>
              <w:t>USB2.0接口数：1个</w:t>
            </w:r>
          </w:p>
          <w:p w14:paraId="214B80B9">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24 </w:t>
            </w:r>
            <w:r>
              <w:rPr>
                <w:rFonts w:ascii="Times New Roman" w:hAnsi="Times New Roman" w:eastAsia="宋体" w:cs="Times New Roman"/>
                <w:color w:val="auto"/>
                <w:szCs w:val="21"/>
                <w:highlight w:val="none"/>
              </w:rPr>
              <w:t>USB3.0接口数：1个</w:t>
            </w:r>
          </w:p>
          <w:p w14:paraId="68960860">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25 </w:t>
            </w:r>
            <w:r>
              <w:rPr>
                <w:rFonts w:ascii="Times New Roman" w:hAnsi="Times New Roman" w:eastAsia="宋体" w:cs="Times New Roman"/>
                <w:color w:val="auto"/>
                <w:szCs w:val="21"/>
                <w:highlight w:val="none"/>
              </w:rPr>
              <w:t>HDMI2.1接口数：2个</w:t>
            </w:r>
          </w:p>
          <w:p w14:paraId="5ECC436F">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26 </w:t>
            </w:r>
            <w:r>
              <w:rPr>
                <w:rFonts w:ascii="Times New Roman" w:hAnsi="Times New Roman" w:eastAsia="宋体" w:cs="Times New Roman"/>
                <w:color w:val="auto"/>
                <w:szCs w:val="21"/>
                <w:highlight w:val="none"/>
              </w:rPr>
              <w:t>工作电压：220V</w:t>
            </w:r>
          </w:p>
          <w:p w14:paraId="5D43DD21">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27 </w:t>
            </w:r>
            <w:r>
              <w:rPr>
                <w:rFonts w:ascii="Times New Roman" w:hAnsi="Times New Roman" w:eastAsia="宋体" w:cs="Times New Roman"/>
                <w:color w:val="auto"/>
                <w:szCs w:val="21"/>
                <w:highlight w:val="none"/>
              </w:rPr>
              <w:t>电源功率：260W</w:t>
            </w:r>
          </w:p>
          <w:p w14:paraId="0F8712BC">
            <w:pP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28 </w:t>
            </w:r>
            <w:r>
              <w:rPr>
                <w:rFonts w:ascii="Times New Roman" w:hAnsi="Times New Roman" w:eastAsia="宋体" w:cs="Times New Roman"/>
                <w:color w:val="auto"/>
                <w:szCs w:val="21"/>
                <w:highlight w:val="none"/>
              </w:rPr>
              <w:t>可支持有线或者无线连接</w:t>
            </w:r>
          </w:p>
          <w:p w14:paraId="0378A8E3">
            <w:pPr>
              <w:rPr>
                <w:rFonts w:hint="eastAsia" w:ascii="Times New Roman" w:hAnsi="Times New Roman" w:eastAsia="宋体" w:cs="Times New Roman"/>
                <w:color w:val="auto"/>
                <w:szCs w:val="21"/>
                <w:highlight w:val="none"/>
                <w:lang w:val="en-US" w:eastAsia="zh-CN"/>
              </w:rPr>
            </w:pPr>
            <w:r>
              <w:rPr>
                <w:rFonts w:hint="eastAsia" w:ascii="宋体" w:hAnsi="宋体" w:cs="宋体"/>
                <w:b w:val="0"/>
                <w:bCs w:val="0"/>
                <w:color w:val="auto"/>
                <w:sz w:val="24"/>
                <w:szCs w:val="24"/>
                <w:highlight w:val="none"/>
                <w:lang w:val="en-US" w:eastAsia="zh-CN"/>
              </w:rPr>
              <w:t>29</w:t>
            </w:r>
            <w:r>
              <w:rPr>
                <w:rFonts w:hint="eastAsia" w:ascii="宋体" w:hAnsi="宋体" w:eastAsia="宋体" w:cs="宋体"/>
                <w:b w:val="0"/>
                <w:bCs w:val="0"/>
                <w:color w:val="auto"/>
                <w:sz w:val="24"/>
                <w:szCs w:val="24"/>
                <w:highlight w:val="none"/>
              </w:rPr>
              <w:t>支持焊工职业技能等级考核的熔池评分、实操考核；设备可灵活调整，适配校内实训、大赛备赛、社会培训不同场景的操作需求</w:t>
            </w:r>
            <w:r>
              <w:rPr>
                <w:rFonts w:hint="eastAsia" w:ascii="宋体" w:hAnsi="宋体" w:cs="宋体"/>
                <w:b w:val="0"/>
                <w:bCs w:val="0"/>
                <w:color w:val="auto"/>
                <w:sz w:val="24"/>
                <w:szCs w:val="24"/>
                <w:highlight w:val="none"/>
                <w:lang w:eastAsia="zh-CN"/>
              </w:rPr>
              <w:t>。</w:t>
            </w:r>
          </w:p>
        </w:tc>
        <w:tc>
          <w:tcPr>
            <w:tcW w:w="825" w:type="dxa"/>
            <w:vAlign w:val="center"/>
          </w:tcPr>
          <w:p w14:paraId="4BE65E4F">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725" w:type="dxa"/>
            <w:shd w:val="clear" w:color="auto" w:fill="auto"/>
            <w:vAlign w:val="center"/>
          </w:tcPr>
          <w:p w14:paraId="6B1B0C11">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241D44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6A797E10">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10</w:t>
            </w:r>
          </w:p>
        </w:tc>
        <w:tc>
          <w:tcPr>
            <w:tcW w:w="1562" w:type="dxa"/>
            <w:vAlign w:val="center"/>
          </w:tcPr>
          <w:p w14:paraId="51E60D71">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气保焊机</w:t>
            </w:r>
          </w:p>
        </w:tc>
        <w:tc>
          <w:tcPr>
            <w:tcW w:w="5900" w:type="dxa"/>
            <w:vAlign w:val="center"/>
          </w:tcPr>
          <w:p w14:paraId="019E9BE5">
            <w:pPr>
              <w:pStyle w:val="14"/>
              <w:spacing w:after="0"/>
              <w:rPr>
                <w:rFonts w:ascii="Times New Roman" w:hAnsi="Times New Roman" w:eastAsia="宋体" w:cs="Times New Roman"/>
                <w:b/>
                <w:bCs/>
                <w:color w:val="auto"/>
                <w:spacing w:val="-1"/>
                <w:szCs w:val="21"/>
                <w:highlight w:val="none"/>
              </w:rPr>
            </w:pPr>
            <w:r>
              <w:rPr>
                <w:rFonts w:hint="eastAsia" w:ascii="Times New Roman" w:hAnsi="Times New Roman" w:eastAsia="宋体" w:cs="Times New Roman"/>
                <w:b/>
                <w:bCs/>
                <w:color w:val="auto"/>
                <w:spacing w:val="-1"/>
                <w:szCs w:val="21"/>
                <w:highlight w:val="none"/>
                <w:lang w:val="en-US" w:eastAsia="zh-CN"/>
              </w:rPr>
              <w:t>一、</w:t>
            </w:r>
            <w:r>
              <w:rPr>
                <w:rFonts w:ascii="Times New Roman" w:hAnsi="Times New Roman" w:eastAsia="宋体" w:cs="Times New Roman"/>
                <w:b/>
                <w:bCs/>
                <w:color w:val="auto"/>
                <w:spacing w:val="-1"/>
                <w:szCs w:val="21"/>
                <w:highlight w:val="none"/>
              </w:rPr>
              <w:t>设备参数</w:t>
            </w:r>
          </w:p>
          <w:p w14:paraId="3CCF4CA0">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额定输入电压/频率</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：380V±10% 50Hz</w:t>
            </w:r>
          </w:p>
          <w:p w14:paraId="77BB64F3">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额定输入容量(KVA)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：≥14</w:t>
            </w:r>
          </w:p>
          <w:p w14:paraId="6B1CA6E0">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额定输入电流(A)：≥21</w:t>
            </w:r>
          </w:p>
          <w:p w14:paraId="453ACF18">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4</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额定输出电压(V)</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：31.5</w:t>
            </w:r>
          </w:p>
          <w:p w14:paraId="7C279EF6">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5</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输出空载电压(V)</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：≥70</w:t>
            </w:r>
          </w:p>
          <w:p w14:paraId="170A3C01">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6</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输出电流范围(A)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：60～350</w:t>
            </w:r>
          </w:p>
          <w:p w14:paraId="7EACB6EB">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7</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输出电压范围(V)：15～40</w:t>
            </w:r>
          </w:p>
          <w:p w14:paraId="42F25D4B">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8</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功率因数：</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≥0.87</w:t>
            </w:r>
          </w:p>
          <w:p w14:paraId="66F1CCE7">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9</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焊丝直径(mm)</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：0.8~1.2</w:t>
            </w:r>
          </w:p>
          <w:p w14:paraId="654E9EC5">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10</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送丝类型</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：推丝</w:t>
            </w:r>
          </w:p>
          <w:p w14:paraId="142DD824">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气体流量(L/min)</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：15～25</w:t>
            </w:r>
          </w:p>
          <w:p w14:paraId="3DC9981F">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焊枪冷却方式</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：气冷</w:t>
            </w:r>
          </w:p>
          <w:p w14:paraId="79DDBC31">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外壳防护等级</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：IP21S</w:t>
            </w:r>
          </w:p>
          <w:p w14:paraId="4A89A953">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14</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绝缘等级：H</w:t>
            </w:r>
          </w:p>
          <w:p w14:paraId="1E31A301">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15</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外型尺寸 WxDxH(mm)：不大于</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603x 311 x 574</w:t>
            </w:r>
          </w:p>
          <w:p w14:paraId="71472CA2">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16重量(Kg)：不大于40</w:t>
            </w:r>
          </w:p>
          <w:p w14:paraId="528849CC">
            <w:pPr>
              <w:pStyle w:val="14"/>
              <w:spacing w:after="0"/>
              <w:rPr>
                <w:rFonts w:ascii="Times New Roman" w:hAnsi="Times New Roman" w:eastAsia="宋体" w:cs="Times New Roman"/>
                <w:color w:val="auto"/>
                <w:spacing w:val="-1"/>
                <w:szCs w:val="21"/>
                <w:highlight w:val="none"/>
              </w:rPr>
            </w:pPr>
            <w:r>
              <w:rPr>
                <w:rFonts w:hint="eastAsia" w:ascii="Times New Roman" w:hAnsi="Times New Roman" w:eastAsia="宋体" w:cs="Times New Roman"/>
                <w:color w:val="auto"/>
                <w:spacing w:val="-1"/>
                <w:szCs w:val="21"/>
                <w:highlight w:val="none"/>
                <w:lang w:val="en-US" w:eastAsia="zh-CN"/>
              </w:rPr>
              <w:t>二、</w:t>
            </w:r>
            <w:r>
              <w:rPr>
                <w:rFonts w:ascii="Times New Roman" w:hAnsi="Times New Roman" w:eastAsia="宋体" w:cs="Times New Roman"/>
                <w:color w:val="auto"/>
                <w:spacing w:val="-1"/>
                <w:szCs w:val="21"/>
                <w:highlight w:val="none"/>
              </w:rPr>
              <w:t>数字功能</w:t>
            </w:r>
          </w:p>
          <w:p w14:paraId="5183F631">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 xml:space="preserve"> 可预置送丝速度或焊接电流，实现一元化调节，直观简单</w:t>
            </w:r>
          </w:p>
          <w:p w14:paraId="4E88A2E5">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可存储、调用 10 套焊接规范，节省焊接规范的调节时间，保证焊接质量</w:t>
            </w:r>
          </w:p>
          <w:p w14:paraId="6ADE1703">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具有点焊功能</w:t>
            </w:r>
          </w:p>
          <w:p w14:paraId="6525B68A">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4</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轻松实现提前送气、滞后停气时间等功能的设置</w:t>
            </w:r>
          </w:p>
          <w:p w14:paraId="72D8AE10">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5</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风机智能控制，静音省电，风机寿命延长</w:t>
            </w:r>
          </w:p>
          <w:p w14:paraId="7D9A8529">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6</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网络功能 ：可实现焊机网络群控管理</w:t>
            </w:r>
          </w:p>
          <w:p w14:paraId="2BF35EB9">
            <w:pPr>
              <w:pStyle w:val="14"/>
              <w:spacing w:after="0"/>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7</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具有过热、过流、过压及输出短路等多种保护功能，并提示故障代码便于维修</w:t>
            </w:r>
          </w:p>
          <w:p w14:paraId="3285972E">
            <w:pPr>
              <w:pStyle w:val="14"/>
              <w:spacing w:after="0"/>
              <w:rPr>
                <w:rFonts w:ascii="Times New Roman" w:hAnsi="Times New Roman" w:eastAsia="宋体" w:cs="Times New Roman"/>
                <w:color w:val="auto"/>
                <w:spacing w:val="-1"/>
                <w:szCs w:val="21"/>
                <w:highlight w:val="none"/>
              </w:rPr>
            </w:pPr>
            <w:r>
              <w:rPr>
                <w:rFonts w:hint="eastAsia" w:ascii="Times New Roman" w:hAnsi="Times New Roman" w:eastAsia="宋体" w:cs="Times New Roman"/>
                <w:color w:val="auto"/>
                <w:spacing w:val="-1"/>
                <w:szCs w:val="21"/>
                <w:highlight w:val="none"/>
                <w:lang w:val="en-US" w:eastAsia="zh-CN"/>
              </w:rPr>
              <w:t xml:space="preserve">8 </w:t>
            </w:r>
            <w:r>
              <w:rPr>
                <w:rFonts w:ascii="Times New Roman" w:hAnsi="Times New Roman" w:eastAsia="宋体" w:cs="Times New Roman"/>
                <w:color w:val="auto"/>
                <w:spacing w:val="-1"/>
                <w:szCs w:val="21"/>
                <w:highlight w:val="none"/>
              </w:rPr>
              <w:t>标准模拟接口与专机连接，实现自动焊接</w:t>
            </w:r>
          </w:p>
          <w:p w14:paraId="4A058D7C">
            <w:pPr>
              <w:rPr>
                <w:rFonts w:ascii="Times New Roman" w:hAnsi="Times New Roman" w:eastAsia="宋体" w:cs="Times New Roman"/>
                <w:color w:val="auto"/>
                <w:szCs w:val="21"/>
                <w:highlight w:val="none"/>
              </w:rPr>
            </w:pPr>
            <w:r>
              <w:rPr>
                <w:rFonts w:ascii="Times New Roman" w:hAnsi="Times New Roman" w:eastAsia="宋体" w:cs="Times New Roman"/>
                <w:color w:val="auto"/>
                <w:spacing w:val="-1"/>
                <w:szCs w:val="21"/>
                <w:highlight w:val="none"/>
              </w:rPr>
              <w:t>9</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采用软开关保护技术，IGBT 逆变焊机</w:t>
            </w:r>
          </w:p>
        </w:tc>
        <w:tc>
          <w:tcPr>
            <w:tcW w:w="825" w:type="dxa"/>
            <w:vAlign w:val="center"/>
          </w:tcPr>
          <w:p w14:paraId="5211BCB7">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w:t>
            </w:r>
          </w:p>
        </w:tc>
        <w:tc>
          <w:tcPr>
            <w:tcW w:w="725" w:type="dxa"/>
            <w:shd w:val="clear" w:color="auto" w:fill="auto"/>
            <w:vAlign w:val="center"/>
          </w:tcPr>
          <w:p w14:paraId="6C264DD7">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0AB1D0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4077F2B5">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11</w:t>
            </w:r>
          </w:p>
        </w:tc>
        <w:tc>
          <w:tcPr>
            <w:tcW w:w="1562" w:type="dxa"/>
            <w:vAlign w:val="center"/>
          </w:tcPr>
          <w:p w14:paraId="54A6F367">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氩弧焊机</w:t>
            </w:r>
          </w:p>
        </w:tc>
        <w:tc>
          <w:tcPr>
            <w:tcW w:w="5900" w:type="dxa"/>
            <w:vAlign w:val="center"/>
          </w:tcPr>
          <w:p w14:paraId="23D4949B">
            <w:pPr>
              <w:rPr>
                <w:rFonts w:ascii="Times New Roman" w:hAnsi="Times New Roman" w:eastAsia="宋体" w:cs="Times New Roman"/>
                <w:b/>
                <w:bCs/>
                <w:color w:val="auto"/>
                <w:spacing w:val="-1"/>
                <w:szCs w:val="21"/>
                <w:highlight w:val="none"/>
              </w:rPr>
            </w:pPr>
            <w:r>
              <w:rPr>
                <w:rFonts w:hint="eastAsia" w:ascii="Times New Roman" w:hAnsi="Times New Roman" w:eastAsia="宋体" w:cs="Times New Roman"/>
                <w:b/>
                <w:bCs/>
                <w:color w:val="auto"/>
                <w:spacing w:val="-1"/>
                <w:szCs w:val="21"/>
                <w:highlight w:val="none"/>
                <w:lang w:val="en-US" w:eastAsia="zh-CN"/>
              </w:rPr>
              <w:t>一、</w:t>
            </w:r>
            <w:r>
              <w:rPr>
                <w:rFonts w:ascii="Times New Roman" w:hAnsi="Times New Roman" w:eastAsia="宋体" w:cs="Times New Roman"/>
                <w:b/>
                <w:bCs/>
                <w:color w:val="auto"/>
                <w:spacing w:val="-1"/>
                <w:szCs w:val="21"/>
                <w:highlight w:val="none"/>
              </w:rPr>
              <w:t>设备参数</w:t>
            </w:r>
          </w:p>
          <w:p w14:paraId="2D55BE26">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额定输入电压/频率</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：三相380v±10% 50Hz</w:t>
            </w:r>
          </w:p>
          <w:p w14:paraId="4D6C885A">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额定输入容量(KVA)：≥18.4</w:t>
            </w:r>
          </w:p>
          <w:p w14:paraId="57B7C8A6">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额定输入电流(A)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：≥28</w:t>
            </w:r>
          </w:p>
          <w:p w14:paraId="40996DFC">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4</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额定输出电压(V)</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：36</w:t>
            </w:r>
          </w:p>
          <w:p w14:paraId="591D22AE">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5</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额定负载持续率(%)</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：≥60%</w:t>
            </w:r>
          </w:p>
          <w:p w14:paraId="4DC847A6">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6</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输出空载电压(V)</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：22</w:t>
            </w:r>
          </w:p>
          <w:p w14:paraId="17718E5D">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7</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输出电流范围 (A)：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5～400</w:t>
            </w:r>
          </w:p>
          <w:p w14:paraId="7A6F3E34">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8</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TIG 焊起始电流 (A)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：10～160</w:t>
            </w:r>
          </w:p>
          <w:p w14:paraId="18B2487B">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9</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TIG 焊收弧电流(A)：</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5～160</w:t>
            </w:r>
          </w:p>
          <w:p w14:paraId="0A934644">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10</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电流上升时间(S)</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：0.1～10</w:t>
            </w:r>
          </w:p>
          <w:p w14:paraId="4EFB5F4A">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电流下降时间(S)：0.1～15</w:t>
            </w:r>
          </w:p>
          <w:p w14:paraId="1C8389C1">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提前送气时间(S)：0.1～15</w:t>
            </w:r>
          </w:p>
          <w:p w14:paraId="7D486BDB">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滞后送气时间(S)</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：0.1～15</w:t>
            </w:r>
          </w:p>
          <w:p w14:paraId="5E5E99FB">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14</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外壳防护等级</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：IP21S</w:t>
            </w:r>
          </w:p>
          <w:p w14:paraId="6E4621E6">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15</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绝缘等级：H</w:t>
            </w:r>
          </w:p>
          <w:p w14:paraId="138F6E17">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16</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冷却方式：风冷</w:t>
            </w:r>
          </w:p>
          <w:p w14:paraId="007F33D0">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17</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外型尺寸 LxWxH(mm)：</w:t>
            </w:r>
            <w:r>
              <w:rPr>
                <w:rFonts w:ascii="Times New Roman" w:hAnsi="Times New Roman" w:eastAsia="宋体" w:cs="Times New Roman"/>
                <w:color w:val="auto"/>
                <w:spacing w:val="-1"/>
                <w:szCs w:val="21"/>
                <w:highlight w:val="none"/>
              </w:rPr>
              <w:tab/>
            </w:r>
            <w:r>
              <w:rPr>
                <w:rFonts w:ascii="Times New Roman" w:hAnsi="Times New Roman" w:eastAsia="宋体" w:cs="Times New Roman"/>
                <w:color w:val="auto"/>
                <w:spacing w:val="-1"/>
                <w:szCs w:val="21"/>
                <w:highlight w:val="none"/>
              </w:rPr>
              <w:t>614×311×557</w:t>
            </w:r>
          </w:p>
          <w:p w14:paraId="2AF362AB">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18</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重量(Kg)：43</w:t>
            </w:r>
          </w:p>
          <w:p w14:paraId="561D0520">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19</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手弧焊可调参数：推力电流、拐点电压、引弧时间、引弧电流的调节功能。通过设定拐点电压来适应长短电缆焊接；通过设定引弧时间，大大提高引弧成功率；</w:t>
            </w:r>
          </w:p>
          <w:p w14:paraId="325A7B26">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20</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氩弧焊可调节各种参数：提前送气时间、滞后停气时间、缓冲时间、衰减时间、起弧电流及收弧电流。</w:t>
            </w:r>
          </w:p>
          <w:p w14:paraId="54332CC8">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21</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电流调节范围宽，最小电流可达到5A，空载电压低（22V左右），更加安全、可靠。</w:t>
            </w:r>
          </w:p>
          <w:p w14:paraId="4A49D58A">
            <w:pPr>
              <w:rPr>
                <w:rFonts w:ascii="Times New Roman" w:hAnsi="Times New Roman" w:eastAsia="宋体" w:cs="Times New Roman"/>
                <w:color w:val="auto"/>
                <w:spacing w:val="-1"/>
                <w:szCs w:val="21"/>
                <w:highlight w:val="none"/>
              </w:rPr>
            </w:pPr>
            <w:r>
              <w:rPr>
                <w:rFonts w:ascii="Times New Roman" w:hAnsi="Times New Roman" w:eastAsia="宋体" w:cs="Times New Roman"/>
                <w:color w:val="auto"/>
                <w:spacing w:val="-1"/>
                <w:szCs w:val="21"/>
                <w:highlight w:val="none"/>
              </w:rPr>
              <w:t>22</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具有长短焊功能，根据电缆长短情况可以设置不同的焊接模式。</w:t>
            </w:r>
          </w:p>
          <w:p w14:paraId="0D91E3A8">
            <w:pPr>
              <w:rPr>
                <w:rFonts w:ascii="Times New Roman" w:hAnsi="Times New Roman" w:eastAsia="宋体" w:cs="Times New Roman"/>
                <w:color w:val="auto"/>
                <w:szCs w:val="21"/>
                <w:highlight w:val="none"/>
              </w:rPr>
            </w:pPr>
            <w:r>
              <w:rPr>
                <w:rFonts w:ascii="Times New Roman" w:hAnsi="Times New Roman" w:eastAsia="宋体" w:cs="Times New Roman"/>
                <w:color w:val="auto"/>
                <w:spacing w:val="-1"/>
                <w:szCs w:val="21"/>
                <w:highlight w:val="none"/>
              </w:rPr>
              <w:t>23</w:t>
            </w:r>
            <w:r>
              <w:rPr>
                <w:rFonts w:hint="eastAsia" w:ascii="Times New Roman" w:hAnsi="Times New Roman" w:eastAsia="宋体" w:cs="Times New Roman"/>
                <w:color w:val="auto"/>
                <w:spacing w:val="-1"/>
                <w:szCs w:val="21"/>
                <w:highlight w:val="none"/>
                <w:lang w:val="en-US" w:eastAsia="zh-CN"/>
              </w:rPr>
              <w:t xml:space="preserve"> </w:t>
            </w:r>
            <w:r>
              <w:rPr>
                <w:rFonts w:ascii="Times New Roman" w:hAnsi="Times New Roman" w:eastAsia="宋体" w:cs="Times New Roman"/>
                <w:color w:val="auto"/>
                <w:spacing w:val="-1"/>
                <w:szCs w:val="21"/>
                <w:highlight w:val="none"/>
              </w:rPr>
              <w:t>风机智能管理，延长风机使用寿命、降低故障率。</w:t>
            </w:r>
          </w:p>
        </w:tc>
        <w:tc>
          <w:tcPr>
            <w:tcW w:w="825" w:type="dxa"/>
            <w:vAlign w:val="center"/>
          </w:tcPr>
          <w:p w14:paraId="30D75350">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w:t>
            </w:r>
          </w:p>
        </w:tc>
        <w:tc>
          <w:tcPr>
            <w:tcW w:w="725" w:type="dxa"/>
            <w:shd w:val="clear" w:color="auto" w:fill="auto"/>
            <w:vAlign w:val="center"/>
          </w:tcPr>
          <w:p w14:paraId="5944092D">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套</w:t>
            </w:r>
          </w:p>
        </w:tc>
      </w:tr>
      <w:tr w14:paraId="24973D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57" w:type="dxa"/>
            <w:bottom w:w="0" w:type="dxa"/>
            <w:right w:w="57" w:type="dxa"/>
          </w:tblCellMar>
        </w:tblPrEx>
        <w:trPr>
          <w:trHeight w:val="567" w:hRule="atLeast"/>
          <w:jc w:val="center"/>
        </w:trPr>
        <w:tc>
          <w:tcPr>
            <w:tcW w:w="867" w:type="dxa"/>
            <w:vAlign w:val="center"/>
          </w:tcPr>
          <w:p w14:paraId="5F1A1211">
            <w:pPr>
              <w:jc w:val="center"/>
              <w:rPr>
                <w:rFonts w:ascii="Times New Roman" w:hAnsi="Times New Roman" w:eastAsia="宋体" w:cs="Times New Roman"/>
                <w:b w:val="0"/>
                <w:bCs w:val="0"/>
                <w:color w:val="auto"/>
                <w:szCs w:val="21"/>
                <w:highlight w:val="none"/>
              </w:rPr>
            </w:pPr>
            <w:r>
              <w:rPr>
                <w:rFonts w:ascii="Times New Roman" w:hAnsi="Times New Roman" w:eastAsia="宋体" w:cs="Times New Roman"/>
                <w:b/>
                <w:bCs/>
                <w:color w:val="auto"/>
                <w:szCs w:val="21"/>
                <w:highlight w:val="none"/>
              </w:rPr>
              <w:t>12</w:t>
            </w:r>
          </w:p>
        </w:tc>
        <w:tc>
          <w:tcPr>
            <w:tcW w:w="1562" w:type="dxa"/>
            <w:vAlign w:val="center"/>
          </w:tcPr>
          <w:p w14:paraId="0633F5CA">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基础建设</w:t>
            </w:r>
          </w:p>
        </w:tc>
        <w:tc>
          <w:tcPr>
            <w:tcW w:w="5900" w:type="dxa"/>
            <w:vAlign w:val="center"/>
          </w:tcPr>
          <w:p w14:paraId="1268F12C">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一、</w:t>
            </w:r>
            <w:r>
              <w:rPr>
                <w:rFonts w:ascii="Times New Roman" w:hAnsi="Times New Roman" w:eastAsia="宋体" w:cs="Times New Roman"/>
                <w:b/>
                <w:bCs/>
                <w:color w:val="auto"/>
                <w:szCs w:val="21"/>
                <w:highlight w:val="none"/>
              </w:rPr>
              <w:t>文化建设</w:t>
            </w:r>
          </w:p>
          <w:p w14:paraId="5EF8CD98">
            <w:pPr>
              <w:pStyle w:val="996"/>
              <w:ind w:left="0" w:leftChars="0"/>
              <w:rPr>
                <w:rFonts w:ascii="Times New Roman" w:hAnsi="Times New Roman" w:eastAsia="宋体" w:cs="Times New Roman"/>
                <w:b w:val="0"/>
                <w:bCs w:val="0"/>
                <w:color w:val="auto"/>
                <w:szCs w:val="21"/>
                <w:highlight w:val="none"/>
              </w:rPr>
            </w:pPr>
            <w:r>
              <w:rPr>
                <w:rFonts w:ascii="Times New Roman" w:hAnsi="Times New Roman" w:eastAsia="宋体" w:cs="Times New Roman"/>
                <w:b w:val="0"/>
                <w:bCs w:val="0"/>
                <w:color w:val="auto"/>
                <w:szCs w:val="21"/>
                <w:highlight w:val="none"/>
              </w:rPr>
              <w:t>1、文化墙</w:t>
            </w:r>
          </w:p>
          <w:p w14:paraId="09F42B4B">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文化墙是营造VR焊接实训室文化氛围的重要载体，全面呈现焊接专业文化和专业建设内容，并加上院校、企业LOGO等体现本校专业特色的元素；</w:t>
            </w:r>
          </w:p>
          <w:p w14:paraId="772DA560">
            <w:pPr>
              <w:pStyle w:val="996"/>
              <w:ind w:left="0" w:leftChars="0"/>
              <w:rPr>
                <w:rFonts w:ascii="Times New Roman" w:hAnsi="Times New Roman" w:eastAsia="宋体" w:cs="Times New Roman"/>
                <w:color w:val="auto"/>
                <w:szCs w:val="21"/>
                <w:highlight w:val="none"/>
              </w:rPr>
            </w:pPr>
            <w:bookmarkStart w:id="108" w:name="_Toc6917347"/>
            <w:bookmarkStart w:id="109" w:name="_Toc6907337"/>
            <w:bookmarkStart w:id="110" w:name="_Toc6906141"/>
            <w:bookmarkStart w:id="111" w:name="_Toc6906374"/>
            <w:bookmarkStart w:id="112" w:name="_Toc6907401"/>
            <w:r>
              <w:rPr>
                <w:rFonts w:ascii="Times New Roman" w:hAnsi="Times New Roman" w:eastAsia="宋体" w:cs="Times New Roman"/>
                <w:color w:val="auto"/>
                <w:szCs w:val="21"/>
                <w:highlight w:val="none"/>
              </w:rPr>
              <w:t>2、挂图</w:t>
            </w:r>
            <w:bookmarkEnd w:id="108"/>
            <w:bookmarkEnd w:id="109"/>
            <w:bookmarkEnd w:id="110"/>
            <w:bookmarkEnd w:id="111"/>
            <w:bookmarkEnd w:id="112"/>
          </w:p>
          <w:p w14:paraId="2D2E3881">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院校可根据实际需求选择文化类挂图、制度类挂图和功能性挂图等。</w:t>
            </w:r>
          </w:p>
          <w:p w14:paraId="613A849A">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文化类挂图：凸显院校和专业文化内涵建设、特色，如校训、校风、教学理念、专业历史、名人等；</w:t>
            </w:r>
          </w:p>
          <w:p w14:paraId="1CFDFCB0">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制度类挂图：彰显院校和专业的管理规范，如教师岗位管理制度、学员行为规范/守则、VR焊接实训室管理制度以及设备管理、安全管理等；</w:t>
            </w:r>
          </w:p>
          <w:p w14:paraId="56D39F43">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功能性挂图：实训设备及软件操作指引和规范。 </w:t>
            </w:r>
          </w:p>
          <w:p w14:paraId="0F91B771">
            <w:pPr>
              <w:pStyle w:val="996"/>
              <w:ind w:left="0" w:leftChars="0"/>
              <w:rPr>
                <w:rFonts w:ascii="Times New Roman" w:hAnsi="Times New Roman" w:eastAsia="宋体" w:cs="Times New Roman"/>
                <w:color w:val="auto"/>
                <w:szCs w:val="21"/>
                <w:highlight w:val="none"/>
              </w:rPr>
            </w:pPr>
            <w:bookmarkStart w:id="113" w:name="_Toc6907402"/>
            <w:bookmarkStart w:id="114" w:name="_Toc6906375"/>
            <w:bookmarkStart w:id="115" w:name="_Toc6906142"/>
            <w:bookmarkStart w:id="116" w:name="_Toc6917348"/>
            <w:bookmarkStart w:id="117" w:name="_Toc6907338"/>
            <w:r>
              <w:rPr>
                <w:rFonts w:ascii="Times New Roman" w:hAnsi="Times New Roman" w:eastAsia="宋体" w:cs="Times New Roman"/>
                <w:color w:val="auto"/>
                <w:szCs w:val="21"/>
                <w:highlight w:val="none"/>
              </w:rPr>
              <w:t>3、背景色、其他装饰元素</w:t>
            </w:r>
            <w:bookmarkEnd w:id="113"/>
            <w:bookmarkEnd w:id="114"/>
            <w:bookmarkEnd w:id="115"/>
            <w:bookmarkEnd w:id="116"/>
            <w:bookmarkEnd w:id="117"/>
          </w:p>
          <w:p w14:paraId="64372551">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背景色的选择需要与专业的特性相符，其他室内装饰元素则以院校和企业特征、专业文化和实训室建设为主要内容，如院校、企业LOGO等，如下图所示。</w:t>
            </w:r>
          </w:p>
          <w:p w14:paraId="329F8844">
            <w:pPr>
              <w:numPr>
                <w:ilvl w:val="0"/>
                <w:numId w:val="0"/>
              </w:numPr>
              <w:ind w:leftChars="0"/>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二、</w:t>
            </w:r>
            <w:r>
              <w:rPr>
                <w:rFonts w:ascii="Times New Roman" w:hAnsi="Times New Roman" w:eastAsia="宋体" w:cs="Times New Roman"/>
                <w:b/>
                <w:bCs/>
                <w:color w:val="auto"/>
                <w:szCs w:val="21"/>
                <w:highlight w:val="none"/>
              </w:rPr>
              <w:t>场地改造</w:t>
            </w:r>
          </w:p>
          <w:p w14:paraId="2D3B6B80">
            <w:pPr>
              <w:pStyle w:val="996"/>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分区隔断</w:t>
            </w:r>
          </w:p>
          <w:p w14:paraId="5B97DC5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（1）整体结构说明</w:t>
            </w:r>
          </w:p>
          <w:p w14:paraId="6BEC3949">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采用高强度铝合金型材立柱作为主支撑结构。立柱间距需根据玻璃模数和承重计算，设置在1.2米至1.5米之间，确保稳定。</w:t>
            </w:r>
          </w:p>
          <w:p w14:paraId="605E9D41">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立柱顶部与建筑楼板/结构梁用可调式连接件固定，地面采用专用地脚螺栓固定，形成稳固的框架系统。</w:t>
            </w:r>
          </w:p>
          <w:p w14:paraId="28C3AAA5">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在隔断中部或便于进出的位置，设计一组玻璃平开门。采用1.5米宽2.1米高的双开或子母门形式，方便人员和设备通过。</w:t>
            </w:r>
          </w:p>
          <w:p w14:paraId="75764239">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其余部分为固定玻璃隔断，形成连续的、通透的视觉界面。</w:t>
            </w:r>
          </w:p>
          <w:p w14:paraId="54D76D15">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（2）核心材料与细节 </w:t>
            </w:r>
          </w:p>
          <w:p w14:paraId="67809984">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双层钢化玻璃：</w:t>
            </w:r>
          </w:p>
          <w:p w14:paraId="4B8E4374">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规格：推荐使用5mm-6mm厚钢化玻璃，双层中空结构，具有良好的隔音、隔热性能。</w:t>
            </w:r>
          </w:p>
          <w:p w14:paraId="2BBEA590">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·工艺：所有玻璃必须进行磨边、倒角处理，确保安全与美观。使用超白玻璃，以获得更高的通透度和色彩还原性，避免普通玻璃的泛绿现象。</w:t>
            </w:r>
          </w:p>
          <w:p w14:paraId="4BE258C8">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内置百叶系统：</w:t>
            </w:r>
          </w:p>
          <w:p w14:paraId="4574D7D5">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.这是方案的点睛之笔。采用中空玻璃内置百叶。百叶扇被完全密封在双层玻璃的中空腔内。</w:t>
            </w:r>
          </w:p>
          <w:p w14:paraId="2E88E4CA">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.优点：</w:t>
            </w:r>
          </w:p>
          <w:p w14:paraId="54BDEE20">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防尘防污：百叶不与外部空气接触，无需清洁，特别适合工业、车间等环境。</w:t>
            </w:r>
          </w:p>
          <w:p w14:paraId="15652C2D">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操控灵活：通过侧面的磁控滑块或无线遥控，可轻松调节百叶的升降和翻转角度，在“通透”与“私密”模式间瞬间切换。</w:t>
            </w:r>
          </w:p>
          <w:p w14:paraId="655C7910">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集成度高：外观整洁，与玻璃和型材完美融合。</w:t>
            </w:r>
          </w:p>
          <w:p w14:paraId="279D35ED">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3</w:t>
            </w:r>
            <w:r>
              <w:rPr>
                <w:rFonts w:ascii="Times New Roman" w:hAnsi="Times New Roman" w:eastAsia="宋体" w:cs="Times New Roman"/>
                <w:color w:val="auto"/>
                <w:szCs w:val="21"/>
                <w:highlight w:val="none"/>
              </w:rPr>
              <w:t>）型材立柱与门窗：</w:t>
            </w:r>
          </w:p>
          <w:p w14:paraId="552A9A24">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颜色：可选择金属黑、深灰色或哑光银色，营造现代、专业的工业风格。</w:t>
            </w:r>
          </w:p>
          <w:p w14:paraId="5E683722">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玻璃门：采用与隔断同系列的地弹簧玻璃门。门扇为同规格双层钢化玻璃，边框极窄。地弹簧保证门扇可自动平稳闭合，并可在需要时开启定位。</w:t>
            </w:r>
          </w:p>
          <w:p w14:paraId="5F180E4F">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2、增加线缆</w:t>
            </w:r>
          </w:p>
          <w:p w14:paraId="38E9C950">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为了用电安全和保障设备的正常运转。三台机器人重新铺设用电线路，从2楼主电源箱通过桥架把电源引到焊接机器人工位并增加四个工位用电箱。</w:t>
            </w:r>
          </w:p>
          <w:p w14:paraId="0E6E592E">
            <w:pPr>
              <w:keepNext w:val="0"/>
              <w:keepLines w:val="0"/>
              <w:widowControl/>
              <w:numPr>
                <w:ilvl w:val="0"/>
                <w:numId w:val="12"/>
              </w:numPr>
              <w:suppressLineNumbers w:val="0"/>
              <w:jc w:val="left"/>
              <w:rPr>
                <w:rFonts w:hint="eastAsia" w:cs="Times New Roman"/>
                <w:color w:val="auto"/>
                <w:szCs w:val="21"/>
                <w:highlight w:val="none"/>
                <w:lang w:val="en-US" w:eastAsia="zh-CN"/>
              </w:rPr>
            </w:pPr>
            <w:r>
              <w:rPr>
                <w:rFonts w:hint="eastAsia" w:cs="Times New Roman"/>
                <w:color w:val="auto"/>
                <w:szCs w:val="21"/>
                <w:highlight w:val="none"/>
                <w:lang w:val="en-US" w:eastAsia="zh-CN"/>
              </w:rPr>
              <w:t>地面处理</w:t>
            </w:r>
          </w:p>
          <w:p w14:paraId="2FEB9514">
            <w:pPr>
              <w:keepNext w:val="0"/>
              <w:keepLines w:val="0"/>
              <w:widowControl/>
              <w:numPr>
                <w:ilvl w:val="0"/>
                <w:numId w:val="13"/>
              </w:numPr>
              <w:suppressLineNumbers w:val="0"/>
              <w:jc w:val="left"/>
              <w:rPr>
                <w:rFonts w:hint="eastAsia"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地面上的坑、洞、埋设管道的沟槽提前抹平</w:t>
            </w:r>
            <w:r>
              <w:rPr>
                <w:rFonts w:hint="eastAsia" w:eastAsia="宋体" w:cs="Times New Roman"/>
                <w:color w:val="auto"/>
                <w:sz w:val="21"/>
                <w:szCs w:val="21"/>
                <w:highlight w:val="none"/>
                <w:lang w:val="en-US" w:eastAsia="zh-CN" w:bidi="ar-SA"/>
              </w:rPr>
              <w:t>。</w:t>
            </w:r>
          </w:p>
          <w:p w14:paraId="3956F403">
            <w:pPr>
              <w:keepNext w:val="0"/>
              <w:keepLines w:val="0"/>
              <w:widowControl/>
              <w:numPr>
                <w:ilvl w:val="0"/>
                <w:numId w:val="13"/>
              </w:numPr>
              <w:suppressLineNumbers w:val="0"/>
              <w:jc w:val="left"/>
              <w:rPr>
                <w:color w:val="auto"/>
                <w:highlight w:val="none"/>
              </w:rPr>
            </w:pPr>
            <w:r>
              <w:rPr>
                <w:rFonts w:hint="default" w:ascii="Times New Roman" w:hAnsi="Times New Roman" w:eastAsia="宋体" w:cs="Times New Roman"/>
                <w:color w:val="auto"/>
                <w:sz w:val="21"/>
                <w:szCs w:val="21"/>
                <w:highlight w:val="none"/>
                <w:lang w:val="en-US" w:eastAsia="zh-CN" w:bidi="ar-SA"/>
              </w:rPr>
              <w:t>对地面基体表面进行清理，将尘土、杂物彻底清扫干净</w:t>
            </w:r>
            <w:r>
              <w:rPr>
                <w:rFonts w:hint="eastAsia" w:eastAsia="宋体" w:cs="Times New Roman"/>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（3）</w:t>
            </w:r>
            <w:r>
              <w:rPr>
                <w:rFonts w:hint="default" w:ascii="Times New Roman" w:hAnsi="Times New Roman" w:eastAsia="宋体" w:cs="Times New Roman"/>
                <w:color w:val="auto"/>
                <w:sz w:val="21"/>
                <w:szCs w:val="21"/>
                <w:highlight w:val="none"/>
                <w:lang w:val="en-US" w:eastAsia="zh-CN" w:bidi="ar-SA"/>
              </w:rPr>
              <w:t>采用高渗透性及附着力特强环氧底漆镘涂一道增强附着力。</w:t>
            </w:r>
          </w:p>
          <w:p w14:paraId="48C56191">
            <w:pPr>
              <w:keepNext w:val="0"/>
              <w:keepLines w:val="0"/>
              <w:widowControl/>
              <w:numPr>
                <w:ilvl w:val="0"/>
                <w:numId w:val="0"/>
              </w:numPr>
              <w:suppressLineNumbers w:val="0"/>
              <w:jc w:val="left"/>
              <w:rPr>
                <w:rFonts w:hint="default"/>
                <w:color w:val="auto"/>
                <w:highlight w:val="none"/>
                <w:lang w:val="en-US"/>
              </w:rPr>
            </w:pPr>
            <w:r>
              <w:rPr>
                <w:rFonts w:hint="eastAsia" w:eastAsia="宋体" w:cs="Times New Roman"/>
                <w:color w:val="auto"/>
                <w:sz w:val="21"/>
                <w:szCs w:val="21"/>
                <w:highlight w:val="none"/>
                <w:lang w:val="en-US" w:eastAsia="zh-CN" w:bidi="ar-SA"/>
              </w:rPr>
              <w:t>（4）</w:t>
            </w:r>
            <w:r>
              <w:rPr>
                <w:rFonts w:hint="default" w:ascii="Times New Roman" w:hAnsi="Times New Roman" w:eastAsia="宋体" w:cs="Times New Roman"/>
                <w:color w:val="auto"/>
                <w:sz w:val="21"/>
                <w:szCs w:val="21"/>
                <w:highlight w:val="none"/>
                <w:lang w:val="en-US" w:eastAsia="zh-CN" w:bidi="ar-SA"/>
              </w:rPr>
              <w:t>用自流平面漆均匀镘涂一道，完工后整体地面达到光亮洁净，颜色均以，无气泡，标注安全黄线</w:t>
            </w:r>
            <w:r>
              <w:rPr>
                <w:rFonts w:hint="eastAsia" w:eastAsia="宋体" w:cs="Times New Roman"/>
                <w:color w:val="auto"/>
                <w:sz w:val="21"/>
                <w:szCs w:val="21"/>
                <w:highlight w:val="none"/>
                <w:lang w:val="en-US" w:eastAsia="zh-CN" w:bidi="ar-SA"/>
              </w:rPr>
              <w:t>。</w:t>
            </w:r>
          </w:p>
          <w:p w14:paraId="59F81A7E">
            <w:pPr>
              <w:rPr>
                <w:color w:val="auto"/>
                <w:highlight w:val="none"/>
              </w:rPr>
            </w:pPr>
          </w:p>
          <w:p w14:paraId="027C73BC">
            <w:pPr>
              <w:rPr>
                <w:rFonts w:hint="default" w:eastAsia="宋体"/>
                <w:b/>
                <w:bCs/>
                <w:color w:val="auto"/>
                <w:highlight w:val="none"/>
                <w:lang w:val="en-US" w:eastAsia="zh-CN"/>
              </w:rPr>
            </w:pPr>
            <w:r>
              <w:rPr>
                <w:rFonts w:hint="eastAsia" w:ascii="Times New Roman" w:hAnsi="Times New Roman" w:eastAsia="宋体" w:cs="Times New Roman"/>
                <w:b/>
                <w:bCs/>
                <w:color w:val="auto"/>
                <w:szCs w:val="21"/>
                <w:highlight w:val="none"/>
                <w:lang w:val="en-US" w:eastAsia="zh-CN"/>
              </w:rPr>
              <w:t>三、配套设施</w:t>
            </w:r>
          </w:p>
          <w:p w14:paraId="60189F2E">
            <w:pPr>
              <w:numPr>
                <w:ilvl w:val="0"/>
                <w:numId w:val="0"/>
              </w:numPr>
              <w:ind w:left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 </w:t>
            </w:r>
            <w:r>
              <w:rPr>
                <w:rFonts w:ascii="Times New Roman" w:hAnsi="Times New Roman" w:eastAsia="宋体" w:cs="Times New Roman"/>
                <w:color w:val="auto"/>
                <w:szCs w:val="21"/>
                <w:highlight w:val="none"/>
              </w:rPr>
              <w:t>配套座椅（65套）</w:t>
            </w:r>
          </w:p>
          <w:p w14:paraId="2B9F83F3">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规格：每套包含桌椅组合，每套桌子搭配两个凳子，</w:t>
            </w:r>
          </w:p>
          <w:p w14:paraId="2195CBC2">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材质：工业级钢材/环保型复合板</w:t>
            </w:r>
          </w:p>
          <w:p w14:paraId="0AB69A16">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尺寸：桌面尺寸：1400mm×600mm×740mm</w:t>
            </w:r>
          </w:p>
          <w:p w14:paraId="1A41F1D8">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桌面高度：700mm（符合人体工学）</w:t>
            </w:r>
          </w:p>
          <w:p w14:paraId="6EE7B99E">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桌下净高：≥650mm（满足就坐需求）</w:t>
            </w:r>
          </w:p>
          <w:p w14:paraId="4AC8CD8C">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台面：防火耐磨理化板，耐高温、耐腐蚀</w:t>
            </w:r>
          </w:p>
          <w:p w14:paraId="1482441C">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边缘：圆弧形防撞设计</w:t>
            </w:r>
          </w:p>
          <w:p w14:paraId="647BAE40">
            <w:pPr>
              <w:numPr>
                <w:ilvl w:val="0"/>
                <w:numId w:val="14"/>
              </w:numPr>
              <w:ind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储藏柜（4套）</w:t>
            </w:r>
          </w:p>
          <w:p w14:paraId="77D8C369">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规格：每组尺寸≥1850mm×1000mm×500mm</w:t>
            </w:r>
          </w:p>
          <w:p w14:paraId="51CD7E24">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结构：柜体：1.0mm冷轧钢板，双层夹心结构</w:t>
            </w:r>
          </w:p>
          <w:p w14:paraId="536D139A">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门板：双层钢板，内置防火隔音棉</w:t>
            </w:r>
          </w:p>
          <w:p w14:paraId="1A95E3B3">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铰链：工业级承重铰链，开启角度≥110°</w:t>
            </w:r>
          </w:p>
          <w:p w14:paraId="034CFAF6">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内部配置：</w:t>
            </w:r>
          </w:p>
          <w:p w14:paraId="3B4453EF">
            <w:pPr>
              <w:pStyle w:val="996"/>
              <w:ind w:left="0" w:leftChars="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三层可调隔板，存放AR设备、传感器、支架等</w:t>
            </w:r>
          </w:p>
        </w:tc>
        <w:tc>
          <w:tcPr>
            <w:tcW w:w="825" w:type="dxa"/>
            <w:vAlign w:val="center"/>
          </w:tcPr>
          <w:p w14:paraId="4754C3E1">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725" w:type="dxa"/>
            <w:shd w:val="clear" w:color="auto" w:fill="auto"/>
            <w:vAlign w:val="center"/>
          </w:tcPr>
          <w:p w14:paraId="22C00819">
            <w:pPr>
              <w:jc w:val="center"/>
              <w:rPr>
                <w:rFonts w:hint="default"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rPr>
              <w:t>项</w:t>
            </w:r>
          </w:p>
        </w:tc>
      </w:tr>
    </w:tbl>
    <w:p w14:paraId="3F99AA0C">
      <w:pPr>
        <w:pStyle w:val="14"/>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ind w:left="0" w:leftChars="0" w:right="0" w:firstLine="0" w:firstLineChars="0"/>
        <w:jc w:val="both"/>
        <w:textAlignment w:val="baseline"/>
        <w:rPr>
          <w:rFonts w:hint="eastAsia" w:ascii="宋体" w:hAnsi="宋体" w:eastAsia="宋体" w:cs="宋体"/>
          <w:snapToGrid w:val="0"/>
          <w:color w:val="auto"/>
          <w:spacing w:val="-1"/>
          <w:kern w:val="0"/>
          <w:sz w:val="24"/>
          <w:szCs w:val="24"/>
          <w:highlight w:val="none"/>
          <w:u w:val="none" w:color="auto"/>
          <w:lang w:val="en-US" w:eastAsia="zh-CN"/>
        </w:rPr>
      </w:pPr>
    </w:p>
    <w:p w14:paraId="0321A6E9">
      <w:pPr>
        <w:pStyle w:val="14"/>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ind w:left="0" w:leftChars="0" w:right="0" w:firstLine="0" w:firstLineChars="0"/>
        <w:jc w:val="both"/>
        <w:textAlignment w:val="baseline"/>
        <w:rPr>
          <w:rFonts w:hint="eastAsia" w:ascii="宋体" w:hAnsi="宋体" w:eastAsia="宋体" w:cs="宋体"/>
          <w:snapToGrid w:val="0"/>
          <w:color w:val="auto"/>
          <w:spacing w:val="-1"/>
          <w:kern w:val="0"/>
          <w:sz w:val="24"/>
          <w:szCs w:val="24"/>
          <w:highlight w:val="none"/>
          <w:u w:val="none" w:color="auto"/>
          <w:lang w:val="en-US" w:eastAsia="zh-CN"/>
        </w:rPr>
      </w:pPr>
      <w:r>
        <w:rPr>
          <w:rFonts w:hint="eastAsia" w:ascii="宋体" w:hAnsi="宋体" w:eastAsia="宋体" w:cs="宋体"/>
          <w:snapToGrid w:val="0"/>
          <w:color w:val="auto"/>
          <w:spacing w:val="-1"/>
          <w:kern w:val="0"/>
          <w:sz w:val="24"/>
          <w:szCs w:val="24"/>
          <w:highlight w:val="none"/>
          <w:u w:val="none" w:color="auto"/>
          <w:lang w:val="en-US" w:eastAsia="zh-CN"/>
        </w:rPr>
        <w:t>注：本项目方案各项尺寸参数需依据项目实际情况灵活优化。</w:t>
      </w:r>
    </w:p>
    <w:p w14:paraId="520F020E">
      <w:pPr>
        <w:pStyle w:val="14"/>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ind w:left="0" w:leftChars="0" w:right="0" w:firstLine="0" w:firstLineChars="0"/>
        <w:jc w:val="both"/>
        <w:textAlignment w:val="baseline"/>
        <w:rPr>
          <w:rFonts w:hint="eastAsia" w:ascii="宋体" w:hAnsi="宋体" w:eastAsia="宋体" w:cs="宋体"/>
          <w:snapToGrid w:val="0"/>
          <w:color w:val="auto"/>
          <w:spacing w:val="-1"/>
          <w:kern w:val="0"/>
          <w:sz w:val="24"/>
          <w:szCs w:val="24"/>
          <w:highlight w:val="none"/>
          <w:u w:val="none" w:color="auto"/>
          <w:lang w:val="en-US" w:eastAsia="zh-CN"/>
        </w:rPr>
      </w:pPr>
    </w:p>
    <w:p w14:paraId="6D50F968">
      <w:pPr>
        <w:pStyle w:val="14"/>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ind w:left="0" w:leftChars="0" w:right="0" w:firstLine="0" w:firstLineChars="0"/>
        <w:jc w:val="both"/>
        <w:textAlignment w:val="baseline"/>
        <w:rPr>
          <w:rFonts w:hint="eastAsia" w:ascii="宋体" w:hAnsi="宋体" w:eastAsia="宋体" w:cs="宋体"/>
          <w:snapToGrid w:val="0"/>
          <w:color w:val="auto"/>
          <w:spacing w:val="-1"/>
          <w:kern w:val="0"/>
          <w:sz w:val="24"/>
          <w:szCs w:val="24"/>
          <w:highlight w:val="none"/>
          <w:u w:val="none" w:color="auto"/>
          <w:lang w:val="en-US" w:eastAsia="zh-CN"/>
        </w:rPr>
      </w:pPr>
    </w:p>
    <w:p w14:paraId="6829F830">
      <w:p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EE3BB11">
      <w:pPr>
        <w:numPr>
          <w:ilvl w:val="0"/>
          <w:numId w:val="5"/>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付款方式及条件</w:t>
      </w:r>
    </w:p>
    <w:p w14:paraId="037E9F5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.1付款验收方式</w:t>
      </w:r>
    </w:p>
    <w:p w14:paraId="59AB910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1.1本项目由采购人自行组织履约验收。按国家标准、谈判文件、响应文件和采购人及成交供应商双方约定标准，合同内未作约束的服务按照现行的适用于该服务的国家和行业最高标准执行，由采购人组织人员按照要求规格、配置、型号和技术标准进行验收。本项目需整体达到验收合格，若仅完成部分内容，不给予验收合格认定。在规定时间内完成服务并经采购人综合验收合格。采购人在综合验收前的开箱验收和对产品部分指标进行的初步验收不是本条所指的综合验收。若成交供应商投标书响应情况低于采购文件要求而未被评审专家发现，采购合同签订时仍以采购文件要求为准，验收时按采购文件技术协议要求执行。</w:t>
      </w:r>
    </w:p>
    <w:p w14:paraId="6EEC233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.1.2具体验收步骤：</w:t>
      </w:r>
    </w:p>
    <w:p w14:paraId="136864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（1）货物到达现场后，供应商应经采购人（使用部门项目负责人）或其指定验收单位清点品名、规格、数量；检查外观，</w:t>
      </w:r>
      <w:r>
        <w:rPr>
          <w:rFonts w:hint="eastAsia" w:ascii="宋体" w:hAnsi="宋体" w:cs="宋体"/>
          <w:color w:val="auto"/>
          <w:sz w:val="24"/>
          <w:highlight w:val="none"/>
          <w:lang w:eastAsia="zh-CN"/>
        </w:rPr>
        <w:t>做出</w:t>
      </w:r>
      <w:r>
        <w:rPr>
          <w:rFonts w:hint="eastAsia" w:ascii="宋体" w:hAnsi="宋体" w:cs="宋体"/>
          <w:color w:val="auto"/>
          <w:sz w:val="24"/>
          <w:highlight w:val="none"/>
        </w:rPr>
        <w:t>开箱验收记录，双方签字确认。</w:t>
      </w:r>
    </w:p>
    <w:p w14:paraId="0E739D4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（2）供应商应保证货物到达用户所在地完好无损，如有缺漏、损坏，由供应商负责调换、补齐或赔偿。</w:t>
      </w:r>
    </w:p>
    <w:p w14:paraId="177CF6D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（3）供应商应提供完备的技术资料、装箱单和合格证等，并派遣专业技术人员进行现场安装调试。验收合格条件如下：</w:t>
      </w:r>
    </w:p>
    <w:p w14:paraId="04E958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①设备品种、规格、数量、技术参数以及商品品牌、生产厂家等与采购合同一致，性能指标达到规定的标准。</w:t>
      </w:r>
    </w:p>
    <w:p w14:paraId="4A6DCA0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②货物技术资料、装箱单、合格证等资料齐全（用塑料袋密封），包装箱完好。</w:t>
      </w:r>
    </w:p>
    <w:p w14:paraId="57A0B5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③在规定时间内完成交货并验收，并经采购人确认。</w:t>
      </w:r>
    </w:p>
    <w:p w14:paraId="325F54D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④若投标书与</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要求或</w:t>
      </w:r>
      <w:r>
        <w:rPr>
          <w:rFonts w:hint="eastAsia" w:ascii="宋体" w:hAnsi="宋体" w:cs="宋体"/>
          <w:color w:val="auto"/>
          <w:sz w:val="24"/>
          <w:highlight w:val="none"/>
          <w:lang w:eastAsia="zh-CN"/>
        </w:rPr>
        <w:t>其他</w:t>
      </w:r>
      <w:r>
        <w:rPr>
          <w:rFonts w:hint="eastAsia" w:ascii="宋体" w:hAnsi="宋体" w:cs="宋体"/>
          <w:color w:val="auto"/>
          <w:sz w:val="24"/>
          <w:highlight w:val="none"/>
        </w:rPr>
        <w:t>内容不一致而未被评标专家发现，采购合同签订时仍以</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要求为准，验收时按采购合同及技术协议要求执行。</w:t>
      </w:r>
    </w:p>
    <w:p w14:paraId="0B28BAE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（4）供应商提供的货物未达到</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规定要求，且对采购人造成损失的，由供应商承担一切责任，并赔偿所造成的损失。</w:t>
      </w:r>
    </w:p>
    <w:p w14:paraId="1B87891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（5）采购人可邀请国家认可的质量检测机构参加验收工作，验收检测费用全部由中标供应商支付。</w:t>
      </w:r>
    </w:p>
    <w:p w14:paraId="35325C8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（6）采购人需要厂家对成交供应商交付的产品（包括质量、技术参数等）进行确认的，厂家应予以配合，并出具书面意见。</w:t>
      </w:r>
    </w:p>
    <w:p w14:paraId="757D50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保证提供的设备不存在侵犯他人知识产权的情形，并对此承担法律责任。</w:t>
      </w:r>
    </w:p>
    <w:p w14:paraId="392683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.2付款方式</w:t>
      </w:r>
    </w:p>
    <w:p w14:paraId="507BC4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.2.</w:t>
      </w:r>
      <w:r>
        <w:rPr>
          <w:rFonts w:hint="eastAsia" w:ascii="宋体" w:hAnsi="宋体" w:cs="宋体"/>
          <w:color w:val="auto"/>
          <w:sz w:val="24"/>
          <w:highlight w:val="none"/>
          <w:lang w:eastAsia="zh-CN"/>
        </w:rPr>
        <w:t>1</w:t>
      </w:r>
      <w:r>
        <w:rPr>
          <w:rFonts w:hint="eastAsia" w:ascii="宋体" w:hAnsi="宋体" w:cs="宋体"/>
          <w:color w:val="auto"/>
          <w:sz w:val="24"/>
          <w:highlight w:val="none"/>
        </w:rPr>
        <w:t xml:space="preserve"> 合同签订后十五个工作日内采购人向中标人支付合同总金额的30％预付款。</w:t>
      </w:r>
    </w:p>
    <w:p w14:paraId="5D2D30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.2.3 </w:t>
      </w:r>
      <w:r>
        <w:rPr>
          <w:rFonts w:hint="eastAsia" w:ascii="宋体" w:hAnsi="宋体" w:cs="宋体"/>
          <w:color w:val="auto"/>
          <w:sz w:val="24"/>
          <w:highlight w:val="none"/>
          <w:lang w:val="en-US" w:eastAsia="zh-CN"/>
        </w:rPr>
        <w:t>中标人在合同签订90日历天内完成供货安装调试，并完成校内师资首次培训、三大功能区布局落地、设备多场景适配测试，经项目整体验收合格后，十五个工作日内支付至合同总金额的70%；剩余的30%作为质保金，分两次付清：</w:t>
      </w:r>
    </w:p>
    <w:p w14:paraId="168B4B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验收合格一年后，确认设备正常支撑校内教学、大赛备赛、至少1次社会培训开展，无质量问题支付剩余的25%；</w:t>
      </w:r>
    </w:p>
    <w:p w14:paraId="54D2A0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验收合格三年后无质量问题，且软件持续升级、培训服务按承诺落地，支付剩余5%。</w:t>
      </w:r>
    </w:p>
    <w:p w14:paraId="49B584EF">
      <w:pPr>
        <w:spacing w:line="360" w:lineRule="auto"/>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备注：每次付款前，中标人须向招标人开具正式增值税专用发票。</w:t>
      </w:r>
    </w:p>
    <w:p w14:paraId="674981C9">
      <w:pPr>
        <w:numPr>
          <w:ilvl w:val="0"/>
          <w:numId w:val="5"/>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服务要求</w:t>
      </w:r>
    </w:p>
    <w:p w14:paraId="281815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.1产品质量保证期：</w:t>
      </w:r>
      <w:r>
        <w:rPr>
          <w:rFonts w:hint="eastAsia" w:ascii="宋体" w:hAnsi="宋体" w:eastAsia="宋体" w:cs="宋体"/>
          <w:b/>
          <w:bCs/>
          <w:color w:val="auto"/>
          <w:kern w:val="0"/>
          <w:sz w:val="24"/>
          <w:szCs w:val="24"/>
          <w:highlight w:val="none"/>
          <w:lang w:val="en-US" w:eastAsia="zh-CN" w:bidi="ar"/>
        </w:rPr>
        <w:t>自验收合格之日起，提供3年的免费质保期，软件终身免费升级，且升级内容需同步适配人才培养、大赛备赛、社会培训三大场景的最新需求</w:t>
      </w:r>
      <w:r>
        <w:rPr>
          <w:rFonts w:hint="eastAsia" w:ascii="宋体" w:hAnsi="宋体" w:cs="宋体"/>
          <w:b/>
          <w:bCs/>
          <w:color w:val="auto"/>
          <w:kern w:val="0"/>
          <w:sz w:val="24"/>
          <w:szCs w:val="24"/>
          <w:highlight w:val="none"/>
          <w:lang w:val="en-US" w:eastAsia="zh-CN" w:bidi="ar"/>
        </w:rPr>
        <w:t>。</w:t>
      </w:r>
    </w:p>
    <w:p w14:paraId="4BF4594F">
      <w:pPr>
        <w:spacing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4.1.1</w:t>
      </w:r>
      <w:r>
        <w:rPr>
          <w:rFonts w:hint="eastAsia" w:ascii="宋体" w:hAnsi="宋体" w:eastAsia="宋体" w:cs="宋体"/>
          <w:b w:val="0"/>
          <w:bCs w:val="0"/>
          <w:color w:val="auto"/>
          <w:kern w:val="0"/>
          <w:sz w:val="24"/>
          <w:szCs w:val="24"/>
          <w:highlight w:val="none"/>
          <w:lang w:val="en-US" w:eastAsia="zh-CN" w:bidi="ar"/>
        </w:rPr>
        <w:t>质保期内教学实训终端设备需提供原厂质保服务，社会培训/大赛备赛期间的设备故障，需按更高级别响应标准处理</w:t>
      </w:r>
      <w:r>
        <w:rPr>
          <w:rFonts w:hint="eastAsia" w:ascii="宋体" w:hAnsi="宋体" w:cs="宋体"/>
          <w:color w:val="auto"/>
          <w:sz w:val="24"/>
          <w:highlight w:val="none"/>
          <w:lang w:val="en-US" w:eastAsia="zh-CN"/>
        </w:rPr>
        <w:t>。</w:t>
      </w:r>
    </w:p>
    <w:p w14:paraId="491A3ED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.2售后服务内容</w:t>
      </w:r>
    </w:p>
    <w:p w14:paraId="71C104F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.2.1质量保证期内服务要求</w:t>
      </w:r>
    </w:p>
    <w:p w14:paraId="537360C8">
      <w:pPr>
        <w:numPr>
          <w:ilvl w:val="0"/>
          <w:numId w:val="15"/>
        </w:num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电话咨询</w:t>
      </w:r>
    </w:p>
    <w:p w14:paraId="6D40C529">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提供7×24小时技术援助电话，分教学、大赛、社会培训专线解答问题；</w:t>
      </w:r>
    </w:p>
    <w:p w14:paraId="23F6D132">
      <w:pPr>
        <w:numPr>
          <w:ilvl w:val="0"/>
          <w:numId w:val="15"/>
        </w:numPr>
        <w:spacing w:line="360" w:lineRule="auto"/>
        <w:ind w:left="0" w:leftChars="0" w:firstLine="48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现场响应</w:t>
      </w:r>
    </w:p>
    <w:p w14:paraId="08D9C0E9">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校内教学/社会培训期间，电话咨询不能解决的，中标供应商或制造商应在4小时内响应，24小时内派出专业人员现场支持；大赛备赛关键期（赛前1-3个月），提供驻场技术支持；③ 技术升级：软件升级需同步更新教学课件、大赛赛题、社会培训考核题库，并免费为采购人提供升级培训。</w:t>
      </w:r>
    </w:p>
    <w:p w14:paraId="109344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③技术升级</w:t>
      </w:r>
    </w:p>
    <w:p w14:paraId="0B9BAB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在质保期内，如果成交供应商的产品技术升级，成交供应商应及时通知采购人，如采购人有相应要求，成交供应商应对采购人进行升级服务。</w:t>
      </w:r>
    </w:p>
    <w:p w14:paraId="26C203C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.2.2质保期外服务要求</w:t>
      </w:r>
    </w:p>
    <w:p w14:paraId="680E69F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①质量保证期过后，成交供应商应同样提供免费电话咨询服务，并应承诺提供产品上门维护服务。</w:t>
      </w:r>
    </w:p>
    <w:p w14:paraId="6418DEF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②质量保证期过后，采购人需要继续由原成交供应商提供售后服务的，成交供应商应以优惠价格提供售后服务。</w:t>
      </w:r>
    </w:p>
    <w:p w14:paraId="51D85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③备品备件及易损件</w:t>
      </w:r>
    </w:p>
    <w:p w14:paraId="6AF4DA9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供应商售后服务中，维修使用的备品备件及易损件应为原厂配件，未经采购人同意不得使用非原厂配件。</w:t>
      </w:r>
    </w:p>
    <w:p w14:paraId="0869C20B">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.3培训要求</w:t>
      </w:r>
    </w:p>
    <w:p w14:paraId="033730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本项目培训分为</w:t>
      </w:r>
      <w:r>
        <w:rPr>
          <w:rStyle w:val="35"/>
          <w:rFonts w:hint="eastAsia" w:ascii="宋体" w:hAnsi="宋体" w:eastAsia="宋体" w:cs="宋体"/>
          <w:b w:val="0"/>
          <w:bCs w:val="0"/>
          <w:color w:val="auto"/>
          <w:kern w:val="0"/>
          <w:sz w:val="24"/>
          <w:szCs w:val="24"/>
          <w:highlight w:val="none"/>
          <w:lang w:val="en-US" w:eastAsia="zh-CN" w:bidi="ar"/>
        </w:rPr>
        <w:t>校内师资教学能力培训</w:t>
      </w:r>
      <w:r>
        <w:rPr>
          <w:rFonts w:hint="eastAsia" w:ascii="宋体" w:hAnsi="宋体" w:eastAsia="宋体" w:cs="宋体"/>
          <w:b w:val="0"/>
          <w:bCs w:val="0"/>
          <w:color w:val="auto"/>
          <w:kern w:val="0"/>
          <w:sz w:val="24"/>
          <w:szCs w:val="24"/>
          <w:highlight w:val="none"/>
          <w:lang w:val="en-US" w:eastAsia="zh-CN" w:bidi="ar"/>
        </w:rPr>
        <w:t>、</w:t>
      </w:r>
      <w:r>
        <w:rPr>
          <w:rStyle w:val="35"/>
          <w:rFonts w:hint="eastAsia" w:ascii="宋体" w:hAnsi="宋体" w:eastAsia="宋体" w:cs="宋体"/>
          <w:b w:val="0"/>
          <w:bCs w:val="0"/>
          <w:color w:val="auto"/>
          <w:kern w:val="0"/>
          <w:sz w:val="24"/>
          <w:szCs w:val="24"/>
          <w:highlight w:val="none"/>
          <w:lang w:val="en-US" w:eastAsia="zh-CN" w:bidi="ar"/>
        </w:rPr>
        <w:t>大赛备赛专项培训</w:t>
      </w:r>
      <w:r>
        <w:rPr>
          <w:rFonts w:hint="eastAsia" w:ascii="宋体" w:hAnsi="宋体" w:eastAsia="宋体" w:cs="宋体"/>
          <w:b w:val="0"/>
          <w:bCs w:val="0"/>
          <w:color w:val="auto"/>
          <w:kern w:val="0"/>
          <w:sz w:val="24"/>
          <w:szCs w:val="24"/>
          <w:highlight w:val="none"/>
          <w:lang w:val="en-US" w:eastAsia="zh-CN" w:bidi="ar"/>
        </w:rPr>
        <w:t>、</w:t>
      </w:r>
      <w:r>
        <w:rPr>
          <w:rStyle w:val="35"/>
          <w:rFonts w:hint="eastAsia" w:ascii="宋体" w:hAnsi="宋体" w:eastAsia="宋体" w:cs="宋体"/>
          <w:b w:val="0"/>
          <w:bCs w:val="0"/>
          <w:color w:val="auto"/>
          <w:kern w:val="0"/>
          <w:sz w:val="24"/>
          <w:szCs w:val="24"/>
          <w:highlight w:val="none"/>
          <w:lang w:val="en-US" w:eastAsia="zh-CN" w:bidi="ar"/>
        </w:rPr>
        <w:t>社会培训运营/师资培训</w:t>
      </w:r>
      <w:r>
        <w:rPr>
          <w:rFonts w:hint="eastAsia" w:ascii="宋体" w:hAnsi="宋体" w:eastAsia="宋体" w:cs="宋体"/>
          <w:b w:val="0"/>
          <w:bCs w:val="0"/>
          <w:color w:val="auto"/>
          <w:kern w:val="0"/>
          <w:sz w:val="24"/>
          <w:szCs w:val="24"/>
          <w:highlight w:val="none"/>
          <w:lang w:val="en-US" w:eastAsia="zh-CN" w:bidi="ar"/>
        </w:rPr>
        <w:t>三套方案，中标方需按以下标准落地，所有培训费用均由中标方承担：</w:t>
      </w:r>
    </w:p>
    <w:p w14:paraId="271600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 校内师资教学能力培训</w:t>
      </w:r>
    </w:p>
    <w:p w14:paraId="4C90B14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设备安装调试结束后，</w:t>
      </w:r>
      <w:r>
        <w:rPr>
          <w:rStyle w:val="35"/>
          <w:rFonts w:hint="eastAsia" w:ascii="宋体" w:hAnsi="宋体" w:eastAsia="宋体" w:cs="宋体"/>
          <w:b w:val="0"/>
          <w:bCs w:val="0"/>
          <w:color w:val="auto"/>
          <w:sz w:val="24"/>
          <w:szCs w:val="24"/>
          <w:highlight w:val="none"/>
        </w:rPr>
        <w:t>15 个工作日内</w:t>
      </w:r>
      <w:r>
        <w:rPr>
          <w:rFonts w:hint="eastAsia" w:ascii="宋体" w:hAnsi="宋体" w:eastAsia="宋体" w:cs="宋体"/>
          <w:b w:val="0"/>
          <w:bCs w:val="0"/>
          <w:color w:val="auto"/>
          <w:sz w:val="24"/>
          <w:szCs w:val="24"/>
          <w:highlight w:val="none"/>
        </w:rPr>
        <w:t>开展首次现场培训，培训人数不少于</w:t>
      </w:r>
      <w:r>
        <w:rPr>
          <w:rStyle w:val="35"/>
          <w:rFonts w:hint="eastAsia" w:ascii="宋体" w:hAnsi="宋体" w:eastAsia="宋体" w:cs="宋体"/>
          <w:b w:val="0"/>
          <w:bCs w:val="0"/>
          <w:color w:val="auto"/>
          <w:sz w:val="24"/>
          <w:szCs w:val="24"/>
          <w:highlight w:val="none"/>
        </w:rPr>
        <w:t>10人</w:t>
      </w:r>
      <w:r>
        <w:rPr>
          <w:rFonts w:hint="eastAsia" w:ascii="宋体" w:hAnsi="宋体" w:eastAsia="宋体" w:cs="宋体"/>
          <w:b w:val="0"/>
          <w:bCs w:val="0"/>
          <w:color w:val="auto"/>
          <w:sz w:val="24"/>
          <w:szCs w:val="24"/>
          <w:highlight w:val="none"/>
        </w:rPr>
        <w:t>，培训周期不少于</w:t>
      </w:r>
      <w:r>
        <w:rPr>
          <w:rStyle w:val="35"/>
          <w:rFonts w:hint="eastAsia" w:ascii="宋体" w:hAnsi="宋体" w:eastAsia="宋体" w:cs="宋体"/>
          <w:b w:val="0"/>
          <w:bCs w:val="0"/>
          <w:color w:val="auto"/>
          <w:sz w:val="24"/>
          <w:szCs w:val="24"/>
          <w:highlight w:val="none"/>
        </w:rPr>
        <w:t>5 天</w:t>
      </w:r>
      <w:r>
        <w:rPr>
          <w:rFonts w:hint="eastAsia" w:ascii="宋体" w:hAnsi="宋体" w:eastAsia="宋体" w:cs="宋体"/>
          <w:b w:val="0"/>
          <w:bCs w:val="0"/>
          <w:color w:val="auto"/>
          <w:sz w:val="24"/>
          <w:szCs w:val="24"/>
          <w:highlight w:val="none"/>
        </w:rPr>
        <w:t>，确保教师能独立操作设备、开展校内焊接基础实训教学；</w:t>
      </w:r>
    </w:p>
    <w:p w14:paraId="1865869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质保期内，每年免费组织不少于</w:t>
      </w:r>
      <w:r>
        <w:rPr>
          <w:rStyle w:val="35"/>
          <w:rFonts w:hint="eastAsia" w:ascii="宋体" w:hAnsi="宋体" w:eastAsia="宋体" w:cs="宋体"/>
          <w:b w:val="0"/>
          <w:bCs w:val="0"/>
          <w:color w:val="auto"/>
          <w:sz w:val="24"/>
          <w:szCs w:val="24"/>
          <w:highlight w:val="none"/>
        </w:rPr>
        <w:t>2 次</w:t>
      </w:r>
      <w:r>
        <w:rPr>
          <w:rFonts w:hint="eastAsia" w:ascii="宋体" w:hAnsi="宋体" w:eastAsia="宋体" w:cs="宋体"/>
          <w:b w:val="0"/>
          <w:bCs w:val="0"/>
          <w:color w:val="auto"/>
          <w:sz w:val="24"/>
          <w:szCs w:val="24"/>
          <w:highlight w:val="none"/>
        </w:rPr>
        <w:t>线下/线上培训，更新教学方法、设备功能，培训内容匹配高职焊接人才培养方案。</w:t>
      </w:r>
    </w:p>
    <w:p w14:paraId="5CDCE2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 大赛备赛专项培训</w:t>
      </w:r>
    </w:p>
    <w:p w14:paraId="7FB182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质保期内，针对国赛/省赛，每年免费提供不少于</w:t>
      </w:r>
      <w:r>
        <w:rPr>
          <w:rStyle w:val="35"/>
          <w:rFonts w:hint="eastAsia" w:ascii="宋体" w:hAnsi="宋体" w:eastAsia="宋体" w:cs="宋体"/>
          <w:b w:val="0"/>
          <w:bCs w:val="0"/>
          <w:color w:val="auto"/>
          <w:sz w:val="24"/>
          <w:szCs w:val="24"/>
          <w:highlight w:val="none"/>
        </w:rPr>
        <w:t>2 次</w:t>
      </w:r>
      <w:r>
        <w:rPr>
          <w:rFonts w:hint="eastAsia" w:ascii="宋体" w:hAnsi="宋体" w:eastAsia="宋体" w:cs="宋体"/>
          <w:b w:val="0"/>
          <w:bCs w:val="0"/>
          <w:color w:val="auto"/>
          <w:sz w:val="24"/>
          <w:szCs w:val="24"/>
          <w:highlight w:val="none"/>
        </w:rPr>
        <w:t>专项培训，包含赛事规则解读、赛题模拟、设备实操指导，配备大赛经验丰富的专业讲师；</w:t>
      </w:r>
    </w:p>
    <w:p w14:paraId="04400D6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大赛备赛关键期，按采购人要求提供免费驻场技术支持，直至赛事结束。</w:t>
      </w:r>
    </w:p>
    <w:p w14:paraId="45256D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 社会培训运营/师资培训</w:t>
      </w:r>
    </w:p>
    <w:p w14:paraId="29B52B6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验收合格后</w:t>
      </w:r>
      <w:r>
        <w:rPr>
          <w:rStyle w:val="35"/>
          <w:rFonts w:hint="eastAsia" w:ascii="宋体" w:hAnsi="宋体" w:eastAsia="宋体" w:cs="宋体"/>
          <w:b w:val="0"/>
          <w:bCs w:val="0"/>
          <w:color w:val="auto"/>
          <w:sz w:val="24"/>
          <w:szCs w:val="24"/>
          <w:highlight w:val="none"/>
        </w:rPr>
        <w:t>1 个月内</w:t>
      </w:r>
      <w:r>
        <w:rPr>
          <w:rFonts w:hint="eastAsia" w:ascii="宋体" w:hAnsi="宋体" w:eastAsia="宋体" w:cs="宋体"/>
          <w:b w:val="0"/>
          <w:bCs w:val="0"/>
          <w:color w:val="auto"/>
          <w:sz w:val="24"/>
          <w:szCs w:val="24"/>
          <w:highlight w:val="none"/>
        </w:rPr>
        <w:t>，为采购人提供社会培训运营培训，包含培训方案设计、学员管理、职业技能考核流程，培训人数不少于</w:t>
      </w:r>
      <w:r>
        <w:rPr>
          <w:rStyle w:val="35"/>
          <w:rFonts w:hint="eastAsia" w:ascii="宋体" w:hAnsi="宋体" w:eastAsia="宋体" w:cs="宋体"/>
          <w:b w:val="0"/>
          <w:bCs w:val="0"/>
          <w:color w:val="auto"/>
          <w:sz w:val="24"/>
          <w:szCs w:val="24"/>
          <w:highlight w:val="none"/>
        </w:rPr>
        <w:t>5 人</w:t>
      </w:r>
      <w:r>
        <w:rPr>
          <w:rFonts w:hint="eastAsia" w:ascii="宋体" w:hAnsi="宋体" w:eastAsia="宋体" w:cs="宋体"/>
          <w:b w:val="0"/>
          <w:bCs w:val="0"/>
          <w:color w:val="auto"/>
          <w:sz w:val="24"/>
          <w:szCs w:val="24"/>
          <w:highlight w:val="none"/>
        </w:rPr>
        <w:t>；</w:t>
      </w:r>
    </w:p>
    <w:p w14:paraId="26256A8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36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质保期内，每年免费提供不少于</w:t>
      </w:r>
      <w:r>
        <w:rPr>
          <w:rStyle w:val="35"/>
          <w:rFonts w:hint="eastAsia" w:ascii="宋体" w:hAnsi="宋体" w:eastAsia="宋体" w:cs="宋体"/>
          <w:b w:val="0"/>
          <w:bCs w:val="0"/>
          <w:color w:val="auto"/>
          <w:sz w:val="24"/>
          <w:szCs w:val="24"/>
          <w:highlight w:val="none"/>
        </w:rPr>
        <w:t>1 次</w:t>
      </w:r>
      <w:r>
        <w:rPr>
          <w:rFonts w:hint="eastAsia" w:ascii="宋体" w:hAnsi="宋体" w:eastAsia="宋体" w:cs="宋体"/>
          <w:b w:val="0"/>
          <w:bCs w:val="0"/>
          <w:color w:val="auto"/>
          <w:sz w:val="24"/>
          <w:szCs w:val="24"/>
          <w:highlight w:val="none"/>
        </w:rPr>
        <w:t>社会培训师资实操培训，适配焊工职业技能等级考核要求，确保能独立开展社会化焊接培训。</w:t>
      </w:r>
    </w:p>
    <w:p w14:paraId="5D42C8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 通用要求</w:t>
      </w:r>
    </w:p>
    <w:p w14:paraId="15E6A864">
      <w:pPr>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
        </w:rPr>
        <w:t>所有培训需提供配套教材、视频课件、考核题库，培训后进行考核，确保参训人员达到独立操作/教学/培训能力。</w:t>
      </w:r>
    </w:p>
    <w:p w14:paraId="4F67D4FE">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4现场勘查</w:t>
      </w:r>
    </w:p>
    <w:p w14:paraId="2FDBF65D">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.1</w:t>
      </w:r>
      <w:r>
        <w:rPr>
          <w:rFonts w:hint="eastAsia" w:ascii="宋体" w:hAnsi="宋体" w:eastAsia="宋体" w:cs="宋体"/>
          <w:b w:val="0"/>
          <w:bCs w:val="0"/>
          <w:color w:val="auto"/>
          <w:kern w:val="0"/>
          <w:sz w:val="24"/>
          <w:szCs w:val="24"/>
          <w:highlight w:val="none"/>
          <w:lang w:val="en-US" w:eastAsia="zh-CN" w:bidi="ar"/>
        </w:rPr>
        <w:t>该项目需制作</w:t>
      </w:r>
      <w:r>
        <w:rPr>
          <w:rStyle w:val="35"/>
          <w:rFonts w:hint="eastAsia" w:ascii="宋体" w:hAnsi="宋体" w:eastAsia="宋体" w:cs="宋体"/>
          <w:b w:val="0"/>
          <w:bCs w:val="0"/>
          <w:color w:val="auto"/>
          <w:kern w:val="0"/>
          <w:sz w:val="24"/>
          <w:szCs w:val="24"/>
          <w:highlight w:val="none"/>
          <w:lang w:val="en-US" w:eastAsia="zh-CN" w:bidi="ar"/>
        </w:rPr>
        <w:t>校内实训、大赛备赛、社会培训</w:t>
      </w:r>
      <w:r>
        <w:rPr>
          <w:rFonts w:hint="eastAsia" w:ascii="宋体" w:hAnsi="宋体" w:eastAsia="宋体" w:cs="宋体"/>
          <w:b w:val="0"/>
          <w:bCs w:val="0"/>
          <w:color w:val="auto"/>
          <w:kern w:val="0"/>
          <w:sz w:val="24"/>
          <w:szCs w:val="24"/>
          <w:highlight w:val="none"/>
          <w:lang w:val="en-US" w:eastAsia="zh-CN" w:bidi="ar"/>
        </w:rPr>
        <w:t>三区合一且可灵活切换的实训室设备布局三维效果图，故采购人组织现场勘察，</w:t>
      </w:r>
      <w:r>
        <w:rPr>
          <w:rFonts w:hint="eastAsia" w:ascii="宋体" w:hAnsi="宋体" w:cs="宋体"/>
          <w:b/>
          <w:bCs/>
          <w:color w:val="auto"/>
          <w:sz w:val="24"/>
          <w:highlight w:val="none"/>
          <w:lang w:eastAsia="zh-CN"/>
        </w:rPr>
        <w:t>投标供应商</w:t>
      </w:r>
      <w:r>
        <w:rPr>
          <w:rFonts w:hint="eastAsia" w:ascii="宋体" w:hAnsi="宋体" w:cs="宋体"/>
          <w:b/>
          <w:bCs/>
          <w:color w:val="auto"/>
          <w:sz w:val="24"/>
          <w:highlight w:val="none"/>
          <w:lang w:val="en-US" w:eastAsia="zh-CN"/>
        </w:rPr>
        <w:t>自行考虑是否</w:t>
      </w:r>
      <w:r>
        <w:rPr>
          <w:rFonts w:hint="eastAsia" w:ascii="宋体" w:hAnsi="宋体" w:cs="宋体"/>
          <w:b/>
          <w:bCs/>
          <w:color w:val="auto"/>
          <w:sz w:val="24"/>
          <w:highlight w:val="none"/>
        </w:rPr>
        <w:t>需要进行现场勘</w:t>
      </w:r>
      <w:r>
        <w:rPr>
          <w:rFonts w:hint="eastAsia" w:ascii="宋体" w:hAnsi="宋体" w:cs="宋体"/>
          <w:b/>
          <w:bCs/>
          <w:color w:val="auto"/>
          <w:sz w:val="24"/>
          <w:highlight w:val="none"/>
          <w:lang w:val="en-US" w:eastAsia="zh-CN"/>
        </w:rPr>
        <w:t>查，</w:t>
      </w:r>
      <w:r>
        <w:rPr>
          <w:rFonts w:hint="eastAsia" w:ascii="宋体" w:hAnsi="宋体" w:eastAsia="宋体" w:cs="宋体"/>
          <w:b w:val="0"/>
          <w:bCs w:val="0"/>
          <w:color w:val="auto"/>
          <w:kern w:val="0"/>
          <w:sz w:val="24"/>
          <w:szCs w:val="24"/>
          <w:highlight w:val="none"/>
          <w:lang w:val="en-US" w:eastAsia="zh-CN" w:bidi="ar"/>
        </w:rPr>
        <w:t>投标供应商需结合三大场景需求完成勘察，后续因布局不符导致的问题，</w:t>
      </w:r>
      <w:r>
        <w:rPr>
          <w:rFonts w:hint="eastAsia" w:ascii="宋体" w:hAnsi="宋体" w:cs="宋体"/>
          <w:b/>
          <w:bCs/>
          <w:color w:val="auto"/>
          <w:sz w:val="24"/>
          <w:highlight w:val="none"/>
          <w:lang w:val="en-US" w:eastAsia="zh-CN"/>
        </w:rPr>
        <w:t>由</w:t>
      </w:r>
      <w:r>
        <w:rPr>
          <w:rFonts w:hint="eastAsia" w:ascii="宋体" w:hAnsi="宋体" w:cs="宋体"/>
          <w:b/>
          <w:bCs/>
          <w:color w:val="auto"/>
          <w:sz w:val="24"/>
          <w:highlight w:val="none"/>
          <w:lang w:eastAsia="zh-CN"/>
        </w:rPr>
        <w:t>投标供应商</w:t>
      </w:r>
      <w:r>
        <w:rPr>
          <w:rFonts w:hint="eastAsia" w:ascii="宋体" w:hAnsi="宋体" w:cs="宋体"/>
          <w:b/>
          <w:bCs/>
          <w:color w:val="auto"/>
          <w:sz w:val="24"/>
          <w:highlight w:val="none"/>
          <w:lang w:val="en-US" w:eastAsia="zh-CN"/>
        </w:rPr>
        <w:t>自行承担</w:t>
      </w:r>
      <w:r>
        <w:rPr>
          <w:rFonts w:hint="eastAsia" w:ascii="宋体" w:hAnsi="宋体" w:cs="宋体"/>
          <w:b/>
          <w:bCs/>
          <w:color w:val="auto"/>
          <w:sz w:val="24"/>
          <w:highlight w:val="none"/>
        </w:rPr>
        <w:t>。</w:t>
      </w:r>
    </w:p>
    <w:p w14:paraId="15B40EA6">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.2现场勘察安排</w:t>
      </w:r>
    </w:p>
    <w:p w14:paraId="6C5FEAF4">
      <w:pPr>
        <w:spacing w:line="360" w:lineRule="auto"/>
        <w:ind w:firstLine="48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时间：</w:t>
      </w:r>
      <w:r>
        <w:rPr>
          <w:rFonts w:hint="eastAsia" w:ascii="宋体" w:hAnsi="宋体" w:cs="宋体"/>
          <w:b/>
          <w:bCs/>
          <w:color w:val="auto"/>
          <w:sz w:val="24"/>
          <w:highlight w:val="none"/>
          <w:lang w:val="en-US" w:eastAsia="zh-CN"/>
        </w:rPr>
        <w:t>2026年4月9日--2026年4月10日</w:t>
      </w:r>
    </w:p>
    <w:p w14:paraId="48F0B476">
      <w:pPr>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地点：</w:t>
      </w:r>
      <w:r>
        <w:rPr>
          <w:rFonts w:hint="eastAsia" w:ascii="宋体" w:hAnsi="宋体" w:cs="宋体"/>
          <w:b/>
          <w:bCs/>
          <w:color w:val="auto"/>
          <w:sz w:val="24"/>
          <w:highlight w:val="none"/>
          <w:lang w:eastAsia="zh-CN"/>
        </w:rPr>
        <w:t>江苏省无锡交通高等职业技术学校</w:t>
      </w:r>
    </w:p>
    <w:p w14:paraId="44905928">
      <w:pPr>
        <w:spacing w:line="360" w:lineRule="auto"/>
        <w:ind w:firstLine="480"/>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联系人：</w:t>
      </w:r>
      <w:r>
        <w:rPr>
          <w:rFonts w:hint="eastAsia" w:ascii="宋体" w:hAnsi="宋体" w:cs="宋体"/>
          <w:b/>
          <w:bCs/>
          <w:color w:val="auto"/>
          <w:sz w:val="24"/>
          <w:highlight w:val="none"/>
          <w:lang w:val="en-US" w:eastAsia="zh-CN"/>
        </w:rPr>
        <w:t>刘老师，</w:t>
      </w:r>
      <w:r>
        <w:rPr>
          <w:rFonts w:hint="eastAsia" w:ascii="宋体" w:hAnsi="宋体" w:cs="宋体"/>
          <w:b/>
          <w:bCs/>
          <w:color w:val="auto"/>
          <w:sz w:val="24"/>
          <w:szCs w:val="24"/>
          <w:highlight w:val="none"/>
        </w:rPr>
        <w:t>0510</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6878123</w:t>
      </w:r>
      <w:r>
        <w:rPr>
          <w:rFonts w:hint="eastAsia" w:ascii="宋体" w:hAnsi="宋体" w:cs="宋体"/>
          <w:b/>
          <w:bCs/>
          <w:color w:val="auto"/>
          <w:sz w:val="24"/>
          <w:szCs w:val="24"/>
          <w:highlight w:val="none"/>
          <w:u w:val="none"/>
          <w:lang w:val="en-US" w:eastAsia="zh-CN"/>
        </w:rPr>
        <w:t>3</w:t>
      </w:r>
      <w:r>
        <w:rPr>
          <w:rFonts w:hint="eastAsia" w:ascii="宋体" w:hAnsi="宋体" w:cs="宋体"/>
          <w:b/>
          <w:bCs/>
          <w:color w:val="auto"/>
          <w:sz w:val="24"/>
          <w:highlight w:val="none"/>
          <w:lang w:val="en-US" w:eastAsia="zh-CN"/>
        </w:rPr>
        <w:t xml:space="preserve">     </w:t>
      </w:r>
    </w:p>
    <w:p w14:paraId="3950D41D">
      <w:pPr>
        <w:numPr>
          <w:ilvl w:val="0"/>
          <w:numId w:val="5"/>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交货期及质保期</w:t>
      </w:r>
    </w:p>
    <w:p w14:paraId="39B656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 xml:space="preserve">.1 </w:t>
      </w:r>
      <w:r>
        <w:rPr>
          <w:rFonts w:hint="eastAsia" w:ascii="宋体" w:hAnsi="宋体" w:eastAsia="宋体" w:cs="宋体"/>
          <w:b w:val="0"/>
          <w:bCs w:val="0"/>
          <w:color w:val="auto"/>
          <w:kern w:val="0"/>
          <w:sz w:val="24"/>
          <w:szCs w:val="24"/>
          <w:highlight w:val="none"/>
          <w:lang w:val="en-US" w:eastAsia="zh-CN" w:bidi="ar"/>
        </w:rPr>
        <w:t>合同签订</w:t>
      </w:r>
      <w:r>
        <w:rPr>
          <w:rStyle w:val="35"/>
          <w:rFonts w:hint="eastAsia" w:ascii="宋体" w:hAnsi="宋体" w:eastAsia="宋体" w:cs="宋体"/>
          <w:b w:val="0"/>
          <w:bCs w:val="0"/>
          <w:color w:val="auto"/>
          <w:kern w:val="0"/>
          <w:sz w:val="24"/>
          <w:szCs w:val="24"/>
          <w:highlight w:val="none"/>
          <w:lang w:val="en-US" w:eastAsia="zh-CN" w:bidi="ar"/>
        </w:rPr>
        <w:t>90日历天</w:t>
      </w:r>
      <w:r>
        <w:rPr>
          <w:rFonts w:hint="eastAsia" w:ascii="宋体" w:hAnsi="宋体" w:eastAsia="宋体" w:cs="宋体"/>
          <w:b w:val="0"/>
          <w:bCs w:val="0"/>
          <w:color w:val="auto"/>
          <w:kern w:val="0"/>
          <w:sz w:val="24"/>
          <w:szCs w:val="24"/>
          <w:highlight w:val="none"/>
          <w:lang w:val="en-US" w:eastAsia="zh-CN" w:bidi="ar"/>
        </w:rPr>
        <w:t>内完成供货安装调试，并完成三大场景设备适配测试、校内师资首次培训、三区布局落地，交付验收（具体时间可按照采购人要求执行）</w:t>
      </w:r>
      <w:r>
        <w:rPr>
          <w:rFonts w:hint="eastAsia" w:ascii="宋体" w:hAnsi="宋体" w:cs="宋体"/>
          <w:color w:val="auto"/>
          <w:sz w:val="24"/>
          <w:szCs w:val="24"/>
          <w:highlight w:val="none"/>
        </w:rPr>
        <w:t>。</w:t>
      </w:r>
    </w:p>
    <w:p w14:paraId="3D99243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.2产品质量保证期：</w:t>
      </w:r>
      <w:r>
        <w:rPr>
          <w:rFonts w:hint="eastAsia" w:ascii="宋体" w:hAnsi="宋体" w:eastAsia="宋体" w:cs="宋体"/>
          <w:b/>
          <w:bCs/>
          <w:color w:val="auto"/>
          <w:kern w:val="0"/>
          <w:sz w:val="24"/>
          <w:szCs w:val="24"/>
          <w:highlight w:val="none"/>
          <w:lang w:val="en-US" w:eastAsia="zh-CN" w:bidi="ar"/>
        </w:rPr>
        <w:t>自验收合格之日起，提供3年的免费质保期，软件终身免费升级，且升级内容需同步适配人才培养、大赛备赛、社会培训三大场景的最新需求</w:t>
      </w:r>
      <w:r>
        <w:rPr>
          <w:rFonts w:hint="eastAsia" w:ascii="宋体" w:hAnsi="宋体" w:cs="宋体"/>
          <w:b/>
          <w:bCs/>
          <w:color w:val="auto"/>
          <w:kern w:val="0"/>
          <w:sz w:val="24"/>
          <w:szCs w:val="24"/>
          <w:highlight w:val="none"/>
          <w:lang w:val="en-US" w:eastAsia="zh-CN" w:bidi="ar"/>
        </w:rPr>
        <w:t>。</w:t>
      </w:r>
    </w:p>
    <w:p w14:paraId="764428AB">
      <w:pPr>
        <w:spacing w:line="360" w:lineRule="auto"/>
        <w:ind w:firstLine="480"/>
        <w:rPr>
          <w:rFonts w:hint="eastAsia" w:ascii="宋体" w:hAnsi="宋体" w:cs="宋体"/>
          <w:color w:val="auto"/>
          <w:highlight w:val="none"/>
        </w:rPr>
      </w:pPr>
      <w:r>
        <w:rPr>
          <w:rFonts w:hint="eastAsia" w:ascii="宋体" w:hAnsi="宋体" w:cs="宋体"/>
          <w:color w:val="auto"/>
          <w:sz w:val="24"/>
          <w:highlight w:val="none"/>
          <w:lang w:val="en-US" w:eastAsia="zh-CN"/>
        </w:rPr>
        <w:t>5.2.1</w:t>
      </w:r>
      <w:r>
        <w:rPr>
          <w:rFonts w:hint="eastAsia" w:ascii="宋体" w:hAnsi="宋体" w:eastAsia="宋体" w:cs="宋体"/>
          <w:b w:val="0"/>
          <w:bCs w:val="0"/>
          <w:color w:val="auto"/>
          <w:kern w:val="0"/>
          <w:sz w:val="24"/>
          <w:szCs w:val="24"/>
          <w:highlight w:val="none"/>
          <w:lang w:val="en-US" w:eastAsia="zh-CN" w:bidi="ar"/>
        </w:rPr>
        <w:t>质保期内教学实训终端设备需提供原厂质保服务，社会培训/大赛备赛期间的设备故障，需按更高级别响应标准处理</w:t>
      </w:r>
      <w:r>
        <w:rPr>
          <w:rFonts w:hint="eastAsia" w:ascii="宋体" w:hAnsi="宋体" w:cs="宋体"/>
          <w:color w:val="auto"/>
          <w:sz w:val="24"/>
          <w:szCs w:val="24"/>
          <w:highlight w:val="none"/>
          <w:lang w:val="en-US" w:eastAsia="zh-CN" w:bidi="ar"/>
        </w:rPr>
        <w:t>。</w:t>
      </w:r>
    </w:p>
    <w:p w14:paraId="4F6AEC8F">
      <w:pPr>
        <w:pStyle w:val="498"/>
        <w:rPr>
          <w:rFonts w:hint="eastAsia" w:ascii="宋体" w:hAnsi="宋体" w:cs="宋体"/>
          <w:color w:val="auto"/>
          <w:highlight w:val="none"/>
        </w:rPr>
      </w:pPr>
    </w:p>
    <w:p w14:paraId="0DC2460B">
      <w:pPr>
        <w:pStyle w:val="498"/>
        <w:rPr>
          <w:rFonts w:hint="eastAsia" w:ascii="宋体" w:hAnsi="宋体" w:cs="宋体"/>
          <w:bCs/>
          <w:color w:val="auto"/>
          <w:szCs w:val="28"/>
          <w:highlight w:val="none"/>
        </w:rPr>
      </w:pPr>
      <w:r>
        <w:rPr>
          <w:rFonts w:hint="eastAsia" w:ascii="宋体" w:hAnsi="宋体" w:cs="宋体"/>
          <w:color w:val="auto"/>
          <w:highlight w:val="none"/>
        </w:rPr>
        <w:br w:type="page" w:clear="all"/>
      </w:r>
    </w:p>
    <w:p w14:paraId="4877FEC6">
      <w:pPr>
        <w:keepNext/>
        <w:keepLines/>
        <w:spacing w:before="260" w:after="260" w:line="360" w:lineRule="auto"/>
        <w:jc w:val="center"/>
        <w:outlineLvl w:val="0"/>
        <w:rPr>
          <w:rFonts w:hint="eastAsia" w:ascii="宋体" w:hAnsi="宋体" w:cs="宋体"/>
          <w:b/>
          <w:color w:val="auto"/>
          <w:sz w:val="36"/>
          <w:szCs w:val="20"/>
          <w:highlight w:val="none"/>
        </w:rPr>
      </w:pPr>
      <w:r>
        <w:rPr>
          <w:rFonts w:hint="eastAsia" w:ascii="宋体" w:hAnsi="宋体" w:cs="宋体"/>
          <w:b/>
          <w:color w:val="auto"/>
          <w:sz w:val="36"/>
          <w:szCs w:val="20"/>
          <w:highlight w:val="none"/>
        </w:rPr>
        <w:t>第五章：投标文件（格式）</w:t>
      </w:r>
    </w:p>
    <w:p w14:paraId="720F86B1">
      <w:pPr>
        <w:spacing w:line="360" w:lineRule="auto"/>
        <w:jc w:val="center"/>
        <w:rPr>
          <w:rFonts w:hint="eastAsia" w:ascii="宋体" w:hAnsi="宋体" w:cs="宋体"/>
          <w:color w:val="auto"/>
          <w:sz w:val="28"/>
          <w:szCs w:val="24"/>
          <w:highlight w:val="none"/>
        </w:rPr>
      </w:pPr>
    </w:p>
    <w:p w14:paraId="6D3DF41F">
      <w:pPr>
        <w:spacing w:line="360" w:lineRule="auto"/>
        <w:jc w:val="center"/>
        <w:rPr>
          <w:rFonts w:hint="eastAsia" w:ascii="宋体" w:hAnsi="宋体" w:cs="宋体"/>
          <w:color w:val="auto"/>
          <w:sz w:val="28"/>
          <w:szCs w:val="24"/>
          <w:highlight w:val="none"/>
        </w:rPr>
      </w:pPr>
    </w:p>
    <w:p w14:paraId="2CB07693">
      <w:pPr>
        <w:spacing w:line="360" w:lineRule="auto"/>
        <w:jc w:val="center"/>
        <w:rPr>
          <w:rFonts w:hint="eastAsia" w:ascii="宋体" w:hAnsi="宋体" w:cs="宋体"/>
          <w:color w:val="auto"/>
          <w:sz w:val="28"/>
          <w:szCs w:val="24"/>
          <w:highlight w:val="none"/>
        </w:rPr>
      </w:pPr>
    </w:p>
    <w:p w14:paraId="52EFFB60">
      <w:pPr>
        <w:spacing w:line="360" w:lineRule="auto"/>
        <w:jc w:val="center"/>
        <w:rPr>
          <w:rFonts w:hint="eastAsia" w:ascii="宋体" w:hAnsi="宋体" w:cs="宋体"/>
          <w:b/>
          <w:color w:val="auto"/>
          <w:sz w:val="72"/>
          <w:szCs w:val="24"/>
          <w:highlight w:val="none"/>
        </w:rPr>
      </w:pPr>
      <w:r>
        <w:rPr>
          <w:rFonts w:hint="eastAsia" w:ascii="宋体" w:hAnsi="宋体" w:cs="宋体"/>
          <w:b/>
          <w:color w:val="auto"/>
          <w:sz w:val="72"/>
          <w:szCs w:val="24"/>
          <w:highlight w:val="none"/>
        </w:rPr>
        <w:t>投   标   书</w:t>
      </w:r>
    </w:p>
    <w:p w14:paraId="5FD9F63D">
      <w:pPr>
        <w:spacing w:line="360" w:lineRule="auto"/>
        <w:jc w:val="center"/>
        <w:rPr>
          <w:rFonts w:hint="eastAsia" w:ascii="宋体" w:hAnsi="宋体" w:cs="宋体"/>
          <w:b/>
          <w:color w:val="auto"/>
          <w:sz w:val="36"/>
          <w:szCs w:val="24"/>
          <w:highlight w:val="none"/>
        </w:rPr>
      </w:pPr>
    </w:p>
    <w:p w14:paraId="405EE17E">
      <w:pPr>
        <w:spacing w:line="360" w:lineRule="auto"/>
        <w:ind w:firstLine="790"/>
        <w:rPr>
          <w:rFonts w:hint="eastAsia" w:ascii="宋体" w:hAnsi="宋体" w:cs="宋体"/>
          <w:b/>
          <w:color w:val="auto"/>
          <w:sz w:val="32"/>
          <w:szCs w:val="24"/>
          <w:highlight w:val="none"/>
        </w:rPr>
      </w:pPr>
    </w:p>
    <w:p w14:paraId="7A6CE4D5">
      <w:pPr>
        <w:spacing w:line="360" w:lineRule="auto"/>
        <w:ind w:firstLine="790"/>
        <w:jc w:val="center"/>
        <w:rPr>
          <w:rFonts w:hint="eastAsia" w:ascii="宋体" w:hAnsi="宋体" w:cs="宋体"/>
          <w:b/>
          <w:color w:val="auto"/>
          <w:sz w:val="32"/>
          <w:szCs w:val="24"/>
          <w:highlight w:val="none"/>
        </w:rPr>
      </w:pPr>
    </w:p>
    <w:p w14:paraId="4F900996">
      <w:pPr>
        <w:spacing w:line="360" w:lineRule="auto"/>
        <w:ind w:firstLine="1687"/>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项目编号：</w:t>
      </w:r>
    </w:p>
    <w:p w14:paraId="6E310BDD">
      <w:pPr>
        <w:spacing w:line="360" w:lineRule="auto"/>
        <w:jc w:val="center"/>
        <w:rPr>
          <w:rFonts w:hint="eastAsia" w:ascii="宋体" w:hAnsi="宋体" w:cs="宋体"/>
          <w:color w:val="auto"/>
          <w:sz w:val="28"/>
          <w:szCs w:val="24"/>
          <w:highlight w:val="none"/>
        </w:rPr>
      </w:pPr>
    </w:p>
    <w:p w14:paraId="13445142">
      <w:pPr>
        <w:spacing w:line="360" w:lineRule="auto"/>
        <w:jc w:val="center"/>
        <w:rPr>
          <w:rFonts w:hint="eastAsia" w:ascii="宋体" w:hAnsi="宋体" w:cs="宋体"/>
          <w:color w:val="auto"/>
          <w:sz w:val="28"/>
          <w:szCs w:val="24"/>
          <w:highlight w:val="none"/>
        </w:rPr>
      </w:pPr>
    </w:p>
    <w:p w14:paraId="29BB3A7E">
      <w:pPr>
        <w:spacing w:line="360" w:lineRule="auto"/>
        <w:jc w:val="center"/>
        <w:rPr>
          <w:rFonts w:hint="eastAsia" w:ascii="宋体" w:hAnsi="宋体" w:cs="宋体"/>
          <w:b/>
          <w:color w:val="auto"/>
          <w:sz w:val="28"/>
          <w:szCs w:val="24"/>
          <w:highlight w:val="none"/>
        </w:rPr>
      </w:pPr>
    </w:p>
    <w:p w14:paraId="2D4C6DC2">
      <w:pPr>
        <w:spacing w:line="360" w:lineRule="auto"/>
        <w:ind w:firstLine="1799"/>
        <w:jc w:val="left"/>
        <w:rPr>
          <w:rFonts w:hint="eastAsia" w:ascii="宋体" w:hAnsi="宋体" w:cs="宋体"/>
          <w:b/>
          <w:color w:val="auto"/>
          <w:sz w:val="32"/>
          <w:szCs w:val="32"/>
          <w:highlight w:val="none"/>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lang w:eastAsia="zh-CN"/>
        </w:rPr>
        <w:t>JSZC-320000</w:t>
      </w:r>
      <w:r>
        <w:rPr>
          <w:rFonts w:hint="eastAsia" w:ascii="宋体" w:hAnsi="宋体" w:cs="宋体"/>
          <w:b/>
          <w:color w:val="auto"/>
          <w:sz w:val="28"/>
          <w:szCs w:val="28"/>
          <w:highlight w:val="none"/>
          <w:lang w:val="en-US" w:eastAsia="zh-CN"/>
        </w:rPr>
        <w:t>-BJZC-G2026-0001</w:t>
      </w:r>
      <w:r>
        <w:rPr>
          <w:rFonts w:hint="eastAsia" w:ascii="宋体" w:hAnsi="宋体" w:cs="宋体"/>
          <w:b/>
          <w:color w:val="auto"/>
          <w:sz w:val="28"/>
          <w:szCs w:val="28"/>
          <w:highlight w:val="none"/>
        </w:rPr>
        <w:t xml:space="preserve"> </w:t>
      </w:r>
    </w:p>
    <w:p w14:paraId="40CF2772">
      <w:pPr>
        <w:spacing w:line="360" w:lineRule="auto"/>
        <w:ind w:left="520"/>
        <w:jc w:val="center"/>
        <w:rPr>
          <w:rFonts w:hint="eastAsia" w:ascii="宋体" w:hAnsi="宋体" w:cs="宋体"/>
          <w:b/>
          <w:color w:val="auto"/>
          <w:sz w:val="32"/>
          <w:szCs w:val="20"/>
          <w:highlight w:val="none"/>
        </w:rPr>
      </w:pPr>
    </w:p>
    <w:p w14:paraId="501DDB49">
      <w:pPr>
        <w:spacing w:line="360" w:lineRule="auto"/>
        <w:ind w:left="520"/>
        <w:jc w:val="center"/>
        <w:rPr>
          <w:rFonts w:hint="eastAsia" w:ascii="宋体" w:hAnsi="宋体" w:cs="宋体"/>
          <w:b/>
          <w:color w:val="auto"/>
          <w:sz w:val="32"/>
          <w:szCs w:val="20"/>
          <w:highlight w:val="none"/>
        </w:rPr>
      </w:pPr>
    </w:p>
    <w:p w14:paraId="540E3282">
      <w:pPr>
        <w:spacing w:line="360" w:lineRule="auto"/>
        <w:ind w:firstLine="1645"/>
        <w:rPr>
          <w:rFonts w:hint="eastAsia" w:ascii="宋体" w:hAnsi="宋体" w:cs="宋体"/>
          <w:b/>
          <w:color w:val="auto"/>
          <w:sz w:val="32"/>
          <w:szCs w:val="24"/>
          <w:highlight w:val="none"/>
        </w:rPr>
      </w:pPr>
      <w:r>
        <w:rPr>
          <w:rFonts w:hint="eastAsia" w:ascii="宋体" w:hAnsi="宋体" w:cs="宋体"/>
          <w:b/>
          <w:color w:val="auto"/>
          <w:sz w:val="32"/>
          <w:szCs w:val="24"/>
          <w:highlight w:val="none"/>
        </w:rPr>
        <w:t>投 标 人（加盖公章）：</w:t>
      </w:r>
    </w:p>
    <w:p w14:paraId="27E0D162">
      <w:pPr>
        <w:spacing w:line="360" w:lineRule="auto"/>
        <w:rPr>
          <w:rFonts w:hint="eastAsia" w:ascii="宋体" w:hAnsi="宋体" w:cs="宋体"/>
          <w:b/>
          <w:color w:val="auto"/>
          <w:sz w:val="36"/>
          <w:szCs w:val="24"/>
          <w:highlight w:val="none"/>
        </w:rPr>
      </w:pPr>
    </w:p>
    <w:p w14:paraId="0E76050F">
      <w:pPr>
        <w:spacing w:line="360" w:lineRule="auto"/>
        <w:rPr>
          <w:rFonts w:hint="eastAsia" w:ascii="宋体" w:hAnsi="宋体" w:cs="宋体"/>
          <w:b/>
          <w:color w:val="auto"/>
          <w:sz w:val="36"/>
          <w:szCs w:val="24"/>
          <w:highlight w:val="none"/>
        </w:rPr>
      </w:pPr>
    </w:p>
    <w:p w14:paraId="7302BB16">
      <w:pPr>
        <w:spacing w:line="360" w:lineRule="auto"/>
        <w:jc w:val="center"/>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  年    月   日</w:t>
      </w:r>
    </w:p>
    <w:p w14:paraId="5869364F">
      <w:pPr>
        <w:keepNext/>
        <w:keepLines/>
        <w:spacing w:before="260" w:after="260" w:line="360" w:lineRule="auto"/>
        <w:jc w:val="center"/>
        <w:outlineLvl w:val="1"/>
        <w:rPr>
          <w:rFonts w:hint="eastAsia" w:ascii="宋体" w:hAnsi="宋体" w:cs="宋体"/>
          <w:b/>
          <w:color w:val="auto"/>
          <w:sz w:val="32"/>
          <w:szCs w:val="20"/>
          <w:highlight w:val="none"/>
        </w:rPr>
      </w:pPr>
      <w:r>
        <w:rPr>
          <w:rFonts w:hint="eastAsia" w:ascii="宋体" w:hAnsi="宋体" w:cs="宋体"/>
          <w:b/>
          <w:color w:val="auto"/>
          <w:sz w:val="32"/>
          <w:szCs w:val="20"/>
          <w:highlight w:val="none"/>
        </w:rPr>
        <w:t>一、投标函（格式）</w:t>
      </w:r>
    </w:p>
    <w:p w14:paraId="04A23E43">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lang w:eastAsia="zh-CN"/>
        </w:rPr>
        <w:t>江苏省无锡交通高等职业技术学校</w:t>
      </w:r>
    </w:p>
    <w:p w14:paraId="53AC03EC">
      <w:pPr>
        <w:spacing w:line="360" w:lineRule="auto"/>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根据贵方关于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招标项目（项目编号：</w:t>
      </w:r>
      <w:r>
        <w:rPr>
          <w:rFonts w:hint="eastAsia" w:ascii="宋体" w:hAnsi="宋体" w:cs="宋体"/>
          <w:color w:val="auto"/>
          <w:sz w:val="24"/>
          <w:szCs w:val="24"/>
          <w:highlight w:val="none"/>
          <w:u w:val="single"/>
          <w:lang w:eastAsia="zh-CN"/>
        </w:rPr>
        <w:t>JSZC-320000</w:t>
      </w:r>
      <w:r>
        <w:rPr>
          <w:rFonts w:hint="eastAsia" w:ascii="宋体" w:hAnsi="宋体" w:cs="宋体"/>
          <w:color w:val="auto"/>
          <w:sz w:val="24"/>
          <w:szCs w:val="24"/>
          <w:highlight w:val="none"/>
          <w:u w:val="single"/>
          <w:lang w:val="en-US" w:eastAsia="zh-CN"/>
        </w:rPr>
        <w:t>-BJZC-G2026-0001</w:t>
      </w:r>
      <w:r>
        <w:rPr>
          <w:rFonts w:hint="eastAsia" w:ascii="宋体" w:hAnsi="宋体" w:cs="宋体"/>
          <w:color w:val="auto"/>
          <w:sz w:val="24"/>
          <w:szCs w:val="24"/>
          <w:highlight w:val="none"/>
        </w:rPr>
        <w:t>）的招标公告，授权下述签字人</w:t>
      </w:r>
      <w:r>
        <w:rPr>
          <w:rFonts w:hint="eastAsia" w:ascii="宋体" w:hAnsi="宋体" w:cs="宋体"/>
          <w:color w:val="auto"/>
          <w:sz w:val="24"/>
          <w:szCs w:val="24"/>
          <w:highlight w:val="none"/>
          <w:u w:val="single"/>
        </w:rPr>
        <w:t>（姓名和职务）</w:t>
      </w:r>
      <w:r>
        <w:rPr>
          <w:rFonts w:hint="eastAsia" w:ascii="宋体" w:hAnsi="宋体" w:cs="宋体"/>
          <w:color w:val="auto"/>
          <w:sz w:val="24"/>
          <w:szCs w:val="24"/>
          <w:highlight w:val="none"/>
        </w:rPr>
        <w:t>代表</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投标供应商</w:t>
      </w:r>
      <w:r>
        <w:rPr>
          <w:rFonts w:hint="eastAsia" w:ascii="宋体" w:hAnsi="宋体" w:cs="宋体"/>
          <w:color w:val="auto"/>
          <w:sz w:val="24"/>
          <w:szCs w:val="24"/>
          <w:highlight w:val="none"/>
          <w:u w:val="single"/>
        </w:rPr>
        <w:t>的名称）</w:t>
      </w:r>
      <w:r>
        <w:rPr>
          <w:rFonts w:hint="eastAsia" w:ascii="宋体" w:hAnsi="宋体" w:cs="宋体"/>
          <w:color w:val="auto"/>
          <w:sz w:val="24"/>
          <w:szCs w:val="24"/>
          <w:highlight w:val="none"/>
        </w:rPr>
        <w:t>，提交下述文件正本壹份，副本肆份。</w:t>
      </w:r>
    </w:p>
    <w:p w14:paraId="21E2F4F2">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1、开标（报价）一览表</w:t>
      </w:r>
    </w:p>
    <w:p w14:paraId="364919C8">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2、明细报价表</w:t>
      </w:r>
    </w:p>
    <w:p w14:paraId="27018583">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相关信息一览表</w:t>
      </w:r>
    </w:p>
    <w:p w14:paraId="0A1193E1">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偏离表</w:t>
      </w:r>
    </w:p>
    <w:p w14:paraId="34568628">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、供应商需要提供的证明材料</w:t>
      </w:r>
    </w:p>
    <w:p w14:paraId="0056DD7F">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、法人授权委托书</w:t>
      </w:r>
    </w:p>
    <w:p w14:paraId="5DF490F0">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、法定代表人身份证明书</w:t>
      </w:r>
    </w:p>
    <w:p w14:paraId="3FC18937">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、中小企业声明函</w:t>
      </w:r>
    </w:p>
    <w:p w14:paraId="56326534">
      <w:pPr>
        <w:tabs>
          <w:tab w:val="left" w:pos="1125"/>
        </w:tabs>
        <w:spacing w:line="360" w:lineRule="auto"/>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、残疾人福利性单位声明函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若有</w:t>
      </w:r>
      <w:r>
        <w:rPr>
          <w:rFonts w:hint="eastAsia" w:ascii="宋体" w:hAnsi="宋体" w:cs="宋体"/>
          <w:color w:val="auto"/>
          <w:sz w:val="24"/>
          <w:szCs w:val="24"/>
          <w:highlight w:val="none"/>
          <w:lang w:eastAsia="zh-CN"/>
        </w:rPr>
        <w:t>）</w:t>
      </w:r>
    </w:p>
    <w:p w14:paraId="658B1563">
      <w:pPr>
        <w:tabs>
          <w:tab w:val="left" w:pos="1125"/>
        </w:tabs>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10.关于符合本国产品标准的声明函</w:t>
      </w:r>
    </w:p>
    <w:p w14:paraId="3A3DA2D4">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、资格承诺函</w:t>
      </w:r>
    </w:p>
    <w:p w14:paraId="6FAEAB95">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评分项等其他证明材料</w:t>
      </w:r>
    </w:p>
    <w:p w14:paraId="14702278">
      <w:pPr>
        <w:spacing w:line="360" w:lineRule="auto"/>
        <w:ind w:left="1"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据此函，</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兹宣布同意如下：</w:t>
      </w:r>
    </w:p>
    <w:p w14:paraId="52D7550F">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rPr>
        <mc:AlternateContent>
          <mc:Choice Requires="wps">
            <w:drawing>
              <wp:anchor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46.75pt;margin-top:23.4pt;height:0pt;width:0.05pt;z-index:251659264;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gt6DzVAAAACQEAAA8AAAAAAAAAAQAgAAAAIgAAAGRycy9kb3du&#10;cmV2LnhtbFBLAQIUABQAAAAIAIdO4kD5a7tWyQEAAIM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P2ulvWAAAACQEAAA8AAAAAAAAAAQAgAAAAIgAAAGRycy9kb3du&#10;cmV2LnhtbFBLAQIUABQAAAAIAIdO4kBgnCdFyAEAAIMDAAAOAAAAAAAAAAEAIAAAACUBAABkcnMv&#10;ZTJvRG9jLnhtbFBLBQYAAAAABgAGAFkBAABfBQ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w:t>、按</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规定提供货物及服务的唯一投标报价见开标（报价）一览表。</w: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eExMtQAAAAHAQAADwAAAAAAAAABACAAAAAiAAAAZHJzL2Rvd25y&#10;ZXYueG1sUEsBAhQAFAAAAAgAh07iQMuEgnHJAQAAgwMAAA4AAAAAAAAAAQAgAAAAIwEAAGRycy9l&#10;Mm9Eb2MueG1sUEsFBgAAAAAGAAYAWQEAAF4FA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7qhsxNQAAAAJAQAADwAAAAAAAAABACAAAAAiAAAAZHJzL2Rvd25y&#10;ZXYueG1sUEsBAhQAFAAAAAgAh07iQFJzHmLJAQAAgwMAAA4AAAAAAAAAAQAgAAAAIwEAAGRycy9l&#10;Mm9Eb2MueG1sUEsFBgAAAAAGAAYAWQEAAF4FA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54TEy1AAAAAcBAAAPAAAAAAAAAAEAIAAAACIAAABkcnMvZG93bnJl&#10;di54bWxQSwECFAAUAAAACACHTuJAVQkvhMgBAACDAwAADgAAAAAAAAABACAAAAAjAQAAZHJzL2Uy&#10;b0RvYy54bWxQSwUGAAAAAAYABgBZAQAAXQU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7qhsxNQAAAAJAQAADwAAAAAAAAABACAAAAAiAAAAZHJzL2Rvd25y&#10;ZXYueG1sUEsBAhQAFAAAAAgAh07iQMz+s5fJAQAAgwMAAA4AAAAAAAAAAQAgAAAAIwEAAGRycy9l&#10;Mm9Eb2MueG1sUEsFBgAAAAAGAAYAWQEAAF4FAAAAAA==&#10;">
                <v:fill on="f" focussize="0,0"/>
                <v:stroke color="#000000" joinstyle="round"/>
                <v:imagedata o:title=""/>
                <o:lock v:ext="edit" aspectratio="f"/>
              </v:line>
            </w:pict>
          </mc:Fallback>
        </mc:AlternateContent>
      </w:r>
    </w:p>
    <w:p w14:paraId="4258B605">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h6NQDVAAAACQEAAA8AAAAAAAAAAQAgAAAAIgAAAGRycy9kb3du&#10;cmV2LnhtbFBLAQIUABQAAAAIAIdO4kCcjkrCyQEAAIU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4ejUA1QAAAAkBAAAPAAAAAAAAAAEAIAAAACIAAABkcnMvZG93&#10;bnJldi54bWxQSwECFAAUAAAACACHTuJAbk93ycoBAACFAwAADgAAAAAAAAABACAAAAAkAQAAZHJz&#10;L2Uyb0RvYy54bWxQSwUGAAAAAAYABgBZAQAAYAU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w:t>2、我方承诺根据</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的规定，完成合同义务，并承担责任（如有偏离，在投标文件中另作说明）。</w:t>
      </w:r>
    </w:p>
    <w:p w14:paraId="1E642E86">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3、我方已详细审核全部</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，包括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书面修改通知（如果有的话），</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完全理解并同意放弃对这方面不明及误解的权利。</w:t>
      </w:r>
    </w:p>
    <w:p w14:paraId="6F5BB1C5">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4、我方投标代表已详读全部投标文件，保证提供的投标文件及所有材料的完整、真实、合法、有效性并对其负责。承诺在评审期间，如评审委员会对我方提出澄清要求，将及时作出响应，否则自行承担后果。</w:t>
      </w:r>
    </w:p>
    <w:p w14:paraId="58C6BF06">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5、我方同意从规定的招标日期起遵循本</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，并在规定的有效期期满之前均具有约束力。</w:t>
      </w:r>
    </w:p>
    <w:p w14:paraId="30450A20">
      <w:pPr>
        <w:tabs>
          <w:tab w:val="left" w:pos="1125"/>
        </w:tabs>
        <w:spacing w:line="360" w:lineRule="auto"/>
        <w:ind w:firstLine="2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6、如果在规定的开标时间后，我方不会在投标有效期内撤回投标。</w:t>
      </w:r>
    </w:p>
    <w:p w14:paraId="5334744C">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7、我方同意向贵方提供贵方可能要求的与本投标有关的任何证据或资料。</w:t>
      </w:r>
    </w:p>
    <w:p w14:paraId="357478AC">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8、我方完全理解贵方不一定要接受最低报价的投标或收到的任何投标。</w:t>
      </w:r>
    </w:p>
    <w:p w14:paraId="0DD1BC9B">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9、我方知道如用虚假材料或恶意方式向贵方提出质疑，将承担相应的法律责任。同时承诺：我方如果有上述行为，将无条件承担贵方相关的调查论证费用。</w:t>
      </w:r>
    </w:p>
    <w:p w14:paraId="079FE6F1">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10、本公司承诺：参加政府采购活动前三年内，在经营活动中没有重大违法记录。</w:t>
      </w:r>
    </w:p>
    <w:p w14:paraId="7E418574">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11、本次投标文件内容与</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内容偏离（技术和商务）见偏离说明（如果有）。</w:t>
      </w:r>
    </w:p>
    <w:p w14:paraId="7EF7D99A">
      <w:pPr>
        <w:tabs>
          <w:tab w:val="left" w:pos="1125"/>
        </w:tabs>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我方所投设备及服务完全适配采购人校内人才培养、职业技能大赛备赛、社会化焊接技能培训三大核心需求，可按招标文件要求提供分场景的设备、方案、服务支持，并承担相应责任。</w:t>
      </w:r>
    </w:p>
    <w:p w14:paraId="3F452106">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、遵守</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中要求的收费项目和标准。</w:t>
      </w:r>
    </w:p>
    <w:p w14:paraId="490377D4">
      <w:pPr>
        <w:tabs>
          <w:tab w:val="left" w:pos="1125"/>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、与本投标有关的一切正式往来通讯请寄：</w:t>
      </w:r>
    </w:p>
    <w:p w14:paraId="539479C6">
      <w:pPr>
        <w:spacing w:line="360" w:lineRule="auto"/>
        <w:ind w:firstLine="9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电话：   </w:t>
      </w:r>
    </w:p>
    <w:p w14:paraId="2DE53BC7">
      <w:pPr>
        <w:spacing w:line="360" w:lineRule="auto"/>
        <w:ind w:firstLine="927"/>
        <w:rPr>
          <w:rFonts w:hint="eastAsia" w:ascii="宋体" w:hAnsi="宋体" w:cs="宋体"/>
          <w:color w:val="auto"/>
          <w:sz w:val="24"/>
          <w:szCs w:val="24"/>
          <w:highlight w:val="none"/>
        </w:rPr>
      </w:pPr>
      <w:r>
        <w:rPr>
          <w:rFonts w:hint="eastAsia" w:ascii="宋体" w:hAnsi="宋体" w:cs="宋体"/>
          <w:color w:val="auto"/>
          <w:sz w:val="24"/>
          <w:szCs w:val="24"/>
          <w:highlight w:val="none"/>
        </w:rPr>
        <w:t>传真：                   邮政编码</w:t>
      </w:r>
    </w:p>
    <w:p w14:paraId="483CE9FB">
      <w:pPr>
        <w:spacing w:line="360" w:lineRule="auto"/>
        <w:ind w:firstLine="644"/>
        <w:rPr>
          <w:rFonts w:hint="eastAsia" w:ascii="宋体" w:hAnsi="宋体" w:cs="宋体"/>
          <w:color w:val="auto"/>
          <w:sz w:val="24"/>
          <w:szCs w:val="24"/>
          <w:highlight w:val="none"/>
        </w:rPr>
      </w:pPr>
    </w:p>
    <w:p w14:paraId="4AAD0869">
      <w:pPr>
        <w:spacing w:line="360" w:lineRule="auto"/>
        <w:ind w:firstLine="644"/>
        <w:rPr>
          <w:rFonts w:hint="eastAsia" w:ascii="宋体" w:hAnsi="宋体" w:cs="宋体"/>
          <w:color w:val="auto"/>
          <w:sz w:val="24"/>
          <w:szCs w:val="24"/>
          <w:highlight w:val="none"/>
        </w:rPr>
      </w:pPr>
    </w:p>
    <w:p w14:paraId="756AAB0B">
      <w:pPr>
        <w:spacing w:line="360" w:lineRule="auto"/>
        <w:ind w:firstLine="644"/>
        <w:rPr>
          <w:rFonts w:hint="eastAsia" w:ascii="宋体" w:hAnsi="宋体" w:cs="宋体"/>
          <w:color w:val="auto"/>
          <w:sz w:val="24"/>
          <w:szCs w:val="24"/>
          <w:highlight w:val="none"/>
        </w:rPr>
      </w:pPr>
    </w:p>
    <w:p w14:paraId="601B786E">
      <w:pPr>
        <w:spacing w:line="360" w:lineRule="auto"/>
        <w:ind w:firstLine="644"/>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（加盖公章）：</w:t>
      </w:r>
    </w:p>
    <w:p w14:paraId="0E1B0BED">
      <w:pPr>
        <w:spacing w:line="360" w:lineRule="auto"/>
        <w:ind w:firstLine="64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法定代表人或其委托代理人签字：         </w:t>
      </w:r>
    </w:p>
    <w:p w14:paraId="52AC2765">
      <w:pPr>
        <w:spacing w:line="360" w:lineRule="auto"/>
        <w:ind w:firstLine="644"/>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184F8EFD">
      <w:pPr>
        <w:keepNext/>
        <w:keepLines/>
        <w:numPr>
          <w:ilvl w:val="0"/>
          <w:numId w:val="16"/>
        </w:numPr>
        <w:spacing w:before="260" w:after="260" w:line="360" w:lineRule="auto"/>
        <w:ind w:left="0"/>
        <w:jc w:val="center"/>
        <w:outlineLvl w:val="1"/>
        <w:rPr>
          <w:rFonts w:hint="eastAsia" w:ascii="宋体" w:hAnsi="宋体" w:cs="宋体"/>
          <w:b/>
          <w:color w:val="auto"/>
          <w:sz w:val="32"/>
          <w:szCs w:val="20"/>
          <w:highlight w:val="none"/>
        </w:rPr>
        <w:sectPr>
          <w:footerReference r:id="rId4" w:type="first"/>
          <w:footerReference r:id="rId3" w:type="default"/>
          <w:pgSz w:w="11907" w:h="16840"/>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A63DD40">
      <w:pPr>
        <w:keepNext/>
        <w:keepLines/>
        <w:spacing w:before="260" w:after="260" w:line="360" w:lineRule="auto"/>
        <w:jc w:val="center"/>
        <w:outlineLvl w:val="1"/>
        <w:rPr>
          <w:rFonts w:hint="eastAsia" w:ascii="宋体" w:hAnsi="宋体" w:cs="宋体"/>
          <w:b/>
          <w:color w:val="auto"/>
          <w:sz w:val="44"/>
          <w:szCs w:val="44"/>
          <w:highlight w:val="none"/>
        </w:rPr>
      </w:pPr>
      <w:r>
        <w:rPr>
          <w:rFonts w:hint="eastAsia" w:ascii="宋体" w:hAnsi="宋体" w:cs="宋体"/>
          <w:b/>
          <w:color w:val="auto"/>
          <w:sz w:val="44"/>
          <w:szCs w:val="44"/>
          <w:highlight w:val="none"/>
        </w:rPr>
        <w:t>二、开标（报价）一览表</w:t>
      </w:r>
    </w:p>
    <w:tbl>
      <w:tblPr>
        <w:tblStyle w:val="32"/>
        <w:tblW w:w="10314" w:type="dxa"/>
        <w:tblInd w:w="-1105" w:type="dxa"/>
        <w:tblLayout w:type="fixed"/>
        <w:tblCellMar>
          <w:top w:w="0" w:type="dxa"/>
          <w:left w:w="108" w:type="dxa"/>
          <w:bottom w:w="0" w:type="dxa"/>
          <w:right w:w="108" w:type="dxa"/>
        </w:tblCellMar>
      </w:tblPr>
      <w:tblGrid>
        <w:gridCol w:w="2802"/>
        <w:gridCol w:w="7512"/>
      </w:tblGrid>
      <w:tr w14:paraId="278310D2">
        <w:tblPrEx>
          <w:tblCellMar>
            <w:top w:w="0" w:type="dxa"/>
            <w:left w:w="108" w:type="dxa"/>
            <w:bottom w:w="0" w:type="dxa"/>
            <w:right w:w="108" w:type="dxa"/>
          </w:tblCellMar>
        </w:tblPrEx>
        <w:trPr>
          <w:trHeight w:val="460" w:hRule="atLeast"/>
        </w:trPr>
        <w:tc>
          <w:tcPr>
            <w:tcW w:w="10314" w:type="dxa"/>
            <w:gridSpan w:val="2"/>
            <w:tcBorders>
              <w:top w:val="nil"/>
              <w:left w:val="nil"/>
              <w:bottom w:val="single" w:color="000000" w:sz="4" w:space="0"/>
              <w:right w:val="nil"/>
            </w:tcBorders>
            <w:noWrap w:val="0"/>
            <w:vAlign w:val="center"/>
          </w:tcPr>
          <w:p w14:paraId="0AADF3DF">
            <w:pPr>
              <w:widowControl/>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单位名称（加盖公章）：</w:t>
            </w:r>
          </w:p>
        </w:tc>
      </w:tr>
      <w:tr w14:paraId="3C284A10">
        <w:tblPrEx>
          <w:tblCellMar>
            <w:top w:w="0" w:type="dxa"/>
            <w:left w:w="108" w:type="dxa"/>
            <w:bottom w:w="0" w:type="dxa"/>
            <w:right w:w="108" w:type="dxa"/>
          </w:tblCellMar>
        </w:tblPrEx>
        <w:trPr>
          <w:trHeight w:val="1356" w:hRule="atLeast"/>
        </w:trPr>
        <w:tc>
          <w:tcPr>
            <w:tcW w:w="2802" w:type="dxa"/>
            <w:tcBorders>
              <w:top w:val="single" w:color="000000" w:sz="4" w:space="0"/>
              <w:left w:val="single" w:color="000000" w:sz="4" w:space="0"/>
              <w:bottom w:val="single" w:color="000000" w:sz="4" w:space="0"/>
              <w:right w:val="single" w:color="000000" w:sz="4" w:space="0"/>
            </w:tcBorders>
            <w:noWrap w:val="0"/>
            <w:vAlign w:val="center"/>
          </w:tcPr>
          <w:p w14:paraId="7F132FCA">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项目总价</w:t>
            </w:r>
          </w:p>
        </w:tc>
        <w:tc>
          <w:tcPr>
            <w:tcW w:w="7512" w:type="dxa"/>
            <w:tcBorders>
              <w:top w:val="single" w:color="000000" w:sz="4" w:space="0"/>
              <w:left w:val="nil"/>
              <w:bottom w:val="single" w:color="000000" w:sz="4" w:space="0"/>
              <w:right w:val="single" w:color="000000" w:sz="4" w:space="0"/>
            </w:tcBorders>
            <w:noWrap w:val="0"/>
            <w:vAlign w:val="center"/>
          </w:tcPr>
          <w:p w14:paraId="3CFF91C0">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金额（大写）：             元   </w:t>
            </w:r>
          </w:p>
          <w:p w14:paraId="5B84CC6A">
            <w:pPr>
              <w:tabs>
                <w:tab w:val="left" w:pos="2185"/>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元</w:t>
            </w:r>
          </w:p>
        </w:tc>
      </w:tr>
      <w:tr w14:paraId="4C8DC90B">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noWrap w:val="0"/>
            <w:vAlign w:val="center"/>
          </w:tcPr>
          <w:p w14:paraId="6515B2CF">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交货</w:t>
            </w:r>
            <w:r>
              <w:rPr>
                <w:rFonts w:hint="eastAsia" w:ascii="宋体" w:hAnsi="宋体" w:cs="宋体"/>
                <w:color w:val="auto"/>
                <w:sz w:val="24"/>
                <w:szCs w:val="24"/>
                <w:highlight w:val="none"/>
              </w:rPr>
              <w:t>期</w:t>
            </w:r>
          </w:p>
        </w:tc>
        <w:tc>
          <w:tcPr>
            <w:tcW w:w="7512" w:type="dxa"/>
            <w:tcBorders>
              <w:top w:val="nil"/>
              <w:left w:val="nil"/>
              <w:bottom w:val="single" w:color="000000" w:sz="4" w:space="0"/>
              <w:right w:val="single" w:color="000000" w:sz="4" w:space="0"/>
            </w:tcBorders>
            <w:noWrap w:val="0"/>
            <w:vAlign w:val="center"/>
          </w:tcPr>
          <w:p w14:paraId="621C7E5C">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tc>
      </w:tr>
      <w:tr w14:paraId="3B73FDC1">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noWrap w:val="0"/>
            <w:vAlign w:val="center"/>
          </w:tcPr>
          <w:p w14:paraId="1273A00C">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512" w:type="dxa"/>
            <w:tcBorders>
              <w:top w:val="nil"/>
              <w:left w:val="nil"/>
              <w:bottom w:val="single" w:color="000000" w:sz="4" w:space="0"/>
              <w:right w:val="single" w:color="000000" w:sz="4" w:space="0"/>
            </w:tcBorders>
            <w:noWrap w:val="0"/>
            <w:vAlign w:val="center"/>
          </w:tcPr>
          <w:p w14:paraId="7956E94F">
            <w:pPr>
              <w:widowControl/>
              <w:spacing w:line="360" w:lineRule="auto"/>
              <w:rPr>
                <w:rFonts w:hint="eastAsia" w:ascii="宋体" w:hAnsi="宋体" w:cs="宋体"/>
                <w:color w:val="auto"/>
                <w:sz w:val="24"/>
                <w:szCs w:val="24"/>
                <w:highlight w:val="none"/>
              </w:rPr>
            </w:pPr>
          </w:p>
        </w:tc>
      </w:tr>
      <w:tr w14:paraId="449EC9AE">
        <w:tblPrEx>
          <w:tblCellMar>
            <w:top w:w="0" w:type="dxa"/>
            <w:left w:w="108" w:type="dxa"/>
            <w:bottom w:w="0" w:type="dxa"/>
            <w:right w:w="108" w:type="dxa"/>
          </w:tblCellMar>
        </w:tblPrEx>
        <w:trPr>
          <w:trHeight w:val="826" w:hRule="atLeast"/>
        </w:trPr>
        <w:tc>
          <w:tcPr>
            <w:tcW w:w="2802" w:type="dxa"/>
            <w:tcBorders>
              <w:top w:val="single" w:color="000000" w:sz="4" w:space="0"/>
              <w:left w:val="single" w:color="000000" w:sz="4" w:space="0"/>
              <w:bottom w:val="single" w:color="000000" w:sz="4" w:space="0"/>
              <w:right w:val="single" w:color="000000" w:sz="4" w:space="0"/>
            </w:tcBorders>
            <w:noWrap w:val="0"/>
            <w:vAlign w:val="center"/>
          </w:tcPr>
          <w:p w14:paraId="1E96819C">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c>
          <w:tcPr>
            <w:tcW w:w="7512" w:type="dxa"/>
            <w:tcBorders>
              <w:top w:val="single" w:color="000000" w:sz="4" w:space="0"/>
              <w:left w:val="nil"/>
              <w:bottom w:val="single" w:color="000000" w:sz="4" w:space="0"/>
              <w:right w:val="single" w:color="000000" w:sz="4" w:space="0"/>
            </w:tcBorders>
            <w:noWrap w:val="0"/>
            <w:vAlign w:val="center"/>
          </w:tcPr>
          <w:p w14:paraId="5B66B929">
            <w:pPr>
              <w:widowControl/>
              <w:spacing w:line="360" w:lineRule="auto"/>
              <w:rPr>
                <w:rFonts w:hint="eastAsia" w:ascii="宋体" w:hAnsi="宋体" w:cs="宋体"/>
                <w:color w:val="auto"/>
                <w:sz w:val="24"/>
                <w:szCs w:val="24"/>
                <w:highlight w:val="none"/>
              </w:rPr>
            </w:pPr>
          </w:p>
        </w:tc>
      </w:tr>
    </w:tbl>
    <w:p w14:paraId="5C489D29">
      <w:pPr>
        <w:spacing w:line="360" w:lineRule="auto"/>
        <w:rPr>
          <w:rFonts w:hint="eastAsia" w:ascii="宋体" w:hAnsi="宋体" w:cs="宋体"/>
          <w:color w:val="auto"/>
          <w:sz w:val="24"/>
          <w:szCs w:val="20"/>
          <w:highlight w:val="none"/>
          <w:u w:val="single"/>
        </w:rPr>
      </w:pPr>
      <w:r>
        <w:rPr>
          <w:rFonts w:hint="eastAsia" w:ascii="宋体" w:hAnsi="宋体" w:cs="宋体"/>
          <w:b/>
          <w:color w:val="auto"/>
          <w:sz w:val="24"/>
          <w:szCs w:val="20"/>
          <w:highlight w:val="none"/>
        </w:rPr>
        <w:t xml:space="preserve">注： </w:t>
      </w:r>
      <w:r>
        <w:rPr>
          <w:rFonts w:hint="eastAsia" w:ascii="宋体" w:hAnsi="宋体" w:cs="宋体"/>
          <w:color w:val="auto"/>
          <w:sz w:val="24"/>
          <w:szCs w:val="20"/>
          <w:highlight w:val="none"/>
        </w:rPr>
        <w:t>1、</w:t>
      </w:r>
      <w:r>
        <w:rPr>
          <w:rFonts w:hint="eastAsia" w:ascii="宋体" w:hAnsi="宋体" w:cs="宋体"/>
          <w:color w:val="auto"/>
          <w:sz w:val="24"/>
          <w:szCs w:val="20"/>
          <w:highlight w:val="none"/>
          <w:u w:val="single"/>
        </w:rPr>
        <w:t>“项目总价”包括本次招标要求提供货物和服务本身已支付或将支付的各种税费及所有相关费用；</w:t>
      </w:r>
    </w:p>
    <w:p w14:paraId="1025DE07">
      <w:pPr>
        <w:spacing w:line="360" w:lineRule="auto"/>
        <w:ind w:firstLine="600"/>
        <w:rPr>
          <w:rFonts w:hint="eastAsia" w:ascii="宋体" w:hAnsi="宋体" w:cs="宋体"/>
          <w:bCs/>
          <w:color w:val="auto"/>
          <w:sz w:val="24"/>
          <w:szCs w:val="20"/>
          <w:highlight w:val="none"/>
          <w:u w:val="single"/>
        </w:rPr>
      </w:pPr>
      <w:r>
        <w:rPr>
          <w:rFonts w:hint="eastAsia" w:ascii="宋体" w:hAnsi="宋体" w:cs="宋体"/>
          <w:bCs/>
          <w:color w:val="auto"/>
          <w:sz w:val="24"/>
          <w:szCs w:val="20"/>
          <w:highlight w:val="none"/>
        </w:rPr>
        <w:t>2、</w:t>
      </w:r>
      <w:r>
        <w:rPr>
          <w:rFonts w:hint="eastAsia" w:ascii="宋体" w:hAnsi="宋体" w:cs="宋体"/>
          <w:bCs/>
          <w:color w:val="auto"/>
          <w:sz w:val="24"/>
          <w:szCs w:val="20"/>
          <w:highlight w:val="none"/>
          <w:u w:val="single"/>
          <w:lang w:eastAsia="zh-CN"/>
        </w:rPr>
        <w:t>投标供应商</w:t>
      </w:r>
      <w:r>
        <w:rPr>
          <w:rFonts w:hint="eastAsia" w:ascii="宋体" w:hAnsi="宋体" w:cs="宋体"/>
          <w:bCs/>
          <w:color w:val="auto"/>
          <w:sz w:val="24"/>
          <w:szCs w:val="20"/>
          <w:highlight w:val="none"/>
          <w:u w:val="single"/>
        </w:rPr>
        <w:t>必须据实填写此表，报价所含与</w:t>
      </w:r>
      <w:r>
        <w:rPr>
          <w:rFonts w:hint="eastAsia" w:ascii="宋体" w:hAnsi="宋体" w:cs="宋体"/>
          <w:bCs/>
          <w:color w:val="auto"/>
          <w:sz w:val="24"/>
          <w:szCs w:val="20"/>
          <w:highlight w:val="none"/>
          <w:u w:val="single"/>
          <w:lang w:eastAsia="zh-CN"/>
        </w:rPr>
        <w:t>采购文件</w:t>
      </w:r>
      <w:r>
        <w:rPr>
          <w:rFonts w:hint="eastAsia" w:ascii="宋体" w:hAnsi="宋体" w:cs="宋体"/>
          <w:bCs/>
          <w:color w:val="auto"/>
          <w:sz w:val="24"/>
          <w:szCs w:val="20"/>
          <w:highlight w:val="none"/>
          <w:u w:val="single"/>
        </w:rPr>
        <w:t>要求的内容一致；</w:t>
      </w:r>
    </w:p>
    <w:p w14:paraId="41D7490D">
      <w:pPr>
        <w:spacing w:line="360" w:lineRule="auto"/>
        <w:ind w:firstLine="600"/>
        <w:rPr>
          <w:rFonts w:hint="eastAsia" w:ascii="宋体" w:hAnsi="宋体" w:cs="宋体"/>
          <w:b/>
          <w:bCs w:val="0"/>
          <w:color w:val="auto"/>
          <w:sz w:val="24"/>
          <w:szCs w:val="20"/>
          <w:highlight w:val="none"/>
          <w:u w:val="single"/>
        </w:rPr>
      </w:pPr>
      <w:r>
        <w:rPr>
          <w:rFonts w:hint="eastAsia" w:ascii="宋体" w:hAnsi="宋体" w:cs="宋体"/>
          <w:b/>
          <w:bCs w:val="0"/>
          <w:color w:val="auto"/>
          <w:sz w:val="24"/>
          <w:szCs w:val="20"/>
          <w:highlight w:val="none"/>
        </w:rPr>
        <w:t>3、</w:t>
      </w:r>
      <w:r>
        <w:rPr>
          <w:rFonts w:hint="eastAsia" w:ascii="宋体" w:hAnsi="宋体" w:cs="宋体"/>
          <w:b/>
          <w:bCs w:val="0"/>
          <w:color w:val="auto"/>
          <w:sz w:val="24"/>
          <w:szCs w:val="20"/>
          <w:highlight w:val="none"/>
          <w:u w:val="single"/>
        </w:rPr>
        <w:t>“开标一览表”一式一份（用于唱标），不需装订；</w:t>
      </w:r>
    </w:p>
    <w:p w14:paraId="555B3881">
      <w:pPr>
        <w:spacing w:line="360" w:lineRule="auto"/>
        <w:ind w:firstLine="600"/>
        <w:rPr>
          <w:rFonts w:hint="eastAsia" w:ascii="宋体" w:hAnsi="宋体" w:cs="宋体"/>
          <w:b/>
          <w:bCs w:val="0"/>
          <w:color w:val="auto"/>
          <w:sz w:val="24"/>
          <w:szCs w:val="20"/>
          <w:highlight w:val="none"/>
          <w:u w:val="single"/>
        </w:rPr>
      </w:pPr>
      <w:r>
        <w:rPr>
          <w:rFonts w:hint="eastAsia" w:ascii="宋体" w:hAnsi="宋体" w:cs="宋体"/>
          <w:b/>
          <w:bCs w:val="0"/>
          <w:color w:val="auto"/>
          <w:sz w:val="24"/>
          <w:szCs w:val="20"/>
          <w:highlight w:val="none"/>
        </w:rPr>
        <w:t>4、</w:t>
      </w:r>
      <w:r>
        <w:rPr>
          <w:rFonts w:hint="eastAsia" w:ascii="宋体" w:hAnsi="宋体" w:cs="宋体"/>
          <w:b/>
          <w:bCs w:val="0"/>
          <w:color w:val="auto"/>
          <w:sz w:val="24"/>
          <w:szCs w:val="20"/>
          <w:highlight w:val="none"/>
          <w:u w:val="single"/>
        </w:rPr>
        <w:t>表式相同的“开标（报价）一览表”需装订在投标文件中。</w:t>
      </w:r>
    </w:p>
    <w:p w14:paraId="2C95A172">
      <w:pPr>
        <w:spacing w:line="360" w:lineRule="auto"/>
        <w:ind w:left="482"/>
        <w:rPr>
          <w:rFonts w:hint="eastAsia" w:ascii="宋体" w:hAnsi="宋体" w:cs="宋体"/>
          <w:color w:val="auto"/>
          <w:sz w:val="24"/>
          <w:szCs w:val="24"/>
          <w:highlight w:val="none"/>
        </w:rPr>
      </w:pPr>
    </w:p>
    <w:p w14:paraId="136CA2D9">
      <w:pPr>
        <w:spacing w:line="360" w:lineRule="auto"/>
        <w:ind w:left="482"/>
        <w:rPr>
          <w:rFonts w:hint="eastAsia" w:ascii="宋体" w:hAnsi="宋体" w:cs="宋体"/>
          <w:color w:val="auto"/>
          <w:sz w:val="24"/>
          <w:szCs w:val="24"/>
          <w:highlight w:val="none"/>
        </w:rPr>
      </w:pPr>
    </w:p>
    <w:p w14:paraId="110BFA3B">
      <w:pPr>
        <w:spacing w:line="360" w:lineRule="auto"/>
        <w:ind w:left="482"/>
        <w:rPr>
          <w:rFonts w:hint="eastAsia" w:ascii="宋体" w:hAnsi="宋体" w:cs="宋体"/>
          <w:color w:val="auto"/>
          <w:sz w:val="24"/>
          <w:szCs w:val="24"/>
          <w:highlight w:val="none"/>
        </w:rPr>
      </w:pPr>
    </w:p>
    <w:p w14:paraId="5136D9BC">
      <w:pPr>
        <w:spacing w:line="360" w:lineRule="auto"/>
        <w:ind w:left="482"/>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法定代表人或其委托代理人签字：</w:t>
      </w:r>
    </w:p>
    <w:p w14:paraId="60E1E803">
      <w:pPr>
        <w:spacing w:line="360" w:lineRule="auto"/>
        <w:ind w:left="482"/>
        <w:rPr>
          <w:rFonts w:hint="eastAsia" w:ascii="宋体" w:hAnsi="宋体" w:cs="宋体"/>
          <w:color w:val="auto"/>
          <w:sz w:val="28"/>
          <w:szCs w:val="28"/>
          <w:highlight w:val="none"/>
        </w:rPr>
      </w:pPr>
      <w:r>
        <w:rPr>
          <w:rFonts w:hint="eastAsia" w:ascii="宋体" w:hAnsi="宋体" w:cs="宋体"/>
          <w:color w:val="auto"/>
          <w:sz w:val="28"/>
          <w:szCs w:val="28"/>
          <w:highlight w:val="none"/>
        </w:rPr>
        <w:t>日期：年 月 日</w:t>
      </w:r>
    </w:p>
    <w:p w14:paraId="4814DB81">
      <w:pPr>
        <w:keepNext/>
        <w:keepLines/>
        <w:spacing w:before="260" w:after="260" w:line="360" w:lineRule="auto"/>
        <w:jc w:val="center"/>
        <w:outlineLvl w:val="1"/>
        <w:rPr>
          <w:rFonts w:hint="eastAsia" w:ascii="宋体" w:hAnsi="宋体" w:cs="宋体"/>
          <w:b/>
          <w:color w:val="auto"/>
          <w:sz w:val="44"/>
          <w:szCs w:val="4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44"/>
          <w:szCs w:val="44"/>
          <w:highlight w:val="none"/>
        </w:rPr>
        <w:t>三、明细报价表</w:t>
      </w:r>
    </w:p>
    <w:p w14:paraId="1303361F">
      <w:pPr>
        <w:pStyle w:val="14"/>
        <w:rPr>
          <w:rFonts w:hint="eastAsia" w:eastAsia="宋体"/>
          <w:color w:val="auto"/>
          <w:sz w:val="28"/>
          <w:szCs w:val="28"/>
          <w:highlight w:val="none"/>
          <w:lang w:val="en-US" w:eastAsia="zh-CN"/>
        </w:rPr>
      </w:pPr>
      <w:r>
        <w:rPr>
          <w:rFonts w:hint="eastAsia"/>
          <w:color w:val="auto"/>
          <w:sz w:val="28"/>
          <w:szCs w:val="28"/>
          <w:highlight w:val="none"/>
          <w:lang w:val="en-US" w:eastAsia="zh-CN"/>
        </w:rPr>
        <w:t>单位名称（加盖公章）：</w:t>
      </w:r>
    </w:p>
    <w:tbl>
      <w:tblPr>
        <w:tblStyle w:val="32"/>
        <w:tblW w:w="67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4"/>
        <w:gridCol w:w="2431"/>
        <w:gridCol w:w="744"/>
        <w:gridCol w:w="744"/>
        <w:gridCol w:w="744"/>
        <w:gridCol w:w="744"/>
        <w:gridCol w:w="744"/>
        <w:gridCol w:w="744"/>
        <w:gridCol w:w="701"/>
        <w:gridCol w:w="995"/>
        <w:gridCol w:w="1070"/>
        <w:gridCol w:w="1070"/>
      </w:tblGrid>
      <w:tr w14:paraId="7FC6D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1" w:hRule="atLeast"/>
          <w:tblHeader/>
          <w:jc w:val="center"/>
        </w:trPr>
        <w:tc>
          <w:tcPr>
            <w:tcW w:w="78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C4153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43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7B92AD6">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highlight w:val="none"/>
                <w:u w:val="none"/>
                <w:lang w:val="en-US" w:eastAsia="zh-CN" w:bidi="ar"/>
              </w:rPr>
              <w:t>名称</w:t>
            </w: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02E236">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color w:val="auto"/>
                <w:sz w:val="24"/>
                <w:szCs w:val="24"/>
                <w:highlight w:val="none"/>
              </w:rPr>
              <w:t>品牌</w:t>
            </w: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35231E">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color w:val="auto"/>
                <w:sz w:val="24"/>
                <w:szCs w:val="24"/>
                <w:highlight w:val="none"/>
              </w:rPr>
              <w:t>型号</w:t>
            </w: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5F9004">
            <w:pPr>
              <w:spacing w:before="5"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生产</w:t>
            </w:r>
          </w:p>
          <w:p w14:paraId="4D528C1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color w:val="auto"/>
                <w:sz w:val="24"/>
                <w:szCs w:val="24"/>
                <w:highlight w:val="none"/>
              </w:rPr>
              <w:t>厂家</w:t>
            </w: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7FC7B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color w:val="auto"/>
                <w:sz w:val="24"/>
                <w:szCs w:val="24"/>
                <w:highlight w:val="none"/>
              </w:rPr>
              <w:t>产地</w:t>
            </w: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C90CCC">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7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1F81EB">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0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A4199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99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55CBE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单价（元）</w:t>
            </w:r>
          </w:p>
        </w:tc>
        <w:tc>
          <w:tcPr>
            <w:tcW w:w="1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FB7EB11">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总价（元）</w:t>
            </w:r>
          </w:p>
        </w:tc>
        <w:tc>
          <w:tcPr>
            <w:tcW w:w="1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B712F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4"/>
                <w:szCs w:val="24"/>
                <w:highlight w:val="none"/>
                <w:lang w:val="en-US" w:eastAsia="zh-CN" w:bidi="ar"/>
              </w:rPr>
              <w:t>适配场景（人才培养/大赛/社会培训/多场景）</w:t>
            </w:r>
          </w:p>
        </w:tc>
      </w:tr>
      <w:tr w14:paraId="3EBE0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9AC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26F5C830">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视觉机器人焊接工作站</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24D68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2089BF">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14153F">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668F24">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F4D5B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DF4E75">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A7822B">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16414B5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3BD02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A0CE7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289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BBE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36271532">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产教融合型机器人焊接培训站</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E4E2F">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0AF67C">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7F966B">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FDA91A">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8EC7C6">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9D5853">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3</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959046">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5A83D34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5AA3E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A7B0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FB3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DBE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2F682DEE">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焊接机器人虚拟仿真系统</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874CDC">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5BD79A">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1DEB5">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295E4B">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D0FDE3">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5B15C7">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01A218">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3B9CC2C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A1DD8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8605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C22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4B2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2ED59398">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柔性协作机器人焊接工作站</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799BF4">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2AF8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125B25">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111838">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20BB5D">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729A2A">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2</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633C71">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44E60AC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DF40C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7B01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AE4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0BC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0F951E76">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焊接操作增强训练仪（AR气保焊）GM</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A9D01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7BA6A2">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838D3D">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21F00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D948E9">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874772">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15</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2E9D77">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5D88ABA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92A1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D0E2A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C2C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13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504E917F">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焊接操作增强训练仪（AR焊条焊）SM</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82172">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4BB633">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3F0E48">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580C16">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A54A62">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4DCCA6">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15</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D9BF3">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1017E3C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E8360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7B3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1DC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036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6C31E47B">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国赛用铝合金焊机TIG</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BAC98">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303646">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03C7C4">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F874A9">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91A70">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FBD496">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2</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EE5367">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3E8EC12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B47C0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21AC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F95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AB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0BB868CE">
            <w:pPr>
              <w:wordWrap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国赛用铝合金焊机MIG</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7EED3F">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65A22B">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8A9715">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772AF7">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B22483">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1B5867">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2</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F417B5">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705CFCB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3B611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D7C97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FD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09A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7FE61202">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智能焊接培训系统</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73390D">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3FF48C">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20FB47">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DDF47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6A195C">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AA2ABC">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FF0A21">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7B71DB5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71173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BED3C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511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351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66F91C4E">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气保焊机</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354CB2">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1E6B25">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0BC5F">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30C0D">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95E4C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8D7518">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6</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9D1A8E">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6867A9E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F4BFD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C7E1A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E59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222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1A4BA7A3">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氩弧焊机</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ACCA6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5BD3A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A0EB7E">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0809C9">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F0B63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6E68A0">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6</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7557C2">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套</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4AF0252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E12FB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146C9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94B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FB24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2431" w:type="dxa"/>
            <w:tcBorders>
              <w:top w:val="single" w:color="000000" w:sz="4" w:space="0"/>
              <w:left w:val="single" w:color="000000" w:sz="4" w:space="0"/>
              <w:bottom w:val="single" w:color="000000" w:sz="4" w:space="0"/>
              <w:right w:val="single" w:color="auto" w:sz="4" w:space="0"/>
            </w:tcBorders>
            <w:shd w:val="clear" w:color="auto" w:fill="auto"/>
            <w:vAlign w:val="center"/>
          </w:tcPr>
          <w:p w14:paraId="62DEFC88">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基础建设</w:t>
            </w: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70B33">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F08F11">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DD7486">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515D9D">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D9D135">
            <w:pPr>
              <w:jc w:val="center"/>
              <w:rPr>
                <w:rFonts w:hint="eastAsia" w:ascii="Times New Roman" w:hAnsi="Times New Roman" w:eastAsia="宋体" w:cs="Times New Roman"/>
                <w:color w:val="auto"/>
                <w:sz w:val="20"/>
                <w:szCs w:val="20"/>
                <w:highlight w:val="none"/>
              </w:rPr>
            </w:pPr>
          </w:p>
        </w:tc>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346A40">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1</w:t>
            </w:r>
          </w:p>
        </w:tc>
        <w:tc>
          <w:tcPr>
            <w:tcW w:w="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126EDB">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Times New Roman" w:hAnsi="Times New Roman" w:eastAsia="宋体" w:cs="Times New Roman"/>
                <w:color w:val="auto"/>
                <w:sz w:val="20"/>
                <w:szCs w:val="20"/>
                <w:highlight w:val="none"/>
              </w:rPr>
              <w:t>项</w:t>
            </w:r>
          </w:p>
        </w:tc>
        <w:tc>
          <w:tcPr>
            <w:tcW w:w="995" w:type="dxa"/>
            <w:tcBorders>
              <w:top w:val="single" w:color="auto" w:sz="4" w:space="0"/>
              <w:left w:val="single" w:color="auto" w:sz="4" w:space="0"/>
              <w:bottom w:val="single" w:color="auto" w:sz="4" w:space="0"/>
              <w:right w:val="single" w:color="auto" w:sz="4" w:space="0"/>
            </w:tcBorders>
            <w:shd w:val="clear" w:color="auto" w:fill="auto"/>
            <w:vAlign w:val="center"/>
          </w:tcPr>
          <w:p w14:paraId="02C279D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17BDB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E5887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318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9375" w:type="dxa"/>
            <w:gridSpan w:val="10"/>
            <w:tcBorders>
              <w:top w:val="single" w:color="000000" w:sz="4" w:space="0"/>
              <w:left w:val="single" w:color="000000" w:sz="4" w:space="0"/>
              <w:bottom w:val="single" w:color="000000" w:sz="4" w:space="0"/>
              <w:right w:val="single" w:color="auto" w:sz="4" w:space="0"/>
            </w:tcBorders>
            <w:shd w:val="clear" w:color="auto" w:fill="auto"/>
            <w:vAlign w:val="center"/>
          </w:tcPr>
          <w:p w14:paraId="4C4EC2F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合计（大写）：</w:t>
            </w: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95EA8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小写：  元</w:t>
            </w:r>
          </w:p>
        </w:tc>
        <w:tc>
          <w:tcPr>
            <w:tcW w:w="10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3E52FE">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3672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1515" w:type="dxa"/>
            <w:gridSpan w:val="12"/>
            <w:tcBorders>
              <w:top w:val="single" w:color="000000" w:sz="4" w:space="0"/>
              <w:left w:val="single" w:color="000000" w:sz="4" w:space="0"/>
              <w:bottom w:val="single" w:color="000000" w:sz="4" w:space="0"/>
              <w:right w:val="single" w:color="auto" w:sz="4" w:space="0"/>
            </w:tcBorders>
            <w:shd w:val="clear" w:color="auto" w:fill="auto"/>
            <w:vAlign w:val="center"/>
          </w:tcPr>
          <w:p w14:paraId="69840F8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b/>
                <w:bCs w:val="0"/>
                <w:i w:val="0"/>
                <w:iCs w:val="0"/>
                <w:color w:val="auto"/>
                <w:kern w:val="0"/>
                <w:sz w:val="22"/>
                <w:szCs w:val="22"/>
                <w:highlight w:val="none"/>
                <w:u w:val="none"/>
                <w:lang w:val="en-US" w:eastAsia="zh-CN" w:bidi="ar"/>
              </w:rPr>
            </w:pPr>
            <w:bookmarkStart w:id="118" w:name="_Toc92168048"/>
            <w:r>
              <w:rPr>
                <w:rFonts w:hint="eastAsia" w:ascii="宋体" w:hAnsi="宋体"/>
                <w:b/>
                <w:bCs w:val="0"/>
                <w:color w:val="auto"/>
                <w:sz w:val="24"/>
                <w:szCs w:val="24"/>
                <w:highlight w:val="none"/>
              </w:rPr>
              <w:t>本采购包中提供的符合本国产品标准的产品成本之和占该采购包提供的全部产品成本之和的比例为</w:t>
            </w:r>
            <w:r>
              <w:rPr>
                <w:rFonts w:hint="eastAsia" w:ascii="宋体" w:hAnsi="宋体"/>
                <w:b/>
                <w:bCs w:val="0"/>
                <w:color w:val="auto"/>
                <w:sz w:val="24"/>
                <w:szCs w:val="24"/>
                <w:highlight w:val="none"/>
                <w:u w:val="single"/>
                <w:lang w:val="en-US" w:eastAsia="zh-CN"/>
              </w:rPr>
              <w:t xml:space="preserve">     </w:t>
            </w:r>
            <w:r>
              <w:rPr>
                <w:rFonts w:hint="eastAsia" w:ascii="宋体" w:hAnsi="宋体"/>
                <w:b/>
                <w:bCs w:val="0"/>
                <w:color w:val="auto"/>
                <w:sz w:val="24"/>
                <w:szCs w:val="24"/>
                <w:highlight w:val="none"/>
              </w:rPr>
              <w:t>%。</w:t>
            </w:r>
          </w:p>
        </w:tc>
      </w:tr>
    </w:tbl>
    <w:p w14:paraId="06083FB1">
      <w:pPr>
        <w:spacing w:line="360"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法定代表人或其委托代理人签字：</w:t>
      </w:r>
    </w:p>
    <w:p w14:paraId="7A03D866">
      <w:pPr>
        <w:spacing w:before="260" w:after="260" w:line="360" w:lineRule="auto"/>
        <w:jc w:val="left"/>
        <w:outlineLvl w:val="1"/>
        <w:rPr>
          <w:rFonts w:hint="eastAsia" w:ascii="宋体" w:hAnsi="宋体" w:cs="宋体"/>
          <w:b/>
          <w:color w:val="auto"/>
          <w:sz w:val="36"/>
          <w:szCs w:val="36"/>
          <w:highlight w:val="none"/>
        </w:rPr>
      </w:pPr>
      <w:r>
        <w:rPr>
          <w:rFonts w:hint="eastAsia" w:ascii="宋体" w:hAnsi="宋体" w:cs="宋体"/>
          <w:color w:val="auto"/>
          <w:sz w:val="28"/>
          <w:szCs w:val="28"/>
          <w:highlight w:val="none"/>
        </w:rPr>
        <w:t>日期：年 月 日</w:t>
      </w:r>
    </w:p>
    <w:p w14:paraId="0ECD5CCD">
      <w:pPr>
        <w:spacing w:before="260" w:after="260" w:line="360" w:lineRule="auto"/>
        <w:jc w:val="center"/>
        <w:outlineLvl w:val="1"/>
        <w:rPr>
          <w:rFonts w:hint="eastAsia" w:ascii="宋体" w:hAnsi="宋体" w:cs="宋体"/>
          <w:b/>
          <w:color w:val="auto"/>
          <w:sz w:val="36"/>
          <w:szCs w:val="36"/>
          <w:highlight w:val="none"/>
        </w:rPr>
      </w:pPr>
      <w:r>
        <w:rPr>
          <w:rFonts w:hint="eastAsia" w:ascii="宋体" w:hAnsi="宋体" w:cs="宋体"/>
          <w:b/>
          <w:color w:val="auto"/>
          <w:sz w:val="36"/>
          <w:szCs w:val="36"/>
          <w:highlight w:val="none"/>
        </w:rPr>
        <w:t>四、</w:t>
      </w:r>
      <w:r>
        <w:rPr>
          <w:rFonts w:hint="eastAsia" w:ascii="宋体" w:hAnsi="宋体" w:cs="宋体"/>
          <w:b/>
          <w:color w:val="auto"/>
          <w:sz w:val="36"/>
          <w:szCs w:val="36"/>
          <w:highlight w:val="none"/>
          <w:lang w:eastAsia="zh-CN"/>
        </w:rPr>
        <w:t>投标供应商</w:t>
      </w:r>
      <w:r>
        <w:rPr>
          <w:rFonts w:hint="eastAsia" w:ascii="宋体" w:hAnsi="宋体" w:cs="宋体"/>
          <w:b/>
          <w:color w:val="auto"/>
          <w:sz w:val="36"/>
          <w:szCs w:val="36"/>
          <w:highlight w:val="none"/>
        </w:rPr>
        <w:t>相关信息一览表</w:t>
      </w:r>
    </w:p>
    <w:p w14:paraId="5F7DBE17">
      <w:pPr>
        <w:pStyle w:val="14"/>
        <w:rPr>
          <w:rFonts w:hint="eastAsia" w:eastAsia="宋体"/>
          <w:color w:val="auto"/>
          <w:highlight w:val="none"/>
          <w:lang w:val="en-US" w:eastAsia="zh-CN"/>
        </w:rPr>
      </w:pPr>
      <w:r>
        <w:rPr>
          <w:rFonts w:hint="eastAsia" w:ascii="宋体" w:hAnsi="宋体" w:cs="宋体"/>
          <w:color w:val="auto"/>
          <w:sz w:val="28"/>
          <w:szCs w:val="28"/>
          <w:highlight w:val="none"/>
        </w:rPr>
        <w:t>单位名称（加盖公章）</w:t>
      </w:r>
      <w:r>
        <w:rPr>
          <w:rFonts w:hint="eastAsia" w:ascii="宋体" w:hAnsi="宋体" w:cs="宋体"/>
          <w:color w:val="auto"/>
          <w:sz w:val="28"/>
          <w:szCs w:val="28"/>
          <w:highlight w:val="none"/>
          <w:lang w:val="en-US" w:eastAsia="zh-CN"/>
        </w:rPr>
        <w:t>:</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1259"/>
        <w:gridCol w:w="1398"/>
        <w:gridCol w:w="725"/>
        <w:gridCol w:w="1978"/>
        <w:gridCol w:w="2129"/>
      </w:tblGrid>
      <w:tr w14:paraId="26048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50" w:type="dxa"/>
            <w:shd w:val="clear" w:color="auto" w:fill="D9D9D9"/>
            <w:noWrap w:val="0"/>
            <w:vAlign w:val="center"/>
          </w:tcPr>
          <w:p w14:paraId="0A7E02A5">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一</w:t>
            </w:r>
          </w:p>
        </w:tc>
        <w:tc>
          <w:tcPr>
            <w:tcW w:w="7489" w:type="dxa"/>
            <w:gridSpan w:val="5"/>
            <w:shd w:val="clear" w:color="auto" w:fill="D9D9D9"/>
            <w:noWrap w:val="0"/>
            <w:vAlign w:val="center"/>
          </w:tcPr>
          <w:p w14:paraId="7503F330">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公司基本信息</w:t>
            </w:r>
          </w:p>
        </w:tc>
      </w:tr>
      <w:tr w14:paraId="2BFFF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50" w:type="dxa"/>
            <w:noWrap w:val="0"/>
            <w:vAlign w:val="center"/>
          </w:tcPr>
          <w:p w14:paraId="749B3BE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59" w:type="dxa"/>
            <w:noWrap w:val="0"/>
            <w:vAlign w:val="center"/>
          </w:tcPr>
          <w:p w14:paraId="43A3951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公司名称</w:t>
            </w:r>
          </w:p>
        </w:tc>
        <w:tc>
          <w:tcPr>
            <w:tcW w:w="6230" w:type="dxa"/>
            <w:gridSpan w:val="4"/>
            <w:noWrap w:val="0"/>
            <w:vAlign w:val="center"/>
          </w:tcPr>
          <w:p w14:paraId="645CEA22">
            <w:pPr>
              <w:jc w:val="center"/>
              <w:rPr>
                <w:rFonts w:hint="eastAsia" w:ascii="宋体" w:hAnsi="宋体" w:cs="宋体"/>
                <w:color w:val="auto"/>
                <w:sz w:val="24"/>
                <w:szCs w:val="24"/>
                <w:highlight w:val="none"/>
              </w:rPr>
            </w:pPr>
          </w:p>
        </w:tc>
      </w:tr>
      <w:tr w14:paraId="57497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50" w:type="dxa"/>
            <w:noWrap w:val="0"/>
            <w:vAlign w:val="center"/>
          </w:tcPr>
          <w:p w14:paraId="309E1B9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59" w:type="dxa"/>
            <w:noWrap w:val="0"/>
            <w:vAlign w:val="center"/>
          </w:tcPr>
          <w:p w14:paraId="1AB7EA9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1398" w:type="dxa"/>
            <w:noWrap w:val="0"/>
            <w:vAlign w:val="center"/>
          </w:tcPr>
          <w:p w14:paraId="75E9A7EC">
            <w:pPr>
              <w:jc w:val="center"/>
              <w:rPr>
                <w:rFonts w:hint="eastAsia" w:ascii="宋体" w:hAnsi="宋体" w:cs="宋体"/>
                <w:color w:val="auto"/>
                <w:sz w:val="24"/>
                <w:szCs w:val="24"/>
                <w:highlight w:val="none"/>
              </w:rPr>
            </w:pPr>
          </w:p>
        </w:tc>
        <w:tc>
          <w:tcPr>
            <w:tcW w:w="725" w:type="dxa"/>
            <w:noWrap w:val="0"/>
            <w:vAlign w:val="center"/>
          </w:tcPr>
          <w:p w14:paraId="0E49CDC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978" w:type="dxa"/>
            <w:noWrap w:val="0"/>
            <w:vAlign w:val="center"/>
          </w:tcPr>
          <w:p w14:paraId="5889786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公司地址</w:t>
            </w:r>
          </w:p>
        </w:tc>
        <w:tc>
          <w:tcPr>
            <w:tcW w:w="2129" w:type="dxa"/>
            <w:noWrap w:val="0"/>
            <w:vAlign w:val="center"/>
          </w:tcPr>
          <w:p w14:paraId="799B8939">
            <w:pPr>
              <w:jc w:val="center"/>
              <w:rPr>
                <w:rFonts w:hint="eastAsia" w:ascii="宋体" w:hAnsi="宋体" w:cs="宋体"/>
                <w:color w:val="auto"/>
                <w:sz w:val="24"/>
                <w:szCs w:val="24"/>
                <w:highlight w:val="none"/>
              </w:rPr>
            </w:pPr>
          </w:p>
        </w:tc>
      </w:tr>
      <w:tr w14:paraId="0699D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1050" w:type="dxa"/>
            <w:noWrap w:val="0"/>
            <w:vAlign w:val="center"/>
          </w:tcPr>
          <w:p w14:paraId="613CB3B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59" w:type="dxa"/>
            <w:noWrap w:val="0"/>
            <w:vAlign w:val="center"/>
          </w:tcPr>
          <w:p w14:paraId="5DC278C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从业人数</w:t>
            </w:r>
          </w:p>
        </w:tc>
        <w:tc>
          <w:tcPr>
            <w:tcW w:w="1398" w:type="dxa"/>
            <w:noWrap w:val="0"/>
            <w:vAlign w:val="center"/>
          </w:tcPr>
          <w:p w14:paraId="12A36C37">
            <w:pPr>
              <w:jc w:val="center"/>
              <w:rPr>
                <w:rFonts w:hint="eastAsia" w:ascii="宋体" w:hAnsi="宋体" w:cs="宋体"/>
                <w:color w:val="auto"/>
                <w:sz w:val="24"/>
                <w:szCs w:val="24"/>
                <w:highlight w:val="none"/>
              </w:rPr>
            </w:pPr>
          </w:p>
        </w:tc>
        <w:tc>
          <w:tcPr>
            <w:tcW w:w="725" w:type="dxa"/>
            <w:noWrap w:val="0"/>
            <w:vAlign w:val="center"/>
          </w:tcPr>
          <w:p w14:paraId="0D345E3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978" w:type="dxa"/>
            <w:noWrap w:val="0"/>
            <w:vAlign w:val="center"/>
          </w:tcPr>
          <w:p w14:paraId="6383AC6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129" w:type="dxa"/>
            <w:noWrap w:val="0"/>
            <w:vAlign w:val="center"/>
          </w:tcPr>
          <w:p w14:paraId="6A443CD0">
            <w:pPr>
              <w:jc w:val="center"/>
              <w:rPr>
                <w:rFonts w:hint="eastAsia" w:ascii="宋体" w:hAnsi="宋体" w:cs="宋体"/>
                <w:color w:val="auto"/>
                <w:sz w:val="24"/>
                <w:szCs w:val="24"/>
                <w:highlight w:val="none"/>
              </w:rPr>
            </w:pPr>
          </w:p>
        </w:tc>
      </w:tr>
      <w:tr w14:paraId="34A2D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50" w:type="dxa"/>
            <w:noWrap w:val="0"/>
            <w:vAlign w:val="center"/>
          </w:tcPr>
          <w:p w14:paraId="1CF1FB5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259" w:type="dxa"/>
            <w:noWrap w:val="0"/>
            <w:vAlign w:val="center"/>
          </w:tcPr>
          <w:p w14:paraId="4417A5E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1398" w:type="dxa"/>
            <w:noWrap w:val="0"/>
            <w:vAlign w:val="center"/>
          </w:tcPr>
          <w:p w14:paraId="4BB0828F">
            <w:pPr>
              <w:jc w:val="center"/>
              <w:rPr>
                <w:rFonts w:hint="eastAsia" w:ascii="宋体" w:hAnsi="宋体" w:cs="宋体"/>
                <w:color w:val="auto"/>
                <w:sz w:val="24"/>
                <w:szCs w:val="24"/>
                <w:highlight w:val="none"/>
              </w:rPr>
            </w:pPr>
          </w:p>
        </w:tc>
        <w:tc>
          <w:tcPr>
            <w:tcW w:w="725" w:type="dxa"/>
            <w:noWrap w:val="0"/>
            <w:vAlign w:val="center"/>
          </w:tcPr>
          <w:p w14:paraId="58CB26A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978" w:type="dxa"/>
            <w:noWrap w:val="0"/>
            <w:vAlign w:val="center"/>
          </w:tcPr>
          <w:p w14:paraId="1CABE9F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账号</w:t>
            </w:r>
          </w:p>
        </w:tc>
        <w:tc>
          <w:tcPr>
            <w:tcW w:w="2129" w:type="dxa"/>
            <w:noWrap w:val="0"/>
            <w:vAlign w:val="center"/>
          </w:tcPr>
          <w:p w14:paraId="77076389">
            <w:pPr>
              <w:jc w:val="center"/>
              <w:rPr>
                <w:rFonts w:hint="eastAsia" w:ascii="宋体" w:hAnsi="宋体" w:cs="宋体"/>
                <w:color w:val="auto"/>
                <w:sz w:val="24"/>
                <w:szCs w:val="24"/>
                <w:highlight w:val="none"/>
              </w:rPr>
            </w:pPr>
          </w:p>
        </w:tc>
      </w:tr>
      <w:tr w14:paraId="18FD8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050" w:type="dxa"/>
            <w:noWrap w:val="0"/>
            <w:vAlign w:val="center"/>
          </w:tcPr>
          <w:p w14:paraId="21FF6CD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259" w:type="dxa"/>
            <w:noWrap w:val="0"/>
            <w:vAlign w:val="center"/>
          </w:tcPr>
          <w:p w14:paraId="3DD86E0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p>
        </w:tc>
        <w:tc>
          <w:tcPr>
            <w:tcW w:w="1398" w:type="dxa"/>
            <w:noWrap w:val="0"/>
            <w:vAlign w:val="center"/>
          </w:tcPr>
          <w:p w14:paraId="47681F0E">
            <w:pPr>
              <w:jc w:val="center"/>
              <w:rPr>
                <w:rFonts w:hint="eastAsia" w:ascii="宋体" w:hAnsi="宋体" w:cs="宋体"/>
                <w:color w:val="auto"/>
                <w:sz w:val="24"/>
                <w:szCs w:val="24"/>
                <w:highlight w:val="none"/>
              </w:rPr>
            </w:pPr>
          </w:p>
        </w:tc>
        <w:tc>
          <w:tcPr>
            <w:tcW w:w="725" w:type="dxa"/>
            <w:noWrap w:val="0"/>
            <w:vAlign w:val="center"/>
          </w:tcPr>
          <w:p w14:paraId="743AF2E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1978" w:type="dxa"/>
            <w:noWrap w:val="0"/>
            <w:vAlign w:val="center"/>
          </w:tcPr>
          <w:p w14:paraId="70596D0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tc>
        <w:tc>
          <w:tcPr>
            <w:tcW w:w="2129" w:type="dxa"/>
            <w:noWrap w:val="0"/>
            <w:vAlign w:val="center"/>
          </w:tcPr>
          <w:p w14:paraId="00639037">
            <w:pPr>
              <w:jc w:val="center"/>
              <w:rPr>
                <w:rFonts w:hint="eastAsia" w:ascii="宋体" w:hAnsi="宋体" w:cs="宋体"/>
                <w:color w:val="auto"/>
                <w:sz w:val="24"/>
                <w:szCs w:val="24"/>
                <w:highlight w:val="none"/>
              </w:rPr>
            </w:pPr>
          </w:p>
        </w:tc>
      </w:tr>
      <w:tr w14:paraId="45B4C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50" w:type="dxa"/>
            <w:shd w:val="clear" w:color="auto" w:fill="D9D9D9"/>
            <w:noWrap w:val="0"/>
            <w:vAlign w:val="center"/>
          </w:tcPr>
          <w:p w14:paraId="37347C7A">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二</w:t>
            </w:r>
          </w:p>
        </w:tc>
        <w:tc>
          <w:tcPr>
            <w:tcW w:w="7489" w:type="dxa"/>
            <w:gridSpan w:val="5"/>
            <w:shd w:val="clear" w:color="auto" w:fill="D9D9D9"/>
            <w:noWrap w:val="0"/>
            <w:vAlign w:val="center"/>
          </w:tcPr>
          <w:p w14:paraId="5D68E57A">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公司财务状况</w:t>
            </w:r>
          </w:p>
        </w:tc>
      </w:tr>
      <w:tr w14:paraId="00B70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50" w:type="dxa"/>
            <w:noWrap w:val="0"/>
            <w:vAlign w:val="center"/>
          </w:tcPr>
          <w:p w14:paraId="3ED2646B">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（一）</w:t>
            </w:r>
          </w:p>
        </w:tc>
        <w:tc>
          <w:tcPr>
            <w:tcW w:w="7489" w:type="dxa"/>
            <w:gridSpan w:val="5"/>
            <w:noWrap w:val="0"/>
            <w:vAlign w:val="center"/>
          </w:tcPr>
          <w:p w14:paraId="62100FF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lang w:eastAsia="zh-CN"/>
              </w:rPr>
              <w:t>年度或202</w:t>
            </w: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lang w:eastAsia="zh-CN"/>
              </w:rPr>
              <w:t>年度</w:t>
            </w:r>
            <w:r>
              <w:rPr>
                <w:rFonts w:hint="eastAsia" w:ascii="宋体" w:hAnsi="宋体" w:cs="宋体"/>
                <w:b/>
                <w:color w:val="auto"/>
                <w:sz w:val="24"/>
                <w:szCs w:val="24"/>
                <w:highlight w:val="none"/>
              </w:rPr>
              <w:t>财务状况</w:t>
            </w:r>
          </w:p>
        </w:tc>
      </w:tr>
      <w:tr w14:paraId="7C797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trPr>
        <w:tc>
          <w:tcPr>
            <w:tcW w:w="1050" w:type="dxa"/>
            <w:noWrap w:val="0"/>
            <w:vAlign w:val="center"/>
          </w:tcPr>
          <w:p w14:paraId="7F5AF84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59" w:type="dxa"/>
            <w:noWrap w:val="0"/>
            <w:vAlign w:val="center"/>
          </w:tcPr>
          <w:p w14:paraId="227C9E1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营业收入（万）：</w:t>
            </w:r>
          </w:p>
        </w:tc>
        <w:tc>
          <w:tcPr>
            <w:tcW w:w="1398" w:type="dxa"/>
            <w:noWrap w:val="0"/>
            <w:vAlign w:val="center"/>
          </w:tcPr>
          <w:p w14:paraId="30CFA743">
            <w:pPr>
              <w:jc w:val="center"/>
              <w:rPr>
                <w:rFonts w:hint="eastAsia" w:ascii="宋体" w:hAnsi="宋体" w:cs="宋体"/>
                <w:color w:val="auto"/>
                <w:sz w:val="24"/>
                <w:szCs w:val="24"/>
                <w:highlight w:val="none"/>
              </w:rPr>
            </w:pPr>
          </w:p>
        </w:tc>
        <w:tc>
          <w:tcPr>
            <w:tcW w:w="725" w:type="dxa"/>
            <w:noWrap w:val="0"/>
            <w:vAlign w:val="center"/>
          </w:tcPr>
          <w:p w14:paraId="518E65E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978" w:type="dxa"/>
            <w:noWrap w:val="0"/>
            <w:vAlign w:val="center"/>
          </w:tcPr>
          <w:p w14:paraId="5B33500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利润总额（万）</w:t>
            </w:r>
          </w:p>
        </w:tc>
        <w:tc>
          <w:tcPr>
            <w:tcW w:w="2129" w:type="dxa"/>
            <w:noWrap w:val="0"/>
            <w:vAlign w:val="center"/>
          </w:tcPr>
          <w:p w14:paraId="2CF3E8BD">
            <w:pPr>
              <w:jc w:val="center"/>
              <w:rPr>
                <w:rFonts w:hint="eastAsia" w:ascii="宋体" w:hAnsi="宋体" w:cs="宋体"/>
                <w:color w:val="auto"/>
                <w:sz w:val="24"/>
                <w:szCs w:val="24"/>
                <w:highlight w:val="none"/>
              </w:rPr>
            </w:pPr>
          </w:p>
        </w:tc>
      </w:tr>
      <w:tr w14:paraId="79A5D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1" w:hRule="atLeast"/>
        </w:trPr>
        <w:tc>
          <w:tcPr>
            <w:tcW w:w="1050" w:type="dxa"/>
            <w:noWrap w:val="0"/>
            <w:vAlign w:val="center"/>
          </w:tcPr>
          <w:p w14:paraId="63BEEB7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59" w:type="dxa"/>
            <w:noWrap w:val="0"/>
            <w:vAlign w:val="center"/>
          </w:tcPr>
          <w:p w14:paraId="73F6D22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年末“固定资产合计”（万）</w:t>
            </w:r>
          </w:p>
        </w:tc>
        <w:tc>
          <w:tcPr>
            <w:tcW w:w="1398" w:type="dxa"/>
            <w:noWrap w:val="0"/>
            <w:vAlign w:val="center"/>
          </w:tcPr>
          <w:p w14:paraId="180F12FE">
            <w:pPr>
              <w:jc w:val="center"/>
              <w:rPr>
                <w:rFonts w:hint="eastAsia" w:ascii="宋体" w:hAnsi="宋体" w:cs="宋体"/>
                <w:color w:val="auto"/>
                <w:sz w:val="24"/>
                <w:szCs w:val="24"/>
                <w:highlight w:val="none"/>
              </w:rPr>
            </w:pPr>
          </w:p>
        </w:tc>
        <w:tc>
          <w:tcPr>
            <w:tcW w:w="725" w:type="dxa"/>
            <w:noWrap w:val="0"/>
            <w:vAlign w:val="center"/>
          </w:tcPr>
          <w:p w14:paraId="6371D28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978" w:type="dxa"/>
            <w:noWrap w:val="0"/>
            <w:vAlign w:val="center"/>
          </w:tcPr>
          <w:p w14:paraId="65D6417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年末“流动资产”余额（万）</w:t>
            </w:r>
          </w:p>
        </w:tc>
        <w:tc>
          <w:tcPr>
            <w:tcW w:w="2129" w:type="dxa"/>
            <w:noWrap w:val="0"/>
            <w:vAlign w:val="center"/>
          </w:tcPr>
          <w:p w14:paraId="29B507EF">
            <w:pPr>
              <w:jc w:val="center"/>
              <w:rPr>
                <w:rFonts w:hint="eastAsia" w:ascii="宋体" w:hAnsi="宋体" w:cs="宋体"/>
                <w:color w:val="auto"/>
                <w:sz w:val="24"/>
                <w:szCs w:val="24"/>
                <w:highlight w:val="none"/>
              </w:rPr>
            </w:pPr>
          </w:p>
        </w:tc>
      </w:tr>
      <w:tr w14:paraId="1412B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1" w:hRule="atLeast"/>
        </w:trPr>
        <w:tc>
          <w:tcPr>
            <w:tcW w:w="1050" w:type="dxa"/>
            <w:noWrap w:val="0"/>
            <w:vAlign w:val="center"/>
          </w:tcPr>
          <w:p w14:paraId="435A4F8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259" w:type="dxa"/>
            <w:noWrap w:val="0"/>
            <w:vAlign w:val="center"/>
          </w:tcPr>
          <w:p w14:paraId="3A4024F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年末“短期负债”余额（万）</w:t>
            </w:r>
          </w:p>
        </w:tc>
        <w:tc>
          <w:tcPr>
            <w:tcW w:w="1398" w:type="dxa"/>
            <w:noWrap w:val="0"/>
            <w:vAlign w:val="center"/>
          </w:tcPr>
          <w:p w14:paraId="78E2D111">
            <w:pPr>
              <w:jc w:val="center"/>
              <w:rPr>
                <w:rFonts w:hint="eastAsia" w:ascii="宋体" w:hAnsi="宋体" w:cs="宋体"/>
                <w:color w:val="auto"/>
                <w:sz w:val="24"/>
                <w:szCs w:val="24"/>
                <w:highlight w:val="none"/>
              </w:rPr>
            </w:pPr>
          </w:p>
        </w:tc>
        <w:tc>
          <w:tcPr>
            <w:tcW w:w="725" w:type="dxa"/>
            <w:noWrap w:val="0"/>
            <w:vAlign w:val="center"/>
          </w:tcPr>
          <w:p w14:paraId="519066A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978" w:type="dxa"/>
            <w:noWrap w:val="0"/>
            <w:vAlign w:val="center"/>
          </w:tcPr>
          <w:p w14:paraId="2A05E4C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年末“长期负债”余额（万）</w:t>
            </w:r>
          </w:p>
        </w:tc>
        <w:tc>
          <w:tcPr>
            <w:tcW w:w="2129" w:type="dxa"/>
            <w:noWrap w:val="0"/>
            <w:vAlign w:val="center"/>
          </w:tcPr>
          <w:p w14:paraId="491B7AA0">
            <w:pPr>
              <w:jc w:val="center"/>
              <w:rPr>
                <w:rFonts w:hint="eastAsia" w:ascii="宋体" w:hAnsi="宋体" w:cs="宋体"/>
                <w:color w:val="auto"/>
                <w:sz w:val="24"/>
                <w:szCs w:val="24"/>
                <w:highlight w:val="none"/>
              </w:rPr>
            </w:pPr>
          </w:p>
        </w:tc>
      </w:tr>
      <w:tr w14:paraId="2DB4F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1" w:hRule="atLeast"/>
        </w:trPr>
        <w:tc>
          <w:tcPr>
            <w:tcW w:w="1050" w:type="dxa"/>
            <w:noWrap w:val="0"/>
            <w:vAlign w:val="center"/>
          </w:tcPr>
          <w:p w14:paraId="6D24837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259" w:type="dxa"/>
            <w:noWrap w:val="0"/>
            <w:vAlign w:val="center"/>
          </w:tcPr>
          <w:p w14:paraId="435732E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年末“资产总计”余额（万）</w:t>
            </w:r>
          </w:p>
        </w:tc>
        <w:tc>
          <w:tcPr>
            <w:tcW w:w="1398" w:type="dxa"/>
            <w:noWrap w:val="0"/>
            <w:vAlign w:val="center"/>
          </w:tcPr>
          <w:p w14:paraId="211C427C">
            <w:pPr>
              <w:jc w:val="center"/>
              <w:rPr>
                <w:rFonts w:hint="eastAsia" w:ascii="宋体" w:hAnsi="宋体" w:cs="宋体"/>
                <w:color w:val="auto"/>
                <w:sz w:val="24"/>
                <w:szCs w:val="24"/>
                <w:highlight w:val="none"/>
              </w:rPr>
            </w:pPr>
          </w:p>
        </w:tc>
        <w:tc>
          <w:tcPr>
            <w:tcW w:w="725" w:type="dxa"/>
            <w:noWrap w:val="0"/>
            <w:vAlign w:val="center"/>
          </w:tcPr>
          <w:p w14:paraId="02FB6AA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978" w:type="dxa"/>
            <w:noWrap w:val="0"/>
            <w:vAlign w:val="center"/>
          </w:tcPr>
          <w:p w14:paraId="15E8343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年末“货币资金”余额（万）</w:t>
            </w:r>
          </w:p>
        </w:tc>
        <w:tc>
          <w:tcPr>
            <w:tcW w:w="2129" w:type="dxa"/>
            <w:noWrap w:val="0"/>
            <w:vAlign w:val="center"/>
          </w:tcPr>
          <w:p w14:paraId="2F21BD58">
            <w:pPr>
              <w:jc w:val="center"/>
              <w:rPr>
                <w:rFonts w:hint="eastAsia" w:ascii="宋体" w:hAnsi="宋体" w:cs="宋体"/>
                <w:color w:val="auto"/>
                <w:sz w:val="24"/>
                <w:szCs w:val="24"/>
                <w:highlight w:val="none"/>
              </w:rPr>
            </w:pPr>
          </w:p>
        </w:tc>
      </w:tr>
      <w:tr w14:paraId="5B661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050" w:type="dxa"/>
            <w:shd w:val="clear" w:color="auto" w:fill="BFBFBF"/>
            <w:noWrap w:val="0"/>
            <w:vAlign w:val="center"/>
          </w:tcPr>
          <w:p w14:paraId="01B681F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三</w:t>
            </w:r>
          </w:p>
        </w:tc>
        <w:tc>
          <w:tcPr>
            <w:tcW w:w="7489" w:type="dxa"/>
            <w:gridSpan w:val="5"/>
            <w:shd w:val="clear" w:color="auto" w:fill="BFBFBF"/>
            <w:noWrap w:val="0"/>
            <w:vAlign w:val="center"/>
          </w:tcPr>
          <w:p w14:paraId="292794A4">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提供本项目服务所</w:t>
            </w:r>
            <w:r>
              <w:rPr>
                <w:rFonts w:hint="eastAsia" w:ascii="宋体" w:hAnsi="宋体" w:cs="宋体"/>
                <w:b/>
                <w:color w:val="auto"/>
                <w:sz w:val="24"/>
                <w:szCs w:val="24"/>
                <w:highlight w:val="none"/>
                <w:lang w:eastAsia="zh-CN"/>
              </w:rPr>
              <w:t>必需的</w:t>
            </w:r>
            <w:r>
              <w:rPr>
                <w:rFonts w:hint="eastAsia" w:ascii="宋体" w:hAnsi="宋体" w:cs="宋体"/>
                <w:b/>
                <w:color w:val="auto"/>
                <w:sz w:val="24"/>
                <w:szCs w:val="24"/>
                <w:highlight w:val="none"/>
              </w:rPr>
              <w:t>专业技术能力</w:t>
            </w:r>
          </w:p>
        </w:tc>
      </w:tr>
      <w:tr w14:paraId="63A34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8" w:hRule="atLeast"/>
        </w:trPr>
        <w:tc>
          <w:tcPr>
            <w:tcW w:w="8539" w:type="dxa"/>
            <w:gridSpan w:val="6"/>
            <w:shd w:val="clear" w:color="auto" w:fill="FFFFFF"/>
            <w:noWrap w:val="0"/>
            <w:vAlign w:val="center"/>
          </w:tcPr>
          <w:p w14:paraId="3A4336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60" w:lineRule="exact"/>
              <w:ind w:left="0" w:right="0"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2"/>
                <w:sz w:val="24"/>
                <w:szCs w:val="24"/>
                <w:highlight w:val="none"/>
                <w:lang w:val="en-US" w:eastAsia="zh-CN" w:bidi="ar-SA"/>
              </w:rPr>
              <w:t>如（大赛服务能力</w:t>
            </w:r>
            <w:r>
              <w:rPr>
                <w:rFonts w:hint="eastAsia" w:ascii="宋体" w:hAnsi="宋体" w:cs="宋体"/>
                <w:b/>
                <w:bCs/>
                <w:color w:val="auto"/>
                <w:kern w:val="2"/>
                <w:sz w:val="24"/>
                <w:szCs w:val="24"/>
                <w:highlight w:val="none"/>
                <w:lang w:val="en-US" w:eastAsia="zh-CN" w:bidi="ar-SA"/>
              </w:rPr>
              <w:t>/</w:t>
            </w:r>
            <w:r>
              <w:rPr>
                <w:rFonts w:hint="eastAsia" w:ascii="宋体" w:hAnsi="宋体" w:eastAsia="宋体" w:cs="宋体"/>
                <w:b/>
                <w:bCs/>
                <w:color w:val="auto"/>
                <w:sz w:val="24"/>
                <w:szCs w:val="24"/>
                <w:highlight w:val="none"/>
              </w:rPr>
              <w:t>人才培养服务能力</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社会培训服务能力</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多场景设备适配能力</w:t>
            </w:r>
            <w:r>
              <w:rPr>
                <w:rFonts w:hint="eastAsia" w:ascii="宋体" w:hAnsi="宋体" w:eastAsia="宋体" w:cs="宋体"/>
                <w:b/>
                <w:bCs/>
                <w:color w:val="auto"/>
                <w:sz w:val="24"/>
                <w:szCs w:val="24"/>
                <w:highlight w:val="none"/>
                <w:lang w:eastAsia="zh-CN"/>
              </w:rPr>
              <w:t>）</w:t>
            </w:r>
          </w:p>
          <w:p w14:paraId="11F4EAD6">
            <w:pPr>
              <w:jc w:val="center"/>
              <w:rPr>
                <w:rFonts w:hint="eastAsia" w:ascii="宋体" w:hAnsi="宋体" w:cs="宋体"/>
                <w:b/>
                <w:color w:val="auto"/>
                <w:sz w:val="24"/>
                <w:szCs w:val="24"/>
                <w:highlight w:val="none"/>
              </w:rPr>
            </w:pPr>
          </w:p>
        </w:tc>
      </w:tr>
    </w:tbl>
    <w:p w14:paraId="555793D2">
      <w:pPr>
        <w:rPr>
          <w:rFonts w:hint="eastAsia" w:ascii="宋体" w:hAnsi="宋体" w:cs="宋体"/>
          <w:vanish/>
          <w:color w:val="auto"/>
          <w:highlight w:val="none"/>
        </w:rPr>
      </w:pPr>
    </w:p>
    <w:p w14:paraId="5B233B5C">
      <w:pPr>
        <w:spacing w:line="360" w:lineRule="auto"/>
        <w:ind w:left="360" w:hanging="36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注：1、</w:t>
      </w:r>
      <w:r>
        <w:rPr>
          <w:rFonts w:hint="eastAsia" w:ascii="宋体" w:hAnsi="宋体" w:cs="宋体"/>
          <w:color w:val="auto"/>
          <w:sz w:val="24"/>
          <w:szCs w:val="24"/>
          <w:highlight w:val="none"/>
          <w:u w:val="single"/>
        </w:rPr>
        <w:t>如行数不够请自行添加。</w:t>
      </w:r>
    </w:p>
    <w:p w14:paraId="6181E584">
      <w:pPr>
        <w:spacing w:before="240" w:line="360" w:lineRule="auto"/>
        <w:rPr>
          <w:rFonts w:hint="eastAsia" w:ascii="宋体" w:hAnsi="宋体" w:cs="宋体"/>
          <w:color w:val="auto"/>
          <w:sz w:val="24"/>
          <w:szCs w:val="24"/>
          <w:highlight w:val="none"/>
        </w:rPr>
      </w:pPr>
    </w:p>
    <w:p w14:paraId="58DA353D">
      <w:pPr>
        <w:spacing w:before="240"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                   </w:t>
      </w:r>
    </w:p>
    <w:p w14:paraId="432ACEAF">
      <w:pPr>
        <w:spacing w:before="19" w:line="360" w:lineRule="auto"/>
        <w:ind w:firstLine="562"/>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五</w:t>
      </w:r>
      <w:r>
        <w:rPr>
          <w:rFonts w:hint="eastAsia" w:ascii="宋体" w:hAnsi="宋体" w:cs="宋体"/>
          <w:b/>
          <w:bCs/>
          <w:color w:val="auto"/>
          <w:sz w:val="36"/>
          <w:szCs w:val="36"/>
          <w:highlight w:val="none"/>
        </w:rPr>
        <w:t>、</w:t>
      </w:r>
      <w:r>
        <w:rPr>
          <w:rFonts w:hint="eastAsia" w:ascii="宋体" w:hAnsi="宋体" w:cs="宋体"/>
          <w:b/>
          <w:bCs/>
          <w:color w:val="auto"/>
          <w:sz w:val="36"/>
          <w:szCs w:val="36"/>
          <w:highlight w:val="none"/>
          <w:lang w:val="en-US" w:eastAsia="zh-CN"/>
        </w:rPr>
        <w:t>投标</w:t>
      </w:r>
      <w:r>
        <w:rPr>
          <w:rFonts w:hint="eastAsia" w:ascii="宋体" w:hAnsi="宋体" w:cs="宋体"/>
          <w:b/>
          <w:bCs/>
          <w:color w:val="auto"/>
          <w:sz w:val="36"/>
          <w:szCs w:val="36"/>
          <w:highlight w:val="none"/>
        </w:rPr>
        <w:t>偏离表</w:t>
      </w:r>
    </w:p>
    <w:p w14:paraId="35635CE1">
      <w:pPr>
        <w:jc w:val="left"/>
        <w:rPr>
          <w:rFonts w:hint="eastAsia" w:ascii="宋体" w:hAnsi="宋体" w:eastAsia="宋体" w:cs="宋体"/>
          <w:b/>
          <w:bCs/>
          <w:color w:val="auto"/>
          <w:sz w:val="36"/>
          <w:szCs w:val="36"/>
          <w:highlight w:val="none"/>
          <w:lang w:eastAsia="zh-CN"/>
        </w:rPr>
      </w:pPr>
      <w:r>
        <w:rPr>
          <w:rFonts w:hint="eastAsia" w:ascii="宋体" w:hAnsi="宋体" w:cs="宋体"/>
          <w:color w:val="auto"/>
          <w:sz w:val="28"/>
          <w:szCs w:val="28"/>
          <w:highlight w:val="none"/>
        </w:rPr>
        <w:t>单位名称（加盖公章）</w:t>
      </w:r>
      <w:r>
        <w:rPr>
          <w:rFonts w:hint="eastAsia" w:ascii="宋体" w:hAnsi="宋体" w:cs="宋体"/>
          <w:color w:val="auto"/>
          <w:sz w:val="28"/>
          <w:szCs w:val="28"/>
          <w:highlight w:val="none"/>
          <w:lang w:eastAsia="zh-CN"/>
        </w:rPr>
        <w:t>：</w:t>
      </w:r>
    </w:p>
    <w:tbl>
      <w:tblPr>
        <w:tblStyle w:val="32"/>
        <w:tblpPr w:leftFromText="180" w:rightFromText="180" w:vertAnchor="text" w:horzAnchor="page" w:tblpX="1506" w:tblpY="461"/>
        <w:tblOverlap w:val="never"/>
        <w:tblW w:w="94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545"/>
        <w:gridCol w:w="2454"/>
        <w:gridCol w:w="2155"/>
        <w:gridCol w:w="2359"/>
      </w:tblGrid>
      <w:tr w14:paraId="30D4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91" w:type="dxa"/>
            <w:vAlign w:val="center"/>
          </w:tcPr>
          <w:p w14:paraId="093162BC">
            <w:pPr>
              <w:spacing w:line="400" w:lineRule="exact"/>
              <w:jc w:val="center"/>
              <w:rPr>
                <w:rFonts w:hint="eastAsia" w:ascii="宋体" w:hAnsi="宋体"/>
                <w:color w:val="auto"/>
                <w:spacing w:val="20"/>
                <w:sz w:val="24"/>
                <w:highlight w:val="none"/>
              </w:rPr>
            </w:pPr>
            <w:r>
              <w:rPr>
                <w:rFonts w:hint="eastAsia" w:ascii="宋体" w:hAnsi="宋体"/>
                <w:color w:val="auto"/>
                <w:spacing w:val="20"/>
                <w:sz w:val="24"/>
                <w:highlight w:val="none"/>
              </w:rPr>
              <w:t>序号</w:t>
            </w:r>
          </w:p>
        </w:tc>
        <w:tc>
          <w:tcPr>
            <w:tcW w:w="1545" w:type="dxa"/>
            <w:vAlign w:val="center"/>
          </w:tcPr>
          <w:p w14:paraId="72501326">
            <w:pPr>
              <w:spacing w:line="400" w:lineRule="exact"/>
              <w:jc w:val="center"/>
              <w:rPr>
                <w:rFonts w:hint="eastAsia" w:ascii="宋体" w:hAnsi="宋体"/>
                <w:color w:val="auto"/>
                <w:spacing w:val="20"/>
                <w:sz w:val="24"/>
                <w:highlight w:val="none"/>
              </w:rPr>
            </w:pPr>
            <w:r>
              <w:rPr>
                <w:rFonts w:hint="eastAsia" w:ascii="宋体" w:hAnsi="宋体"/>
                <w:color w:val="auto"/>
                <w:spacing w:val="20"/>
                <w:sz w:val="24"/>
                <w:highlight w:val="none"/>
              </w:rPr>
              <w:t>名称</w:t>
            </w:r>
          </w:p>
        </w:tc>
        <w:tc>
          <w:tcPr>
            <w:tcW w:w="2454" w:type="dxa"/>
            <w:vAlign w:val="center"/>
          </w:tcPr>
          <w:p w14:paraId="43A02E4A">
            <w:pPr>
              <w:spacing w:line="400" w:lineRule="exact"/>
              <w:jc w:val="center"/>
              <w:rPr>
                <w:rFonts w:hint="eastAsia" w:ascii="宋体" w:hAnsi="宋体"/>
                <w:color w:val="auto"/>
                <w:spacing w:val="20"/>
                <w:sz w:val="24"/>
                <w:highlight w:val="none"/>
              </w:rPr>
            </w:pPr>
            <w:r>
              <w:rPr>
                <w:rFonts w:hint="eastAsia" w:ascii="宋体" w:hAnsi="宋体"/>
                <w:color w:val="auto"/>
                <w:spacing w:val="20"/>
                <w:sz w:val="24"/>
                <w:highlight w:val="none"/>
              </w:rPr>
              <w:t>招标技术要求</w:t>
            </w:r>
            <w:r>
              <w:rPr>
                <w:rFonts w:hint="eastAsia" w:ascii="宋体" w:hAnsi="宋体" w:cs="宋体"/>
                <w:color w:val="auto"/>
                <w:sz w:val="24"/>
                <w:szCs w:val="24"/>
                <w:highlight w:val="none"/>
              </w:rPr>
              <w:t>（与</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文件要求一一对应）</w:t>
            </w:r>
          </w:p>
        </w:tc>
        <w:tc>
          <w:tcPr>
            <w:tcW w:w="2155" w:type="dxa"/>
            <w:vAlign w:val="center"/>
          </w:tcPr>
          <w:p w14:paraId="5696A8EE">
            <w:pPr>
              <w:spacing w:line="400" w:lineRule="exact"/>
              <w:jc w:val="center"/>
              <w:rPr>
                <w:rFonts w:hint="eastAsia" w:ascii="宋体" w:hAnsi="宋体"/>
                <w:color w:val="auto"/>
                <w:spacing w:val="20"/>
                <w:sz w:val="24"/>
                <w:highlight w:val="none"/>
              </w:rPr>
            </w:pPr>
            <w:r>
              <w:rPr>
                <w:rFonts w:hint="eastAsia" w:ascii="宋体" w:hAnsi="宋体"/>
                <w:color w:val="auto"/>
                <w:spacing w:val="20"/>
                <w:sz w:val="24"/>
                <w:highlight w:val="none"/>
              </w:rPr>
              <w:t>投标技术指标</w:t>
            </w:r>
          </w:p>
        </w:tc>
        <w:tc>
          <w:tcPr>
            <w:tcW w:w="2359" w:type="dxa"/>
            <w:vAlign w:val="center"/>
          </w:tcPr>
          <w:p w14:paraId="25CB66D0">
            <w:pPr>
              <w:spacing w:line="400" w:lineRule="exact"/>
              <w:jc w:val="center"/>
              <w:rPr>
                <w:rFonts w:hint="eastAsia" w:ascii="宋体" w:hAnsi="宋体"/>
                <w:color w:val="auto"/>
                <w:spacing w:val="20"/>
                <w:sz w:val="24"/>
                <w:highlight w:val="none"/>
              </w:rPr>
            </w:pPr>
            <w:r>
              <w:rPr>
                <w:rFonts w:hint="eastAsia" w:ascii="宋体" w:hAnsi="宋体"/>
                <w:color w:val="auto"/>
                <w:spacing w:val="20"/>
                <w:sz w:val="24"/>
                <w:highlight w:val="none"/>
              </w:rPr>
              <w:t>选择项（正偏离、负偏离或符合）</w:t>
            </w:r>
          </w:p>
        </w:tc>
      </w:tr>
      <w:tr w14:paraId="25AC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0244A0B3">
            <w:pPr>
              <w:spacing w:line="600" w:lineRule="exact"/>
              <w:rPr>
                <w:rFonts w:ascii="宋体" w:hAnsi="宋体"/>
                <w:color w:val="auto"/>
                <w:sz w:val="24"/>
                <w:highlight w:val="none"/>
              </w:rPr>
            </w:pPr>
          </w:p>
        </w:tc>
        <w:tc>
          <w:tcPr>
            <w:tcW w:w="1545" w:type="dxa"/>
            <w:vAlign w:val="top"/>
          </w:tcPr>
          <w:p w14:paraId="2487BA6C">
            <w:pPr>
              <w:spacing w:line="600" w:lineRule="exact"/>
              <w:rPr>
                <w:rFonts w:ascii="宋体" w:hAnsi="宋体"/>
                <w:color w:val="auto"/>
                <w:sz w:val="24"/>
                <w:highlight w:val="none"/>
              </w:rPr>
            </w:pPr>
          </w:p>
        </w:tc>
        <w:tc>
          <w:tcPr>
            <w:tcW w:w="2454" w:type="dxa"/>
            <w:vAlign w:val="top"/>
          </w:tcPr>
          <w:p w14:paraId="6EA07AA3">
            <w:pPr>
              <w:spacing w:line="600" w:lineRule="exact"/>
              <w:rPr>
                <w:rFonts w:ascii="宋体" w:hAnsi="宋体"/>
                <w:color w:val="auto"/>
                <w:sz w:val="24"/>
                <w:highlight w:val="none"/>
              </w:rPr>
            </w:pPr>
          </w:p>
        </w:tc>
        <w:tc>
          <w:tcPr>
            <w:tcW w:w="2155" w:type="dxa"/>
            <w:vAlign w:val="top"/>
          </w:tcPr>
          <w:p w14:paraId="2CFBD621">
            <w:pPr>
              <w:spacing w:line="600" w:lineRule="exact"/>
              <w:rPr>
                <w:rFonts w:ascii="宋体" w:hAnsi="宋体"/>
                <w:color w:val="auto"/>
                <w:sz w:val="24"/>
                <w:highlight w:val="none"/>
              </w:rPr>
            </w:pPr>
          </w:p>
        </w:tc>
        <w:tc>
          <w:tcPr>
            <w:tcW w:w="2359" w:type="dxa"/>
            <w:vAlign w:val="top"/>
          </w:tcPr>
          <w:p w14:paraId="582B2084">
            <w:pPr>
              <w:spacing w:line="600" w:lineRule="exact"/>
              <w:rPr>
                <w:rFonts w:ascii="宋体" w:hAnsi="宋体"/>
                <w:color w:val="auto"/>
                <w:sz w:val="24"/>
                <w:highlight w:val="none"/>
              </w:rPr>
            </w:pPr>
          </w:p>
        </w:tc>
      </w:tr>
      <w:tr w14:paraId="5C01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0274AFFB">
            <w:pPr>
              <w:spacing w:line="600" w:lineRule="exact"/>
              <w:rPr>
                <w:rFonts w:ascii="宋体" w:hAnsi="宋体"/>
                <w:color w:val="auto"/>
                <w:sz w:val="24"/>
                <w:highlight w:val="none"/>
              </w:rPr>
            </w:pPr>
          </w:p>
        </w:tc>
        <w:tc>
          <w:tcPr>
            <w:tcW w:w="1545" w:type="dxa"/>
            <w:vAlign w:val="top"/>
          </w:tcPr>
          <w:p w14:paraId="25B48BBF">
            <w:pPr>
              <w:spacing w:line="600" w:lineRule="exact"/>
              <w:rPr>
                <w:rFonts w:ascii="宋体" w:hAnsi="宋体"/>
                <w:color w:val="auto"/>
                <w:sz w:val="24"/>
                <w:highlight w:val="none"/>
              </w:rPr>
            </w:pPr>
          </w:p>
        </w:tc>
        <w:tc>
          <w:tcPr>
            <w:tcW w:w="2454" w:type="dxa"/>
            <w:vAlign w:val="top"/>
          </w:tcPr>
          <w:p w14:paraId="16C4CD5B">
            <w:pPr>
              <w:spacing w:line="600" w:lineRule="exact"/>
              <w:rPr>
                <w:rFonts w:ascii="宋体" w:hAnsi="宋体"/>
                <w:color w:val="auto"/>
                <w:sz w:val="24"/>
                <w:highlight w:val="none"/>
              </w:rPr>
            </w:pPr>
          </w:p>
        </w:tc>
        <w:tc>
          <w:tcPr>
            <w:tcW w:w="2155" w:type="dxa"/>
            <w:vAlign w:val="top"/>
          </w:tcPr>
          <w:p w14:paraId="28BF1707">
            <w:pPr>
              <w:spacing w:line="600" w:lineRule="exact"/>
              <w:rPr>
                <w:rFonts w:ascii="宋体" w:hAnsi="宋体"/>
                <w:color w:val="auto"/>
                <w:sz w:val="24"/>
                <w:highlight w:val="none"/>
              </w:rPr>
            </w:pPr>
          </w:p>
        </w:tc>
        <w:tc>
          <w:tcPr>
            <w:tcW w:w="2359" w:type="dxa"/>
            <w:vAlign w:val="top"/>
          </w:tcPr>
          <w:p w14:paraId="4D60C900">
            <w:pPr>
              <w:spacing w:line="600" w:lineRule="exact"/>
              <w:rPr>
                <w:rFonts w:ascii="宋体" w:hAnsi="宋体"/>
                <w:color w:val="auto"/>
                <w:sz w:val="24"/>
                <w:highlight w:val="none"/>
              </w:rPr>
            </w:pPr>
          </w:p>
        </w:tc>
      </w:tr>
      <w:tr w14:paraId="30DC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38E24A60">
            <w:pPr>
              <w:spacing w:line="600" w:lineRule="exact"/>
              <w:rPr>
                <w:rFonts w:ascii="宋体" w:hAnsi="宋体"/>
                <w:color w:val="auto"/>
                <w:sz w:val="24"/>
                <w:highlight w:val="none"/>
              </w:rPr>
            </w:pPr>
          </w:p>
        </w:tc>
        <w:tc>
          <w:tcPr>
            <w:tcW w:w="1545" w:type="dxa"/>
            <w:vAlign w:val="top"/>
          </w:tcPr>
          <w:p w14:paraId="1EBE97E7">
            <w:pPr>
              <w:spacing w:line="600" w:lineRule="exact"/>
              <w:rPr>
                <w:rFonts w:ascii="宋体" w:hAnsi="宋体"/>
                <w:color w:val="auto"/>
                <w:sz w:val="24"/>
                <w:highlight w:val="none"/>
              </w:rPr>
            </w:pPr>
          </w:p>
        </w:tc>
        <w:tc>
          <w:tcPr>
            <w:tcW w:w="2454" w:type="dxa"/>
            <w:vAlign w:val="top"/>
          </w:tcPr>
          <w:p w14:paraId="0C6CDC6D">
            <w:pPr>
              <w:spacing w:line="600" w:lineRule="exact"/>
              <w:rPr>
                <w:rFonts w:ascii="宋体" w:hAnsi="宋体"/>
                <w:color w:val="auto"/>
                <w:sz w:val="24"/>
                <w:highlight w:val="none"/>
              </w:rPr>
            </w:pPr>
          </w:p>
        </w:tc>
        <w:tc>
          <w:tcPr>
            <w:tcW w:w="2155" w:type="dxa"/>
            <w:vAlign w:val="top"/>
          </w:tcPr>
          <w:p w14:paraId="7379E42C">
            <w:pPr>
              <w:spacing w:line="600" w:lineRule="exact"/>
              <w:rPr>
                <w:rFonts w:ascii="宋体" w:hAnsi="宋体"/>
                <w:color w:val="auto"/>
                <w:sz w:val="24"/>
                <w:highlight w:val="none"/>
              </w:rPr>
            </w:pPr>
          </w:p>
        </w:tc>
        <w:tc>
          <w:tcPr>
            <w:tcW w:w="2359" w:type="dxa"/>
            <w:vAlign w:val="top"/>
          </w:tcPr>
          <w:p w14:paraId="7013758D">
            <w:pPr>
              <w:spacing w:line="600" w:lineRule="exact"/>
              <w:rPr>
                <w:rFonts w:ascii="宋体" w:hAnsi="宋体"/>
                <w:color w:val="auto"/>
                <w:sz w:val="24"/>
                <w:highlight w:val="none"/>
              </w:rPr>
            </w:pPr>
          </w:p>
        </w:tc>
      </w:tr>
      <w:tr w14:paraId="6ED1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3234AEDD">
            <w:pPr>
              <w:spacing w:line="600" w:lineRule="exact"/>
              <w:rPr>
                <w:rFonts w:ascii="宋体" w:hAnsi="宋体"/>
                <w:color w:val="auto"/>
                <w:sz w:val="24"/>
                <w:highlight w:val="none"/>
              </w:rPr>
            </w:pPr>
          </w:p>
        </w:tc>
        <w:tc>
          <w:tcPr>
            <w:tcW w:w="1545" w:type="dxa"/>
            <w:vAlign w:val="top"/>
          </w:tcPr>
          <w:p w14:paraId="346C075E">
            <w:pPr>
              <w:spacing w:line="600" w:lineRule="exact"/>
              <w:rPr>
                <w:rFonts w:ascii="宋体" w:hAnsi="宋体"/>
                <w:color w:val="auto"/>
                <w:sz w:val="24"/>
                <w:highlight w:val="none"/>
              </w:rPr>
            </w:pPr>
          </w:p>
        </w:tc>
        <w:tc>
          <w:tcPr>
            <w:tcW w:w="2454" w:type="dxa"/>
            <w:vAlign w:val="top"/>
          </w:tcPr>
          <w:p w14:paraId="2F50964B">
            <w:pPr>
              <w:spacing w:line="600" w:lineRule="exact"/>
              <w:rPr>
                <w:rFonts w:ascii="宋体" w:hAnsi="宋体"/>
                <w:color w:val="auto"/>
                <w:sz w:val="24"/>
                <w:highlight w:val="none"/>
              </w:rPr>
            </w:pPr>
          </w:p>
        </w:tc>
        <w:tc>
          <w:tcPr>
            <w:tcW w:w="2155" w:type="dxa"/>
            <w:vAlign w:val="top"/>
          </w:tcPr>
          <w:p w14:paraId="3D91C9D7">
            <w:pPr>
              <w:spacing w:line="600" w:lineRule="exact"/>
              <w:rPr>
                <w:rFonts w:ascii="宋体" w:hAnsi="宋体"/>
                <w:color w:val="auto"/>
                <w:sz w:val="24"/>
                <w:highlight w:val="none"/>
              </w:rPr>
            </w:pPr>
          </w:p>
        </w:tc>
        <w:tc>
          <w:tcPr>
            <w:tcW w:w="2359" w:type="dxa"/>
            <w:vAlign w:val="top"/>
          </w:tcPr>
          <w:p w14:paraId="02688902">
            <w:pPr>
              <w:spacing w:line="600" w:lineRule="exact"/>
              <w:rPr>
                <w:rFonts w:ascii="宋体" w:hAnsi="宋体"/>
                <w:color w:val="auto"/>
                <w:sz w:val="24"/>
                <w:highlight w:val="none"/>
              </w:rPr>
            </w:pPr>
          </w:p>
        </w:tc>
      </w:tr>
      <w:tr w14:paraId="457B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5041B23E">
            <w:pPr>
              <w:spacing w:line="600" w:lineRule="exact"/>
              <w:rPr>
                <w:rFonts w:ascii="宋体" w:hAnsi="宋体"/>
                <w:color w:val="auto"/>
                <w:sz w:val="24"/>
                <w:highlight w:val="none"/>
              </w:rPr>
            </w:pPr>
          </w:p>
        </w:tc>
        <w:tc>
          <w:tcPr>
            <w:tcW w:w="1545" w:type="dxa"/>
            <w:vAlign w:val="top"/>
          </w:tcPr>
          <w:p w14:paraId="6BB843CB">
            <w:pPr>
              <w:spacing w:line="600" w:lineRule="exact"/>
              <w:rPr>
                <w:rFonts w:ascii="宋体" w:hAnsi="宋体"/>
                <w:color w:val="auto"/>
                <w:sz w:val="24"/>
                <w:highlight w:val="none"/>
              </w:rPr>
            </w:pPr>
          </w:p>
        </w:tc>
        <w:tc>
          <w:tcPr>
            <w:tcW w:w="2454" w:type="dxa"/>
            <w:vAlign w:val="top"/>
          </w:tcPr>
          <w:p w14:paraId="42A38ADF">
            <w:pPr>
              <w:spacing w:line="600" w:lineRule="exact"/>
              <w:rPr>
                <w:rFonts w:ascii="宋体" w:hAnsi="宋体"/>
                <w:color w:val="auto"/>
                <w:sz w:val="24"/>
                <w:highlight w:val="none"/>
              </w:rPr>
            </w:pPr>
          </w:p>
        </w:tc>
        <w:tc>
          <w:tcPr>
            <w:tcW w:w="2155" w:type="dxa"/>
            <w:vAlign w:val="top"/>
          </w:tcPr>
          <w:p w14:paraId="2CC77B66">
            <w:pPr>
              <w:spacing w:line="600" w:lineRule="exact"/>
              <w:rPr>
                <w:rFonts w:ascii="宋体" w:hAnsi="宋体"/>
                <w:color w:val="auto"/>
                <w:sz w:val="24"/>
                <w:highlight w:val="none"/>
              </w:rPr>
            </w:pPr>
          </w:p>
        </w:tc>
        <w:tc>
          <w:tcPr>
            <w:tcW w:w="2359" w:type="dxa"/>
            <w:vAlign w:val="top"/>
          </w:tcPr>
          <w:p w14:paraId="3DE21655">
            <w:pPr>
              <w:spacing w:line="600" w:lineRule="exact"/>
              <w:rPr>
                <w:rFonts w:ascii="宋体" w:hAnsi="宋体"/>
                <w:color w:val="auto"/>
                <w:sz w:val="24"/>
                <w:highlight w:val="none"/>
              </w:rPr>
            </w:pPr>
          </w:p>
        </w:tc>
      </w:tr>
      <w:tr w14:paraId="5C82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5E0F3798">
            <w:pPr>
              <w:spacing w:line="600" w:lineRule="exact"/>
              <w:rPr>
                <w:rFonts w:ascii="宋体" w:hAnsi="宋体"/>
                <w:color w:val="auto"/>
                <w:sz w:val="24"/>
                <w:highlight w:val="none"/>
              </w:rPr>
            </w:pPr>
          </w:p>
        </w:tc>
        <w:tc>
          <w:tcPr>
            <w:tcW w:w="1545" w:type="dxa"/>
            <w:vAlign w:val="top"/>
          </w:tcPr>
          <w:p w14:paraId="07D7063F">
            <w:pPr>
              <w:spacing w:line="600" w:lineRule="exact"/>
              <w:rPr>
                <w:rFonts w:ascii="宋体" w:hAnsi="宋体"/>
                <w:color w:val="auto"/>
                <w:sz w:val="24"/>
                <w:highlight w:val="none"/>
              </w:rPr>
            </w:pPr>
          </w:p>
        </w:tc>
        <w:tc>
          <w:tcPr>
            <w:tcW w:w="2454" w:type="dxa"/>
            <w:vAlign w:val="top"/>
          </w:tcPr>
          <w:p w14:paraId="1685A64E">
            <w:pPr>
              <w:spacing w:line="600" w:lineRule="exact"/>
              <w:rPr>
                <w:rFonts w:ascii="宋体" w:hAnsi="宋体"/>
                <w:color w:val="auto"/>
                <w:sz w:val="24"/>
                <w:highlight w:val="none"/>
              </w:rPr>
            </w:pPr>
          </w:p>
        </w:tc>
        <w:tc>
          <w:tcPr>
            <w:tcW w:w="2155" w:type="dxa"/>
            <w:vAlign w:val="top"/>
          </w:tcPr>
          <w:p w14:paraId="2C47974B">
            <w:pPr>
              <w:spacing w:line="600" w:lineRule="exact"/>
              <w:rPr>
                <w:rFonts w:ascii="宋体" w:hAnsi="宋体"/>
                <w:color w:val="auto"/>
                <w:sz w:val="24"/>
                <w:highlight w:val="none"/>
              </w:rPr>
            </w:pPr>
          </w:p>
        </w:tc>
        <w:tc>
          <w:tcPr>
            <w:tcW w:w="2359" w:type="dxa"/>
            <w:vAlign w:val="top"/>
          </w:tcPr>
          <w:p w14:paraId="5803763E">
            <w:pPr>
              <w:spacing w:line="600" w:lineRule="exact"/>
              <w:rPr>
                <w:rFonts w:ascii="宋体" w:hAnsi="宋体"/>
                <w:color w:val="auto"/>
                <w:sz w:val="24"/>
                <w:highlight w:val="none"/>
              </w:rPr>
            </w:pPr>
          </w:p>
        </w:tc>
      </w:tr>
      <w:tr w14:paraId="137F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0DFAF95A">
            <w:pPr>
              <w:spacing w:line="600" w:lineRule="exact"/>
              <w:rPr>
                <w:rFonts w:ascii="宋体" w:hAnsi="宋体"/>
                <w:color w:val="auto"/>
                <w:sz w:val="24"/>
                <w:highlight w:val="none"/>
              </w:rPr>
            </w:pPr>
          </w:p>
        </w:tc>
        <w:tc>
          <w:tcPr>
            <w:tcW w:w="1545" w:type="dxa"/>
            <w:vAlign w:val="top"/>
          </w:tcPr>
          <w:p w14:paraId="482848AB">
            <w:pPr>
              <w:spacing w:line="600" w:lineRule="exact"/>
              <w:rPr>
                <w:rFonts w:ascii="宋体" w:hAnsi="宋体"/>
                <w:color w:val="auto"/>
                <w:sz w:val="24"/>
                <w:highlight w:val="none"/>
              </w:rPr>
            </w:pPr>
          </w:p>
        </w:tc>
        <w:tc>
          <w:tcPr>
            <w:tcW w:w="2454" w:type="dxa"/>
            <w:vAlign w:val="top"/>
          </w:tcPr>
          <w:p w14:paraId="39E9D65D">
            <w:pPr>
              <w:spacing w:line="600" w:lineRule="exact"/>
              <w:rPr>
                <w:rFonts w:ascii="宋体" w:hAnsi="宋体"/>
                <w:color w:val="auto"/>
                <w:sz w:val="24"/>
                <w:highlight w:val="none"/>
              </w:rPr>
            </w:pPr>
          </w:p>
        </w:tc>
        <w:tc>
          <w:tcPr>
            <w:tcW w:w="2155" w:type="dxa"/>
            <w:vAlign w:val="top"/>
          </w:tcPr>
          <w:p w14:paraId="2D43FAA9">
            <w:pPr>
              <w:spacing w:line="600" w:lineRule="exact"/>
              <w:rPr>
                <w:rFonts w:ascii="宋体" w:hAnsi="宋体"/>
                <w:color w:val="auto"/>
                <w:sz w:val="24"/>
                <w:highlight w:val="none"/>
              </w:rPr>
            </w:pPr>
          </w:p>
        </w:tc>
        <w:tc>
          <w:tcPr>
            <w:tcW w:w="2359" w:type="dxa"/>
            <w:vAlign w:val="top"/>
          </w:tcPr>
          <w:p w14:paraId="53EA5EAD">
            <w:pPr>
              <w:spacing w:line="600" w:lineRule="exact"/>
              <w:rPr>
                <w:rFonts w:ascii="宋体" w:hAnsi="宋体"/>
                <w:color w:val="auto"/>
                <w:sz w:val="24"/>
                <w:highlight w:val="none"/>
              </w:rPr>
            </w:pPr>
          </w:p>
        </w:tc>
      </w:tr>
      <w:tr w14:paraId="0220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57553044">
            <w:pPr>
              <w:spacing w:line="600" w:lineRule="exact"/>
              <w:rPr>
                <w:rFonts w:ascii="宋体" w:hAnsi="宋体"/>
                <w:color w:val="auto"/>
                <w:sz w:val="24"/>
                <w:highlight w:val="none"/>
              </w:rPr>
            </w:pPr>
          </w:p>
        </w:tc>
        <w:tc>
          <w:tcPr>
            <w:tcW w:w="1545" w:type="dxa"/>
            <w:vAlign w:val="top"/>
          </w:tcPr>
          <w:p w14:paraId="55564D66">
            <w:pPr>
              <w:spacing w:line="600" w:lineRule="exact"/>
              <w:rPr>
                <w:rFonts w:ascii="宋体" w:hAnsi="宋体"/>
                <w:color w:val="auto"/>
                <w:sz w:val="24"/>
                <w:highlight w:val="none"/>
              </w:rPr>
            </w:pPr>
          </w:p>
        </w:tc>
        <w:tc>
          <w:tcPr>
            <w:tcW w:w="2454" w:type="dxa"/>
            <w:vAlign w:val="top"/>
          </w:tcPr>
          <w:p w14:paraId="0838F85B">
            <w:pPr>
              <w:spacing w:line="600" w:lineRule="exact"/>
              <w:rPr>
                <w:rFonts w:ascii="宋体" w:hAnsi="宋体"/>
                <w:color w:val="auto"/>
                <w:sz w:val="24"/>
                <w:highlight w:val="none"/>
              </w:rPr>
            </w:pPr>
          </w:p>
        </w:tc>
        <w:tc>
          <w:tcPr>
            <w:tcW w:w="2155" w:type="dxa"/>
            <w:vAlign w:val="top"/>
          </w:tcPr>
          <w:p w14:paraId="68A28302">
            <w:pPr>
              <w:spacing w:line="600" w:lineRule="exact"/>
              <w:rPr>
                <w:rFonts w:ascii="宋体" w:hAnsi="宋体"/>
                <w:color w:val="auto"/>
                <w:sz w:val="24"/>
                <w:highlight w:val="none"/>
              </w:rPr>
            </w:pPr>
          </w:p>
        </w:tc>
        <w:tc>
          <w:tcPr>
            <w:tcW w:w="2359" w:type="dxa"/>
            <w:vAlign w:val="top"/>
          </w:tcPr>
          <w:p w14:paraId="1AB58520">
            <w:pPr>
              <w:spacing w:line="600" w:lineRule="exact"/>
              <w:rPr>
                <w:rFonts w:ascii="宋体" w:hAnsi="宋体"/>
                <w:color w:val="auto"/>
                <w:sz w:val="24"/>
                <w:highlight w:val="none"/>
              </w:rPr>
            </w:pPr>
          </w:p>
        </w:tc>
      </w:tr>
      <w:tr w14:paraId="3A2E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43713816">
            <w:pPr>
              <w:spacing w:line="600" w:lineRule="exact"/>
              <w:rPr>
                <w:rFonts w:ascii="宋体" w:hAnsi="宋体"/>
                <w:color w:val="auto"/>
                <w:sz w:val="24"/>
                <w:highlight w:val="none"/>
              </w:rPr>
            </w:pPr>
          </w:p>
        </w:tc>
        <w:tc>
          <w:tcPr>
            <w:tcW w:w="1545" w:type="dxa"/>
            <w:vAlign w:val="top"/>
          </w:tcPr>
          <w:p w14:paraId="31081EE9">
            <w:pPr>
              <w:spacing w:line="600" w:lineRule="exact"/>
              <w:rPr>
                <w:rFonts w:ascii="宋体" w:hAnsi="宋体"/>
                <w:color w:val="auto"/>
                <w:sz w:val="24"/>
                <w:highlight w:val="none"/>
              </w:rPr>
            </w:pPr>
          </w:p>
        </w:tc>
        <w:tc>
          <w:tcPr>
            <w:tcW w:w="2454" w:type="dxa"/>
            <w:vAlign w:val="top"/>
          </w:tcPr>
          <w:p w14:paraId="23681CA3">
            <w:pPr>
              <w:spacing w:line="600" w:lineRule="exact"/>
              <w:rPr>
                <w:rFonts w:ascii="宋体" w:hAnsi="宋体"/>
                <w:color w:val="auto"/>
                <w:sz w:val="24"/>
                <w:highlight w:val="none"/>
              </w:rPr>
            </w:pPr>
          </w:p>
        </w:tc>
        <w:tc>
          <w:tcPr>
            <w:tcW w:w="2155" w:type="dxa"/>
            <w:vAlign w:val="top"/>
          </w:tcPr>
          <w:p w14:paraId="52B6E72C">
            <w:pPr>
              <w:spacing w:line="600" w:lineRule="exact"/>
              <w:rPr>
                <w:rFonts w:ascii="宋体" w:hAnsi="宋体"/>
                <w:color w:val="auto"/>
                <w:sz w:val="24"/>
                <w:highlight w:val="none"/>
              </w:rPr>
            </w:pPr>
          </w:p>
        </w:tc>
        <w:tc>
          <w:tcPr>
            <w:tcW w:w="2359" w:type="dxa"/>
            <w:vAlign w:val="top"/>
          </w:tcPr>
          <w:p w14:paraId="50A36C03">
            <w:pPr>
              <w:spacing w:line="600" w:lineRule="exact"/>
              <w:rPr>
                <w:rFonts w:ascii="宋体" w:hAnsi="宋体"/>
                <w:color w:val="auto"/>
                <w:sz w:val="24"/>
                <w:highlight w:val="none"/>
              </w:rPr>
            </w:pPr>
          </w:p>
        </w:tc>
      </w:tr>
      <w:tr w14:paraId="4710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top"/>
          </w:tcPr>
          <w:p w14:paraId="3AC2FF6A">
            <w:pPr>
              <w:spacing w:line="600" w:lineRule="exact"/>
              <w:rPr>
                <w:rFonts w:ascii="宋体" w:hAnsi="宋体"/>
                <w:color w:val="auto"/>
                <w:sz w:val="24"/>
                <w:highlight w:val="none"/>
              </w:rPr>
            </w:pPr>
          </w:p>
        </w:tc>
        <w:tc>
          <w:tcPr>
            <w:tcW w:w="1545" w:type="dxa"/>
            <w:vAlign w:val="top"/>
          </w:tcPr>
          <w:p w14:paraId="77AFD253">
            <w:pPr>
              <w:spacing w:line="600" w:lineRule="exact"/>
              <w:rPr>
                <w:rFonts w:ascii="宋体" w:hAnsi="宋体"/>
                <w:color w:val="auto"/>
                <w:sz w:val="24"/>
                <w:highlight w:val="none"/>
              </w:rPr>
            </w:pPr>
          </w:p>
        </w:tc>
        <w:tc>
          <w:tcPr>
            <w:tcW w:w="2454" w:type="dxa"/>
            <w:vAlign w:val="top"/>
          </w:tcPr>
          <w:p w14:paraId="37A816AC">
            <w:pPr>
              <w:spacing w:line="600" w:lineRule="exact"/>
              <w:rPr>
                <w:rFonts w:ascii="宋体" w:hAnsi="宋体"/>
                <w:color w:val="auto"/>
                <w:sz w:val="24"/>
                <w:highlight w:val="none"/>
              </w:rPr>
            </w:pPr>
          </w:p>
        </w:tc>
        <w:tc>
          <w:tcPr>
            <w:tcW w:w="2155" w:type="dxa"/>
            <w:vAlign w:val="top"/>
          </w:tcPr>
          <w:p w14:paraId="02AC049C">
            <w:pPr>
              <w:spacing w:line="600" w:lineRule="exact"/>
              <w:rPr>
                <w:rFonts w:ascii="宋体" w:hAnsi="宋体"/>
                <w:color w:val="auto"/>
                <w:sz w:val="24"/>
                <w:highlight w:val="none"/>
              </w:rPr>
            </w:pPr>
          </w:p>
        </w:tc>
        <w:tc>
          <w:tcPr>
            <w:tcW w:w="2359" w:type="dxa"/>
            <w:vAlign w:val="top"/>
          </w:tcPr>
          <w:p w14:paraId="67BF0E10">
            <w:pPr>
              <w:spacing w:line="600" w:lineRule="exact"/>
              <w:rPr>
                <w:rFonts w:ascii="宋体" w:hAnsi="宋体"/>
                <w:color w:val="auto"/>
                <w:sz w:val="24"/>
                <w:highlight w:val="none"/>
              </w:rPr>
            </w:pPr>
          </w:p>
        </w:tc>
      </w:tr>
    </w:tbl>
    <w:p w14:paraId="0A647BFA">
      <w:pPr>
        <w:rPr>
          <w:rFonts w:hint="eastAsia" w:ascii="宋体" w:hAnsi="宋体" w:cs="宋体"/>
          <w:b/>
          <w:color w:val="auto"/>
          <w:sz w:val="28"/>
          <w:szCs w:val="28"/>
          <w:highlight w:val="none"/>
        </w:rPr>
      </w:pPr>
    </w:p>
    <w:p w14:paraId="1097F15D">
      <w:pPr>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注：</w:t>
      </w:r>
      <w:r>
        <w:rPr>
          <w:rFonts w:hint="eastAsia" w:ascii="宋体" w:hAnsi="宋体" w:cs="宋体"/>
          <w:bCs/>
          <w:color w:val="auto"/>
          <w:sz w:val="24"/>
          <w:szCs w:val="24"/>
          <w:highlight w:val="none"/>
        </w:rPr>
        <w:t>1、按照基本技术要求详细填列；</w:t>
      </w:r>
    </w:p>
    <w:p w14:paraId="2E431065">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2、行数不够，可自行添加。</w:t>
      </w:r>
    </w:p>
    <w:p w14:paraId="0CAE0DA6">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3、技术偏离表应针对项目需求逐条应答。</w:t>
      </w:r>
    </w:p>
    <w:p w14:paraId="5DBCF3E3">
      <w:pPr>
        <w:rPr>
          <w:rFonts w:hint="eastAsia" w:ascii="宋体" w:hAnsi="宋体"/>
          <w:color w:val="auto"/>
          <w:sz w:val="28"/>
          <w:szCs w:val="28"/>
          <w:highlight w:val="none"/>
        </w:rPr>
      </w:pPr>
    </w:p>
    <w:p w14:paraId="63807C78">
      <w:pPr>
        <w:pStyle w:val="14"/>
        <w:rPr>
          <w:rFonts w:hint="eastAsia" w:ascii="宋体" w:hAnsi="宋体"/>
          <w:color w:val="auto"/>
          <w:sz w:val="28"/>
          <w:szCs w:val="28"/>
          <w:highlight w:val="none"/>
        </w:rPr>
      </w:pPr>
    </w:p>
    <w:p w14:paraId="0A7EF6F3">
      <w:pPr>
        <w:spacing w:line="360" w:lineRule="auto"/>
        <w:rPr>
          <w:rFonts w:hint="eastAsia" w:ascii="宋体" w:hAnsi="宋体" w:cs="宋体"/>
          <w:color w:val="auto"/>
          <w:sz w:val="28"/>
          <w:szCs w:val="28"/>
          <w:highlight w:val="none"/>
        </w:rPr>
      </w:pPr>
    </w:p>
    <w:p w14:paraId="446B7A95">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法定代表人或其委托代理人签字：</w:t>
      </w:r>
    </w:p>
    <w:p w14:paraId="5BC6242C">
      <w:pPr>
        <w:pStyle w:val="14"/>
        <w:rPr>
          <w:rFonts w:hint="eastAsia" w:ascii="宋体" w:hAnsi="宋体"/>
          <w:color w:val="auto"/>
          <w:sz w:val="28"/>
          <w:szCs w:val="28"/>
          <w:highlight w:val="none"/>
        </w:rPr>
      </w:pPr>
      <w:r>
        <w:rPr>
          <w:rFonts w:hint="eastAsia" w:ascii="宋体" w:hAnsi="宋体" w:cs="宋体"/>
          <w:color w:val="auto"/>
          <w:sz w:val="28"/>
          <w:szCs w:val="28"/>
          <w:highlight w:val="none"/>
        </w:rPr>
        <w:t>日期：年 月 日</w:t>
      </w:r>
    </w:p>
    <w:p w14:paraId="5168ED93">
      <w:pPr>
        <w:spacing w:line="360" w:lineRule="auto"/>
        <w:ind w:firstLine="480"/>
        <w:rPr>
          <w:rFonts w:hint="eastAsia" w:ascii="宋体" w:hAnsi="宋体" w:cs="宋体"/>
          <w:bCs/>
          <w:color w:val="auto"/>
          <w:sz w:val="24"/>
          <w:szCs w:val="24"/>
          <w:highlight w:val="none"/>
        </w:rPr>
      </w:pPr>
    </w:p>
    <w:p w14:paraId="71BF0138">
      <w:pPr>
        <w:keepNext/>
        <w:keepLines/>
        <w:spacing w:before="260" w:after="260" w:line="360" w:lineRule="auto"/>
        <w:jc w:val="center"/>
        <w:outlineLvl w:val="1"/>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六</w:t>
      </w:r>
      <w:r>
        <w:rPr>
          <w:rFonts w:hint="eastAsia" w:ascii="宋体" w:hAnsi="宋体" w:cs="宋体"/>
          <w:b/>
          <w:color w:val="auto"/>
          <w:sz w:val="36"/>
          <w:szCs w:val="36"/>
          <w:highlight w:val="none"/>
        </w:rPr>
        <w:t>、供应商需要提供的证明材料</w:t>
      </w:r>
    </w:p>
    <w:p w14:paraId="19CBFB39">
      <w:pPr>
        <w:spacing w:line="360" w:lineRule="auto"/>
        <w:ind w:firstLine="480"/>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eastAsia="zh-CN"/>
        </w:rPr>
        <w:t>投标供应商</w:t>
      </w:r>
      <w:r>
        <w:rPr>
          <w:rFonts w:hint="eastAsia" w:ascii="宋体" w:hAnsi="宋体" w:cs="宋体"/>
          <w:b w:val="0"/>
          <w:bCs/>
          <w:color w:val="auto"/>
          <w:sz w:val="28"/>
          <w:szCs w:val="28"/>
          <w:highlight w:val="none"/>
        </w:rPr>
        <w:t>资格审查</w:t>
      </w:r>
      <w:r>
        <w:rPr>
          <w:rFonts w:hint="eastAsia" w:ascii="宋体" w:hAnsi="宋体" w:cs="宋体"/>
          <w:b w:val="0"/>
          <w:bCs/>
          <w:color w:val="auto"/>
          <w:sz w:val="28"/>
          <w:szCs w:val="28"/>
          <w:highlight w:val="none"/>
          <w:lang w:val="en-US" w:eastAsia="zh-CN"/>
        </w:rPr>
        <w:t>资料。</w:t>
      </w:r>
    </w:p>
    <w:p w14:paraId="1CF7B4D1">
      <w:pPr>
        <w:spacing w:line="360" w:lineRule="auto"/>
        <w:ind w:firstLine="420"/>
        <w:rPr>
          <w:rFonts w:hint="eastAsia" w:ascii="宋体" w:hAnsi="宋体" w:cs="宋体"/>
          <w:color w:val="auto"/>
          <w:sz w:val="28"/>
          <w:szCs w:val="28"/>
          <w:highlight w:val="none"/>
        </w:rPr>
      </w:pPr>
    </w:p>
    <w:p w14:paraId="4336E300">
      <w:pPr>
        <w:spacing w:line="360" w:lineRule="auto"/>
        <w:ind w:firstLine="361"/>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以上材料复印件须加盖</w:t>
      </w:r>
      <w:r>
        <w:rPr>
          <w:rFonts w:hint="eastAsia" w:ascii="宋体" w:hAnsi="宋体" w:cs="宋体"/>
          <w:b/>
          <w:color w:val="auto"/>
          <w:sz w:val="28"/>
          <w:szCs w:val="28"/>
          <w:highlight w:val="none"/>
          <w:lang w:eastAsia="zh-CN"/>
        </w:rPr>
        <w:t>投标供应商</w:t>
      </w:r>
      <w:r>
        <w:rPr>
          <w:rFonts w:hint="eastAsia" w:ascii="宋体" w:hAnsi="宋体" w:cs="宋体"/>
          <w:b/>
          <w:color w:val="auto"/>
          <w:sz w:val="28"/>
          <w:szCs w:val="28"/>
          <w:highlight w:val="none"/>
        </w:rPr>
        <w:t>公章。</w:t>
      </w:r>
    </w:p>
    <w:p w14:paraId="0E240A92">
      <w:pPr>
        <w:keepNext/>
        <w:keepLines/>
        <w:spacing w:before="260" w:after="260" w:line="360" w:lineRule="auto"/>
        <w:jc w:val="center"/>
        <w:outlineLvl w:val="1"/>
        <w:rPr>
          <w:rFonts w:hint="eastAsia" w:ascii="宋体" w:hAnsi="宋体" w:cs="宋体"/>
          <w:b/>
          <w:color w:val="auto"/>
          <w:sz w:val="36"/>
          <w:szCs w:val="36"/>
          <w:highlight w:val="none"/>
          <w:lang w:val="en-US" w:eastAsia="zh-CN"/>
        </w:rPr>
      </w:pPr>
    </w:p>
    <w:p w14:paraId="3C123346">
      <w:pPr>
        <w:pStyle w:val="14"/>
        <w:rPr>
          <w:rFonts w:hint="eastAsia"/>
          <w:color w:val="auto"/>
          <w:highlight w:val="none"/>
          <w:lang w:val="en-US" w:eastAsia="zh-CN"/>
        </w:rPr>
      </w:pPr>
    </w:p>
    <w:p w14:paraId="65B20095">
      <w:pPr>
        <w:spacing w:before="260" w:after="260" w:line="360" w:lineRule="auto"/>
        <w:jc w:val="center"/>
        <w:rPr>
          <w:rFonts w:hint="eastAsia" w:ascii="宋体" w:hAnsi="宋体" w:cs="宋体"/>
          <w:b/>
          <w:color w:val="auto"/>
          <w:sz w:val="32"/>
          <w:szCs w:val="32"/>
          <w:highlight w:val="none"/>
        </w:rPr>
      </w:pPr>
    </w:p>
    <w:p w14:paraId="6F589BD6">
      <w:pPr>
        <w:spacing w:before="260" w:after="260" w:line="360" w:lineRule="auto"/>
        <w:jc w:val="center"/>
        <w:rPr>
          <w:rFonts w:hint="eastAsia" w:ascii="宋体" w:hAnsi="宋体" w:cs="宋体"/>
          <w:b/>
          <w:color w:val="auto"/>
          <w:sz w:val="32"/>
          <w:szCs w:val="32"/>
          <w:highlight w:val="none"/>
        </w:rPr>
      </w:pPr>
    </w:p>
    <w:p w14:paraId="1889AC94">
      <w:pPr>
        <w:spacing w:before="260" w:after="260" w:line="360" w:lineRule="auto"/>
        <w:jc w:val="center"/>
        <w:rPr>
          <w:rFonts w:hint="eastAsia" w:ascii="宋体" w:hAnsi="宋体" w:cs="宋体"/>
          <w:b/>
          <w:color w:val="auto"/>
          <w:sz w:val="32"/>
          <w:szCs w:val="32"/>
          <w:highlight w:val="none"/>
        </w:rPr>
      </w:pPr>
    </w:p>
    <w:p w14:paraId="3C409CC0">
      <w:pPr>
        <w:spacing w:before="260" w:after="260" w:line="360" w:lineRule="auto"/>
        <w:jc w:val="center"/>
        <w:rPr>
          <w:rFonts w:hint="eastAsia" w:ascii="宋体" w:hAnsi="宋体" w:cs="宋体"/>
          <w:b/>
          <w:color w:val="auto"/>
          <w:sz w:val="32"/>
          <w:szCs w:val="32"/>
          <w:highlight w:val="none"/>
        </w:rPr>
      </w:pPr>
    </w:p>
    <w:p w14:paraId="4CEF3932">
      <w:pPr>
        <w:spacing w:before="260" w:after="260" w:line="360" w:lineRule="auto"/>
        <w:jc w:val="center"/>
        <w:rPr>
          <w:rFonts w:hint="eastAsia" w:ascii="宋体" w:hAnsi="宋体" w:cs="宋体"/>
          <w:b/>
          <w:color w:val="auto"/>
          <w:sz w:val="32"/>
          <w:szCs w:val="32"/>
          <w:highlight w:val="none"/>
        </w:rPr>
      </w:pPr>
    </w:p>
    <w:p w14:paraId="42BFE828">
      <w:pPr>
        <w:spacing w:before="260" w:after="260" w:line="360" w:lineRule="auto"/>
        <w:jc w:val="center"/>
        <w:rPr>
          <w:rFonts w:hint="eastAsia" w:ascii="宋体" w:hAnsi="宋体" w:cs="宋体"/>
          <w:b/>
          <w:color w:val="auto"/>
          <w:sz w:val="32"/>
          <w:szCs w:val="32"/>
          <w:highlight w:val="none"/>
        </w:rPr>
      </w:pPr>
    </w:p>
    <w:p w14:paraId="6E259EC6">
      <w:pPr>
        <w:spacing w:before="260" w:after="260" w:line="360" w:lineRule="auto"/>
        <w:jc w:val="center"/>
        <w:rPr>
          <w:rFonts w:hint="eastAsia" w:ascii="宋体" w:hAnsi="宋体" w:cs="宋体"/>
          <w:b/>
          <w:color w:val="auto"/>
          <w:sz w:val="32"/>
          <w:szCs w:val="32"/>
          <w:highlight w:val="none"/>
        </w:rPr>
      </w:pPr>
    </w:p>
    <w:p w14:paraId="6B600362">
      <w:pPr>
        <w:spacing w:before="260" w:after="260" w:line="360" w:lineRule="auto"/>
        <w:jc w:val="center"/>
        <w:rPr>
          <w:rFonts w:hint="eastAsia" w:ascii="宋体" w:hAnsi="宋体" w:cs="宋体"/>
          <w:b/>
          <w:color w:val="auto"/>
          <w:sz w:val="32"/>
          <w:szCs w:val="32"/>
          <w:highlight w:val="none"/>
        </w:rPr>
      </w:pPr>
    </w:p>
    <w:p w14:paraId="753B2634">
      <w:pPr>
        <w:spacing w:before="260" w:after="260" w:line="360" w:lineRule="auto"/>
        <w:jc w:val="center"/>
        <w:rPr>
          <w:rFonts w:hint="eastAsia" w:ascii="宋体" w:hAnsi="宋体" w:cs="宋体"/>
          <w:b/>
          <w:color w:val="auto"/>
          <w:sz w:val="32"/>
          <w:szCs w:val="32"/>
          <w:highlight w:val="none"/>
        </w:rPr>
      </w:pPr>
    </w:p>
    <w:p w14:paraId="236A57B3">
      <w:pPr>
        <w:spacing w:before="260" w:after="260" w:line="360" w:lineRule="auto"/>
        <w:jc w:val="center"/>
        <w:rPr>
          <w:rFonts w:hint="eastAsia" w:ascii="宋体" w:hAnsi="宋体" w:cs="宋体"/>
          <w:b/>
          <w:color w:val="auto"/>
          <w:sz w:val="32"/>
          <w:szCs w:val="32"/>
          <w:highlight w:val="none"/>
        </w:rPr>
      </w:pPr>
    </w:p>
    <w:p w14:paraId="5E3B7363">
      <w:pPr>
        <w:keepNext/>
        <w:keepLines/>
        <w:spacing w:before="260" w:after="260" w:line="360" w:lineRule="auto"/>
        <w:jc w:val="center"/>
        <w:outlineLvl w:val="1"/>
        <w:rPr>
          <w:rFonts w:hint="eastAsia" w:ascii="宋体" w:hAnsi="宋体" w:cs="宋体"/>
          <w:color w:val="auto"/>
          <w:sz w:val="15"/>
          <w:szCs w:val="15"/>
          <w:highlight w:val="none"/>
        </w:rPr>
      </w:pPr>
      <w:r>
        <w:rPr>
          <w:rFonts w:hint="eastAsia" w:ascii="宋体" w:hAnsi="宋体" w:cs="宋体"/>
          <w:b/>
          <w:color w:val="auto"/>
          <w:sz w:val="36"/>
          <w:szCs w:val="36"/>
          <w:highlight w:val="none"/>
          <w:lang w:val="en-US" w:eastAsia="zh-CN"/>
        </w:rPr>
        <w:t>七</w:t>
      </w:r>
      <w:r>
        <w:rPr>
          <w:rFonts w:hint="eastAsia" w:ascii="宋体" w:hAnsi="宋体" w:cs="宋体"/>
          <w:b/>
          <w:color w:val="auto"/>
          <w:sz w:val="36"/>
          <w:szCs w:val="36"/>
          <w:highlight w:val="none"/>
        </w:rPr>
        <w:t>、法人授权委托书</w:t>
      </w:r>
    </w:p>
    <w:p w14:paraId="6FDE3F37">
      <w:pPr>
        <w:spacing w:line="360" w:lineRule="auto"/>
        <w:ind w:right="420"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投标供应商</w:t>
      </w:r>
      <w:r>
        <w:rPr>
          <w:rFonts w:hint="eastAsia" w:ascii="宋体" w:hAnsi="宋体" w:cs="宋体"/>
          <w:color w:val="auto"/>
          <w:sz w:val="24"/>
          <w:szCs w:val="24"/>
          <w:highlight w:val="none"/>
          <w:u w:val="single"/>
        </w:rPr>
        <w:t xml:space="preserve">名称） </w:t>
      </w: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（姓名） </w:t>
      </w:r>
      <w:r>
        <w:rPr>
          <w:rFonts w:hint="eastAsia" w:ascii="宋体" w:hAnsi="宋体" w:cs="宋体"/>
          <w:color w:val="auto"/>
          <w:sz w:val="24"/>
          <w:szCs w:val="24"/>
          <w:highlight w:val="none"/>
        </w:rPr>
        <w:t>授权</w:t>
      </w:r>
      <w:r>
        <w:rPr>
          <w:rFonts w:hint="eastAsia" w:ascii="宋体" w:hAnsi="宋体" w:cs="宋体"/>
          <w:color w:val="auto"/>
          <w:sz w:val="24"/>
          <w:szCs w:val="24"/>
          <w:highlight w:val="none"/>
          <w:u w:val="single"/>
        </w:rPr>
        <w:t>（委托代理人的姓名、职务）</w:t>
      </w:r>
      <w:r>
        <w:rPr>
          <w:rFonts w:hint="eastAsia" w:ascii="宋体" w:hAnsi="宋体" w:cs="宋体"/>
          <w:color w:val="auto"/>
          <w:sz w:val="24"/>
          <w:szCs w:val="24"/>
          <w:highlight w:val="none"/>
        </w:rPr>
        <w:t>为我方就</w:t>
      </w:r>
      <w:r>
        <w:rPr>
          <w:rFonts w:hint="eastAsia" w:ascii="宋体" w:hAnsi="宋体" w:cs="宋体"/>
          <w:color w:val="auto"/>
          <w:sz w:val="24"/>
          <w:szCs w:val="24"/>
          <w:highlight w:val="none"/>
          <w:u w:val="single"/>
        </w:rPr>
        <w:t xml:space="preserve">             （采购项目名称）</w:t>
      </w:r>
      <w:r>
        <w:rPr>
          <w:rFonts w:hint="eastAsia" w:ascii="宋体" w:hAnsi="宋体" w:cs="宋体"/>
          <w:color w:val="auto"/>
          <w:sz w:val="24"/>
          <w:szCs w:val="24"/>
          <w:highlight w:val="none"/>
        </w:rPr>
        <w:t>的投标活动的合法代理人，以本公司名义全权处理一切与该项目投标有关的事务（含合同签订）。</w:t>
      </w:r>
    </w:p>
    <w:p w14:paraId="31B88311">
      <w:pPr>
        <w:tabs>
          <w:tab w:val="left" w:pos="5560"/>
        </w:tabs>
        <w:spacing w:line="360" w:lineRule="auto"/>
        <w:ind w:firstLine="646"/>
        <w:rPr>
          <w:rFonts w:hint="eastAsia" w:ascii="宋体" w:hAnsi="宋体" w:cs="宋体"/>
          <w:color w:val="auto"/>
          <w:sz w:val="24"/>
          <w:szCs w:val="24"/>
          <w:highlight w:val="none"/>
        </w:rPr>
      </w:pPr>
      <w:r>
        <w:rPr>
          <w:rFonts w:hint="eastAsia" w:ascii="宋体" w:hAnsi="宋体" w:cs="宋体"/>
          <w:color w:val="auto"/>
          <w:sz w:val="24"/>
          <w:szCs w:val="24"/>
          <w:highlight w:val="none"/>
        </w:rPr>
        <w:tab/>
      </w:r>
    </w:p>
    <w:p w14:paraId="0CD08EE0">
      <w:pPr>
        <w:spacing w:line="360" w:lineRule="auto"/>
        <w:ind w:firstLine="645"/>
        <w:rPr>
          <w:rFonts w:hint="eastAsia" w:ascii="宋体" w:hAnsi="宋体" w:cs="宋体"/>
          <w:color w:val="auto"/>
          <w:sz w:val="24"/>
          <w:szCs w:val="24"/>
          <w:highlight w:val="none"/>
        </w:rPr>
      </w:pPr>
      <w:r>
        <w:rPr>
          <w:rFonts w:hint="eastAsia" w:ascii="宋体" w:hAnsi="宋体" w:cs="宋体"/>
          <w:color w:val="auto"/>
          <w:sz w:val="24"/>
          <w:szCs w:val="24"/>
          <w:highlight w:val="none"/>
        </w:rPr>
        <w:t>本授权书于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日签字生效，特此声明。</w:t>
      </w:r>
    </w:p>
    <w:p w14:paraId="4D7B6C14">
      <w:pPr>
        <w:spacing w:line="360" w:lineRule="auto"/>
        <w:ind w:firstLine="645"/>
        <w:rPr>
          <w:rFonts w:hint="eastAsia" w:ascii="宋体" w:hAnsi="宋体" w:cs="宋体"/>
          <w:color w:val="auto"/>
          <w:sz w:val="24"/>
          <w:szCs w:val="24"/>
          <w:highlight w:val="none"/>
        </w:rPr>
      </w:pPr>
    </w:p>
    <w:p w14:paraId="5CEEF8C6">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p>
    <w:p w14:paraId="4931A851">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职    务</w:t>
      </w:r>
      <w:r>
        <w:rPr>
          <w:rFonts w:hint="eastAsia" w:ascii="宋体" w:hAnsi="宋体" w:cs="宋体"/>
          <w:color w:val="auto"/>
          <w:sz w:val="24"/>
          <w:szCs w:val="24"/>
          <w:highlight w:val="none"/>
          <w:u w:val="single"/>
        </w:rPr>
        <w:t xml:space="preserve">：                        </w:t>
      </w:r>
    </w:p>
    <w:p w14:paraId="7E863D6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86F173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委托代理人签字</w:t>
      </w:r>
      <w:r>
        <w:rPr>
          <w:rFonts w:hint="eastAsia" w:ascii="宋体" w:hAnsi="宋体" w:cs="宋体"/>
          <w:color w:val="auto"/>
          <w:sz w:val="24"/>
          <w:szCs w:val="24"/>
          <w:highlight w:val="none"/>
          <w:u w:val="single"/>
        </w:rPr>
        <w:t xml:space="preserve">：              </w:t>
      </w:r>
    </w:p>
    <w:p w14:paraId="4F021FE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职    务</w:t>
      </w:r>
      <w:r>
        <w:rPr>
          <w:rFonts w:hint="eastAsia" w:ascii="宋体" w:hAnsi="宋体" w:cs="宋体"/>
          <w:color w:val="auto"/>
          <w:sz w:val="24"/>
          <w:szCs w:val="24"/>
          <w:highlight w:val="none"/>
          <w:u w:val="single"/>
        </w:rPr>
        <w:t xml:space="preserve">：                         </w:t>
      </w:r>
    </w:p>
    <w:p w14:paraId="0E584A5E">
      <w:pPr>
        <w:spacing w:line="360" w:lineRule="auto"/>
        <w:ind w:firstLine="1260"/>
        <w:rPr>
          <w:rFonts w:hint="eastAsia" w:ascii="宋体" w:hAnsi="宋体" w:cs="宋体"/>
          <w:color w:val="auto"/>
          <w:sz w:val="24"/>
          <w:szCs w:val="24"/>
          <w:highlight w:val="none"/>
        </w:rPr>
      </w:pPr>
    </w:p>
    <w:p w14:paraId="37E0CAEC">
      <w:pPr>
        <w:spacing w:line="360" w:lineRule="auto"/>
        <w:rPr>
          <w:rFonts w:hint="eastAsia" w:ascii="宋体" w:hAnsi="宋体" w:cs="宋体"/>
          <w:color w:val="auto"/>
          <w:sz w:val="24"/>
          <w:szCs w:val="24"/>
          <w:highlight w:val="none"/>
        </w:rPr>
      </w:pPr>
    </w:p>
    <w:p w14:paraId="4EC5235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名称（公章）：</w:t>
      </w:r>
    </w:p>
    <w:p w14:paraId="0AC723DD">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日     期：</w:t>
      </w:r>
    </w:p>
    <w:p w14:paraId="3E106A90">
      <w:pPr>
        <w:spacing w:line="360" w:lineRule="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附：委托代理人居民身份证复印件</w:t>
      </w:r>
    </w:p>
    <w:p w14:paraId="2911E2D7">
      <w:pPr>
        <w:spacing w:before="260" w:after="260" w:line="360" w:lineRule="auto"/>
        <w:jc w:val="left"/>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注：“法定代表人”授权其他人（必须为</w:t>
      </w:r>
      <w:r>
        <w:rPr>
          <w:rFonts w:hint="eastAsia" w:ascii="宋体" w:hAnsi="宋体" w:cs="宋体"/>
          <w:b/>
          <w:color w:val="auto"/>
          <w:sz w:val="24"/>
          <w:szCs w:val="24"/>
          <w:highlight w:val="none"/>
          <w:u w:val="single"/>
          <w:lang w:eastAsia="zh-CN"/>
        </w:rPr>
        <w:t>投标供应商</w:t>
      </w:r>
      <w:r>
        <w:rPr>
          <w:rFonts w:hint="eastAsia" w:ascii="宋体" w:hAnsi="宋体" w:cs="宋体"/>
          <w:b/>
          <w:color w:val="auto"/>
          <w:sz w:val="24"/>
          <w:szCs w:val="24"/>
          <w:highlight w:val="none"/>
          <w:u w:val="single"/>
        </w:rPr>
        <w:t>正式员工）投标的，需填写法定代表人身份证明书和本委托书，委托代理人居民身份证携带备查</w:t>
      </w:r>
      <w:r>
        <w:rPr>
          <w:rFonts w:hint="eastAsia" w:ascii="宋体" w:hAnsi="宋体" w:cs="宋体"/>
          <w:b/>
          <w:color w:val="auto"/>
          <w:sz w:val="24"/>
          <w:szCs w:val="24"/>
          <w:highlight w:val="none"/>
        </w:rPr>
        <w:t>。</w:t>
      </w:r>
    </w:p>
    <w:p w14:paraId="1A99B9AF">
      <w:pPr>
        <w:ind w:firstLine="420"/>
        <w:rPr>
          <w:rFonts w:hint="eastAsia" w:ascii="宋体" w:hAnsi="宋体" w:cs="宋体"/>
          <w:color w:val="auto"/>
          <w:szCs w:val="20"/>
          <w:highlight w:val="none"/>
        </w:rPr>
      </w:pPr>
    </w:p>
    <w:p w14:paraId="6F2646E8">
      <w:pPr>
        <w:keepNext/>
        <w:keepLines/>
        <w:spacing w:before="260" w:after="260" w:line="360" w:lineRule="auto"/>
        <w:jc w:val="center"/>
        <w:outlineLvl w:val="1"/>
        <w:rPr>
          <w:rFonts w:hint="eastAsia" w:ascii="宋体" w:hAnsi="宋体" w:cs="宋体"/>
          <w:b/>
          <w:color w:val="auto"/>
          <w:sz w:val="36"/>
          <w:szCs w:val="36"/>
          <w:highlight w:val="none"/>
          <w:u w:val="single"/>
        </w:rPr>
      </w:pPr>
      <w:r>
        <w:rPr>
          <w:rFonts w:hint="eastAsia" w:ascii="宋体" w:hAnsi="宋体" w:cs="宋体"/>
          <w:b/>
          <w:color w:val="auto"/>
          <w:sz w:val="32"/>
          <w:szCs w:val="20"/>
          <w:highlight w:val="none"/>
        </w:rPr>
        <w:br w:type="page" w:clear="all"/>
      </w:r>
      <w:r>
        <w:rPr>
          <w:rFonts w:hint="eastAsia" w:ascii="宋体" w:hAnsi="宋体" w:cs="宋体"/>
          <w:b/>
          <w:color w:val="auto"/>
          <w:sz w:val="36"/>
          <w:szCs w:val="36"/>
          <w:highlight w:val="none"/>
          <w:lang w:val="en-US" w:eastAsia="zh-CN"/>
        </w:rPr>
        <w:t>八</w:t>
      </w:r>
      <w:r>
        <w:rPr>
          <w:rFonts w:hint="eastAsia" w:ascii="宋体" w:hAnsi="宋体" w:cs="宋体"/>
          <w:b/>
          <w:color w:val="auto"/>
          <w:sz w:val="36"/>
          <w:szCs w:val="36"/>
          <w:highlight w:val="none"/>
        </w:rPr>
        <w:t>、法定代表人身份证明书</w:t>
      </w:r>
    </w:p>
    <w:p w14:paraId="28B27441">
      <w:pPr>
        <w:spacing w:line="360" w:lineRule="auto"/>
        <w:ind w:firstLine="700"/>
        <w:rPr>
          <w:rFonts w:hint="eastAsia" w:ascii="宋体" w:hAnsi="宋体" w:cs="宋体"/>
          <w:color w:val="auto"/>
          <w:sz w:val="28"/>
          <w:szCs w:val="28"/>
          <w:highlight w:val="none"/>
        </w:rPr>
      </w:pPr>
      <w:r>
        <w:rPr>
          <w:rFonts w:hint="eastAsia" w:ascii="宋体" w:hAnsi="宋体" w:cs="宋体"/>
          <w:color w:val="auto"/>
          <w:sz w:val="28"/>
          <w:szCs w:val="28"/>
          <w:highlight w:val="none"/>
        </w:rPr>
        <w:t>兹证明</w:t>
      </w:r>
      <w:r>
        <w:rPr>
          <w:rFonts w:hint="eastAsia" w:ascii="宋体" w:hAnsi="宋体" w:cs="宋体"/>
          <w:color w:val="auto"/>
          <w:sz w:val="28"/>
          <w:szCs w:val="28"/>
          <w:highlight w:val="none"/>
          <w:u w:val="single"/>
        </w:rPr>
        <w:t xml:space="preserve"> （姓名） </w:t>
      </w:r>
      <w:r>
        <w:rPr>
          <w:rFonts w:hint="eastAsia" w:ascii="宋体" w:hAnsi="宋体" w:cs="宋体"/>
          <w:color w:val="auto"/>
          <w:sz w:val="28"/>
          <w:szCs w:val="28"/>
          <w:highlight w:val="none"/>
        </w:rPr>
        <w:t>同志，性别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，居民身份证号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，在我单位任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职务，系我单位主要负责人即法定代表人。</w:t>
      </w:r>
    </w:p>
    <w:p w14:paraId="606288C3">
      <w:pPr>
        <w:spacing w:line="360" w:lineRule="auto"/>
        <w:rPr>
          <w:rFonts w:hint="eastAsia" w:ascii="宋体" w:hAnsi="宋体" w:cs="宋体"/>
          <w:color w:val="auto"/>
          <w:sz w:val="28"/>
          <w:szCs w:val="28"/>
          <w:highlight w:val="none"/>
        </w:rPr>
      </w:pPr>
    </w:p>
    <w:p w14:paraId="6F4D9DB5">
      <w:pPr>
        <w:spacing w:line="360" w:lineRule="auto"/>
        <w:rPr>
          <w:rFonts w:hint="eastAsia" w:ascii="宋体" w:hAnsi="宋体" w:cs="宋体"/>
          <w:color w:val="auto"/>
          <w:sz w:val="28"/>
          <w:szCs w:val="28"/>
          <w:highlight w:val="none"/>
        </w:rPr>
      </w:pPr>
    </w:p>
    <w:p w14:paraId="50F2911A">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单位地址：</w:t>
      </w:r>
    </w:p>
    <w:p w14:paraId="7194B99D">
      <w:pPr>
        <w:spacing w:line="360" w:lineRule="auto"/>
        <w:rPr>
          <w:rFonts w:hint="eastAsia" w:ascii="宋体" w:hAnsi="宋体" w:cs="宋体"/>
          <w:color w:val="auto"/>
          <w:sz w:val="28"/>
          <w:szCs w:val="28"/>
          <w:highlight w:val="none"/>
        </w:rPr>
      </w:pPr>
    </w:p>
    <w:p w14:paraId="5D0A84AD">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电    话：</w:t>
      </w:r>
    </w:p>
    <w:p w14:paraId="1FC8DF16">
      <w:pPr>
        <w:spacing w:line="360" w:lineRule="auto"/>
        <w:rPr>
          <w:rFonts w:hint="eastAsia" w:ascii="宋体" w:hAnsi="宋体" w:cs="宋体"/>
          <w:color w:val="auto"/>
          <w:sz w:val="28"/>
          <w:szCs w:val="28"/>
          <w:highlight w:val="none"/>
        </w:rPr>
      </w:pPr>
    </w:p>
    <w:p w14:paraId="111EDCBC">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单位全称： </w:t>
      </w:r>
    </w:p>
    <w:p w14:paraId="1DE2C69A">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5943AA76">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单位盖章： </w:t>
      </w:r>
    </w:p>
    <w:p w14:paraId="59E7879A">
      <w:pPr>
        <w:spacing w:line="360" w:lineRule="auto"/>
        <w:jc w:val="center"/>
        <w:rPr>
          <w:rFonts w:hint="eastAsia" w:ascii="宋体" w:hAnsi="宋体" w:cs="宋体"/>
          <w:color w:val="auto"/>
          <w:sz w:val="28"/>
          <w:szCs w:val="28"/>
          <w:highlight w:val="none"/>
        </w:rPr>
      </w:pPr>
    </w:p>
    <w:p w14:paraId="44E2DF8F">
      <w:pPr>
        <w:spacing w:line="360" w:lineRule="auto"/>
        <w:jc w:val="right"/>
        <w:rPr>
          <w:rFonts w:hint="eastAsia" w:ascii="宋体" w:hAnsi="宋体" w:cs="宋体"/>
          <w:color w:val="auto"/>
          <w:sz w:val="28"/>
          <w:szCs w:val="28"/>
          <w:highlight w:val="none"/>
        </w:rPr>
      </w:pPr>
    </w:p>
    <w:p w14:paraId="0C70CDA4">
      <w:pPr>
        <w:tabs>
          <w:tab w:val="left" w:pos="7290"/>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年     月    日</w:t>
      </w:r>
    </w:p>
    <w:p w14:paraId="0566E1BF">
      <w:pPr>
        <w:spacing w:line="360" w:lineRule="auto"/>
        <w:rPr>
          <w:rFonts w:hint="eastAsia" w:ascii="宋体" w:hAnsi="宋体" w:cs="宋体"/>
          <w:color w:val="auto"/>
          <w:sz w:val="28"/>
          <w:szCs w:val="28"/>
          <w:highlight w:val="none"/>
        </w:rPr>
      </w:pPr>
    </w:p>
    <w:p w14:paraId="0E059FB2">
      <w:pPr>
        <w:spacing w:line="360" w:lineRule="auto"/>
        <w:rPr>
          <w:rFonts w:hint="eastAsia" w:ascii="宋体" w:hAnsi="宋体" w:cs="宋体"/>
          <w:color w:val="auto"/>
          <w:sz w:val="28"/>
          <w:szCs w:val="28"/>
          <w:highlight w:val="none"/>
        </w:rPr>
      </w:pPr>
    </w:p>
    <w:p w14:paraId="6530F18F">
      <w:pPr>
        <w:spacing w:line="360" w:lineRule="auto"/>
        <w:rPr>
          <w:rFonts w:hint="eastAsia" w:ascii="宋体" w:hAnsi="宋体" w:cs="宋体"/>
          <w:color w:val="auto"/>
          <w:sz w:val="28"/>
          <w:szCs w:val="28"/>
          <w:highlight w:val="none"/>
        </w:rPr>
      </w:pPr>
    </w:p>
    <w:p w14:paraId="690BCC8B">
      <w:pPr>
        <w:spacing w:line="360" w:lineRule="auto"/>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附：法定代表人居民身份证复印件</w:t>
      </w:r>
    </w:p>
    <w:p w14:paraId="6517103D">
      <w:pPr>
        <w:tabs>
          <w:tab w:val="left" w:pos="7290"/>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注：1、“法定代表人”直接参加投标响应活动的仅需填写本身份证明</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个人居民身份证携带备查</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法定代表人印章与其签字效力等同。</w:t>
      </w:r>
    </w:p>
    <w:p w14:paraId="35595324">
      <w:pPr>
        <w:keepNext/>
        <w:keepLines/>
        <w:spacing w:before="260" w:after="260" w:line="360" w:lineRule="auto"/>
        <w:jc w:val="center"/>
        <w:outlineLvl w:val="1"/>
        <w:rPr>
          <w:rFonts w:hint="eastAsia" w:ascii="宋体" w:hAnsi="宋体" w:cs="宋体"/>
          <w:b/>
          <w:color w:val="auto"/>
          <w:sz w:val="32"/>
          <w:szCs w:val="32"/>
          <w:highlight w:val="none"/>
        </w:rPr>
      </w:pPr>
      <w:r>
        <w:rPr>
          <w:rFonts w:hint="eastAsia" w:ascii="宋体" w:hAnsi="宋体" w:cs="宋体"/>
          <w:b/>
          <w:color w:val="auto"/>
          <w:sz w:val="28"/>
          <w:szCs w:val="24"/>
          <w:highlight w:val="none"/>
        </w:rPr>
        <w:br w:type="page" w:clear="all"/>
      </w:r>
      <w:r>
        <w:rPr>
          <w:rFonts w:hint="eastAsia" w:ascii="宋体" w:hAnsi="宋体" w:cs="宋体"/>
          <w:b/>
          <w:color w:val="auto"/>
          <w:sz w:val="36"/>
          <w:szCs w:val="36"/>
          <w:highlight w:val="none"/>
          <w:lang w:val="en-US" w:eastAsia="zh-CN"/>
        </w:rPr>
        <w:t>九</w:t>
      </w:r>
      <w:r>
        <w:rPr>
          <w:rFonts w:hint="eastAsia" w:ascii="宋体" w:hAnsi="宋体" w:cs="宋体"/>
          <w:b/>
          <w:color w:val="auto"/>
          <w:sz w:val="36"/>
          <w:szCs w:val="36"/>
          <w:highlight w:val="none"/>
        </w:rPr>
        <w:t>、中小企业声明函（货物）</w:t>
      </w:r>
    </w:p>
    <w:p w14:paraId="460CA790">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本公司（联合体）郑重声明，根据《政府采购促进中小企业发展管理办法》（财库﹝2020﹞46 号）的规定，本公司（联合体）参加</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（单位名称）的</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 xml:space="preserve">（项目名称）采购活动，提供的货物全部由符合政策要求的中小企业制造。相关企业（含联合体中的中小企业、签订分包意向协议的中小企业） 的具体情况如下： </w:t>
      </w:r>
    </w:p>
    <w:p w14:paraId="4DE845FD">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1、</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（标的名称） ，属于</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（采购文件中明确的所属行业）行业；制造商为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（企业名称），从业人员</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人，营业收入为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rPr>
        <w:tab/>
      </w:r>
      <w:r>
        <w:rPr>
          <w:rFonts w:hint="eastAsia" w:ascii="宋体" w:hAnsi="宋体" w:cs="宋体"/>
          <w:bCs/>
          <w:color w:val="auto"/>
          <w:sz w:val="30"/>
          <w:szCs w:val="30"/>
          <w:highlight w:val="none"/>
        </w:rPr>
        <w:t>万元，资产总额为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万元①，属于</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（中型企业、小型企业、微型企业）；</w:t>
      </w:r>
    </w:p>
    <w:p w14:paraId="00781074">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2、</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（标的名称） ，属于</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（采购文件中明确的所属行业）行业；制造商为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（企业名称），从业人员</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人，营业收入为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rPr>
        <w:tab/>
      </w:r>
      <w:r>
        <w:rPr>
          <w:rFonts w:hint="eastAsia" w:ascii="宋体" w:hAnsi="宋体" w:cs="宋体"/>
          <w:bCs/>
          <w:color w:val="auto"/>
          <w:sz w:val="30"/>
          <w:szCs w:val="30"/>
          <w:highlight w:val="none"/>
        </w:rPr>
        <w:t>万元，资产总额为</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万元①，属于</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rPr>
        <w:t>（中型企业、小型企业、微型企业）；</w:t>
      </w:r>
    </w:p>
    <w:p w14:paraId="6B9C5158">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w:t>
      </w:r>
    </w:p>
    <w:p w14:paraId="276038CB">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以上企业，不属于大企业的分支机构，不存在控股股东为大企业的情形，也不存在与大企业的负责人为同一人的情形。</w:t>
      </w:r>
    </w:p>
    <w:p w14:paraId="7CBDEC31">
      <w:pPr>
        <w:spacing w:line="560" w:lineRule="exact"/>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t>本企业对上述声明内容的真实性负责。如有虚假，将依法承担相应责任。</w:t>
      </w:r>
    </w:p>
    <w:p w14:paraId="09DD23D9">
      <w:pPr>
        <w:spacing w:line="360" w:lineRule="auto"/>
        <w:jc w:val="center"/>
        <w:rPr>
          <w:rFonts w:hint="eastAsia" w:ascii="宋体" w:hAnsi="宋体" w:cs="宋体"/>
          <w:color w:val="auto"/>
          <w:sz w:val="28"/>
          <w:szCs w:val="20"/>
          <w:highlight w:val="none"/>
          <w:u w:val="single"/>
        </w:rPr>
      </w:pPr>
      <w:r>
        <w:rPr>
          <w:rFonts w:hint="eastAsia" w:ascii="宋体" w:hAnsi="宋体" w:cs="宋体"/>
          <w:bCs/>
          <w:color w:val="auto"/>
          <w:sz w:val="30"/>
          <w:szCs w:val="30"/>
          <w:highlight w:val="none"/>
        </w:rPr>
        <w:t>企业名称（盖章）：      日期：</w:t>
      </w:r>
    </w:p>
    <w:p w14:paraId="36EC4A8E">
      <w:pPr>
        <w:rPr>
          <w:rFonts w:hint="eastAsia" w:ascii="宋体" w:hAnsi="宋体" w:cs="宋体"/>
          <w:color w:val="auto"/>
          <w:szCs w:val="24"/>
          <w:highlight w:val="none"/>
        </w:rPr>
      </w:pPr>
    </w:p>
    <w:p w14:paraId="2E505755">
      <w:pPr>
        <w:numPr>
          <w:ilvl w:val="0"/>
          <w:numId w:val="17"/>
        </w:numPr>
        <w:spacing w:before="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从业人员、营业收入、资产总额填报上一年度数据，无上一年度数据的新成立企业可不填报。</w:t>
      </w:r>
    </w:p>
    <w:p w14:paraId="602F0C72">
      <w:pPr>
        <w:spacing w:line="360" w:lineRule="auto"/>
        <w:jc w:val="left"/>
        <w:rPr>
          <w:rFonts w:hint="eastAsia" w:ascii="宋体" w:hAnsi="宋体" w:cs="宋体"/>
          <w:color w:val="auto"/>
          <w:szCs w:val="20"/>
          <w:highlight w:val="none"/>
        </w:rPr>
      </w:pPr>
    </w:p>
    <w:p w14:paraId="61357929">
      <w:pPr>
        <w:keepNext/>
        <w:keepLines/>
        <w:spacing w:before="260" w:after="260" w:line="360" w:lineRule="auto"/>
        <w:jc w:val="center"/>
        <w:outlineLvl w:val="1"/>
        <w:rPr>
          <w:rFonts w:hint="eastAsia" w:ascii="宋体" w:hAnsi="宋体" w:cs="宋体"/>
          <w:b/>
          <w:color w:val="auto"/>
          <w:sz w:val="36"/>
          <w:szCs w:val="36"/>
          <w:highlight w:val="none"/>
        </w:rPr>
      </w:pPr>
      <w:r>
        <w:rPr>
          <w:rFonts w:hint="eastAsia" w:ascii="宋体" w:hAnsi="宋体" w:cs="宋体"/>
          <w:b/>
          <w:color w:val="auto"/>
          <w:sz w:val="36"/>
          <w:szCs w:val="36"/>
          <w:highlight w:val="none"/>
        </w:rPr>
        <w:t>十、残疾人福利性单位声明函</w:t>
      </w:r>
    </w:p>
    <w:p w14:paraId="55872D99">
      <w:pPr>
        <w:spacing w:line="360" w:lineRule="auto"/>
        <w:jc w:val="left"/>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cs="宋体"/>
          <w:color w:val="auto"/>
          <w:sz w:val="32"/>
          <w:szCs w:val="32"/>
          <w:highlight w:val="none"/>
        </w:rPr>
        <w:t>本单位郑重声明，根据《财政部 民政部 中国残疾人联合会关于促进残疾人就业政府采购政策的通知》（财库</w:t>
      </w:r>
      <w:r>
        <w:rPr>
          <w:rFonts w:hint="eastAsia" w:ascii="宋体" w:hAnsi="宋体" w:cs="宋体"/>
          <w:color w:val="auto"/>
          <w:sz w:val="32"/>
          <w:szCs w:val="32"/>
          <w:highlight w:val="none"/>
          <w:lang w:eastAsia="zh-CN"/>
        </w:rPr>
        <w:t>〔2017〕141号</w:t>
      </w:r>
      <w:r>
        <w:rPr>
          <w:rFonts w:hint="eastAsia" w:ascii="宋体" w:hAnsi="宋体" w:cs="宋体"/>
          <w:color w:val="auto"/>
          <w:sz w:val="32"/>
          <w:szCs w:val="32"/>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58266FE">
      <w:pPr>
        <w:spacing w:line="360" w:lineRule="auto"/>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本单位对上述声明的真实性负责。如有虚假，将依法承担相应责任。</w:t>
      </w:r>
    </w:p>
    <w:p w14:paraId="5C064E42">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p>
    <w:p w14:paraId="6554FE73">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p>
    <w:p w14:paraId="7C989784">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单位名称（盖章）：</w:t>
      </w:r>
    </w:p>
    <w:p w14:paraId="636A7BEF">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p>
    <w:p w14:paraId="3BB569B2">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日  期：</w:t>
      </w:r>
      <w:bookmarkEnd w:id="118"/>
    </w:p>
    <w:p w14:paraId="16855D09">
      <w:pPr>
        <w:keepNext/>
        <w:keepLines/>
        <w:spacing w:before="260" w:after="260" w:line="360" w:lineRule="auto"/>
        <w:jc w:val="center"/>
        <w:outlineLvl w:val="1"/>
        <w:rPr>
          <w:rFonts w:hint="eastAsia" w:ascii="宋体" w:hAnsi="宋体" w:cs="宋体"/>
          <w:color w:val="auto"/>
          <w:szCs w:val="20"/>
          <w:highlight w:val="none"/>
        </w:rPr>
      </w:pPr>
      <w:r>
        <w:rPr>
          <w:rFonts w:hint="eastAsia" w:ascii="宋体" w:hAnsi="宋体" w:cs="宋体"/>
          <w:color w:val="auto"/>
          <w:szCs w:val="20"/>
          <w:highlight w:val="none"/>
        </w:rPr>
        <w:br w:type="page" w:clear="all"/>
      </w:r>
    </w:p>
    <w:p w14:paraId="377BFAD3">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十</w:t>
      </w:r>
      <w:r>
        <w:rPr>
          <w:rFonts w:hint="eastAsia" w:ascii="宋体" w:hAnsi="宋体" w:cs="宋体"/>
          <w:b/>
          <w:color w:val="auto"/>
          <w:sz w:val="32"/>
          <w:szCs w:val="32"/>
          <w:highlight w:val="none"/>
          <w:lang w:val="en-US" w:eastAsia="zh-CN"/>
        </w:rPr>
        <w:t>一、</w:t>
      </w:r>
      <w:r>
        <w:rPr>
          <w:rFonts w:hint="eastAsia" w:ascii="宋体" w:hAnsi="宋体" w:cs="宋体"/>
          <w:b/>
          <w:color w:val="auto"/>
          <w:sz w:val="32"/>
          <w:szCs w:val="32"/>
          <w:highlight w:val="none"/>
        </w:rPr>
        <w:t>关于符合本国产品标准的声明函（</w:t>
      </w:r>
      <w:r>
        <w:rPr>
          <w:rFonts w:hint="eastAsia" w:ascii="宋体" w:hAnsi="宋体" w:cs="宋体"/>
          <w:b/>
          <w:color w:val="auto"/>
          <w:sz w:val="32"/>
          <w:szCs w:val="32"/>
          <w:highlight w:val="none"/>
          <w:lang w:val="en-US" w:eastAsia="zh-CN"/>
        </w:rPr>
        <w:t>给定格式</w:t>
      </w:r>
      <w:r>
        <w:rPr>
          <w:rFonts w:hint="eastAsia" w:ascii="宋体" w:hAnsi="宋体" w:cs="宋体"/>
          <w:b/>
          <w:color w:val="auto"/>
          <w:sz w:val="32"/>
          <w:szCs w:val="32"/>
          <w:highlight w:val="none"/>
        </w:rPr>
        <w:t>）</w:t>
      </w:r>
      <w:r>
        <w:rPr>
          <w:rFonts w:hint="eastAsia" w:ascii="宋体" w:hAnsi="宋体" w:cs="宋体"/>
          <w:b/>
          <w:color w:val="auto"/>
          <w:sz w:val="32"/>
          <w:szCs w:val="32"/>
          <w:highlight w:val="none"/>
          <w:lang w:eastAsia="zh-CN"/>
        </w:rPr>
        <w:t>：</w:t>
      </w:r>
    </w:p>
    <w:p w14:paraId="14E33826">
      <w:pPr>
        <w:pStyle w:val="30"/>
        <w:spacing w:before="0" w:beforeAutospacing="0" w:after="0" w:afterAutospacing="0" w:line="0" w:lineRule="atLeast"/>
        <w:ind w:firstLine="420"/>
        <w:rPr>
          <w:rFonts w:ascii="方正魏碑_GBK" w:hAnsi="方正魏碑_GBK" w:eastAsia="方正魏碑_GBK" w:cs="方正魏碑_GBK"/>
          <w:color w:val="auto"/>
          <w:highlight w:val="none"/>
        </w:rPr>
      </w:pPr>
    </w:p>
    <w:p w14:paraId="5B1614AB">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49E2503D">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66D607D8">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036989A">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56EB804E">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120EDBAE">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12EE179C">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61FC2E62">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1A788BB">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248A957F">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785EF5A4">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721BF2F9">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3C8E034">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781D7DE7">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7CC97E68">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35CDD6E6">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65DEC7F7">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2F3F17C5">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278F67C5">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051F0A0E">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p>
    <w:p w14:paraId="5F490A21">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p>
    <w:p w14:paraId="63D4D77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p>
    <w:p w14:paraId="6C6DBDFE">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p>
    <w:p w14:paraId="7EC9569A">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p>
    <w:p w14:paraId="5634DE00">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color w:val="auto"/>
          <w:sz w:val="24"/>
          <w:highlight w:val="none"/>
        </w:rPr>
      </w:pPr>
    </w:p>
    <w:p w14:paraId="7D82936B">
      <w:pPr>
        <w:keepNext/>
        <w:keepLines/>
        <w:spacing w:before="260" w:after="260" w:line="360" w:lineRule="auto"/>
        <w:jc w:val="center"/>
        <w:outlineLvl w:val="1"/>
        <w:rPr>
          <w:rFonts w:hint="eastAsia" w:ascii="宋体" w:hAnsi="宋体" w:cs="宋体"/>
          <w:b/>
          <w:color w:val="auto"/>
          <w:sz w:val="32"/>
          <w:szCs w:val="32"/>
          <w:highlight w:val="none"/>
        </w:rPr>
      </w:pPr>
      <w:r>
        <w:rPr>
          <w:rFonts w:hint="eastAsia" w:ascii="宋体" w:hAnsi="宋体" w:cs="宋体"/>
          <w:b/>
          <w:color w:val="auto"/>
          <w:sz w:val="36"/>
          <w:szCs w:val="36"/>
          <w:highlight w:val="none"/>
        </w:rPr>
        <w:t>十</w:t>
      </w:r>
      <w:r>
        <w:rPr>
          <w:rFonts w:hint="eastAsia" w:ascii="宋体" w:hAnsi="宋体" w:cs="宋体"/>
          <w:b/>
          <w:color w:val="auto"/>
          <w:sz w:val="36"/>
          <w:szCs w:val="36"/>
          <w:highlight w:val="none"/>
          <w:lang w:val="en-US" w:eastAsia="zh-CN"/>
        </w:rPr>
        <w:t>一</w:t>
      </w:r>
      <w:r>
        <w:rPr>
          <w:rFonts w:hint="eastAsia" w:ascii="宋体" w:hAnsi="宋体" w:cs="宋体"/>
          <w:b/>
          <w:color w:val="auto"/>
          <w:sz w:val="36"/>
          <w:szCs w:val="36"/>
          <w:highlight w:val="none"/>
        </w:rPr>
        <w:t>、资格承诺函</w:t>
      </w:r>
    </w:p>
    <w:p w14:paraId="1DFCC3A5">
      <w:pPr>
        <w:widowControl/>
        <w:shd w:val="clear" w:color="auto" w:fill="FFFFFF"/>
        <w:spacing w:line="560" w:lineRule="exact"/>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致：</w:t>
      </w:r>
      <w:r>
        <w:rPr>
          <w:rFonts w:hint="eastAsia" w:ascii="宋体" w:hAnsi="宋体" w:cs="宋体"/>
          <w:color w:val="auto"/>
          <w:sz w:val="28"/>
          <w:szCs w:val="28"/>
          <w:highlight w:val="none"/>
          <w:u w:val="single"/>
        </w:rPr>
        <w:t xml:space="preserve">       （采购人、采购代理机构）  </w:t>
      </w:r>
    </w:p>
    <w:p w14:paraId="6A7867FA">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我单位参与</w:t>
      </w:r>
      <w:r>
        <w:rPr>
          <w:rFonts w:hint="eastAsia" w:ascii="宋体" w:hAnsi="宋体" w:cs="宋体"/>
          <w:color w:val="auto"/>
          <w:sz w:val="28"/>
          <w:szCs w:val="28"/>
          <w:highlight w:val="none"/>
          <w:u w:val="single"/>
        </w:rPr>
        <w:t xml:space="preserve">         （项目名称）</w:t>
      </w:r>
      <w:r>
        <w:rPr>
          <w:rFonts w:hint="eastAsia" w:ascii="宋体" w:hAnsi="宋体" w:cs="宋体"/>
          <w:color w:val="auto"/>
          <w:sz w:val="28"/>
          <w:szCs w:val="28"/>
          <w:highlight w:val="none"/>
        </w:rPr>
        <w:t>项目的招标活动，现承诺如下：</w:t>
      </w:r>
    </w:p>
    <w:p w14:paraId="294FB593">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1、我方具有良好的商业信誉和健全的财务会计制度。</w:t>
      </w:r>
    </w:p>
    <w:p w14:paraId="5ADEC340">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2、我方具有履行合同所必需的设备和专业技术能力。</w:t>
      </w:r>
    </w:p>
    <w:p w14:paraId="20AEACC1">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、我方具有依法缴纳税收和社会保障资金的良好记录。</w:t>
      </w:r>
    </w:p>
    <w:p w14:paraId="579170D8">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、我方参加本项目采购活动前三年内，在经营活动中没有重大违法记录。</w:t>
      </w:r>
    </w:p>
    <w:p w14:paraId="202A59C9">
      <w:pPr>
        <w:pStyle w:val="14"/>
        <w:rPr>
          <w:rFonts w:hint="eastAsia"/>
          <w:color w:val="auto"/>
          <w:highlight w:val="none"/>
        </w:rPr>
      </w:pPr>
    </w:p>
    <w:p w14:paraId="55BDCA00">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若我单位承诺不实，自愿承担提供虚假材料谋取中标、成交的法律责任。</w:t>
      </w:r>
    </w:p>
    <w:p w14:paraId="5E80A0FF">
      <w:pPr>
        <w:widowControl/>
        <w:shd w:val="clear" w:color="auto" w:fill="FFFFFF"/>
        <w:spacing w:line="560" w:lineRule="exact"/>
        <w:ind w:firstLine="640"/>
        <w:jc w:val="left"/>
        <w:rPr>
          <w:rFonts w:hint="eastAsia" w:ascii="宋体" w:hAnsi="宋体" w:cs="宋体"/>
          <w:color w:val="auto"/>
          <w:sz w:val="28"/>
          <w:szCs w:val="28"/>
          <w:highlight w:val="none"/>
        </w:rPr>
      </w:pPr>
    </w:p>
    <w:p w14:paraId="3F22F8A3">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投标（响应）供应商（全称并盖章）：</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 </w:t>
      </w:r>
    </w:p>
    <w:p w14:paraId="5642746E">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供应商法定代表人或授权代表（签字或签章）：</w:t>
      </w:r>
      <w:r>
        <w:rPr>
          <w:rFonts w:hint="eastAsia" w:ascii="宋体" w:hAnsi="宋体" w:cs="宋体"/>
          <w:color w:val="auto"/>
          <w:sz w:val="28"/>
          <w:szCs w:val="28"/>
          <w:highlight w:val="none"/>
          <w:u w:val="single"/>
        </w:rPr>
        <w:t>        </w:t>
      </w:r>
    </w:p>
    <w:p w14:paraId="7FA99FB4">
      <w:pPr>
        <w:widowControl/>
        <w:shd w:val="clear" w:color="auto" w:fill="FFFFFF"/>
        <w:spacing w:line="560" w:lineRule="exact"/>
        <w:ind w:firstLine="6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日期：</w:t>
      </w:r>
      <w:r>
        <w:rPr>
          <w:rFonts w:hint="eastAsia" w:ascii="宋体" w:hAnsi="宋体" w:cs="宋体"/>
          <w:color w:val="auto"/>
          <w:sz w:val="28"/>
          <w:szCs w:val="28"/>
          <w:highlight w:val="none"/>
          <w:u w:val="single"/>
        </w:rPr>
        <w:t>             </w:t>
      </w:r>
    </w:p>
    <w:p w14:paraId="4A648509">
      <w:pPr>
        <w:widowControl/>
        <w:shd w:val="clear" w:color="auto" w:fill="FFFFFF"/>
        <w:spacing w:line="560" w:lineRule="exact"/>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4BB8406A">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说明：1. 供应商可自行选择是否提供本承诺函，若不提供本承诺函的，应按采购文件要求提供相应的证明材料。</w:t>
      </w:r>
    </w:p>
    <w:p w14:paraId="685B7138">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 供应商可删减承诺事项，删减的承诺事项须按采购文件要求提供相应的证明材料。比如删去本承诺函第 3 项的， 则应按采购文件要求提供依法缴纳税收和社会保障资金的良好记录。</w:t>
      </w:r>
    </w:p>
    <w:p w14:paraId="5F6C1865">
      <w:pPr>
        <w:pStyle w:val="14"/>
        <w:rPr>
          <w:rFonts w:hint="eastAsia" w:ascii="宋体" w:hAnsi="宋体" w:cs="宋体"/>
          <w:color w:val="auto"/>
          <w:sz w:val="28"/>
          <w:szCs w:val="28"/>
          <w:highlight w:val="none"/>
        </w:rPr>
      </w:pPr>
    </w:p>
    <w:p w14:paraId="7C03C195">
      <w:pPr>
        <w:pStyle w:val="14"/>
        <w:rPr>
          <w:rFonts w:hint="eastAsia" w:ascii="宋体" w:hAnsi="宋体" w:cs="宋体"/>
          <w:color w:val="auto"/>
          <w:sz w:val="28"/>
          <w:szCs w:val="28"/>
          <w:highlight w:val="none"/>
        </w:rPr>
      </w:pPr>
    </w:p>
    <w:p w14:paraId="33B32AAF">
      <w:pPr>
        <w:keepNext/>
        <w:keepLines/>
        <w:spacing w:before="260" w:after="260" w:line="360" w:lineRule="auto"/>
        <w:jc w:val="center"/>
        <w:outlineLvl w:val="1"/>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t>十二</w:t>
      </w:r>
      <w:r>
        <w:rPr>
          <w:rFonts w:hint="eastAsia" w:ascii="宋体" w:hAnsi="宋体" w:cs="宋体"/>
          <w:b/>
          <w:color w:val="auto"/>
          <w:sz w:val="36"/>
          <w:szCs w:val="36"/>
          <w:highlight w:val="none"/>
        </w:rPr>
        <w:t>、</w:t>
      </w:r>
      <w:r>
        <w:rPr>
          <w:rFonts w:hint="eastAsia" w:ascii="宋体" w:hAnsi="宋体" w:cs="宋体"/>
          <w:b/>
          <w:color w:val="auto"/>
          <w:sz w:val="36"/>
          <w:szCs w:val="36"/>
          <w:highlight w:val="none"/>
          <w:lang w:val="en-US" w:eastAsia="zh-CN"/>
        </w:rPr>
        <w:t>评分项等其他证明材料</w:t>
      </w:r>
    </w:p>
    <w:p w14:paraId="2C2F21D6">
      <w:pPr>
        <w:pStyle w:val="21"/>
        <w:rPr>
          <w:rFonts w:hint="eastAsia" w:ascii="宋体" w:hAnsi="宋体" w:cs="宋体"/>
          <w:b/>
          <w:color w:val="auto"/>
          <w:sz w:val="36"/>
          <w:szCs w:val="36"/>
          <w:highlight w:val="none"/>
          <w:lang w:val="en-US" w:eastAsia="zh-CN"/>
        </w:rPr>
      </w:pPr>
    </w:p>
    <w:p w14:paraId="48BB05D1">
      <w:pPr>
        <w:pStyle w:val="21"/>
        <w:rPr>
          <w:rFonts w:hint="eastAsia" w:ascii="宋体" w:hAnsi="宋体" w:cs="宋体"/>
          <w:b/>
          <w:color w:val="auto"/>
          <w:sz w:val="36"/>
          <w:szCs w:val="36"/>
          <w:highlight w:val="none"/>
          <w:lang w:val="en-US" w:eastAsia="zh-CN"/>
        </w:rPr>
      </w:pPr>
    </w:p>
    <w:p w14:paraId="4672DE4A">
      <w:pPr>
        <w:pStyle w:val="21"/>
        <w:rPr>
          <w:rFonts w:hint="eastAsia" w:ascii="宋体" w:hAnsi="宋体" w:cs="宋体"/>
          <w:b/>
          <w:color w:val="auto"/>
          <w:sz w:val="36"/>
          <w:szCs w:val="36"/>
          <w:highlight w:val="none"/>
          <w:lang w:val="en-US" w:eastAsia="zh-CN"/>
        </w:rPr>
      </w:pPr>
    </w:p>
    <w:p w14:paraId="3AE5875B">
      <w:pPr>
        <w:pStyle w:val="21"/>
        <w:rPr>
          <w:rFonts w:hint="eastAsia" w:ascii="宋体" w:hAnsi="宋体" w:cs="宋体"/>
          <w:b/>
          <w:color w:val="auto"/>
          <w:sz w:val="36"/>
          <w:szCs w:val="36"/>
          <w:highlight w:val="none"/>
          <w:lang w:val="en-US" w:eastAsia="zh-CN"/>
        </w:rPr>
      </w:pPr>
    </w:p>
    <w:p w14:paraId="7514F126">
      <w:pPr>
        <w:pStyle w:val="21"/>
        <w:rPr>
          <w:rFonts w:hint="eastAsia" w:ascii="宋体" w:hAnsi="宋体" w:cs="宋体"/>
          <w:b/>
          <w:color w:val="auto"/>
          <w:sz w:val="36"/>
          <w:szCs w:val="36"/>
          <w:highlight w:val="none"/>
          <w:lang w:val="en-US" w:eastAsia="zh-CN"/>
        </w:rPr>
      </w:pPr>
    </w:p>
    <w:p w14:paraId="35D62A01">
      <w:pPr>
        <w:pStyle w:val="21"/>
        <w:rPr>
          <w:rFonts w:hint="eastAsia" w:ascii="宋体" w:hAnsi="宋体" w:cs="宋体"/>
          <w:b/>
          <w:color w:val="auto"/>
          <w:sz w:val="36"/>
          <w:szCs w:val="36"/>
          <w:highlight w:val="none"/>
          <w:lang w:val="en-US" w:eastAsia="zh-CN"/>
        </w:rPr>
      </w:pPr>
    </w:p>
    <w:p w14:paraId="4400513C">
      <w:pPr>
        <w:pStyle w:val="21"/>
        <w:rPr>
          <w:rFonts w:hint="eastAsia" w:ascii="宋体" w:hAnsi="宋体" w:cs="宋体"/>
          <w:b/>
          <w:color w:val="auto"/>
          <w:sz w:val="36"/>
          <w:szCs w:val="36"/>
          <w:highlight w:val="none"/>
          <w:lang w:val="en-US" w:eastAsia="zh-CN"/>
        </w:rPr>
      </w:pPr>
    </w:p>
    <w:p w14:paraId="158A17E6">
      <w:pPr>
        <w:pStyle w:val="21"/>
        <w:rPr>
          <w:rFonts w:hint="eastAsia" w:ascii="宋体" w:hAnsi="宋体" w:cs="宋体"/>
          <w:b/>
          <w:color w:val="auto"/>
          <w:sz w:val="36"/>
          <w:szCs w:val="36"/>
          <w:highlight w:val="none"/>
          <w:lang w:val="en-US" w:eastAsia="zh-CN"/>
        </w:rPr>
      </w:pPr>
    </w:p>
    <w:p w14:paraId="09D8BC7E">
      <w:pPr>
        <w:pStyle w:val="21"/>
        <w:rPr>
          <w:rFonts w:hint="eastAsia" w:ascii="宋体" w:hAnsi="宋体" w:cs="宋体"/>
          <w:b/>
          <w:color w:val="auto"/>
          <w:sz w:val="36"/>
          <w:szCs w:val="36"/>
          <w:highlight w:val="none"/>
          <w:lang w:val="en-US" w:eastAsia="zh-CN"/>
        </w:rPr>
      </w:pPr>
    </w:p>
    <w:p w14:paraId="2D779166">
      <w:pPr>
        <w:pStyle w:val="21"/>
        <w:rPr>
          <w:rFonts w:hint="eastAsia" w:ascii="宋体" w:hAnsi="宋体" w:cs="宋体"/>
          <w:b/>
          <w:color w:val="auto"/>
          <w:sz w:val="36"/>
          <w:szCs w:val="36"/>
          <w:highlight w:val="none"/>
          <w:lang w:val="en-US" w:eastAsia="zh-CN"/>
        </w:rPr>
      </w:pPr>
    </w:p>
    <w:p w14:paraId="16FF6BDA">
      <w:pPr>
        <w:pStyle w:val="21"/>
        <w:rPr>
          <w:rFonts w:hint="eastAsia" w:ascii="宋体" w:hAnsi="宋体" w:cs="宋体"/>
          <w:b/>
          <w:color w:val="auto"/>
          <w:sz w:val="36"/>
          <w:szCs w:val="36"/>
          <w:highlight w:val="none"/>
          <w:lang w:val="en-US" w:eastAsia="zh-CN"/>
        </w:rPr>
      </w:pPr>
    </w:p>
    <w:p w14:paraId="130DE169">
      <w:pPr>
        <w:pStyle w:val="21"/>
        <w:rPr>
          <w:rFonts w:hint="eastAsia" w:ascii="宋体" w:hAnsi="宋体" w:cs="宋体"/>
          <w:b/>
          <w:color w:val="auto"/>
          <w:sz w:val="36"/>
          <w:szCs w:val="36"/>
          <w:highlight w:val="none"/>
          <w:lang w:val="en-US" w:eastAsia="zh-CN"/>
        </w:rPr>
      </w:pPr>
    </w:p>
    <w:p w14:paraId="0DB48DEF">
      <w:pPr>
        <w:pStyle w:val="21"/>
        <w:rPr>
          <w:rFonts w:hint="eastAsia" w:ascii="宋体" w:hAnsi="宋体" w:cs="宋体"/>
          <w:b/>
          <w:color w:val="auto"/>
          <w:sz w:val="36"/>
          <w:szCs w:val="36"/>
          <w:highlight w:val="none"/>
          <w:lang w:val="en-US" w:eastAsia="zh-CN"/>
        </w:rPr>
      </w:pPr>
    </w:p>
    <w:p w14:paraId="5809DF7B">
      <w:pPr>
        <w:pStyle w:val="21"/>
        <w:rPr>
          <w:rFonts w:hint="eastAsia" w:ascii="宋体" w:hAnsi="宋体" w:cs="宋体"/>
          <w:b/>
          <w:color w:val="auto"/>
          <w:sz w:val="36"/>
          <w:szCs w:val="36"/>
          <w:highlight w:val="none"/>
          <w:lang w:val="en-US" w:eastAsia="zh-CN"/>
        </w:rPr>
      </w:pPr>
    </w:p>
    <w:p w14:paraId="6E4B5EFB">
      <w:pPr>
        <w:pStyle w:val="21"/>
        <w:rPr>
          <w:rFonts w:hint="eastAsia" w:ascii="宋体" w:hAnsi="宋体" w:cs="宋体"/>
          <w:b/>
          <w:color w:val="auto"/>
          <w:sz w:val="36"/>
          <w:szCs w:val="36"/>
          <w:highlight w:val="none"/>
          <w:lang w:val="en-US" w:eastAsia="zh-CN"/>
        </w:rPr>
      </w:pPr>
    </w:p>
    <w:p w14:paraId="2756E6DF">
      <w:pPr>
        <w:pStyle w:val="21"/>
        <w:rPr>
          <w:rFonts w:hint="eastAsia" w:ascii="宋体" w:hAnsi="宋体" w:cs="宋体"/>
          <w:b/>
          <w:color w:val="auto"/>
          <w:sz w:val="36"/>
          <w:szCs w:val="36"/>
          <w:highlight w:val="none"/>
          <w:lang w:val="en-US" w:eastAsia="zh-CN"/>
        </w:rPr>
      </w:pPr>
    </w:p>
    <w:p w14:paraId="0D2096D3">
      <w:pPr>
        <w:pStyle w:val="21"/>
        <w:rPr>
          <w:rFonts w:hint="eastAsia" w:ascii="宋体" w:hAnsi="宋体" w:cs="宋体"/>
          <w:b/>
          <w:color w:val="auto"/>
          <w:sz w:val="36"/>
          <w:szCs w:val="36"/>
          <w:highlight w:val="none"/>
          <w:lang w:val="en-US" w:eastAsia="zh-CN"/>
        </w:rPr>
      </w:pPr>
    </w:p>
    <w:p w14:paraId="54B6BEDD">
      <w:pPr>
        <w:pStyle w:val="21"/>
        <w:rPr>
          <w:rFonts w:hint="eastAsia" w:ascii="宋体" w:hAnsi="宋体" w:cs="宋体"/>
          <w:b/>
          <w:color w:val="auto"/>
          <w:sz w:val="36"/>
          <w:szCs w:val="36"/>
          <w:highlight w:val="none"/>
          <w:lang w:val="en-US" w:eastAsia="zh-CN"/>
        </w:rPr>
      </w:pPr>
    </w:p>
    <w:p w14:paraId="6DD1D47C">
      <w:pPr>
        <w:pStyle w:val="21"/>
        <w:rPr>
          <w:rFonts w:hint="eastAsia" w:ascii="宋体" w:hAnsi="宋体" w:cs="宋体"/>
          <w:b/>
          <w:color w:val="auto"/>
          <w:sz w:val="36"/>
          <w:szCs w:val="36"/>
          <w:highlight w:val="none"/>
          <w:lang w:val="en-US" w:eastAsia="zh-CN"/>
        </w:rPr>
      </w:pPr>
    </w:p>
    <w:p w14:paraId="33D12403">
      <w:pPr>
        <w:pStyle w:val="21"/>
        <w:rPr>
          <w:rFonts w:hint="eastAsia" w:ascii="宋体" w:hAnsi="宋体" w:cs="宋体"/>
          <w:b/>
          <w:color w:val="auto"/>
          <w:sz w:val="36"/>
          <w:szCs w:val="36"/>
          <w:highlight w:val="none"/>
          <w:lang w:val="en-US" w:eastAsia="zh-CN"/>
        </w:rPr>
      </w:pPr>
    </w:p>
    <w:p w14:paraId="340A6F6C">
      <w:pPr>
        <w:pStyle w:val="21"/>
        <w:rPr>
          <w:rFonts w:hint="eastAsia" w:ascii="宋体" w:hAnsi="宋体" w:cs="宋体"/>
          <w:b/>
          <w:color w:val="auto"/>
          <w:sz w:val="36"/>
          <w:szCs w:val="36"/>
          <w:highlight w:val="none"/>
          <w:lang w:val="en-US" w:eastAsia="zh-CN"/>
        </w:rPr>
      </w:pPr>
    </w:p>
    <w:p w14:paraId="4BF69052">
      <w:pPr>
        <w:pStyle w:val="21"/>
        <w:rPr>
          <w:rFonts w:hint="eastAsia" w:ascii="宋体" w:hAnsi="宋体" w:cs="宋体"/>
          <w:b/>
          <w:color w:val="auto"/>
          <w:sz w:val="36"/>
          <w:szCs w:val="36"/>
          <w:highlight w:val="none"/>
          <w:lang w:val="en-US" w:eastAsia="zh-CN"/>
        </w:rPr>
      </w:pPr>
    </w:p>
    <w:p w14:paraId="3E867D17">
      <w:pPr>
        <w:pStyle w:val="21"/>
        <w:rPr>
          <w:rFonts w:hint="eastAsia" w:ascii="宋体" w:hAnsi="宋体" w:cs="宋体"/>
          <w:b/>
          <w:color w:val="auto"/>
          <w:sz w:val="36"/>
          <w:szCs w:val="36"/>
          <w:highlight w:val="none"/>
          <w:lang w:val="en-US" w:eastAsia="zh-CN"/>
        </w:rPr>
      </w:pPr>
    </w:p>
    <w:p w14:paraId="35F9F994">
      <w:pPr>
        <w:pStyle w:val="21"/>
        <w:rPr>
          <w:rFonts w:hint="eastAsia" w:ascii="宋体" w:hAnsi="宋体" w:cs="宋体"/>
          <w:b/>
          <w:color w:val="auto"/>
          <w:sz w:val="36"/>
          <w:szCs w:val="36"/>
          <w:highlight w:val="none"/>
          <w:lang w:val="en-US" w:eastAsia="zh-CN"/>
        </w:rPr>
      </w:pPr>
    </w:p>
    <w:p w14:paraId="3BBE9A94">
      <w:pPr>
        <w:pStyle w:val="21"/>
        <w:rPr>
          <w:rFonts w:hint="eastAsia" w:ascii="宋体" w:hAnsi="宋体" w:cs="宋体"/>
          <w:b/>
          <w:color w:val="auto"/>
          <w:sz w:val="36"/>
          <w:szCs w:val="36"/>
          <w:highlight w:val="none"/>
          <w:lang w:val="en-US" w:eastAsia="zh-CN"/>
        </w:rPr>
      </w:pPr>
    </w:p>
    <w:p w14:paraId="0BBE845C">
      <w:pPr>
        <w:pStyle w:val="21"/>
        <w:rPr>
          <w:rFonts w:hint="eastAsia" w:ascii="宋体" w:hAnsi="宋体" w:cs="宋体"/>
          <w:b/>
          <w:color w:val="auto"/>
          <w:sz w:val="36"/>
          <w:szCs w:val="36"/>
          <w:highlight w:val="none"/>
          <w:lang w:val="en-US" w:eastAsia="zh-CN"/>
        </w:rPr>
      </w:pPr>
    </w:p>
    <w:p w14:paraId="75B58A09">
      <w:pPr>
        <w:pStyle w:val="21"/>
        <w:rPr>
          <w:rFonts w:hint="eastAsia" w:ascii="宋体" w:hAnsi="宋体" w:cs="宋体"/>
          <w:b/>
          <w:color w:val="auto"/>
          <w:sz w:val="36"/>
          <w:szCs w:val="36"/>
          <w:highlight w:val="none"/>
          <w:lang w:val="en-US" w:eastAsia="zh-CN"/>
        </w:rPr>
      </w:pPr>
    </w:p>
    <w:sectPr>
      <w:headerReference r:id="rId5" w:type="default"/>
      <w:footerReference r:id="rId6" w:type="default"/>
      <w:footerReference r:id="rId7" w:type="even"/>
      <w:pgSz w:w="11906" w:h="16838"/>
      <w:pgMar w:top="1440" w:right="1797" w:bottom="1440" w:left="1797"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Wonder Arial">
    <w:altName w:val="Arial"/>
    <w:panose1 w:val="020B0503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auto"/>
    <w:pitch w:val="default"/>
    <w:sig w:usb0="E00006FF" w:usb1="420024FF" w:usb2="02000000" w:usb3="00000000" w:csb0="2000019F"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ilwind">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新魏">
    <w:altName w:val="宋体"/>
    <w:panose1 w:val="02010800040101010101"/>
    <w:charset w:val="86"/>
    <w:family w:val="auto"/>
    <w:pitch w:val="default"/>
    <w:sig w:usb0="00000000" w:usb1="00000000" w:usb2="00000000" w:usb3="00000000" w:csb0="00040000" w:csb1="00000000"/>
  </w:font>
  <w:font w:name="方正子实行楷简体">
    <w:altName w:val="宋体"/>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励字仿宋GB">
    <w:altName w:val="仿宋"/>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Cambria Math">
    <w:panose1 w:val="02040503050406030204"/>
    <w:charset w:val="00"/>
    <w:family w:val="roman"/>
    <w:pitch w:val="default"/>
    <w:sig w:usb0="E00006FF" w:usb1="420024FF" w:usb2="02000000" w:usb3="00000000" w:csb0="2000019F" w:csb1="00000000"/>
  </w:font>
  <w:font w:name="方正魏碑_GBK">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69CA4">
    <w:pPr>
      <w:pStyle w:val="1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3D74DCD">
                          <w:pPr>
                            <w:pStyle w:val="121"/>
                            <w:tabs>
                              <w:tab w:val="clear" w:pos="4153"/>
                              <w:tab w:val="clear" w:pos="8306"/>
                            </w:tabs>
                          </w:pPr>
                          <w:r>
                            <w:fldChar w:fldCharType="begin"/>
                          </w:r>
                          <w:r>
                            <w:instrText xml:space="preserve"> PAGE  \* MERGEFORMAT </w:instrText>
                          </w:r>
                          <w:r>
                            <w:fldChar w:fldCharType="separate"/>
                          </w:r>
                          <w:r>
                            <w:t>45</w:t>
                          </w:r>
                          <w:r>
                            <w:fldChar w:fldCharType="end"/>
                          </w:r>
                        </w:p>
                        <w:p w14:paraId="20A76C8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13D74DCD">
                    <w:pPr>
                      <w:pStyle w:val="121"/>
                      <w:tabs>
                        <w:tab w:val="clear" w:pos="4153"/>
                        <w:tab w:val="clear" w:pos="8306"/>
                      </w:tabs>
                    </w:pPr>
                    <w:r>
                      <w:fldChar w:fldCharType="begin"/>
                    </w:r>
                    <w:r>
                      <w:instrText xml:space="preserve"> PAGE  \* MERGEFORMAT </w:instrText>
                    </w:r>
                    <w:r>
                      <w:fldChar w:fldCharType="separate"/>
                    </w:r>
                    <w:r>
                      <w:t>45</w:t>
                    </w:r>
                    <w:r>
                      <w:fldChar w:fldCharType="end"/>
                    </w:r>
                  </w:p>
                  <w:p w14:paraId="20A76C8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06042">
    <w:pPr>
      <w:pStyle w:val="1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87492B">
                          <w:pPr>
                            <w:pStyle w:val="121"/>
                            <w:tabs>
                              <w:tab w:val="clear" w:pos="4153"/>
                              <w:tab w:val="clear" w:pos="8306"/>
                            </w:tabs>
                            <w:jc w:val="center"/>
                          </w:pPr>
                          <w:r>
                            <w:fldChar w:fldCharType="begin"/>
                          </w:r>
                          <w:r>
                            <w:rPr>
                              <w:rStyle w:val="154"/>
                            </w:rPr>
                            <w:instrText xml:space="preserve"> PAGE </w:instrText>
                          </w:r>
                          <w:r>
                            <w:fldChar w:fldCharType="separate"/>
                          </w:r>
                          <w:r>
                            <w:rPr>
                              <w:rStyle w:val="154"/>
                            </w:rPr>
                            <w:t>116</w:t>
                          </w:r>
                          <w:r>
                            <w:fldChar w:fldCharType="end"/>
                          </w:r>
                        </w:p>
                        <w:p w14:paraId="423AA6BD"/>
                        <w:p w14:paraId="65854775"/>
                      </w:txbxContent>
                    </wps:txbx>
                    <wps:bodyPr wrap="none" lIns="0" tIns="0" rIns="0" bIns="0" upright="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D87492B">
                    <w:pPr>
                      <w:pStyle w:val="121"/>
                      <w:tabs>
                        <w:tab w:val="clear" w:pos="4153"/>
                        <w:tab w:val="clear" w:pos="8306"/>
                      </w:tabs>
                      <w:jc w:val="center"/>
                    </w:pPr>
                    <w:r>
                      <w:fldChar w:fldCharType="begin"/>
                    </w:r>
                    <w:r>
                      <w:rPr>
                        <w:rStyle w:val="154"/>
                      </w:rPr>
                      <w:instrText xml:space="preserve"> PAGE </w:instrText>
                    </w:r>
                    <w:r>
                      <w:fldChar w:fldCharType="separate"/>
                    </w:r>
                    <w:r>
                      <w:rPr>
                        <w:rStyle w:val="154"/>
                      </w:rPr>
                      <w:t>116</w:t>
                    </w:r>
                    <w:r>
                      <w:fldChar w:fldCharType="end"/>
                    </w:r>
                  </w:p>
                  <w:p w14:paraId="423AA6BD"/>
                  <w:p w14:paraId="6585477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CF13E">
    <w:pPr>
      <w:pStyle w:val="121"/>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133</w:t>
    </w:r>
    <w:r>
      <w:rPr>
        <w:rFonts w:ascii="宋体" w:hAnsi="宋体"/>
        <w:sz w:val="21"/>
        <w:szCs w:val="21"/>
      </w:rPr>
      <w:fldChar w:fldCharType="end"/>
    </w:r>
  </w:p>
  <w:p w14:paraId="519D39BF">
    <w:pPr>
      <w:pStyle w:val="121"/>
      <w:rPr>
        <w:b/>
        <w:i/>
      </w:rPr>
    </w:pPr>
  </w:p>
  <w:p w14:paraId="5099F99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BCC6">
    <w:pPr>
      <w:pStyle w:val="121"/>
      <w:framePr w:wrap="around" w:vAnchor="text" w:hAnchor="margin" w:xAlign="center" w:y="1"/>
      <w:rPr>
        <w:rStyle w:val="154"/>
      </w:rPr>
    </w:pPr>
    <w:r>
      <w:fldChar w:fldCharType="begin"/>
    </w:r>
    <w:r>
      <w:rPr>
        <w:rStyle w:val="154"/>
      </w:rPr>
      <w:instrText xml:space="preserve">PAGE  </w:instrText>
    </w:r>
    <w:r>
      <w:fldChar w:fldCharType="separate"/>
    </w:r>
    <w:r>
      <w:rPr>
        <w:rStyle w:val="154"/>
      </w:rPr>
      <w:t>1</w:t>
    </w:r>
    <w:r>
      <w:fldChar w:fldCharType="end"/>
    </w:r>
  </w:p>
  <w:p w14:paraId="77AA37DA">
    <w:pPr>
      <w:pStyle w:val="121"/>
    </w:pPr>
  </w:p>
  <w:p w14:paraId="6CEB7F9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EA225">
    <w:pPr>
      <w:pStyle w:val="124"/>
      <w:pBdr>
        <w:bottom w:val="none" w:color="000000" w:sz="0" w:space="0"/>
      </w:pBdr>
    </w:pPr>
  </w:p>
  <w:p w14:paraId="6779D4A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4EFE7"/>
    <w:multiLevelType w:val="singleLevel"/>
    <w:tmpl w:val="86E4EFE7"/>
    <w:lvl w:ilvl="0" w:tentative="0">
      <w:start w:val="3"/>
      <w:numFmt w:val="chineseCounting"/>
      <w:suff w:val="nothing"/>
      <w:lvlText w:val="（%1）"/>
      <w:lvlJc w:val="left"/>
      <w:rPr>
        <w:rFonts w:hint="eastAsia"/>
      </w:rPr>
    </w:lvl>
  </w:abstractNum>
  <w:abstractNum w:abstractNumId="1">
    <w:nsid w:val="8A3B7C0B"/>
    <w:multiLevelType w:val="singleLevel"/>
    <w:tmpl w:val="8A3B7C0B"/>
    <w:lvl w:ilvl="0" w:tentative="0">
      <w:start w:val="1"/>
      <w:numFmt w:val="decimal"/>
      <w:lvlText w:val="%1."/>
      <w:lvlJc w:val="left"/>
      <w:pPr>
        <w:ind w:left="425" w:hanging="425"/>
      </w:pPr>
      <w:rPr>
        <w:rFonts w:hint="default"/>
      </w:rPr>
    </w:lvl>
  </w:abstractNum>
  <w:abstractNum w:abstractNumId="2">
    <w:nsid w:val="AD2077C2"/>
    <w:multiLevelType w:val="singleLevel"/>
    <w:tmpl w:val="AD2077C2"/>
    <w:lvl w:ilvl="0" w:tentative="0">
      <w:start w:val="2"/>
      <w:numFmt w:val="decimal"/>
      <w:suff w:val="space"/>
      <w:lvlText w:val="%1、"/>
      <w:lvlJc w:val="left"/>
    </w:lvl>
  </w:abstractNum>
  <w:abstractNum w:abstractNumId="3">
    <w:nsid w:val="B33515B9"/>
    <w:multiLevelType w:val="singleLevel"/>
    <w:tmpl w:val="B33515B9"/>
    <w:lvl w:ilvl="0" w:tentative="0">
      <w:start w:val="3"/>
      <w:numFmt w:val="decimal"/>
      <w:suff w:val="nothing"/>
      <w:lvlText w:val="%1、"/>
      <w:lvlJc w:val="left"/>
    </w:lvl>
  </w:abstractNum>
  <w:abstractNum w:abstractNumId="4">
    <w:nsid w:val="BF205925"/>
    <w:multiLevelType w:val="multilevel"/>
    <w:tmpl w:val="BF205925"/>
    <w:lvl w:ilvl="0" w:tentative="0">
      <w:start w:val="1"/>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FC8D87B"/>
    <w:multiLevelType w:val="singleLevel"/>
    <w:tmpl w:val="BFC8D87B"/>
    <w:lvl w:ilvl="0" w:tentative="0">
      <w:start w:val="1"/>
      <w:numFmt w:val="chineseCounting"/>
      <w:suff w:val="nothing"/>
      <w:lvlText w:val="%1、"/>
      <w:lvlJc w:val="left"/>
      <w:rPr>
        <w:rFonts w:hint="eastAsia"/>
      </w:rPr>
    </w:lvl>
  </w:abstractNum>
  <w:abstractNum w:abstractNumId="6">
    <w:nsid w:val="C28C26AD"/>
    <w:multiLevelType w:val="singleLevel"/>
    <w:tmpl w:val="C28C26AD"/>
    <w:lvl w:ilvl="0" w:tentative="0">
      <w:start w:val="1"/>
      <w:numFmt w:val="decimalEnclosedCircleChinese"/>
      <w:suff w:val="space"/>
      <w:lvlText w:val="%1"/>
      <w:lvlJc w:val="left"/>
      <w:rPr>
        <w:rFonts w:hint="eastAsia"/>
      </w:rPr>
    </w:lvl>
  </w:abstractNum>
  <w:abstractNum w:abstractNumId="7">
    <w:nsid w:val="CF092B84"/>
    <w:multiLevelType w:val="multilevel"/>
    <w:tmpl w:val="CF092B84"/>
    <w:lvl w:ilvl="0" w:tentative="0">
      <w:start w:val="1"/>
      <w:numFmt w:val="decimal"/>
      <w:pStyle w:val="16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D1297519"/>
    <w:multiLevelType w:val="singleLevel"/>
    <w:tmpl w:val="D1297519"/>
    <w:lvl w:ilvl="0" w:tentative="0">
      <w:start w:val="4"/>
      <w:numFmt w:val="decimal"/>
      <w:suff w:val="space"/>
      <w:lvlText w:val="%1."/>
      <w:lvlJc w:val="left"/>
    </w:lvl>
  </w:abstractNum>
  <w:abstractNum w:abstractNumId="9">
    <w:nsid w:val="D936D9EF"/>
    <w:multiLevelType w:val="singleLevel"/>
    <w:tmpl w:val="D936D9EF"/>
    <w:lvl w:ilvl="0" w:tentative="0">
      <w:start w:val="1"/>
      <w:numFmt w:val="decimal"/>
      <w:lvlText w:val="%1."/>
      <w:lvlJc w:val="left"/>
      <w:pPr>
        <w:ind w:left="425" w:hanging="425"/>
      </w:pPr>
      <w:rPr>
        <w:rFonts w:hint="default"/>
      </w:rPr>
    </w:lvl>
  </w:abstractNum>
  <w:abstractNum w:abstractNumId="10">
    <w:nsid w:val="DAE9B216"/>
    <w:multiLevelType w:val="singleLevel"/>
    <w:tmpl w:val="DAE9B216"/>
    <w:lvl w:ilvl="0" w:tentative="0">
      <w:start w:val="13"/>
      <w:numFmt w:val="decimal"/>
      <w:suff w:val="space"/>
      <w:lvlText w:val="%1."/>
      <w:lvlJc w:val="left"/>
    </w:lvl>
  </w:abstractNum>
  <w:abstractNum w:abstractNumId="11">
    <w:nsid w:val="E093A4B0"/>
    <w:multiLevelType w:val="multilevel"/>
    <w:tmpl w:val="E093A4B0"/>
    <w:lvl w:ilvl="0" w:tentative="0">
      <w:start w:val="1"/>
      <w:numFmt w:val="japaneseCounting"/>
      <w:lvlText w:val="%1、"/>
      <w:lvlJc w:val="left"/>
      <w:pPr>
        <w:tabs>
          <w:tab w:val="left" w:pos="885"/>
        </w:tabs>
        <w:ind w:left="885" w:hanging="885"/>
      </w:pPr>
      <w:rPr>
        <w:rFonts w:hint="eastAsia"/>
        <w:sz w:val="4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EDBE41F6"/>
    <w:multiLevelType w:val="singleLevel"/>
    <w:tmpl w:val="EDBE41F6"/>
    <w:lvl w:ilvl="0" w:tentative="0">
      <w:start w:val="1"/>
      <w:numFmt w:val="decimal"/>
      <w:lvlText w:val="%1."/>
      <w:lvlJc w:val="left"/>
      <w:pPr>
        <w:ind w:left="425" w:hanging="425"/>
      </w:pPr>
      <w:rPr>
        <w:rFonts w:hint="default"/>
      </w:rPr>
    </w:lvl>
  </w:abstractNum>
  <w:abstractNum w:abstractNumId="13">
    <w:nsid w:val="FFFBF357"/>
    <w:multiLevelType w:val="singleLevel"/>
    <w:tmpl w:val="FFFBF357"/>
    <w:lvl w:ilvl="0" w:tentative="0">
      <w:start w:val="1"/>
      <w:numFmt w:val="decimal"/>
      <w:suff w:val="nothing"/>
      <w:lvlText w:val="（%1）"/>
      <w:lvlJc w:val="left"/>
    </w:lvl>
  </w:abstractNum>
  <w:abstractNum w:abstractNumId="1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71"/>
      <w:suff w:val="nothing"/>
      <w:lvlText w:val=""/>
      <w:lvlJc w:val="left"/>
      <w:pPr>
        <w:ind w:left="0" w:firstLine="0"/>
      </w:pPr>
      <w:rPr>
        <w:rFonts w:hint="eastAsia"/>
      </w:rPr>
    </w:lvl>
    <w:lvl w:ilvl="6" w:tentative="0">
      <w:start w:val="1"/>
      <w:numFmt w:val="decimal"/>
      <w:pStyle w:val="72"/>
      <w:suff w:val="nothing"/>
      <w:lvlText w:val=""/>
      <w:lvlJc w:val="left"/>
      <w:pPr>
        <w:ind w:left="0" w:firstLine="0"/>
      </w:pPr>
      <w:rPr>
        <w:rFonts w:hint="eastAsia"/>
      </w:rPr>
    </w:lvl>
    <w:lvl w:ilvl="7" w:tentative="0">
      <w:start w:val="1"/>
      <w:numFmt w:val="decimal"/>
      <w:pStyle w:val="73"/>
      <w:suff w:val="nothing"/>
      <w:lvlText w:val=""/>
      <w:lvlJc w:val="left"/>
      <w:pPr>
        <w:ind w:left="0" w:firstLine="0"/>
      </w:pPr>
      <w:rPr>
        <w:rFonts w:hint="eastAsia"/>
      </w:rPr>
    </w:lvl>
    <w:lvl w:ilvl="8" w:tentative="0">
      <w:start w:val="1"/>
      <w:numFmt w:val="decimal"/>
      <w:pStyle w:val="74"/>
      <w:suff w:val="nothing"/>
      <w:lvlText w:val=""/>
      <w:lvlJc w:val="left"/>
      <w:pPr>
        <w:ind w:left="0" w:firstLine="0"/>
      </w:pPr>
      <w:rPr>
        <w:rFonts w:hint="eastAsia"/>
      </w:rPr>
    </w:lvl>
  </w:abstractNum>
  <w:abstractNum w:abstractNumId="15">
    <w:nsid w:val="30FC5B15"/>
    <w:multiLevelType w:val="multilevel"/>
    <w:tmpl w:val="30FC5B15"/>
    <w:lvl w:ilvl="0" w:tentative="0">
      <w:start w:val="1"/>
      <w:numFmt w:val="decimalEnclosedCircle"/>
      <w:lvlText w:val="%1"/>
      <w:lvlJc w:val="left"/>
      <w:pPr>
        <w:ind w:left="380" w:hanging="360"/>
      </w:pPr>
      <w:rPr>
        <w:rFonts w:hAnsi="宋体" w:cs="宋体"/>
        <w:sz w:val="13"/>
      </w:rPr>
    </w:lvl>
    <w:lvl w:ilvl="1" w:tentative="0">
      <w:start w:val="1"/>
      <w:numFmt w:val="lowerLetter"/>
      <w:lvlText w:val="%2)"/>
      <w:lvlJc w:val="left"/>
      <w:pPr>
        <w:ind w:left="860" w:hanging="420"/>
      </w:pPr>
    </w:lvl>
    <w:lvl w:ilvl="2" w:tentative="0">
      <w:start w:val="1"/>
      <w:numFmt w:val="lowerRoman"/>
      <w:lvlText w:val="%3."/>
      <w:lvlJc w:val="right"/>
      <w:pPr>
        <w:ind w:left="1280" w:hanging="420"/>
      </w:pPr>
    </w:lvl>
    <w:lvl w:ilvl="3" w:tentative="0">
      <w:start w:val="1"/>
      <w:numFmt w:val="decimal"/>
      <w:lvlText w:val="%4."/>
      <w:lvlJc w:val="left"/>
      <w:pPr>
        <w:ind w:left="1700" w:hanging="420"/>
      </w:pPr>
    </w:lvl>
    <w:lvl w:ilvl="4" w:tentative="0">
      <w:start w:val="1"/>
      <w:numFmt w:val="lowerLetter"/>
      <w:lvlText w:val="%5)"/>
      <w:lvlJc w:val="left"/>
      <w:pPr>
        <w:ind w:left="2120" w:hanging="420"/>
      </w:pPr>
    </w:lvl>
    <w:lvl w:ilvl="5" w:tentative="0">
      <w:start w:val="1"/>
      <w:numFmt w:val="lowerRoman"/>
      <w:lvlText w:val="%6."/>
      <w:lvlJc w:val="right"/>
      <w:pPr>
        <w:ind w:left="2540" w:hanging="420"/>
      </w:pPr>
    </w:lvl>
    <w:lvl w:ilvl="6" w:tentative="0">
      <w:start w:val="1"/>
      <w:numFmt w:val="decimal"/>
      <w:lvlText w:val="%7."/>
      <w:lvlJc w:val="left"/>
      <w:pPr>
        <w:ind w:left="2960" w:hanging="420"/>
      </w:pPr>
    </w:lvl>
    <w:lvl w:ilvl="7" w:tentative="0">
      <w:start w:val="1"/>
      <w:numFmt w:val="lowerLetter"/>
      <w:lvlText w:val="%8)"/>
      <w:lvlJc w:val="left"/>
      <w:pPr>
        <w:ind w:left="3380" w:hanging="420"/>
      </w:pPr>
    </w:lvl>
    <w:lvl w:ilvl="8" w:tentative="0">
      <w:start w:val="1"/>
      <w:numFmt w:val="lowerRoman"/>
      <w:lvlText w:val="%9."/>
      <w:lvlJc w:val="right"/>
      <w:pPr>
        <w:ind w:left="3800" w:hanging="420"/>
      </w:pPr>
    </w:lvl>
  </w:abstractNum>
  <w:abstractNum w:abstractNumId="16">
    <w:nsid w:val="59ADCABA"/>
    <w:multiLevelType w:val="multilevel"/>
    <w:tmpl w:val="59ADCABA"/>
    <w:lvl w:ilvl="0" w:tentative="0">
      <w:start w:val="1"/>
      <w:numFmt w:val="upperLetter"/>
      <w:pStyle w:val="31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4"/>
  </w:num>
  <w:num w:numId="2">
    <w:abstractNumId w:val="7"/>
  </w:num>
  <w:num w:numId="3">
    <w:abstractNumId w:val="16"/>
  </w:num>
  <w:num w:numId="4">
    <w:abstractNumId w:val="0"/>
  </w:num>
  <w:num w:numId="5">
    <w:abstractNumId w:val="4"/>
  </w:num>
  <w:num w:numId="6">
    <w:abstractNumId w:val="5"/>
  </w:num>
  <w:num w:numId="7">
    <w:abstractNumId w:val="8"/>
  </w:num>
  <w:num w:numId="8">
    <w:abstractNumId w:val="10"/>
  </w:num>
  <w:num w:numId="9">
    <w:abstractNumId w:val="12"/>
  </w:num>
  <w:num w:numId="10">
    <w:abstractNumId w:val="9"/>
  </w:num>
  <w:num w:numId="11">
    <w:abstractNumId w:val="1"/>
  </w:num>
  <w:num w:numId="12">
    <w:abstractNumId w:val="3"/>
  </w:num>
  <w:num w:numId="13">
    <w:abstractNumId w:val="13"/>
  </w:num>
  <w:num w:numId="14">
    <w:abstractNumId w:val="2"/>
  </w:num>
  <w:num w:numId="15">
    <w:abstractNumId w:val="6"/>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13BD"/>
    <w:rsid w:val="001D3444"/>
    <w:rsid w:val="004F3DE9"/>
    <w:rsid w:val="00515C5E"/>
    <w:rsid w:val="00A079B0"/>
    <w:rsid w:val="00B20DF2"/>
    <w:rsid w:val="00C420E3"/>
    <w:rsid w:val="00EA058C"/>
    <w:rsid w:val="00F67508"/>
    <w:rsid w:val="013E139D"/>
    <w:rsid w:val="016043AA"/>
    <w:rsid w:val="01813C46"/>
    <w:rsid w:val="01E274B5"/>
    <w:rsid w:val="01E45522"/>
    <w:rsid w:val="01F260BE"/>
    <w:rsid w:val="02151639"/>
    <w:rsid w:val="021F6013"/>
    <w:rsid w:val="02272C6C"/>
    <w:rsid w:val="022E7E09"/>
    <w:rsid w:val="02337D11"/>
    <w:rsid w:val="023870D5"/>
    <w:rsid w:val="02551A35"/>
    <w:rsid w:val="02637E64"/>
    <w:rsid w:val="0270686F"/>
    <w:rsid w:val="028008A3"/>
    <w:rsid w:val="028247F4"/>
    <w:rsid w:val="02BA7729"/>
    <w:rsid w:val="02C44E0D"/>
    <w:rsid w:val="02C97701"/>
    <w:rsid w:val="02D2752A"/>
    <w:rsid w:val="02F70D3E"/>
    <w:rsid w:val="02FE3E7B"/>
    <w:rsid w:val="030A5EB4"/>
    <w:rsid w:val="03165668"/>
    <w:rsid w:val="033124A2"/>
    <w:rsid w:val="035241C7"/>
    <w:rsid w:val="035C7445"/>
    <w:rsid w:val="036C34DA"/>
    <w:rsid w:val="037759DB"/>
    <w:rsid w:val="037B196F"/>
    <w:rsid w:val="03805382"/>
    <w:rsid w:val="03906A9D"/>
    <w:rsid w:val="03993BA4"/>
    <w:rsid w:val="03A569EC"/>
    <w:rsid w:val="03B94246"/>
    <w:rsid w:val="03B95FF4"/>
    <w:rsid w:val="03F51722"/>
    <w:rsid w:val="03FA7543"/>
    <w:rsid w:val="041D79E8"/>
    <w:rsid w:val="042518DB"/>
    <w:rsid w:val="044E0E32"/>
    <w:rsid w:val="046F6151"/>
    <w:rsid w:val="04785EAF"/>
    <w:rsid w:val="04787C5D"/>
    <w:rsid w:val="04842AA6"/>
    <w:rsid w:val="04874344"/>
    <w:rsid w:val="04D01847"/>
    <w:rsid w:val="04ED23F9"/>
    <w:rsid w:val="04F41726"/>
    <w:rsid w:val="050115A3"/>
    <w:rsid w:val="05025778"/>
    <w:rsid w:val="05322502"/>
    <w:rsid w:val="054A784B"/>
    <w:rsid w:val="05544226"/>
    <w:rsid w:val="05573D16"/>
    <w:rsid w:val="055E50A5"/>
    <w:rsid w:val="059C797B"/>
    <w:rsid w:val="05AC7DEF"/>
    <w:rsid w:val="05FE23E4"/>
    <w:rsid w:val="06007F0A"/>
    <w:rsid w:val="061340E1"/>
    <w:rsid w:val="06224324"/>
    <w:rsid w:val="06287461"/>
    <w:rsid w:val="06383B48"/>
    <w:rsid w:val="06A74829"/>
    <w:rsid w:val="06AC1F59"/>
    <w:rsid w:val="06F23CF7"/>
    <w:rsid w:val="073C31C4"/>
    <w:rsid w:val="07454912"/>
    <w:rsid w:val="074F739B"/>
    <w:rsid w:val="075C4724"/>
    <w:rsid w:val="07750484"/>
    <w:rsid w:val="077566D6"/>
    <w:rsid w:val="07797F74"/>
    <w:rsid w:val="07A1396F"/>
    <w:rsid w:val="07AB0349"/>
    <w:rsid w:val="07B70A9C"/>
    <w:rsid w:val="07BB67DE"/>
    <w:rsid w:val="07DA6C83"/>
    <w:rsid w:val="07DB2985"/>
    <w:rsid w:val="07E7560C"/>
    <w:rsid w:val="07F92E63"/>
    <w:rsid w:val="080C0DE8"/>
    <w:rsid w:val="081B54CF"/>
    <w:rsid w:val="08202AE5"/>
    <w:rsid w:val="082268C9"/>
    <w:rsid w:val="082C148A"/>
    <w:rsid w:val="083E11BD"/>
    <w:rsid w:val="084A7B62"/>
    <w:rsid w:val="0858402D"/>
    <w:rsid w:val="085A5FF7"/>
    <w:rsid w:val="08760957"/>
    <w:rsid w:val="087E378B"/>
    <w:rsid w:val="08805332"/>
    <w:rsid w:val="089A2898"/>
    <w:rsid w:val="08A07782"/>
    <w:rsid w:val="08A92ADB"/>
    <w:rsid w:val="08B35707"/>
    <w:rsid w:val="08BB280E"/>
    <w:rsid w:val="08C23ACD"/>
    <w:rsid w:val="08F8136C"/>
    <w:rsid w:val="09000221"/>
    <w:rsid w:val="0911242E"/>
    <w:rsid w:val="09572537"/>
    <w:rsid w:val="09736C45"/>
    <w:rsid w:val="097C01EF"/>
    <w:rsid w:val="09A514F4"/>
    <w:rsid w:val="09AD03A9"/>
    <w:rsid w:val="09DC2A3C"/>
    <w:rsid w:val="09E65669"/>
    <w:rsid w:val="09FC453F"/>
    <w:rsid w:val="0A4E393A"/>
    <w:rsid w:val="0A726EFC"/>
    <w:rsid w:val="0AA3355A"/>
    <w:rsid w:val="0AA51080"/>
    <w:rsid w:val="0AB61600"/>
    <w:rsid w:val="0AC92FC0"/>
    <w:rsid w:val="0B0A3449"/>
    <w:rsid w:val="0B474FE3"/>
    <w:rsid w:val="0B4D3BF1"/>
    <w:rsid w:val="0B5A630E"/>
    <w:rsid w:val="0B745622"/>
    <w:rsid w:val="0BA92DF2"/>
    <w:rsid w:val="0BBF43C3"/>
    <w:rsid w:val="0BC419DA"/>
    <w:rsid w:val="0BD2245D"/>
    <w:rsid w:val="0BD53BE7"/>
    <w:rsid w:val="0BE43E2A"/>
    <w:rsid w:val="0BE856C8"/>
    <w:rsid w:val="0BF24A35"/>
    <w:rsid w:val="0BFA42BB"/>
    <w:rsid w:val="0C0369A6"/>
    <w:rsid w:val="0C0A3890"/>
    <w:rsid w:val="0C2C7CAB"/>
    <w:rsid w:val="0CBF0B1F"/>
    <w:rsid w:val="0CC2416B"/>
    <w:rsid w:val="0CDF2F6F"/>
    <w:rsid w:val="0CE560AB"/>
    <w:rsid w:val="0CF2583E"/>
    <w:rsid w:val="0D093B48"/>
    <w:rsid w:val="0D166265"/>
    <w:rsid w:val="0D7A4A46"/>
    <w:rsid w:val="0D815DD4"/>
    <w:rsid w:val="0D817B82"/>
    <w:rsid w:val="0DA03D74"/>
    <w:rsid w:val="0DA815B3"/>
    <w:rsid w:val="0DAE46EF"/>
    <w:rsid w:val="0DC161D1"/>
    <w:rsid w:val="0DD203DE"/>
    <w:rsid w:val="0DD73C46"/>
    <w:rsid w:val="0E19425F"/>
    <w:rsid w:val="0E4D2AEF"/>
    <w:rsid w:val="0E5B4877"/>
    <w:rsid w:val="0E833DCE"/>
    <w:rsid w:val="0E8C2C83"/>
    <w:rsid w:val="0EAF6971"/>
    <w:rsid w:val="0ECA37AB"/>
    <w:rsid w:val="0ED62150"/>
    <w:rsid w:val="0EDB59B8"/>
    <w:rsid w:val="0EE303C9"/>
    <w:rsid w:val="0F07055B"/>
    <w:rsid w:val="0F3A0931"/>
    <w:rsid w:val="0F4F0094"/>
    <w:rsid w:val="0F655282"/>
    <w:rsid w:val="0F827BE2"/>
    <w:rsid w:val="0F9D0EBF"/>
    <w:rsid w:val="0FA25D28"/>
    <w:rsid w:val="0FB27D40"/>
    <w:rsid w:val="0FBA737B"/>
    <w:rsid w:val="0FC91CB4"/>
    <w:rsid w:val="0FD04DF1"/>
    <w:rsid w:val="0FD7617F"/>
    <w:rsid w:val="0FDB6B98"/>
    <w:rsid w:val="0FDC19E8"/>
    <w:rsid w:val="0FE97C61"/>
    <w:rsid w:val="0FFE1D4D"/>
    <w:rsid w:val="100B7BD7"/>
    <w:rsid w:val="100F22E2"/>
    <w:rsid w:val="10596B94"/>
    <w:rsid w:val="105A46BB"/>
    <w:rsid w:val="10611EED"/>
    <w:rsid w:val="106A20E7"/>
    <w:rsid w:val="10727C56"/>
    <w:rsid w:val="10BE733F"/>
    <w:rsid w:val="10CF50A9"/>
    <w:rsid w:val="10D64689"/>
    <w:rsid w:val="10E32514"/>
    <w:rsid w:val="10EC5A4D"/>
    <w:rsid w:val="10FD2830"/>
    <w:rsid w:val="111E393A"/>
    <w:rsid w:val="113E3FDC"/>
    <w:rsid w:val="11494E5B"/>
    <w:rsid w:val="119D6F55"/>
    <w:rsid w:val="11C269BB"/>
    <w:rsid w:val="11CB1D14"/>
    <w:rsid w:val="11CC783A"/>
    <w:rsid w:val="11D5049D"/>
    <w:rsid w:val="11E608FC"/>
    <w:rsid w:val="12244F80"/>
    <w:rsid w:val="12394787"/>
    <w:rsid w:val="12451CE5"/>
    <w:rsid w:val="1246139A"/>
    <w:rsid w:val="124D2729"/>
    <w:rsid w:val="12575CF5"/>
    <w:rsid w:val="12647A72"/>
    <w:rsid w:val="126F2616"/>
    <w:rsid w:val="12851EC3"/>
    <w:rsid w:val="128F2D41"/>
    <w:rsid w:val="12AB369D"/>
    <w:rsid w:val="12BC78AF"/>
    <w:rsid w:val="12F42BA4"/>
    <w:rsid w:val="130A061A"/>
    <w:rsid w:val="13311ABD"/>
    <w:rsid w:val="133631BD"/>
    <w:rsid w:val="136441CE"/>
    <w:rsid w:val="13D529D6"/>
    <w:rsid w:val="13FF7A53"/>
    <w:rsid w:val="14353475"/>
    <w:rsid w:val="14383246"/>
    <w:rsid w:val="14423DE3"/>
    <w:rsid w:val="145558C5"/>
    <w:rsid w:val="1457788F"/>
    <w:rsid w:val="14700951"/>
    <w:rsid w:val="14AD3953"/>
    <w:rsid w:val="14C91E0F"/>
    <w:rsid w:val="14D56A06"/>
    <w:rsid w:val="14E804E7"/>
    <w:rsid w:val="14EA425F"/>
    <w:rsid w:val="15113EE2"/>
    <w:rsid w:val="154D2A40"/>
    <w:rsid w:val="157F6CF7"/>
    <w:rsid w:val="15A20FDE"/>
    <w:rsid w:val="15B17473"/>
    <w:rsid w:val="15B2180E"/>
    <w:rsid w:val="15CE1DD3"/>
    <w:rsid w:val="15FB1290"/>
    <w:rsid w:val="16117F11"/>
    <w:rsid w:val="161377E5"/>
    <w:rsid w:val="161B48EC"/>
    <w:rsid w:val="16201760"/>
    <w:rsid w:val="162E2871"/>
    <w:rsid w:val="163A7468"/>
    <w:rsid w:val="164756E1"/>
    <w:rsid w:val="166D339A"/>
    <w:rsid w:val="167A1613"/>
    <w:rsid w:val="168E50BE"/>
    <w:rsid w:val="169F376F"/>
    <w:rsid w:val="16F026F6"/>
    <w:rsid w:val="16F2389F"/>
    <w:rsid w:val="16FA2753"/>
    <w:rsid w:val="17123F41"/>
    <w:rsid w:val="173C2D6C"/>
    <w:rsid w:val="175D205E"/>
    <w:rsid w:val="175D6154"/>
    <w:rsid w:val="17771FF6"/>
    <w:rsid w:val="178A1D29"/>
    <w:rsid w:val="17AB7E98"/>
    <w:rsid w:val="17EF6030"/>
    <w:rsid w:val="1804022B"/>
    <w:rsid w:val="1804388A"/>
    <w:rsid w:val="18155A97"/>
    <w:rsid w:val="18253800"/>
    <w:rsid w:val="183F0D66"/>
    <w:rsid w:val="186D58D3"/>
    <w:rsid w:val="18754787"/>
    <w:rsid w:val="18A34892"/>
    <w:rsid w:val="18A706B9"/>
    <w:rsid w:val="18CC3C28"/>
    <w:rsid w:val="18EE7F16"/>
    <w:rsid w:val="18EF50DF"/>
    <w:rsid w:val="190D0786"/>
    <w:rsid w:val="191775ED"/>
    <w:rsid w:val="19520625"/>
    <w:rsid w:val="1958171C"/>
    <w:rsid w:val="196565AA"/>
    <w:rsid w:val="19886047"/>
    <w:rsid w:val="1988673C"/>
    <w:rsid w:val="19A03A86"/>
    <w:rsid w:val="19AC242B"/>
    <w:rsid w:val="19AF7825"/>
    <w:rsid w:val="19B27315"/>
    <w:rsid w:val="19BC3433"/>
    <w:rsid w:val="19BE5CBA"/>
    <w:rsid w:val="1A004525"/>
    <w:rsid w:val="1A077661"/>
    <w:rsid w:val="1A1A55E6"/>
    <w:rsid w:val="1A1B310D"/>
    <w:rsid w:val="1A225332"/>
    <w:rsid w:val="1A2972F9"/>
    <w:rsid w:val="1A366BAB"/>
    <w:rsid w:val="1A423291"/>
    <w:rsid w:val="1A497C7A"/>
    <w:rsid w:val="1A5A3C35"/>
    <w:rsid w:val="1A654D4E"/>
    <w:rsid w:val="1A935399"/>
    <w:rsid w:val="1A9829AF"/>
    <w:rsid w:val="1AC90DBB"/>
    <w:rsid w:val="1ACD2659"/>
    <w:rsid w:val="1AD5150D"/>
    <w:rsid w:val="1AF06B0C"/>
    <w:rsid w:val="1AF35E37"/>
    <w:rsid w:val="1AFC4CEC"/>
    <w:rsid w:val="1B0B76E1"/>
    <w:rsid w:val="1B1E1106"/>
    <w:rsid w:val="1B2129A5"/>
    <w:rsid w:val="1B3171D1"/>
    <w:rsid w:val="1B506DE6"/>
    <w:rsid w:val="1B617245"/>
    <w:rsid w:val="1BF73705"/>
    <w:rsid w:val="1C5648D0"/>
    <w:rsid w:val="1C8925AF"/>
    <w:rsid w:val="1CDB11F0"/>
    <w:rsid w:val="1CEC2B3E"/>
    <w:rsid w:val="1D1C78C7"/>
    <w:rsid w:val="1D2D73DF"/>
    <w:rsid w:val="1D491D3F"/>
    <w:rsid w:val="1DA15FCC"/>
    <w:rsid w:val="1DA376A1"/>
    <w:rsid w:val="1DBC10F4"/>
    <w:rsid w:val="1DDE692B"/>
    <w:rsid w:val="1DE1641B"/>
    <w:rsid w:val="1DE65107"/>
    <w:rsid w:val="1DF30295"/>
    <w:rsid w:val="1DFE0008"/>
    <w:rsid w:val="1E004AF3"/>
    <w:rsid w:val="1E100D5E"/>
    <w:rsid w:val="1E130D03"/>
    <w:rsid w:val="1E2A5C63"/>
    <w:rsid w:val="1E2A5CCB"/>
    <w:rsid w:val="1E2C58E8"/>
    <w:rsid w:val="1E684081"/>
    <w:rsid w:val="1E890F8D"/>
    <w:rsid w:val="1E94348E"/>
    <w:rsid w:val="1EA2204E"/>
    <w:rsid w:val="1EBF050A"/>
    <w:rsid w:val="1EDC23DC"/>
    <w:rsid w:val="1EFD7285"/>
    <w:rsid w:val="1F0423C1"/>
    <w:rsid w:val="1F204D21"/>
    <w:rsid w:val="1F2E5690"/>
    <w:rsid w:val="1F394761"/>
    <w:rsid w:val="1F5F12D5"/>
    <w:rsid w:val="1F666BD8"/>
    <w:rsid w:val="1F6E3CDF"/>
    <w:rsid w:val="1F7A08D5"/>
    <w:rsid w:val="1F833C2E"/>
    <w:rsid w:val="1F8B4890"/>
    <w:rsid w:val="1FAE057F"/>
    <w:rsid w:val="1FB02549"/>
    <w:rsid w:val="1FB65DB1"/>
    <w:rsid w:val="1FE43FA1"/>
    <w:rsid w:val="1FE85000"/>
    <w:rsid w:val="1FEB0FC3"/>
    <w:rsid w:val="202251F5"/>
    <w:rsid w:val="202A22FB"/>
    <w:rsid w:val="202D3B9A"/>
    <w:rsid w:val="203211B0"/>
    <w:rsid w:val="20322F5E"/>
    <w:rsid w:val="20474C5B"/>
    <w:rsid w:val="20601879"/>
    <w:rsid w:val="206C6470"/>
    <w:rsid w:val="20823D49"/>
    <w:rsid w:val="209D2ACD"/>
    <w:rsid w:val="20BB2F53"/>
    <w:rsid w:val="20C52024"/>
    <w:rsid w:val="20CC6F0F"/>
    <w:rsid w:val="20DD2ECA"/>
    <w:rsid w:val="20F14BC7"/>
    <w:rsid w:val="210B3EDB"/>
    <w:rsid w:val="213F5933"/>
    <w:rsid w:val="21537630"/>
    <w:rsid w:val="21661A3B"/>
    <w:rsid w:val="21A67760"/>
    <w:rsid w:val="21B207FA"/>
    <w:rsid w:val="21EE1107"/>
    <w:rsid w:val="220F79FB"/>
    <w:rsid w:val="222114DC"/>
    <w:rsid w:val="224D6FB1"/>
    <w:rsid w:val="22A00653"/>
    <w:rsid w:val="22A16D2D"/>
    <w:rsid w:val="22C5630B"/>
    <w:rsid w:val="22D64075"/>
    <w:rsid w:val="22E91FFA"/>
    <w:rsid w:val="22F369D5"/>
    <w:rsid w:val="231F1DBB"/>
    <w:rsid w:val="23360FB7"/>
    <w:rsid w:val="236744E3"/>
    <w:rsid w:val="237613B4"/>
    <w:rsid w:val="239F090A"/>
    <w:rsid w:val="23A221A9"/>
    <w:rsid w:val="23B87C1E"/>
    <w:rsid w:val="23C359E4"/>
    <w:rsid w:val="23D05879"/>
    <w:rsid w:val="23D20CE0"/>
    <w:rsid w:val="24053736"/>
    <w:rsid w:val="240B41F2"/>
    <w:rsid w:val="24136E60"/>
    <w:rsid w:val="244514B2"/>
    <w:rsid w:val="244A2F6C"/>
    <w:rsid w:val="24521E21"/>
    <w:rsid w:val="24523BCF"/>
    <w:rsid w:val="24575689"/>
    <w:rsid w:val="245931AF"/>
    <w:rsid w:val="245F009A"/>
    <w:rsid w:val="2463402E"/>
    <w:rsid w:val="24637B8A"/>
    <w:rsid w:val="24773635"/>
    <w:rsid w:val="248A15BB"/>
    <w:rsid w:val="248A3369"/>
    <w:rsid w:val="24A65296"/>
    <w:rsid w:val="24F133E8"/>
    <w:rsid w:val="24F5112A"/>
    <w:rsid w:val="25007ACF"/>
    <w:rsid w:val="25420CE0"/>
    <w:rsid w:val="255D282B"/>
    <w:rsid w:val="257D3825"/>
    <w:rsid w:val="258204E4"/>
    <w:rsid w:val="25864C93"/>
    <w:rsid w:val="25921B3C"/>
    <w:rsid w:val="25E914CA"/>
    <w:rsid w:val="260E3B25"/>
    <w:rsid w:val="26123616"/>
    <w:rsid w:val="261F3F85"/>
    <w:rsid w:val="26233A75"/>
    <w:rsid w:val="262A4E03"/>
    <w:rsid w:val="263A0DBE"/>
    <w:rsid w:val="264D464E"/>
    <w:rsid w:val="264D6D44"/>
    <w:rsid w:val="266876DA"/>
    <w:rsid w:val="267918E7"/>
    <w:rsid w:val="26920BFA"/>
    <w:rsid w:val="26962499"/>
    <w:rsid w:val="26B20955"/>
    <w:rsid w:val="26D66D39"/>
    <w:rsid w:val="26E34FB2"/>
    <w:rsid w:val="26EA4592"/>
    <w:rsid w:val="26EE4083"/>
    <w:rsid w:val="26F61189"/>
    <w:rsid w:val="27194E78"/>
    <w:rsid w:val="273121C1"/>
    <w:rsid w:val="27934C2A"/>
    <w:rsid w:val="279F712B"/>
    <w:rsid w:val="27B24590"/>
    <w:rsid w:val="27D810E1"/>
    <w:rsid w:val="27E72880"/>
    <w:rsid w:val="27EF4A56"/>
    <w:rsid w:val="28237D5C"/>
    <w:rsid w:val="282B6C11"/>
    <w:rsid w:val="28377363"/>
    <w:rsid w:val="283D6944"/>
    <w:rsid w:val="2841297F"/>
    <w:rsid w:val="28506677"/>
    <w:rsid w:val="28642123"/>
    <w:rsid w:val="286914E7"/>
    <w:rsid w:val="286E7A27"/>
    <w:rsid w:val="2879797C"/>
    <w:rsid w:val="288B3B53"/>
    <w:rsid w:val="2890116A"/>
    <w:rsid w:val="289E3886"/>
    <w:rsid w:val="28D24073"/>
    <w:rsid w:val="28D831ED"/>
    <w:rsid w:val="28DE1ED5"/>
    <w:rsid w:val="28FB2A87"/>
    <w:rsid w:val="29121B7F"/>
    <w:rsid w:val="29127DD1"/>
    <w:rsid w:val="2967011C"/>
    <w:rsid w:val="297A634C"/>
    <w:rsid w:val="29A24CB1"/>
    <w:rsid w:val="29A46C7B"/>
    <w:rsid w:val="29BB3FC4"/>
    <w:rsid w:val="29C4731D"/>
    <w:rsid w:val="29D46E34"/>
    <w:rsid w:val="29EE6148"/>
    <w:rsid w:val="2A261D85"/>
    <w:rsid w:val="2A28184E"/>
    <w:rsid w:val="2A420242"/>
    <w:rsid w:val="2A5F7045"/>
    <w:rsid w:val="2A8820F8"/>
    <w:rsid w:val="2A8E176A"/>
    <w:rsid w:val="2ABC4498"/>
    <w:rsid w:val="2ACA4C8A"/>
    <w:rsid w:val="2ADC0696"/>
    <w:rsid w:val="2AE35581"/>
    <w:rsid w:val="2AEF7773"/>
    <w:rsid w:val="2B084FE7"/>
    <w:rsid w:val="2B3758CC"/>
    <w:rsid w:val="2B417799"/>
    <w:rsid w:val="2B4E28CF"/>
    <w:rsid w:val="2B593A95"/>
    <w:rsid w:val="2B746B21"/>
    <w:rsid w:val="2B830B12"/>
    <w:rsid w:val="2B836D64"/>
    <w:rsid w:val="2B8C7782"/>
    <w:rsid w:val="2B9D7E25"/>
    <w:rsid w:val="2BAA0BB9"/>
    <w:rsid w:val="2BBD04C8"/>
    <w:rsid w:val="2BD55811"/>
    <w:rsid w:val="2BFB2D9E"/>
    <w:rsid w:val="2C1C51EE"/>
    <w:rsid w:val="2C536736"/>
    <w:rsid w:val="2C6C5774"/>
    <w:rsid w:val="2C8114F5"/>
    <w:rsid w:val="2CA62D0A"/>
    <w:rsid w:val="2CB82A3D"/>
    <w:rsid w:val="2D102879"/>
    <w:rsid w:val="2D297497"/>
    <w:rsid w:val="2D727090"/>
    <w:rsid w:val="2D8079FF"/>
    <w:rsid w:val="2D8C63A3"/>
    <w:rsid w:val="2D8D7A26"/>
    <w:rsid w:val="2DB06A5A"/>
    <w:rsid w:val="2DB11966"/>
    <w:rsid w:val="2DB66F7C"/>
    <w:rsid w:val="2DD6761F"/>
    <w:rsid w:val="2DE55AB4"/>
    <w:rsid w:val="2DE955A4"/>
    <w:rsid w:val="2DEC0BF0"/>
    <w:rsid w:val="2DFE0923"/>
    <w:rsid w:val="2E036EF1"/>
    <w:rsid w:val="2E364F3E"/>
    <w:rsid w:val="2E5D564A"/>
    <w:rsid w:val="2E6764C9"/>
    <w:rsid w:val="2E853ABD"/>
    <w:rsid w:val="2EB84F76"/>
    <w:rsid w:val="2EEB1EFD"/>
    <w:rsid w:val="2EF52229"/>
    <w:rsid w:val="2F01528B"/>
    <w:rsid w:val="2F027615"/>
    <w:rsid w:val="2F2A7C22"/>
    <w:rsid w:val="2F326AD7"/>
    <w:rsid w:val="2F337E9A"/>
    <w:rsid w:val="2F397E65"/>
    <w:rsid w:val="2F3A598B"/>
    <w:rsid w:val="2F447402"/>
    <w:rsid w:val="2F48454C"/>
    <w:rsid w:val="2F6A44C2"/>
    <w:rsid w:val="2F6C023B"/>
    <w:rsid w:val="2F792957"/>
    <w:rsid w:val="2F810C4F"/>
    <w:rsid w:val="2F9250B7"/>
    <w:rsid w:val="2F996B56"/>
    <w:rsid w:val="2F9C21A2"/>
    <w:rsid w:val="2FB13E9F"/>
    <w:rsid w:val="2FB43C50"/>
    <w:rsid w:val="2FD858D0"/>
    <w:rsid w:val="2FDC6A42"/>
    <w:rsid w:val="2FE853E7"/>
    <w:rsid w:val="2FED0C50"/>
    <w:rsid w:val="2FEE6EA1"/>
    <w:rsid w:val="301461DC"/>
    <w:rsid w:val="302C1778"/>
    <w:rsid w:val="302C79CA"/>
    <w:rsid w:val="302E54F0"/>
    <w:rsid w:val="303E14AB"/>
    <w:rsid w:val="3069477A"/>
    <w:rsid w:val="307F5D4C"/>
    <w:rsid w:val="307F7AFA"/>
    <w:rsid w:val="308C0468"/>
    <w:rsid w:val="30AD0B0B"/>
    <w:rsid w:val="30B73737"/>
    <w:rsid w:val="30E91417"/>
    <w:rsid w:val="311961A0"/>
    <w:rsid w:val="3140197F"/>
    <w:rsid w:val="316867E0"/>
    <w:rsid w:val="316A69FC"/>
    <w:rsid w:val="31813D45"/>
    <w:rsid w:val="31905D36"/>
    <w:rsid w:val="31A92D87"/>
    <w:rsid w:val="31AD4B3A"/>
    <w:rsid w:val="31B55E32"/>
    <w:rsid w:val="31B934DF"/>
    <w:rsid w:val="31BB2DB3"/>
    <w:rsid w:val="31C53C32"/>
    <w:rsid w:val="31E71DFA"/>
    <w:rsid w:val="31EA3699"/>
    <w:rsid w:val="31F14A27"/>
    <w:rsid w:val="31FC33CC"/>
    <w:rsid w:val="32087FC3"/>
    <w:rsid w:val="322A1CE7"/>
    <w:rsid w:val="326844C0"/>
    <w:rsid w:val="326E7E26"/>
    <w:rsid w:val="328533C1"/>
    <w:rsid w:val="32917FB8"/>
    <w:rsid w:val="32C314D5"/>
    <w:rsid w:val="32D90914"/>
    <w:rsid w:val="32E97DF4"/>
    <w:rsid w:val="32FF7BFB"/>
    <w:rsid w:val="330459A4"/>
    <w:rsid w:val="3317670F"/>
    <w:rsid w:val="333F17C2"/>
    <w:rsid w:val="33590AD6"/>
    <w:rsid w:val="33704071"/>
    <w:rsid w:val="33721B98"/>
    <w:rsid w:val="337F42B4"/>
    <w:rsid w:val="340A6274"/>
    <w:rsid w:val="340F388A"/>
    <w:rsid w:val="34125129"/>
    <w:rsid w:val="342A4220"/>
    <w:rsid w:val="34325184"/>
    <w:rsid w:val="34373437"/>
    <w:rsid w:val="343E1A7A"/>
    <w:rsid w:val="344352E2"/>
    <w:rsid w:val="344D6161"/>
    <w:rsid w:val="345E2FBA"/>
    <w:rsid w:val="34784F8C"/>
    <w:rsid w:val="347E68C3"/>
    <w:rsid w:val="34AB35B3"/>
    <w:rsid w:val="34B1049E"/>
    <w:rsid w:val="34CC52D7"/>
    <w:rsid w:val="34D523DE"/>
    <w:rsid w:val="34EB74A7"/>
    <w:rsid w:val="34F20066"/>
    <w:rsid w:val="350B28A9"/>
    <w:rsid w:val="350D601C"/>
    <w:rsid w:val="351F0ECA"/>
    <w:rsid w:val="35645510"/>
    <w:rsid w:val="358B5193"/>
    <w:rsid w:val="35C661CB"/>
    <w:rsid w:val="35D408E8"/>
    <w:rsid w:val="35E36D7D"/>
    <w:rsid w:val="36064819"/>
    <w:rsid w:val="36280C33"/>
    <w:rsid w:val="3628478F"/>
    <w:rsid w:val="362D1DA6"/>
    <w:rsid w:val="367250E2"/>
    <w:rsid w:val="36857E34"/>
    <w:rsid w:val="36AD2EE7"/>
    <w:rsid w:val="36AF3103"/>
    <w:rsid w:val="36B44275"/>
    <w:rsid w:val="36B83D65"/>
    <w:rsid w:val="36C070BE"/>
    <w:rsid w:val="36E032BC"/>
    <w:rsid w:val="36F01751"/>
    <w:rsid w:val="36F24934"/>
    <w:rsid w:val="370A6E27"/>
    <w:rsid w:val="37403D5B"/>
    <w:rsid w:val="376911DC"/>
    <w:rsid w:val="376B0DD8"/>
    <w:rsid w:val="37732382"/>
    <w:rsid w:val="37865C12"/>
    <w:rsid w:val="378C0D4E"/>
    <w:rsid w:val="37C36E66"/>
    <w:rsid w:val="37D83F93"/>
    <w:rsid w:val="38025370"/>
    <w:rsid w:val="382947EF"/>
    <w:rsid w:val="383513E6"/>
    <w:rsid w:val="383C2774"/>
    <w:rsid w:val="38471845"/>
    <w:rsid w:val="3848736B"/>
    <w:rsid w:val="38651CCB"/>
    <w:rsid w:val="38E2331B"/>
    <w:rsid w:val="38E54BBA"/>
    <w:rsid w:val="38EC7CF6"/>
    <w:rsid w:val="39290F4A"/>
    <w:rsid w:val="39423DBA"/>
    <w:rsid w:val="39534219"/>
    <w:rsid w:val="39700927"/>
    <w:rsid w:val="398C14D9"/>
    <w:rsid w:val="39B822CE"/>
    <w:rsid w:val="39CB6565"/>
    <w:rsid w:val="39E76710"/>
    <w:rsid w:val="3A176FF5"/>
    <w:rsid w:val="3A1F19CA"/>
    <w:rsid w:val="3A2F07E2"/>
    <w:rsid w:val="3A563FC1"/>
    <w:rsid w:val="3A59585F"/>
    <w:rsid w:val="3A6164C2"/>
    <w:rsid w:val="3A6B7341"/>
    <w:rsid w:val="3A7A7584"/>
    <w:rsid w:val="3AB331C1"/>
    <w:rsid w:val="3AB335DE"/>
    <w:rsid w:val="3AC151B3"/>
    <w:rsid w:val="3ACA4067"/>
    <w:rsid w:val="3ADB0022"/>
    <w:rsid w:val="3AF9494C"/>
    <w:rsid w:val="3AFA0DF0"/>
    <w:rsid w:val="3B143534"/>
    <w:rsid w:val="3B261565"/>
    <w:rsid w:val="3B27770B"/>
    <w:rsid w:val="3B312338"/>
    <w:rsid w:val="3B4F27BE"/>
    <w:rsid w:val="3B5A188F"/>
    <w:rsid w:val="3B5F0C53"/>
    <w:rsid w:val="3B7B1805"/>
    <w:rsid w:val="3BAE1BDB"/>
    <w:rsid w:val="3BB20CC0"/>
    <w:rsid w:val="3BB56AC5"/>
    <w:rsid w:val="3BD056AD"/>
    <w:rsid w:val="3BEE61FC"/>
    <w:rsid w:val="3C065573"/>
    <w:rsid w:val="3C096E11"/>
    <w:rsid w:val="3C0E4427"/>
    <w:rsid w:val="3C12185C"/>
    <w:rsid w:val="3C131A3E"/>
    <w:rsid w:val="3C13751A"/>
    <w:rsid w:val="3C202B7C"/>
    <w:rsid w:val="3C410359"/>
    <w:rsid w:val="3C4348FE"/>
    <w:rsid w:val="3C6109FB"/>
    <w:rsid w:val="3C771FCD"/>
    <w:rsid w:val="3C9279AF"/>
    <w:rsid w:val="3CA64660"/>
    <w:rsid w:val="3CAD59EE"/>
    <w:rsid w:val="3CB94393"/>
    <w:rsid w:val="3CDD2778"/>
    <w:rsid w:val="3D000214"/>
    <w:rsid w:val="3D112421"/>
    <w:rsid w:val="3D1B32A0"/>
    <w:rsid w:val="3D29776B"/>
    <w:rsid w:val="3D395EDC"/>
    <w:rsid w:val="3D4C5207"/>
    <w:rsid w:val="3D65451B"/>
    <w:rsid w:val="3D762284"/>
    <w:rsid w:val="3D793B23"/>
    <w:rsid w:val="3D9C2B04"/>
    <w:rsid w:val="3DA05553"/>
    <w:rsid w:val="3DAF5796"/>
    <w:rsid w:val="3DB67B3B"/>
    <w:rsid w:val="3DBF3C2B"/>
    <w:rsid w:val="3DC76F84"/>
    <w:rsid w:val="3DE96EFA"/>
    <w:rsid w:val="3DE970EF"/>
    <w:rsid w:val="3E06185A"/>
    <w:rsid w:val="3E491747"/>
    <w:rsid w:val="3E4E4FAF"/>
    <w:rsid w:val="3E5C147A"/>
    <w:rsid w:val="3E646581"/>
    <w:rsid w:val="3E791264"/>
    <w:rsid w:val="3E921340"/>
    <w:rsid w:val="3E95498C"/>
    <w:rsid w:val="3EA6318C"/>
    <w:rsid w:val="3EB72B54"/>
    <w:rsid w:val="3EF1250A"/>
    <w:rsid w:val="3F1C50AD"/>
    <w:rsid w:val="3F214472"/>
    <w:rsid w:val="3F32667F"/>
    <w:rsid w:val="3F3E5024"/>
    <w:rsid w:val="3F4168C2"/>
    <w:rsid w:val="3F536D21"/>
    <w:rsid w:val="3F5430AC"/>
    <w:rsid w:val="3F762A0F"/>
    <w:rsid w:val="3F7D78FA"/>
    <w:rsid w:val="3FA330D9"/>
    <w:rsid w:val="3FA7706D"/>
    <w:rsid w:val="3FB928FC"/>
    <w:rsid w:val="3FC03C8B"/>
    <w:rsid w:val="3FCF47CD"/>
    <w:rsid w:val="3FD00372"/>
    <w:rsid w:val="3FF57DD8"/>
    <w:rsid w:val="3FF658FE"/>
    <w:rsid w:val="40181D19"/>
    <w:rsid w:val="40357A4F"/>
    <w:rsid w:val="403E3A7A"/>
    <w:rsid w:val="404B3E9C"/>
    <w:rsid w:val="40577D12"/>
    <w:rsid w:val="406B1E48"/>
    <w:rsid w:val="4098652B"/>
    <w:rsid w:val="409E3FCC"/>
    <w:rsid w:val="409F5F96"/>
    <w:rsid w:val="40A92EFF"/>
    <w:rsid w:val="40B52255"/>
    <w:rsid w:val="40BA08D6"/>
    <w:rsid w:val="40E1035D"/>
    <w:rsid w:val="40E26AE7"/>
    <w:rsid w:val="40ED6D01"/>
    <w:rsid w:val="40FA4F7A"/>
    <w:rsid w:val="4144783A"/>
    <w:rsid w:val="414A5F02"/>
    <w:rsid w:val="41911D83"/>
    <w:rsid w:val="41A35612"/>
    <w:rsid w:val="41AC096A"/>
    <w:rsid w:val="41AE6491"/>
    <w:rsid w:val="41D40C5D"/>
    <w:rsid w:val="41D43A1D"/>
    <w:rsid w:val="41D56120"/>
    <w:rsid w:val="41DB4DAC"/>
    <w:rsid w:val="41E81277"/>
    <w:rsid w:val="41EA1493"/>
    <w:rsid w:val="41EC0D67"/>
    <w:rsid w:val="422C1AAB"/>
    <w:rsid w:val="42347335"/>
    <w:rsid w:val="4258464E"/>
    <w:rsid w:val="42725710"/>
    <w:rsid w:val="428B3BBD"/>
    <w:rsid w:val="429733C9"/>
    <w:rsid w:val="42C27D1A"/>
    <w:rsid w:val="42C65A5C"/>
    <w:rsid w:val="42C910A8"/>
    <w:rsid w:val="42DF267A"/>
    <w:rsid w:val="42F00D2B"/>
    <w:rsid w:val="42FF4ACA"/>
    <w:rsid w:val="4320516C"/>
    <w:rsid w:val="432C1345"/>
    <w:rsid w:val="4339622E"/>
    <w:rsid w:val="434075BC"/>
    <w:rsid w:val="435727DF"/>
    <w:rsid w:val="436F39FE"/>
    <w:rsid w:val="437474CC"/>
    <w:rsid w:val="438C2802"/>
    <w:rsid w:val="43947908"/>
    <w:rsid w:val="43AE09CA"/>
    <w:rsid w:val="43B92ECB"/>
    <w:rsid w:val="43D85A47"/>
    <w:rsid w:val="43DB72E5"/>
    <w:rsid w:val="43F87310"/>
    <w:rsid w:val="44103433"/>
    <w:rsid w:val="443F1622"/>
    <w:rsid w:val="4467501D"/>
    <w:rsid w:val="4488746D"/>
    <w:rsid w:val="44937BC0"/>
    <w:rsid w:val="44A5546A"/>
    <w:rsid w:val="44A818BD"/>
    <w:rsid w:val="44C1472D"/>
    <w:rsid w:val="44E16B7D"/>
    <w:rsid w:val="44FF34A7"/>
    <w:rsid w:val="454F1D39"/>
    <w:rsid w:val="45603F46"/>
    <w:rsid w:val="45701CAF"/>
    <w:rsid w:val="457B2B2E"/>
    <w:rsid w:val="45833790"/>
    <w:rsid w:val="45965BB9"/>
    <w:rsid w:val="45EA380F"/>
    <w:rsid w:val="45F4468E"/>
    <w:rsid w:val="46081EE8"/>
    <w:rsid w:val="46160AA8"/>
    <w:rsid w:val="46362EF9"/>
    <w:rsid w:val="465B470D"/>
    <w:rsid w:val="4670640B"/>
    <w:rsid w:val="46902609"/>
    <w:rsid w:val="469874C5"/>
    <w:rsid w:val="469D6AD4"/>
    <w:rsid w:val="46A0474B"/>
    <w:rsid w:val="46AA26E6"/>
    <w:rsid w:val="46C87FF5"/>
    <w:rsid w:val="46E2098A"/>
    <w:rsid w:val="46E66846"/>
    <w:rsid w:val="46E82445"/>
    <w:rsid w:val="47022115"/>
    <w:rsid w:val="47022DDB"/>
    <w:rsid w:val="47150D60"/>
    <w:rsid w:val="477D2815"/>
    <w:rsid w:val="477F61D9"/>
    <w:rsid w:val="478163F5"/>
    <w:rsid w:val="479040E7"/>
    <w:rsid w:val="47906638"/>
    <w:rsid w:val="47A3011A"/>
    <w:rsid w:val="47A619B8"/>
    <w:rsid w:val="47AB5220"/>
    <w:rsid w:val="47AF4D11"/>
    <w:rsid w:val="47BC11DC"/>
    <w:rsid w:val="47C27020"/>
    <w:rsid w:val="47D66741"/>
    <w:rsid w:val="47E32C0C"/>
    <w:rsid w:val="47FC5A7C"/>
    <w:rsid w:val="48382F58"/>
    <w:rsid w:val="48B13479"/>
    <w:rsid w:val="48B30830"/>
    <w:rsid w:val="48C52312"/>
    <w:rsid w:val="48CB1236"/>
    <w:rsid w:val="48CB3DCC"/>
    <w:rsid w:val="48D50CBC"/>
    <w:rsid w:val="48F13107"/>
    <w:rsid w:val="491357D2"/>
    <w:rsid w:val="491C0184"/>
    <w:rsid w:val="492928A1"/>
    <w:rsid w:val="495A0CAC"/>
    <w:rsid w:val="49847F59"/>
    <w:rsid w:val="49AB1508"/>
    <w:rsid w:val="49B20AE8"/>
    <w:rsid w:val="49CA7BE0"/>
    <w:rsid w:val="49CD5922"/>
    <w:rsid w:val="49E51B2F"/>
    <w:rsid w:val="49E669E4"/>
    <w:rsid w:val="49E8450A"/>
    <w:rsid w:val="4A0F5F3A"/>
    <w:rsid w:val="4A3112BB"/>
    <w:rsid w:val="4A4E6A63"/>
    <w:rsid w:val="4A6029C6"/>
    <w:rsid w:val="4A7B712C"/>
    <w:rsid w:val="4A965AF1"/>
    <w:rsid w:val="4AB03279"/>
    <w:rsid w:val="4ABB2113"/>
    <w:rsid w:val="4ABE526B"/>
    <w:rsid w:val="4B090BDC"/>
    <w:rsid w:val="4B11183E"/>
    <w:rsid w:val="4B3043BA"/>
    <w:rsid w:val="4B481EFF"/>
    <w:rsid w:val="4B4E4840"/>
    <w:rsid w:val="4B693428"/>
    <w:rsid w:val="4BAE18FD"/>
    <w:rsid w:val="4BF70A34"/>
    <w:rsid w:val="4BFE6267"/>
    <w:rsid w:val="4C001FDF"/>
    <w:rsid w:val="4C03387D"/>
    <w:rsid w:val="4C0575F5"/>
    <w:rsid w:val="4C066EC9"/>
    <w:rsid w:val="4C0C5ACE"/>
    <w:rsid w:val="4C1E2465"/>
    <w:rsid w:val="4C2555A1"/>
    <w:rsid w:val="4C3C28EB"/>
    <w:rsid w:val="4C3D6555"/>
    <w:rsid w:val="4C687B84"/>
    <w:rsid w:val="4C7107E7"/>
    <w:rsid w:val="4C7327B1"/>
    <w:rsid w:val="4C9D5A7F"/>
    <w:rsid w:val="4CB100E9"/>
    <w:rsid w:val="4CB132D9"/>
    <w:rsid w:val="4CB608EF"/>
    <w:rsid w:val="4CCC3C6F"/>
    <w:rsid w:val="4CF3569F"/>
    <w:rsid w:val="4CF66F3E"/>
    <w:rsid w:val="4CFA6A2E"/>
    <w:rsid w:val="4D153868"/>
    <w:rsid w:val="4D1B0752"/>
    <w:rsid w:val="4D550108"/>
    <w:rsid w:val="4D602609"/>
    <w:rsid w:val="4D7A36CB"/>
    <w:rsid w:val="4D8E0089"/>
    <w:rsid w:val="4D913C92"/>
    <w:rsid w:val="4D9C1893"/>
    <w:rsid w:val="4DA91FD9"/>
    <w:rsid w:val="4DBF1A26"/>
    <w:rsid w:val="4DCE1C69"/>
    <w:rsid w:val="4DE3533E"/>
    <w:rsid w:val="4DF94F37"/>
    <w:rsid w:val="4E451F2B"/>
    <w:rsid w:val="4E4B5067"/>
    <w:rsid w:val="4E600B13"/>
    <w:rsid w:val="4E9E5ADF"/>
    <w:rsid w:val="4EB470B0"/>
    <w:rsid w:val="4EC54E1A"/>
    <w:rsid w:val="4ECA0682"/>
    <w:rsid w:val="4ECA68D4"/>
    <w:rsid w:val="4ED137BE"/>
    <w:rsid w:val="4EE259CC"/>
    <w:rsid w:val="4EF179BD"/>
    <w:rsid w:val="4F0A6CD0"/>
    <w:rsid w:val="4F0C0C9A"/>
    <w:rsid w:val="4F0F4665"/>
    <w:rsid w:val="4F196F13"/>
    <w:rsid w:val="4F1B18C0"/>
    <w:rsid w:val="4F501413"/>
    <w:rsid w:val="4F5148FF"/>
    <w:rsid w:val="4F756840"/>
    <w:rsid w:val="4F7B197C"/>
    <w:rsid w:val="4F895868"/>
    <w:rsid w:val="4F895E47"/>
    <w:rsid w:val="4F9363EC"/>
    <w:rsid w:val="4FA40ED3"/>
    <w:rsid w:val="4FA655B5"/>
    <w:rsid w:val="4FBD5C2B"/>
    <w:rsid w:val="4FCE5F50"/>
    <w:rsid w:val="4FE65048"/>
    <w:rsid w:val="4FF97471"/>
    <w:rsid w:val="500B71A4"/>
    <w:rsid w:val="501A73E7"/>
    <w:rsid w:val="501C6CBB"/>
    <w:rsid w:val="50373AF5"/>
    <w:rsid w:val="503F29AA"/>
    <w:rsid w:val="5042070A"/>
    <w:rsid w:val="50485D02"/>
    <w:rsid w:val="504B75A0"/>
    <w:rsid w:val="507E7976"/>
    <w:rsid w:val="508D5E0B"/>
    <w:rsid w:val="508F1B83"/>
    <w:rsid w:val="508F3931"/>
    <w:rsid w:val="50A5479F"/>
    <w:rsid w:val="50A75D18"/>
    <w:rsid w:val="50AF18DD"/>
    <w:rsid w:val="50BC414B"/>
    <w:rsid w:val="50CA4969"/>
    <w:rsid w:val="50D47596"/>
    <w:rsid w:val="50EA500B"/>
    <w:rsid w:val="50EE530A"/>
    <w:rsid w:val="50F61FFA"/>
    <w:rsid w:val="511D4F82"/>
    <w:rsid w:val="513F5357"/>
    <w:rsid w:val="51422751"/>
    <w:rsid w:val="51442A6B"/>
    <w:rsid w:val="515B7CB7"/>
    <w:rsid w:val="516923D4"/>
    <w:rsid w:val="5176689F"/>
    <w:rsid w:val="517F5754"/>
    <w:rsid w:val="518C60C3"/>
    <w:rsid w:val="519136D9"/>
    <w:rsid w:val="51A67184"/>
    <w:rsid w:val="51A92C75"/>
    <w:rsid w:val="51C70EA9"/>
    <w:rsid w:val="51E27A91"/>
    <w:rsid w:val="51F26D1C"/>
    <w:rsid w:val="52021EE1"/>
    <w:rsid w:val="52091E3F"/>
    <w:rsid w:val="52157E66"/>
    <w:rsid w:val="522462FB"/>
    <w:rsid w:val="52344790"/>
    <w:rsid w:val="52412A09"/>
    <w:rsid w:val="52416EAD"/>
    <w:rsid w:val="52495D62"/>
    <w:rsid w:val="5268268C"/>
    <w:rsid w:val="526861E8"/>
    <w:rsid w:val="52727F85"/>
    <w:rsid w:val="527A5F1B"/>
    <w:rsid w:val="52802336"/>
    <w:rsid w:val="52834727"/>
    <w:rsid w:val="528B1ED6"/>
    <w:rsid w:val="528B637A"/>
    <w:rsid w:val="52917D07"/>
    <w:rsid w:val="52927709"/>
    <w:rsid w:val="529A036B"/>
    <w:rsid w:val="52B70F1D"/>
    <w:rsid w:val="52C04276"/>
    <w:rsid w:val="52F61A46"/>
    <w:rsid w:val="533B1B4E"/>
    <w:rsid w:val="533B37EB"/>
    <w:rsid w:val="533C25EA"/>
    <w:rsid w:val="534E5CBB"/>
    <w:rsid w:val="534F73A8"/>
    <w:rsid w:val="535624E4"/>
    <w:rsid w:val="53852D75"/>
    <w:rsid w:val="538E6122"/>
    <w:rsid w:val="53A96AB8"/>
    <w:rsid w:val="53B11975"/>
    <w:rsid w:val="53B35B89"/>
    <w:rsid w:val="53BA6DE3"/>
    <w:rsid w:val="53D578AD"/>
    <w:rsid w:val="53F15934"/>
    <w:rsid w:val="54063F0A"/>
    <w:rsid w:val="540B32CF"/>
    <w:rsid w:val="540E6587"/>
    <w:rsid w:val="54194508"/>
    <w:rsid w:val="54224ABC"/>
    <w:rsid w:val="544F3B03"/>
    <w:rsid w:val="54671E67"/>
    <w:rsid w:val="54713E0E"/>
    <w:rsid w:val="54901A26"/>
    <w:rsid w:val="54B24092"/>
    <w:rsid w:val="54C33BA9"/>
    <w:rsid w:val="54D44008"/>
    <w:rsid w:val="54F372B3"/>
    <w:rsid w:val="54FB77E7"/>
    <w:rsid w:val="551C150B"/>
    <w:rsid w:val="556F5ADF"/>
    <w:rsid w:val="55807CEC"/>
    <w:rsid w:val="55A03EEB"/>
    <w:rsid w:val="55B33C1E"/>
    <w:rsid w:val="55CF657E"/>
    <w:rsid w:val="55E4027B"/>
    <w:rsid w:val="55EA5002"/>
    <w:rsid w:val="55F21803"/>
    <w:rsid w:val="5612303A"/>
    <w:rsid w:val="563665FD"/>
    <w:rsid w:val="564B02FA"/>
    <w:rsid w:val="5658284A"/>
    <w:rsid w:val="565A678F"/>
    <w:rsid w:val="566E5D97"/>
    <w:rsid w:val="568850AA"/>
    <w:rsid w:val="569A3030"/>
    <w:rsid w:val="56A8574D"/>
    <w:rsid w:val="56B0015D"/>
    <w:rsid w:val="56DB78D0"/>
    <w:rsid w:val="56E93B2A"/>
    <w:rsid w:val="56FB7004"/>
    <w:rsid w:val="570D1A54"/>
    <w:rsid w:val="571526B6"/>
    <w:rsid w:val="5778511F"/>
    <w:rsid w:val="577D7525"/>
    <w:rsid w:val="57886D57"/>
    <w:rsid w:val="579932E7"/>
    <w:rsid w:val="579E08FE"/>
    <w:rsid w:val="57B65C47"/>
    <w:rsid w:val="57D1482F"/>
    <w:rsid w:val="57D61E46"/>
    <w:rsid w:val="57DE0CFA"/>
    <w:rsid w:val="57F4051E"/>
    <w:rsid w:val="57F64296"/>
    <w:rsid w:val="57FA1FD8"/>
    <w:rsid w:val="58174588"/>
    <w:rsid w:val="58354DBE"/>
    <w:rsid w:val="585F62DF"/>
    <w:rsid w:val="58906498"/>
    <w:rsid w:val="589D5BEE"/>
    <w:rsid w:val="58A06A5B"/>
    <w:rsid w:val="58A12453"/>
    <w:rsid w:val="58B2640F"/>
    <w:rsid w:val="58B71C77"/>
    <w:rsid w:val="58C46142"/>
    <w:rsid w:val="58EF1411"/>
    <w:rsid w:val="590F3861"/>
    <w:rsid w:val="591D58F6"/>
    <w:rsid w:val="59213594"/>
    <w:rsid w:val="59464DA9"/>
    <w:rsid w:val="59480B21"/>
    <w:rsid w:val="59590F80"/>
    <w:rsid w:val="595B6AA6"/>
    <w:rsid w:val="597F3501"/>
    <w:rsid w:val="59A3044D"/>
    <w:rsid w:val="59AD4E28"/>
    <w:rsid w:val="59B53681"/>
    <w:rsid w:val="59E720E8"/>
    <w:rsid w:val="59E722B8"/>
    <w:rsid w:val="59FB5B93"/>
    <w:rsid w:val="5A0451DB"/>
    <w:rsid w:val="5A117165"/>
    <w:rsid w:val="5A1A070F"/>
    <w:rsid w:val="5A3E01AA"/>
    <w:rsid w:val="5A4A08C9"/>
    <w:rsid w:val="5A8E4C59"/>
    <w:rsid w:val="5AA47FD9"/>
    <w:rsid w:val="5AB3021C"/>
    <w:rsid w:val="5AC643F3"/>
    <w:rsid w:val="5ACC12DE"/>
    <w:rsid w:val="5AFF3461"/>
    <w:rsid w:val="5B1365AB"/>
    <w:rsid w:val="5B1E5FDD"/>
    <w:rsid w:val="5B3752F1"/>
    <w:rsid w:val="5B44508B"/>
    <w:rsid w:val="5B445318"/>
    <w:rsid w:val="5B484E08"/>
    <w:rsid w:val="5B5163B3"/>
    <w:rsid w:val="5B7D706E"/>
    <w:rsid w:val="5B871DD5"/>
    <w:rsid w:val="5B955B74"/>
    <w:rsid w:val="5B9C5154"/>
    <w:rsid w:val="5BCA7F13"/>
    <w:rsid w:val="5BDE576D"/>
    <w:rsid w:val="5C0C4088"/>
    <w:rsid w:val="5C512D32"/>
    <w:rsid w:val="5C841E70"/>
    <w:rsid w:val="5C886CB9"/>
    <w:rsid w:val="5C9D1184"/>
    <w:rsid w:val="5CB84210"/>
    <w:rsid w:val="5CC93D27"/>
    <w:rsid w:val="5CCC1A69"/>
    <w:rsid w:val="5CF3349A"/>
    <w:rsid w:val="5CF35248"/>
    <w:rsid w:val="5D011713"/>
    <w:rsid w:val="5D415FB3"/>
    <w:rsid w:val="5D6121B1"/>
    <w:rsid w:val="5D753EAF"/>
    <w:rsid w:val="5D906018"/>
    <w:rsid w:val="5DAA2780"/>
    <w:rsid w:val="5DB744C7"/>
    <w:rsid w:val="5DD9443E"/>
    <w:rsid w:val="5E31427A"/>
    <w:rsid w:val="5E413D91"/>
    <w:rsid w:val="5E604B5F"/>
    <w:rsid w:val="5E6348F7"/>
    <w:rsid w:val="5EA22A81"/>
    <w:rsid w:val="5EBE2451"/>
    <w:rsid w:val="5EC13871"/>
    <w:rsid w:val="5ECE3876"/>
    <w:rsid w:val="5EE02301"/>
    <w:rsid w:val="5EE66E12"/>
    <w:rsid w:val="5EE74938"/>
    <w:rsid w:val="5EF64B7B"/>
    <w:rsid w:val="5F125E59"/>
    <w:rsid w:val="5F2B6F1B"/>
    <w:rsid w:val="5F2D4A41"/>
    <w:rsid w:val="5F3F6522"/>
    <w:rsid w:val="5F661D01"/>
    <w:rsid w:val="5F6D7533"/>
    <w:rsid w:val="5FA40A7B"/>
    <w:rsid w:val="5FC058B5"/>
    <w:rsid w:val="5FC07051"/>
    <w:rsid w:val="5FCB425A"/>
    <w:rsid w:val="5FD01870"/>
    <w:rsid w:val="601E6EE1"/>
    <w:rsid w:val="60341DFF"/>
    <w:rsid w:val="60430294"/>
    <w:rsid w:val="60850EA0"/>
    <w:rsid w:val="60A24FBB"/>
    <w:rsid w:val="60AB695F"/>
    <w:rsid w:val="60C413D5"/>
    <w:rsid w:val="60C43183"/>
    <w:rsid w:val="610A53B4"/>
    <w:rsid w:val="613A550F"/>
    <w:rsid w:val="61736957"/>
    <w:rsid w:val="61A62889"/>
    <w:rsid w:val="61AF5DE8"/>
    <w:rsid w:val="61B72380"/>
    <w:rsid w:val="61C55405"/>
    <w:rsid w:val="61F01D56"/>
    <w:rsid w:val="62175534"/>
    <w:rsid w:val="6223212B"/>
    <w:rsid w:val="62283ED1"/>
    <w:rsid w:val="62652744"/>
    <w:rsid w:val="626D784A"/>
    <w:rsid w:val="628A3F58"/>
    <w:rsid w:val="62960B4F"/>
    <w:rsid w:val="62A964B2"/>
    <w:rsid w:val="62AA0157"/>
    <w:rsid w:val="62C76BE7"/>
    <w:rsid w:val="62CF4061"/>
    <w:rsid w:val="62ED4E04"/>
    <w:rsid w:val="62FC2EBF"/>
    <w:rsid w:val="63147CC6"/>
    <w:rsid w:val="63275C4B"/>
    <w:rsid w:val="63302D52"/>
    <w:rsid w:val="633B5253"/>
    <w:rsid w:val="634C3904"/>
    <w:rsid w:val="63500CFE"/>
    <w:rsid w:val="63822E81"/>
    <w:rsid w:val="63873F05"/>
    <w:rsid w:val="638B61DA"/>
    <w:rsid w:val="638E1826"/>
    <w:rsid w:val="63984453"/>
    <w:rsid w:val="639C5B8B"/>
    <w:rsid w:val="63A1155A"/>
    <w:rsid w:val="63DF2257"/>
    <w:rsid w:val="63FC0E86"/>
    <w:rsid w:val="64030466"/>
    <w:rsid w:val="6429154F"/>
    <w:rsid w:val="64296519"/>
    <w:rsid w:val="642D54E3"/>
    <w:rsid w:val="642D7291"/>
    <w:rsid w:val="646507D9"/>
    <w:rsid w:val="646D58E0"/>
    <w:rsid w:val="64A70DF2"/>
    <w:rsid w:val="64B11C70"/>
    <w:rsid w:val="6511270F"/>
    <w:rsid w:val="65442AE4"/>
    <w:rsid w:val="65532D27"/>
    <w:rsid w:val="65577329"/>
    <w:rsid w:val="655F791E"/>
    <w:rsid w:val="65613696"/>
    <w:rsid w:val="657B29C6"/>
    <w:rsid w:val="65805539"/>
    <w:rsid w:val="658B0713"/>
    <w:rsid w:val="659A0956"/>
    <w:rsid w:val="65B25B64"/>
    <w:rsid w:val="65BF216B"/>
    <w:rsid w:val="663A7A43"/>
    <w:rsid w:val="663C7C5F"/>
    <w:rsid w:val="665D15EF"/>
    <w:rsid w:val="66815672"/>
    <w:rsid w:val="668313EA"/>
    <w:rsid w:val="668F4233"/>
    <w:rsid w:val="66B15B81"/>
    <w:rsid w:val="66B15F58"/>
    <w:rsid w:val="66C6549F"/>
    <w:rsid w:val="66C832A1"/>
    <w:rsid w:val="66CF2882"/>
    <w:rsid w:val="66D659BE"/>
    <w:rsid w:val="67006EDF"/>
    <w:rsid w:val="6707201B"/>
    <w:rsid w:val="671604B0"/>
    <w:rsid w:val="672030DD"/>
    <w:rsid w:val="67283D40"/>
    <w:rsid w:val="672F50CE"/>
    <w:rsid w:val="67890C82"/>
    <w:rsid w:val="67912D2E"/>
    <w:rsid w:val="67B11F87"/>
    <w:rsid w:val="67C95523"/>
    <w:rsid w:val="67CF495D"/>
    <w:rsid w:val="67D30150"/>
    <w:rsid w:val="67D33753"/>
    <w:rsid w:val="67E759A9"/>
    <w:rsid w:val="67F307F2"/>
    <w:rsid w:val="67FC76A6"/>
    <w:rsid w:val="68131B98"/>
    <w:rsid w:val="683230C8"/>
    <w:rsid w:val="683C7AA3"/>
    <w:rsid w:val="68420E31"/>
    <w:rsid w:val="68664B20"/>
    <w:rsid w:val="68965FFB"/>
    <w:rsid w:val="68A45648"/>
    <w:rsid w:val="68B95597"/>
    <w:rsid w:val="68BE2BAE"/>
    <w:rsid w:val="68C84930"/>
    <w:rsid w:val="68CD4B9F"/>
    <w:rsid w:val="68CF0917"/>
    <w:rsid w:val="68E41190"/>
    <w:rsid w:val="68EA5751"/>
    <w:rsid w:val="68F16ADF"/>
    <w:rsid w:val="68F76B85"/>
    <w:rsid w:val="690B56C7"/>
    <w:rsid w:val="691E364C"/>
    <w:rsid w:val="692A0243"/>
    <w:rsid w:val="692F6CC9"/>
    <w:rsid w:val="69320EA6"/>
    <w:rsid w:val="69385A35"/>
    <w:rsid w:val="694F1A58"/>
    <w:rsid w:val="696848C8"/>
    <w:rsid w:val="69800D04"/>
    <w:rsid w:val="699527B5"/>
    <w:rsid w:val="699658D9"/>
    <w:rsid w:val="69AE2C22"/>
    <w:rsid w:val="69DB153D"/>
    <w:rsid w:val="69DF4B8A"/>
    <w:rsid w:val="6A077BFA"/>
    <w:rsid w:val="6A266C5C"/>
    <w:rsid w:val="6A3C022E"/>
    <w:rsid w:val="6A445335"/>
    <w:rsid w:val="6A4E3ABD"/>
    <w:rsid w:val="6A8219B9"/>
    <w:rsid w:val="6AA45DD3"/>
    <w:rsid w:val="6ABF152D"/>
    <w:rsid w:val="6ACA583A"/>
    <w:rsid w:val="6AD93CCF"/>
    <w:rsid w:val="6B1B7E43"/>
    <w:rsid w:val="6B215D18"/>
    <w:rsid w:val="6B2968F7"/>
    <w:rsid w:val="6B43739A"/>
    <w:rsid w:val="6B9145AA"/>
    <w:rsid w:val="6BAD2A66"/>
    <w:rsid w:val="6BDA7CFF"/>
    <w:rsid w:val="6BFD39ED"/>
    <w:rsid w:val="6C027255"/>
    <w:rsid w:val="6C042FCD"/>
    <w:rsid w:val="6C180827"/>
    <w:rsid w:val="6C184D23"/>
    <w:rsid w:val="6C21592D"/>
    <w:rsid w:val="6C256D85"/>
    <w:rsid w:val="6C276CBC"/>
    <w:rsid w:val="6C2F1CA6"/>
    <w:rsid w:val="6C44786E"/>
    <w:rsid w:val="6C6475C8"/>
    <w:rsid w:val="6C682919"/>
    <w:rsid w:val="6C8E0AE9"/>
    <w:rsid w:val="6CD96208"/>
    <w:rsid w:val="6CF13610"/>
    <w:rsid w:val="6D03108D"/>
    <w:rsid w:val="6D2D3E5E"/>
    <w:rsid w:val="6D4F4DE2"/>
    <w:rsid w:val="6D5C3BD4"/>
    <w:rsid w:val="6D633D24"/>
    <w:rsid w:val="6D6FF3C5"/>
    <w:rsid w:val="6D7D4DE5"/>
    <w:rsid w:val="6D8141AA"/>
    <w:rsid w:val="6D837F22"/>
    <w:rsid w:val="6D8D0DA1"/>
    <w:rsid w:val="6D9263B7"/>
    <w:rsid w:val="6DA305C4"/>
    <w:rsid w:val="6DAC56CB"/>
    <w:rsid w:val="6DC02F24"/>
    <w:rsid w:val="6DC36570"/>
    <w:rsid w:val="6DC42A14"/>
    <w:rsid w:val="6DCF760B"/>
    <w:rsid w:val="6DDF02A1"/>
    <w:rsid w:val="6DEA7FA1"/>
    <w:rsid w:val="6DEE3966"/>
    <w:rsid w:val="6DFB3F5C"/>
    <w:rsid w:val="6E002155"/>
    <w:rsid w:val="6E02353D"/>
    <w:rsid w:val="6E0472B5"/>
    <w:rsid w:val="6E153270"/>
    <w:rsid w:val="6E4B6C92"/>
    <w:rsid w:val="6E5D69C5"/>
    <w:rsid w:val="6EA6211A"/>
    <w:rsid w:val="6EAB5982"/>
    <w:rsid w:val="6EB760D5"/>
    <w:rsid w:val="6EC30F1E"/>
    <w:rsid w:val="6F120007"/>
    <w:rsid w:val="6F2458C7"/>
    <w:rsid w:val="6F375468"/>
    <w:rsid w:val="6F5A4CB2"/>
    <w:rsid w:val="6F7246F2"/>
    <w:rsid w:val="6F773AB6"/>
    <w:rsid w:val="6F946416"/>
    <w:rsid w:val="6F991C7F"/>
    <w:rsid w:val="6FB865A9"/>
    <w:rsid w:val="6FC00FB9"/>
    <w:rsid w:val="6FC84A52"/>
    <w:rsid w:val="6FE32EFA"/>
    <w:rsid w:val="6FEE52B1"/>
    <w:rsid w:val="6FF566BC"/>
    <w:rsid w:val="70074E3A"/>
    <w:rsid w:val="70147557"/>
    <w:rsid w:val="70205EFC"/>
    <w:rsid w:val="703F4217"/>
    <w:rsid w:val="7064228D"/>
    <w:rsid w:val="7064403B"/>
    <w:rsid w:val="7069099C"/>
    <w:rsid w:val="70A72179"/>
    <w:rsid w:val="70B506ED"/>
    <w:rsid w:val="70CB40BA"/>
    <w:rsid w:val="70D04D21"/>
    <w:rsid w:val="70D402B2"/>
    <w:rsid w:val="70DF1913"/>
    <w:rsid w:val="71092E34"/>
    <w:rsid w:val="71257C6E"/>
    <w:rsid w:val="7128150C"/>
    <w:rsid w:val="714F4CEB"/>
    <w:rsid w:val="715A5FAA"/>
    <w:rsid w:val="718F42BC"/>
    <w:rsid w:val="71AB7A47"/>
    <w:rsid w:val="71DE1BCB"/>
    <w:rsid w:val="71EA67C2"/>
    <w:rsid w:val="71F92EA9"/>
    <w:rsid w:val="721E46BD"/>
    <w:rsid w:val="722C2936"/>
    <w:rsid w:val="72331F17"/>
    <w:rsid w:val="723932A5"/>
    <w:rsid w:val="72532E48"/>
    <w:rsid w:val="72636DB3"/>
    <w:rsid w:val="726522EC"/>
    <w:rsid w:val="72783AB5"/>
    <w:rsid w:val="72A66B8C"/>
    <w:rsid w:val="72BE3C8A"/>
    <w:rsid w:val="72D059B7"/>
    <w:rsid w:val="72D134DE"/>
    <w:rsid w:val="72DB435C"/>
    <w:rsid w:val="72DC2ECB"/>
    <w:rsid w:val="72E476B5"/>
    <w:rsid w:val="72E80B03"/>
    <w:rsid w:val="72F316A6"/>
    <w:rsid w:val="7318735E"/>
    <w:rsid w:val="731A30D6"/>
    <w:rsid w:val="73261A7B"/>
    <w:rsid w:val="73267CCD"/>
    <w:rsid w:val="73306456"/>
    <w:rsid w:val="733F48EB"/>
    <w:rsid w:val="73410663"/>
    <w:rsid w:val="73571C35"/>
    <w:rsid w:val="73A1070C"/>
    <w:rsid w:val="73A33B75"/>
    <w:rsid w:val="73D67E93"/>
    <w:rsid w:val="73FC0A2E"/>
    <w:rsid w:val="74065409"/>
    <w:rsid w:val="740D49E9"/>
    <w:rsid w:val="74454183"/>
    <w:rsid w:val="74512B28"/>
    <w:rsid w:val="746C5BB4"/>
    <w:rsid w:val="748C3B60"/>
    <w:rsid w:val="748C590E"/>
    <w:rsid w:val="749427C5"/>
    <w:rsid w:val="749869A9"/>
    <w:rsid w:val="7499002B"/>
    <w:rsid w:val="74A23383"/>
    <w:rsid w:val="74A25132"/>
    <w:rsid w:val="74B33F8C"/>
    <w:rsid w:val="74C90910"/>
    <w:rsid w:val="74EB4D2A"/>
    <w:rsid w:val="750A2CD7"/>
    <w:rsid w:val="75175B20"/>
    <w:rsid w:val="75461F61"/>
    <w:rsid w:val="758E3908"/>
    <w:rsid w:val="75970A0E"/>
    <w:rsid w:val="759A22AD"/>
    <w:rsid w:val="759E3B4B"/>
    <w:rsid w:val="76053BCA"/>
    <w:rsid w:val="760D6F22"/>
    <w:rsid w:val="761B33ED"/>
    <w:rsid w:val="762322A2"/>
    <w:rsid w:val="762A1882"/>
    <w:rsid w:val="763371A8"/>
    <w:rsid w:val="7641097A"/>
    <w:rsid w:val="764861AD"/>
    <w:rsid w:val="766703E1"/>
    <w:rsid w:val="766F7295"/>
    <w:rsid w:val="768455F4"/>
    <w:rsid w:val="76937428"/>
    <w:rsid w:val="769D02A6"/>
    <w:rsid w:val="76B13D52"/>
    <w:rsid w:val="76CA6BC2"/>
    <w:rsid w:val="76F76977"/>
    <w:rsid w:val="77033E32"/>
    <w:rsid w:val="770E4D00"/>
    <w:rsid w:val="77112A42"/>
    <w:rsid w:val="771A18F7"/>
    <w:rsid w:val="777059BB"/>
    <w:rsid w:val="779C67B0"/>
    <w:rsid w:val="77A25449"/>
    <w:rsid w:val="77A6318B"/>
    <w:rsid w:val="77C431BA"/>
    <w:rsid w:val="77E172D6"/>
    <w:rsid w:val="77E3618D"/>
    <w:rsid w:val="78174685"/>
    <w:rsid w:val="783C3AEF"/>
    <w:rsid w:val="783C764B"/>
    <w:rsid w:val="78434E7D"/>
    <w:rsid w:val="784917E7"/>
    <w:rsid w:val="784F55D0"/>
    <w:rsid w:val="785250C1"/>
    <w:rsid w:val="78540E39"/>
    <w:rsid w:val="78656BA2"/>
    <w:rsid w:val="786D1EFA"/>
    <w:rsid w:val="786F7A21"/>
    <w:rsid w:val="7872306D"/>
    <w:rsid w:val="78774B27"/>
    <w:rsid w:val="78852719"/>
    <w:rsid w:val="788A485A"/>
    <w:rsid w:val="789D458E"/>
    <w:rsid w:val="78D87374"/>
    <w:rsid w:val="78F16688"/>
    <w:rsid w:val="79122BBD"/>
    <w:rsid w:val="791B1956"/>
    <w:rsid w:val="79202AC9"/>
    <w:rsid w:val="7924080B"/>
    <w:rsid w:val="793F5645"/>
    <w:rsid w:val="796C3F60"/>
    <w:rsid w:val="79986B03"/>
    <w:rsid w:val="799F08B0"/>
    <w:rsid w:val="79A4194C"/>
    <w:rsid w:val="79AE6327"/>
    <w:rsid w:val="79B17C70"/>
    <w:rsid w:val="79CC30A8"/>
    <w:rsid w:val="79DD09BA"/>
    <w:rsid w:val="7A04063C"/>
    <w:rsid w:val="7A382561"/>
    <w:rsid w:val="7A3C7DD6"/>
    <w:rsid w:val="7A5E7D4D"/>
    <w:rsid w:val="7A6B4218"/>
    <w:rsid w:val="7A7A445B"/>
    <w:rsid w:val="7A8772A3"/>
    <w:rsid w:val="7AAD65DE"/>
    <w:rsid w:val="7AB12572"/>
    <w:rsid w:val="7AB20098"/>
    <w:rsid w:val="7AD41DBD"/>
    <w:rsid w:val="7AF2562B"/>
    <w:rsid w:val="7AF83CFD"/>
    <w:rsid w:val="7B1623D5"/>
    <w:rsid w:val="7B2C7E4B"/>
    <w:rsid w:val="7B5353D8"/>
    <w:rsid w:val="7B5A49B8"/>
    <w:rsid w:val="7B71585E"/>
    <w:rsid w:val="7B7B048A"/>
    <w:rsid w:val="7B8E6410"/>
    <w:rsid w:val="7BC25D04"/>
    <w:rsid w:val="7BD61B65"/>
    <w:rsid w:val="7BD858DD"/>
    <w:rsid w:val="7C183F2B"/>
    <w:rsid w:val="7C2142C3"/>
    <w:rsid w:val="7C350F81"/>
    <w:rsid w:val="7C6B04FF"/>
    <w:rsid w:val="7C896BD7"/>
    <w:rsid w:val="7CA65FCE"/>
    <w:rsid w:val="7D0050EB"/>
    <w:rsid w:val="7D0E54AB"/>
    <w:rsid w:val="7D1868D9"/>
    <w:rsid w:val="7D225061"/>
    <w:rsid w:val="7D3B716A"/>
    <w:rsid w:val="7D3D43E8"/>
    <w:rsid w:val="7D474AC8"/>
    <w:rsid w:val="7D520755"/>
    <w:rsid w:val="7D5B4A17"/>
    <w:rsid w:val="7D697134"/>
    <w:rsid w:val="7D6A6A08"/>
    <w:rsid w:val="7D6D4590"/>
    <w:rsid w:val="7D715FE9"/>
    <w:rsid w:val="7D8775BA"/>
    <w:rsid w:val="7D894D45"/>
    <w:rsid w:val="7D8A0E59"/>
    <w:rsid w:val="7DC00FA5"/>
    <w:rsid w:val="7DC66335"/>
    <w:rsid w:val="7DF804B8"/>
    <w:rsid w:val="7E4436FD"/>
    <w:rsid w:val="7E494870"/>
    <w:rsid w:val="7E527BC8"/>
    <w:rsid w:val="7E77762F"/>
    <w:rsid w:val="7EAB220B"/>
    <w:rsid w:val="7EC34622"/>
    <w:rsid w:val="7ED24865"/>
    <w:rsid w:val="7EDC7492"/>
    <w:rsid w:val="7EEA1BAF"/>
    <w:rsid w:val="7F0864D9"/>
    <w:rsid w:val="7F0A3FFF"/>
    <w:rsid w:val="7F0C421B"/>
    <w:rsid w:val="7F27789E"/>
    <w:rsid w:val="7F4E1E0F"/>
    <w:rsid w:val="7F500FA4"/>
    <w:rsid w:val="7F5F07EF"/>
    <w:rsid w:val="7F857B2A"/>
    <w:rsid w:val="7F8C2A38"/>
    <w:rsid w:val="7FB228AD"/>
    <w:rsid w:val="7FD013D0"/>
    <w:rsid w:val="7FEF0223"/>
    <w:rsid w:val="7FF058EB"/>
    <w:rsid w:val="EDFE33B9"/>
    <w:rsid w:val="F5FF0F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8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pPr>
      <w:spacing w:after="120"/>
    </w:pPr>
  </w:style>
  <w:style w:type="paragraph" w:styleId="15">
    <w:name w:val="toc 2"/>
    <w:basedOn w:val="1"/>
    <w:next w:val="1"/>
    <w:unhideWhenUsed/>
    <w:qFormat/>
    <w:uiPriority w:val="39"/>
    <w:pPr>
      <w:spacing w:after="57"/>
      <w:ind w:left="283" w:right="0" w:firstLine="0"/>
    </w:pPr>
  </w:style>
  <w:style w:type="paragraph" w:styleId="16">
    <w:name w:val="index 4"/>
    <w:basedOn w:val="1"/>
    <w:next w:val="1"/>
    <w:qFormat/>
    <w:uiPriority w:val="99"/>
    <w:pPr>
      <w:ind w:left="600"/>
    </w:pPr>
    <w:rPr>
      <w:szCs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64"/>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标题 2 Char"/>
    <w:link w:val="40"/>
    <w:qFormat/>
    <w:uiPriority w:val="9"/>
    <w:rPr>
      <w:rFonts w:ascii="Arial" w:hAnsi="Arial" w:eastAsia="幼圆" w:cs="Arial"/>
      <w:b/>
      <w:bCs/>
      <w:sz w:val="44"/>
      <w:szCs w:val="44"/>
    </w:rPr>
  </w:style>
  <w:style w:type="paragraph" w:customStyle="1" w:styleId="40">
    <w:name w:val="标题 21"/>
    <w:basedOn w:val="1"/>
    <w:next w:val="1"/>
    <w:link w:val="39"/>
    <w:qFormat/>
    <w:uiPriority w:val="9"/>
    <w:pPr>
      <w:keepNext/>
      <w:keepLines/>
      <w:spacing w:before="260" w:after="260" w:line="416" w:lineRule="auto"/>
      <w:jc w:val="center"/>
      <w:outlineLvl w:val="1"/>
    </w:pPr>
    <w:rPr>
      <w:rFonts w:ascii="Arial" w:hAnsi="Arial" w:eastAsia="幼圆" w:cs="Arial"/>
      <w:b/>
      <w:bCs/>
      <w:sz w:val="44"/>
      <w:szCs w:val="44"/>
    </w:rPr>
  </w:style>
  <w:style w:type="character" w:customStyle="1" w:styleId="41">
    <w:name w:val="标题 1 Char1"/>
    <w:link w:val="1"/>
    <w:qFormat/>
    <w:uiPriority w:val="0"/>
    <w:rPr>
      <w:b/>
      <w:sz w:val="44"/>
    </w:rPr>
  </w:style>
  <w:style w:type="character" w:customStyle="1" w:styleId="42">
    <w:name w:val="标题 3 Char1"/>
    <w:link w:val="1"/>
    <w:qFormat/>
    <w:uiPriority w:val="0"/>
    <w:rPr>
      <w:b/>
      <w:sz w:val="32"/>
    </w:rPr>
  </w:style>
  <w:style w:type="character" w:customStyle="1" w:styleId="43">
    <w:name w:val="Quote Char"/>
    <w:qFormat/>
    <w:uiPriority w:val="29"/>
    <w:rPr>
      <w:i/>
    </w:rPr>
  </w:style>
  <w:style w:type="character" w:customStyle="1" w:styleId="44">
    <w:name w:val="Intense Quote Char"/>
    <w:qFormat/>
    <w:uiPriority w:val="30"/>
    <w:rPr>
      <w:i/>
    </w:rPr>
  </w:style>
  <w:style w:type="table" w:customStyle="1" w:styleId="4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4">
    <w:name w:val="Endnote Text Char"/>
    <w:link w:val="20"/>
    <w:qFormat/>
    <w:uiPriority w:val="99"/>
    <w:rPr>
      <w:sz w:val="20"/>
    </w:r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标题 11"/>
    <w:basedOn w:val="1"/>
    <w:next w:val="1"/>
    <w:link w:val="77"/>
    <w:qFormat/>
    <w:uiPriority w:val="9"/>
    <w:pPr>
      <w:keepNext/>
      <w:jc w:val="center"/>
      <w:outlineLvl w:val="0"/>
    </w:pPr>
    <w:rPr>
      <w:rFonts w:ascii="楷体_GB2312" w:eastAsia="楷体_GB2312"/>
      <w:sz w:val="28"/>
      <w:szCs w:val="28"/>
    </w:rPr>
  </w:style>
  <w:style w:type="paragraph" w:customStyle="1" w:styleId="67">
    <w:name w:val="标题 31"/>
    <w:basedOn w:val="1"/>
    <w:next w:val="68"/>
    <w:link w:val="78"/>
    <w:qFormat/>
    <w:uiPriority w:val="9"/>
    <w:pPr>
      <w:keepNext/>
      <w:keepLines/>
      <w:spacing w:before="260" w:after="260" w:line="416" w:lineRule="auto"/>
      <w:outlineLvl w:val="2"/>
    </w:pPr>
    <w:rPr>
      <w:b/>
      <w:bCs/>
      <w:sz w:val="32"/>
      <w:szCs w:val="32"/>
    </w:rPr>
  </w:style>
  <w:style w:type="paragraph" w:customStyle="1" w:styleId="68">
    <w:name w:val="正文缩进11"/>
    <w:basedOn w:val="1"/>
    <w:link w:val="79"/>
    <w:qFormat/>
    <w:uiPriority w:val="0"/>
    <w:pPr>
      <w:ind w:firstLine="420"/>
    </w:pPr>
    <w:rPr>
      <w:szCs w:val="21"/>
    </w:rPr>
  </w:style>
  <w:style w:type="paragraph" w:customStyle="1" w:styleId="69">
    <w:name w:val="标题 41"/>
    <w:basedOn w:val="1"/>
    <w:next w:val="68"/>
    <w:link w:val="80"/>
    <w:qFormat/>
    <w:uiPriority w:val="9"/>
    <w:pPr>
      <w:keepNext/>
      <w:keepLines/>
      <w:spacing w:before="280" w:after="290" w:line="376" w:lineRule="auto"/>
      <w:outlineLvl w:val="3"/>
    </w:pPr>
    <w:rPr>
      <w:rFonts w:ascii="Arial" w:hAnsi="Arial" w:eastAsia="黑体" w:cs="Arial"/>
      <w:b/>
      <w:bCs/>
      <w:sz w:val="28"/>
      <w:szCs w:val="28"/>
    </w:rPr>
  </w:style>
  <w:style w:type="paragraph" w:customStyle="1" w:styleId="70">
    <w:name w:val="标题 51"/>
    <w:basedOn w:val="1"/>
    <w:next w:val="68"/>
    <w:link w:val="81"/>
    <w:qFormat/>
    <w:uiPriority w:val="9"/>
    <w:pPr>
      <w:keepNext/>
      <w:outlineLvl w:val="4"/>
    </w:pPr>
    <w:rPr>
      <w:rFonts w:ascii="宋体"/>
      <w:color w:val="000000"/>
      <w:sz w:val="28"/>
      <w:szCs w:val="28"/>
    </w:rPr>
  </w:style>
  <w:style w:type="paragraph" w:customStyle="1" w:styleId="71">
    <w:name w:val="标题 61"/>
    <w:basedOn w:val="1"/>
    <w:next w:val="1"/>
    <w:link w:val="8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72">
    <w:name w:val="标题 71"/>
    <w:basedOn w:val="1"/>
    <w:next w:val="1"/>
    <w:link w:val="83"/>
    <w:qFormat/>
    <w:uiPriority w:val="0"/>
    <w:pPr>
      <w:keepNext/>
      <w:keepLines/>
      <w:numPr>
        <w:ilvl w:val="6"/>
        <w:numId w:val="1"/>
      </w:numPr>
      <w:spacing w:before="240" w:after="64" w:line="320" w:lineRule="auto"/>
      <w:outlineLvl w:val="6"/>
    </w:pPr>
    <w:rPr>
      <w:b/>
      <w:bCs/>
      <w:sz w:val="24"/>
      <w:szCs w:val="24"/>
    </w:rPr>
  </w:style>
  <w:style w:type="paragraph" w:customStyle="1" w:styleId="73">
    <w:name w:val="标题 81"/>
    <w:basedOn w:val="1"/>
    <w:next w:val="1"/>
    <w:link w:val="8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74">
    <w:name w:val="标题 91"/>
    <w:basedOn w:val="1"/>
    <w:next w:val="1"/>
    <w:link w:val="85"/>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75">
    <w:name w:val="默认段落字体1"/>
    <w:link w:val="1"/>
    <w:unhideWhenUsed/>
    <w:qFormat/>
    <w:uiPriority w:val="1"/>
  </w:style>
  <w:style w:type="table" w:customStyle="1" w:styleId="76">
    <w:name w:val="普通表格1"/>
    <w:unhideWhenUsed/>
    <w:qFormat/>
    <w:uiPriority w:val="99"/>
  </w:style>
  <w:style w:type="character" w:customStyle="1" w:styleId="77">
    <w:name w:val="标题 1 Char"/>
    <w:link w:val="66"/>
    <w:qFormat/>
    <w:uiPriority w:val="9"/>
    <w:rPr>
      <w:rFonts w:ascii="楷体_GB2312" w:hAnsi="Times New Roman" w:eastAsia="楷体_GB2312" w:cs="Times New Roman"/>
      <w:sz w:val="28"/>
      <w:szCs w:val="28"/>
    </w:rPr>
  </w:style>
  <w:style w:type="character" w:customStyle="1" w:styleId="78">
    <w:name w:val="标题 3 Char"/>
    <w:link w:val="67"/>
    <w:qFormat/>
    <w:uiPriority w:val="9"/>
    <w:rPr>
      <w:rFonts w:ascii="Times New Roman" w:hAnsi="Times New Roman" w:eastAsia="宋体" w:cs="Times New Roman"/>
      <w:b/>
      <w:bCs/>
      <w:sz w:val="32"/>
      <w:szCs w:val="32"/>
    </w:rPr>
  </w:style>
  <w:style w:type="character" w:customStyle="1" w:styleId="79">
    <w:name w:val="正文缩进 Char"/>
    <w:link w:val="68"/>
    <w:qFormat/>
    <w:uiPriority w:val="0"/>
    <w:rPr>
      <w:szCs w:val="21"/>
    </w:rPr>
  </w:style>
  <w:style w:type="character" w:customStyle="1" w:styleId="80">
    <w:name w:val="标题 4 Char"/>
    <w:link w:val="69"/>
    <w:qFormat/>
    <w:uiPriority w:val="9"/>
    <w:rPr>
      <w:rFonts w:ascii="Arial" w:hAnsi="Arial" w:eastAsia="黑体" w:cs="Arial"/>
      <w:b/>
      <w:bCs/>
      <w:sz w:val="28"/>
      <w:szCs w:val="28"/>
    </w:rPr>
  </w:style>
  <w:style w:type="character" w:customStyle="1" w:styleId="81">
    <w:name w:val="标题 5 Char"/>
    <w:link w:val="70"/>
    <w:qFormat/>
    <w:uiPriority w:val="9"/>
    <w:rPr>
      <w:rFonts w:ascii="宋体" w:hAnsi="Times New Roman" w:eastAsia="宋体" w:cs="Times New Roman"/>
      <w:color w:val="000000"/>
      <w:sz w:val="28"/>
      <w:szCs w:val="28"/>
    </w:rPr>
  </w:style>
  <w:style w:type="character" w:customStyle="1" w:styleId="82">
    <w:name w:val="标题 6 Char"/>
    <w:link w:val="71"/>
    <w:qFormat/>
    <w:uiPriority w:val="0"/>
    <w:rPr>
      <w:rFonts w:ascii="Arial" w:hAnsi="Arial" w:eastAsia="黑体"/>
      <w:b/>
      <w:bCs/>
      <w:sz w:val="24"/>
      <w:szCs w:val="24"/>
    </w:rPr>
  </w:style>
  <w:style w:type="character" w:customStyle="1" w:styleId="83">
    <w:name w:val="标题 7 Char"/>
    <w:link w:val="72"/>
    <w:qFormat/>
    <w:uiPriority w:val="0"/>
    <w:rPr>
      <w:b/>
      <w:bCs/>
      <w:sz w:val="24"/>
      <w:szCs w:val="24"/>
    </w:rPr>
  </w:style>
  <w:style w:type="character" w:customStyle="1" w:styleId="84">
    <w:name w:val="标题 8 Char"/>
    <w:link w:val="73"/>
    <w:qFormat/>
    <w:uiPriority w:val="0"/>
    <w:rPr>
      <w:rFonts w:ascii="Arial" w:hAnsi="Arial" w:eastAsia="黑体"/>
      <w:sz w:val="24"/>
      <w:szCs w:val="24"/>
    </w:rPr>
  </w:style>
  <w:style w:type="character" w:customStyle="1" w:styleId="85">
    <w:name w:val="标题 9 Char"/>
    <w:link w:val="74"/>
    <w:qFormat/>
    <w:uiPriority w:val="0"/>
    <w:rPr>
      <w:rFonts w:ascii="Arial" w:hAnsi="Arial" w:eastAsia="黑体"/>
      <w:sz w:val="21"/>
      <w:szCs w:val="21"/>
    </w:rPr>
  </w:style>
  <w:style w:type="paragraph" w:customStyle="1" w:styleId="86">
    <w:name w:val="列表 31"/>
    <w:basedOn w:val="1"/>
    <w:qFormat/>
    <w:uiPriority w:val="0"/>
    <w:pPr>
      <w:ind w:left="100" w:hanging="200"/>
    </w:pPr>
    <w:rPr>
      <w:szCs w:val="21"/>
    </w:rPr>
  </w:style>
  <w:style w:type="paragraph" w:customStyle="1" w:styleId="87">
    <w:name w:val="目录 71"/>
    <w:basedOn w:val="1"/>
    <w:next w:val="1"/>
    <w:qFormat/>
    <w:uiPriority w:val="39"/>
    <w:pPr>
      <w:ind w:left="1260"/>
      <w:jc w:val="left"/>
    </w:pPr>
    <w:rPr>
      <w:szCs w:val="21"/>
    </w:rPr>
  </w:style>
  <w:style w:type="paragraph" w:customStyle="1" w:styleId="88">
    <w:name w:val="列表编号 21"/>
    <w:basedOn w:val="1"/>
    <w:unhideWhenUsed/>
    <w:qFormat/>
    <w:uiPriority w:val="99"/>
    <w:pPr>
      <w:ind w:left="620" w:hanging="420"/>
      <w:contextualSpacing/>
    </w:pPr>
    <w:rPr>
      <w:szCs w:val="24"/>
    </w:rPr>
  </w:style>
  <w:style w:type="paragraph" w:customStyle="1" w:styleId="89">
    <w:name w:val="列表编号1"/>
    <w:basedOn w:val="90"/>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90">
    <w:name w:val="列表11"/>
    <w:basedOn w:val="1"/>
    <w:qFormat/>
    <w:uiPriority w:val="0"/>
    <w:pPr>
      <w:ind w:left="200" w:hanging="200"/>
    </w:pPr>
    <w:rPr>
      <w:szCs w:val="21"/>
    </w:rPr>
  </w:style>
  <w:style w:type="paragraph" w:customStyle="1" w:styleId="91">
    <w:name w:val="题注1"/>
    <w:basedOn w:val="1"/>
    <w:next w:val="1"/>
    <w:link w:val="92"/>
    <w:unhideWhenUsed/>
    <w:qFormat/>
    <w:uiPriority w:val="35"/>
    <w:pPr>
      <w:spacing w:line="276" w:lineRule="auto"/>
    </w:pPr>
    <w:rPr>
      <w:b/>
      <w:bCs/>
      <w:color w:val="4F81BD"/>
      <w:sz w:val="18"/>
      <w:szCs w:val="18"/>
    </w:rPr>
  </w:style>
  <w:style w:type="character" w:customStyle="1" w:styleId="92">
    <w:name w:val="题注 Char"/>
    <w:link w:val="91"/>
    <w:qFormat/>
    <w:uiPriority w:val="35"/>
    <w:rPr>
      <w:b/>
      <w:bCs/>
      <w:color w:val="4F81BD"/>
      <w:sz w:val="18"/>
      <w:szCs w:val="18"/>
    </w:rPr>
  </w:style>
  <w:style w:type="paragraph" w:customStyle="1" w:styleId="93">
    <w:name w:val="文档结构图11"/>
    <w:basedOn w:val="1"/>
    <w:link w:val="94"/>
    <w:qFormat/>
    <w:uiPriority w:val="99"/>
    <w:pPr>
      <w:shd w:val="clear" w:color="auto" w:fill="000080"/>
    </w:pPr>
    <w:rPr>
      <w:szCs w:val="21"/>
    </w:rPr>
  </w:style>
  <w:style w:type="character" w:customStyle="1" w:styleId="94">
    <w:name w:val="文档结构图 Char"/>
    <w:link w:val="93"/>
    <w:qFormat/>
    <w:uiPriority w:val="99"/>
    <w:rPr>
      <w:rFonts w:ascii="Times New Roman" w:hAnsi="Times New Roman" w:eastAsia="宋体" w:cs="Times New Roman"/>
      <w:szCs w:val="21"/>
      <w:shd w:val="clear" w:color="auto" w:fill="000080"/>
    </w:rPr>
  </w:style>
  <w:style w:type="paragraph" w:customStyle="1" w:styleId="95">
    <w:name w:val="引文目录标题1"/>
    <w:basedOn w:val="1"/>
    <w:next w:val="1"/>
    <w:qFormat/>
    <w:uiPriority w:val="0"/>
    <w:pPr>
      <w:spacing w:before="120" w:line="360" w:lineRule="auto"/>
      <w:ind w:firstLine="480"/>
    </w:pPr>
    <w:rPr>
      <w:rFonts w:ascii="Arial" w:hAnsi="Arial"/>
      <w:szCs w:val="24"/>
    </w:rPr>
  </w:style>
  <w:style w:type="paragraph" w:customStyle="1" w:styleId="96">
    <w:name w:val="批注文字1"/>
    <w:basedOn w:val="1"/>
    <w:link w:val="97"/>
    <w:unhideWhenUsed/>
    <w:qFormat/>
    <w:uiPriority w:val="99"/>
    <w:pPr>
      <w:jc w:val="left"/>
    </w:pPr>
  </w:style>
  <w:style w:type="character" w:customStyle="1" w:styleId="97">
    <w:name w:val="批注文字 Char"/>
    <w:basedOn w:val="75"/>
    <w:link w:val="96"/>
    <w:qFormat/>
    <w:uiPriority w:val="99"/>
  </w:style>
  <w:style w:type="paragraph" w:customStyle="1" w:styleId="98">
    <w:name w:val="正文文本 311"/>
    <w:basedOn w:val="1"/>
    <w:link w:val="99"/>
    <w:qFormat/>
    <w:uiPriority w:val="0"/>
    <w:rPr>
      <w:rFonts w:ascii="仿宋_GB2312" w:hAnsi="Arial" w:eastAsia="仿宋_GB2312"/>
      <w:sz w:val="32"/>
      <w:szCs w:val="32"/>
    </w:rPr>
  </w:style>
  <w:style w:type="character" w:customStyle="1" w:styleId="99">
    <w:name w:val="正文文本 3 Char"/>
    <w:link w:val="98"/>
    <w:qFormat/>
    <w:uiPriority w:val="0"/>
    <w:rPr>
      <w:rFonts w:ascii="仿宋_GB2312" w:hAnsi="Arial" w:eastAsia="仿宋_GB2312" w:cs="Times New Roman"/>
      <w:sz w:val="32"/>
      <w:szCs w:val="32"/>
    </w:rPr>
  </w:style>
  <w:style w:type="paragraph" w:customStyle="1" w:styleId="100">
    <w:name w:val="正文文本1"/>
    <w:basedOn w:val="1"/>
    <w:next w:val="1"/>
    <w:link w:val="101"/>
    <w:qFormat/>
    <w:uiPriority w:val="0"/>
    <w:rPr>
      <w:rFonts w:ascii="楷体_GB2312" w:hAnsi="Arial" w:eastAsia="楷体_GB2312"/>
      <w:sz w:val="28"/>
      <w:szCs w:val="28"/>
    </w:rPr>
  </w:style>
  <w:style w:type="character" w:customStyle="1" w:styleId="101">
    <w:name w:val="正文文本 Char"/>
    <w:link w:val="100"/>
    <w:qFormat/>
    <w:uiPriority w:val="99"/>
    <w:rPr>
      <w:rFonts w:ascii="楷体_GB2312" w:hAnsi="Arial" w:eastAsia="楷体_GB2312" w:cs="Times New Roman"/>
      <w:sz w:val="28"/>
      <w:szCs w:val="28"/>
    </w:rPr>
  </w:style>
  <w:style w:type="paragraph" w:customStyle="1" w:styleId="102">
    <w:name w:val="正文文本缩进11"/>
    <w:basedOn w:val="1"/>
    <w:link w:val="103"/>
    <w:unhideWhenUsed/>
    <w:qFormat/>
    <w:uiPriority w:val="99"/>
    <w:pPr>
      <w:spacing w:after="120"/>
      <w:ind w:left="420"/>
    </w:pPr>
  </w:style>
  <w:style w:type="character" w:customStyle="1" w:styleId="103">
    <w:name w:val="正文文本缩进 Char"/>
    <w:basedOn w:val="75"/>
    <w:link w:val="102"/>
    <w:qFormat/>
    <w:uiPriority w:val="0"/>
  </w:style>
  <w:style w:type="paragraph" w:customStyle="1" w:styleId="104">
    <w:name w:val="列表 21"/>
    <w:basedOn w:val="1"/>
    <w:qFormat/>
    <w:uiPriority w:val="0"/>
    <w:pPr>
      <w:ind w:left="100" w:hanging="200"/>
    </w:pPr>
    <w:rPr>
      <w:szCs w:val="21"/>
    </w:rPr>
  </w:style>
  <w:style w:type="paragraph" w:customStyle="1" w:styleId="105">
    <w:name w:val="文本块11"/>
    <w:basedOn w:val="1"/>
    <w:qFormat/>
    <w:uiPriority w:val="0"/>
    <w:pPr>
      <w:ind w:left="630" w:right="630"/>
      <w:jc w:val="center"/>
    </w:pPr>
    <w:rPr>
      <w:rFonts w:ascii="宋体"/>
      <w:b/>
      <w:sz w:val="32"/>
      <w:szCs w:val="24"/>
    </w:rPr>
  </w:style>
  <w:style w:type="paragraph" w:customStyle="1" w:styleId="106">
    <w:name w:val="索引 41"/>
    <w:basedOn w:val="1"/>
    <w:next w:val="1"/>
    <w:unhideWhenUsed/>
    <w:qFormat/>
    <w:uiPriority w:val="99"/>
    <w:pPr>
      <w:ind w:left="600"/>
    </w:pPr>
    <w:rPr>
      <w:szCs w:val="24"/>
    </w:rPr>
  </w:style>
  <w:style w:type="paragraph" w:customStyle="1" w:styleId="107">
    <w:name w:val="目录 51"/>
    <w:basedOn w:val="1"/>
    <w:next w:val="1"/>
    <w:qFormat/>
    <w:uiPriority w:val="39"/>
    <w:pPr>
      <w:ind w:left="840"/>
      <w:jc w:val="left"/>
    </w:pPr>
    <w:rPr>
      <w:szCs w:val="21"/>
    </w:rPr>
  </w:style>
  <w:style w:type="paragraph" w:customStyle="1" w:styleId="108">
    <w:name w:val="目录 31"/>
    <w:basedOn w:val="1"/>
    <w:next w:val="1"/>
    <w:qFormat/>
    <w:uiPriority w:val="0"/>
    <w:pPr>
      <w:ind w:left="420"/>
      <w:jc w:val="left"/>
    </w:pPr>
    <w:rPr>
      <w:i/>
      <w:iCs/>
      <w:szCs w:val="24"/>
    </w:rPr>
  </w:style>
  <w:style w:type="paragraph" w:customStyle="1" w:styleId="109">
    <w:name w:val="纯文本111"/>
    <w:basedOn w:val="1"/>
    <w:link w:val="110"/>
    <w:qFormat/>
    <w:uiPriority w:val="0"/>
    <w:rPr>
      <w:rFonts w:ascii="宋体" w:hAnsi="Courier New" w:cs="Courier New"/>
      <w:szCs w:val="21"/>
    </w:rPr>
  </w:style>
  <w:style w:type="character" w:customStyle="1" w:styleId="110">
    <w:name w:val="纯文本 Char"/>
    <w:link w:val="109"/>
    <w:qFormat/>
    <w:uiPriority w:val="0"/>
    <w:rPr>
      <w:rFonts w:ascii="宋体" w:hAnsi="Courier New" w:eastAsia="宋体" w:cs="Courier New"/>
      <w:szCs w:val="21"/>
    </w:rPr>
  </w:style>
  <w:style w:type="paragraph" w:customStyle="1" w:styleId="111">
    <w:name w:val="列表项目符号 51"/>
    <w:basedOn w:val="1"/>
    <w:qFormat/>
    <w:uiPriority w:val="0"/>
    <w:pPr>
      <w:spacing w:line="312" w:lineRule="atLeast"/>
    </w:pPr>
    <w:rPr>
      <w:szCs w:val="20"/>
    </w:rPr>
  </w:style>
  <w:style w:type="paragraph" w:customStyle="1" w:styleId="112">
    <w:name w:val="目录 81"/>
    <w:basedOn w:val="1"/>
    <w:next w:val="1"/>
    <w:qFormat/>
    <w:uiPriority w:val="39"/>
    <w:pPr>
      <w:ind w:left="1470"/>
      <w:jc w:val="left"/>
    </w:pPr>
    <w:rPr>
      <w:szCs w:val="21"/>
    </w:rPr>
  </w:style>
  <w:style w:type="paragraph" w:customStyle="1" w:styleId="113">
    <w:name w:val="日期11"/>
    <w:basedOn w:val="1"/>
    <w:next w:val="1"/>
    <w:link w:val="114"/>
    <w:qFormat/>
    <w:uiPriority w:val="0"/>
    <w:rPr>
      <w:sz w:val="24"/>
      <w:szCs w:val="24"/>
    </w:rPr>
  </w:style>
  <w:style w:type="character" w:customStyle="1" w:styleId="114">
    <w:name w:val="日期 Char"/>
    <w:link w:val="113"/>
    <w:qFormat/>
    <w:uiPriority w:val="0"/>
    <w:rPr>
      <w:rFonts w:ascii="Times New Roman" w:hAnsi="Times New Roman" w:eastAsia="宋体" w:cs="Times New Roman"/>
      <w:sz w:val="24"/>
      <w:szCs w:val="24"/>
    </w:rPr>
  </w:style>
  <w:style w:type="paragraph" w:customStyle="1" w:styleId="115">
    <w:name w:val="正文文本缩进 211"/>
    <w:basedOn w:val="1"/>
    <w:link w:val="116"/>
    <w:qFormat/>
    <w:uiPriority w:val="0"/>
    <w:pPr>
      <w:ind w:left="630" w:firstLine="645"/>
    </w:pPr>
    <w:rPr>
      <w:rFonts w:ascii="Arial" w:hAnsi="Arial" w:eastAsia="仿宋_GB2312" w:cs="Arial"/>
      <w:sz w:val="32"/>
      <w:szCs w:val="32"/>
    </w:rPr>
  </w:style>
  <w:style w:type="character" w:customStyle="1" w:styleId="116">
    <w:name w:val="正文文本缩进 2 Char"/>
    <w:link w:val="115"/>
    <w:qFormat/>
    <w:uiPriority w:val="0"/>
    <w:rPr>
      <w:rFonts w:ascii="Arial" w:hAnsi="Arial" w:eastAsia="仿宋_GB2312" w:cs="Arial"/>
      <w:sz w:val="32"/>
      <w:szCs w:val="32"/>
    </w:rPr>
  </w:style>
  <w:style w:type="paragraph" w:customStyle="1" w:styleId="117">
    <w:name w:val="尾注文本1"/>
    <w:basedOn w:val="1"/>
    <w:link w:val="118"/>
    <w:unhideWhenUsed/>
    <w:qFormat/>
    <w:uiPriority w:val="99"/>
    <w:rPr>
      <w:sz w:val="20"/>
    </w:rPr>
  </w:style>
  <w:style w:type="character" w:customStyle="1" w:styleId="118">
    <w:name w:val="尾注文本 Char"/>
    <w:link w:val="117"/>
    <w:qFormat/>
    <w:uiPriority w:val="99"/>
    <w:rPr>
      <w:sz w:val="20"/>
    </w:rPr>
  </w:style>
  <w:style w:type="paragraph" w:customStyle="1" w:styleId="119">
    <w:name w:val="批注框文本1"/>
    <w:basedOn w:val="1"/>
    <w:link w:val="120"/>
    <w:qFormat/>
    <w:uiPriority w:val="0"/>
    <w:rPr>
      <w:sz w:val="18"/>
      <w:szCs w:val="18"/>
    </w:rPr>
  </w:style>
  <w:style w:type="character" w:customStyle="1" w:styleId="120">
    <w:name w:val="批注框文本 Char"/>
    <w:link w:val="119"/>
    <w:qFormat/>
    <w:uiPriority w:val="0"/>
    <w:rPr>
      <w:rFonts w:ascii="Times New Roman" w:hAnsi="Times New Roman" w:eastAsia="宋体" w:cs="Times New Roman"/>
      <w:sz w:val="18"/>
      <w:szCs w:val="18"/>
    </w:rPr>
  </w:style>
  <w:style w:type="paragraph" w:customStyle="1" w:styleId="121">
    <w:name w:val="页脚1"/>
    <w:basedOn w:val="1"/>
    <w:next w:val="122"/>
    <w:link w:val="123"/>
    <w:qFormat/>
    <w:uiPriority w:val="99"/>
    <w:pPr>
      <w:tabs>
        <w:tab w:val="center" w:pos="4153"/>
        <w:tab w:val="right" w:pos="8306"/>
      </w:tabs>
      <w:jc w:val="left"/>
    </w:pPr>
    <w:rPr>
      <w:sz w:val="18"/>
      <w:szCs w:val="18"/>
    </w:rPr>
  </w:style>
  <w:style w:type="paragraph" w:customStyle="1" w:styleId="122">
    <w:name w:val="TOC Heading1"/>
    <w:next w:val="1"/>
    <w:qFormat/>
    <w:uiPriority w:val="0"/>
    <w:rPr>
      <w:rFonts w:ascii="Times New Roman" w:hAnsi="Times New Roman" w:eastAsia="宋体" w:cs="Times New Roman"/>
      <w:sz w:val="32"/>
      <w:lang w:val="en-US" w:eastAsia="zh-CN" w:bidi="ar-SA"/>
    </w:rPr>
  </w:style>
  <w:style w:type="character" w:customStyle="1" w:styleId="123">
    <w:name w:val="页脚 Char"/>
    <w:link w:val="121"/>
    <w:qFormat/>
    <w:uiPriority w:val="99"/>
    <w:rPr>
      <w:rFonts w:ascii="Times New Roman" w:hAnsi="Times New Roman" w:eastAsia="宋体" w:cs="Times New Roman"/>
      <w:sz w:val="18"/>
      <w:szCs w:val="18"/>
    </w:rPr>
  </w:style>
  <w:style w:type="paragraph" w:customStyle="1" w:styleId="124">
    <w:name w:val="页眉1"/>
    <w:basedOn w:val="1"/>
    <w:link w:val="125"/>
    <w:qFormat/>
    <w:uiPriority w:val="0"/>
    <w:pPr>
      <w:pBdr>
        <w:bottom w:val="single" w:color="000000" w:sz="6" w:space="1"/>
      </w:pBdr>
      <w:tabs>
        <w:tab w:val="center" w:pos="4153"/>
        <w:tab w:val="right" w:pos="8306"/>
      </w:tabs>
      <w:jc w:val="center"/>
    </w:pPr>
    <w:rPr>
      <w:sz w:val="18"/>
      <w:szCs w:val="18"/>
    </w:rPr>
  </w:style>
  <w:style w:type="character" w:customStyle="1" w:styleId="125">
    <w:name w:val="页眉 Char"/>
    <w:link w:val="124"/>
    <w:qFormat/>
    <w:uiPriority w:val="0"/>
    <w:rPr>
      <w:rFonts w:ascii="Times New Roman" w:hAnsi="Times New Roman" w:eastAsia="宋体" w:cs="Times New Roman"/>
      <w:sz w:val="18"/>
      <w:szCs w:val="18"/>
    </w:rPr>
  </w:style>
  <w:style w:type="paragraph" w:customStyle="1" w:styleId="126">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127">
    <w:name w:val="目录 41"/>
    <w:basedOn w:val="1"/>
    <w:next w:val="1"/>
    <w:qFormat/>
    <w:uiPriority w:val="39"/>
    <w:pPr>
      <w:ind w:left="630"/>
      <w:jc w:val="left"/>
    </w:pPr>
    <w:rPr>
      <w:szCs w:val="21"/>
    </w:rPr>
  </w:style>
  <w:style w:type="paragraph" w:customStyle="1" w:styleId="128">
    <w:name w:val="副标题1"/>
    <w:basedOn w:val="1"/>
    <w:next w:val="1"/>
    <w:link w:val="129"/>
    <w:qFormat/>
    <w:uiPriority w:val="11"/>
    <w:pPr>
      <w:spacing w:before="200" w:after="200"/>
    </w:pPr>
    <w:rPr>
      <w:sz w:val="24"/>
      <w:szCs w:val="24"/>
    </w:rPr>
  </w:style>
  <w:style w:type="character" w:customStyle="1" w:styleId="129">
    <w:name w:val="副标题 Char"/>
    <w:link w:val="128"/>
    <w:qFormat/>
    <w:uiPriority w:val="11"/>
    <w:rPr>
      <w:sz w:val="24"/>
      <w:szCs w:val="24"/>
    </w:rPr>
  </w:style>
  <w:style w:type="paragraph" w:customStyle="1" w:styleId="130">
    <w:name w:val="脚注文本1"/>
    <w:basedOn w:val="1"/>
    <w:link w:val="131"/>
    <w:unhideWhenUsed/>
    <w:qFormat/>
    <w:uiPriority w:val="99"/>
    <w:pPr>
      <w:spacing w:after="40"/>
    </w:pPr>
    <w:rPr>
      <w:sz w:val="18"/>
    </w:rPr>
  </w:style>
  <w:style w:type="character" w:customStyle="1" w:styleId="131">
    <w:name w:val="脚注文本 Char"/>
    <w:link w:val="130"/>
    <w:qFormat/>
    <w:uiPriority w:val="99"/>
    <w:rPr>
      <w:sz w:val="18"/>
    </w:rPr>
  </w:style>
  <w:style w:type="paragraph" w:customStyle="1" w:styleId="132">
    <w:name w:val="目录 61"/>
    <w:basedOn w:val="1"/>
    <w:next w:val="1"/>
    <w:qFormat/>
    <w:uiPriority w:val="39"/>
    <w:pPr>
      <w:ind w:left="1050"/>
      <w:jc w:val="left"/>
    </w:pPr>
    <w:rPr>
      <w:szCs w:val="21"/>
    </w:rPr>
  </w:style>
  <w:style w:type="paragraph" w:customStyle="1" w:styleId="133">
    <w:name w:val="正文文本缩进 311"/>
    <w:basedOn w:val="1"/>
    <w:link w:val="134"/>
    <w:qFormat/>
    <w:uiPriority w:val="99"/>
    <w:pPr>
      <w:ind w:left="645" w:firstLine="645"/>
    </w:pPr>
    <w:rPr>
      <w:rFonts w:ascii="Arial" w:hAnsi="Arial" w:eastAsia="仿宋_GB2312" w:cs="Arial"/>
      <w:color w:val="FFFF00"/>
      <w:sz w:val="32"/>
      <w:szCs w:val="32"/>
    </w:rPr>
  </w:style>
  <w:style w:type="character" w:customStyle="1" w:styleId="134">
    <w:name w:val="正文文本缩进 3 Char"/>
    <w:link w:val="133"/>
    <w:qFormat/>
    <w:uiPriority w:val="99"/>
    <w:rPr>
      <w:rFonts w:ascii="Arial" w:hAnsi="Arial" w:eastAsia="仿宋_GB2312" w:cs="Arial"/>
      <w:color w:val="FFFF00"/>
      <w:sz w:val="32"/>
      <w:szCs w:val="32"/>
    </w:rPr>
  </w:style>
  <w:style w:type="paragraph" w:customStyle="1" w:styleId="135">
    <w:name w:val="图表目录11"/>
    <w:basedOn w:val="1"/>
    <w:next w:val="1"/>
    <w:qFormat/>
    <w:uiPriority w:val="99"/>
    <w:pPr>
      <w:ind w:left="840" w:hanging="420"/>
    </w:pPr>
    <w:rPr>
      <w:szCs w:val="21"/>
    </w:rPr>
  </w:style>
  <w:style w:type="paragraph" w:customStyle="1" w:styleId="136">
    <w:name w:val="目录 21"/>
    <w:basedOn w:val="1"/>
    <w:next w:val="1"/>
    <w:qFormat/>
    <w:uiPriority w:val="39"/>
    <w:pPr>
      <w:ind w:left="210"/>
      <w:jc w:val="left"/>
    </w:pPr>
    <w:rPr>
      <w:smallCaps/>
      <w:szCs w:val="24"/>
    </w:rPr>
  </w:style>
  <w:style w:type="paragraph" w:customStyle="1" w:styleId="137">
    <w:name w:val="目录 91"/>
    <w:basedOn w:val="1"/>
    <w:next w:val="1"/>
    <w:qFormat/>
    <w:uiPriority w:val="39"/>
    <w:pPr>
      <w:ind w:left="1680"/>
      <w:jc w:val="left"/>
    </w:pPr>
    <w:rPr>
      <w:szCs w:val="21"/>
    </w:rPr>
  </w:style>
  <w:style w:type="paragraph" w:customStyle="1" w:styleId="138">
    <w:name w:val="正文文本 211"/>
    <w:basedOn w:val="1"/>
    <w:link w:val="139"/>
    <w:qFormat/>
    <w:uiPriority w:val="0"/>
    <w:pPr>
      <w:widowControl/>
      <w:jc w:val="center"/>
    </w:pPr>
    <w:rPr>
      <w:rFonts w:ascii="楷体_GB2312" w:eastAsia="楷体_GB2312"/>
      <w:sz w:val="28"/>
      <w:szCs w:val="28"/>
    </w:rPr>
  </w:style>
  <w:style w:type="character" w:customStyle="1" w:styleId="139">
    <w:name w:val="正文文本 2 Char"/>
    <w:link w:val="138"/>
    <w:qFormat/>
    <w:uiPriority w:val="0"/>
    <w:rPr>
      <w:rFonts w:ascii="楷体_GB2312" w:hAnsi="Times New Roman" w:eastAsia="楷体_GB2312" w:cs="Times New Roman"/>
      <w:sz w:val="28"/>
      <w:szCs w:val="28"/>
    </w:rPr>
  </w:style>
  <w:style w:type="paragraph" w:customStyle="1" w:styleId="140">
    <w:name w:val="普通(网站)11"/>
    <w:basedOn w:val="1"/>
    <w:link w:val="141"/>
    <w:qFormat/>
    <w:uiPriority w:val="0"/>
    <w:pPr>
      <w:widowControl/>
      <w:spacing w:before="100" w:beforeAutospacing="1" w:after="100" w:afterAutospacing="1"/>
      <w:jc w:val="left"/>
    </w:pPr>
    <w:rPr>
      <w:rFonts w:ascii="宋体" w:hAnsi="宋体" w:cs="宋体"/>
      <w:sz w:val="24"/>
      <w:szCs w:val="24"/>
    </w:rPr>
  </w:style>
  <w:style w:type="character" w:customStyle="1" w:styleId="141">
    <w:name w:val="普通(网站) Char"/>
    <w:link w:val="140"/>
    <w:qFormat/>
    <w:uiPriority w:val="0"/>
    <w:rPr>
      <w:rFonts w:ascii="宋体" w:hAnsi="宋体" w:cs="宋体"/>
      <w:sz w:val="24"/>
      <w:szCs w:val="24"/>
    </w:rPr>
  </w:style>
  <w:style w:type="paragraph" w:customStyle="1" w:styleId="142">
    <w:name w:val="索引 11"/>
    <w:basedOn w:val="1"/>
    <w:next w:val="1"/>
    <w:semiHidden/>
    <w:qFormat/>
    <w:uiPriority w:val="0"/>
    <w:pPr>
      <w:spacing w:line="240" w:lineRule="atLeast"/>
    </w:pPr>
    <w:rPr>
      <w:b/>
      <w:bCs/>
      <w:szCs w:val="21"/>
    </w:rPr>
  </w:style>
  <w:style w:type="paragraph" w:customStyle="1" w:styleId="143">
    <w:name w:val="标题11"/>
    <w:basedOn w:val="1"/>
    <w:next w:val="1"/>
    <w:link w:val="144"/>
    <w:qFormat/>
    <w:uiPriority w:val="10"/>
    <w:pPr>
      <w:spacing w:before="300" w:after="200"/>
      <w:contextualSpacing/>
    </w:pPr>
    <w:rPr>
      <w:sz w:val="48"/>
      <w:szCs w:val="48"/>
    </w:rPr>
  </w:style>
  <w:style w:type="character" w:customStyle="1" w:styleId="144">
    <w:name w:val="标题 Char"/>
    <w:link w:val="143"/>
    <w:qFormat/>
    <w:uiPriority w:val="10"/>
    <w:rPr>
      <w:sz w:val="48"/>
      <w:szCs w:val="48"/>
    </w:rPr>
  </w:style>
  <w:style w:type="paragraph" w:customStyle="1" w:styleId="145">
    <w:name w:val="批注主题11"/>
    <w:basedOn w:val="96"/>
    <w:next w:val="96"/>
    <w:link w:val="146"/>
    <w:qFormat/>
    <w:uiPriority w:val="0"/>
    <w:rPr>
      <w:b/>
      <w:bCs/>
      <w:szCs w:val="21"/>
    </w:rPr>
  </w:style>
  <w:style w:type="character" w:customStyle="1" w:styleId="146">
    <w:name w:val="批注主题 Char"/>
    <w:link w:val="145"/>
    <w:qFormat/>
    <w:uiPriority w:val="0"/>
    <w:rPr>
      <w:rFonts w:ascii="Times New Roman" w:hAnsi="Times New Roman" w:eastAsia="宋体" w:cs="Times New Roman"/>
      <w:b/>
      <w:bCs/>
      <w:szCs w:val="21"/>
    </w:rPr>
  </w:style>
  <w:style w:type="paragraph" w:customStyle="1" w:styleId="147">
    <w:name w:val="正文首行缩进11"/>
    <w:basedOn w:val="100"/>
    <w:link w:val="148"/>
    <w:qFormat/>
    <w:uiPriority w:val="0"/>
    <w:pPr>
      <w:spacing w:line="360" w:lineRule="auto"/>
      <w:ind w:firstLine="200"/>
    </w:pPr>
    <w:rPr>
      <w:rFonts w:ascii="仿宋_GB2312" w:hAnsi="Times New Roman" w:eastAsia="仿宋_GB2312"/>
      <w:sz w:val="30"/>
      <w:szCs w:val="30"/>
    </w:rPr>
  </w:style>
  <w:style w:type="character" w:customStyle="1" w:styleId="148">
    <w:name w:val="正文首行缩进 Char"/>
    <w:link w:val="147"/>
    <w:qFormat/>
    <w:uiPriority w:val="0"/>
    <w:rPr>
      <w:rFonts w:ascii="仿宋_GB2312" w:hAnsi="Times New Roman" w:eastAsia="仿宋_GB2312" w:cs="Times New Roman"/>
      <w:sz w:val="30"/>
      <w:szCs w:val="30"/>
    </w:rPr>
  </w:style>
  <w:style w:type="paragraph" w:customStyle="1" w:styleId="149">
    <w:name w:val="正文首行缩进 21"/>
    <w:basedOn w:val="102"/>
    <w:link w:val="150"/>
    <w:qFormat/>
    <w:uiPriority w:val="99"/>
    <w:pPr>
      <w:spacing w:after="0" w:line="360" w:lineRule="auto"/>
      <w:ind w:left="0" w:firstLine="420"/>
    </w:pPr>
    <w:rPr>
      <w:rFonts w:ascii="宋体" w:hAnsi="宋体"/>
      <w:szCs w:val="20"/>
    </w:rPr>
  </w:style>
  <w:style w:type="character" w:customStyle="1" w:styleId="150">
    <w:name w:val="正文首行缩进 2 Char"/>
    <w:link w:val="149"/>
    <w:qFormat/>
    <w:uiPriority w:val="99"/>
    <w:rPr>
      <w:rFonts w:ascii="宋体" w:hAnsi="宋体" w:eastAsia="宋体" w:cs="Times New Roman"/>
      <w:szCs w:val="20"/>
    </w:rPr>
  </w:style>
  <w:style w:type="table" w:customStyle="1" w:styleId="151">
    <w:name w:val="网格型11"/>
    <w:basedOn w:val="76"/>
    <w:qFormat/>
    <w:uiPriority w:val="0"/>
    <w:pPr>
      <w:widowControl w:val="0"/>
      <w:jc w:val="both"/>
    </w:pPr>
  </w:style>
  <w:style w:type="character" w:customStyle="1" w:styleId="152">
    <w:name w:val="要点1"/>
    <w:link w:val="1"/>
    <w:qFormat/>
    <w:uiPriority w:val="0"/>
    <w:rPr>
      <w:b/>
      <w:bCs/>
    </w:rPr>
  </w:style>
  <w:style w:type="character" w:customStyle="1" w:styleId="153">
    <w:name w:val="尾注引用1"/>
    <w:link w:val="1"/>
    <w:unhideWhenUsed/>
    <w:qFormat/>
    <w:uiPriority w:val="99"/>
    <w:rPr>
      <w:vertAlign w:val="superscript"/>
    </w:rPr>
  </w:style>
  <w:style w:type="character" w:customStyle="1" w:styleId="154">
    <w:name w:val="页码11"/>
    <w:link w:val="1"/>
    <w:qFormat/>
    <w:uiPriority w:val="0"/>
  </w:style>
  <w:style w:type="character" w:customStyle="1" w:styleId="155">
    <w:name w:val="已访问的超链接11"/>
    <w:link w:val="1"/>
    <w:qFormat/>
    <w:uiPriority w:val="0"/>
    <w:rPr>
      <w:color w:val="800080"/>
      <w:u w:val="single"/>
    </w:rPr>
  </w:style>
  <w:style w:type="character" w:customStyle="1" w:styleId="156">
    <w:name w:val="强调1"/>
    <w:link w:val="1"/>
    <w:qFormat/>
    <w:uiPriority w:val="20"/>
    <w:rPr>
      <w:i/>
      <w:iCs/>
    </w:rPr>
  </w:style>
  <w:style w:type="character" w:customStyle="1" w:styleId="157">
    <w:name w:val="超链接1"/>
    <w:link w:val="1"/>
    <w:qFormat/>
    <w:uiPriority w:val="99"/>
    <w:rPr>
      <w:color w:val="0000FF"/>
      <w:u w:val="single"/>
    </w:rPr>
  </w:style>
  <w:style w:type="character" w:customStyle="1" w:styleId="158">
    <w:name w:val="批注引用11"/>
    <w:link w:val="1"/>
    <w:qFormat/>
    <w:uiPriority w:val="0"/>
    <w:rPr>
      <w:sz w:val="21"/>
      <w:szCs w:val="21"/>
    </w:rPr>
  </w:style>
  <w:style w:type="character" w:customStyle="1" w:styleId="159">
    <w:name w:val="脚注引用1"/>
    <w:link w:val="1"/>
    <w:unhideWhenUsed/>
    <w:qFormat/>
    <w:uiPriority w:val="99"/>
    <w:rPr>
      <w:vertAlign w:val="superscript"/>
    </w:rPr>
  </w:style>
  <w:style w:type="paragraph" w:customStyle="1" w:styleId="160">
    <w:name w:val="样式1"/>
    <w:basedOn w:val="1"/>
    <w:qFormat/>
    <w:uiPriority w:val="0"/>
    <w:pPr>
      <w:numPr>
        <w:ilvl w:val="0"/>
        <w:numId w:val="2"/>
      </w:numPr>
    </w:pPr>
    <w:rPr>
      <w:rFonts w:ascii="宋体" w:hAnsi="宋体"/>
      <w:szCs w:val="21"/>
    </w:rPr>
  </w:style>
  <w:style w:type="paragraph" w:customStyle="1" w:styleId="161">
    <w:name w:val="样式2"/>
    <w:basedOn w:val="1"/>
    <w:qFormat/>
    <w:uiPriority w:val="0"/>
    <w:pPr>
      <w:ind w:left="624" w:hanging="720"/>
    </w:pPr>
    <w:rPr>
      <w:rFonts w:ascii="黑体" w:eastAsia="黑体"/>
      <w:b/>
      <w:sz w:val="30"/>
      <w:szCs w:val="24"/>
    </w:rPr>
  </w:style>
  <w:style w:type="paragraph" w:customStyle="1" w:styleId="162">
    <w:name w:val="普通正文"/>
    <w:basedOn w:val="1"/>
    <w:qFormat/>
    <w:uiPriority w:val="0"/>
    <w:pPr>
      <w:spacing w:before="120" w:after="120" w:line="360" w:lineRule="auto"/>
      <w:ind w:firstLine="480"/>
      <w:jc w:val="left"/>
    </w:pPr>
    <w:rPr>
      <w:rFonts w:ascii="Arial" w:hAnsi="Arial"/>
      <w:sz w:val="24"/>
      <w:szCs w:val="24"/>
    </w:rPr>
  </w:style>
  <w:style w:type="character" w:customStyle="1" w:styleId="163">
    <w:name w:val="Heading 1 Char"/>
    <w:link w:val="1"/>
    <w:qFormat/>
    <w:uiPriority w:val="9"/>
    <w:rPr>
      <w:rFonts w:ascii="Arial" w:hAnsi="Arial" w:eastAsia="Arial" w:cs="Arial"/>
      <w:sz w:val="40"/>
      <w:szCs w:val="40"/>
    </w:rPr>
  </w:style>
  <w:style w:type="character" w:customStyle="1" w:styleId="164">
    <w:name w:val="Heading 2 Char"/>
    <w:link w:val="1"/>
    <w:qFormat/>
    <w:uiPriority w:val="9"/>
    <w:rPr>
      <w:rFonts w:ascii="Arial" w:hAnsi="Arial" w:eastAsia="Arial" w:cs="Arial"/>
      <w:sz w:val="34"/>
    </w:rPr>
  </w:style>
  <w:style w:type="character" w:customStyle="1" w:styleId="165">
    <w:name w:val="Heading 3 Char"/>
    <w:link w:val="1"/>
    <w:qFormat/>
    <w:uiPriority w:val="9"/>
    <w:rPr>
      <w:rFonts w:ascii="Arial" w:hAnsi="Arial" w:eastAsia="Arial" w:cs="Arial"/>
      <w:sz w:val="30"/>
      <w:szCs w:val="30"/>
    </w:rPr>
  </w:style>
  <w:style w:type="character" w:customStyle="1" w:styleId="166">
    <w:name w:val="Heading 4 Char"/>
    <w:link w:val="1"/>
    <w:qFormat/>
    <w:uiPriority w:val="9"/>
    <w:rPr>
      <w:rFonts w:ascii="Arial" w:hAnsi="Arial" w:eastAsia="Arial" w:cs="Arial"/>
      <w:b/>
      <w:bCs/>
      <w:sz w:val="26"/>
      <w:szCs w:val="26"/>
    </w:rPr>
  </w:style>
  <w:style w:type="character" w:customStyle="1" w:styleId="167">
    <w:name w:val="Heading 5 Char"/>
    <w:link w:val="1"/>
    <w:qFormat/>
    <w:uiPriority w:val="9"/>
    <w:rPr>
      <w:rFonts w:ascii="Arial" w:hAnsi="Arial" w:eastAsia="Arial" w:cs="Arial"/>
      <w:b/>
      <w:bCs/>
      <w:sz w:val="24"/>
      <w:szCs w:val="24"/>
    </w:rPr>
  </w:style>
  <w:style w:type="character" w:customStyle="1" w:styleId="168">
    <w:name w:val="Heading 6 Char"/>
    <w:link w:val="1"/>
    <w:qFormat/>
    <w:uiPriority w:val="9"/>
    <w:rPr>
      <w:rFonts w:ascii="Arial" w:hAnsi="Arial" w:eastAsia="Arial" w:cs="Arial"/>
      <w:b/>
      <w:bCs/>
      <w:sz w:val="22"/>
      <w:szCs w:val="22"/>
    </w:rPr>
  </w:style>
  <w:style w:type="character" w:customStyle="1" w:styleId="169">
    <w:name w:val="Heading 7 Char"/>
    <w:link w:val="1"/>
    <w:qFormat/>
    <w:uiPriority w:val="9"/>
    <w:rPr>
      <w:rFonts w:ascii="Arial" w:hAnsi="Arial" w:eastAsia="Arial" w:cs="Arial"/>
      <w:b/>
      <w:bCs/>
      <w:i/>
      <w:iCs/>
      <w:sz w:val="22"/>
      <w:szCs w:val="22"/>
    </w:rPr>
  </w:style>
  <w:style w:type="character" w:customStyle="1" w:styleId="170">
    <w:name w:val="Heading 8 Char"/>
    <w:link w:val="1"/>
    <w:qFormat/>
    <w:uiPriority w:val="9"/>
    <w:rPr>
      <w:rFonts w:ascii="Arial" w:hAnsi="Arial" w:eastAsia="Arial" w:cs="Arial"/>
      <w:i/>
      <w:iCs/>
      <w:sz w:val="22"/>
      <w:szCs w:val="22"/>
    </w:rPr>
  </w:style>
  <w:style w:type="character" w:customStyle="1" w:styleId="171">
    <w:name w:val="Heading 9 Char"/>
    <w:link w:val="1"/>
    <w:qFormat/>
    <w:uiPriority w:val="9"/>
    <w:rPr>
      <w:rFonts w:ascii="Arial" w:hAnsi="Arial" w:eastAsia="Arial" w:cs="Arial"/>
      <w:i/>
      <w:iCs/>
      <w:sz w:val="21"/>
      <w:szCs w:val="21"/>
    </w:rPr>
  </w:style>
  <w:style w:type="paragraph" w:styleId="172">
    <w:name w:val="List Paragraph"/>
    <w:basedOn w:val="1"/>
    <w:qFormat/>
    <w:uiPriority w:val="99"/>
    <w:pPr>
      <w:widowControl/>
      <w:ind w:left="720"/>
      <w:contextualSpacing/>
      <w:jc w:val="left"/>
    </w:pPr>
    <w:rPr>
      <w:rFonts w:ascii="Calibri" w:hAnsi="Calibri"/>
      <w:sz w:val="24"/>
      <w:szCs w:val="24"/>
      <w:lang w:eastAsia="en-US" w:bidi="en-US"/>
    </w:rPr>
  </w:style>
  <w:style w:type="paragraph" w:styleId="173">
    <w:name w:val="No Spacing"/>
    <w:link w:val="174"/>
    <w:qFormat/>
    <w:uiPriority w:val="1"/>
    <w:pPr>
      <w:widowControl w:val="0"/>
      <w:jc w:val="both"/>
    </w:pPr>
    <w:rPr>
      <w:rFonts w:hint="default" w:ascii="Times New Roman" w:hAnsi="Times New Roman" w:eastAsia="宋体" w:cs="Times New Roman"/>
      <w:sz w:val="21"/>
      <w:szCs w:val="21"/>
      <w:lang w:val="en-US" w:eastAsia="zh-CN" w:bidi="ar-SA"/>
    </w:rPr>
  </w:style>
  <w:style w:type="character" w:customStyle="1" w:styleId="174">
    <w:name w:val="无间隔 Char"/>
    <w:link w:val="173"/>
    <w:qFormat/>
    <w:uiPriority w:val="1"/>
    <w:rPr>
      <w:sz w:val="21"/>
      <w:szCs w:val="21"/>
    </w:rPr>
  </w:style>
  <w:style w:type="paragraph" w:styleId="175">
    <w:name w:val="Quote"/>
    <w:basedOn w:val="1"/>
    <w:next w:val="1"/>
    <w:link w:val="176"/>
    <w:qFormat/>
    <w:uiPriority w:val="29"/>
    <w:pPr>
      <w:ind w:left="720" w:right="720"/>
    </w:pPr>
    <w:rPr>
      <w:i/>
    </w:rPr>
  </w:style>
  <w:style w:type="character" w:customStyle="1" w:styleId="176">
    <w:name w:val="引用 Char"/>
    <w:link w:val="175"/>
    <w:qFormat/>
    <w:uiPriority w:val="29"/>
    <w:rPr>
      <w:i/>
    </w:rPr>
  </w:style>
  <w:style w:type="paragraph" w:styleId="177">
    <w:name w:val="Intense Quote"/>
    <w:basedOn w:val="1"/>
    <w:next w:val="1"/>
    <w:link w:val="1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8">
    <w:name w:val="明显引用 Char"/>
    <w:link w:val="177"/>
    <w:qFormat/>
    <w:uiPriority w:val="30"/>
    <w:rPr>
      <w:i/>
    </w:rPr>
  </w:style>
  <w:style w:type="character" w:customStyle="1" w:styleId="179">
    <w:name w:val="Header Char"/>
    <w:link w:val="1"/>
    <w:qFormat/>
    <w:uiPriority w:val="99"/>
  </w:style>
  <w:style w:type="character" w:customStyle="1" w:styleId="180">
    <w:name w:val="Footer Char"/>
    <w:link w:val="1"/>
    <w:qFormat/>
    <w:uiPriority w:val="99"/>
  </w:style>
  <w:style w:type="character" w:customStyle="1" w:styleId="181">
    <w:name w:val="Caption Char"/>
    <w:link w:val="1"/>
    <w:qFormat/>
    <w:uiPriority w:val="99"/>
  </w:style>
  <w:style w:type="table" w:customStyle="1" w:styleId="182">
    <w:name w:val="Table Grid Light"/>
    <w:qFormat/>
    <w:uiPriority w:val="59"/>
  </w:style>
  <w:style w:type="table" w:customStyle="1" w:styleId="183">
    <w:name w:val="无格式表格 11"/>
    <w:qFormat/>
    <w:uiPriority w:val="59"/>
  </w:style>
  <w:style w:type="table" w:customStyle="1" w:styleId="184">
    <w:name w:val="无格式表格 21"/>
    <w:qFormat/>
    <w:uiPriority w:val="59"/>
  </w:style>
  <w:style w:type="table" w:customStyle="1" w:styleId="185">
    <w:name w:val="无格式表格 31"/>
    <w:qFormat/>
    <w:uiPriority w:val="99"/>
  </w:style>
  <w:style w:type="table" w:customStyle="1" w:styleId="186">
    <w:name w:val="无格式表格 41"/>
    <w:qFormat/>
    <w:uiPriority w:val="99"/>
  </w:style>
  <w:style w:type="table" w:customStyle="1" w:styleId="187">
    <w:name w:val="无格式表格 51"/>
    <w:qFormat/>
    <w:uiPriority w:val="99"/>
  </w:style>
  <w:style w:type="table" w:customStyle="1" w:styleId="188">
    <w:name w:val="网格表 1 浅色1"/>
    <w:qFormat/>
    <w:uiPriority w:val="99"/>
  </w:style>
  <w:style w:type="table" w:customStyle="1" w:styleId="189">
    <w:name w:val="Grid Table 1 Light - Accent 1"/>
    <w:qFormat/>
    <w:uiPriority w:val="99"/>
  </w:style>
  <w:style w:type="table" w:customStyle="1" w:styleId="190">
    <w:name w:val="Grid Table 1 Light - Accent 2"/>
    <w:qFormat/>
    <w:uiPriority w:val="99"/>
  </w:style>
  <w:style w:type="table" w:customStyle="1" w:styleId="191">
    <w:name w:val="Grid Table 1 Light - Accent 3"/>
    <w:qFormat/>
    <w:uiPriority w:val="99"/>
  </w:style>
  <w:style w:type="table" w:customStyle="1" w:styleId="192">
    <w:name w:val="Grid Table 1 Light - Accent 4"/>
    <w:qFormat/>
    <w:uiPriority w:val="99"/>
  </w:style>
  <w:style w:type="table" w:customStyle="1" w:styleId="193">
    <w:name w:val="Grid Table 1 Light - Accent 5"/>
    <w:qFormat/>
    <w:uiPriority w:val="99"/>
  </w:style>
  <w:style w:type="table" w:customStyle="1" w:styleId="194">
    <w:name w:val="Grid Table 1 Light - Accent 6"/>
    <w:qFormat/>
    <w:uiPriority w:val="99"/>
  </w:style>
  <w:style w:type="table" w:customStyle="1" w:styleId="195">
    <w:name w:val="网格表 21"/>
    <w:qFormat/>
    <w:uiPriority w:val="99"/>
  </w:style>
  <w:style w:type="table" w:customStyle="1" w:styleId="196">
    <w:name w:val="Grid Table 2 - Accent 1"/>
    <w:qFormat/>
    <w:uiPriority w:val="99"/>
  </w:style>
  <w:style w:type="table" w:customStyle="1" w:styleId="197">
    <w:name w:val="Grid Table 2 - Accent 2"/>
    <w:qFormat/>
    <w:uiPriority w:val="99"/>
  </w:style>
  <w:style w:type="table" w:customStyle="1" w:styleId="198">
    <w:name w:val="Grid Table 2 - Accent 3"/>
    <w:qFormat/>
    <w:uiPriority w:val="99"/>
  </w:style>
  <w:style w:type="table" w:customStyle="1" w:styleId="199">
    <w:name w:val="Grid Table 2 - Accent 4"/>
    <w:qFormat/>
    <w:uiPriority w:val="99"/>
  </w:style>
  <w:style w:type="table" w:customStyle="1" w:styleId="200">
    <w:name w:val="Grid Table 2 - Accent 5"/>
    <w:qFormat/>
    <w:uiPriority w:val="99"/>
  </w:style>
  <w:style w:type="table" w:customStyle="1" w:styleId="201">
    <w:name w:val="Grid Table 2 - Accent 6"/>
    <w:qFormat/>
    <w:uiPriority w:val="99"/>
  </w:style>
  <w:style w:type="table" w:customStyle="1" w:styleId="202">
    <w:name w:val="网格表 31"/>
    <w:qFormat/>
    <w:uiPriority w:val="99"/>
  </w:style>
  <w:style w:type="table" w:customStyle="1" w:styleId="203">
    <w:name w:val="Grid Table 3 - Accent 1"/>
    <w:qFormat/>
    <w:uiPriority w:val="99"/>
  </w:style>
  <w:style w:type="table" w:customStyle="1" w:styleId="204">
    <w:name w:val="Grid Table 3 - Accent 2"/>
    <w:qFormat/>
    <w:uiPriority w:val="99"/>
  </w:style>
  <w:style w:type="table" w:customStyle="1" w:styleId="205">
    <w:name w:val="Grid Table 3 - Accent 3"/>
    <w:qFormat/>
    <w:uiPriority w:val="99"/>
  </w:style>
  <w:style w:type="table" w:customStyle="1" w:styleId="206">
    <w:name w:val="Grid Table 3 - Accent 4"/>
    <w:qFormat/>
    <w:uiPriority w:val="99"/>
  </w:style>
  <w:style w:type="table" w:customStyle="1" w:styleId="207">
    <w:name w:val="Grid Table 3 - Accent 5"/>
    <w:qFormat/>
    <w:uiPriority w:val="99"/>
  </w:style>
  <w:style w:type="table" w:customStyle="1" w:styleId="208">
    <w:name w:val="Grid Table 3 - Accent 6"/>
    <w:qFormat/>
    <w:uiPriority w:val="99"/>
  </w:style>
  <w:style w:type="table" w:customStyle="1" w:styleId="209">
    <w:name w:val="网格表 41"/>
    <w:qFormat/>
    <w:uiPriority w:val="59"/>
  </w:style>
  <w:style w:type="table" w:customStyle="1" w:styleId="210">
    <w:name w:val="Grid Table 4 - Accent 1"/>
    <w:qFormat/>
    <w:uiPriority w:val="59"/>
  </w:style>
  <w:style w:type="table" w:customStyle="1" w:styleId="211">
    <w:name w:val="Grid Table 4 - Accent 2"/>
    <w:qFormat/>
    <w:uiPriority w:val="59"/>
  </w:style>
  <w:style w:type="table" w:customStyle="1" w:styleId="212">
    <w:name w:val="Grid Table 4 - Accent 3"/>
    <w:qFormat/>
    <w:uiPriority w:val="59"/>
  </w:style>
  <w:style w:type="table" w:customStyle="1" w:styleId="213">
    <w:name w:val="Grid Table 4 - Accent 4"/>
    <w:qFormat/>
    <w:uiPriority w:val="59"/>
  </w:style>
  <w:style w:type="table" w:customStyle="1" w:styleId="214">
    <w:name w:val="Grid Table 4 - Accent 5"/>
    <w:qFormat/>
    <w:uiPriority w:val="59"/>
  </w:style>
  <w:style w:type="table" w:customStyle="1" w:styleId="215">
    <w:name w:val="Grid Table 4 - Accent 6"/>
    <w:qFormat/>
    <w:uiPriority w:val="59"/>
  </w:style>
  <w:style w:type="table" w:customStyle="1" w:styleId="216">
    <w:name w:val="网格表 5 深色1"/>
    <w:qFormat/>
    <w:uiPriority w:val="99"/>
  </w:style>
  <w:style w:type="table" w:customStyle="1" w:styleId="217">
    <w:name w:val="Grid Table 5 Dark- Accent 1"/>
    <w:qFormat/>
    <w:uiPriority w:val="99"/>
  </w:style>
  <w:style w:type="table" w:customStyle="1" w:styleId="218">
    <w:name w:val="Grid Table 5 Dark - Accent 2"/>
    <w:qFormat/>
    <w:uiPriority w:val="99"/>
  </w:style>
  <w:style w:type="table" w:customStyle="1" w:styleId="219">
    <w:name w:val="Grid Table 5 Dark - Accent 3"/>
    <w:qFormat/>
    <w:uiPriority w:val="99"/>
  </w:style>
  <w:style w:type="table" w:customStyle="1" w:styleId="220">
    <w:name w:val="Grid Table 5 Dark- Accent 4"/>
    <w:qFormat/>
    <w:uiPriority w:val="99"/>
  </w:style>
  <w:style w:type="table" w:customStyle="1" w:styleId="221">
    <w:name w:val="Grid Table 5 Dark - Accent 5"/>
    <w:qFormat/>
    <w:uiPriority w:val="99"/>
  </w:style>
  <w:style w:type="table" w:customStyle="1" w:styleId="222">
    <w:name w:val="Grid Table 5 Dark - Accent 6"/>
    <w:qFormat/>
    <w:uiPriority w:val="99"/>
  </w:style>
  <w:style w:type="table" w:customStyle="1" w:styleId="223">
    <w:name w:val="网格表 6 彩色1"/>
    <w:qFormat/>
    <w:uiPriority w:val="99"/>
  </w:style>
  <w:style w:type="table" w:customStyle="1" w:styleId="224">
    <w:name w:val="Grid Table 6 Colorful - Accent 1"/>
    <w:qFormat/>
    <w:uiPriority w:val="99"/>
  </w:style>
  <w:style w:type="table" w:customStyle="1" w:styleId="225">
    <w:name w:val="Grid Table 6 Colorful - Accent 2"/>
    <w:qFormat/>
    <w:uiPriority w:val="99"/>
  </w:style>
  <w:style w:type="table" w:customStyle="1" w:styleId="226">
    <w:name w:val="Grid Table 6 Colorful - Accent 3"/>
    <w:qFormat/>
    <w:uiPriority w:val="99"/>
  </w:style>
  <w:style w:type="table" w:customStyle="1" w:styleId="227">
    <w:name w:val="Grid Table 6 Colorful - Accent 4"/>
    <w:qFormat/>
    <w:uiPriority w:val="99"/>
  </w:style>
  <w:style w:type="table" w:customStyle="1" w:styleId="228">
    <w:name w:val="Grid Table 6 Colorful - Accent 5"/>
    <w:qFormat/>
    <w:uiPriority w:val="99"/>
  </w:style>
  <w:style w:type="table" w:customStyle="1" w:styleId="229">
    <w:name w:val="Grid Table 6 Colorful - Accent 6"/>
    <w:qFormat/>
    <w:uiPriority w:val="99"/>
  </w:style>
  <w:style w:type="table" w:customStyle="1" w:styleId="230">
    <w:name w:val="网格表 7 彩色1"/>
    <w:qFormat/>
    <w:uiPriority w:val="99"/>
  </w:style>
  <w:style w:type="table" w:customStyle="1" w:styleId="231">
    <w:name w:val="Grid Table 7 Colorful - Accent 1"/>
    <w:qFormat/>
    <w:uiPriority w:val="99"/>
  </w:style>
  <w:style w:type="table" w:customStyle="1" w:styleId="232">
    <w:name w:val="Grid Table 7 Colorful - Accent 2"/>
    <w:qFormat/>
    <w:uiPriority w:val="99"/>
  </w:style>
  <w:style w:type="table" w:customStyle="1" w:styleId="233">
    <w:name w:val="Grid Table 7 Colorful - Accent 3"/>
    <w:qFormat/>
    <w:uiPriority w:val="99"/>
  </w:style>
  <w:style w:type="table" w:customStyle="1" w:styleId="234">
    <w:name w:val="Grid Table 7 Colorful - Accent 4"/>
    <w:qFormat/>
    <w:uiPriority w:val="99"/>
  </w:style>
  <w:style w:type="table" w:customStyle="1" w:styleId="235">
    <w:name w:val="Grid Table 7 Colorful - Accent 5"/>
    <w:qFormat/>
    <w:uiPriority w:val="99"/>
  </w:style>
  <w:style w:type="table" w:customStyle="1" w:styleId="236">
    <w:name w:val="Grid Table 7 Colorful - Accent 6"/>
    <w:qFormat/>
    <w:uiPriority w:val="99"/>
  </w:style>
  <w:style w:type="table" w:customStyle="1" w:styleId="237">
    <w:name w:val="清单表 1 浅色1"/>
    <w:qFormat/>
    <w:uiPriority w:val="99"/>
  </w:style>
  <w:style w:type="table" w:customStyle="1" w:styleId="238">
    <w:name w:val="List Table 1 Light - Accent 1"/>
    <w:qFormat/>
    <w:uiPriority w:val="99"/>
  </w:style>
  <w:style w:type="table" w:customStyle="1" w:styleId="239">
    <w:name w:val="List Table 1 Light - Accent 2"/>
    <w:qFormat/>
    <w:uiPriority w:val="99"/>
  </w:style>
  <w:style w:type="table" w:customStyle="1" w:styleId="240">
    <w:name w:val="List Table 1 Light - Accent 3"/>
    <w:qFormat/>
    <w:uiPriority w:val="99"/>
  </w:style>
  <w:style w:type="table" w:customStyle="1" w:styleId="241">
    <w:name w:val="List Table 1 Light - Accent 4"/>
    <w:qFormat/>
    <w:uiPriority w:val="99"/>
  </w:style>
  <w:style w:type="table" w:customStyle="1" w:styleId="242">
    <w:name w:val="List Table 1 Light - Accent 5"/>
    <w:qFormat/>
    <w:uiPriority w:val="99"/>
  </w:style>
  <w:style w:type="table" w:customStyle="1" w:styleId="243">
    <w:name w:val="List Table 1 Light - Accent 6"/>
    <w:qFormat/>
    <w:uiPriority w:val="99"/>
  </w:style>
  <w:style w:type="table" w:customStyle="1" w:styleId="244">
    <w:name w:val="清单表 21"/>
    <w:qFormat/>
    <w:uiPriority w:val="99"/>
  </w:style>
  <w:style w:type="table" w:customStyle="1" w:styleId="245">
    <w:name w:val="List Table 2 - Accent 1"/>
    <w:qFormat/>
    <w:uiPriority w:val="99"/>
  </w:style>
  <w:style w:type="table" w:customStyle="1" w:styleId="246">
    <w:name w:val="List Table 2 - Accent 2"/>
    <w:qFormat/>
    <w:uiPriority w:val="99"/>
  </w:style>
  <w:style w:type="table" w:customStyle="1" w:styleId="247">
    <w:name w:val="List Table 2 - Accent 3"/>
    <w:qFormat/>
    <w:uiPriority w:val="99"/>
  </w:style>
  <w:style w:type="table" w:customStyle="1" w:styleId="248">
    <w:name w:val="List Table 2 - Accent 4"/>
    <w:qFormat/>
    <w:uiPriority w:val="99"/>
  </w:style>
  <w:style w:type="table" w:customStyle="1" w:styleId="249">
    <w:name w:val="List Table 2 - Accent 5"/>
    <w:qFormat/>
    <w:uiPriority w:val="99"/>
  </w:style>
  <w:style w:type="table" w:customStyle="1" w:styleId="250">
    <w:name w:val="List Table 2 - Accent 6"/>
    <w:qFormat/>
    <w:uiPriority w:val="99"/>
  </w:style>
  <w:style w:type="table" w:customStyle="1" w:styleId="251">
    <w:name w:val="清单表 31"/>
    <w:qFormat/>
    <w:uiPriority w:val="99"/>
  </w:style>
  <w:style w:type="table" w:customStyle="1" w:styleId="252">
    <w:name w:val="List Table 3 - Accent 1"/>
    <w:qFormat/>
    <w:uiPriority w:val="99"/>
  </w:style>
  <w:style w:type="table" w:customStyle="1" w:styleId="253">
    <w:name w:val="List Table 3 - Accent 2"/>
    <w:qFormat/>
    <w:uiPriority w:val="99"/>
  </w:style>
  <w:style w:type="table" w:customStyle="1" w:styleId="254">
    <w:name w:val="List Table 3 - Accent 3"/>
    <w:qFormat/>
    <w:uiPriority w:val="99"/>
  </w:style>
  <w:style w:type="table" w:customStyle="1" w:styleId="255">
    <w:name w:val="List Table 3 - Accent 4"/>
    <w:qFormat/>
    <w:uiPriority w:val="99"/>
  </w:style>
  <w:style w:type="table" w:customStyle="1" w:styleId="256">
    <w:name w:val="List Table 3 - Accent 5"/>
    <w:qFormat/>
    <w:uiPriority w:val="99"/>
  </w:style>
  <w:style w:type="table" w:customStyle="1" w:styleId="257">
    <w:name w:val="List Table 3 - Accent 6"/>
    <w:qFormat/>
    <w:uiPriority w:val="99"/>
  </w:style>
  <w:style w:type="table" w:customStyle="1" w:styleId="258">
    <w:name w:val="清单表 41"/>
    <w:qFormat/>
    <w:uiPriority w:val="99"/>
  </w:style>
  <w:style w:type="table" w:customStyle="1" w:styleId="259">
    <w:name w:val="List Table 4 - Accent 1"/>
    <w:qFormat/>
    <w:uiPriority w:val="99"/>
  </w:style>
  <w:style w:type="table" w:customStyle="1" w:styleId="260">
    <w:name w:val="List Table 4 - Accent 2"/>
    <w:qFormat/>
    <w:uiPriority w:val="99"/>
  </w:style>
  <w:style w:type="table" w:customStyle="1" w:styleId="261">
    <w:name w:val="List Table 4 - Accent 3"/>
    <w:qFormat/>
    <w:uiPriority w:val="99"/>
  </w:style>
  <w:style w:type="table" w:customStyle="1" w:styleId="262">
    <w:name w:val="List Table 4 - Accent 4"/>
    <w:qFormat/>
    <w:uiPriority w:val="99"/>
  </w:style>
  <w:style w:type="table" w:customStyle="1" w:styleId="263">
    <w:name w:val="List Table 4 - Accent 5"/>
    <w:qFormat/>
    <w:uiPriority w:val="99"/>
  </w:style>
  <w:style w:type="table" w:customStyle="1" w:styleId="264">
    <w:name w:val="List Table 4 - Accent 6"/>
    <w:qFormat/>
    <w:uiPriority w:val="99"/>
  </w:style>
  <w:style w:type="table" w:customStyle="1" w:styleId="265">
    <w:name w:val="清单表 5 深色1"/>
    <w:qFormat/>
    <w:uiPriority w:val="99"/>
  </w:style>
  <w:style w:type="table" w:customStyle="1" w:styleId="266">
    <w:name w:val="List Table 5 Dark - Accent 1"/>
    <w:qFormat/>
    <w:uiPriority w:val="99"/>
  </w:style>
  <w:style w:type="table" w:customStyle="1" w:styleId="267">
    <w:name w:val="List Table 5 Dark - Accent 2"/>
    <w:qFormat/>
    <w:uiPriority w:val="99"/>
  </w:style>
  <w:style w:type="table" w:customStyle="1" w:styleId="268">
    <w:name w:val="List Table 5 Dark - Accent 3"/>
    <w:qFormat/>
    <w:uiPriority w:val="99"/>
  </w:style>
  <w:style w:type="table" w:customStyle="1" w:styleId="269">
    <w:name w:val="List Table 5 Dark - Accent 4"/>
    <w:qFormat/>
    <w:uiPriority w:val="99"/>
  </w:style>
  <w:style w:type="table" w:customStyle="1" w:styleId="270">
    <w:name w:val="List Table 5 Dark - Accent 5"/>
    <w:qFormat/>
    <w:uiPriority w:val="99"/>
  </w:style>
  <w:style w:type="table" w:customStyle="1" w:styleId="271">
    <w:name w:val="List Table 5 Dark - Accent 6"/>
    <w:qFormat/>
    <w:uiPriority w:val="99"/>
  </w:style>
  <w:style w:type="table" w:customStyle="1" w:styleId="272">
    <w:name w:val="清单表 6 彩色1"/>
    <w:qFormat/>
    <w:uiPriority w:val="99"/>
  </w:style>
  <w:style w:type="table" w:customStyle="1" w:styleId="273">
    <w:name w:val="List Table 6 Colorful - Accent 1"/>
    <w:qFormat/>
    <w:uiPriority w:val="99"/>
  </w:style>
  <w:style w:type="table" w:customStyle="1" w:styleId="274">
    <w:name w:val="List Table 6 Colorful - Accent 2"/>
    <w:qFormat/>
    <w:uiPriority w:val="99"/>
  </w:style>
  <w:style w:type="table" w:customStyle="1" w:styleId="275">
    <w:name w:val="List Table 6 Colorful - Accent 3"/>
    <w:qFormat/>
    <w:uiPriority w:val="99"/>
  </w:style>
  <w:style w:type="table" w:customStyle="1" w:styleId="276">
    <w:name w:val="List Table 6 Colorful - Accent 4"/>
    <w:qFormat/>
    <w:uiPriority w:val="99"/>
  </w:style>
  <w:style w:type="table" w:customStyle="1" w:styleId="277">
    <w:name w:val="List Table 6 Colorful - Accent 5"/>
    <w:qFormat/>
    <w:uiPriority w:val="99"/>
  </w:style>
  <w:style w:type="table" w:customStyle="1" w:styleId="278">
    <w:name w:val="List Table 6 Colorful - Accent 6"/>
    <w:qFormat/>
    <w:uiPriority w:val="99"/>
  </w:style>
  <w:style w:type="table" w:customStyle="1" w:styleId="279">
    <w:name w:val="清单表 7 彩色1"/>
    <w:qFormat/>
    <w:uiPriority w:val="99"/>
  </w:style>
  <w:style w:type="table" w:customStyle="1" w:styleId="280">
    <w:name w:val="List Table 7 Colorful - Accent 1"/>
    <w:qFormat/>
    <w:uiPriority w:val="99"/>
  </w:style>
  <w:style w:type="table" w:customStyle="1" w:styleId="281">
    <w:name w:val="List Table 7 Colorful - Accent 2"/>
    <w:qFormat/>
    <w:uiPriority w:val="99"/>
  </w:style>
  <w:style w:type="table" w:customStyle="1" w:styleId="282">
    <w:name w:val="List Table 7 Colorful - Accent 3"/>
    <w:qFormat/>
    <w:uiPriority w:val="99"/>
  </w:style>
  <w:style w:type="table" w:customStyle="1" w:styleId="283">
    <w:name w:val="List Table 7 Colorful - Accent 4"/>
    <w:qFormat/>
    <w:uiPriority w:val="99"/>
  </w:style>
  <w:style w:type="table" w:customStyle="1" w:styleId="284">
    <w:name w:val="List Table 7 Colorful - Accent 5"/>
    <w:qFormat/>
    <w:uiPriority w:val="99"/>
  </w:style>
  <w:style w:type="table" w:customStyle="1" w:styleId="285">
    <w:name w:val="List Table 7 Colorful - Accent 6"/>
    <w:qFormat/>
    <w:uiPriority w:val="99"/>
  </w:style>
  <w:style w:type="table" w:customStyle="1" w:styleId="286">
    <w:name w:val="Lined - Accent"/>
    <w:qFormat/>
    <w:uiPriority w:val="99"/>
    <w:rPr>
      <w:color w:val="404040"/>
    </w:rPr>
  </w:style>
  <w:style w:type="table" w:customStyle="1" w:styleId="287">
    <w:name w:val="Lined - Accent 1"/>
    <w:qFormat/>
    <w:uiPriority w:val="99"/>
    <w:rPr>
      <w:color w:val="404040"/>
    </w:rPr>
  </w:style>
  <w:style w:type="table" w:customStyle="1" w:styleId="288">
    <w:name w:val="Lined - Accent 2"/>
    <w:qFormat/>
    <w:uiPriority w:val="99"/>
    <w:rPr>
      <w:color w:val="404040"/>
    </w:rPr>
  </w:style>
  <w:style w:type="table" w:customStyle="1" w:styleId="289">
    <w:name w:val="Lined - Accent 3"/>
    <w:qFormat/>
    <w:uiPriority w:val="99"/>
    <w:rPr>
      <w:color w:val="404040"/>
    </w:rPr>
  </w:style>
  <w:style w:type="table" w:customStyle="1" w:styleId="290">
    <w:name w:val="Lined - Accent 4"/>
    <w:qFormat/>
    <w:uiPriority w:val="99"/>
    <w:rPr>
      <w:color w:val="404040"/>
    </w:rPr>
  </w:style>
  <w:style w:type="table" w:customStyle="1" w:styleId="291">
    <w:name w:val="Lined - Accent 5"/>
    <w:qFormat/>
    <w:uiPriority w:val="99"/>
    <w:rPr>
      <w:color w:val="404040"/>
    </w:rPr>
  </w:style>
  <w:style w:type="table" w:customStyle="1" w:styleId="292">
    <w:name w:val="Lined - Accent 6"/>
    <w:qFormat/>
    <w:uiPriority w:val="99"/>
    <w:rPr>
      <w:color w:val="404040"/>
    </w:rPr>
  </w:style>
  <w:style w:type="table" w:customStyle="1" w:styleId="293">
    <w:name w:val="Bordered &amp; Lined - Accent"/>
    <w:qFormat/>
    <w:uiPriority w:val="99"/>
    <w:rPr>
      <w:color w:val="404040"/>
    </w:rPr>
  </w:style>
  <w:style w:type="table" w:customStyle="1" w:styleId="294">
    <w:name w:val="Bordered &amp; Lined - Accent 1"/>
    <w:qFormat/>
    <w:uiPriority w:val="99"/>
    <w:rPr>
      <w:color w:val="404040"/>
    </w:rPr>
  </w:style>
  <w:style w:type="table" w:customStyle="1" w:styleId="295">
    <w:name w:val="Bordered &amp; Lined - Accent 2"/>
    <w:qFormat/>
    <w:uiPriority w:val="99"/>
    <w:rPr>
      <w:color w:val="404040"/>
    </w:rPr>
  </w:style>
  <w:style w:type="table" w:customStyle="1" w:styleId="296">
    <w:name w:val="Bordered &amp; Lined - Accent 3"/>
    <w:qFormat/>
    <w:uiPriority w:val="99"/>
    <w:rPr>
      <w:color w:val="404040"/>
    </w:rPr>
  </w:style>
  <w:style w:type="table" w:customStyle="1" w:styleId="297">
    <w:name w:val="Bordered &amp; Lined - Accent 4"/>
    <w:qFormat/>
    <w:uiPriority w:val="99"/>
    <w:rPr>
      <w:color w:val="404040"/>
    </w:rPr>
  </w:style>
  <w:style w:type="table" w:customStyle="1" w:styleId="298">
    <w:name w:val="Bordered &amp; Lined - Accent 5"/>
    <w:qFormat/>
    <w:uiPriority w:val="99"/>
    <w:rPr>
      <w:color w:val="404040"/>
    </w:rPr>
  </w:style>
  <w:style w:type="table" w:customStyle="1" w:styleId="299">
    <w:name w:val="Bordered &amp; Lined - Accent 6"/>
    <w:qFormat/>
    <w:uiPriority w:val="99"/>
    <w:rPr>
      <w:color w:val="404040"/>
    </w:rPr>
  </w:style>
  <w:style w:type="table" w:customStyle="1" w:styleId="300">
    <w:name w:val="Bordered"/>
    <w:qFormat/>
    <w:uiPriority w:val="99"/>
  </w:style>
  <w:style w:type="table" w:customStyle="1" w:styleId="301">
    <w:name w:val="Bordered - Accent 1"/>
    <w:qFormat/>
    <w:uiPriority w:val="99"/>
  </w:style>
  <w:style w:type="table" w:customStyle="1" w:styleId="302">
    <w:name w:val="Bordered - Accent 2"/>
    <w:qFormat/>
    <w:uiPriority w:val="99"/>
  </w:style>
  <w:style w:type="table" w:customStyle="1" w:styleId="303">
    <w:name w:val="Bordered - Accent 3"/>
    <w:qFormat/>
    <w:uiPriority w:val="99"/>
  </w:style>
  <w:style w:type="table" w:customStyle="1" w:styleId="304">
    <w:name w:val="Bordered - Accent 4"/>
    <w:qFormat/>
    <w:uiPriority w:val="99"/>
  </w:style>
  <w:style w:type="table" w:customStyle="1" w:styleId="305">
    <w:name w:val="Bordered - Accent 5"/>
    <w:qFormat/>
    <w:uiPriority w:val="99"/>
  </w:style>
  <w:style w:type="table" w:customStyle="1" w:styleId="306">
    <w:name w:val="Bordered - Accent 6"/>
    <w:qFormat/>
    <w:uiPriority w:val="99"/>
  </w:style>
  <w:style w:type="paragraph" w:customStyle="1" w:styleId="307">
    <w:name w:val="TOC 标题1"/>
    <w:unhideWhenUsed/>
    <w:qFormat/>
    <w:uiPriority w:val="39"/>
    <w:rPr>
      <w:rFonts w:hint="default" w:ascii="Times New Roman" w:hAnsi="Times New Roman" w:eastAsia="宋体" w:cs="Times New Roman"/>
      <w:lang w:val="en-US" w:eastAsia="zh-CN" w:bidi="ar-SA"/>
    </w:rPr>
  </w:style>
  <w:style w:type="character" w:customStyle="1" w:styleId="308">
    <w:name w:val="已访问的超链接1"/>
    <w:link w:val="1"/>
    <w:qFormat/>
    <w:uiPriority w:val="0"/>
    <w:rPr>
      <w:color w:val="800080"/>
      <w:u w:val="single"/>
    </w:rPr>
  </w:style>
  <w:style w:type="character" w:customStyle="1" w:styleId="309">
    <w:name w:val="font5 Char"/>
    <w:link w:val="1"/>
    <w:qFormat/>
    <w:uiPriority w:val="0"/>
    <w:rPr>
      <w:rFonts w:ascii="宋体" w:hAnsi="宋体" w:eastAsia="宋体"/>
      <w:sz w:val="28"/>
      <w:szCs w:val="28"/>
      <w:lang w:val="en-US" w:eastAsia="zh-CN" w:bidi="ar-SA"/>
    </w:rPr>
  </w:style>
  <w:style w:type="character" w:customStyle="1" w:styleId="310">
    <w:name w:val="二级目录 Char"/>
    <w:link w:val="311"/>
    <w:qFormat/>
    <w:uiPriority w:val="0"/>
    <w:rPr>
      <w:b/>
      <w:sz w:val="30"/>
      <w:szCs w:val="28"/>
    </w:rPr>
  </w:style>
  <w:style w:type="paragraph" w:customStyle="1" w:styleId="311">
    <w:name w:val="二级目录"/>
    <w:next w:val="1"/>
    <w:link w:val="310"/>
    <w:qFormat/>
    <w:uiPriority w:val="0"/>
    <w:pPr>
      <w:numPr>
        <w:ilvl w:val="0"/>
        <w:numId w:val="3"/>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312">
    <w:name w:val="列出段落 Char"/>
    <w:link w:val="313"/>
    <w:qFormat/>
    <w:uiPriority w:val="0"/>
    <w:rPr>
      <w:rFonts w:ascii="Calibri" w:hAnsi="Calibri"/>
      <w:sz w:val="24"/>
      <w:szCs w:val="24"/>
      <w:lang w:eastAsia="en-US" w:bidi="en-US"/>
    </w:rPr>
  </w:style>
  <w:style w:type="paragraph" w:customStyle="1" w:styleId="313">
    <w:name w:val="列出段落1"/>
    <w:basedOn w:val="1"/>
    <w:link w:val="312"/>
    <w:qFormat/>
    <w:uiPriority w:val="34"/>
    <w:pPr>
      <w:widowControl/>
      <w:ind w:left="720"/>
      <w:contextualSpacing/>
      <w:jc w:val="left"/>
    </w:pPr>
    <w:rPr>
      <w:rFonts w:ascii="Calibri" w:hAnsi="Calibri"/>
      <w:sz w:val="24"/>
      <w:szCs w:val="24"/>
      <w:lang w:eastAsia="en-US" w:bidi="en-US"/>
    </w:rPr>
  </w:style>
  <w:style w:type="paragraph" w:customStyle="1" w:styleId="314">
    <w:name w:val="Body Text(ch)"/>
    <w:basedOn w:val="1"/>
    <w:next w:val="100"/>
    <w:qFormat/>
    <w:uiPriority w:val="0"/>
    <w:pPr>
      <w:spacing w:after="120"/>
    </w:pPr>
    <w:rPr>
      <w:rFonts w:ascii="宋体" w:hAnsi="Arial"/>
      <w:bCs/>
      <w:iCs/>
      <w:szCs w:val="24"/>
    </w:rPr>
  </w:style>
  <w:style w:type="paragraph" w:customStyle="1" w:styleId="31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7">
    <w:name w:val="Char"/>
    <w:basedOn w:val="1"/>
    <w:qFormat/>
    <w:uiPriority w:val="0"/>
    <w:pPr>
      <w:tabs>
        <w:tab w:val="left" w:pos="360"/>
      </w:tabs>
      <w:ind w:firstLine="200"/>
    </w:pPr>
    <w:rPr>
      <w:sz w:val="28"/>
      <w:szCs w:val="30"/>
    </w:rPr>
  </w:style>
  <w:style w:type="paragraph" w:customStyle="1" w:styleId="318">
    <w:name w:val="Char111"/>
    <w:basedOn w:val="93"/>
    <w:qFormat/>
    <w:uiPriority w:val="0"/>
    <w:rPr>
      <w:rFonts w:ascii="Tahoma" w:hAnsi="Tahoma"/>
      <w:sz w:val="24"/>
      <w:szCs w:val="24"/>
    </w:rPr>
  </w:style>
  <w:style w:type="paragraph" w:customStyle="1" w:styleId="319">
    <w:name w:val="table_lines"/>
    <w:basedOn w:val="1"/>
    <w:qFormat/>
    <w:uiPriority w:val="0"/>
    <w:pPr>
      <w:widowControl/>
      <w:jc w:val="left"/>
    </w:pPr>
    <w:rPr>
      <w:sz w:val="20"/>
      <w:szCs w:val="20"/>
      <w:lang w:val="de-DE" w:eastAsia="de-DE"/>
    </w:rPr>
  </w:style>
  <w:style w:type="paragraph" w:customStyle="1" w:styleId="32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32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2">
    <w:name w:val="Char Char Char Char"/>
    <w:basedOn w:val="93"/>
    <w:qFormat/>
    <w:uiPriority w:val="0"/>
    <w:pPr>
      <w:spacing w:line="360" w:lineRule="auto"/>
    </w:pPr>
    <w:rPr>
      <w:rFonts w:ascii="Tahoma" w:hAnsi="Tahoma"/>
      <w:sz w:val="24"/>
      <w:szCs w:val="24"/>
    </w:rPr>
  </w:style>
  <w:style w:type="paragraph" w:customStyle="1" w:styleId="323">
    <w:name w:val="4"/>
    <w:basedOn w:val="1"/>
    <w:next w:val="133"/>
    <w:qFormat/>
    <w:uiPriority w:val="0"/>
    <w:pPr>
      <w:spacing w:line="360" w:lineRule="auto"/>
      <w:ind w:firstLine="420"/>
    </w:pPr>
    <w:rPr>
      <w:color w:val="FF0000"/>
      <w:sz w:val="24"/>
      <w:szCs w:val="24"/>
    </w:rPr>
  </w:style>
  <w:style w:type="paragraph" w:customStyle="1" w:styleId="32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5">
    <w:name w:val="Char Char Char Char Char Char Char Char Char Char"/>
    <w:basedOn w:val="1"/>
    <w:qFormat/>
    <w:uiPriority w:val="0"/>
    <w:pPr>
      <w:spacing w:line="360" w:lineRule="auto"/>
    </w:pPr>
    <w:rPr>
      <w:sz w:val="24"/>
      <w:szCs w:val="20"/>
    </w:rPr>
  </w:style>
  <w:style w:type="paragraph" w:customStyle="1" w:styleId="32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7">
    <w:name w:val="xl25"/>
    <w:basedOn w:val="1"/>
    <w:qFormat/>
    <w:uiPriority w:val="0"/>
    <w:pPr>
      <w:widowControl/>
      <w:spacing w:before="100" w:beforeAutospacing="1" w:after="100" w:afterAutospacing="1"/>
      <w:jc w:val="center"/>
    </w:pPr>
    <w:rPr>
      <w:rFonts w:ascii="Wonder Arial" w:hAnsi="Wonder Arial" w:eastAsia="Wonder Arial" w:cs="Wonder Arial"/>
      <w:sz w:val="24"/>
      <w:szCs w:val="24"/>
    </w:rPr>
  </w:style>
  <w:style w:type="paragraph" w:customStyle="1" w:styleId="32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6">
    <w:name w:val="Char Char Char Char1"/>
    <w:basedOn w:val="93"/>
    <w:qFormat/>
    <w:uiPriority w:val="0"/>
    <w:pPr>
      <w:spacing w:line="360" w:lineRule="auto"/>
    </w:pPr>
    <w:rPr>
      <w:rFonts w:ascii="Tahoma" w:hAnsi="Tahoma"/>
      <w:sz w:val="24"/>
      <w:szCs w:val="24"/>
    </w:rPr>
  </w:style>
  <w:style w:type="paragraph" w:customStyle="1" w:styleId="337">
    <w:name w:val="table_1stline"/>
    <w:basedOn w:val="1"/>
    <w:qFormat/>
    <w:uiPriority w:val="0"/>
    <w:pPr>
      <w:widowControl/>
      <w:spacing w:before="120"/>
      <w:jc w:val="left"/>
    </w:pPr>
    <w:rPr>
      <w:bCs/>
      <w:sz w:val="20"/>
      <w:szCs w:val="20"/>
      <w:lang w:val="de-DE" w:eastAsia="de-DE"/>
    </w:rPr>
  </w:style>
  <w:style w:type="paragraph" w:customStyle="1" w:styleId="3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0">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42">
    <w:name w:val="文本块1"/>
    <w:basedOn w:val="1"/>
    <w:qFormat/>
    <w:uiPriority w:val="0"/>
    <w:pPr>
      <w:ind w:left="420" w:right="33"/>
      <w:jc w:val="left"/>
    </w:pPr>
    <w:rPr>
      <w:sz w:val="24"/>
      <w:szCs w:val="20"/>
    </w:rPr>
  </w:style>
  <w:style w:type="character" w:customStyle="1" w:styleId="343">
    <w:name w:val="Title Char"/>
    <w:link w:val="1"/>
    <w:qFormat/>
    <w:uiPriority w:val="10"/>
    <w:rPr>
      <w:sz w:val="48"/>
      <w:szCs w:val="48"/>
    </w:rPr>
  </w:style>
  <w:style w:type="character" w:customStyle="1" w:styleId="344">
    <w:name w:val="Subtitle Char"/>
    <w:link w:val="1"/>
    <w:qFormat/>
    <w:uiPriority w:val="11"/>
    <w:rPr>
      <w:sz w:val="24"/>
      <w:szCs w:val="24"/>
    </w:rPr>
  </w:style>
  <w:style w:type="table" w:customStyle="1" w:styleId="345">
    <w:name w:val="网格型1"/>
    <w:basedOn w:val="76"/>
    <w:qFormat/>
    <w:uiPriority w:val="39"/>
    <w:rPr>
      <w:rFonts w:ascii="Calibri" w:hAnsi="Calibri"/>
      <w:sz w:val="21"/>
      <w:szCs w:val="22"/>
    </w:rPr>
  </w:style>
  <w:style w:type="table" w:customStyle="1" w:styleId="346">
    <w:name w:val="Table Grid Light1"/>
    <w:qFormat/>
    <w:uiPriority w:val="59"/>
  </w:style>
  <w:style w:type="table" w:customStyle="1" w:styleId="347">
    <w:name w:val="Plain Table 11"/>
    <w:qFormat/>
    <w:uiPriority w:val="59"/>
  </w:style>
  <w:style w:type="table" w:customStyle="1" w:styleId="348">
    <w:name w:val="Plain Table 21"/>
    <w:qFormat/>
    <w:uiPriority w:val="59"/>
  </w:style>
  <w:style w:type="table" w:customStyle="1" w:styleId="349">
    <w:name w:val="Plain Table 31"/>
    <w:qFormat/>
    <w:uiPriority w:val="99"/>
  </w:style>
  <w:style w:type="table" w:customStyle="1" w:styleId="350">
    <w:name w:val="Plain Table 41"/>
    <w:qFormat/>
    <w:uiPriority w:val="99"/>
  </w:style>
  <w:style w:type="table" w:customStyle="1" w:styleId="351">
    <w:name w:val="Plain Table 51"/>
    <w:qFormat/>
    <w:uiPriority w:val="99"/>
  </w:style>
  <w:style w:type="table" w:customStyle="1" w:styleId="352">
    <w:name w:val="Grid Table 1 Light1"/>
    <w:qFormat/>
    <w:uiPriority w:val="99"/>
  </w:style>
  <w:style w:type="table" w:customStyle="1" w:styleId="353">
    <w:name w:val="Grid Table 1 Light - Accent 11"/>
    <w:qFormat/>
    <w:uiPriority w:val="99"/>
  </w:style>
  <w:style w:type="table" w:customStyle="1" w:styleId="354">
    <w:name w:val="Grid Table 1 Light - Accent 21"/>
    <w:qFormat/>
    <w:uiPriority w:val="99"/>
  </w:style>
  <w:style w:type="table" w:customStyle="1" w:styleId="355">
    <w:name w:val="Grid Table 1 Light - Accent 31"/>
    <w:qFormat/>
    <w:uiPriority w:val="99"/>
  </w:style>
  <w:style w:type="table" w:customStyle="1" w:styleId="356">
    <w:name w:val="Grid Table 1 Light - Accent 41"/>
    <w:qFormat/>
    <w:uiPriority w:val="99"/>
  </w:style>
  <w:style w:type="table" w:customStyle="1" w:styleId="357">
    <w:name w:val="Grid Table 1 Light - Accent 51"/>
    <w:qFormat/>
    <w:uiPriority w:val="99"/>
  </w:style>
  <w:style w:type="table" w:customStyle="1" w:styleId="358">
    <w:name w:val="Grid Table 1 Light - Accent 61"/>
    <w:qFormat/>
    <w:uiPriority w:val="99"/>
  </w:style>
  <w:style w:type="table" w:customStyle="1" w:styleId="359">
    <w:name w:val="Grid Table 21"/>
    <w:qFormat/>
    <w:uiPriority w:val="99"/>
  </w:style>
  <w:style w:type="table" w:customStyle="1" w:styleId="360">
    <w:name w:val="Grid Table 2 - Accent 11"/>
    <w:qFormat/>
    <w:uiPriority w:val="99"/>
  </w:style>
  <w:style w:type="table" w:customStyle="1" w:styleId="361">
    <w:name w:val="Grid Table 2 - Accent 21"/>
    <w:qFormat/>
    <w:uiPriority w:val="99"/>
  </w:style>
  <w:style w:type="table" w:customStyle="1" w:styleId="362">
    <w:name w:val="Grid Table 2 - Accent 31"/>
    <w:qFormat/>
    <w:uiPriority w:val="99"/>
  </w:style>
  <w:style w:type="table" w:customStyle="1" w:styleId="363">
    <w:name w:val="Grid Table 2 - Accent 41"/>
    <w:qFormat/>
    <w:uiPriority w:val="99"/>
  </w:style>
  <w:style w:type="table" w:customStyle="1" w:styleId="364">
    <w:name w:val="Grid Table 2 - Accent 51"/>
    <w:qFormat/>
    <w:uiPriority w:val="99"/>
  </w:style>
  <w:style w:type="table" w:customStyle="1" w:styleId="365">
    <w:name w:val="Grid Table 2 - Accent 61"/>
    <w:qFormat/>
    <w:uiPriority w:val="99"/>
  </w:style>
  <w:style w:type="table" w:customStyle="1" w:styleId="366">
    <w:name w:val="Grid Table 31"/>
    <w:qFormat/>
    <w:uiPriority w:val="99"/>
  </w:style>
  <w:style w:type="table" w:customStyle="1" w:styleId="367">
    <w:name w:val="Grid Table 3 - Accent 11"/>
    <w:qFormat/>
    <w:uiPriority w:val="99"/>
  </w:style>
  <w:style w:type="table" w:customStyle="1" w:styleId="368">
    <w:name w:val="Grid Table 3 - Accent 21"/>
    <w:qFormat/>
    <w:uiPriority w:val="99"/>
  </w:style>
  <w:style w:type="table" w:customStyle="1" w:styleId="369">
    <w:name w:val="Grid Table 3 - Accent 31"/>
    <w:qFormat/>
    <w:uiPriority w:val="99"/>
  </w:style>
  <w:style w:type="table" w:customStyle="1" w:styleId="370">
    <w:name w:val="Grid Table 3 - Accent 41"/>
    <w:qFormat/>
    <w:uiPriority w:val="99"/>
  </w:style>
  <w:style w:type="table" w:customStyle="1" w:styleId="371">
    <w:name w:val="Grid Table 3 - Accent 51"/>
    <w:qFormat/>
    <w:uiPriority w:val="99"/>
  </w:style>
  <w:style w:type="table" w:customStyle="1" w:styleId="372">
    <w:name w:val="Grid Table 3 - Accent 61"/>
    <w:qFormat/>
    <w:uiPriority w:val="99"/>
  </w:style>
  <w:style w:type="table" w:customStyle="1" w:styleId="373">
    <w:name w:val="Grid Table 41"/>
    <w:qFormat/>
    <w:uiPriority w:val="59"/>
  </w:style>
  <w:style w:type="table" w:customStyle="1" w:styleId="374">
    <w:name w:val="Grid Table 4 - Accent 11"/>
    <w:qFormat/>
    <w:uiPriority w:val="59"/>
  </w:style>
  <w:style w:type="table" w:customStyle="1" w:styleId="375">
    <w:name w:val="Grid Table 4 - Accent 21"/>
    <w:qFormat/>
    <w:uiPriority w:val="59"/>
  </w:style>
  <w:style w:type="table" w:customStyle="1" w:styleId="376">
    <w:name w:val="Grid Table 4 - Accent 31"/>
    <w:qFormat/>
    <w:uiPriority w:val="59"/>
  </w:style>
  <w:style w:type="table" w:customStyle="1" w:styleId="377">
    <w:name w:val="Grid Table 4 - Accent 41"/>
    <w:qFormat/>
    <w:uiPriority w:val="59"/>
  </w:style>
  <w:style w:type="table" w:customStyle="1" w:styleId="378">
    <w:name w:val="Grid Table 4 - Accent 51"/>
    <w:qFormat/>
    <w:uiPriority w:val="59"/>
  </w:style>
  <w:style w:type="table" w:customStyle="1" w:styleId="379">
    <w:name w:val="Grid Table 4 - Accent 61"/>
    <w:qFormat/>
    <w:uiPriority w:val="59"/>
  </w:style>
  <w:style w:type="table" w:customStyle="1" w:styleId="380">
    <w:name w:val="Grid Table 5 Dark1"/>
    <w:qFormat/>
    <w:uiPriority w:val="99"/>
  </w:style>
  <w:style w:type="table" w:customStyle="1" w:styleId="381">
    <w:name w:val="Grid Table 5 Dark- Accent 11"/>
    <w:qFormat/>
    <w:uiPriority w:val="99"/>
  </w:style>
  <w:style w:type="table" w:customStyle="1" w:styleId="382">
    <w:name w:val="Grid Table 5 Dark - Accent 21"/>
    <w:qFormat/>
    <w:uiPriority w:val="99"/>
  </w:style>
  <w:style w:type="table" w:customStyle="1" w:styleId="383">
    <w:name w:val="Grid Table 5 Dark - Accent 31"/>
    <w:qFormat/>
    <w:uiPriority w:val="99"/>
  </w:style>
  <w:style w:type="table" w:customStyle="1" w:styleId="384">
    <w:name w:val="Grid Table 5 Dark- Accent 41"/>
    <w:qFormat/>
    <w:uiPriority w:val="99"/>
  </w:style>
  <w:style w:type="table" w:customStyle="1" w:styleId="385">
    <w:name w:val="Grid Table 5 Dark - Accent 51"/>
    <w:qFormat/>
    <w:uiPriority w:val="99"/>
  </w:style>
  <w:style w:type="table" w:customStyle="1" w:styleId="386">
    <w:name w:val="Grid Table 5 Dark - Accent 61"/>
    <w:qFormat/>
    <w:uiPriority w:val="99"/>
  </w:style>
  <w:style w:type="table" w:customStyle="1" w:styleId="387">
    <w:name w:val="Grid Table 6 Colorful1"/>
    <w:qFormat/>
    <w:uiPriority w:val="99"/>
  </w:style>
  <w:style w:type="table" w:customStyle="1" w:styleId="388">
    <w:name w:val="Grid Table 6 Colorful - Accent 11"/>
    <w:qFormat/>
    <w:uiPriority w:val="99"/>
  </w:style>
  <w:style w:type="table" w:customStyle="1" w:styleId="389">
    <w:name w:val="Grid Table 6 Colorful - Accent 21"/>
    <w:qFormat/>
    <w:uiPriority w:val="99"/>
  </w:style>
  <w:style w:type="table" w:customStyle="1" w:styleId="390">
    <w:name w:val="Grid Table 6 Colorful - Accent 31"/>
    <w:qFormat/>
    <w:uiPriority w:val="99"/>
  </w:style>
  <w:style w:type="table" w:customStyle="1" w:styleId="391">
    <w:name w:val="Grid Table 6 Colorful - Accent 41"/>
    <w:qFormat/>
    <w:uiPriority w:val="99"/>
  </w:style>
  <w:style w:type="table" w:customStyle="1" w:styleId="392">
    <w:name w:val="Grid Table 6 Colorful - Accent 51"/>
    <w:qFormat/>
    <w:uiPriority w:val="99"/>
  </w:style>
  <w:style w:type="table" w:customStyle="1" w:styleId="393">
    <w:name w:val="Grid Table 6 Colorful - Accent 61"/>
    <w:qFormat/>
    <w:uiPriority w:val="99"/>
  </w:style>
  <w:style w:type="table" w:customStyle="1" w:styleId="394">
    <w:name w:val="Grid Table 7 Colorful1"/>
    <w:qFormat/>
    <w:uiPriority w:val="99"/>
  </w:style>
  <w:style w:type="table" w:customStyle="1" w:styleId="395">
    <w:name w:val="Grid Table 7 Colorful - Accent 11"/>
    <w:qFormat/>
    <w:uiPriority w:val="99"/>
  </w:style>
  <w:style w:type="table" w:customStyle="1" w:styleId="396">
    <w:name w:val="Grid Table 7 Colorful - Accent 21"/>
    <w:qFormat/>
    <w:uiPriority w:val="99"/>
  </w:style>
  <w:style w:type="table" w:customStyle="1" w:styleId="397">
    <w:name w:val="Grid Table 7 Colorful - Accent 31"/>
    <w:qFormat/>
    <w:uiPriority w:val="99"/>
  </w:style>
  <w:style w:type="table" w:customStyle="1" w:styleId="398">
    <w:name w:val="Grid Table 7 Colorful - Accent 41"/>
    <w:qFormat/>
    <w:uiPriority w:val="99"/>
  </w:style>
  <w:style w:type="table" w:customStyle="1" w:styleId="399">
    <w:name w:val="Grid Table 7 Colorful - Accent 51"/>
    <w:qFormat/>
    <w:uiPriority w:val="99"/>
  </w:style>
  <w:style w:type="table" w:customStyle="1" w:styleId="400">
    <w:name w:val="Grid Table 7 Colorful - Accent 61"/>
    <w:qFormat/>
    <w:uiPriority w:val="99"/>
  </w:style>
  <w:style w:type="table" w:customStyle="1" w:styleId="401">
    <w:name w:val="List Table 1 Light1"/>
    <w:qFormat/>
    <w:uiPriority w:val="99"/>
  </w:style>
  <w:style w:type="table" w:customStyle="1" w:styleId="402">
    <w:name w:val="List Table 1 Light - Accent 11"/>
    <w:qFormat/>
    <w:uiPriority w:val="99"/>
  </w:style>
  <w:style w:type="table" w:customStyle="1" w:styleId="403">
    <w:name w:val="List Table 1 Light - Accent 21"/>
    <w:qFormat/>
    <w:uiPriority w:val="99"/>
  </w:style>
  <w:style w:type="table" w:customStyle="1" w:styleId="404">
    <w:name w:val="List Table 1 Light - Accent 31"/>
    <w:qFormat/>
    <w:uiPriority w:val="99"/>
  </w:style>
  <w:style w:type="table" w:customStyle="1" w:styleId="405">
    <w:name w:val="List Table 1 Light - Accent 41"/>
    <w:qFormat/>
    <w:uiPriority w:val="99"/>
  </w:style>
  <w:style w:type="table" w:customStyle="1" w:styleId="406">
    <w:name w:val="List Table 1 Light - Accent 51"/>
    <w:qFormat/>
    <w:uiPriority w:val="99"/>
  </w:style>
  <w:style w:type="table" w:customStyle="1" w:styleId="407">
    <w:name w:val="List Table 1 Light - Accent 61"/>
    <w:qFormat/>
    <w:uiPriority w:val="99"/>
  </w:style>
  <w:style w:type="table" w:customStyle="1" w:styleId="408">
    <w:name w:val="List Table 21"/>
    <w:qFormat/>
    <w:uiPriority w:val="99"/>
  </w:style>
  <w:style w:type="table" w:customStyle="1" w:styleId="409">
    <w:name w:val="List Table 2 - Accent 11"/>
    <w:qFormat/>
    <w:uiPriority w:val="99"/>
  </w:style>
  <w:style w:type="table" w:customStyle="1" w:styleId="410">
    <w:name w:val="List Table 2 - Accent 21"/>
    <w:qFormat/>
    <w:uiPriority w:val="99"/>
  </w:style>
  <w:style w:type="table" w:customStyle="1" w:styleId="411">
    <w:name w:val="List Table 2 - Accent 31"/>
    <w:qFormat/>
    <w:uiPriority w:val="99"/>
  </w:style>
  <w:style w:type="table" w:customStyle="1" w:styleId="412">
    <w:name w:val="List Table 2 - Accent 41"/>
    <w:qFormat/>
    <w:uiPriority w:val="99"/>
  </w:style>
  <w:style w:type="table" w:customStyle="1" w:styleId="413">
    <w:name w:val="List Table 2 - Accent 51"/>
    <w:qFormat/>
    <w:uiPriority w:val="99"/>
  </w:style>
  <w:style w:type="table" w:customStyle="1" w:styleId="414">
    <w:name w:val="List Table 2 - Accent 61"/>
    <w:qFormat/>
    <w:uiPriority w:val="99"/>
  </w:style>
  <w:style w:type="table" w:customStyle="1" w:styleId="415">
    <w:name w:val="List Table 31"/>
    <w:qFormat/>
    <w:uiPriority w:val="99"/>
  </w:style>
  <w:style w:type="table" w:customStyle="1" w:styleId="416">
    <w:name w:val="List Table 3 - Accent 11"/>
    <w:qFormat/>
    <w:uiPriority w:val="99"/>
  </w:style>
  <w:style w:type="table" w:customStyle="1" w:styleId="417">
    <w:name w:val="List Table 3 - Accent 21"/>
    <w:qFormat/>
    <w:uiPriority w:val="99"/>
  </w:style>
  <w:style w:type="table" w:customStyle="1" w:styleId="418">
    <w:name w:val="List Table 3 - Accent 31"/>
    <w:qFormat/>
    <w:uiPriority w:val="99"/>
  </w:style>
  <w:style w:type="table" w:customStyle="1" w:styleId="419">
    <w:name w:val="List Table 3 - Accent 41"/>
    <w:qFormat/>
    <w:uiPriority w:val="99"/>
  </w:style>
  <w:style w:type="table" w:customStyle="1" w:styleId="420">
    <w:name w:val="List Table 3 - Accent 51"/>
    <w:qFormat/>
    <w:uiPriority w:val="99"/>
  </w:style>
  <w:style w:type="table" w:customStyle="1" w:styleId="421">
    <w:name w:val="List Table 3 - Accent 61"/>
    <w:qFormat/>
    <w:uiPriority w:val="99"/>
  </w:style>
  <w:style w:type="table" w:customStyle="1" w:styleId="422">
    <w:name w:val="List Table 41"/>
    <w:qFormat/>
    <w:uiPriority w:val="99"/>
  </w:style>
  <w:style w:type="table" w:customStyle="1" w:styleId="423">
    <w:name w:val="List Table 4 - Accent 11"/>
    <w:qFormat/>
    <w:uiPriority w:val="99"/>
  </w:style>
  <w:style w:type="table" w:customStyle="1" w:styleId="424">
    <w:name w:val="List Table 4 - Accent 21"/>
    <w:qFormat/>
    <w:uiPriority w:val="99"/>
  </w:style>
  <w:style w:type="table" w:customStyle="1" w:styleId="425">
    <w:name w:val="List Table 4 - Accent 31"/>
    <w:qFormat/>
    <w:uiPriority w:val="99"/>
  </w:style>
  <w:style w:type="table" w:customStyle="1" w:styleId="426">
    <w:name w:val="List Table 4 - Accent 41"/>
    <w:qFormat/>
    <w:uiPriority w:val="99"/>
  </w:style>
  <w:style w:type="table" w:customStyle="1" w:styleId="427">
    <w:name w:val="List Table 4 - Accent 51"/>
    <w:qFormat/>
    <w:uiPriority w:val="99"/>
  </w:style>
  <w:style w:type="table" w:customStyle="1" w:styleId="428">
    <w:name w:val="List Table 4 - Accent 61"/>
    <w:qFormat/>
    <w:uiPriority w:val="99"/>
  </w:style>
  <w:style w:type="table" w:customStyle="1" w:styleId="429">
    <w:name w:val="List Table 5 Dark1"/>
    <w:qFormat/>
    <w:uiPriority w:val="99"/>
  </w:style>
  <w:style w:type="table" w:customStyle="1" w:styleId="430">
    <w:name w:val="List Table 5 Dark - Accent 11"/>
    <w:qFormat/>
    <w:uiPriority w:val="99"/>
  </w:style>
  <w:style w:type="table" w:customStyle="1" w:styleId="431">
    <w:name w:val="List Table 5 Dark - Accent 21"/>
    <w:qFormat/>
    <w:uiPriority w:val="99"/>
  </w:style>
  <w:style w:type="table" w:customStyle="1" w:styleId="432">
    <w:name w:val="List Table 5 Dark - Accent 31"/>
    <w:qFormat/>
    <w:uiPriority w:val="99"/>
  </w:style>
  <w:style w:type="table" w:customStyle="1" w:styleId="433">
    <w:name w:val="List Table 5 Dark - Accent 41"/>
    <w:qFormat/>
    <w:uiPriority w:val="99"/>
  </w:style>
  <w:style w:type="table" w:customStyle="1" w:styleId="434">
    <w:name w:val="List Table 5 Dark - Accent 51"/>
    <w:qFormat/>
    <w:uiPriority w:val="99"/>
  </w:style>
  <w:style w:type="table" w:customStyle="1" w:styleId="435">
    <w:name w:val="List Table 5 Dark - Accent 61"/>
    <w:qFormat/>
    <w:uiPriority w:val="99"/>
  </w:style>
  <w:style w:type="table" w:customStyle="1" w:styleId="436">
    <w:name w:val="List Table 6 Colorful1"/>
    <w:qFormat/>
    <w:uiPriority w:val="99"/>
  </w:style>
  <w:style w:type="table" w:customStyle="1" w:styleId="437">
    <w:name w:val="List Table 6 Colorful - Accent 11"/>
    <w:qFormat/>
    <w:uiPriority w:val="99"/>
  </w:style>
  <w:style w:type="table" w:customStyle="1" w:styleId="438">
    <w:name w:val="List Table 6 Colorful - Accent 21"/>
    <w:qFormat/>
    <w:uiPriority w:val="99"/>
  </w:style>
  <w:style w:type="table" w:customStyle="1" w:styleId="439">
    <w:name w:val="List Table 6 Colorful - Accent 31"/>
    <w:qFormat/>
    <w:uiPriority w:val="99"/>
  </w:style>
  <w:style w:type="table" w:customStyle="1" w:styleId="440">
    <w:name w:val="List Table 6 Colorful - Accent 41"/>
    <w:qFormat/>
    <w:uiPriority w:val="99"/>
  </w:style>
  <w:style w:type="table" w:customStyle="1" w:styleId="441">
    <w:name w:val="List Table 6 Colorful - Accent 51"/>
    <w:qFormat/>
    <w:uiPriority w:val="99"/>
  </w:style>
  <w:style w:type="table" w:customStyle="1" w:styleId="442">
    <w:name w:val="List Table 6 Colorful - Accent 61"/>
    <w:qFormat/>
    <w:uiPriority w:val="99"/>
  </w:style>
  <w:style w:type="table" w:customStyle="1" w:styleId="443">
    <w:name w:val="List Table 7 Colorful1"/>
    <w:qFormat/>
    <w:uiPriority w:val="99"/>
  </w:style>
  <w:style w:type="table" w:customStyle="1" w:styleId="444">
    <w:name w:val="List Table 7 Colorful - Accent 11"/>
    <w:qFormat/>
    <w:uiPriority w:val="99"/>
  </w:style>
  <w:style w:type="table" w:customStyle="1" w:styleId="445">
    <w:name w:val="List Table 7 Colorful - Accent 21"/>
    <w:qFormat/>
    <w:uiPriority w:val="99"/>
  </w:style>
  <w:style w:type="table" w:customStyle="1" w:styleId="446">
    <w:name w:val="List Table 7 Colorful - Accent 31"/>
    <w:qFormat/>
    <w:uiPriority w:val="99"/>
  </w:style>
  <w:style w:type="table" w:customStyle="1" w:styleId="447">
    <w:name w:val="List Table 7 Colorful - Accent 41"/>
    <w:qFormat/>
    <w:uiPriority w:val="99"/>
  </w:style>
  <w:style w:type="table" w:customStyle="1" w:styleId="448">
    <w:name w:val="List Table 7 Colorful - Accent 51"/>
    <w:qFormat/>
    <w:uiPriority w:val="99"/>
  </w:style>
  <w:style w:type="table" w:customStyle="1" w:styleId="449">
    <w:name w:val="List Table 7 Colorful - Accent 61"/>
    <w:qFormat/>
    <w:uiPriority w:val="99"/>
  </w:style>
  <w:style w:type="table" w:customStyle="1" w:styleId="450">
    <w:name w:val="Lined - Accent 11"/>
    <w:qFormat/>
    <w:uiPriority w:val="99"/>
    <w:rPr>
      <w:color w:val="404040"/>
    </w:rPr>
  </w:style>
  <w:style w:type="table" w:customStyle="1" w:styleId="451">
    <w:name w:val="Lined - Accent 21"/>
    <w:qFormat/>
    <w:uiPriority w:val="99"/>
    <w:rPr>
      <w:color w:val="404040"/>
    </w:rPr>
  </w:style>
  <w:style w:type="table" w:customStyle="1" w:styleId="452">
    <w:name w:val="Lined - Accent 31"/>
    <w:qFormat/>
    <w:uiPriority w:val="99"/>
    <w:rPr>
      <w:color w:val="404040"/>
    </w:rPr>
  </w:style>
  <w:style w:type="table" w:customStyle="1" w:styleId="453">
    <w:name w:val="Lined - Accent 41"/>
    <w:qFormat/>
    <w:uiPriority w:val="99"/>
    <w:rPr>
      <w:color w:val="404040"/>
    </w:rPr>
  </w:style>
  <w:style w:type="table" w:customStyle="1" w:styleId="454">
    <w:name w:val="Lined - Accent 51"/>
    <w:qFormat/>
    <w:uiPriority w:val="99"/>
    <w:rPr>
      <w:color w:val="404040"/>
    </w:rPr>
  </w:style>
  <w:style w:type="table" w:customStyle="1" w:styleId="455">
    <w:name w:val="Lined - Accent 61"/>
    <w:qFormat/>
    <w:uiPriority w:val="99"/>
    <w:rPr>
      <w:color w:val="404040"/>
    </w:rPr>
  </w:style>
  <w:style w:type="table" w:customStyle="1" w:styleId="456">
    <w:name w:val="Bordered &amp; Lined - Accent 11"/>
    <w:qFormat/>
    <w:uiPriority w:val="99"/>
    <w:rPr>
      <w:color w:val="404040"/>
    </w:rPr>
  </w:style>
  <w:style w:type="table" w:customStyle="1" w:styleId="457">
    <w:name w:val="Bordered &amp; Lined - Accent 21"/>
    <w:qFormat/>
    <w:uiPriority w:val="99"/>
    <w:rPr>
      <w:color w:val="404040"/>
    </w:rPr>
  </w:style>
  <w:style w:type="table" w:customStyle="1" w:styleId="458">
    <w:name w:val="Bordered &amp; Lined - Accent 31"/>
    <w:qFormat/>
    <w:uiPriority w:val="99"/>
    <w:rPr>
      <w:color w:val="404040"/>
    </w:rPr>
  </w:style>
  <w:style w:type="table" w:customStyle="1" w:styleId="459">
    <w:name w:val="Bordered &amp; Lined - Accent 41"/>
    <w:qFormat/>
    <w:uiPriority w:val="99"/>
    <w:rPr>
      <w:color w:val="404040"/>
    </w:rPr>
  </w:style>
  <w:style w:type="table" w:customStyle="1" w:styleId="460">
    <w:name w:val="Bordered &amp; Lined - Accent 51"/>
    <w:qFormat/>
    <w:uiPriority w:val="99"/>
    <w:rPr>
      <w:color w:val="404040"/>
    </w:rPr>
  </w:style>
  <w:style w:type="table" w:customStyle="1" w:styleId="461">
    <w:name w:val="Bordered &amp; Lined - Accent 61"/>
    <w:qFormat/>
    <w:uiPriority w:val="99"/>
    <w:rPr>
      <w:color w:val="404040"/>
    </w:rPr>
  </w:style>
  <w:style w:type="table" w:customStyle="1" w:styleId="462">
    <w:name w:val="Bordered1"/>
    <w:qFormat/>
    <w:uiPriority w:val="99"/>
  </w:style>
  <w:style w:type="table" w:customStyle="1" w:styleId="463">
    <w:name w:val="Bordered - Accent 11"/>
    <w:qFormat/>
    <w:uiPriority w:val="99"/>
  </w:style>
  <w:style w:type="table" w:customStyle="1" w:styleId="464">
    <w:name w:val="Bordered - Accent 21"/>
    <w:qFormat/>
    <w:uiPriority w:val="99"/>
  </w:style>
  <w:style w:type="table" w:customStyle="1" w:styleId="465">
    <w:name w:val="Bordered - Accent 31"/>
    <w:qFormat/>
    <w:uiPriority w:val="99"/>
  </w:style>
  <w:style w:type="table" w:customStyle="1" w:styleId="466">
    <w:name w:val="Bordered - Accent 41"/>
    <w:qFormat/>
    <w:uiPriority w:val="99"/>
  </w:style>
  <w:style w:type="table" w:customStyle="1" w:styleId="467">
    <w:name w:val="Bordered - Accent 51"/>
    <w:qFormat/>
    <w:uiPriority w:val="99"/>
  </w:style>
  <w:style w:type="table" w:customStyle="1" w:styleId="468">
    <w:name w:val="Bordered - Accent 61"/>
    <w:qFormat/>
    <w:uiPriority w:val="99"/>
  </w:style>
  <w:style w:type="character" w:customStyle="1" w:styleId="469">
    <w:name w:val="Footnote Text Char"/>
    <w:link w:val="1"/>
    <w:qFormat/>
    <w:uiPriority w:val="99"/>
    <w:rPr>
      <w:sz w:val="18"/>
    </w:rPr>
  </w:style>
  <w:style w:type="character" w:customStyle="1" w:styleId="470">
    <w:name w:val="paramlista1"/>
    <w:link w:val="1"/>
    <w:qFormat/>
    <w:uiPriority w:val="0"/>
    <w:rPr>
      <w:rFonts w:ascii="Calibri" w:hAnsi="Calibri" w:eastAsia="宋体" w:cs="Times New Roman"/>
      <w:sz w:val="18"/>
      <w:szCs w:val="18"/>
    </w:rPr>
  </w:style>
  <w:style w:type="character" w:customStyle="1" w:styleId="471">
    <w:name w:val="Table Text Char"/>
    <w:link w:val="472"/>
    <w:qFormat/>
    <w:uiPriority w:val="0"/>
    <w:rPr>
      <w:rFonts w:cs="Arial"/>
      <w:sz w:val="21"/>
      <w:szCs w:val="21"/>
    </w:rPr>
  </w:style>
  <w:style w:type="paragraph" w:customStyle="1" w:styleId="472">
    <w:name w:val="Table Text"/>
    <w:basedOn w:val="1"/>
    <w:link w:val="471"/>
    <w:qFormat/>
    <w:uiPriority w:val="0"/>
    <w:pPr>
      <w:spacing w:before="80" w:after="80" w:line="240" w:lineRule="atLeast"/>
      <w:jc w:val="left"/>
    </w:pPr>
    <w:rPr>
      <w:rFonts w:cs="Arial"/>
      <w:szCs w:val="21"/>
    </w:rPr>
  </w:style>
  <w:style w:type="character" w:customStyle="1" w:styleId="473">
    <w:name w:val="文档结构图 Char2"/>
    <w:link w:val="1"/>
    <w:semiHidden/>
    <w:qFormat/>
    <w:uiPriority w:val="99"/>
    <w:rPr>
      <w:rFonts w:ascii="宋体"/>
      <w:sz w:val="18"/>
      <w:szCs w:val="18"/>
    </w:rPr>
  </w:style>
  <w:style w:type="character" w:customStyle="1" w:styleId="474">
    <w:name w:val="项目编号A Char Char"/>
    <w:link w:val="475"/>
    <w:qFormat/>
    <w:uiPriority w:val="0"/>
    <w:rPr>
      <w:sz w:val="24"/>
      <w:szCs w:val="24"/>
    </w:rPr>
  </w:style>
  <w:style w:type="paragraph" w:customStyle="1" w:styleId="475">
    <w:name w:val="项目编号A"/>
    <w:link w:val="474"/>
    <w:qFormat/>
    <w:uiPriority w:val="0"/>
    <w:pPr>
      <w:tabs>
        <w:tab w:val="left" w:pos="840"/>
      </w:tabs>
      <w:spacing w:line="360" w:lineRule="auto"/>
    </w:pPr>
    <w:rPr>
      <w:rFonts w:hint="default" w:ascii="Times New Roman" w:hAnsi="Times New Roman" w:eastAsia="宋体" w:cs="Times New Roman"/>
      <w:sz w:val="24"/>
      <w:szCs w:val="24"/>
      <w:lang w:val="en-US" w:eastAsia="zh-CN" w:bidi="ar-SA"/>
    </w:rPr>
  </w:style>
  <w:style w:type="character" w:customStyle="1" w:styleId="476">
    <w:name w:val="正文文本缩进 Char2"/>
    <w:link w:val="1"/>
    <w:semiHidden/>
    <w:qFormat/>
    <w:uiPriority w:val="99"/>
    <w:rPr>
      <w:sz w:val="21"/>
      <w:szCs w:val="22"/>
    </w:rPr>
  </w:style>
  <w:style w:type="character" w:customStyle="1" w:styleId="477">
    <w:name w:val="带缩进的正文 Char Char"/>
    <w:link w:val="478"/>
    <w:qFormat/>
    <w:uiPriority w:val="0"/>
    <w:rPr>
      <w:rFonts w:ascii="Calibri" w:hAnsi="Calibri"/>
      <w:sz w:val="24"/>
      <w:szCs w:val="22"/>
    </w:rPr>
  </w:style>
  <w:style w:type="paragraph" w:customStyle="1" w:styleId="478">
    <w:name w:val="带缩进的正文"/>
    <w:basedOn w:val="1"/>
    <w:link w:val="477"/>
    <w:qFormat/>
    <w:uiPriority w:val="0"/>
    <w:pPr>
      <w:spacing w:line="360" w:lineRule="auto"/>
      <w:ind w:firstLine="480"/>
    </w:pPr>
    <w:rPr>
      <w:rFonts w:ascii="Calibri" w:hAnsi="Calibri"/>
      <w:sz w:val="24"/>
    </w:rPr>
  </w:style>
  <w:style w:type="character" w:customStyle="1" w:styleId="479">
    <w:name w:val="Char Char17"/>
    <w:link w:val="1"/>
    <w:qFormat/>
    <w:uiPriority w:val="0"/>
    <w:rPr>
      <w:rFonts w:ascii="Arial" w:hAnsi="Arial" w:eastAsia="黑体"/>
      <w:b/>
      <w:spacing w:val="-2"/>
      <w:position w:val="-6"/>
      <w:sz w:val="24"/>
    </w:rPr>
  </w:style>
  <w:style w:type="character" w:customStyle="1" w:styleId="480">
    <w:name w:val="表格 Char Char"/>
    <w:link w:val="481"/>
    <w:qFormat/>
    <w:uiPriority w:val="0"/>
    <w:rPr>
      <w:rFonts w:ascii="Arial" w:hAnsi="Arial"/>
      <w:sz w:val="24"/>
      <w:szCs w:val="24"/>
    </w:rPr>
  </w:style>
  <w:style w:type="paragraph" w:customStyle="1" w:styleId="481">
    <w:name w:val="表格"/>
    <w:basedOn w:val="1"/>
    <w:link w:val="480"/>
    <w:qFormat/>
    <w:uiPriority w:val="0"/>
    <w:rPr>
      <w:rFonts w:ascii="Arial" w:hAnsi="Arial"/>
      <w:sz w:val="24"/>
      <w:szCs w:val="24"/>
    </w:rPr>
  </w:style>
  <w:style w:type="character" w:customStyle="1" w:styleId="482">
    <w:name w:val="normal91"/>
    <w:link w:val="1"/>
    <w:qFormat/>
    <w:uiPriority w:val="0"/>
    <w:rPr>
      <w:rFonts w:ascii="Calibri" w:hAnsi="Calibri" w:eastAsia="宋体" w:cs="Times New Roman"/>
      <w:sz w:val="20"/>
      <w:szCs w:val="20"/>
    </w:rPr>
  </w:style>
  <w:style w:type="character" w:customStyle="1" w:styleId="483">
    <w:name w:val="font121"/>
    <w:link w:val="1"/>
    <w:qFormat/>
    <w:uiPriority w:val="0"/>
    <w:rPr>
      <w:rFonts w:hint="eastAsia" w:ascii="宋体" w:hAnsi="宋体" w:eastAsia="宋体" w:cs="宋体"/>
      <w:b/>
      <w:color w:val="000000"/>
      <w:sz w:val="20"/>
      <w:szCs w:val="20"/>
      <w:u w:val="none"/>
    </w:rPr>
  </w:style>
  <w:style w:type="character" w:customStyle="1" w:styleId="484">
    <w:name w:val="font81"/>
    <w:link w:val="1"/>
    <w:qFormat/>
    <w:uiPriority w:val="0"/>
    <w:rPr>
      <w:rFonts w:hint="eastAsia" w:ascii="宋体" w:hAnsi="宋体" w:eastAsia="宋体" w:cs="宋体"/>
      <w:b/>
      <w:color w:val="000000"/>
      <w:sz w:val="20"/>
      <w:szCs w:val="20"/>
      <w:u w:val="none"/>
    </w:rPr>
  </w:style>
  <w:style w:type="character" w:customStyle="1" w:styleId="485">
    <w:name w:val="Char Char16"/>
    <w:link w:val="1"/>
    <w:qFormat/>
    <w:uiPriority w:val="0"/>
    <w:rPr>
      <w:rFonts w:ascii="宋体"/>
      <w:b/>
      <w:spacing w:val="-2"/>
      <w:position w:val="-6"/>
      <w:sz w:val="24"/>
    </w:rPr>
  </w:style>
  <w:style w:type="character" w:customStyle="1" w:styleId="486">
    <w:name w:val="普通文字 Char Char Char"/>
    <w:link w:val="1"/>
    <w:qFormat/>
    <w:uiPriority w:val="0"/>
    <w:rPr>
      <w:rFonts w:ascii="宋体" w:hAnsi="Courier New" w:eastAsia="宋体" w:cs="Courier New"/>
      <w:sz w:val="21"/>
      <w:szCs w:val="21"/>
      <w:lang w:val="en-US" w:eastAsia="zh-CN" w:bidi="ar-SA"/>
    </w:rPr>
  </w:style>
  <w:style w:type="character" w:customStyle="1" w:styleId="487">
    <w:name w:val="font"/>
    <w:link w:val="1"/>
    <w:qFormat/>
    <w:uiPriority w:val="0"/>
  </w:style>
  <w:style w:type="character" w:customStyle="1" w:styleId="488">
    <w:name w:val="正文缩进 Char2"/>
    <w:link w:val="1"/>
    <w:qFormat/>
    <w:uiPriority w:val="0"/>
    <w:rPr>
      <w:rFonts w:eastAsia="宋体"/>
      <w:sz w:val="21"/>
      <w:lang w:val="en-US" w:eastAsia="zh-CN" w:bidi="ar-SA"/>
    </w:rPr>
  </w:style>
  <w:style w:type="character" w:customStyle="1" w:styleId="489">
    <w:name w:val="font131"/>
    <w:link w:val="1"/>
    <w:qFormat/>
    <w:uiPriority w:val="0"/>
    <w:rPr>
      <w:rFonts w:hint="eastAsia" w:ascii="宋体" w:hAnsi="宋体" w:eastAsia="宋体" w:cs="宋体"/>
      <w:color w:val="000000"/>
      <w:sz w:val="18"/>
      <w:szCs w:val="18"/>
      <w:u w:val="none"/>
    </w:rPr>
  </w:style>
  <w:style w:type="character" w:customStyle="1" w:styleId="490">
    <w:name w:val="font21"/>
    <w:link w:val="1"/>
    <w:qFormat/>
    <w:uiPriority w:val="0"/>
    <w:rPr>
      <w:rFonts w:hint="eastAsia" w:ascii="楷体" w:hAnsi="楷体" w:eastAsia="楷体" w:cs="楷体"/>
      <w:color w:val="000000"/>
      <w:sz w:val="22"/>
      <w:szCs w:val="22"/>
      <w:u w:val="none"/>
    </w:rPr>
  </w:style>
  <w:style w:type="character" w:customStyle="1" w:styleId="491">
    <w:name w:val="font141"/>
    <w:link w:val="1"/>
    <w:qFormat/>
    <w:uiPriority w:val="0"/>
    <w:rPr>
      <w:rFonts w:hint="eastAsia" w:ascii="宋体" w:hAnsi="宋体" w:eastAsia="宋体" w:cs="宋体"/>
      <w:color w:val="000000"/>
      <w:sz w:val="20"/>
      <w:szCs w:val="20"/>
      <w:u w:val="none"/>
    </w:rPr>
  </w:style>
  <w:style w:type="character" w:customStyle="1" w:styleId="492">
    <w:name w:val="Char Char19"/>
    <w:link w:val="1"/>
    <w:qFormat/>
    <w:uiPriority w:val="0"/>
    <w:rPr>
      <w:rFonts w:ascii="Arial" w:hAnsi="Arial" w:eastAsia="黑体"/>
      <w:b/>
      <w:bCs/>
      <w:sz w:val="28"/>
      <w:szCs w:val="28"/>
    </w:rPr>
  </w:style>
  <w:style w:type="character" w:customStyle="1" w:styleId="493">
    <w:name w:val="font61"/>
    <w:link w:val="1"/>
    <w:qFormat/>
    <w:uiPriority w:val="0"/>
    <w:rPr>
      <w:rFonts w:ascii="Arial" w:hAnsi="Arial" w:cs="Arial"/>
      <w:b/>
      <w:color w:val="000000"/>
      <w:sz w:val="20"/>
      <w:szCs w:val="20"/>
      <w:u w:val="none"/>
    </w:rPr>
  </w:style>
  <w:style w:type="character" w:customStyle="1" w:styleId="494">
    <w:name w:val="副标题 Char2"/>
    <w:link w:val="1"/>
    <w:qFormat/>
    <w:uiPriority w:val="11"/>
    <w:rPr>
      <w:rFonts w:ascii="Cambria" w:hAnsi="Cambria" w:cs="Times New Roman"/>
      <w:b/>
      <w:bCs/>
      <w:sz w:val="32"/>
      <w:szCs w:val="32"/>
    </w:rPr>
  </w:style>
  <w:style w:type="character" w:customStyle="1" w:styleId="495">
    <w:name w:val="模板正文 Char"/>
    <w:link w:val="496"/>
    <w:qFormat/>
    <w:uiPriority w:val="0"/>
    <w:rPr>
      <w:rFonts w:ascii="Calibri" w:hAnsi="Calibri"/>
      <w:sz w:val="28"/>
      <w:szCs w:val="21"/>
    </w:rPr>
  </w:style>
  <w:style w:type="paragraph" w:customStyle="1" w:styleId="496">
    <w:name w:val="模板正文"/>
    <w:basedOn w:val="1"/>
    <w:link w:val="495"/>
    <w:qFormat/>
    <w:uiPriority w:val="0"/>
    <w:pPr>
      <w:spacing w:line="360" w:lineRule="auto"/>
      <w:ind w:firstLine="200"/>
    </w:pPr>
    <w:rPr>
      <w:rFonts w:ascii="Calibri" w:hAnsi="Calibri"/>
      <w:sz w:val="28"/>
      <w:szCs w:val="21"/>
    </w:rPr>
  </w:style>
  <w:style w:type="character" w:customStyle="1" w:styleId="497">
    <w:name w:val="+正文 Char3"/>
    <w:link w:val="498"/>
    <w:qFormat/>
    <w:uiPriority w:val="0"/>
    <w:rPr>
      <w:sz w:val="28"/>
    </w:rPr>
  </w:style>
  <w:style w:type="paragraph" w:customStyle="1" w:styleId="498">
    <w:name w:val="+正文"/>
    <w:basedOn w:val="1"/>
    <w:link w:val="497"/>
    <w:qFormat/>
    <w:uiPriority w:val="0"/>
    <w:pPr>
      <w:spacing w:line="360" w:lineRule="auto"/>
      <w:ind w:firstLine="200"/>
    </w:pPr>
    <w:rPr>
      <w:sz w:val="28"/>
      <w:szCs w:val="20"/>
    </w:rPr>
  </w:style>
  <w:style w:type="character" w:customStyle="1" w:styleId="499">
    <w:name w:val="apple-converted-space"/>
    <w:link w:val="1"/>
    <w:qFormat/>
    <w:uiPriority w:val="0"/>
  </w:style>
  <w:style w:type="character" w:customStyle="1" w:styleId="500">
    <w:name w:val="页脚 Char2"/>
    <w:link w:val="1"/>
    <w:semiHidden/>
    <w:qFormat/>
    <w:uiPriority w:val="99"/>
    <w:rPr>
      <w:sz w:val="18"/>
      <w:szCs w:val="18"/>
    </w:rPr>
  </w:style>
  <w:style w:type="character" w:customStyle="1" w:styleId="501">
    <w:name w:val="批注文字 Char1"/>
    <w:link w:val="1"/>
    <w:qFormat/>
    <w:uiPriority w:val="99"/>
    <w:rPr>
      <w:rFonts w:ascii="Times New Roman" w:hAnsi="Times New Roman" w:eastAsia="宋体" w:cs="Times New Roman"/>
      <w:szCs w:val="24"/>
    </w:rPr>
  </w:style>
  <w:style w:type="character" w:customStyle="1" w:styleId="502">
    <w:name w:val="flname8"/>
    <w:link w:val="1"/>
    <w:qFormat/>
    <w:uiPriority w:val="0"/>
  </w:style>
  <w:style w:type="character" w:customStyle="1" w:styleId="503">
    <w:name w:val="style31"/>
    <w:link w:val="1"/>
    <w:qFormat/>
    <w:uiPriority w:val="0"/>
    <w:rPr>
      <w:sz w:val="21"/>
      <w:szCs w:val="21"/>
    </w:rPr>
  </w:style>
  <w:style w:type="character" w:customStyle="1" w:styleId="504">
    <w:name w:val="font111"/>
    <w:link w:val="1"/>
    <w:qFormat/>
    <w:uiPriority w:val="0"/>
    <w:rPr>
      <w:rFonts w:hint="eastAsia" w:ascii="宋体" w:hAnsi="宋体" w:eastAsia="宋体" w:cs="宋体"/>
      <w:color w:val="000000"/>
      <w:sz w:val="21"/>
      <w:szCs w:val="21"/>
      <w:u w:val="none"/>
    </w:rPr>
  </w:style>
  <w:style w:type="character" w:customStyle="1" w:styleId="505">
    <w:name w:val="font31"/>
    <w:link w:val="1"/>
    <w:qFormat/>
    <w:uiPriority w:val="0"/>
    <w:rPr>
      <w:rFonts w:hint="eastAsia" w:ascii="宋体" w:hAnsi="宋体" w:eastAsia="宋体" w:cs="宋体"/>
      <w:b/>
      <w:color w:val="000000"/>
      <w:sz w:val="24"/>
      <w:szCs w:val="24"/>
      <w:u w:val="none"/>
    </w:rPr>
  </w:style>
  <w:style w:type="character" w:customStyle="1" w:styleId="506">
    <w:name w:val="Char Char171"/>
    <w:link w:val="1"/>
    <w:qFormat/>
    <w:uiPriority w:val="0"/>
    <w:rPr>
      <w:rFonts w:ascii="Arial" w:hAnsi="Arial" w:eastAsia="黑体"/>
      <w:b/>
      <w:spacing w:val="-2"/>
      <w:position w:val="-6"/>
      <w:sz w:val="24"/>
    </w:rPr>
  </w:style>
  <w:style w:type="character" w:customStyle="1" w:styleId="507">
    <w:name w:val="Char Char191"/>
    <w:link w:val="1"/>
    <w:qFormat/>
    <w:uiPriority w:val="0"/>
    <w:rPr>
      <w:rFonts w:ascii="Arial" w:hAnsi="Arial" w:eastAsia="黑体"/>
      <w:b/>
      <w:bCs/>
      <w:sz w:val="28"/>
      <w:szCs w:val="28"/>
    </w:rPr>
  </w:style>
  <w:style w:type="character" w:customStyle="1" w:styleId="508">
    <w:name w:val="页眉 Char1"/>
    <w:link w:val="1"/>
    <w:qFormat/>
    <w:uiPriority w:val="99"/>
    <w:rPr>
      <w:sz w:val="18"/>
      <w:szCs w:val="18"/>
    </w:rPr>
  </w:style>
  <w:style w:type="character" w:customStyle="1" w:styleId="509">
    <w:name w:val="Char Char20"/>
    <w:link w:val="1"/>
    <w:qFormat/>
    <w:uiPriority w:val="0"/>
    <w:rPr>
      <w:rFonts w:ascii="楷体_GB2312" w:eastAsia="楷体_GB2312"/>
      <w:sz w:val="28"/>
    </w:rPr>
  </w:style>
  <w:style w:type="character" w:customStyle="1" w:styleId="510">
    <w:name w:val="标题2 Char"/>
    <w:link w:val="511"/>
    <w:qFormat/>
    <w:uiPriority w:val="0"/>
    <w:rPr>
      <w:rFonts w:ascii="宋体" w:hAnsi="宋体"/>
      <w:b/>
      <w:bCs/>
      <w:sz w:val="28"/>
      <w:szCs w:val="28"/>
    </w:rPr>
  </w:style>
  <w:style w:type="paragraph" w:customStyle="1" w:styleId="511">
    <w:name w:val="标题2"/>
    <w:basedOn w:val="40"/>
    <w:next w:val="1"/>
    <w:link w:val="510"/>
    <w:qFormat/>
    <w:uiPriority w:val="0"/>
    <w:pPr>
      <w:spacing w:before="0" w:after="0" w:line="360" w:lineRule="auto"/>
      <w:ind w:left="425"/>
      <w:jc w:val="left"/>
    </w:pPr>
    <w:rPr>
      <w:rFonts w:ascii="宋体" w:hAnsi="宋体" w:eastAsia="宋体" w:cs="Times New Roman"/>
      <w:sz w:val="28"/>
      <w:szCs w:val="28"/>
    </w:rPr>
  </w:style>
  <w:style w:type="character" w:customStyle="1" w:styleId="512">
    <w:name w:val="Table Heading Char1"/>
    <w:link w:val="513"/>
    <w:qFormat/>
    <w:uiPriority w:val="0"/>
    <w:rPr>
      <w:rFonts w:ascii="Book Antiqua" w:hAnsi="Book Antiqua" w:eastAsia="黑体" w:cs="Book Antiqua"/>
      <w:bCs/>
      <w:sz w:val="21"/>
      <w:szCs w:val="21"/>
    </w:rPr>
  </w:style>
  <w:style w:type="paragraph" w:customStyle="1" w:styleId="513">
    <w:name w:val="Table Heading"/>
    <w:basedOn w:val="1"/>
    <w:link w:val="512"/>
    <w:qFormat/>
    <w:uiPriority w:val="0"/>
    <w:pPr>
      <w:keepNext/>
      <w:spacing w:before="80" w:after="80" w:line="240" w:lineRule="atLeast"/>
      <w:jc w:val="left"/>
    </w:pPr>
    <w:rPr>
      <w:rFonts w:ascii="Book Antiqua" w:hAnsi="Book Antiqua" w:eastAsia="黑体" w:cs="Book Antiqua"/>
      <w:bCs/>
      <w:szCs w:val="21"/>
    </w:rPr>
  </w:style>
  <w:style w:type="character" w:customStyle="1" w:styleId="514">
    <w:name w:val="bodybold1"/>
    <w:link w:val="1"/>
    <w:qFormat/>
    <w:uiPriority w:val="0"/>
    <w:rPr>
      <w:rFonts w:ascii="Tailwind" w:hAnsi="Tailwind"/>
      <w:b/>
      <w:bCs/>
      <w:color w:val="0066FF"/>
      <w:sz w:val="26"/>
      <w:szCs w:val="26"/>
      <w:u w:val="none"/>
    </w:rPr>
  </w:style>
  <w:style w:type="character" w:customStyle="1" w:styleId="515">
    <w:name w:val="批注主题 Char1"/>
    <w:link w:val="1"/>
    <w:qFormat/>
    <w:uiPriority w:val="99"/>
    <w:rPr>
      <w:rFonts w:ascii="Calibri" w:hAnsi="Calibri" w:eastAsia="宋体" w:cs="Times New Roman"/>
      <w:b/>
      <w:bCs/>
      <w:sz w:val="21"/>
      <w:szCs w:val="22"/>
    </w:rPr>
  </w:style>
  <w:style w:type="character" w:customStyle="1" w:styleId="516">
    <w:name w:val="正文文本缩进 3 Char1"/>
    <w:link w:val="1"/>
    <w:semiHidden/>
    <w:qFormat/>
    <w:uiPriority w:val="99"/>
    <w:rPr>
      <w:rFonts w:ascii="Calibri" w:hAnsi="Calibri" w:eastAsia="宋体" w:cs="Times New Roman"/>
      <w:sz w:val="16"/>
      <w:szCs w:val="16"/>
    </w:rPr>
  </w:style>
  <w:style w:type="character" w:customStyle="1" w:styleId="517">
    <w:name w:val="批注文字 Char2"/>
    <w:link w:val="1"/>
    <w:qFormat/>
    <w:uiPriority w:val="99"/>
    <w:rPr>
      <w:sz w:val="21"/>
      <w:szCs w:val="22"/>
    </w:rPr>
  </w:style>
  <w:style w:type="character" w:customStyle="1" w:styleId="518">
    <w:name w:val="页码2"/>
    <w:link w:val="1"/>
    <w:qFormat/>
    <w:uiPriority w:val="0"/>
  </w:style>
  <w:style w:type="character" w:customStyle="1" w:styleId="519">
    <w:name w:val="武汉表格 Char"/>
    <w:link w:val="520"/>
    <w:qFormat/>
    <w:uiPriority w:val="0"/>
    <w:rPr>
      <w:rFonts w:eastAsia="黑体"/>
      <w:sz w:val="21"/>
      <w:szCs w:val="21"/>
    </w:rPr>
  </w:style>
  <w:style w:type="paragraph" w:customStyle="1" w:styleId="520">
    <w:name w:val="武汉表格"/>
    <w:basedOn w:val="1"/>
    <w:link w:val="519"/>
    <w:qFormat/>
    <w:uiPriority w:val="0"/>
    <w:rPr>
      <w:rFonts w:eastAsia="黑体"/>
      <w:szCs w:val="21"/>
    </w:rPr>
  </w:style>
  <w:style w:type="character" w:customStyle="1" w:styleId="521">
    <w:name w:val="se11"/>
    <w:link w:val="1"/>
    <w:qFormat/>
    <w:uiPriority w:val="0"/>
    <w:rPr>
      <w:rFonts w:ascii="Tahoma" w:hAnsi="Tahoma" w:cs="Times New Roman"/>
      <w:color w:val="000000"/>
      <w:sz w:val="24"/>
      <w:lang w:bidi="ar-SA"/>
    </w:rPr>
  </w:style>
  <w:style w:type="character" w:customStyle="1" w:styleId="522">
    <w:name w:val="p0 Char"/>
    <w:link w:val="523"/>
    <w:qFormat/>
    <w:uiPriority w:val="0"/>
    <w:rPr>
      <w:sz w:val="21"/>
      <w:szCs w:val="21"/>
    </w:rPr>
  </w:style>
  <w:style w:type="paragraph" w:customStyle="1" w:styleId="523">
    <w:name w:val="p0"/>
    <w:basedOn w:val="1"/>
    <w:link w:val="522"/>
    <w:qFormat/>
    <w:uiPriority w:val="0"/>
    <w:pPr>
      <w:widowControl/>
    </w:pPr>
    <w:rPr>
      <w:szCs w:val="21"/>
    </w:rPr>
  </w:style>
  <w:style w:type="character" w:customStyle="1" w:styleId="524">
    <w:name w:val="项目编号B Char"/>
    <w:link w:val="525"/>
    <w:qFormat/>
    <w:uiPriority w:val="0"/>
    <w:rPr>
      <w:sz w:val="24"/>
      <w:szCs w:val="24"/>
    </w:rPr>
  </w:style>
  <w:style w:type="paragraph" w:customStyle="1" w:styleId="525">
    <w:name w:val="项目编号B"/>
    <w:link w:val="524"/>
    <w:qFormat/>
    <w:uiPriority w:val="0"/>
    <w:pPr>
      <w:tabs>
        <w:tab w:val="left" w:pos="960"/>
        <w:tab w:val="left" w:pos="1260"/>
      </w:tabs>
      <w:spacing w:line="360" w:lineRule="auto"/>
      <w:ind w:left="432" w:hanging="432"/>
    </w:pPr>
    <w:rPr>
      <w:rFonts w:hint="default" w:ascii="Times New Roman" w:hAnsi="Times New Roman" w:eastAsia="宋体" w:cs="Times New Roman"/>
      <w:sz w:val="24"/>
      <w:szCs w:val="24"/>
      <w:lang w:val="en-US" w:eastAsia="zh-CN" w:bidi="ar-SA"/>
    </w:rPr>
  </w:style>
  <w:style w:type="character" w:customStyle="1" w:styleId="526">
    <w:name w:val="样式6 Char Char"/>
    <w:link w:val="527"/>
    <w:qFormat/>
    <w:uiPriority w:val="0"/>
    <w:rPr>
      <w:rFonts w:ascii="宋体" w:hAnsi="宋体"/>
      <w:sz w:val="28"/>
      <w:szCs w:val="28"/>
    </w:rPr>
  </w:style>
  <w:style w:type="paragraph" w:customStyle="1" w:styleId="527">
    <w:name w:val="样式6"/>
    <w:basedOn w:val="1"/>
    <w:link w:val="526"/>
    <w:qFormat/>
    <w:uiPriority w:val="0"/>
    <w:pPr>
      <w:spacing w:line="360" w:lineRule="auto"/>
      <w:ind w:left="980" w:hanging="420"/>
    </w:pPr>
    <w:rPr>
      <w:rFonts w:ascii="宋体" w:hAnsi="宋体"/>
      <w:sz w:val="28"/>
      <w:szCs w:val="28"/>
    </w:rPr>
  </w:style>
  <w:style w:type="character" w:customStyle="1" w:styleId="528">
    <w:name w:val="fontstyle01"/>
    <w:link w:val="1"/>
    <w:qFormat/>
    <w:uiPriority w:val="0"/>
    <w:rPr>
      <w:rFonts w:ascii="楷体" w:hAnsi="楷体"/>
      <w:color w:val="000000"/>
      <w:sz w:val="24"/>
      <w:szCs w:val="24"/>
    </w:rPr>
  </w:style>
  <w:style w:type="character" w:customStyle="1" w:styleId="529">
    <w:name w:val="Char Char201"/>
    <w:link w:val="1"/>
    <w:qFormat/>
    <w:uiPriority w:val="0"/>
    <w:rPr>
      <w:rFonts w:ascii="楷体_GB2312" w:eastAsia="楷体_GB2312"/>
      <w:sz w:val="28"/>
    </w:rPr>
  </w:style>
  <w:style w:type="character" w:customStyle="1" w:styleId="530">
    <w:name w:val="正文文本缩进 2 Char2"/>
    <w:link w:val="1"/>
    <w:semiHidden/>
    <w:qFormat/>
    <w:uiPriority w:val="99"/>
    <w:rPr>
      <w:sz w:val="21"/>
      <w:szCs w:val="22"/>
    </w:rPr>
  </w:style>
  <w:style w:type="character" w:customStyle="1" w:styleId="531">
    <w:name w:val="正文首行缩进 Char2"/>
    <w:link w:val="1"/>
    <w:qFormat/>
    <w:uiPriority w:val="99"/>
    <w:rPr>
      <w:rFonts w:ascii="楷体_GB2312" w:hAnsi="Arial" w:eastAsia="楷体_GB2312"/>
      <w:sz w:val="21"/>
      <w:szCs w:val="24"/>
    </w:rPr>
  </w:style>
  <w:style w:type="character" w:customStyle="1" w:styleId="532">
    <w:name w:val="样式 正文文本缩进 + 左  0 字符 Char Char"/>
    <w:link w:val="533"/>
    <w:qFormat/>
    <w:uiPriority w:val="0"/>
    <w:rPr>
      <w:rFonts w:cs="宋体"/>
      <w:sz w:val="24"/>
    </w:rPr>
  </w:style>
  <w:style w:type="paragraph" w:customStyle="1" w:styleId="533">
    <w:name w:val="样式 正文文本缩进 + 左  0 字符"/>
    <w:basedOn w:val="102"/>
    <w:link w:val="532"/>
    <w:qFormat/>
    <w:uiPriority w:val="0"/>
    <w:pPr>
      <w:spacing w:after="0" w:line="360" w:lineRule="auto"/>
      <w:ind w:left="0" w:firstLine="250"/>
    </w:pPr>
    <w:rPr>
      <w:rFonts w:cs="宋体"/>
      <w:sz w:val="24"/>
      <w:szCs w:val="20"/>
    </w:rPr>
  </w:style>
  <w:style w:type="character" w:customStyle="1" w:styleId="534">
    <w:name w:val="font41"/>
    <w:link w:val="1"/>
    <w:qFormat/>
    <w:uiPriority w:val="0"/>
    <w:rPr>
      <w:rFonts w:hint="eastAsia" w:ascii="宋体" w:hAnsi="宋体" w:eastAsia="宋体" w:cs="宋体"/>
      <w:color w:val="000000"/>
      <w:sz w:val="20"/>
      <w:szCs w:val="20"/>
      <w:u w:val="none"/>
    </w:rPr>
  </w:style>
  <w:style w:type="character" w:customStyle="1" w:styleId="535">
    <w:name w:val="标题 3 Char Char"/>
    <w:link w:val="1"/>
    <w:qFormat/>
    <w:uiPriority w:val="0"/>
    <w:rPr>
      <w:rFonts w:eastAsia="宋体"/>
      <w:b/>
      <w:sz w:val="32"/>
      <w:lang w:val="en-US" w:eastAsia="zh-CN" w:bidi="ar-SA"/>
    </w:rPr>
  </w:style>
  <w:style w:type="character" w:customStyle="1" w:styleId="536">
    <w:name w:val="Char Char151"/>
    <w:link w:val="1"/>
    <w:qFormat/>
    <w:uiPriority w:val="0"/>
    <w:rPr>
      <w:rFonts w:ascii="Arial" w:hAnsi="Arial" w:eastAsia="黑体"/>
      <w:spacing w:val="-2"/>
      <w:position w:val="-6"/>
      <w:sz w:val="24"/>
    </w:rPr>
  </w:style>
  <w:style w:type="character" w:customStyle="1" w:styleId="537">
    <w:name w:val="批注引用1"/>
    <w:link w:val="1"/>
    <w:qFormat/>
    <w:uiPriority w:val="0"/>
    <w:rPr>
      <w:sz w:val="21"/>
      <w:szCs w:val="21"/>
    </w:rPr>
  </w:style>
  <w:style w:type="character" w:customStyle="1" w:styleId="538">
    <w:name w:val="font71"/>
    <w:link w:val="1"/>
    <w:qFormat/>
    <w:uiPriority w:val="0"/>
    <w:rPr>
      <w:rFonts w:ascii="Arial" w:hAnsi="Arial" w:cs="Arial"/>
      <w:color w:val="000000"/>
      <w:sz w:val="20"/>
      <w:szCs w:val="20"/>
      <w:u w:val="none"/>
    </w:rPr>
  </w:style>
  <w:style w:type="character" w:customStyle="1" w:styleId="539">
    <w:name w:val="font51"/>
    <w:link w:val="1"/>
    <w:qFormat/>
    <w:uiPriority w:val="0"/>
    <w:rPr>
      <w:rFonts w:ascii="Arial" w:hAnsi="Arial" w:cs="Arial"/>
      <w:color w:val="000000"/>
      <w:sz w:val="20"/>
      <w:szCs w:val="20"/>
      <w:u w:val="none"/>
    </w:rPr>
  </w:style>
  <w:style w:type="character" w:customStyle="1" w:styleId="540">
    <w:name w:val="正文文本 Char1"/>
    <w:link w:val="1"/>
    <w:qFormat/>
    <w:uiPriority w:val="99"/>
    <w:rPr>
      <w:rFonts w:ascii="Times New Roman" w:hAnsi="Times New Roman" w:eastAsia="宋体" w:cs="Times New Roman"/>
      <w:szCs w:val="24"/>
    </w:rPr>
  </w:style>
  <w:style w:type="character" w:customStyle="1" w:styleId="541">
    <w:name w:val="页眉 Char2"/>
    <w:link w:val="1"/>
    <w:semiHidden/>
    <w:qFormat/>
    <w:uiPriority w:val="99"/>
    <w:rPr>
      <w:sz w:val="18"/>
      <w:szCs w:val="18"/>
    </w:rPr>
  </w:style>
  <w:style w:type="character" w:customStyle="1" w:styleId="542">
    <w:name w:val="正文首行缩进 Char1"/>
    <w:link w:val="1"/>
    <w:qFormat/>
    <w:uiPriority w:val="99"/>
    <w:rPr>
      <w:rFonts w:ascii="Times New Roman" w:hAnsi="Times New Roman" w:eastAsia="宋体" w:cs="Times New Roman"/>
      <w:szCs w:val="24"/>
    </w:rPr>
  </w:style>
  <w:style w:type="character" w:customStyle="1" w:styleId="543">
    <w:name w:val="标书正文 Char"/>
    <w:link w:val="544"/>
    <w:qFormat/>
    <w:uiPriority w:val="0"/>
    <w:rPr>
      <w:rFonts w:ascii="Calibri" w:hAnsi="Calibri"/>
    </w:rPr>
  </w:style>
  <w:style w:type="paragraph" w:customStyle="1" w:styleId="544">
    <w:name w:val="标书正文"/>
    <w:basedOn w:val="1"/>
    <w:link w:val="543"/>
    <w:qFormat/>
    <w:uiPriority w:val="0"/>
    <w:pPr>
      <w:spacing w:before="120" w:line="360" w:lineRule="auto"/>
      <w:ind w:firstLine="200"/>
    </w:pPr>
    <w:rPr>
      <w:rFonts w:ascii="Calibri" w:hAnsi="Calibri"/>
      <w:sz w:val="20"/>
      <w:szCs w:val="20"/>
    </w:rPr>
  </w:style>
  <w:style w:type="character" w:customStyle="1" w:styleId="545">
    <w:name w:val="font91"/>
    <w:link w:val="1"/>
    <w:qFormat/>
    <w:uiPriority w:val="0"/>
    <w:rPr>
      <w:rFonts w:hint="eastAsia" w:ascii="宋体" w:hAnsi="宋体" w:eastAsia="宋体" w:cs="宋体"/>
      <w:color w:val="000000"/>
      <w:sz w:val="20"/>
      <w:szCs w:val="20"/>
      <w:u w:val="none"/>
    </w:rPr>
  </w:style>
  <w:style w:type="character" w:customStyle="1" w:styleId="546">
    <w:name w:val="批注引用2"/>
    <w:link w:val="1"/>
    <w:qFormat/>
    <w:uiPriority w:val="0"/>
    <w:rPr>
      <w:sz w:val="21"/>
      <w:szCs w:val="21"/>
    </w:rPr>
  </w:style>
  <w:style w:type="character" w:customStyle="1" w:styleId="547">
    <w:name w:val="页码1"/>
    <w:link w:val="1"/>
    <w:qFormat/>
    <w:uiPriority w:val="0"/>
  </w:style>
  <w:style w:type="character" w:customStyle="1" w:styleId="548">
    <w:name w:val="标准文本 Char"/>
    <w:link w:val="549"/>
    <w:qFormat/>
    <w:uiPriority w:val="0"/>
    <w:rPr>
      <w:rFonts w:cs="宋体"/>
      <w:sz w:val="21"/>
      <w:szCs w:val="21"/>
    </w:rPr>
  </w:style>
  <w:style w:type="paragraph" w:customStyle="1" w:styleId="549">
    <w:name w:val="标准文本"/>
    <w:basedOn w:val="1"/>
    <w:link w:val="548"/>
    <w:qFormat/>
    <w:uiPriority w:val="0"/>
    <w:pPr>
      <w:spacing w:line="360" w:lineRule="auto"/>
      <w:ind w:firstLine="420"/>
    </w:pPr>
    <w:rPr>
      <w:rFonts w:cs="宋体"/>
      <w:szCs w:val="21"/>
    </w:rPr>
  </w:style>
  <w:style w:type="character" w:customStyle="1" w:styleId="550">
    <w:name w:val="GEO正文 Char"/>
    <w:link w:val="551"/>
    <w:qFormat/>
    <w:uiPriority w:val="0"/>
    <w:rPr>
      <w:rFonts w:eastAsia="仿宋_GB2312"/>
      <w:sz w:val="28"/>
    </w:rPr>
  </w:style>
  <w:style w:type="paragraph" w:customStyle="1" w:styleId="551">
    <w:name w:val="GEO正文"/>
    <w:basedOn w:val="1"/>
    <w:link w:val="550"/>
    <w:qFormat/>
    <w:uiPriority w:val="0"/>
    <w:pPr>
      <w:spacing w:line="360" w:lineRule="auto"/>
      <w:ind w:firstLine="200"/>
    </w:pPr>
    <w:rPr>
      <w:rFonts w:eastAsia="仿宋_GB2312"/>
      <w:sz w:val="28"/>
      <w:szCs w:val="20"/>
    </w:rPr>
  </w:style>
  <w:style w:type="character" w:customStyle="1" w:styleId="552">
    <w:name w:val="纯文本 Char2"/>
    <w:link w:val="1"/>
    <w:qFormat/>
    <w:uiPriority w:val="99"/>
    <w:rPr>
      <w:rFonts w:ascii="宋体" w:hAnsi="Courier New" w:eastAsia="宋体" w:cs="Courier New"/>
      <w:szCs w:val="21"/>
    </w:rPr>
  </w:style>
  <w:style w:type="character" w:customStyle="1" w:styleId="553">
    <w:name w:val="批注框文本 Char1"/>
    <w:link w:val="1"/>
    <w:qFormat/>
    <w:uiPriority w:val="99"/>
    <w:rPr>
      <w:sz w:val="18"/>
      <w:szCs w:val="18"/>
    </w:rPr>
  </w:style>
  <w:style w:type="character" w:customStyle="1" w:styleId="554">
    <w:name w:val="文档结构图 Char1"/>
    <w:link w:val="1"/>
    <w:qFormat/>
    <w:uiPriority w:val="99"/>
    <w:rPr>
      <w:rFonts w:ascii="宋体" w:hAnsi="Calibri" w:eastAsia="宋体" w:cs="Times New Roman"/>
      <w:sz w:val="18"/>
      <w:szCs w:val="18"/>
    </w:rPr>
  </w:style>
  <w:style w:type="character" w:customStyle="1" w:styleId="555">
    <w:name w:val="正文（首行缩进两字） Char Char"/>
    <w:link w:val="1"/>
    <w:qFormat/>
    <w:uiPriority w:val="0"/>
    <w:rPr>
      <w:rFonts w:eastAsia="宋体"/>
      <w:sz w:val="24"/>
      <w:lang w:val="en-US" w:eastAsia="zh-CN" w:bidi="ar-SA"/>
    </w:rPr>
  </w:style>
  <w:style w:type="character" w:customStyle="1" w:styleId="556">
    <w:name w:val="副标题 Char1"/>
    <w:link w:val="1"/>
    <w:qFormat/>
    <w:uiPriority w:val="11"/>
    <w:rPr>
      <w:rFonts w:ascii="Cambria" w:hAnsi="Cambria" w:cs="Times New Roman"/>
      <w:b/>
      <w:bCs/>
      <w:sz w:val="32"/>
      <w:szCs w:val="32"/>
    </w:rPr>
  </w:style>
  <w:style w:type="character" w:customStyle="1" w:styleId="557">
    <w:name w:val="Char Char15"/>
    <w:link w:val="1"/>
    <w:qFormat/>
    <w:uiPriority w:val="0"/>
    <w:rPr>
      <w:rFonts w:ascii="Arial" w:hAnsi="Arial" w:eastAsia="黑体"/>
      <w:spacing w:val="-2"/>
      <w:position w:val="-6"/>
      <w:sz w:val="24"/>
    </w:rPr>
  </w:style>
  <w:style w:type="character" w:customStyle="1" w:styleId="558">
    <w:name w:val="pt9-hui-line201"/>
    <w:link w:val="1"/>
    <w:qFormat/>
    <w:uiPriority w:val="0"/>
    <w:rPr>
      <w:color w:val="333333"/>
      <w:spacing w:val="300"/>
      <w:sz w:val="18"/>
      <w:szCs w:val="18"/>
      <w:u w:val="none"/>
    </w:rPr>
  </w:style>
  <w:style w:type="character" w:customStyle="1" w:styleId="559">
    <w:name w:val="批注主题 Char2"/>
    <w:link w:val="1"/>
    <w:semiHidden/>
    <w:qFormat/>
    <w:uiPriority w:val="99"/>
    <w:rPr>
      <w:b/>
      <w:bCs/>
      <w:sz w:val="21"/>
      <w:szCs w:val="22"/>
    </w:rPr>
  </w:style>
  <w:style w:type="character" w:customStyle="1" w:styleId="560">
    <w:name w:val="方案文档 Char"/>
    <w:link w:val="561"/>
    <w:qFormat/>
    <w:uiPriority w:val="0"/>
    <w:rPr>
      <w:sz w:val="24"/>
      <w:szCs w:val="24"/>
    </w:rPr>
  </w:style>
  <w:style w:type="paragraph" w:customStyle="1" w:styleId="561">
    <w:name w:val="方案文档"/>
    <w:link w:val="560"/>
    <w:qFormat/>
    <w:uiPriority w:val="0"/>
    <w:pPr>
      <w:spacing w:line="360" w:lineRule="auto"/>
      <w:ind w:firstLine="200"/>
    </w:pPr>
    <w:rPr>
      <w:rFonts w:hint="default" w:ascii="Times New Roman" w:hAnsi="Times New Roman" w:eastAsia="宋体" w:cs="Times New Roman"/>
      <w:sz w:val="24"/>
      <w:szCs w:val="24"/>
      <w:lang w:val="en-US" w:eastAsia="zh-CN" w:bidi="ar-SA"/>
    </w:rPr>
  </w:style>
  <w:style w:type="character" w:customStyle="1" w:styleId="562">
    <w:name w:val="样式7 Char Char"/>
    <w:link w:val="563"/>
    <w:qFormat/>
    <w:uiPriority w:val="0"/>
    <w:rPr>
      <w:rFonts w:ascii="宋体" w:hAnsi="宋体"/>
      <w:sz w:val="28"/>
      <w:szCs w:val="28"/>
    </w:rPr>
  </w:style>
  <w:style w:type="paragraph" w:customStyle="1" w:styleId="563">
    <w:name w:val="样式7"/>
    <w:basedOn w:val="1"/>
    <w:link w:val="562"/>
    <w:qFormat/>
    <w:uiPriority w:val="0"/>
    <w:pPr>
      <w:spacing w:line="360" w:lineRule="auto"/>
      <w:ind w:left="980" w:hanging="420"/>
    </w:pPr>
    <w:rPr>
      <w:rFonts w:ascii="宋体" w:hAnsi="宋体"/>
      <w:sz w:val="28"/>
      <w:szCs w:val="28"/>
    </w:rPr>
  </w:style>
  <w:style w:type="character" w:customStyle="1" w:styleId="564">
    <w:name w:val="_正文段落 Char Char"/>
    <w:link w:val="565"/>
    <w:qFormat/>
    <w:uiPriority w:val="0"/>
    <w:rPr>
      <w:rFonts w:ascii="宋体" w:hAnsi="宋体"/>
      <w:sz w:val="24"/>
      <w:szCs w:val="28"/>
    </w:rPr>
  </w:style>
  <w:style w:type="paragraph" w:customStyle="1" w:styleId="565">
    <w:name w:val="_正文段落"/>
    <w:basedOn w:val="1"/>
    <w:link w:val="564"/>
    <w:qFormat/>
    <w:uiPriority w:val="0"/>
    <w:pPr>
      <w:spacing w:line="360" w:lineRule="auto"/>
      <w:ind w:firstLine="480"/>
    </w:pPr>
    <w:rPr>
      <w:rFonts w:ascii="宋体" w:hAnsi="宋体"/>
      <w:sz w:val="24"/>
      <w:szCs w:val="28"/>
    </w:rPr>
  </w:style>
  <w:style w:type="character" w:customStyle="1" w:styleId="566">
    <w:name w:val="n正文 Char"/>
    <w:link w:val="567"/>
    <w:qFormat/>
    <w:uiPriority w:val="0"/>
    <w:rPr>
      <w:rFonts w:eastAsia="仿宋_GB2312"/>
      <w:color w:val="000000"/>
      <w:sz w:val="28"/>
      <w:szCs w:val="28"/>
    </w:rPr>
  </w:style>
  <w:style w:type="paragraph" w:customStyle="1" w:styleId="567">
    <w:name w:val="n正文"/>
    <w:link w:val="566"/>
    <w:qFormat/>
    <w:uiPriority w:val="0"/>
    <w:pPr>
      <w:spacing w:line="360" w:lineRule="auto"/>
      <w:ind w:firstLine="200"/>
    </w:pPr>
    <w:rPr>
      <w:rFonts w:hint="default" w:ascii="Times New Roman" w:hAnsi="Times New Roman" w:eastAsia="仿宋_GB2312" w:cs="Times New Roman"/>
      <w:color w:val="000000"/>
      <w:sz w:val="28"/>
      <w:szCs w:val="28"/>
      <w:lang w:val="en-US" w:eastAsia="zh-CN" w:bidi="ar-SA"/>
    </w:rPr>
  </w:style>
  <w:style w:type="character" w:customStyle="1" w:styleId="568">
    <w:name w:val="Char Char181"/>
    <w:link w:val="1"/>
    <w:qFormat/>
    <w:uiPriority w:val="0"/>
    <w:rPr>
      <w:rFonts w:ascii="宋体"/>
      <w:b/>
      <w:spacing w:val="-2"/>
      <w:position w:val="-6"/>
      <w:sz w:val="28"/>
    </w:rPr>
  </w:style>
  <w:style w:type="character" w:customStyle="1" w:styleId="569">
    <w:name w:val="htd0"/>
    <w:link w:val="1"/>
    <w:qFormat/>
    <w:uiPriority w:val="0"/>
  </w:style>
  <w:style w:type="character" w:customStyle="1" w:styleId="570">
    <w:name w:val="font191"/>
    <w:link w:val="1"/>
    <w:qFormat/>
    <w:uiPriority w:val="0"/>
    <w:rPr>
      <w:rFonts w:ascii="Arial" w:hAnsi="Arial" w:cs="Arial"/>
      <w:b/>
      <w:color w:val="000000"/>
      <w:sz w:val="20"/>
      <w:szCs w:val="20"/>
      <w:u w:val="none"/>
    </w:rPr>
  </w:style>
  <w:style w:type="character" w:customStyle="1" w:styleId="571">
    <w:name w:val="正文文本缩进 2 Char1"/>
    <w:link w:val="1"/>
    <w:qFormat/>
    <w:uiPriority w:val="99"/>
    <w:rPr>
      <w:rFonts w:ascii="Calibri" w:hAnsi="Calibri" w:eastAsia="宋体" w:cs="Times New Roman"/>
    </w:rPr>
  </w:style>
  <w:style w:type="character" w:customStyle="1" w:styleId="572">
    <w:name w:val="页脚 Char1"/>
    <w:link w:val="1"/>
    <w:qFormat/>
    <w:uiPriority w:val="99"/>
    <w:rPr>
      <w:sz w:val="18"/>
      <w:szCs w:val="18"/>
    </w:rPr>
  </w:style>
  <w:style w:type="character" w:customStyle="1" w:styleId="573">
    <w:name w:val="Char Char6"/>
    <w:link w:val="1"/>
    <w:qFormat/>
    <w:uiPriority w:val="0"/>
    <w:rPr>
      <w:b/>
      <w:bCs/>
      <w:sz w:val="44"/>
      <w:szCs w:val="44"/>
    </w:rPr>
  </w:style>
  <w:style w:type="character" w:customStyle="1" w:styleId="574">
    <w:name w:val="段落 Char1"/>
    <w:link w:val="575"/>
    <w:qFormat/>
    <w:uiPriority w:val="0"/>
    <w:rPr>
      <w:rFonts w:eastAsia="仿宋_GB2312"/>
      <w:sz w:val="24"/>
      <w:szCs w:val="24"/>
    </w:rPr>
  </w:style>
  <w:style w:type="paragraph" w:customStyle="1" w:styleId="575">
    <w:name w:val="段落"/>
    <w:link w:val="574"/>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576">
    <w:name w:val="Char Char18"/>
    <w:link w:val="1"/>
    <w:qFormat/>
    <w:uiPriority w:val="0"/>
    <w:rPr>
      <w:rFonts w:ascii="宋体"/>
      <w:b/>
      <w:spacing w:val="-2"/>
      <w:position w:val="-6"/>
      <w:sz w:val="28"/>
    </w:rPr>
  </w:style>
  <w:style w:type="character" w:customStyle="1" w:styleId="577">
    <w:name w:val="Char Char161"/>
    <w:link w:val="1"/>
    <w:qFormat/>
    <w:uiPriority w:val="0"/>
    <w:rPr>
      <w:rFonts w:ascii="宋体"/>
      <w:b/>
      <w:spacing w:val="-2"/>
      <w:position w:val="-6"/>
      <w:sz w:val="24"/>
    </w:rPr>
  </w:style>
  <w:style w:type="character" w:customStyle="1" w:styleId="578">
    <w:name w:val="font01"/>
    <w:link w:val="1"/>
    <w:qFormat/>
    <w:uiPriority w:val="0"/>
    <w:rPr>
      <w:rFonts w:hint="eastAsia" w:ascii="楷体" w:hAnsi="楷体" w:eastAsia="楷体" w:cs="楷体"/>
      <w:color w:val="FF0000"/>
      <w:sz w:val="22"/>
      <w:szCs w:val="22"/>
      <w:u w:val="none"/>
    </w:rPr>
  </w:style>
  <w:style w:type="character" w:customStyle="1" w:styleId="579">
    <w:name w:val="样式 正文缩进 + 首行缩进:  2 字符 Char Char"/>
    <w:link w:val="580"/>
    <w:qFormat/>
    <w:uiPriority w:val="0"/>
    <w:rPr>
      <w:rFonts w:cs="宋体"/>
      <w:sz w:val="24"/>
    </w:rPr>
  </w:style>
  <w:style w:type="paragraph" w:customStyle="1" w:styleId="580">
    <w:name w:val="样式 正文缩进 + 首行缩进:  2 字符"/>
    <w:basedOn w:val="68"/>
    <w:link w:val="579"/>
    <w:qFormat/>
    <w:uiPriority w:val="0"/>
    <w:pPr>
      <w:spacing w:line="360" w:lineRule="auto"/>
      <w:ind w:firstLine="200"/>
    </w:pPr>
    <w:rPr>
      <w:rFonts w:cs="宋体"/>
      <w:sz w:val="24"/>
      <w:szCs w:val="20"/>
    </w:rPr>
  </w:style>
  <w:style w:type="character" w:customStyle="1" w:styleId="581">
    <w:name w:val="正文文本缩进 Char1"/>
    <w:link w:val="1"/>
    <w:qFormat/>
    <w:uiPriority w:val="99"/>
    <w:rPr>
      <w:rFonts w:ascii="Calibri" w:hAnsi="Calibri" w:eastAsia="宋体" w:cs="Times New Roman"/>
    </w:rPr>
  </w:style>
  <w:style w:type="character" w:customStyle="1" w:styleId="582">
    <w:name w:val="正文（绿盟科技） Char"/>
    <w:link w:val="583"/>
    <w:qFormat/>
    <w:uiPriority w:val="0"/>
    <w:rPr>
      <w:rFonts w:ascii="Arial" w:hAnsi="Arial"/>
      <w:sz w:val="21"/>
      <w:szCs w:val="21"/>
    </w:rPr>
  </w:style>
  <w:style w:type="paragraph" w:customStyle="1" w:styleId="583">
    <w:name w:val="正文（绿盟科技）"/>
    <w:link w:val="582"/>
    <w:qFormat/>
    <w:uiPriority w:val="0"/>
    <w:pPr>
      <w:spacing w:line="300" w:lineRule="auto"/>
    </w:pPr>
    <w:rPr>
      <w:rFonts w:hint="default" w:ascii="Arial" w:hAnsi="Arial" w:eastAsia="宋体" w:cs="Times New Roman"/>
      <w:sz w:val="21"/>
      <w:szCs w:val="21"/>
      <w:lang w:val="en-US" w:eastAsia="zh-CN" w:bidi="ar-SA"/>
    </w:rPr>
  </w:style>
  <w:style w:type="paragraph" w:customStyle="1" w:styleId="58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85">
    <w:name w:val="xl46"/>
    <w:basedOn w:val="1"/>
    <w:qFormat/>
    <w:uiPriority w:val="0"/>
    <w:pPr>
      <w:widowControl/>
      <w:spacing w:before="100" w:beforeAutospacing="1" w:after="100" w:afterAutospacing="1"/>
      <w:jc w:val="left"/>
    </w:pPr>
    <w:rPr>
      <w:rFonts w:ascii="Wonder Arial" w:hAnsi="Wonder Arial" w:eastAsia="Wonder Arial"/>
      <w:sz w:val="24"/>
      <w:szCs w:val="24"/>
    </w:rPr>
  </w:style>
  <w:style w:type="paragraph" w:customStyle="1" w:styleId="586">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7">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88">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589">
    <w:name w:val="技术方案正文样式"/>
    <w:basedOn w:val="1"/>
    <w:qFormat/>
    <w:uiPriority w:val="0"/>
    <w:pPr>
      <w:spacing w:line="400" w:lineRule="exact"/>
      <w:ind w:firstLine="480"/>
    </w:pPr>
    <w:rPr>
      <w:rFonts w:ascii="宋体" w:hAnsi="宋体" w:cs="宋体"/>
      <w:sz w:val="24"/>
      <w:szCs w:val="21"/>
    </w:rPr>
  </w:style>
  <w:style w:type="paragraph" w:customStyle="1" w:styleId="590">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Wonder Arial"/>
      <w:sz w:val="20"/>
      <w:szCs w:val="20"/>
    </w:rPr>
  </w:style>
  <w:style w:type="paragraph" w:customStyle="1" w:styleId="591">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92">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93">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94">
    <w:name w:val="Style First line:  2 ch"/>
    <w:basedOn w:val="1"/>
    <w:qFormat/>
    <w:uiPriority w:val="0"/>
    <w:pPr>
      <w:spacing w:line="440" w:lineRule="exact"/>
      <w:ind w:firstLine="200"/>
    </w:pPr>
    <w:rPr>
      <w:sz w:val="24"/>
      <w:szCs w:val="24"/>
    </w:rPr>
  </w:style>
  <w:style w:type="paragraph" w:customStyle="1" w:styleId="595">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96">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597">
    <w:name w:val="Char Char2 Char"/>
    <w:basedOn w:val="1"/>
    <w:qFormat/>
    <w:uiPriority w:val="0"/>
    <w:pPr>
      <w:keepNext/>
      <w:keepLines/>
      <w:pageBreakBefore/>
      <w:tabs>
        <w:tab w:val="left" w:pos="390"/>
      </w:tabs>
      <w:ind w:left="390" w:hanging="390"/>
    </w:pPr>
    <w:rPr>
      <w:szCs w:val="20"/>
    </w:rPr>
  </w:style>
  <w:style w:type="paragraph" w:customStyle="1" w:styleId="598">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99">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60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01">
    <w:name w:val="纯文本2"/>
    <w:basedOn w:val="1"/>
    <w:qFormat/>
    <w:uiPriority w:val="0"/>
    <w:rPr>
      <w:rFonts w:ascii="宋体" w:hAnsi="Courier New"/>
      <w:szCs w:val="21"/>
    </w:rPr>
  </w:style>
  <w:style w:type="paragraph" w:customStyle="1" w:styleId="602">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3">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04">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05">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2"/>
    </w:rPr>
  </w:style>
  <w:style w:type="paragraph" w:customStyle="1" w:styleId="606">
    <w:name w:val="样式 首行缩进:  2.25 字符"/>
    <w:basedOn w:val="1"/>
    <w:qFormat/>
    <w:uiPriority w:val="0"/>
    <w:pPr>
      <w:spacing w:line="360" w:lineRule="auto"/>
      <w:ind w:firstLine="225"/>
    </w:pPr>
    <w:rPr>
      <w:rFonts w:cs="宋体"/>
      <w:sz w:val="24"/>
      <w:szCs w:val="20"/>
    </w:rPr>
  </w:style>
  <w:style w:type="paragraph" w:customStyle="1" w:styleId="607">
    <w:name w:val="正文文本缩进 21"/>
    <w:basedOn w:val="1"/>
    <w:qFormat/>
    <w:uiPriority w:val="0"/>
    <w:pPr>
      <w:spacing w:line="520" w:lineRule="exact"/>
      <w:ind w:firstLine="560"/>
    </w:pPr>
    <w:rPr>
      <w:rFonts w:ascii="楷体_GB2312" w:eastAsia="楷体_GB2312"/>
      <w:sz w:val="28"/>
      <w:szCs w:val="28"/>
    </w:rPr>
  </w:style>
  <w:style w:type="paragraph" w:customStyle="1" w:styleId="608">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09">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61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0"/>
      <w:szCs w:val="20"/>
    </w:rPr>
  </w:style>
  <w:style w:type="paragraph" w:customStyle="1" w:styleId="611">
    <w:name w:val="列出段落11"/>
    <w:basedOn w:val="1"/>
    <w:qFormat/>
    <w:uiPriority w:val="0"/>
    <w:pPr>
      <w:ind w:firstLine="420"/>
    </w:pPr>
    <w:rPr>
      <w:szCs w:val="24"/>
    </w:rPr>
  </w:style>
  <w:style w:type="paragraph" w:customStyle="1" w:styleId="612">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613">
    <w:name w:val="居中图片"/>
    <w:basedOn w:val="1"/>
    <w:qFormat/>
    <w:uiPriority w:val="0"/>
    <w:pPr>
      <w:jc w:val="center"/>
    </w:pPr>
    <w:rPr>
      <w:rFonts w:ascii="Calibri" w:hAnsi="Calibri" w:eastAsia="仿宋"/>
      <w:sz w:val="28"/>
      <w:szCs w:val="21"/>
    </w:rPr>
  </w:style>
  <w:style w:type="paragraph" w:customStyle="1" w:styleId="614">
    <w:name w:val="注示头"/>
    <w:basedOn w:val="1"/>
    <w:qFormat/>
    <w:uiPriority w:val="0"/>
    <w:pPr>
      <w:pBdr>
        <w:top w:val="single" w:color="000000" w:sz="4" w:space="1"/>
      </w:pBdr>
    </w:pPr>
    <w:rPr>
      <w:rFonts w:ascii="Arial" w:hAnsi="Arial" w:eastAsia="黑体"/>
      <w:sz w:val="18"/>
      <w:szCs w:val="20"/>
    </w:rPr>
  </w:style>
  <w:style w:type="paragraph" w:customStyle="1" w:styleId="615">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16">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17">
    <w:name w:val="批注主题2"/>
    <w:basedOn w:val="96"/>
    <w:next w:val="96"/>
    <w:qFormat/>
    <w:uiPriority w:val="0"/>
    <w:rPr>
      <w:rFonts w:ascii="Calibri" w:hAnsi="Calibri"/>
      <w:b/>
      <w:bCs/>
    </w:rPr>
  </w:style>
  <w:style w:type="paragraph" w:customStyle="1" w:styleId="618">
    <w:name w:val="正文缩进2"/>
    <w:basedOn w:val="1"/>
    <w:qFormat/>
    <w:uiPriority w:val="0"/>
    <w:pPr>
      <w:ind w:firstLine="420"/>
    </w:pPr>
    <w:rPr>
      <w:szCs w:val="20"/>
    </w:rPr>
  </w:style>
  <w:style w:type="paragraph" w:customStyle="1" w:styleId="619">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0">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Wonder Arial" w:eastAsia="黑体"/>
      <w:sz w:val="20"/>
      <w:szCs w:val="20"/>
    </w:rPr>
  </w:style>
  <w:style w:type="paragraph" w:customStyle="1" w:styleId="62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Wonder Arial" w:eastAsia="黑体"/>
      <w:b/>
      <w:bCs/>
      <w:sz w:val="20"/>
      <w:szCs w:val="20"/>
    </w:rPr>
  </w:style>
  <w:style w:type="paragraph" w:customStyle="1" w:styleId="623">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24">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eastAsia="Wonder Arial"/>
      <w:color w:val="000000"/>
      <w:sz w:val="20"/>
      <w:szCs w:val="20"/>
    </w:rPr>
  </w:style>
  <w:style w:type="paragraph" w:customStyle="1" w:styleId="625">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26">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628">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sz w:val="20"/>
      <w:szCs w:val="20"/>
    </w:rPr>
  </w:style>
  <w:style w:type="paragraph" w:customStyle="1" w:styleId="629">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630">
    <w:name w:val="内容标题"/>
    <w:basedOn w:val="1"/>
    <w:qFormat/>
    <w:uiPriority w:val="0"/>
    <w:pPr>
      <w:shd w:val="clear" w:color="auto" w:fill="000080"/>
    </w:pPr>
    <w:rPr>
      <w:rFonts w:ascii="Tahoma" w:hAnsi="Tahoma"/>
      <w:sz w:val="24"/>
      <w:szCs w:val="24"/>
      <w:shd w:val="clear" w:color="auto" w:fill="000080"/>
    </w:rPr>
  </w:style>
  <w:style w:type="paragraph" w:customStyle="1" w:styleId="63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632">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33">
    <w:name w:val="标题4"/>
    <w:basedOn w:val="67"/>
    <w:qFormat/>
    <w:uiPriority w:val="0"/>
    <w:pPr>
      <w:spacing w:before="120" w:after="120" w:line="415" w:lineRule="auto"/>
      <w:jc w:val="center"/>
    </w:pPr>
    <w:rPr>
      <w:rFonts w:eastAsia="仿宋_GB2312"/>
      <w:bCs w:val="0"/>
      <w:szCs w:val="20"/>
    </w:rPr>
  </w:style>
  <w:style w:type="paragraph" w:customStyle="1" w:styleId="634">
    <w:name w:val="表格文本"/>
    <w:basedOn w:val="1"/>
    <w:qFormat/>
    <w:uiPriority w:val="0"/>
    <w:pPr>
      <w:tabs>
        <w:tab w:val="decimal" w:pos="0"/>
      </w:tabs>
      <w:jc w:val="left"/>
    </w:pPr>
    <w:rPr>
      <w:rFonts w:ascii="Arial" w:hAnsi="Arial"/>
      <w:szCs w:val="21"/>
    </w:rPr>
  </w:style>
  <w:style w:type="paragraph" w:customStyle="1" w:styleId="635">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36">
    <w:name w:val="日期2"/>
    <w:basedOn w:val="1"/>
    <w:next w:val="1"/>
    <w:qFormat/>
    <w:uiPriority w:val="0"/>
    <w:pPr>
      <w:ind w:left="100"/>
    </w:pPr>
    <w:rPr>
      <w:rFonts w:ascii="仿宋_GB2312" w:eastAsia="仿宋_GB2312"/>
      <w:b/>
      <w:sz w:val="36"/>
      <w:szCs w:val="24"/>
    </w:rPr>
  </w:style>
  <w:style w:type="paragraph" w:customStyle="1" w:styleId="637">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Wonder Arial" w:hAnsi="Wonder Arial" w:eastAsia="Wonder Arial"/>
      <w:sz w:val="20"/>
      <w:szCs w:val="20"/>
    </w:rPr>
  </w:style>
  <w:style w:type="paragraph" w:customStyle="1" w:styleId="638">
    <w:name w:val="Char1"/>
    <w:basedOn w:val="1"/>
    <w:qFormat/>
    <w:uiPriority w:val="0"/>
    <w:pPr>
      <w:tabs>
        <w:tab w:val="left" w:pos="840"/>
      </w:tabs>
      <w:ind w:left="840" w:hanging="420"/>
    </w:pPr>
    <w:rPr>
      <w:sz w:val="24"/>
      <w:szCs w:val="24"/>
    </w:rPr>
  </w:style>
  <w:style w:type="paragraph" w:customStyle="1" w:styleId="639">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640">
    <w:name w:val="文档结构图1"/>
    <w:basedOn w:val="1"/>
    <w:qFormat/>
    <w:uiPriority w:val="0"/>
    <w:rPr>
      <w:rFonts w:ascii="宋体"/>
      <w:sz w:val="18"/>
      <w:szCs w:val="18"/>
    </w:rPr>
  </w:style>
  <w:style w:type="paragraph" w:customStyle="1" w:styleId="641">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42">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43">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44">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645">
    <w:name w:val="02-标书-标题2"/>
    <w:qFormat/>
    <w:uiPriority w:val="0"/>
    <w:pPr>
      <w:spacing w:line="360" w:lineRule="auto"/>
      <w:outlineLvl w:val="1"/>
    </w:pPr>
    <w:rPr>
      <w:rFonts w:hint="default" w:ascii="黑体" w:hAnsi="宋体" w:eastAsia="黑体" w:cs="Times New Roman"/>
      <w:sz w:val="32"/>
      <w:szCs w:val="28"/>
      <w:lang w:val="en-US" w:eastAsia="zh-CN" w:bidi="ar-SA"/>
    </w:rPr>
  </w:style>
  <w:style w:type="paragraph" w:customStyle="1" w:styleId="646">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47">
    <w:name w:val="普通(网站)2"/>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648">
    <w:name w:val="列表1"/>
    <w:basedOn w:val="1"/>
    <w:qFormat/>
    <w:uiPriority w:val="0"/>
    <w:pPr>
      <w:ind w:left="200" w:hanging="200"/>
    </w:pPr>
    <w:rPr>
      <w:szCs w:val="24"/>
    </w:rPr>
  </w:style>
  <w:style w:type="paragraph" w:customStyle="1" w:styleId="649">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0">
    <w:name w:val="正文文本 32"/>
    <w:basedOn w:val="1"/>
    <w:qFormat/>
    <w:uiPriority w:val="0"/>
    <w:rPr>
      <w:rFonts w:ascii="仿宋_GB2312" w:hAnsi="Arial" w:eastAsia="仿宋_GB2312"/>
      <w:sz w:val="32"/>
      <w:szCs w:val="20"/>
    </w:rPr>
  </w:style>
  <w:style w:type="paragraph" w:customStyle="1" w:styleId="651">
    <w:name w:val="03-标书-标题3"/>
    <w:qFormat/>
    <w:uiPriority w:val="0"/>
    <w:pPr>
      <w:spacing w:line="360" w:lineRule="auto"/>
      <w:ind w:left="1080"/>
      <w:outlineLvl w:val="2"/>
    </w:pPr>
    <w:rPr>
      <w:rFonts w:hint="default" w:ascii="黑体" w:hAnsi="宋体" w:eastAsia="黑体" w:cs="Times New Roman"/>
      <w:sz w:val="28"/>
      <w:szCs w:val="24"/>
      <w:lang w:val="en-US" w:eastAsia="zh-CN" w:bidi="ar-SA"/>
    </w:rPr>
  </w:style>
  <w:style w:type="paragraph" w:customStyle="1" w:styleId="652">
    <w:name w:val="表格正文"/>
    <w:basedOn w:val="1"/>
    <w:qFormat/>
    <w:uiPriority w:val="0"/>
    <w:pPr>
      <w:jc w:val="center"/>
    </w:pPr>
    <w:rPr>
      <w:rFonts w:eastAsia="仿宋_GB2312"/>
      <w:szCs w:val="24"/>
    </w:rPr>
  </w:style>
  <w:style w:type="paragraph" w:customStyle="1" w:styleId="653">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54">
    <w:name w:val="样式 首行缩进:  0 字符"/>
    <w:basedOn w:val="1"/>
    <w:qFormat/>
    <w:uiPriority w:val="0"/>
    <w:pPr>
      <w:spacing w:line="360" w:lineRule="auto"/>
      <w:ind w:firstLine="200"/>
    </w:pPr>
    <w:rPr>
      <w:rFonts w:cs="宋体"/>
      <w:sz w:val="24"/>
      <w:szCs w:val="20"/>
    </w:rPr>
  </w:style>
  <w:style w:type="paragraph" w:customStyle="1" w:styleId="655">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656">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57">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5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sz w:val="22"/>
    </w:rPr>
  </w:style>
  <w:style w:type="paragraph" w:customStyle="1" w:styleId="659">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60">
    <w:name w:val="font9"/>
    <w:basedOn w:val="1"/>
    <w:qFormat/>
    <w:uiPriority w:val="0"/>
    <w:pPr>
      <w:widowControl/>
      <w:spacing w:before="100" w:beforeAutospacing="1" w:after="100" w:afterAutospacing="1"/>
      <w:jc w:val="left"/>
    </w:pPr>
    <w:rPr>
      <w:rFonts w:eastAsia="Wonder Arial"/>
      <w:sz w:val="20"/>
      <w:szCs w:val="20"/>
    </w:rPr>
  </w:style>
  <w:style w:type="paragraph" w:customStyle="1" w:styleId="661">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663">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4">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5">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667">
    <w:name w:val="目录标题"/>
    <w:next w:val="561"/>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668">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69">
    <w:name w:val="Char Char1 Char Char Char Char Char Char Char Char"/>
    <w:basedOn w:val="1"/>
    <w:qFormat/>
    <w:uiPriority w:val="0"/>
    <w:pPr>
      <w:spacing w:line="360" w:lineRule="auto"/>
    </w:pPr>
    <w:rPr>
      <w:szCs w:val="24"/>
    </w:rPr>
  </w:style>
  <w:style w:type="paragraph" w:customStyle="1" w:styleId="670">
    <w:name w:val="正文文本 22"/>
    <w:basedOn w:val="1"/>
    <w:qFormat/>
    <w:uiPriority w:val="0"/>
    <w:pPr>
      <w:spacing w:after="120" w:line="480" w:lineRule="auto"/>
    </w:pPr>
    <w:rPr>
      <w:szCs w:val="24"/>
    </w:rPr>
  </w:style>
  <w:style w:type="paragraph" w:customStyle="1" w:styleId="671">
    <w:name w:val="样式 标题 2市检方案标题2第一层条h22章标题节标题第一章 标题 2Heading 2 HiddenHead..."/>
    <w:basedOn w:val="40"/>
    <w:qFormat/>
    <w:uiPriority w:val="0"/>
    <w:pPr>
      <w:spacing w:before="120" w:after="120" w:line="264" w:lineRule="auto"/>
      <w:jc w:val="left"/>
    </w:pPr>
    <w:rPr>
      <w:rFonts w:ascii="楷体_GB2312" w:hAnsi="楷体" w:eastAsia="楷体_GB2312" w:cs="宋体"/>
      <w:bCs w:val="0"/>
      <w:color w:val="000000"/>
      <w:sz w:val="28"/>
      <w:szCs w:val="28"/>
    </w:rPr>
  </w:style>
  <w:style w:type="paragraph" w:customStyle="1" w:styleId="672">
    <w:name w:val="正文文本缩进1"/>
    <w:basedOn w:val="1"/>
    <w:qFormat/>
    <w:uiPriority w:val="0"/>
    <w:pPr>
      <w:ind w:firstLine="645"/>
    </w:pPr>
    <w:rPr>
      <w:rFonts w:ascii="楷体_GB2312" w:eastAsia="楷体_GB2312"/>
      <w:sz w:val="32"/>
      <w:szCs w:val="20"/>
    </w:rPr>
  </w:style>
  <w:style w:type="paragraph" w:customStyle="1" w:styleId="673">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74">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75">
    <w:name w:val="正文文本 21"/>
    <w:basedOn w:val="1"/>
    <w:qFormat/>
    <w:uiPriority w:val="0"/>
    <w:pPr>
      <w:spacing w:after="120" w:line="480" w:lineRule="auto"/>
    </w:pPr>
    <w:rPr>
      <w:szCs w:val="24"/>
    </w:rPr>
  </w:style>
  <w:style w:type="paragraph" w:customStyle="1" w:styleId="676">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77">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78">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79">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680">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681">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82">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83">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684">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685">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86">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87">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88">
    <w:name w:val="xl45"/>
    <w:basedOn w:val="1"/>
    <w:qFormat/>
    <w:uiPriority w:val="0"/>
    <w:pPr>
      <w:widowControl/>
      <w:spacing w:before="100" w:beforeAutospacing="1" w:after="100" w:afterAutospacing="1"/>
      <w:jc w:val="left"/>
    </w:pPr>
    <w:rPr>
      <w:rFonts w:hint="eastAsia" w:ascii="黑体" w:hAnsi="Wonder Arial" w:eastAsia="黑体"/>
      <w:b/>
      <w:bCs/>
      <w:sz w:val="24"/>
      <w:szCs w:val="24"/>
    </w:rPr>
  </w:style>
  <w:style w:type="paragraph" w:customStyle="1" w:styleId="689">
    <w:name w:val="图表目录1"/>
    <w:basedOn w:val="111"/>
    <w:qFormat/>
    <w:uiPriority w:val="0"/>
    <w:pPr>
      <w:spacing w:after="120" w:line="360" w:lineRule="auto"/>
      <w:jc w:val="center"/>
    </w:pPr>
    <w:rPr>
      <w:rFonts w:ascii="楷体"/>
      <w:sz w:val="28"/>
    </w:rPr>
  </w:style>
  <w:style w:type="paragraph" w:customStyle="1" w:styleId="690">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1">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692">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93">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694">
    <w:name w:val="样式4"/>
    <w:basedOn w:val="1"/>
    <w:qFormat/>
    <w:uiPriority w:val="0"/>
    <w:pPr>
      <w:spacing w:line="440" w:lineRule="exact"/>
      <w:ind w:left="-2"/>
    </w:pPr>
    <w:rPr>
      <w:rFonts w:ascii="宋体" w:hAnsi="宋体"/>
      <w:sz w:val="28"/>
      <w:szCs w:val="24"/>
    </w:rPr>
  </w:style>
  <w:style w:type="paragraph" w:customStyle="1" w:styleId="695">
    <w:name w:val="列表2"/>
    <w:basedOn w:val="1"/>
    <w:qFormat/>
    <w:uiPriority w:val="0"/>
    <w:pPr>
      <w:ind w:left="200" w:hanging="200"/>
    </w:pPr>
    <w:rPr>
      <w:szCs w:val="24"/>
    </w:rPr>
  </w:style>
  <w:style w:type="paragraph" w:customStyle="1" w:styleId="696">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97">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9">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0">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701">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702">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03">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04">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eastAsia="Wonder Arial"/>
      <w:sz w:val="20"/>
      <w:szCs w:val="20"/>
    </w:rPr>
  </w:style>
  <w:style w:type="paragraph" w:customStyle="1" w:styleId="705">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06">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707">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708">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9">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10">
    <w:name w:val="普通(网站)1"/>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711">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2">
    <w:name w:val="缺省文本"/>
    <w:basedOn w:val="1"/>
    <w:qFormat/>
    <w:uiPriority w:val="0"/>
    <w:pPr>
      <w:spacing w:line="360" w:lineRule="auto"/>
      <w:ind w:firstLine="200"/>
      <w:jc w:val="left"/>
    </w:pPr>
    <w:rPr>
      <w:sz w:val="24"/>
      <w:szCs w:val="24"/>
    </w:rPr>
  </w:style>
  <w:style w:type="paragraph" w:customStyle="1" w:styleId="713">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1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sz w:val="20"/>
      <w:szCs w:val="20"/>
    </w:rPr>
  </w:style>
  <w:style w:type="paragraph" w:customStyle="1" w:styleId="715">
    <w:name w:val="纯文本1"/>
    <w:basedOn w:val="1"/>
    <w:qFormat/>
    <w:uiPriority w:val="0"/>
    <w:rPr>
      <w:rFonts w:ascii="宋体" w:hAnsi="Courier New"/>
      <w:szCs w:val="21"/>
    </w:rPr>
  </w:style>
  <w:style w:type="paragraph" w:customStyle="1" w:styleId="716">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717">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8">
    <w:name w:val="GP正文(首行缩进)"/>
    <w:basedOn w:val="1"/>
    <w:qFormat/>
    <w:uiPriority w:val="0"/>
    <w:pPr>
      <w:spacing w:line="360" w:lineRule="auto"/>
      <w:ind w:firstLine="200"/>
      <w:jc w:val="left"/>
    </w:pPr>
    <w:rPr>
      <w:sz w:val="24"/>
      <w:szCs w:val="21"/>
    </w:rPr>
  </w:style>
  <w:style w:type="paragraph" w:customStyle="1" w:styleId="719">
    <w:name w:val="无间隔1"/>
    <w:qFormat/>
    <w:uiPriority w:val="0"/>
    <w:pPr>
      <w:widowControl w:val="0"/>
      <w:jc w:val="both"/>
    </w:pPr>
    <w:rPr>
      <w:rFonts w:hint="default" w:ascii="Calibri" w:hAnsi="Calibri" w:eastAsia="宋体" w:cs="黑体"/>
      <w:sz w:val="21"/>
      <w:szCs w:val="22"/>
      <w:lang w:val="en-US" w:eastAsia="zh-CN" w:bidi="ar-SA"/>
    </w:rPr>
  </w:style>
  <w:style w:type="paragraph" w:customStyle="1" w:styleId="720">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1">
    <w:name w:val="日期3"/>
    <w:basedOn w:val="1"/>
    <w:next w:val="1"/>
    <w:qFormat/>
    <w:uiPriority w:val="0"/>
    <w:pPr>
      <w:ind w:left="100"/>
    </w:pPr>
    <w:rPr>
      <w:rFonts w:ascii="仿宋_GB2312" w:eastAsia="仿宋_GB2312"/>
      <w:b/>
      <w:sz w:val="36"/>
      <w:szCs w:val="24"/>
    </w:rPr>
  </w:style>
  <w:style w:type="paragraph" w:customStyle="1" w:styleId="722">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3">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4">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25">
    <w:name w:val="正文文本缩进 31"/>
    <w:basedOn w:val="1"/>
    <w:qFormat/>
    <w:uiPriority w:val="0"/>
    <w:pPr>
      <w:ind w:left="520" w:firstLine="425"/>
      <w:jc w:val="center"/>
    </w:pPr>
    <w:rPr>
      <w:rFonts w:ascii="方正子实行楷简体" w:hAnsi="Arial" w:eastAsia="方正子实行楷简体"/>
      <w:sz w:val="36"/>
      <w:szCs w:val="20"/>
    </w:rPr>
  </w:style>
  <w:style w:type="paragraph" w:customStyle="1" w:styleId="726">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olor w:val="000000"/>
      <w:sz w:val="20"/>
      <w:szCs w:val="20"/>
    </w:rPr>
  </w:style>
  <w:style w:type="paragraph" w:customStyle="1" w:styleId="72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sz w:val="22"/>
    </w:rPr>
  </w:style>
  <w:style w:type="paragraph" w:customStyle="1" w:styleId="728">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729">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30">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1">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32">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3">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34">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35">
    <w:name w:val="正文文本缩进 32"/>
    <w:basedOn w:val="1"/>
    <w:qFormat/>
    <w:uiPriority w:val="0"/>
    <w:pPr>
      <w:ind w:left="520" w:firstLine="425"/>
      <w:jc w:val="center"/>
    </w:pPr>
    <w:rPr>
      <w:rFonts w:ascii="方正子实行楷简体" w:hAnsi="Arial" w:eastAsia="方正子实行楷简体"/>
      <w:sz w:val="36"/>
      <w:szCs w:val="20"/>
    </w:rPr>
  </w:style>
  <w:style w:type="paragraph" w:customStyle="1" w:styleId="736">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37">
    <w:name w:val="Char2"/>
    <w:basedOn w:val="1"/>
    <w:qFormat/>
    <w:uiPriority w:val="0"/>
    <w:pPr>
      <w:tabs>
        <w:tab w:val="left" w:pos="360"/>
      </w:tabs>
    </w:pPr>
    <w:rPr>
      <w:sz w:val="24"/>
      <w:szCs w:val="24"/>
    </w:rPr>
  </w:style>
  <w:style w:type="paragraph" w:customStyle="1" w:styleId="738">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739">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40">
    <w:name w:val="xl13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1">
    <w:name w:val="font10"/>
    <w:basedOn w:val="1"/>
    <w:qFormat/>
    <w:uiPriority w:val="0"/>
    <w:pPr>
      <w:widowControl/>
      <w:spacing w:before="100" w:beforeAutospacing="1" w:after="100" w:afterAutospacing="1"/>
      <w:jc w:val="left"/>
    </w:pPr>
    <w:rPr>
      <w:rFonts w:eastAsia="Wonder Arial"/>
      <w:color w:val="000000"/>
      <w:sz w:val="20"/>
      <w:szCs w:val="20"/>
    </w:rPr>
  </w:style>
  <w:style w:type="paragraph" w:customStyle="1" w:styleId="742">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744">
    <w:name w:val="正文格式"/>
    <w:basedOn w:val="1"/>
    <w:qFormat/>
    <w:uiPriority w:val="0"/>
    <w:pPr>
      <w:widowControl/>
      <w:spacing w:line="400" w:lineRule="exact"/>
      <w:ind w:firstLine="482"/>
    </w:pPr>
    <w:rPr>
      <w:rFonts w:ascii="Arial" w:hAnsi="Arial" w:eastAsia="新宋体"/>
      <w:sz w:val="24"/>
      <w:szCs w:val="20"/>
    </w:rPr>
  </w:style>
  <w:style w:type="paragraph" w:customStyle="1" w:styleId="745">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746">
    <w:name w:val="font12"/>
    <w:basedOn w:val="1"/>
    <w:qFormat/>
    <w:uiPriority w:val="0"/>
    <w:pPr>
      <w:widowControl/>
      <w:spacing w:before="100" w:beforeAutospacing="1" w:after="100" w:afterAutospacing="1"/>
      <w:jc w:val="left"/>
    </w:pPr>
    <w:rPr>
      <w:rFonts w:eastAsia="Wonder Arial"/>
      <w:b/>
      <w:bCs/>
      <w:sz w:val="20"/>
      <w:szCs w:val="20"/>
    </w:rPr>
  </w:style>
  <w:style w:type="paragraph" w:customStyle="1" w:styleId="747">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48">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49">
    <w:name w:val="文本块2"/>
    <w:basedOn w:val="1"/>
    <w:qFormat/>
    <w:uiPriority w:val="0"/>
    <w:pPr>
      <w:ind w:left="630" w:right="630"/>
      <w:jc w:val="center"/>
    </w:pPr>
    <w:rPr>
      <w:rFonts w:ascii="宋体"/>
      <w:b/>
      <w:sz w:val="32"/>
      <w:szCs w:val="24"/>
    </w:rPr>
  </w:style>
  <w:style w:type="paragraph" w:customStyle="1" w:styleId="750">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75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Wonder Arial"/>
      <w:sz w:val="20"/>
      <w:szCs w:val="20"/>
    </w:rPr>
  </w:style>
  <w:style w:type="paragraph" w:customStyle="1" w:styleId="75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sz w:val="20"/>
      <w:szCs w:val="20"/>
    </w:rPr>
  </w:style>
  <w:style w:type="paragraph" w:customStyle="1" w:styleId="753">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54">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55">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56">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57">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758">
    <w:name w:val="样式 行距: 1.5 倍行距"/>
    <w:basedOn w:val="1"/>
    <w:qFormat/>
    <w:uiPriority w:val="0"/>
    <w:pPr>
      <w:spacing w:line="360" w:lineRule="auto"/>
    </w:pPr>
    <w:rPr>
      <w:rFonts w:ascii="宋体" w:hAnsi="宋体"/>
      <w:bCs/>
      <w:sz w:val="28"/>
      <w:szCs w:val="20"/>
    </w:rPr>
  </w:style>
  <w:style w:type="paragraph" w:customStyle="1" w:styleId="759">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60">
    <w:name w:val="04-标书-标题4"/>
    <w:basedOn w:val="1"/>
    <w:qFormat/>
    <w:uiPriority w:val="0"/>
    <w:pPr>
      <w:widowControl/>
      <w:tabs>
        <w:tab w:val="left" w:pos="360"/>
      </w:tabs>
      <w:spacing w:line="360" w:lineRule="auto"/>
      <w:ind w:firstLine="480"/>
    </w:pPr>
    <w:rPr>
      <w:rFonts w:ascii="宋体" w:hAnsi="宋体" w:eastAsia="黑体"/>
      <w:color w:val="000000"/>
      <w:sz w:val="24"/>
      <w:szCs w:val="21"/>
    </w:rPr>
  </w:style>
  <w:style w:type="paragraph" w:customStyle="1" w:styleId="761">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762">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63">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64">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65">
    <w:name w:val="正文４"/>
    <w:basedOn w:val="1"/>
    <w:qFormat/>
    <w:uiPriority w:val="0"/>
    <w:pPr>
      <w:spacing w:line="360" w:lineRule="auto"/>
      <w:ind w:firstLine="480"/>
    </w:pPr>
    <w:rPr>
      <w:sz w:val="24"/>
      <w:szCs w:val="20"/>
    </w:rPr>
  </w:style>
  <w:style w:type="paragraph" w:customStyle="1" w:styleId="76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olor w:val="000000"/>
      <w:sz w:val="22"/>
    </w:rPr>
  </w:style>
  <w:style w:type="paragraph" w:customStyle="1" w:styleId="767">
    <w:name w:val="Char Char 字元 字元 字元 Char Char Char Char"/>
    <w:basedOn w:val="1"/>
    <w:unhideWhenUsed/>
    <w:qFormat/>
    <w:uiPriority w:val="99"/>
    <w:pPr>
      <w:spacing w:line="360" w:lineRule="auto"/>
    </w:pPr>
    <w:rPr>
      <w:rFonts w:hint="eastAsia"/>
      <w:szCs w:val="24"/>
    </w:rPr>
  </w:style>
  <w:style w:type="paragraph" w:customStyle="1" w:styleId="768">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69">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0">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color w:val="000000"/>
      <w:sz w:val="20"/>
      <w:szCs w:val="20"/>
    </w:rPr>
  </w:style>
  <w:style w:type="paragraph" w:customStyle="1" w:styleId="771">
    <w:name w:val="Char11"/>
    <w:basedOn w:val="1"/>
    <w:qFormat/>
    <w:uiPriority w:val="0"/>
    <w:rPr>
      <w:rFonts w:ascii="Tahoma" w:hAnsi="Tahoma"/>
      <w:sz w:val="24"/>
      <w:szCs w:val="20"/>
    </w:rPr>
  </w:style>
  <w:style w:type="paragraph" w:customStyle="1" w:styleId="77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7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color w:val="000000"/>
      <w:sz w:val="20"/>
      <w:szCs w:val="20"/>
    </w:rPr>
  </w:style>
  <w:style w:type="paragraph" w:customStyle="1" w:styleId="774">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775">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6">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7">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8">
    <w:name w:val="一级标题"/>
    <w:basedOn w:val="66"/>
    <w:qFormat/>
    <w:uiPriority w:val="0"/>
    <w:pPr>
      <w:keepNext w:val="0"/>
      <w:spacing w:line="360" w:lineRule="auto"/>
    </w:pPr>
    <w:rPr>
      <w:rFonts w:ascii="宋体" w:hAnsi="宋体" w:eastAsia="宋体"/>
      <w:b/>
      <w:sz w:val="32"/>
    </w:rPr>
  </w:style>
  <w:style w:type="paragraph" w:customStyle="1" w:styleId="779">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80">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1">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2">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83">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84">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85">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786">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87">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Wonder Arial" w:cs="Arial"/>
      <w:sz w:val="20"/>
      <w:szCs w:val="20"/>
    </w:rPr>
  </w:style>
  <w:style w:type="paragraph" w:customStyle="1" w:styleId="788">
    <w:name w:val="图5"/>
    <w:basedOn w:val="1"/>
    <w:qFormat/>
    <w:uiPriority w:val="0"/>
    <w:pPr>
      <w:spacing w:line="220" w:lineRule="exact"/>
      <w:jc w:val="center"/>
    </w:pPr>
    <w:rPr>
      <w:rFonts w:ascii="仿宋_GB2312" w:eastAsia="仿宋_GB2312"/>
      <w:szCs w:val="20"/>
    </w:rPr>
  </w:style>
  <w:style w:type="paragraph" w:customStyle="1" w:styleId="789">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9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Wonder Arial" w:cs="Arial"/>
      <w:sz w:val="20"/>
      <w:szCs w:val="20"/>
    </w:rPr>
  </w:style>
  <w:style w:type="paragraph" w:customStyle="1" w:styleId="791">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92">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93">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94">
    <w:name w:val="xl32"/>
    <w:basedOn w:val="1"/>
    <w:qFormat/>
    <w:uiPriority w:val="0"/>
    <w:pPr>
      <w:widowControl/>
      <w:spacing w:before="100" w:beforeAutospacing="1" w:after="100" w:afterAutospacing="1"/>
      <w:jc w:val="left"/>
    </w:pPr>
    <w:rPr>
      <w:rFonts w:ascii="Tahoma" w:hAnsi="Tahoma" w:eastAsia="Wonder Arial" w:cs="Tahoma"/>
      <w:sz w:val="16"/>
      <w:szCs w:val="16"/>
    </w:rPr>
  </w:style>
  <w:style w:type="paragraph" w:customStyle="1" w:styleId="795">
    <w:name w:val="_Style 1"/>
    <w:basedOn w:val="1"/>
    <w:qFormat/>
    <w:uiPriority w:val="34"/>
    <w:pPr>
      <w:spacing w:line="400" w:lineRule="exact"/>
      <w:ind w:firstLine="420"/>
      <w:jc w:val="left"/>
    </w:pPr>
    <w:rPr>
      <w:rFonts w:ascii="Calibri" w:hAnsi="Calibri" w:eastAsia="仿宋_GB2312"/>
      <w:sz w:val="24"/>
    </w:rPr>
  </w:style>
  <w:style w:type="paragraph" w:customStyle="1" w:styleId="796">
    <w:name w:val="文档结构图2"/>
    <w:basedOn w:val="1"/>
    <w:qFormat/>
    <w:uiPriority w:val="0"/>
    <w:rPr>
      <w:rFonts w:ascii="宋体"/>
      <w:sz w:val="18"/>
      <w:szCs w:val="18"/>
    </w:rPr>
  </w:style>
  <w:style w:type="paragraph" w:customStyle="1" w:styleId="797">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2"/>
    </w:rPr>
  </w:style>
  <w:style w:type="paragraph" w:customStyle="1" w:styleId="798">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99">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0">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01">
    <w:name w:val="正文4"/>
    <w:basedOn w:val="1"/>
    <w:qFormat/>
    <w:uiPriority w:val="0"/>
    <w:pPr>
      <w:spacing w:line="360" w:lineRule="auto"/>
      <w:ind w:firstLine="480"/>
    </w:pPr>
    <w:rPr>
      <w:rFonts w:ascii="楷体_GB2312" w:hAnsi="宋体" w:eastAsia="楷体_GB2312"/>
      <w:sz w:val="24"/>
      <w:szCs w:val="20"/>
    </w:rPr>
  </w:style>
  <w:style w:type="paragraph" w:customStyle="1" w:styleId="802">
    <w:name w:val="_Style 6"/>
    <w:basedOn w:val="1"/>
    <w:qFormat/>
    <w:uiPriority w:val="34"/>
    <w:pPr>
      <w:ind w:firstLine="420"/>
    </w:pPr>
    <w:rPr>
      <w:szCs w:val="24"/>
    </w:rPr>
  </w:style>
  <w:style w:type="paragraph" w:customStyle="1" w:styleId="803">
    <w:name w:val="xl47"/>
    <w:basedOn w:val="1"/>
    <w:qFormat/>
    <w:uiPriority w:val="0"/>
    <w:pPr>
      <w:widowControl/>
      <w:spacing w:before="100" w:beforeAutospacing="1" w:after="100" w:afterAutospacing="1"/>
      <w:jc w:val="center"/>
    </w:pPr>
    <w:rPr>
      <w:rFonts w:hint="eastAsia" w:ascii="黑体" w:hAnsi="Wonder Arial" w:eastAsia="黑体"/>
      <w:b/>
      <w:bCs/>
      <w:sz w:val="24"/>
      <w:szCs w:val="24"/>
    </w:rPr>
  </w:style>
  <w:style w:type="paragraph" w:customStyle="1" w:styleId="804">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5">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06">
    <w:name w:val="TOC 标题2"/>
    <w:basedOn w:val="66"/>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807">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8">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09">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10">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811">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12">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1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14">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15">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6">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17">
    <w:name w:val="Style Heading 3H31.1.1标题 3Level 3 Headlevel_3PIM 3h3sect1.2...."/>
    <w:basedOn w:val="67"/>
    <w:qFormat/>
    <w:uiPriority w:val="0"/>
    <w:pPr>
      <w:spacing w:before="120" w:after="120" w:line="360" w:lineRule="auto"/>
      <w:ind w:left="720" w:hanging="720"/>
    </w:pPr>
    <w:rPr>
      <w:rFonts w:eastAsia="黑体"/>
      <w:sz w:val="24"/>
      <w:szCs w:val="20"/>
    </w:rPr>
  </w:style>
  <w:style w:type="paragraph" w:customStyle="1" w:styleId="818">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1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b/>
      <w:bCs/>
      <w:color w:val="000000"/>
      <w:sz w:val="20"/>
      <w:szCs w:val="20"/>
    </w:rPr>
  </w:style>
  <w:style w:type="paragraph" w:customStyle="1" w:styleId="820">
    <w:name w:val="列表格式"/>
    <w:basedOn w:val="88"/>
    <w:qFormat/>
    <w:uiPriority w:val="0"/>
    <w:pPr>
      <w:tabs>
        <w:tab w:val="left" w:pos="780"/>
      </w:tabs>
      <w:spacing w:line="360" w:lineRule="auto"/>
      <w:ind w:left="0" w:firstLine="200"/>
    </w:pPr>
  </w:style>
  <w:style w:type="paragraph" w:customStyle="1" w:styleId="821">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0"/>
      <w:szCs w:val="20"/>
    </w:rPr>
  </w:style>
  <w:style w:type="paragraph" w:customStyle="1" w:styleId="823">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24">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2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b/>
      <w:bCs/>
      <w:sz w:val="20"/>
      <w:szCs w:val="20"/>
    </w:rPr>
  </w:style>
  <w:style w:type="paragraph" w:customStyle="1" w:styleId="826">
    <w:name w:val="DLP正文"/>
    <w:basedOn w:val="1"/>
    <w:qFormat/>
    <w:uiPriority w:val="0"/>
    <w:pPr>
      <w:ind w:firstLine="473"/>
    </w:pPr>
    <w:rPr>
      <w:rFonts w:hAnsi="宋体"/>
    </w:rPr>
  </w:style>
  <w:style w:type="paragraph" w:customStyle="1" w:styleId="827">
    <w:name w:val="xl31"/>
    <w:basedOn w:val="1"/>
    <w:qFormat/>
    <w:uiPriority w:val="0"/>
    <w:pPr>
      <w:widowControl/>
      <w:spacing w:before="100" w:beforeAutospacing="1" w:after="100" w:afterAutospacing="1"/>
      <w:jc w:val="left"/>
    </w:pPr>
    <w:rPr>
      <w:rFonts w:ascii="Tahoma" w:hAnsi="Tahoma" w:eastAsia="Wonder Arial" w:cs="Tahoma"/>
      <w:sz w:val="16"/>
      <w:szCs w:val="16"/>
    </w:rPr>
  </w:style>
  <w:style w:type="paragraph" w:customStyle="1" w:styleId="828">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29">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0">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31">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32">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833">
    <w:name w:val="正文首行缩进1"/>
    <w:basedOn w:val="1"/>
    <w:qFormat/>
    <w:uiPriority w:val="0"/>
    <w:pPr>
      <w:spacing w:line="360" w:lineRule="auto"/>
      <w:ind w:firstLine="420"/>
    </w:pPr>
    <w:rPr>
      <w:rFonts w:ascii="Arial" w:hAnsi="Arial"/>
      <w:sz w:val="20"/>
      <w:szCs w:val="21"/>
    </w:rPr>
  </w:style>
  <w:style w:type="paragraph" w:customStyle="1" w:styleId="834">
    <w:name w:val="列出段落4"/>
    <w:basedOn w:val="1"/>
    <w:qFormat/>
    <w:uiPriority w:val="0"/>
    <w:pPr>
      <w:ind w:firstLine="420"/>
    </w:pPr>
    <w:rPr>
      <w:rFonts w:ascii="Calibri" w:hAnsi="Calibri"/>
    </w:rPr>
  </w:style>
  <w:style w:type="paragraph" w:customStyle="1" w:styleId="835">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36">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37">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8">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9">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0">
    <w:name w:val="正文 首行缩进:  2 字符 Char"/>
    <w:basedOn w:val="1"/>
    <w:qFormat/>
    <w:uiPriority w:val="0"/>
    <w:pPr>
      <w:spacing w:line="360" w:lineRule="auto"/>
      <w:ind w:firstLine="480"/>
    </w:pPr>
    <w:rPr>
      <w:rFonts w:cs="宋体"/>
      <w:sz w:val="24"/>
      <w:szCs w:val="20"/>
    </w:rPr>
  </w:style>
  <w:style w:type="paragraph" w:customStyle="1" w:styleId="841">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2">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43">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44">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45">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46">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84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olor w:val="000000"/>
      <w:sz w:val="20"/>
      <w:szCs w:val="20"/>
    </w:rPr>
  </w:style>
  <w:style w:type="paragraph" w:customStyle="1" w:styleId="848">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9">
    <w:name w:val="正文缩进1"/>
    <w:basedOn w:val="1"/>
    <w:qFormat/>
    <w:uiPriority w:val="0"/>
    <w:pPr>
      <w:ind w:firstLine="420"/>
    </w:pPr>
    <w:rPr>
      <w:szCs w:val="20"/>
    </w:rPr>
  </w:style>
  <w:style w:type="paragraph" w:customStyle="1" w:styleId="850">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85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852">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53">
    <w:name w:val="GP正文(无首行缩进)"/>
    <w:basedOn w:val="1"/>
    <w:qFormat/>
    <w:uiPriority w:val="0"/>
    <w:pPr>
      <w:spacing w:line="360" w:lineRule="auto"/>
      <w:ind w:firstLine="480"/>
      <w:jc w:val="left"/>
    </w:pPr>
    <w:rPr>
      <w:rFonts w:hAnsi="宋体"/>
      <w:sz w:val="24"/>
      <w:szCs w:val="24"/>
    </w:rPr>
  </w:style>
  <w:style w:type="paragraph" w:customStyle="1" w:styleId="854">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5">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856">
    <w:name w:val="正文首行缩进2"/>
    <w:basedOn w:val="1"/>
    <w:qFormat/>
    <w:uiPriority w:val="0"/>
    <w:pPr>
      <w:spacing w:line="360" w:lineRule="auto"/>
      <w:ind w:firstLine="420"/>
    </w:pPr>
    <w:rPr>
      <w:rFonts w:ascii="Arial" w:hAnsi="Arial"/>
      <w:sz w:val="20"/>
      <w:szCs w:val="21"/>
    </w:rPr>
  </w:style>
  <w:style w:type="paragraph" w:customStyle="1" w:styleId="857">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8">
    <w:name w:val="正文文本 31"/>
    <w:basedOn w:val="1"/>
    <w:qFormat/>
    <w:uiPriority w:val="0"/>
    <w:rPr>
      <w:rFonts w:ascii="仿宋_GB2312" w:hAnsi="Arial" w:eastAsia="仿宋_GB2312"/>
      <w:sz w:val="32"/>
      <w:szCs w:val="20"/>
    </w:rPr>
  </w:style>
  <w:style w:type="paragraph" w:customStyle="1" w:styleId="859">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60">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1">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2">
    <w:name w:val="正文(首行缩进)"/>
    <w:basedOn w:val="1"/>
    <w:qFormat/>
    <w:uiPriority w:val="0"/>
    <w:pPr>
      <w:spacing w:line="360" w:lineRule="auto"/>
      <w:ind w:firstLine="480"/>
      <w:jc w:val="left"/>
    </w:pPr>
    <w:rPr>
      <w:rFonts w:ascii="楷体_GB2312" w:hAnsi="宋体" w:eastAsia="楷体_GB2312"/>
      <w:color w:val="000000"/>
      <w:sz w:val="24"/>
      <w:szCs w:val="24"/>
    </w:rPr>
  </w:style>
  <w:style w:type="paragraph" w:customStyle="1" w:styleId="863">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4">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5">
    <w:name w:val="Table Paragraph"/>
    <w:basedOn w:val="1"/>
    <w:qFormat/>
    <w:uiPriority w:val="1"/>
    <w:pPr>
      <w:jc w:val="left"/>
    </w:pPr>
    <w:rPr>
      <w:rFonts w:ascii="Calibri" w:hAnsi="Calibri" w:cs="黑体"/>
      <w:sz w:val="22"/>
      <w:lang w:eastAsia="en-US"/>
    </w:rPr>
  </w:style>
  <w:style w:type="paragraph" w:customStyle="1" w:styleId="866">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eastAsia="Wonder Arial"/>
      <w:sz w:val="20"/>
      <w:szCs w:val="20"/>
    </w:rPr>
  </w:style>
  <w:style w:type="paragraph" w:customStyle="1" w:styleId="8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2"/>
    </w:rPr>
  </w:style>
  <w:style w:type="paragraph" w:customStyle="1" w:styleId="868">
    <w:name w:val="二级标题"/>
    <w:basedOn w:val="40"/>
    <w:qFormat/>
    <w:uiPriority w:val="0"/>
    <w:pPr>
      <w:keepNext w:val="0"/>
      <w:keepLines w:val="0"/>
      <w:tabs>
        <w:tab w:val="left" w:pos="0"/>
      </w:tabs>
      <w:spacing w:before="0" w:after="0" w:line="360" w:lineRule="auto"/>
      <w:jc w:val="left"/>
    </w:pPr>
    <w:rPr>
      <w:rFonts w:ascii="宋体" w:hAnsi="宋体" w:eastAsia="宋体" w:cs="Times New Roman"/>
      <w:bCs w:val="0"/>
      <w:sz w:val="32"/>
      <w:szCs w:val="21"/>
    </w:rPr>
  </w:style>
  <w:style w:type="paragraph" w:customStyle="1" w:styleId="869">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70">
    <w:name w:val="正文段"/>
    <w:basedOn w:val="1"/>
    <w:qFormat/>
    <w:uiPriority w:val="0"/>
    <w:pPr>
      <w:widowControl/>
      <w:spacing w:after="240" w:line="360" w:lineRule="atLeast"/>
      <w:ind w:firstLine="454"/>
    </w:pPr>
    <w:rPr>
      <w:rFonts w:ascii="宋体"/>
      <w:sz w:val="24"/>
      <w:szCs w:val="20"/>
    </w:rPr>
  </w:style>
  <w:style w:type="paragraph" w:customStyle="1" w:styleId="871">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Wonder Arial" w:eastAsia="黑体"/>
      <w:sz w:val="20"/>
      <w:szCs w:val="20"/>
    </w:rPr>
  </w:style>
  <w:style w:type="paragraph" w:customStyle="1" w:styleId="873">
    <w:name w:val="22h222heading2hiddenhead"/>
    <w:basedOn w:val="1"/>
    <w:qFormat/>
    <w:uiPriority w:val="0"/>
    <w:pPr>
      <w:widowControl/>
      <w:spacing w:before="100" w:beforeAutospacing="1" w:after="100" w:afterAutospacing="1"/>
      <w:jc w:val="left"/>
    </w:pPr>
    <w:rPr>
      <w:rFonts w:ascii="宋体" w:hAnsi="宋体" w:cs="宋体"/>
      <w:sz w:val="24"/>
      <w:szCs w:val="24"/>
    </w:rPr>
  </w:style>
  <w:style w:type="paragraph" w:customStyle="1" w:styleId="874">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5">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6">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7">
    <w:name w:val="_Style 5"/>
    <w:basedOn w:val="1"/>
    <w:qFormat/>
    <w:uiPriority w:val="0"/>
    <w:rPr>
      <w:szCs w:val="24"/>
    </w:rPr>
  </w:style>
  <w:style w:type="paragraph" w:customStyle="1" w:styleId="878">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2"/>
    </w:rPr>
  </w:style>
  <w:style w:type="paragraph" w:customStyle="1" w:styleId="880">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1">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82">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sz w:val="20"/>
      <w:szCs w:val="20"/>
    </w:rPr>
  </w:style>
  <w:style w:type="paragraph" w:customStyle="1" w:styleId="883">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4">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5">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86">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批注主题1"/>
    <w:basedOn w:val="96"/>
    <w:next w:val="96"/>
    <w:qFormat/>
    <w:uiPriority w:val="0"/>
    <w:rPr>
      <w:rFonts w:ascii="Calibri" w:hAnsi="Calibri"/>
      <w:b/>
      <w:bCs/>
    </w:rPr>
  </w:style>
  <w:style w:type="paragraph" w:customStyle="1" w:styleId="888">
    <w:name w:val="文档正文"/>
    <w:basedOn w:val="1"/>
    <w:qFormat/>
    <w:uiPriority w:val="99"/>
    <w:pPr>
      <w:spacing w:line="312" w:lineRule="atLeast"/>
      <w:ind w:firstLine="567"/>
    </w:pPr>
    <w:rPr>
      <w:rFonts w:ascii="励字仿宋GB" w:eastAsia="励字仿宋GB"/>
      <w:sz w:val="28"/>
      <w:szCs w:val="20"/>
    </w:rPr>
  </w:style>
  <w:style w:type="paragraph" w:customStyle="1" w:styleId="88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olor w:val="000000"/>
      <w:sz w:val="20"/>
      <w:szCs w:val="20"/>
    </w:rPr>
  </w:style>
  <w:style w:type="paragraph" w:customStyle="1" w:styleId="890">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91">
    <w:name w:val="样式 标题 2标题 2 Char Char子子系统子系统1子系统2子系统3子系统4子系统11子系统21子系统..."/>
    <w:basedOn w:val="40"/>
    <w:qFormat/>
    <w:uiPriority w:val="0"/>
    <w:pPr>
      <w:tabs>
        <w:tab w:val="left" w:pos="360"/>
      </w:tabs>
      <w:spacing w:before="0" w:after="0" w:line="240" w:lineRule="auto"/>
      <w:ind w:left="786" w:hanging="360"/>
      <w:jc w:val="both"/>
    </w:pPr>
    <w:rPr>
      <w:rFonts w:eastAsia="黑体" w:cs="Times New Roman"/>
      <w:bCs w:val="0"/>
      <w:sz w:val="30"/>
      <w:szCs w:val="20"/>
    </w:rPr>
  </w:style>
  <w:style w:type="paragraph" w:customStyle="1" w:styleId="892">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szCs w:val="21"/>
    </w:rPr>
  </w:style>
  <w:style w:type="paragraph" w:customStyle="1" w:styleId="893">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894">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895">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896">
    <w:name w:val="表1"/>
    <w:basedOn w:val="1"/>
    <w:qFormat/>
    <w:uiPriority w:val="0"/>
    <w:pPr>
      <w:widowControl/>
      <w:spacing w:line="360" w:lineRule="auto"/>
      <w:ind w:left="900"/>
      <w:jc w:val="center"/>
    </w:pPr>
    <w:rPr>
      <w:rFonts w:ascii="Verdana" w:hAnsi="Verdana" w:cs="宋体"/>
      <w:szCs w:val="28"/>
    </w:rPr>
  </w:style>
  <w:style w:type="paragraph" w:customStyle="1" w:styleId="897">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8">
    <w:name w:val="正文文本缩进2"/>
    <w:basedOn w:val="1"/>
    <w:qFormat/>
    <w:uiPriority w:val="0"/>
    <w:pPr>
      <w:ind w:firstLine="645"/>
    </w:pPr>
    <w:rPr>
      <w:rFonts w:ascii="楷体_GB2312" w:eastAsia="楷体_GB2312"/>
      <w:sz w:val="32"/>
      <w:szCs w:val="20"/>
    </w:rPr>
  </w:style>
  <w:style w:type="paragraph" w:customStyle="1" w:styleId="899">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0">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01">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02">
    <w:name w:val="DLP3.4.4"/>
    <w:basedOn w:val="1"/>
    <w:qFormat/>
    <w:uiPriority w:val="0"/>
    <w:pPr>
      <w:keepNext/>
      <w:keepLines/>
      <w:spacing w:before="260" w:after="260" w:line="416" w:lineRule="auto"/>
      <w:ind w:left="1820" w:hanging="420"/>
      <w:outlineLvl w:val="2"/>
    </w:pPr>
    <w:rPr>
      <w:b/>
      <w:sz w:val="30"/>
      <w:szCs w:val="24"/>
    </w:rPr>
  </w:style>
  <w:style w:type="paragraph" w:customStyle="1" w:styleId="903">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904">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0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906">
    <w:name w:val="_Style 2"/>
    <w:basedOn w:val="1"/>
    <w:qFormat/>
    <w:uiPriority w:val="34"/>
    <w:pPr>
      <w:ind w:firstLine="420"/>
    </w:pPr>
    <w:rPr>
      <w:rFonts w:ascii="Calibri" w:hAnsi="Calibri"/>
    </w:rPr>
  </w:style>
  <w:style w:type="paragraph" w:customStyle="1" w:styleId="907">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8">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9">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91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911">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912">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3">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sz w:val="20"/>
      <w:szCs w:val="20"/>
    </w:rPr>
  </w:style>
  <w:style w:type="paragraph" w:customStyle="1" w:styleId="914">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5">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917">
    <w:name w:val="列出段落2"/>
    <w:basedOn w:val="1"/>
    <w:qFormat/>
    <w:uiPriority w:val="99"/>
    <w:pPr>
      <w:ind w:firstLine="420"/>
    </w:pPr>
    <w:rPr>
      <w:rFonts w:ascii="Calibri" w:hAnsi="Calibri" w:eastAsia="仿宋_GB2312"/>
      <w:sz w:val="24"/>
    </w:rPr>
  </w:style>
  <w:style w:type="paragraph" w:customStyle="1" w:styleId="918">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9">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0">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921">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2">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3">
    <w:name w:val="中等深浅网格 2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924">
    <w:name w:val="正文符号编号"/>
    <w:basedOn w:val="1"/>
    <w:qFormat/>
    <w:uiPriority w:val="0"/>
    <w:pPr>
      <w:tabs>
        <w:tab w:val="left" w:pos="1395"/>
      </w:tabs>
      <w:spacing w:line="360" w:lineRule="auto"/>
      <w:ind w:left="1395" w:hanging="600"/>
    </w:pPr>
    <w:rPr>
      <w:sz w:val="24"/>
      <w:szCs w:val="20"/>
    </w:rPr>
  </w:style>
  <w:style w:type="paragraph" w:customStyle="1" w:styleId="925">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6">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7">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8">
    <w:name w:val="正文文本缩进 22"/>
    <w:basedOn w:val="1"/>
    <w:qFormat/>
    <w:uiPriority w:val="0"/>
    <w:pPr>
      <w:spacing w:line="520" w:lineRule="exact"/>
      <w:ind w:firstLine="560"/>
    </w:pPr>
    <w:rPr>
      <w:rFonts w:ascii="楷体_GB2312" w:eastAsia="楷体_GB2312"/>
      <w:sz w:val="28"/>
      <w:szCs w:val="28"/>
    </w:rPr>
  </w:style>
  <w:style w:type="paragraph" w:customStyle="1" w:styleId="929">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930">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1">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2">
    <w:name w:val="表头"/>
    <w:basedOn w:val="1"/>
    <w:qFormat/>
    <w:uiPriority w:val="0"/>
    <w:pPr>
      <w:spacing w:line="360" w:lineRule="auto"/>
      <w:jc w:val="center"/>
    </w:pPr>
    <w:rPr>
      <w:rFonts w:ascii="Calibri" w:hAnsi="Calibri" w:cs="宋体"/>
      <w:b/>
      <w:bCs/>
      <w:color w:val="000000"/>
      <w:szCs w:val="20"/>
    </w:rPr>
  </w:style>
  <w:style w:type="paragraph" w:customStyle="1" w:styleId="933">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4">
    <w:name w:val="列出段落3"/>
    <w:basedOn w:val="1"/>
    <w:qFormat/>
    <w:uiPriority w:val="0"/>
    <w:pPr>
      <w:ind w:firstLine="420"/>
    </w:pPr>
    <w:rPr>
      <w:rFonts w:ascii="Calibri" w:hAnsi="Calibri"/>
    </w:rPr>
  </w:style>
  <w:style w:type="paragraph" w:customStyle="1" w:styleId="935">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36">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7">
    <w:name w:val="功能配置 2"/>
    <w:basedOn w:val="1"/>
    <w:qFormat/>
    <w:uiPriority w:val="0"/>
    <w:pPr>
      <w:tabs>
        <w:tab w:val="left" w:pos="420"/>
      </w:tabs>
      <w:spacing w:line="360" w:lineRule="auto"/>
      <w:ind w:left="105"/>
    </w:pPr>
    <w:rPr>
      <w:rFonts w:ascii="宋体" w:hAnsi="宋体"/>
      <w:b/>
      <w:bCs/>
      <w:szCs w:val="24"/>
    </w:rPr>
  </w:style>
  <w:style w:type="paragraph" w:customStyle="1" w:styleId="938">
    <w:name w:val="TOC 标题11"/>
    <w:basedOn w:val="66"/>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939">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0">
    <w:name w:val="2级段落"/>
    <w:basedOn w:val="1"/>
    <w:next w:val="1"/>
    <w:qFormat/>
    <w:uiPriority w:val="0"/>
    <w:pPr>
      <w:ind w:firstLine="200"/>
      <w:outlineLvl w:val="1"/>
    </w:pPr>
    <w:rPr>
      <w:rFonts w:ascii="楷体" w:hAnsi="楷体" w:eastAsia="楷体"/>
      <w:sz w:val="32"/>
      <w:szCs w:val="32"/>
    </w:rPr>
  </w:style>
  <w:style w:type="paragraph" w:customStyle="1" w:styleId="941">
    <w:name w:val="标准"/>
    <w:basedOn w:val="1"/>
    <w:qFormat/>
    <w:uiPriority w:val="0"/>
    <w:pPr>
      <w:spacing w:line="240" w:lineRule="atLeast"/>
    </w:pPr>
    <w:rPr>
      <w:rFonts w:eastAsia="楷体_GB2312"/>
      <w:sz w:val="24"/>
      <w:szCs w:val="20"/>
    </w:rPr>
  </w:style>
  <w:style w:type="paragraph" w:customStyle="1" w:styleId="942">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3">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4">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45">
    <w:name w:val="表格文字"/>
    <w:basedOn w:val="1"/>
    <w:qFormat/>
    <w:uiPriority w:val="0"/>
    <w:pPr>
      <w:tabs>
        <w:tab w:val="left" w:pos="7740"/>
      </w:tabs>
      <w:jc w:val="center"/>
    </w:pPr>
    <w:rPr>
      <w:rFonts w:ascii="宋体" w:hAnsi="宋体"/>
      <w:sz w:val="24"/>
      <w:szCs w:val="20"/>
    </w:rPr>
  </w:style>
  <w:style w:type="paragraph" w:customStyle="1" w:styleId="946">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947">
    <w:name w:val="01-标书-标题1"/>
    <w:next w:val="1"/>
    <w:qFormat/>
    <w:uiPriority w:val="0"/>
    <w:pPr>
      <w:spacing w:line="360" w:lineRule="auto"/>
      <w:outlineLvl w:val="0"/>
    </w:pPr>
    <w:rPr>
      <w:rFonts w:hint="default" w:ascii="黑体" w:hAnsi="宋体" w:eastAsia="黑体" w:cs="Times New Roman"/>
      <w:sz w:val="44"/>
      <w:szCs w:val="32"/>
      <w:lang w:val="en-US" w:eastAsia="zh-CN" w:bidi="ar-SA"/>
    </w:rPr>
  </w:style>
  <w:style w:type="paragraph" w:customStyle="1" w:styleId="94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949">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950">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951">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952">
    <w:name w:val="正文缩近"/>
    <w:basedOn w:val="1"/>
    <w:qFormat/>
    <w:uiPriority w:val="0"/>
    <w:pPr>
      <w:spacing w:line="360" w:lineRule="auto"/>
      <w:ind w:firstLine="200"/>
    </w:pPr>
    <w:rPr>
      <w:sz w:val="24"/>
      <w:szCs w:val="24"/>
    </w:rPr>
  </w:style>
  <w:style w:type="paragraph" w:customStyle="1" w:styleId="95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olor w:val="000000"/>
      <w:sz w:val="20"/>
      <w:szCs w:val="20"/>
    </w:rPr>
  </w:style>
  <w:style w:type="paragraph" w:customStyle="1" w:styleId="954">
    <w:name w:val="Style Heading 2 节 + Before:  0.35 line After:  0.35 line"/>
    <w:basedOn w:val="679"/>
    <w:qFormat/>
    <w:uiPriority w:val="0"/>
    <w:pPr>
      <w:tabs>
        <w:tab w:val="clear" w:pos="576"/>
      </w:tabs>
      <w:spacing w:before="109" w:after="109"/>
      <w:ind w:left="0" w:firstLine="0"/>
    </w:pPr>
    <w:rPr>
      <w:szCs w:val="20"/>
    </w:rPr>
  </w:style>
  <w:style w:type="paragraph" w:customStyle="1" w:styleId="955">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6">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957">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olor w:val="000000"/>
      <w:sz w:val="20"/>
      <w:szCs w:val="20"/>
    </w:rPr>
  </w:style>
  <w:style w:type="paragraph" w:customStyle="1" w:styleId="958">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9">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960">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1">
    <w:name w:val="表格文字1"/>
    <w:basedOn w:val="1"/>
    <w:qFormat/>
    <w:uiPriority w:val="0"/>
    <w:pPr>
      <w:jc w:val="center"/>
    </w:pPr>
    <w:rPr>
      <w:rFonts w:ascii="宋体" w:hAnsi="宋体"/>
      <w:szCs w:val="21"/>
      <w:shd w:val="clear" w:color="auto" w:fill="FFFFFF"/>
    </w:rPr>
  </w:style>
  <w:style w:type="paragraph" w:customStyle="1" w:styleId="962">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963">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6">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967">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968">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9">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0">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971">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972">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3">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sz w:val="20"/>
      <w:szCs w:val="20"/>
    </w:rPr>
  </w:style>
  <w:style w:type="paragraph" w:customStyle="1" w:styleId="975">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6">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977">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8">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979">
    <w:name w:val="日期1"/>
    <w:basedOn w:val="1"/>
    <w:next w:val="1"/>
    <w:qFormat/>
    <w:uiPriority w:val="0"/>
    <w:pPr>
      <w:spacing w:line="312" w:lineRule="atLeast"/>
      <w:jc w:val="right"/>
    </w:pPr>
    <w:rPr>
      <w:rFonts w:ascii="黑体" w:eastAsia="黑体"/>
      <w:b/>
      <w:sz w:val="32"/>
      <w:szCs w:val="20"/>
    </w:rPr>
  </w:style>
  <w:style w:type="paragraph" w:customStyle="1" w:styleId="980">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98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b/>
      <w:bCs/>
      <w:color w:val="000000"/>
      <w:sz w:val="20"/>
      <w:szCs w:val="20"/>
    </w:rPr>
  </w:style>
  <w:style w:type="paragraph" w:customStyle="1" w:styleId="982">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83">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4">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character" w:customStyle="1" w:styleId="985">
    <w:name w:val="NormalCharacter1"/>
    <w:link w:val="1"/>
    <w:semiHidden/>
    <w:qFormat/>
    <w:uiPriority w:val="0"/>
  </w:style>
  <w:style w:type="paragraph" w:customStyle="1" w:styleId="986">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987">
    <w:name w:val="font112"/>
    <w:link w:val="1"/>
    <w:qFormat/>
    <w:uiPriority w:val="0"/>
    <w:rPr>
      <w:rFonts w:ascii="Times New Roman" w:hAnsi="Times New Roman" w:cs="Times New Roman"/>
      <w:color w:val="000000"/>
      <w:sz w:val="20"/>
      <w:szCs w:val="20"/>
      <w:u w:val="none"/>
    </w:rPr>
  </w:style>
  <w:style w:type="character" w:customStyle="1" w:styleId="988">
    <w:name w:val="未处理的提及1"/>
    <w:link w:val="1"/>
    <w:unhideWhenUsed/>
    <w:qFormat/>
    <w:uiPriority w:val="99"/>
    <w:rPr>
      <w:color w:val="605E5C"/>
      <w:shd w:val="clear" w:color="auto" w:fill="E1DFDD"/>
    </w:rPr>
  </w:style>
  <w:style w:type="paragraph" w:customStyle="1" w:styleId="989">
    <w:name w:val="表文"/>
    <w:qFormat/>
    <w:uiPriority w:val="0"/>
    <w:pPr>
      <w:widowControl w:val="0"/>
      <w:jc w:val="center"/>
    </w:pPr>
    <w:rPr>
      <w:rFonts w:hint="default" w:ascii="宋体" w:hAnsi="宋体" w:eastAsia="仿宋" w:cs="Times New Roman"/>
      <w:lang w:val="en-US" w:eastAsia="zh-CN" w:bidi="ar-SA"/>
    </w:rPr>
  </w:style>
  <w:style w:type="paragraph" w:customStyle="1" w:styleId="990">
    <w:name w:val="正文（缩进）"/>
    <w:basedOn w:val="1"/>
    <w:next w:val="1"/>
    <w:qFormat/>
    <w:uiPriority w:val="0"/>
    <w:pPr>
      <w:ind w:firstLine="480"/>
    </w:pPr>
    <w:rPr>
      <w:rFonts w:ascii="Calibri" w:hAnsi="Calibri"/>
    </w:rPr>
  </w:style>
  <w:style w:type="table" w:customStyle="1" w:styleId="991">
    <w:name w:val="Table Normal"/>
    <w:unhideWhenUsed/>
    <w:qFormat/>
    <w:uiPriority w:val="0"/>
  </w:style>
  <w:style w:type="paragraph" w:customStyle="1" w:styleId="992">
    <w:name w:val="0正文"/>
    <w:basedOn w:val="1"/>
    <w:unhideWhenUsed/>
    <w:qFormat/>
    <w:uiPriority w:val="0"/>
    <w:pPr>
      <w:ind w:firstLine="480"/>
      <w:jc w:val="left"/>
    </w:pPr>
    <w:rPr>
      <w:rFonts w:ascii="宋体" w:hAnsi="宋体"/>
      <w:szCs w:val="24"/>
    </w:rPr>
  </w:style>
  <w:style w:type="paragraph" w:customStyle="1" w:styleId="993">
    <w:name w:val="修订11"/>
    <w:unhideWhenUsed/>
    <w:qFormat/>
    <w:uiPriority w:val="99"/>
    <w:rPr>
      <w:rFonts w:hint="default" w:ascii="Times New Roman" w:hAnsi="Times New Roman" w:eastAsia="宋体" w:cs="Times New Roman"/>
      <w:sz w:val="21"/>
      <w:szCs w:val="24"/>
      <w:lang w:val="en-US" w:eastAsia="zh-CN" w:bidi="ar-SA"/>
    </w:rPr>
  </w:style>
  <w:style w:type="paragraph" w:customStyle="1" w:styleId="994">
    <w:name w:val="纯文本11"/>
    <w:basedOn w:val="1"/>
    <w:qFormat/>
    <w:uiPriority w:val="0"/>
    <w:rPr>
      <w:rFonts w:ascii="宋体" w:hAnsi="Courier New"/>
      <w:sz w:val="20"/>
      <w:szCs w:val="21"/>
    </w:rPr>
  </w:style>
  <w:style w:type="paragraph" w:customStyle="1" w:styleId="995">
    <w:name w:val="DAS正文"/>
    <w:basedOn w:val="1"/>
    <w:qFormat/>
    <w:uiPriority w:val="0"/>
    <w:pPr>
      <w:spacing w:line="360" w:lineRule="auto"/>
      <w:ind w:right="181" w:firstLine="480"/>
    </w:pPr>
    <w:rPr>
      <w:rFonts w:ascii="Verdana" w:hAnsi="Verdana"/>
    </w:rPr>
  </w:style>
  <w:style w:type="paragraph" w:customStyle="1" w:styleId="996">
    <w:name w:val="TableOfAuthoring"/>
    <w:basedOn w:val="1"/>
    <w:next w:val="1"/>
    <w:qFormat/>
    <w:uiPriority w:val="0"/>
    <w:pPr>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Company>
  <Pages>72</Pages>
  <Words>17924</Words>
  <Characters>19013</Characters>
  <TotalTime>2</TotalTime>
  <ScaleCrop>false</ScaleCrop>
  <LinksUpToDate>false</LinksUpToDate>
  <CharactersWithSpaces>19327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2023-03-17T02:13:00Z</dcterms:created>
  <dc:creator>赵</dc:creator>
  <cp:lastModifiedBy>WPS_1741579836</cp:lastModifiedBy>
  <dcterms:modified xsi:type="dcterms:W3CDTF">2026-03-31T02:11:05Z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eyJoZGlkIjoiMTFlMzQ3ZjM5ZDEwMWU3MTIyOWIwMzcxNzYwYzU3ZTgiLCJ1c2VySWQiOiIxNjg0NDg5MjE4In0=</vt:lpwstr>
  </property>
  <property fmtid="{D5CDD505-2E9C-101B-9397-08002B2CF9AE}" pid="3" name="KSOProductBuildVer">
    <vt:lpwstr>2052-12.1.0.25225</vt:lpwstr>
  </property>
  <property fmtid="{D5CDD505-2E9C-101B-9397-08002B2CF9AE}" pid="4" name="ICV">
    <vt:lpwstr>7BEE9C105E3D4B2593FF989978D97773_13</vt:lpwstr>
  </property>
</Properties>
</file>