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8724" w:leader="none"/>
        </w:tabs>
        <w:rPr>
          <w:rFonts w:ascii="Arial" w:hAnsi="Arial" w:eastAsia="黑体"/>
          <w:b/>
          <w:bCs/>
          <w:sz w:val="84"/>
          <w:szCs w:val="24"/>
        </w:rPr>
      </w:pPr>
      <w:r>
        <w:rPr>
          <w:rFonts w:ascii="Arial" w:hAnsi="Arial" w:eastAsia="黑体"/>
          <w:b/>
          <w:bCs/>
          <w:sz w:val="84"/>
          <w:szCs w:val="24"/>
        </w:rPr>
        <w:tab/>
      </w:r>
      <w:r/>
    </w:p>
    <w:p>
      <w:pPr>
        <w:pStyle w:val="961"/>
        <w:ind w:firstLine="0"/>
        <w:jc w:val="center"/>
        <w:rPr>
          <w:rFonts w:eastAsia="黑体"/>
          <w:b/>
          <w:bCs/>
          <w:sz w:val="84"/>
          <w:lang w:eastAsia="zh-CN"/>
        </w:rPr>
        <w:outlineLvl w:val="0"/>
      </w:pPr>
      <w:r>
        <w:rPr>
          <w:rFonts w:hint="eastAsia" w:eastAsia="黑体"/>
          <w:b/>
          <w:bCs/>
          <w:sz w:val="84"/>
          <w:lang w:eastAsia="zh-CN"/>
        </w:rPr>
        <w:t xml:space="preserve">竞争性谈判文件</w:t>
      </w:r>
      <w:r/>
    </w:p>
    <w:p>
      <w:pPr>
        <w:ind w:firstLine="1606"/>
        <w:rPr>
          <w:rFonts w:ascii="Arial" w:hAnsi="Arial"/>
          <w:b/>
          <w:bCs/>
          <w:sz w:val="32"/>
          <w:szCs w:val="24"/>
          <w:u w:val="single"/>
        </w:rPr>
        <w:outlineLvl w:val="0"/>
      </w:pPr>
      <w:r>
        <w:rPr>
          <w:rFonts w:hint="eastAsia" w:ascii="Arial" w:hAnsi="Arial"/>
          <w:b/>
          <w:bCs/>
          <w:sz w:val="32"/>
          <w:szCs w:val="24"/>
        </w:rPr>
        <w:t xml:space="preserve">项目名称：</w:t>
      </w:r>
      <w:r>
        <w:rPr>
          <w:b/>
          <w:sz w:val="32"/>
          <w:szCs w:val="32"/>
        </w:rPr>
        <w:t xml:space="preserve">紫金山实验室智能网联汽车安全溯源仿真平台开发服务</w:t>
      </w:r>
      <w:r>
        <w:rPr>
          <w:rFonts w:hint="eastAsia"/>
          <w:b/>
          <w:sz w:val="32"/>
          <w:szCs w:val="32"/>
        </w:rPr>
        <w:t xml:space="preserve"> </w:t>
      </w:r>
      <w:r/>
    </w:p>
    <w:p>
      <w:pPr>
        <w:ind w:firstLine="1606"/>
        <w:jc w:val="left"/>
        <w:spacing w:before="120" w:after="120" w:line="360" w:lineRule="auto"/>
        <w:rPr>
          <w:b/>
          <w:sz w:val="32"/>
          <w:szCs w:val="32"/>
        </w:rPr>
        <w:outlineLvl w:val="0"/>
      </w:pPr>
      <w:r>
        <w:rPr>
          <w:rFonts w:hint="eastAsia" w:ascii="Arial" w:hAnsi="Arial"/>
          <w:b/>
          <w:bCs/>
          <w:sz w:val="32"/>
          <w:szCs w:val="24"/>
        </w:rPr>
        <w:t xml:space="preserve">项目编号：</w:t>
      </w:r>
      <w:r>
        <w:rPr>
          <w:b/>
          <w:sz w:val="32"/>
          <w:szCs w:val="32"/>
        </w:rPr>
        <w:t xml:space="preserve">JSZC-320100-JZCG-T2026-0073</w:t>
      </w:r>
      <w:r/>
    </w:p>
    <w:p>
      <w:pPr>
        <w:jc w:val="center"/>
        <w:rPr>
          <w:b/>
          <w:sz w:val="30"/>
          <w:szCs w:val="30"/>
          <w:highlight w:val="yellow"/>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highlight w:val="yellow"/>
        </w:rPr>
      </w:pPr>
      <w:r>
        <w:rPr>
          <w:rFonts w:hint="eastAsia" w:ascii="宋体" w:hAnsi="宋体"/>
          <w:sz w:val="24"/>
          <w:szCs w:val="24"/>
          <w:highlight w:val="yellow"/>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61"/>
        <w:ind w:firstLine="0"/>
        <w:jc w:val="center"/>
        <w:rPr>
          <w:b/>
          <w:bCs/>
          <w:sz w:val="32"/>
          <w:lang w:eastAsia="zh-CN"/>
        </w:rPr>
        <w:outlineLvl w:val="0"/>
      </w:pPr>
      <w:r>
        <w:rPr>
          <w:rFonts w:hint="eastAsia"/>
          <w:b/>
          <w:bCs/>
          <w:sz w:val="32"/>
          <w:lang w:eastAsia="zh-CN"/>
        </w:rPr>
        <w:t xml:space="preserve">南京市公共资源交易中心</w:t>
      </w:r>
      <w:r/>
    </w:p>
    <w:p>
      <w:pPr>
        <w:jc w:val="center"/>
        <w:rPr>
          <w:b/>
          <w:sz w:val="32"/>
          <w:szCs w:val="32"/>
        </w:rPr>
        <w:outlineLvl w:val="0"/>
      </w:pPr>
      <w:r>
        <w:rPr>
          <w:rFonts w:hint="eastAsia"/>
          <w:b/>
          <w:sz w:val="32"/>
          <w:szCs w:val="32"/>
        </w:rPr>
        <w:t xml:space="preserve">2026</w:t>
      </w:r>
      <w:r>
        <w:rPr>
          <w:rFonts w:hint="eastAsia"/>
          <w:b/>
          <w:sz w:val="32"/>
          <w:szCs w:val="32"/>
        </w:rPr>
        <w:t xml:space="preserve">年</w:t>
      </w:r>
      <w:r>
        <w:rPr>
          <w:rFonts w:hint="eastAsia"/>
          <w:b/>
          <w:sz w:val="32"/>
          <w:szCs w:val="32"/>
        </w:rPr>
        <w:t xml:space="preserve">4</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谈判邀请……</w:t>
      </w:r>
      <w:r>
        <w:rPr>
          <w:rFonts w:hint="eastAsia" w:ascii="黑体" w:hAnsi="宋体" w:eastAsia="黑体"/>
          <w:sz w:val="36"/>
          <w:szCs w:val="21"/>
        </w:rPr>
        <w:t xml:space="preserve">………………………………</w:t>
      </w:r>
      <w:r>
        <w:rPr>
          <w:rFonts w:hint="eastAsia" w:ascii="黑体" w:hAnsi="宋体" w:eastAsia="黑体"/>
          <w:sz w:val="36"/>
          <w:szCs w:val="21"/>
        </w:rPr>
        <w:t xml:space="preserve"> 2</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供应商须知……</w:t>
      </w:r>
      <w:r>
        <w:rPr>
          <w:rFonts w:hint="eastAsia" w:ascii="黑体" w:hAnsi="宋体" w:eastAsia="黑体"/>
          <w:sz w:val="36"/>
          <w:szCs w:val="21"/>
        </w:rPr>
        <w:t xml:space="preserve">……………………………</w:t>
      </w:r>
      <w:r>
        <w:rPr>
          <w:rFonts w:hint="eastAsia" w:ascii="黑体" w:hAnsi="宋体" w:eastAsia="黑体"/>
          <w:sz w:val="36"/>
          <w:szCs w:val="21"/>
        </w:rPr>
        <w:t xml:space="preserve"> 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18</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成交标准……</w:t>
      </w:r>
      <w:r>
        <w:rPr>
          <w:rFonts w:hint="eastAsia" w:ascii="黑体" w:hAnsi="宋体" w:eastAsia="黑体"/>
          <w:sz w:val="36"/>
          <w:szCs w:val="21"/>
        </w:rPr>
        <w:t xml:space="preserve">………………………………</w:t>
      </w:r>
      <w:r>
        <w:rPr>
          <w:rFonts w:hint="eastAsia" w:ascii="黑体" w:hAnsi="宋体" w:eastAsia="黑体"/>
          <w:sz w:val="36"/>
          <w:szCs w:val="21"/>
        </w:rPr>
        <w:t xml:space="preserve">24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响应文件格式……</w:t>
      </w:r>
      <w:r>
        <w:rPr>
          <w:rFonts w:hint="eastAsia" w:ascii="黑体" w:hAnsi="宋体" w:eastAsia="黑体"/>
          <w:sz w:val="36"/>
          <w:szCs w:val="21"/>
        </w:rPr>
        <w:t xml:space="preserve">…………………………</w:t>
      </w:r>
      <w:r>
        <w:rPr>
          <w:rFonts w:hint="eastAsia" w:ascii="黑体" w:hAnsi="宋体" w:eastAsia="黑体"/>
          <w:sz w:val="36"/>
          <w:szCs w:val="21"/>
        </w:rPr>
        <w:t xml:space="preserve">25</w:t>
      </w:r>
      <w:r/>
    </w:p>
    <w:p>
      <w:pPr>
        <w:spacing w:line="480" w:lineRule="auto"/>
        <w:rPr>
          <w:szCs w:val="21"/>
        </w:rPr>
      </w:pPr>
      <w:r>
        <w:rPr>
          <w:szCs w:val="21"/>
        </w:rPr>
      </w:r>
      <w:r/>
    </w:p>
    <w:p>
      <w:pPr>
        <w:rPr>
          <w:szCs w:val="21"/>
        </w:rPr>
      </w:pPr>
      <w:r>
        <w:rPr>
          <w:szCs w:val="21"/>
        </w:rPr>
      </w:r>
      <w:r/>
    </w:p>
    <w:p>
      <w:pPr>
        <w:rPr>
          <w:szCs w:val="21"/>
        </w:rPr>
      </w:pPr>
      <w:r>
        <w:rPr>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p>
    <w:p>
      <w:pPr>
        <w:ind w:firstLine="480"/>
        <w:rPr>
          <w:rFonts w:hint="eastAsia" w:ascii="宋体" w:hAnsi="宋体"/>
          <w:sz w:val="24"/>
          <w:szCs w:val="24"/>
        </w:rPr>
      </w:pPr>
      <w:r/>
      <w:bookmarkStart w:id="1" w:name="_Toc28359002"/>
      <w:r/>
      <w:bookmarkStart w:id="2" w:name="_Toc35393790"/>
      <w:r/>
      <w:bookmarkStart w:id="3" w:name="_Toc35393621"/>
      <w:r/>
      <w:bookmarkStart w:id="4" w:name="_Toc38985263"/>
      <w:r/>
      <w:bookmarkStart w:id="5" w:name="_Toc28359079"/>
      <w:r/>
      <w:bookmarkStart w:id="6" w:name="_Hlk24379207"/>
      <w:r/>
      <w:bookmarkStart w:id="7" w:name="_Toc28359080"/>
      <w:r/>
      <w:bookmarkStart w:id="8" w:name="_Toc28359003"/>
      <w:r/>
      <w:bookmarkStart w:id="9" w:name="_Toc35393622"/>
      <w:r/>
      <w:bookmarkStart w:id="10" w:name="_Toc35393791"/>
      <w:r/>
      <w:bookmarkStart w:id="11" w:name="_Toc38985264"/>
      <w:r/>
      <w:r/>
    </w:p>
    <w:p>
      <w:pPr>
        <w:ind w:firstLine="480"/>
        <w:rPr>
          <w:rFonts w:hint="eastAsia" w:ascii="宋体" w:hAnsi="宋体"/>
          <w:sz w:val="24"/>
          <w:szCs w:val="24"/>
        </w:rPr>
      </w:pPr>
      <w:r>
        <w:rPr>
          <w:rFonts w:hint="eastAsia" w:ascii="宋体" w:hAnsi="宋体"/>
          <w:sz w:val="24"/>
          <w:szCs w:val="24"/>
        </w:rPr>
        <w:t xml:space="preserve">受紫金山实验室委托，南京市公共资源交易中心（以下简称“交易中心”）就</w:t>
      </w:r>
      <w:r>
        <w:rPr>
          <w:rFonts w:ascii="宋体" w:hAnsi="宋体"/>
          <w:sz w:val="24"/>
          <w:szCs w:val="24"/>
        </w:rPr>
        <w:t xml:space="preserve">紫金山实验室智能网联汽车安全溯源仿真平台开发服务</w:t>
      </w:r>
      <w:r>
        <w:rPr>
          <w:rFonts w:hint="eastAsia" w:ascii="宋体" w:hAnsi="宋体"/>
          <w:sz w:val="24"/>
          <w:szCs w:val="24"/>
        </w:rPr>
        <w:t xml:space="preserve">进行竞争性谈判采购，欢迎符合条件的供应商参加谈判。</w:t>
      </w:r>
      <w:r/>
    </w:p>
    <w:p>
      <w:pPr>
        <w:ind w:firstLine="600"/>
        <w:rPr>
          <w:rFonts w:hint="eastAsia" w:ascii="方正黑体_GBK" w:hAnsi="方正黑体_GBK" w:eastAsia="方正黑体_GBK" w:cs="方正黑体_GBK"/>
          <w:sz w:val="30"/>
          <w:szCs w:val="30"/>
        </w:rPr>
        <w:outlineLvl w:val="1"/>
      </w:pPr>
      <w:r>
        <w:rPr>
          <w:rFonts w:hint="eastAsia" w:ascii="方正黑体_GBK" w:hAnsi="方正黑体_GBK" w:eastAsia="方正黑体_GBK" w:cs="方正黑体_GBK"/>
          <w:sz w:val="30"/>
          <w:szCs w:val="30"/>
        </w:rPr>
        <w:t xml:space="preserve">一、项目基本情况</w:t>
      </w:r>
      <w:bookmarkEnd w:id="1"/>
      <w:r/>
      <w:bookmarkEnd w:id="2"/>
      <w:r/>
      <w:bookmarkEnd w:id="3"/>
      <w:r/>
      <w:bookmarkEnd w:id="4"/>
      <w:r/>
      <w:bookmarkEnd w:id="5"/>
      <w:r/>
      <w:r/>
    </w:p>
    <w:p>
      <w:pPr>
        <w:ind w:firstLine="480"/>
        <w:rPr>
          <w:rFonts w:hint="eastAsia" w:ascii="宋体" w:hAnsi="宋体"/>
          <w:color w:val="0000ff"/>
          <w:sz w:val="24"/>
          <w:szCs w:val="24"/>
        </w:rPr>
      </w:pPr>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JSZC-320100-JZCG-T2026-0073</w:t>
      </w:r>
      <w:r/>
    </w:p>
    <w:p>
      <w:pPr>
        <w:ind w:firstLine="480"/>
        <w:rPr>
          <w:rFonts w:hint="eastAsia" w:ascii="宋体" w:hAnsi="宋体"/>
          <w:sz w:val="24"/>
          <w:szCs w:val="24"/>
        </w:rPr>
      </w:pPr>
      <w:r>
        <w:rPr>
          <w:rFonts w:hint="eastAsia" w:ascii="宋体" w:hAnsi="宋体"/>
          <w:sz w:val="24"/>
          <w:szCs w:val="24"/>
        </w:rPr>
        <w:t xml:space="preserve">2.项目名称：</w:t>
      </w:r>
      <w:bookmarkEnd w:id="6"/>
      <w:r>
        <w:rPr>
          <w:rFonts w:hint="eastAsia" w:ascii="宋体" w:hAnsi="宋体"/>
          <w:sz w:val="24"/>
          <w:szCs w:val="24"/>
        </w:rPr>
        <w:t xml:space="preserve">紫金山实验室智能网联汽车安全溯源仿真平台开发服务</w:t>
      </w:r>
      <w:r/>
    </w:p>
    <w:p>
      <w:pPr>
        <w:ind w:firstLine="480"/>
        <w:rPr>
          <w:rFonts w:hint="eastAsia" w:ascii="宋体" w:hAnsi="宋体"/>
          <w:sz w:val="24"/>
          <w:szCs w:val="24"/>
        </w:rPr>
      </w:pPr>
      <w:r>
        <w:rPr>
          <w:rFonts w:hint="eastAsia" w:ascii="宋体" w:hAnsi="宋体"/>
          <w:sz w:val="24"/>
          <w:szCs w:val="24"/>
        </w:rPr>
        <w:t xml:space="preserve">3.预算金额：19</w:t>
      </w:r>
      <w:r>
        <w:rPr>
          <w:rFonts w:hint="eastAsia" w:ascii="宋体" w:hAnsi="宋体" w:cs="宋体"/>
          <w:sz w:val="24"/>
          <w:szCs w:val="24"/>
        </w:rPr>
        <w:t xml:space="preserve">万元</w:t>
      </w:r>
      <w:r/>
    </w:p>
    <w:p>
      <w:pPr>
        <w:ind w:firstLine="480"/>
        <w:rPr>
          <w:rFonts w:hint="eastAsia" w:ascii="宋体" w:hAnsi="宋体" w:cs="宋体"/>
          <w:sz w:val="24"/>
          <w:szCs w:val="24"/>
        </w:rPr>
      </w:pPr>
      <w:r>
        <w:rPr>
          <w:rFonts w:hint="eastAsia" w:ascii="宋体" w:hAnsi="宋体"/>
          <w:sz w:val="24"/>
          <w:szCs w:val="24"/>
        </w:rPr>
        <w:t xml:space="preserve">4.最高限价：19万元</w:t>
      </w:r>
      <w:r>
        <w:rPr>
          <w:rFonts w:hint="eastAsia" w:ascii="宋体" w:hAnsi="宋体" w:cs="宋体"/>
          <w:sz w:val="24"/>
          <w:szCs w:val="24"/>
        </w:rPr>
        <w:t xml:space="preserve">。</w:t>
      </w:r>
      <w:r/>
    </w:p>
    <w:p>
      <w:pPr>
        <w:ind w:firstLine="480"/>
        <w:spacing w:line="264" w:lineRule="auto"/>
        <w:widowControl/>
        <w:rPr>
          <w:rFonts w:hint="eastAsia" w:ascii="宋体" w:hAnsi="宋体"/>
          <w:sz w:val="24"/>
          <w:szCs w:val="24"/>
          <w:u w:val="single"/>
        </w:rPr>
      </w:pPr>
      <w:r>
        <w:rPr>
          <w:rFonts w:hint="eastAsia" w:ascii="宋体" w:hAnsi="宋体"/>
          <w:sz w:val="24"/>
          <w:szCs w:val="24"/>
        </w:rPr>
        <w:t xml:space="preserve">5.采购需求（简介）：本项目旨在采购一套“智能网联汽车安全溯源仿真平台”，用于模拟真实交通环境，测试和验证自动驾驶算法在复杂场景下的安全性，并溯源信息安全风险向物理风险的传导机理。</w:t>
      </w:r>
      <w:r>
        <w:rPr>
          <w:rFonts w:hint="eastAsia" w:ascii="宋体" w:hAnsi="宋体" w:cs="宋体"/>
          <w:sz w:val="24"/>
          <w:szCs w:val="24"/>
        </w:rPr>
        <w:t xml:space="preserve">（详细内容见</w:t>
      </w:r>
      <w:r>
        <w:rPr>
          <w:rFonts w:hint="eastAsia" w:ascii="宋体" w:hAnsi="宋体" w:cs="宋体"/>
          <w:sz w:val="24"/>
          <w:szCs w:val="24"/>
        </w:rPr>
        <w:t xml:space="preserve">本谈判</w:t>
      </w:r>
      <w:r>
        <w:rPr>
          <w:rFonts w:hint="eastAsia" w:ascii="宋体" w:hAnsi="宋体" w:cs="宋体"/>
          <w:sz w:val="24"/>
          <w:szCs w:val="24"/>
        </w:rPr>
        <w:t xml:space="preserve">文件第四章） </w:t>
      </w:r>
      <w:r/>
    </w:p>
    <w:p>
      <w:pPr>
        <w:ind w:firstLine="480"/>
        <w:rPr>
          <w:rFonts w:hint="eastAsia" w:ascii="宋体" w:hAnsi="宋体"/>
          <w:sz w:val="24"/>
          <w:szCs w:val="24"/>
        </w:rPr>
      </w:pPr>
      <w:r>
        <w:rPr>
          <w:rFonts w:hint="eastAsia" w:ascii="宋体" w:hAnsi="宋体"/>
          <w:sz w:val="24"/>
          <w:szCs w:val="24"/>
        </w:rPr>
        <w:t xml:space="preserve">6.合同履行期限：</w:t>
      </w:r>
      <w:r>
        <w:rPr>
          <w:rFonts w:ascii="宋体" w:hAnsi="宋体" w:cs="宋体"/>
          <w:sz w:val="24"/>
          <w:szCs w:val="24"/>
        </w:rPr>
        <w:t xml:space="preserve">合同签订后</w:t>
      </w:r>
      <w:r>
        <w:rPr>
          <w:rFonts w:hint="eastAsia" w:ascii="宋体" w:hAnsi="宋体" w:cs="宋体"/>
          <w:bCs/>
          <w:sz w:val="24"/>
          <w:szCs w:val="24"/>
        </w:rPr>
        <w:t xml:space="preserve">40</w:t>
      </w:r>
      <w:r>
        <w:rPr>
          <w:rFonts w:ascii="宋体" w:hAnsi="宋体" w:cs="宋体"/>
          <w:sz w:val="24"/>
          <w:szCs w:val="24"/>
        </w:rPr>
        <w:t xml:space="preserve">天内交付</w:t>
      </w:r>
      <w:r>
        <w:rPr>
          <w:rFonts w:hint="eastAsia" w:ascii="宋体" w:hAnsi="宋体" w:cs="宋体"/>
          <w:sz w:val="24"/>
          <w:szCs w:val="24"/>
        </w:rPr>
        <w:t xml:space="preserve">。</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本项目不接受联合体参加谈判。</w:t>
      </w:r>
      <w:bookmarkEnd w:id="7"/>
      <w:r/>
      <w:bookmarkEnd w:id="8"/>
      <w:r/>
      <w:bookmarkEnd w:id="9"/>
      <w:r/>
      <w:bookmarkEnd w:id="10"/>
      <w:r/>
      <w:bookmarkEnd w:id="11"/>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8359081"/>
      <w:r/>
      <w:bookmarkStart w:id="13" w:name="_Toc38985265"/>
      <w:r/>
      <w:bookmarkStart w:id="14" w:name="_Toc35393792"/>
      <w:r/>
      <w:bookmarkStart w:id="15" w:name="_Toc35393623"/>
      <w:r/>
      <w:bookmarkStart w:id="16" w:name="_Toc28359004"/>
      <w:r>
        <w:rPr>
          <w:rFonts w:hint="eastAsia" w:ascii="方正黑体_GBK" w:hAnsi="方正黑体_GBK" w:eastAsia="方正黑体_GBK" w:cs="方正黑体_GBK"/>
          <w:b w:val="0"/>
          <w:bCs w:val="0"/>
          <w:sz w:val="30"/>
          <w:szCs w:val="30"/>
        </w:rPr>
        <w:t xml:space="preserve">二、申请人的资格要求</w:t>
      </w:r>
      <w:r/>
    </w:p>
    <w:p>
      <w:pPr>
        <w:ind w:firstLine="480"/>
        <w:rPr>
          <w:rFonts w:hint="eastAsia" w:ascii="宋体" w:hAnsi="宋体" w:cs="宋体"/>
          <w:sz w:val="24"/>
          <w:szCs w:val="24"/>
        </w:rPr>
        <w:outlineLvl w:val="2"/>
      </w:pPr>
      <w:r>
        <w:rPr>
          <w:rFonts w:hint="eastAsia" w:ascii="宋体" w:hAnsi="宋体" w:cs="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ind w:firstLine="480"/>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w:t>
      </w:r>
      <w:r/>
    </w:p>
    <w:p>
      <w:pPr>
        <w:ind w:firstLine="480"/>
        <w:rPr>
          <w:rFonts w:hint="eastAsia" w:ascii="宋体" w:hAnsi="宋体"/>
          <w:sz w:val="24"/>
          <w:szCs w:val="24"/>
        </w:rPr>
        <w:outlineLvl w:val="2"/>
      </w:pPr>
      <w:r>
        <w:rPr>
          <w:rFonts w:hint="eastAsia" w:ascii="宋体" w:hAnsi="宋体" w:cs="宋体"/>
          <w:sz w:val="24"/>
          <w:szCs w:val="24"/>
        </w:rPr>
        <w:t xml:space="preserve">（二）本项目的特定资格要求：</w:t>
      </w:r>
      <w:r>
        <w:rPr>
          <w:rFonts w:hint="eastAsia" w:cs="宋体"/>
          <w:bCs/>
          <w:sz w:val="24"/>
          <w:szCs w:val="24"/>
        </w:rPr>
        <w:t xml:space="preserve">无</w:t>
      </w:r>
      <w:r/>
    </w:p>
    <w:p>
      <w:pPr>
        <w:ind w:firstLine="480"/>
        <w:rPr>
          <w:rFonts w:hint="eastAsia" w:ascii="宋体" w:hAnsi="宋体" w:cs="宋体"/>
          <w:sz w:val="24"/>
          <w:szCs w:val="24"/>
        </w:rPr>
        <w:outlineLvl w:val="2"/>
      </w:pPr>
      <w:r>
        <w:rPr>
          <w:rFonts w:hint="eastAsia" w:ascii="宋体" w:hAnsi="宋体" w:cs="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t xml:space="preserve">谈判文件</w:t>
      </w:r>
      <w:r/>
    </w:p>
    <w:p>
      <w:pPr>
        <w:ind w:firstLine="480"/>
        <w:rPr>
          <w:rFonts w:hint="eastAsia" w:ascii="宋体" w:hAnsi="宋体"/>
          <w:sz w:val="24"/>
          <w:szCs w:val="24"/>
        </w:rPr>
      </w:pPr>
      <w:r/>
      <w:bookmarkStart w:id="17" w:name="_Toc28359082"/>
      <w:r/>
      <w:bookmarkStart w:id="18" w:name="_Toc28359005"/>
      <w:r/>
      <w:bookmarkStart w:id="19" w:name="_Toc35393624"/>
      <w:r/>
      <w:bookmarkStart w:id="20" w:name="_Toc38985266"/>
      <w:r/>
      <w:bookmarkStart w:id="21" w:name="_Toc35393793"/>
      <w:r>
        <w:rPr>
          <w:rFonts w:hint="eastAsia" w:ascii="宋体" w:hAnsi="宋体"/>
          <w:sz w:val="24"/>
          <w:szCs w:val="24"/>
        </w:rPr>
        <w:t xml:space="preserve">1.时间：自谈判文件公告发布之日起。</w:t>
      </w:r>
      <w:r/>
    </w:p>
    <w:p>
      <w:pPr>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17"/>
      <w:r/>
      <w:bookmarkEnd w:id="18"/>
      <w:r>
        <w:rPr>
          <w:rFonts w:hint="eastAsia" w:ascii="方正黑体_GBK" w:hAnsi="方正黑体_GBK" w:eastAsia="方正黑体_GBK" w:cs="方正黑体_GBK"/>
          <w:b w:val="0"/>
          <w:bCs w:val="0"/>
          <w:sz w:val="30"/>
          <w:szCs w:val="30"/>
        </w:rPr>
        <w:t xml:space="preserve">响应文件截止时间</w:t>
      </w:r>
      <w:bookmarkEnd w:id="19"/>
      <w:r/>
      <w:bookmarkEnd w:id="20"/>
      <w:r/>
      <w:bookmarkEnd w:id="21"/>
      <w:r/>
      <w:r/>
    </w:p>
    <w:p>
      <w:pPr>
        <w:ind w:firstLine="480"/>
        <w:rPr>
          <w:rFonts w:hint="eastAsia" w:ascii="宋体" w:hAnsi="宋体"/>
          <w:sz w:val="24"/>
          <w:szCs w:val="24"/>
        </w:rPr>
      </w:pPr>
      <w:r/>
      <w:bookmarkStart w:id="22" w:name="_Toc28359084"/>
      <w:r/>
      <w:bookmarkStart w:id="23" w:name="_Toc28359007"/>
      <w:r/>
      <w:bookmarkStart w:id="24" w:name="_Toc35393794"/>
      <w:r/>
      <w:bookmarkStart w:id="25" w:name="_Toc38985267"/>
      <w:r/>
      <w:bookmarkStart w:id="26" w:name="_Toc35393625"/>
      <w:r>
        <w:rPr>
          <w:rFonts w:hint="eastAsia" w:ascii="宋体" w:hAnsi="宋体"/>
          <w:sz w:val="24"/>
          <w:szCs w:val="24"/>
        </w:rPr>
        <w:t xml:space="preserve">2026年04月16日09时30分（北京时间）。</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2"/>
      <w:r/>
      <w:bookmarkEnd w:id="23"/>
      <w:r/>
      <w:bookmarkEnd w:id="24"/>
      <w:r/>
      <w:bookmarkEnd w:id="25"/>
      <w:r/>
      <w:bookmarkEnd w:id="26"/>
      <w:r/>
      <w:r/>
    </w:p>
    <w:p>
      <w:pPr>
        <w:ind w:firstLine="480"/>
        <w:rPr>
          <w:rFonts w:hint="eastAsia" w:ascii="宋体" w:hAnsi="宋体"/>
          <w:sz w:val="24"/>
          <w:szCs w:val="24"/>
        </w:rPr>
      </w:pPr>
      <w:r/>
      <w:bookmarkStart w:id="27" w:name="_Toc35393795"/>
      <w:r/>
      <w:bookmarkStart w:id="28" w:name="_Toc35393626"/>
      <w:r/>
      <w:bookmarkStart w:id="29" w:name="_Toc38985268"/>
      <w:r>
        <w:rPr>
          <w:rFonts w:hint="eastAsia" w:ascii="宋体" w:hAnsi="宋体"/>
          <w:sz w:val="24"/>
          <w:szCs w:val="24"/>
        </w:rPr>
        <w:t xml:space="preserve">公告期限为自本公告发布之日起3个工作日。</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27"/>
      <w:r/>
      <w:bookmarkEnd w:id="28"/>
      <w:r/>
      <w:bookmarkEnd w:id="29"/>
      <w:r/>
      <w:r/>
    </w:p>
    <w:p>
      <w:pPr>
        <w:ind w:firstLine="480"/>
        <w:tabs>
          <w:tab w:val="left" w:pos="900" w:leader="none"/>
        </w:tabs>
        <w:rPr>
          <w:rFonts w:hint="eastAsia" w:ascii="宋体" w:hAnsi="宋体"/>
          <w:bCs/>
          <w:sz w:val="24"/>
          <w:szCs w:val="24"/>
        </w:rPr>
      </w:pPr>
      <w:r/>
      <w:bookmarkStart w:id="30" w:name="_Toc28359085"/>
      <w:r/>
      <w:bookmarkStart w:id="31" w:name="_Toc38985269"/>
      <w:r/>
      <w:bookmarkStart w:id="32" w:name="_Toc28359008"/>
      <w:r/>
      <w:bookmarkStart w:id="33" w:name="_Toc35393796"/>
      <w:r/>
      <w:bookmarkStart w:id="34" w:name="_Toc35393627"/>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ind w:firstLine="480"/>
        <w:tabs>
          <w:tab w:val="left" w:pos="900" w:leader="none"/>
        </w:tabs>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p>
    <w:p>
      <w:pPr>
        <w:ind w:firstLine="480"/>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系统参与政府采购项目（苏</w:t>
      </w:r>
      <w:r>
        <w:rPr>
          <w:rFonts w:hint="eastAsia" w:ascii="宋体" w:hAnsi="宋体" w:cs="宋体"/>
          <w:sz w:val="24"/>
          <w:szCs w:val="24"/>
        </w:rPr>
        <w:t xml:space="preserve">采云</w:t>
      </w:r>
      <w:r>
        <w:rPr>
          <w:rFonts w:hint="eastAsia" w:ascii="宋体" w:hAnsi="宋体" w:cs="宋体"/>
          <w:sz w:val="24"/>
          <w:szCs w:val="24"/>
        </w:rPr>
        <w:t xml:space="preserve">系统登录页详见“江苏政府采购网”首页底部），需要办理江苏省政府采购数字证书及电子签章（详见苏</w:t>
      </w:r>
      <w:r>
        <w:rPr>
          <w:rFonts w:hint="eastAsia" w:ascii="宋体" w:hAnsi="宋体" w:cs="宋体"/>
          <w:sz w:val="24"/>
          <w:szCs w:val="24"/>
        </w:rPr>
        <w:t xml:space="preserve">采云</w:t>
      </w:r>
      <w:r>
        <w:rPr>
          <w:rFonts w:hint="eastAsia" w:ascii="宋体" w:hAnsi="宋体" w:cs="宋体"/>
          <w:sz w:val="24"/>
          <w:szCs w:val="24"/>
        </w:rPr>
        <w:t xml:space="preserve">系统登录页“CA办理指南”），进行苏</w:t>
      </w:r>
      <w:r>
        <w:rPr>
          <w:rFonts w:hint="eastAsia" w:ascii="宋体" w:hAnsi="宋体" w:cs="宋体"/>
          <w:sz w:val="24"/>
          <w:szCs w:val="24"/>
        </w:rPr>
        <w:t xml:space="preserve">采云</w:t>
      </w:r>
      <w:r>
        <w:rPr>
          <w:rFonts w:hint="eastAsia" w:ascii="宋体" w:hAnsi="宋体" w:cs="宋体"/>
          <w:sz w:val="24"/>
          <w:szCs w:val="24"/>
        </w:rPr>
        <w:t xml:space="preserve">系统注册并制作上传电子响应文件（苏</w:t>
      </w:r>
      <w:r>
        <w:rPr>
          <w:rFonts w:hint="eastAsia" w:ascii="宋体" w:hAnsi="宋体" w:cs="宋体"/>
          <w:sz w:val="24"/>
          <w:szCs w:val="24"/>
        </w:rPr>
        <w:t xml:space="preserve">采云</w:t>
      </w:r>
      <w:r>
        <w:rPr>
          <w:rFonts w:hint="eastAsia" w:ascii="宋体" w:hAnsi="宋体" w:cs="宋体"/>
          <w:sz w:val="24"/>
          <w:szCs w:val="24"/>
        </w:rPr>
        <w:t xml:space="preserve">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ind w:firstLine="482"/>
        <w:spacing w:line="60"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5</w:t>
      </w:r>
      <w:r>
        <w:rPr>
          <w:rFonts w:hint="eastAsia" w:ascii="宋体" w:hAnsi="宋体" w:cs="宋体"/>
          <w:b/>
          <w:bCs/>
          <w:color w:val="000000" w:themeColor="text1"/>
          <w:sz w:val="24"/>
          <w:szCs w:val="24"/>
        </w:rPr>
        <w:t xml:space="preserve">.</w:t>
      </w:r>
      <w:r>
        <w:rPr>
          <w:rFonts w:ascii="宋体" w:hAnsi="宋体" w:cs="宋体"/>
          <w:b/>
          <w:color w:val="000000" w:themeColor="text1"/>
          <w:sz w:val="24"/>
        </w:rPr>
        <w:t xml:space="preserve">供应商（含潜在供应商）对采购方式、采购需求、供应商资格条件、成交标准、合同文本的询问或质疑向采购人提出，由采购人负责答复。供应商对上述事项以外的询问或质疑向交易中心提出，由交易中心负责答复。</w:t>
      </w:r>
      <w:r/>
    </w:p>
    <w:p>
      <w:pPr>
        <w:ind w:firstLine="480"/>
        <w:spacing w:line="252" w:lineRule="auto"/>
        <w:widowControl/>
        <w:rPr>
          <w:rFonts w:hint="eastAsia" w:ascii="宋体" w:hAnsi="宋体"/>
          <w:sz w:val="24"/>
        </w:rPr>
      </w:pPr>
      <w:r>
        <w:rPr>
          <w:rFonts w:hint="eastAsia" w:ascii="宋体" w:hAnsi="宋体"/>
          <w:sz w:val="24"/>
        </w:rPr>
        <w:t xml:space="preserve">采购人《质疑函》收件人：宋工，收件地址：江苏省南京市江宁区</w:t>
      </w:r>
      <w:r>
        <w:rPr>
          <w:rFonts w:hint="eastAsia" w:ascii="宋体" w:hAnsi="宋体"/>
          <w:sz w:val="24"/>
        </w:rPr>
        <w:t xml:space="preserve">秣</w:t>
      </w:r>
      <w:r>
        <w:rPr>
          <w:rFonts w:hint="eastAsia" w:ascii="宋体" w:hAnsi="宋体"/>
          <w:sz w:val="24"/>
        </w:rPr>
        <w:t xml:space="preserve">周东路9号，联系电话：19951683616。</w:t>
      </w:r>
      <w:r/>
    </w:p>
    <w:p>
      <w:pPr>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0"/>
      <w:r/>
      <w:bookmarkEnd w:id="31"/>
      <w:r/>
      <w:bookmarkEnd w:id="32"/>
      <w:r/>
      <w:bookmarkEnd w:id="33"/>
      <w:r/>
      <w:bookmarkEnd w:id="34"/>
      <w:r/>
      <w:r/>
    </w:p>
    <w:p>
      <w:pPr>
        <w:ind w:firstLine="480"/>
        <w:rPr>
          <w:rFonts w:hint="eastAsia" w:ascii="宋体" w:hAnsi="宋体"/>
          <w:sz w:val="24"/>
          <w:szCs w:val="24"/>
        </w:rPr>
        <w:outlineLvl w:val="2"/>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w:t>
      </w:r>
      <w:r>
        <w:rPr>
          <w:rFonts w:hint="eastAsia" w:ascii="宋体" w:hAnsi="宋体"/>
          <w:sz w:val="24"/>
        </w:rPr>
        <w:t xml:space="preserve">紫金山实验室</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w:t>
      </w:r>
      <w:r>
        <w:rPr>
          <w:rFonts w:hint="eastAsia" w:ascii="宋体" w:hAnsi="宋体"/>
          <w:sz w:val="24"/>
          <w:szCs w:val="24"/>
        </w:rPr>
        <w:t xml:space="preserve">秣</w:t>
      </w:r>
      <w:r>
        <w:rPr>
          <w:rFonts w:hint="eastAsia" w:ascii="宋体" w:hAnsi="宋体"/>
          <w:sz w:val="24"/>
          <w:szCs w:val="24"/>
        </w:rPr>
        <w:t xml:space="preserve">周东</w:t>
      </w:r>
      <w:r>
        <w:rPr>
          <w:rFonts w:hint="eastAsia" w:ascii="宋体" w:hAnsi="宋体" w:cs="宋体"/>
          <w:sz w:val="24"/>
          <w:szCs w:val="24"/>
        </w:rPr>
        <w:t xml:space="preserve">路</w:t>
      </w:r>
      <w:r>
        <w:rPr>
          <w:rFonts w:hint="eastAsia" w:ascii="宋体" w:hAnsi="宋体"/>
          <w:sz w:val="24"/>
          <w:szCs w:val="24"/>
        </w:rPr>
        <w:t xml:space="preserve">9</w:t>
      </w:r>
      <w:r>
        <w:rPr>
          <w:rFonts w:hint="eastAsia" w:ascii="宋体" w:hAnsi="宋体" w:cs="宋体"/>
          <w:sz w:val="24"/>
          <w:szCs w:val="24"/>
        </w:rPr>
        <w:t xml:space="preserve">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联系人：宋先生</w:t>
      </w:r>
      <w:r/>
    </w:p>
    <w:p>
      <w:pPr>
        <w:ind w:firstLine="480"/>
        <w:rPr>
          <w:rFonts w:hint="eastAsia" w:ascii="宋体" w:hAnsi="宋体"/>
          <w:sz w:val="24"/>
          <w:szCs w:val="24"/>
        </w:rPr>
      </w:pPr>
      <w:r>
        <w:rPr>
          <w:rFonts w:hint="eastAsia" w:ascii="宋体" w:hAnsi="宋体"/>
          <w:sz w:val="24"/>
          <w:szCs w:val="24"/>
        </w:rPr>
        <w:t xml:space="preserve">联系电话：19951683616</w:t>
      </w:r>
      <w:r/>
    </w:p>
    <w:p>
      <w:pPr>
        <w:ind w:firstLine="480"/>
        <w:rPr>
          <w:rFonts w:hint="eastAsia" w:ascii="宋体" w:hAnsi="宋体"/>
          <w:sz w:val="24"/>
          <w:szCs w:val="24"/>
        </w:rPr>
        <w:outlineLvl w:val="2"/>
      </w:pPr>
      <w:r/>
      <w:bookmarkStart w:id="35" w:name="_Toc28359009"/>
      <w:r/>
      <w:bookmarkStart w:id="36" w:name="_Toc28359086"/>
      <w:r>
        <w:rPr>
          <w:rFonts w:hint="eastAsia" w:ascii="宋体" w:hAnsi="宋体"/>
          <w:sz w:val="24"/>
          <w:szCs w:val="24"/>
        </w:rPr>
        <w:t xml:space="preserve">2.交易中心</w:t>
      </w:r>
      <w:bookmarkEnd w:id="35"/>
      <w:r/>
      <w:bookmarkEnd w:id="36"/>
      <w:r/>
      <w:r/>
    </w:p>
    <w:p>
      <w:pPr>
        <w:ind w:firstLine="480"/>
        <w:rPr>
          <w:rFonts w:hint="eastAsia" w:ascii="宋体" w:hAnsi="宋体"/>
          <w:sz w:val="24"/>
          <w:szCs w:val="24"/>
        </w:rPr>
      </w:pPr>
      <w:r>
        <w:rPr>
          <w:rFonts w:hint="eastAsia" w:ascii="宋体" w:hAnsi="宋体"/>
          <w:sz w:val="24"/>
          <w:szCs w:val="24"/>
        </w:rPr>
        <w:t xml:space="preserve">地　址：南京市建</w:t>
      </w:r>
      <w:r>
        <w:rPr>
          <w:rFonts w:hint="eastAsia" w:ascii="宋体" w:hAnsi="宋体"/>
          <w:sz w:val="24"/>
          <w:szCs w:val="24"/>
        </w:rPr>
        <w:t xml:space="preserve">邺</w:t>
      </w:r>
      <w:r>
        <w:rPr>
          <w:rFonts w:hint="eastAsia" w:ascii="宋体" w:hAnsi="宋体"/>
          <w:sz w:val="24"/>
          <w:szCs w:val="24"/>
        </w:rPr>
        <w:t xml:space="preserve">区江东中路265号  </w:t>
      </w:r>
      <w:r/>
    </w:p>
    <w:p>
      <w:pPr>
        <w:ind w:firstLine="480"/>
        <w:rPr>
          <w:rFonts w:hint="eastAsia" w:ascii="宋体" w:hAnsi="宋体"/>
          <w:sz w:val="24"/>
          <w:szCs w:val="24"/>
        </w:rPr>
      </w:pPr>
      <w:r>
        <w:rPr>
          <w:rFonts w:hint="eastAsia" w:ascii="宋体" w:hAnsi="宋体"/>
          <w:sz w:val="24"/>
          <w:szCs w:val="24"/>
        </w:rPr>
        <w:t xml:space="preserve">联系人：李先生</w:t>
      </w:r>
      <w:r/>
    </w:p>
    <w:p>
      <w:pPr>
        <w:ind w:firstLine="480"/>
        <w:rPr>
          <w:rFonts w:hint="eastAsia" w:ascii="宋体" w:hAnsi="宋体"/>
          <w:sz w:val="24"/>
          <w:szCs w:val="24"/>
        </w:rPr>
      </w:pPr>
      <w:r>
        <w:rPr>
          <w:rFonts w:hint="eastAsia" w:ascii="宋体" w:hAnsi="宋体"/>
          <w:sz w:val="24"/>
          <w:szCs w:val="24"/>
        </w:rPr>
        <w:t xml:space="preserve">联系电话：025-68505735</w:t>
      </w:r>
      <w:r/>
    </w:p>
    <w:p>
      <w:pPr>
        <w:ind w:firstLine="480"/>
        <w:spacing w:line="252" w:lineRule="auto"/>
      </w:pPr>
      <w:r>
        <w:rPr>
          <w:rFonts w:hint="eastAsia" w:ascii="宋体" w:hAnsi="宋体"/>
          <w:sz w:val="24"/>
          <w:szCs w:val="24"/>
        </w:rPr>
        <w:t xml:space="preserve"> </w:t>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outlineLvl w:val="0"/>
      </w:pPr>
      <w:r>
        <w:rPr>
          <w:rFonts w:hint="eastAsia" w:ascii="方正小标宋简体" w:hAnsi="方正小标宋简体" w:eastAsia="方正小标宋简体" w:cs="方正小标宋简体"/>
          <w:color w:val="000000"/>
          <w:sz w:val="36"/>
          <w:szCs w:val="36"/>
        </w:rPr>
        <w:t xml:space="preserve">第二章  供应商须知</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一、总则</w:t>
      </w:r>
      <w:r/>
    </w:p>
    <w:p>
      <w:pPr>
        <w:pStyle w:val="719"/>
        <w:ind w:firstLine="422"/>
        <w:spacing w:before="0" w:after="0" w:line="240" w:lineRule="auto"/>
      </w:pPr>
      <w:r>
        <w:rPr>
          <w:rFonts w:hint="eastAsia" w:ascii="方正楷体_GBK" w:hAnsi="方正楷体_GBK" w:eastAsia="方正楷体_GBK" w:cs="方正楷体_GBK"/>
        </w:rPr>
        <w:t xml:space="preserve">1.采购方式</w:t>
      </w:r>
      <w:r/>
    </w:p>
    <w:p>
      <w:pPr>
        <w:ind w:firstLine="420"/>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719"/>
        <w:ind w:firstLine="422"/>
        <w:spacing w:before="0" w:after="0" w:line="240" w:lineRule="auto"/>
      </w:pPr>
      <w:r>
        <w:rPr>
          <w:rFonts w:hint="eastAsia" w:ascii="方正楷体_GBK" w:hAnsi="方正楷体_GBK" w:eastAsia="方正楷体_GBK" w:cs="方正楷体_GBK"/>
        </w:rPr>
        <w:t xml:space="preserve">2.合格的供应商</w:t>
      </w:r>
      <w:r/>
    </w:p>
    <w:p>
      <w:pPr>
        <w:ind w:firstLine="420"/>
      </w:pPr>
      <w:r>
        <w:rPr>
          <w:rFonts w:hint="eastAsia" w:ascii="宋体" w:hAnsi="宋体"/>
          <w:sz w:val="24"/>
        </w:rPr>
        <w:t xml:space="preserve">2.1 满足采购公告对供应商资格要求的规定。</w:t>
      </w:r>
      <w:r/>
    </w:p>
    <w:p>
      <w:pPr>
        <w:ind w:firstLine="420"/>
      </w:pPr>
      <w:r>
        <w:rPr>
          <w:rFonts w:hint="eastAsia" w:ascii="宋体" w:hAnsi="宋体"/>
          <w:sz w:val="24"/>
        </w:rPr>
        <w:t xml:space="preserve">2.2 满足谈判文件规定的实质性要求和条件。</w:t>
      </w:r>
      <w:r/>
    </w:p>
    <w:p>
      <w:pPr>
        <w:pStyle w:val="719"/>
        <w:ind w:firstLine="422"/>
        <w:spacing w:before="0" w:after="0" w:line="240" w:lineRule="auto"/>
      </w:pPr>
      <w:r>
        <w:rPr>
          <w:rFonts w:hint="eastAsia" w:ascii="方正楷体_GBK" w:hAnsi="方正楷体_GBK" w:eastAsia="方正楷体_GBK" w:cs="方正楷体_GBK"/>
        </w:rPr>
        <w:t xml:space="preserve">3.适用法律</w:t>
      </w:r>
      <w:r/>
    </w:p>
    <w:p>
      <w:pPr>
        <w:ind w:firstLine="420"/>
      </w:pPr>
      <w:r>
        <w:rPr>
          <w:rFonts w:hint="eastAsia" w:ascii="宋体" w:hAnsi="宋体"/>
          <w:sz w:val="24"/>
        </w:rPr>
        <w:t xml:space="preserve">3.1 本次采购及由此产生的合同受中华人民共和国有关的法律法规制约和保护。</w:t>
      </w:r>
      <w:r/>
    </w:p>
    <w:p>
      <w:pPr>
        <w:pStyle w:val="719"/>
        <w:ind w:firstLine="422"/>
        <w:spacing w:before="0" w:after="0" w:line="240" w:lineRule="auto"/>
      </w:pPr>
      <w:r>
        <w:rPr>
          <w:rFonts w:hint="eastAsia" w:ascii="方正楷体_GBK" w:hAnsi="方正楷体_GBK" w:eastAsia="方正楷体_GBK" w:cs="方正楷体_GBK"/>
        </w:rPr>
        <w:t xml:space="preserve">4.谈判费用</w:t>
      </w:r>
      <w:r/>
    </w:p>
    <w:p>
      <w:pPr>
        <w:ind w:firstLine="420"/>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ind w:firstLine="420"/>
      </w:pPr>
      <w:r>
        <w:rPr>
          <w:rFonts w:hint="eastAsia" w:ascii="宋体" w:hAnsi="宋体"/>
          <w:sz w:val="24"/>
        </w:rPr>
        <w:t xml:space="preserve">4.2 本次采购交易中心和采购人不收取谈判文件工本费与成交服务费。</w:t>
      </w:r>
      <w:r/>
    </w:p>
    <w:p>
      <w:pPr>
        <w:pStyle w:val="719"/>
        <w:ind w:firstLine="422"/>
        <w:spacing w:before="0" w:after="0" w:line="240" w:lineRule="auto"/>
      </w:pPr>
      <w:r>
        <w:rPr>
          <w:rFonts w:hint="eastAsia" w:ascii="方正楷体_GBK" w:hAnsi="方正楷体_GBK" w:eastAsia="方正楷体_GBK" w:cs="方正楷体_GBK"/>
        </w:rPr>
        <w:t xml:space="preserve">5.谈判文件的约束力</w:t>
      </w:r>
      <w:r/>
    </w:p>
    <w:p>
      <w:pPr>
        <w:ind w:firstLine="420"/>
      </w:pPr>
      <w:r>
        <w:rPr>
          <w:rFonts w:hint="eastAsia" w:ascii="宋体" w:hAnsi="宋体"/>
          <w:sz w:val="24"/>
        </w:rPr>
        <w:t xml:space="preserve">5.1 供应商一旦参加本项目采购活动，即被认为接受了本文件的规定和约束。</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二、谈判文件</w:t>
      </w:r>
      <w:r/>
    </w:p>
    <w:p>
      <w:pPr>
        <w:pStyle w:val="719"/>
        <w:ind w:firstLine="422"/>
        <w:spacing w:before="0" w:after="0" w:line="240" w:lineRule="auto"/>
      </w:pPr>
      <w:r>
        <w:rPr>
          <w:rFonts w:hint="eastAsia" w:ascii="方正楷体_GBK" w:hAnsi="方正楷体_GBK" w:eastAsia="方正楷体_GBK" w:cs="方正楷体_GBK"/>
        </w:rPr>
        <w:t xml:space="preserve">6.谈判文件构成</w:t>
      </w:r>
      <w:r/>
    </w:p>
    <w:p>
      <w:pPr>
        <w:ind w:firstLine="420"/>
      </w:pPr>
      <w:r>
        <w:rPr>
          <w:rFonts w:hint="eastAsia" w:ascii="宋体" w:hAnsi="宋体"/>
          <w:sz w:val="24"/>
        </w:rPr>
        <w:t xml:space="preserve">6.1 谈判文件由以下部分组成：</w:t>
      </w:r>
      <w:r/>
    </w:p>
    <w:p>
      <w:pPr>
        <w:ind w:firstLine="420"/>
      </w:pPr>
      <w:r>
        <w:rPr>
          <w:rFonts w:hint="eastAsia" w:ascii="宋体" w:hAnsi="宋体"/>
          <w:sz w:val="24"/>
        </w:rPr>
        <w:t xml:space="preserve">（1）谈判邀请</w:t>
      </w:r>
      <w:r/>
    </w:p>
    <w:p>
      <w:pPr>
        <w:ind w:firstLine="420"/>
      </w:pPr>
      <w:r>
        <w:rPr>
          <w:rFonts w:hint="eastAsia" w:ascii="宋体" w:hAnsi="宋体"/>
          <w:sz w:val="24"/>
        </w:rPr>
        <w:t xml:space="preserve">（2）供应商须知</w:t>
      </w:r>
      <w:r/>
    </w:p>
    <w:p>
      <w:pPr>
        <w:ind w:firstLine="420"/>
      </w:pPr>
      <w:r>
        <w:rPr>
          <w:rFonts w:hint="eastAsia" w:ascii="宋体" w:hAnsi="宋体"/>
          <w:sz w:val="24"/>
        </w:rPr>
        <w:t xml:space="preserve">（3）合同文本</w:t>
      </w:r>
      <w:r/>
    </w:p>
    <w:p>
      <w:pPr>
        <w:ind w:firstLine="420"/>
      </w:pPr>
      <w:r>
        <w:rPr>
          <w:rFonts w:hint="eastAsia" w:ascii="宋体" w:hAnsi="宋体"/>
          <w:sz w:val="24"/>
        </w:rPr>
        <w:t xml:space="preserve">（4）采购需求</w:t>
      </w:r>
      <w:r/>
    </w:p>
    <w:p>
      <w:pPr>
        <w:ind w:firstLine="420"/>
      </w:pPr>
      <w:r>
        <w:rPr>
          <w:rFonts w:hint="eastAsia" w:ascii="宋体" w:hAnsi="宋体"/>
          <w:sz w:val="24"/>
        </w:rPr>
        <w:t xml:space="preserve">（5）成交标准</w:t>
      </w:r>
      <w:r/>
    </w:p>
    <w:p>
      <w:pPr>
        <w:ind w:firstLine="420"/>
      </w:pPr>
      <w:r>
        <w:rPr>
          <w:rFonts w:hint="eastAsia" w:ascii="宋体" w:hAnsi="宋体"/>
          <w:sz w:val="24"/>
        </w:rPr>
        <w:t xml:space="preserve">（6）响应文件格式</w:t>
      </w:r>
      <w:r/>
    </w:p>
    <w:p>
      <w:pPr>
        <w:ind w:firstLine="420"/>
      </w:pPr>
      <w:r>
        <w:rPr>
          <w:rFonts w:hint="eastAsia" w:ascii="宋体" w:hAnsi="宋体"/>
          <w:sz w:val="24"/>
        </w:rPr>
        <w:t xml:space="preserve">供应商应仔细检查谈判文件是否齐全，如有</w:t>
      </w:r>
      <w:r>
        <w:rPr>
          <w:rFonts w:hint="eastAsia" w:ascii="宋体" w:hAnsi="宋体"/>
          <w:sz w:val="24"/>
        </w:rPr>
        <w:t xml:space="preserve">缺漏请</w:t>
      </w:r>
      <w:r>
        <w:rPr>
          <w:rFonts w:hint="eastAsia" w:ascii="宋体" w:hAnsi="宋体"/>
          <w:sz w:val="24"/>
        </w:rPr>
        <w:t xml:space="preserve">立即与交易中心联系解决。</w:t>
      </w:r>
      <w:r/>
    </w:p>
    <w:p>
      <w:pPr>
        <w:ind w:firstLine="420"/>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rPr>
        <w:t xml:space="preserve">作出</w:t>
      </w:r>
      <w:r>
        <w:rPr>
          <w:rFonts w:hint="eastAsia" w:ascii="宋体" w:hAnsi="宋体"/>
          <w:sz w:val="24"/>
        </w:rPr>
        <w:t xml:space="preserve">实质性响应，否则其风险由供应商自行承担。</w:t>
      </w:r>
      <w:r/>
    </w:p>
    <w:p>
      <w:pPr>
        <w:pStyle w:val="719"/>
        <w:ind w:firstLine="422"/>
        <w:spacing w:before="0" w:after="0" w:line="240" w:lineRule="auto"/>
      </w:pPr>
      <w:r>
        <w:rPr>
          <w:rFonts w:hint="eastAsia" w:ascii="方正楷体_GBK" w:hAnsi="方正楷体_GBK" w:eastAsia="方正楷体_GBK" w:cs="方正楷体_GBK"/>
        </w:rPr>
        <w:t xml:space="preserve">7.谈判文件的澄清</w:t>
      </w:r>
      <w:r/>
    </w:p>
    <w:p>
      <w:pPr>
        <w:ind w:firstLine="420"/>
      </w:pPr>
      <w:r>
        <w:rPr>
          <w:rFonts w:hint="eastAsia" w:ascii="宋体" w:hAnsi="宋体"/>
          <w:sz w:val="24"/>
        </w:rPr>
        <w:t xml:space="preserve">7.1 任何要求对谈判文件进行澄清的供应商，应在谈判截止期五日前按采购公告中的通讯地址，以书面形式通知交易中心。</w:t>
      </w:r>
      <w:r/>
    </w:p>
    <w:p>
      <w:pPr>
        <w:pStyle w:val="719"/>
        <w:ind w:firstLine="422"/>
        <w:spacing w:before="0" w:after="0" w:line="240" w:lineRule="auto"/>
      </w:pPr>
      <w:r>
        <w:rPr>
          <w:rFonts w:hint="eastAsia" w:ascii="方正楷体_GBK" w:hAnsi="方正楷体_GBK" w:eastAsia="方正楷体_GBK" w:cs="方正楷体_GBK"/>
        </w:rPr>
        <w:t xml:space="preserve">8.谈判文件的修改</w:t>
      </w:r>
      <w:r/>
    </w:p>
    <w:p>
      <w:pPr>
        <w:ind w:firstLine="420"/>
      </w:pPr>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在响应文件提交截止时间前，交易中心可以对谈判文件进行修改。谈判文件的修改将在原公告媒体发布更正公告，更正内容将作为谈判文件的组成部分，并对供应商具有约束力。</w:t>
      </w:r>
      <w:r/>
    </w:p>
    <w:p>
      <w:pPr>
        <w:ind w:firstLine="420"/>
      </w:pPr>
      <w:r>
        <w:rPr>
          <w:rFonts w:hint="eastAsia" w:ascii="宋体" w:hAnsi="宋体"/>
          <w:sz w:val="24"/>
        </w:rPr>
        <w:t xml:space="preserve">8.2 供应商应在提交响应文件截止时间前，关注原公告媒体有关本项目的更正公告，根</w:t>
      </w:r>
      <w:r>
        <w:rPr>
          <w:rFonts w:hint="eastAsia" w:ascii="宋体" w:hAnsi="宋体"/>
          <w:sz w:val="24"/>
        </w:rPr>
        <w:t xml:space="preserve">据更正公告内容自行决定是否需要重新制作和提交响应文件，并承担由此产生的相应责任。</w:t>
      </w:r>
      <w:r/>
    </w:p>
    <w:p>
      <w:pPr>
        <w:ind w:firstLine="420"/>
      </w:pPr>
      <w:r>
        <w:rPr>
          <w:rFonts w:hint="eastAsia" w:ascii="宋体" w:hAnsi="宋体"/>
          <w:sz w:val="24"/>
        </w:rPr>
        <w:t xml:space="preserve">8.3 交易中心有权按照法定要求推迟提交响应文件截止时间，并在原公告媒体发布更正公告。</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三、响应文件的编制</w:t>
      </w:r>
      <w:r/>
    </w:p>
    <w:p>
      <w:pPr>
        <w:pStyle w:val="719"/>
        <w:ind w:firstLine="422"/>
        <w:spacing w:before="0" w:after="0" w:line="240" w:lineRule="auto"/>
      </w:pPr>
      <w:r>
        <w:rPr>
          <w:rFonts w:hint="eastAsia" w:ascii="方正楷体_GBK" w:hAnsi="方正楷体_GBK" w:eastAsia="方正楷体_GBK" w:cs="方正楷体_GBK"/>
        </w:rPr>
        <w:t xml:space="preserve">9.响应文件的语言及度量衡单位</w:t>
      </w:r>
      <w:r/>
    </w:p>
    <w:p>
      <w:pPr>
        <w:ind w:firstLine="420"/>
      </w:pPr>
      <w:r>
        <w:rPr>
          <w:rFonts w:hint="eastAsia" w:ascii="宋体" w:hAnsi="宋体"/>
          <w:sz w:val="24"/>
        </w:rPr>
        <w:t xml:space="preserve">9.1 供应商提交的响应文件以及供应商与交易中心就有关谈判的所有来往通知、函件和文件均应使用简体中文。</w:t>
      </w:r>
      <w:r/>
    </w:p>
    <w:p>
      <w:pPr>
        <w:ind w:firstLine="420"/>
      </w:pPr>
      <w:r>
        <w:rPr>
          <w:rFonts w:hint="eastAsia" w:ascii="宋体" w:hAnsi="宋体"/>
          <w:sz w:val="24"/>
        </w:rPr>
        <w:t xml:space="preserve">9.2 除技术性能另有规定外，响应文件所使用的度量衡单位，均须采用国家法定计量单位。</w:t>
      </w:r>
      <w:r/>
    </w:p>
    <w:p>
      <w:pPr>
        <w:pStyle w:val="719"/>
        <w:ind w:firstLine="422"/>
        <w:spacing w:before="0" w:after="0" w:line="240" w:lineRule="auto"/>
      </w:pPr>
      <w:r>
        <w:rPr>
          <w:rFonts w:hint="eastAsia" w:ascii="方正楷体_GBK" w:hAnsi="方正楷体_GBK" w:eastAsia="方正楷体_GBK" w:cs="方正楷体_GBK"/>
        </w:rPr>
        <w:t xml:space="preserve">10.响应文件构成</w:t>
      </w:r>
      <w:r/>
    </w:p>
    <w:p>
      <w:pPr>
        <w:ind w:firstLine="420"/>
      </w:pPr>
      <w:r>
        <w:rPr>
          <w:rFonts w:hint="eastAsia" w:ascii="宋体" w:hAnsi="宋体"/>
          <w:sz w:val="24"/>
        </w:rPr>
        <w:t xml:space="preserve">10.1 供应商编写的响应文件应包括资格证明文件、符合性证明文件、分项报价表、响应及偏离表、其他证明文件、谈判响应函等部分。</w:t>
      </w:r>
      <w:r/>
    </w:p>
    <w:p>
      <w:pPr>
        <w:ind w:firstLine="420"/>
      </w:pPr>
      <w:r>
        <w:rPr>
          <w:rFonts w:hint="eastAsia" w:ascii="宋体" w:hAnsi="宋体"/>
          <w:sz w:val="24"/>
        </w:rPr>
        <w:t xml:space="preserve">10.2 如标书制作工具中格式和内容与“江苏政府采购网”发布的谈判文件不一致，以“江苏政府采购网”发布的谈判文件为准。</w:t>
      </w:r>
      <w:r/>
    </w:p>
    <w:p>
      <w:pPr>
        <w:pStyle w:val="719"/>
        <w:ind w:firstLine="422"/>
        <w:spacing w:before="0" w:after="0" w:line="240" w:lineRule="auto"/>
      </w:pPr>
      <w:r>
        <w:rPr>
          <w:rFonts w:hint="eastAsia" w:ascii="方正楷体_GBK" w:hAnsi="方正楷体_GBK" w:eastAsia="方正楷体_GBK" w:cs="方正楷体_GBK"/>
        </w:rPr>
        <w:t xml:space="preserve">11.证明谈判响应标的符合谈判文件规定的文件</w:t>
      </w:r>
      <w:r/>
    </w:p>
    <w:p>
      <w:pPr>
        <w:ind w:firstLine="420"/>
      </w:pPr>
      <w:r>
        <w:rPr>
          <w:rFonts w:hint="eastAsia" w:ascii="宋体" w:hAnsi="宋体"/>
          <w:sz w:val="24"/>
        </w:rPr>
        <w:t xml:space="preserve">11.1 供应商应按照法律、法规、规章和规范性文件以及谈判文件要求提交证明文件，证明其响应标的符合谈判文件规定。</w:t>
      </w:r>
      <w:r/>
    </w:p>
    <w:p>
      <w:pPr>
        <w:ind w:firstLine="420"/>
      </w:pPr>
      <w:r>
        <w:rPr>
          <w:rFonts w:hint="eastAsia" w:ascii="宋体" w:hAnsi="宋体"/>
          <w:sz w:val="24"/>
        </w:rPr>
        <w:t xml:space="preserve">11.2 谈判文件对证明文件无明确形式要求的，证明文件可以以文字资料、图纸和数据等形式提交。</w:t>
      </w:r>
      <w:r/>
    </w:p>
    <w:p>
      <w:pPr>
        <w:pStyle w:val="719"/>
        <w:ind w:firstLine="422"/>
        <w:spacing w:before="0" w:after="0" w:line="240" w:lineRule="auto"/>
      </w:pPr>
      <w:r>
        <w:rPr>
          <w:rFonts w:hint="eastAsia" w:ascii="方正楷体_GBK" w:hAnsi="方正楷体_GBK" w:eastAsia="方正楷体_GBK" w:cs="方正楷体_GBK"/>
        </w:rPr>
        <w:t xml:space="preserve">12.分项报价表（如有）</w:t>
      </w:r>
      <w:r/>
    </w:p>
    <w:p>
      <w:pPr>
        <w:ind w:firstLine="420"/>
      </w:pPr>
      <w:r>
        <w:rPr>
          <w:rFonts w:hint="eastAsia" w:ascii="宋体" w:hAnsi="宋体"/>
          <w:sz w:val="24"/>
        </w:rPr>
        <w:t xml:space="preserve">12.1 供应商应按照谈判文件规定格式填报分项报价表。</w:t>
      </w:r>
      <w:r/>
    </w:p>
    <w:p>
      <w:pPr>
        <w:ind w:firstLine="420"/>
      </w:pPr>
      <w:r>
        <w:rPr>
          <w:rFonts w:hint="eastAsia" w:ascii="宋体" w:hAnsi="宋体"/>
          <w:sz w:val="24"/>
        </w:rPr>
        <w:t xml:space="preserve">12.2 响应文件中的单价和总价无特殊规定的采用人民币报价，以元为单位标注。谈判文件另有规定的按规定执行。</w:t>
      </w:r>
      <w:r/>
    </w:p>
    <w:p>
      <w:pPr>
        <w:pStyle w:val="719"/>
        <w:ind w:firstLine="422"/>
        <w:spacing w:before="0" w:after="0" w:line="240" w:lineRule="auto"/>
      </w:pPr>
      <w:r>
        <w:rPr>
          <w:rFonts w:hint="eastAsia" w:ascii="方正楷体_GBK" w:hAnsi="方正楷体_GBK" w:eastAsia="方正楷体_GBK" w:cs="方正楷体_GBK"/>
        </w:rPr>
        <w:t xml:space="preserve">13.响应及偏离表</w:t>
      </w:r>
      <w:r/>
    </w:p>
    <w:p>
      <w:pPr>
        <w:ind w:firstLine="420"/>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响应或偏离说明。</w:t>
      </w:r>
      <w:r/>
    </w:p>
    <w:p>
      <w:pPr>
        <w:ind w:firstLine="420"/>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719"/>
        <w:ind w:firstLine="422"/>
        <w:spacing w:before="0" w:after="0" w:line="240" w:lineRule="auto"/>
      </w:pPr>
      <w:r>
        <w:rPr>
          <w:rFonts w:hint="eastAsia" w:ascii="方正楷体_GBK" w:hAnsi="方正楷体_GBK" w:eastAsia="方正楷体_GBK" w:cs="方正楷体_GBK"/>
        </w:rPr>
        <w:t xml:space="preserve">14.谈判响应函</w:t>
      </w:r>
      <w:r/>
    </w:p>
    <w:p>
      <w:pPr>
        <w:ind w:firstLine="420"/>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719"/>
        <w:ind w:firstLine="422"/>
        <w:spacing w:before="0" w:after="0" w:line="240" w:lineRule="auto"/>
      </w:pPr>
      <w:r>
        <w:rPr>
          <w:rFonts w:hint="eastAsia" w:ascii="方正楷体_GBK" w:hAnsi="方正楷体_GBK" w:eastAsia="方正楷体_GBK" w:cs="方正楷体_GBK"/>
        </w:rPr>
        <w:t xml:space="preserve">15.谈判有效期</w:t>
      </w:r>
      <w:r/>
    </w:p>
    <w:p>
      <w:pPr>
        <w:ind w:firstLine="420"/>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719"/>
        <w:ind w:firstLine="422"/>
        <w:spacing w:before="0" w:after="0" w:line="240" w:lineRule="auto"/>
      </w:pPr>
      <w:r>
        <w:rPr>
          <w:rFonts w:hint="eastAsia" w:ascii="方正楷体_GBK" w:hAnsi="方正楷体_GBK" w:eastAsia="方正楷体_GBK" w:cs="方正楷体_GBK"/>
        </w:rPr>
        <w:t xml:space="preserve">16.谈判有效期的延长</w:t>
      </w:r>
      <w:r/>
    </w:p>
    <w:p>
      <w:pPr>
        <w:ind w:firstLine="420"/>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同时</w:t>
      </w:r>
      <w:r>
        <w:rPr>
          <w:rFonts w:hint="eastAsia" w:ascii="宋体" w:hAnsi="宋体"/>
          <w:sz w:val="24"/>
          <w:lang w:val="zh-CN"/>
        </w:rPr>
        <w:t xml:space="preserve">受谈判</w:t>
      </w:r>
      <w:r>
        <w:rPr>
          <w:rFonts w:hint="eastAsia" w:ascii="宋体" w:hAnsi="宋体"/>
          <w:sz w:val="24"/>
          <w:lang w:val="zh-CN"/>
        </w:rPr>
        <w:t xml:space="preserve">有效期约束的所有权利与义务均延长至新的有效期满。</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四、响应文件的递交</w:t>
      </w:r>
      <w:r/>
    </w:p>
    <w:p>
      <w:pPr>
        <w:pStyle w:val="719"/>
        <w:ind w:firstLine="422"/>
        <w:spacing w:before="0" w:after="0" w:line="240" w:lineRule="auto"/>
      </w:pPr>
      <w:r>
        <w:rPr>
          <w:rFonts w:hint="eastAsia" w:ascii="方正楷体_GBK" w:hAnsi="方正楷体_GBK" w:eastAsia="方正楷体_GBK" w:cs="方正楷体_GBK"/>
        </w:rPr>
        <w:t xml:space="preserve">17.谈判响应文件的递交</w:t>
      </w:r>
      <w:r/>
    </w:p>
    <w:p>
      <w:pPr>
        <w:ind w:firstLine="420"/>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w:t>
      </w:r>
      <w:r>
        <w:rPr>
          <w:rFonts w:hint="eastAsia" w:ascii="宋体" w:hAnsi="宋体"/>
          <w:sz w:val="24"/>
          <w:lang w:val="zh-CN"/>
        </w:rPr>
        <w:t xml:space="preserve">前制</w:t>
      </w:r>
      <w:r>
        <w:rPr>
          <w:rFonts w:hint="eastAsia" w:ascii="宋体" w:hAnsi="宋体"/>
          <w:sz w:val="24"/>
          <w:lang w:val="zh-CN"/>
        </w:rPr>
        <w:t xml:space="preserve">作</w:t>
      </w:r>
      <w:r>
        <w:rPr>
          <w:rFonts w:hint="eastAsia" w:ascii="宋体" w:hAnsi="宋体"/>
          <w:sz w:val="24"/>
          <w:lang w:val="zh-CN"/>
        </w:rPr>
        <w:t xml:space="preserve">并上传电子响应文件。</w:t>
      </w:r>
      <w:r/>
    </w:p>
    <w:p>
      <w:pPr>
        <w:ind w:firstLine="420"/>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，如因供应商自身原因造成的电子响应文件上传不成功由供应商自行承担全部责任，并按照</w:t>
      </w:r>
      <w:r>
        <w:rPr>
          <w:rFonts w:hint="eastAsia" w:ascii="宋体" w:hAnsi="宋体"/>
          <w:sz w:val="24"/>
          <w:lang w:val="zh-CN"/>
        </w:rPr>
        <w:t xml:space="preserve">本谈判</w:t>
      </w:r>
      <w:r>
        <w:rPr>
          <w:rFonts w:hint="eastAsia" w:ascii="宋体" w:hAnsi="宋体"/>
          <w:sz w:val="24"/>
          <w:lang w:val="zh-CN"/>
        </w:rPr>
        <w:t xml:space="preserve">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ind w:firstLine="420"/>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719"/>
        <w:ind w:firstLine="422"/>
        <w:spacing w:before="0" w:after="0" w:line="240" w:lineRule="auto"/>
      </w:pPr>
      <w:r>
        <w:rPr>
          <w:rFonts w:hint="eastAsia" w:ascii="方正楷体_GBK" w:hAnsi="方正楷体_GBK" w:eastAsia="方正楷体_GBK" w:cs="方正楷体_GBK"/>
        </w:rPr>
        <w:t xml:space="preserve">18.响应文件的拒收</w:t>
      </w:r>
      <w:r/>
    </w:p>
    <w:p>
      <w:pPr>
        <w:ind w:firstLine="420"/>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719"/>
        <w:ind w:firstLine="422"/>
        <w:spacing w:before="0" w:after="0" w:line="240" w:lineRule="auto"/>
      </w:pPr>
      <w:r>
        <w:rPr>
          <w:rFonts w:hint="eastAsia" w:ascii="方正楷体_GBK" w:hAnsi="方正楷体_GBK" w:eastAsia="方正楷体_GBK" w:cs="方正楷体_GBK"/>
        </w:rPr>
        <w:t xml:space="preserve">19.响应文件的撤回和修改</w:t>
      </w:r>
      <w:r/>
    </w:p>
    <w:p>
      <w:pPr>
        <w:ind w:firstLine="420"/>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ind w:firstLine="420"/>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ind w:firstLine="420"/>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ind w:firstLine="420"/>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ind w:firstLine="420"/>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ind w:firstLine="420"/>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ind w:firstLine="420"/>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w:t>
      </w:r>
      <w:r>
        <w:rPr>
          <w:rFonts w:hint="eastAsia" w:ascii="宋体" w:hAnsi="宋体"/>
          <w:sz w:val="24"/>
          <w:lang w:val="zh-CN"/>
        </w:rPr>
        <w:t xml:space="preserve">至谈判</w:t>
      </w:r>
      <w:r>
        <w:rPr>
          <w:rFonts w:hint="eastAsia" w:ascii="宋体" w:hAnsi="宋体"/>
          <w:sz w:val="24"/>
          <w:lang w:val="zh-CN"/>
        </w:rPr>
        <w:t xml:space="preserve">文件中规定的谈判有效期满之间的这段时间内，供应商不得撤回其响应文件。</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五、响应文件的解密与评审</w:t>
      </w:r>
      <w:r/>
    </w:p>
    <w:p>
      <w:pPr>
        <w:pStyle w:val="719"/>
        <w:ind w:firstLine="422"/>
        <w:spacing w:before="0" w:after="0" w:line="240" w:lineRule="auto"/>
      </w:pPr>
      <w:r>
        <w:rPr>
          <w:rFonts w:hint="eastAsia" w:ascii="方正楷体_GBK" w:hAnsi="方正楷体_GBK" w:eastAsia="方正楷体_GBK" w:cs="方正楷体_GBK"/>
        </w:rPr>
        <w:t xml:space="preserve">20.响应文件解密</w:t>
      </w:r>
      <w:r/>
    </w:p>
    <w:p>
      <w:pPr>
        <w:ind w:firstLine="420"/>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w:t>
      </w:r>
      <w:r>
        <w:rPr>
          <w:rFonts w:hint="eastAsia" w:ascii="宋体" w:hAnsi="宋体"/>
          <w:sz w:val="24"/>
          <w:lang w:val="zh-CN"/>
        </w:rPr>
        <w:t xml:space="preserve">采云</w:t>
      </w:r>
      <w:r>
        <w:rPr>
          <w:rFonts w:hint="eastAsia" w:ascii="宋体" w:hAnsi="宋体"/>
          <w:sz w:val="24"/>
          <w:lang w:val="zh-CN"/>
        </w:rPr>
        <w:t xml:space="preserve">系统规定的时间内对响应文件进行解密。</w:t>
      </w:r>
      <w:r/>
    </w:p>
    <w:p>
      <w:pPr>
        <w:pStyle w:val="719"/>
        <w:ind w:firstLine="422"/>
        <w:spacing w:before="0" w:after="0" w:line="240" w:lineRule="auto"/>
      </w:pPr>
      <w:r>
        <w:rPr>
          <w:rFonts w:hint="eastAsia" w:ascii="方正楷体_GBK" w:hAnsi="方正楷体_GBK" w:eastAsia="方正楷体_GBK" w:cs="方正楷体_GBK"/>
        </w:rPr>
        <w:t xml:space="preserve">21.谈判</w:t>
      </w:r>
      <w:r/>
    </w:p>
    <w:p>
      <w:pPr>
        <w:ind w:firstLine="420"/>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p>
    <w:p>
      <w:pPr>
        <w:ind w:firstLine="420"/>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ind w:firstLine="420"/>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719"/>
        <w:ind w:firstLine="422"/>
        <w:spacing w:before="0" w:after="0" w:line="240" w:lineRule="auto"/>
      </w:pPr>
      <w:r>
        <w:rPr>
          <w:rFonts w:hint="eastAsia" w:ascii="方正楷体_GBK" w:hAnsi="方正楷体_GBK" w:eastAsia="方正楷体_GBK" w:cs="方正楷体_GBK"/>
        </w:rPr>
        <w:t xml:space="preserve">22.评审过程的保密与公正</w:t>
      </w:r>
      <w:r/>
    </w:p>
    <w:p>
      <w:pPr>
        <w:ind w:firstLine="420"/>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谈判小组、采购人和交易中心工作人员、相关监督人员等与评审工作有关的人员，对评审情况以及在评审过程中获悉的国家秘密、商业秘密负有保密责任。</w:t>
      </w:r>
      <w:r/>
    </w:p>
    <w:p>
      <w:pPr>
        <w:ind w:firstLine="420"/>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ind w:firstLine="420"/>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w:t>
      </w:r>
      <w:r>
        <w:rPr>
          <w:rFonts w:hint="eastAsia" w:ascii="宋体" w:hAnsi="宋体"/>
          <w:sz w:val="24"/>
          <w:lang w:val="zh-CN"/>
        </w:rPr>
        <w:t xml:space="preserve">商解释未</w:t>
      </w:r>
      <w:r>
        <w:rPr>
          <w:rFonts w:hint="eastAsia" w:ascii="宋体" w:hAnsi="宋体"/>
          <w:sz w:val="24"/>
          <w:lang w:val="zh-CN"/>
        </w:rPr>
        <w:t xml:space="preserve">成交原因，也不公布评审过程中的相关细节。</w:t>
      </w:r>
      <w:r/>
    </w:p>
    <w:p>
      <w:pPr>
        <w:pStyle w:val="719"/>
        <w:ind w:firstLine="422"/>
        <w:spacing w:before="0" w:after="0" w:line="240" w:lineRule="auto"/>
      </w:pPr>
      <w:r>
        <w:rPr>
          <w:rFonts w:hint="eastAsia" w:ascii="方正楷体_GBK" w:hAnsi="方正楷体_GBK" w:eastAsia="方正楷体_GBK" w:cs="方正楷体_GBK"/>
        </w:rPr>
        <w:t xml:space="preserve">23.评审过程中的</w:t>
      </w:r>
      <w:r>
        <w:rPr>
          <w:rFonts w:hint="eastAsia" w:ascii="方正楷体_GBK" w:hAnsi="方正楷体_GBK" w:eastAsia="方正楷体_GBK" w:cs="方正楷体_GBK"/>
        </w:rPr>
        <w:t xml:space="preserve">的</w:t>
      </w:r>
      <w:r>
        <w:rPr>
          <w:rFonts w:hint="eastAsia" w:ascii="方正楷体_GBK" w:hAnsi="方正楷体_GBK" w:eastAsia="方正楷体_GBK" w:cs="方正楷体_GBK"/>
        </w:rPr>
        <w:t xml:space="preserve">澄清</w:t>
      </w:r>
      <w:r/>
    </w:p>
    <w:p>
      <w:pPr>
        <w:ind w:firstLine="420"/>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pPr>
      <w:r>
        <w:rPr>
          <w:rFonts w:hint="eastAsia" w:ascii="宋体" w:hAnsi="宋体"/>
          <w:sz w:val="24"/>
          <w:lang w:val="zh-CN"/>
        </w:rPr>
        <w:t xml:space="preserve">供应商的澄清、说明或者补正不得超出响应文件的范围或者改变响应文件的实质性内容。</w:t>
      </w:r>
      <w:r/>
    </w:p>
    <w:p>
      <w:pPr>
        <w:ind w:firstLine="420"/>
      </w:pPr>
      <w:r>
        <w:rPr>
          <w:rFonts w:hint="eastAsia" w:ascii="宋体" w:hAnsi="宋体"/>
          <w:sz w:val="24"/>
          <w:lang w:val="zh-CN"/>
        </w:rPr>
        <w:t xml:space="preserve">谈判小组并非对每个供应商都做澄清要求。</w:t>
      </w:r>
      <w:r/>
    </w:p>
    <w:p>
      <w:pPr>
        <w:ind w:firstLine="420"/>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w:t>
      </w:r>
      <w:r>
        <w:rPr>
          <w:rFonts w:hint="eastAsia" w:ascii="宋体" w:hAnsi="宋体"/>
          <w:sz w:val="24"/>
          <w:lang w:val="zh-CN"/>
        </w:rPr>
        <w:t xml:space="preserve">采云</w:t>
      </w:r>
      <w:r>
        <w:rPr>
          <w:rFonts w:hint="eastAsia" w:ascii="宋体" w:hAnsi="宋体"/>
          <w:sz w:val="24"/>
          <w:lang w:val="zh-CN"/>
        </w:rPr>
        <w:t xml:space="preserve">系统向供应商发布《澄清要求函》，接到《澄清要求函》的供应商应当按照要求在苏</w:t>
      </w:r>
      <w:r>
        <w:rPr>
          <w:rFonts w:hint="eastAsia" w:ascii="宋体" w:hAnsi="宋体"/>
          <w:sz w:val="24"/>
          <w:lang w:val="zh-CN"/>
        </w:rPr>
        <w:t xml:space="preserve">采云</w:t>
      </w:r>
      <w:r>
        <w:rPr>
          <w:rFonts w:hint="eastAsia" w:ascii="宋体" w:hAnsi="宋体"/>
          <w:sz w:val="24"/>
          <w:lang w:val="zh-CN"/>
        </w:rPr>
        <w:t xml:space="preserve">系统中提交《澄清响</w:t>
      </w:r>
      <w:r>
        <w:rPr>
          <w:rFonts w:hint="eastAsia" w:ascii="宋体" w:hAnsi="宋体"/>
          <w:sz w:val="24"/>
          <w:lang w:val="zh-CN"/>
        </w:rPr>
        <w:t xml:space="preserve">应函》并加盖电子公章。澄清、说明和补正的内容作为响应文件的补充部分，具体操作方式见《操作手册》。</w:t>
      </w:r>
      <w:r/>
    </w:p>
    <w:p>
      <w:pPr>
        <w:ind w:firstLine="420"/>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719"/>
        <w:ind w:firstLine="422"/>
        <w:spacing w:before="0" w:after="0" w:line="240" w:lineRule="auto"/>
      </w:pPr>
      <w:r>
        <w:rPr>
          <w:rFonts w:hint="eastAsia" w:ascii="方正楷体_GBK" w:hAnsi="方正楷体_GBK" w:eastAsia="方正楷体_GBK" w:cs="方正楷体_GBK"/>
        </w:rPr>
        <w:t xml:space="preserve">24.响应文件的审查</w:t>
      </w:r>
      <w:r/>
    </w:p>
    <w:p>
      <w:pPr>
        <w:ind w:firstLine="420"/>
      </w:pPr>
      <w:r>
        <w:rPr>
          <w:rFonts w:hint="eastAsia" w:ascii="宋体" w:hAnsi="宋体"/>
          <w:sz w:val="24"/>
        </w:rPr>
        <w:t xml:space="preserve">24.1 响应文件审查分为资格审查和符合性审查。</w:t>
      </w:r>
      <w:r/>
    </w:p>
    <w:p>
      <w:pPr>
        <w:ind w:firstLine="420"/>
      </w:pPr>
      <w:r>
        <w:rPr>
          <w:rFonts w:hint="eastAsia" w:ascii="宋体" w:hAnsi="宋体"/>
          <w:sz w:val="24"/>
        </w:rPr>
        <w:t xml:space="preserve">24.1.1 资格审查。依据法律法规和谈判文件的规定，谈判小组对响应文件中的资格证明文件进行审查，以确定供应商是否具备参加谈判的资格。</w:t>
      </w:r>
      <w:r/>
    </w:p>
    <w:p>
      <w:pPr>
        <w:ind w:firstLine="420"/>
      </w:pPr>
      <w:r>
        <w:rPr>
          <w:rFonts w:hint="eastAsia" w:ascii="宋体" w:hAnsi="宋体"/>
          <w:sz w:val="24"/>
        </w:rPr>
        <w:t xml:space="preserve">谈判小组在进行资格审查的同时，将在“信用中国”网站（www.creditchina.gov.cn）查询供应商的信用记录，以确定供应商是否具备谈判资格，查询结果留存并归档。</w:t>
      </w:r>
      <w:r/>
    </w:p>
    <w:p>
      <w:pPr>
        <w:ind w:firstLine="420"/>
      </w:pPr>
      <w:r>
        <w:rPr>
          <w:rFonts w:hint="eastAsia" w:ascii="宋体" w:hAnsi="宋体"/>
          <w:sz w:val="24"/>
        </w:rPr>
        <w:t xml:space="preserve">接受联合体的项目，联合体成员存在不良信用记录的，视同联合体存在不良应用记录。</w:t>
      </w:r>
      <w:r/>
    </w:p>
    <w:p>
      <w:pPr>
        <w:ind w:firstLine="420"/>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w:t>
      </w:r>
      <w:r>
        <w:rPr>
          <w:rFonts w:hint="eastAsia" w:ascii="宋体" w:hAnsi="宋体"/>
          <w:sz w:val="24"/>
        </w:rPr>
        <w:t xml:space="preserve">作出</w:t>
      </w:r>
      <w:r>
        <w:rPr>
          <w:rFonts w:hint="eastAsia" w:ascii="宋体" w:hAnsi="宋体"/>
          <w:sz w:val="24"/>
        </w:rPr>
        <w:t xml:space="preserve">响应。</w:t>
      </w:r>
      <w:r/>
    </w:p>
    <w:p>
      <w:pPr>
        <w:ind w:firstLine="420"/>
      </w:pPr>
      <w:r>
        <w:rPr>
          <w:rFonts w:hint="eastAsia" w:ascii="宋体" w:hAnsi="宋体"/>
          <w:sz w:val="24"/>
        </w:rPr>
        <w:t xml:space="preserve">24.1.3 未通过资格审查或符合性审查的供应商，谈判小组将通过苏</w:t>
      </w:r>
      <w:r>
        <w:rPr>
          <w:rFonts w:hint="eastAsia" w:ascii="宋体" w:hAnsi="宋体"/>
          <w:sz w:val="24"/>
        </w:rPr>
        <w:t xml:space="preserve">采云</w:t>
      </w:r>
      <w:r>
        <w:rPr>
          <w:rFonts w:hint="eastAsia" w:ascii="宋体" w:hAnsi="宋体"/>
          <w:sz w:val="24"/>
        </w:rPr>
        <w:t xml:space="preserve">系统告知具体原因，评审结束后将不再接受有关询问。</w:t>
      </w:r>
      <w:r/>
    </w:p>
    <w:p>
      <w:pPr>
        <w:ind w:firstLine="420"/>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w:t>
      </w:r>
      <w:r>
        <w:rPr>
          <w:rFonts w:hint="eastAsia" w:ascii="宋体" w:hAnsi="宋体"/>
          <w:sz w:val="24"/>
        </w:rPr>
        <w:t xml:space="preserve">商产生</w:t>
      </w:r>
      <w:r>
        <w:rPr>
          <w:rFonts w:hint="eastAsia" w:ascii="宋体" w:hAnsi="宋体"/>
          <w:sz w:val="24"/>
        </w:rPr>
        <w:t xml:space="preserve">不公正的影响。重大偏离的认定由谈判小组按照少数服从多数的原则</w:t>
      </w:r>
      <w:r>
        <w:rPr>
          <w:rFonts w:hint="eastAsia" w:ascii="宋体" w:hAnsi="宋体"/>
          <w:sz w:val="24"/>
        </w:rPr>
        <w:t xml:space="preserve">作出</w:t>
      </w:r>
      <w:r>
        <w:rPr>
          <w:rFonts w:hint="eastAsia" w:ascii="宋体" w:hAnsi="宋体"/>
          <w:sz w:val="24"/>
        </w:rPr>
        <w:t xml:space="preserve">结论。谈判小组决定响应文件的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异常低价投标审查</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24.3.1评审过程中出现下列情形之一的，谈判小组应当启动异常低价投标审查程序：</w:t>
      </w:r>
      <w:r/>
    </w:p>
    <w:p>
      <w:pPr>
        <w:ind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（1）报价低于全部通过符合性审查供应商报价平</w:t>
      </w:r>
      <w:r>
        <w:rPr>
          <w:rFonts w:ascii="宋体" w:hAnsi="宋体" w:cs="宋体"/>
          <w:color w:val="000000" w:themeColor="text1"/>
          <w:sz w:val="24"/>
        </w:rPr>
        <w:t xml:space="preserve">均值50%的，即报价&lt;全部通过符合性审查供应商报价平均值×50%；</w:t>
      </w:r>
      <w:r/>
    </w:p>
    <w:p>
      <w:pPr>
        <w:ind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（2）报价低于通过符合性审查的次低报价供应商报价50%的，即报价&lt;通过符合性审查的次低报价供应商报价×50%；</w:t>
      </w:r>
      <w:r/>
    </w:p>
    <w:p>
      <w:pPr>
        <w:ind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（3）报价低于采购项目最高限价45%的，即报价&lt;采购项目最高限价×45%；</w:t>
      </w:r>
      <w:r/>
    </w:p>
    <w:p>
      <w:pPr>
        <w:ind w:firstLine="42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（4）谈判小组基于专业判断，认为供应</w:t>
      </w:r>
      <w:r>
        <w:rPr>
          <w:rFonts w:ascii="宋体" w:hAnsi="宋体" w:cs="宋体"/>
          <w:color w:val="000000" w:themeColor="text1"/>
          <w:sz w:val="24"/>
        </w:rPr>
        <w:t xml:space="preserve">商最后</w:t>
      </w:r>
      <w:r>
        <w:rPr>
          <w:rFonts w:ascii="宋体" w:hAnsi="宋体" w:cs="宋体"/>
          <w:color w:val="000000" w:themeColor="text1"/>
          <w:sz w:val="24"/>
        </w:rPr>
        <w:t xml:space="preserve">报价过低，有可能影响产品质量或者不能诚信履约的其他情形。</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24.3.2谈判小组启动异常低价投标审查后，属于前述第（1）项至第（4）项情形的，应当要求相关供应商在评审现场合理的时间内对最后报价</w:t>
      </w:r>
      <w:r>
        <w:rPr>
          <w:rFonts w:ascii="宋体" w:hAnsi="宋体" w:cs="宋体"/>
          <w:color w:val="000000"/>
          <w:sz w:val="24"/>
        </w:rPr>
        <w:t xml:space="preserve">作出</w:t>
      </w:r>
      <w:r>
        <w:rPr>
          <w:rFonts w:ascii="宋体" w:hAnsi="宋体" w:cs="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未实质性响应谈判文件处理。</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 未实质性响应谈判文件的情形</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24.4.1 供应商在苏</w:t>
      </w:r>
      <w:r>
        <w:rPr>
          <w:rFonts w:ascii="宋体" w:hAnsi="宋体" w:cs="宋体"/>
          <w:color w:val="000000"/>
          <w:sz w:val="24"/>
        </w:rPr>
        <w:t xml:space="preserve">采云</w:t>
      </w:r>
      <w:r>
        <w:rPr>
          <w:rFonts w:ascii="宋体" w:hAnsi="宋体" w:cs="宋体"/>
          <w:color w:val="000000"/>
          <w:sz w:val="24"/>
        </w:rPr>
        <w:t xml:space="preserve">系统规定的时间内未成功解密电子响应文件。</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24.4.2 供应商未按照谈判文件要求上传电子响应文件。</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24.4.3 同</w:t>
      </w:r>
      <w:r>
        <w:rPr>
          <w:rFonts w:ascii="宋体" w:hAnsi="宋体" w:cs="宋体"/>
          <w:color w:val="000000"/>
          <w:sz w:val="24"/>
        </w:rPr>
        <w:t xml:space="preserve">一供应</w:t>
      </w:r>
      <w:r>
        <w:rPr>
          <w:rFonts w:ascii="宋体" w:hAnsi="宋体" w:cs="宋体"/>
          <w:color w:val="000000"/>
          <w:sz w:val="24"/>
        </w:rPr>
        <w:t xml:space="preserve">商提交两个（含两个）以上不同的响应文件或者最后报价。</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24.4.4 供应商不具备谈判文件中规定的资格要求。</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24.4.5 供应商的最后报价超过了采购预算或最高限价或单价上限。</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24.4.6 不符合谈判文件中规定的实质性要求和条件（</w:t>
      </w:r>
      <w:r>
        <w:rPr>
          <w:rFonts w:ascii="宋体" w:hAnsi="宋体" w:cs="宋体"/>
          <w:b/>
          <w:color w:val="000000"/>
          <w:sz w:val="24"/>
        </w:rPr>
        <w:t xml:space="preserve">本文件中斜体且有下划线部分或者打“★”内容，为实质性要求和条件</w:t>
      </w:r>
      <w:r>
        <w:rPr>
          <w:rFonts w:ascii="宋体" w:hAnsi="宋体" w:cs="宋体"/>
          <w:color w:val="000000"/>
          <w:sz w:val="24"/>
        </w:rPr>
        <w:t xml:space="preserve">）。</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24.4.7 供应商被 “信用中国”网站（www.creditchina.gov.cn）列入失信被执行人或重大税收违法案件当事人名单或政府采购严重失信行为记录名单，或查询“信用中国”网站后发现供应</w:t>
      </w:r>
      <w:r>
        <w:rPr>
          <w:rFonts w:ascii="宋体" w:hAnsi="宋体" w:cs="宋体"/>
          <w:color w:val="000000"/>
          <w:sz w:val="24"/>
        </w:rPr>
        <w:t xml:space="preserve">商存在</w:t>
      </w:r>
      <w:r>
        <w:rPr>
          <w:rFonts w:ascii="宋体" w:hAnsi="宋体" w:cs="宋体"/>
          <w:color w:val="000000"/>
          <w:sz w:val="24"/>
        </w:rPr>
        <w:t xml:space="preserve">其他不符合《中华人民共和国政府采购法》第二十二条规定条件的信用记录。</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24.4.8 响应文件含有采购人不能接受的附加条件。</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24.4.9 谈判小组按照本采购文件规定对供应商进行异常低价投标审查后，认为供应商不能证明其报价合理性的。</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24.4.10采购产品被财政部、</w:t>
      </w:r>
      <w:r>
        <w:rPr>
          <w:rFonts w:ascii="宋体" w:hAnsi="宋体" w:cs="宋体"/>
          <w:color w:val="000000"/>
          <w:sz w:val="24"/>
        </w:rPr>
        <w:t xml:space="preserve">国家发改委</w:t>
      </w:r>
      <w:r>
        <w:rPr>
          <w:rFonts w:ascii="宋体" w:hAnsi="宋体" w:cs="宋体"/>
          <w:color w:val="000000"/>
          <w:sz w:val="24"/>
        </w:rPr>
        <w:t xml:space="preserve">、生态环境部等列入“节能产品品目清单”、“环境标志产品品目清单”强制采购范围，而供应商提供的产品不在强制采购范围内。</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24.4.11 响应文件未按照谈判文件要求加盖电子公章。</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24.4.12 法律法规及</w:t>
      </w:r>
      <w:r>
        <w:rPr>
          <w:rFonts w:ascii="宋体" w:hAnsi="宋体" w:cs="宋体"/>
          <w:color w:val="000000"/>
          <w:sz w:val="24"/>
        </w:rPr>
        <w:t xml:space="preserve">本谈判</w:t>
      </w:r>
      <w:r>
        <w:rPr>
          <w:rFonts w:ascii="宋体" w:hAnsi="宋体" w:cs="宋体"/>
          <w:color w:val="000000"/>
          <w:sz w:val="24"/>
        </w:rPr>
        <w:t xml:space="preserve">文件规定的其他无效响应情形。</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未实质性响应谈判文件的响应文件按无效响应处理。</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 如果响应文件实质上没有响应谈判文件的要求，谈判小组将予以拒绝，供应商不得通过修改或撤销不合理要求的偏离或保留而使其成为实质性响应的文件。</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24.7 供应商在项目评审全过程中应保持通讯畅通，及时登录苏</w:t>
      </w:r>
      <w:r>
        <w:rPr>
          <w:rFonts w:ascii="宋体" w:hAnsi="宋体" w:cs="宋体"/>
          <w:color w:val="000000"/>
          <w:sz w:val="24"/>
        </w:rPr>
        <w:t xml:space="preserve">采云</w:t>
      </w:r>
      <w:r>
        <w:rPr>
          <w:rFonts w:ascii="宋体" w:hAnsi="宋体" w:cs="宋体"/>
          <w:color w:val="000000"/>
          <w:sz w:val="24"/>
        </w:rPr>
        <w:t xml:space="preserve">系统查阅、答复相关信息，并安排专人与交易中心及谈判小组联系。</w:t>
      </w:r>
      <w:r/>
    </w:p>
    <w:p>
      <w:pPr>
        <w:pStyle w:val="719"/>
        <w:ind w:firstLine="422"/>
        <w:spacing w:before="0" w:after="0" w:line="240" w:lineRule="auto"/>
      </w:pPr>
      <w:r>
        <w:rPr>
          <w:rFonts w:hint="eastAsia" w:ascii="方正楷体_GBK" w:hAnsi="方正楷体_GBK" w:eastAsia="方正楷体_GBK" w:cs="方正楷体_GBK"/>
          <w:lang w:val="zh-CN"/>
        </w:rPr>
        <w:t xml:space="preserve">2</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w:t>
      </w:r>
      <w:r>
        <w:rPr>
          <w:rFonts w:hint="eastAsia" w:ascii="宋体" w:hAnsi="宋体"/>
          <w:sz w:val="24"/>
          <w:lang w:val="zh-CN"/>
        </w:rPr>
        <w:t xml:space="preserve">采云</w:t>
      </w:r>
      <w:r>
        <w:rPr>
          <w:rFonts w:hint="eastAsia" w:ascii="宋体" w:hAnsi="宋体"/>
          <w:sz w:val="24"/>
          <w:lang w:val="zh-CN"/>
        </w:rPr>
        <w:t xml:space="preserve">系统向供应商发布《谈判函》，供应商应当按照要求在苏</w:t>
      </w:r>
      <w:r>
        <w:rPr>
          <w:rFonts w:hint="eastAsia" w:ascii="宋体" w:hAnsi="宋体"/>
          <w:sz w:val="24"/>
          <w:lang w:val="zh-CN"/>
        </w:rPr>
        <w:t xml:space="preserve">采云</w:t>
      </w:r>
      <w:r>
        <w:rPr>
          <w:rFonts w:hint="eastAsia" w:ascii="宋体" w:hAnsi="宋体"/>
          <w:sz w:val="24"/>
          <w:lang w:val="zh-CN"/>
        </w:rPr>
        <w:t xml:space="preserve">系统提交《谈判响应函》并加盖电子公章。</w:t>
      </w:r>
      <w:r/>
    </w:p>
    <w:p>
      <w:pPr>
        <w:ind w:firstLine="420"/>
      </w:pPr>
      <w:r>
        <w:rPr>
          <w:rFonts w:hint="eastAsia" w:ascii="宋体" w:hAnsi="宋体"/>
          <w:sz w:val="24"/>
          <w:lang w:val="zh-CN"/>
        </w:rPr>
        <w:t xml:space="preserve">在谈判过程中，谈判小组可能根据谈判情况对谈判文件进行实质性变动的内容包括：采购需求中的技术、服务要求以及合同草案条款。对谈判文件</w:t>
      </w:r>
      <w:r>
        <w:rPr>
          <w:rFonts w:hint="eastAsia" w:ascii="宋体" w:hAnsi="宋体"/>
          <w:sz w:val="24"/>
          <w:lang w:val="zh-CN"/>
        </w:rPr>
        <w:t xml:space="preserve">作出</w:t>
      </w:r>
      <w:r>
        <w:rPr>
          <w:rFonts w:hint="eastAsia" w:ascii="宋体" w:hAnsi="宋体"/>
          <w:sz w:val="24"/>
          <w:lang w:val="zh-CN"/>
        </w:rPr>
        <w:t xml:space="preserve">的实质性变动是谈判文件的有效组成部分，谈判小组将在苏</w:t>
      </w:r>
      <w:r>
        <w:rPr>
          <w:rFonts w:hint="eastAsia" w:ascii="宋体" w:hAnsi="宋体"/>
          <w:sz w:val="24"/>
          <w:lang w:val="zh-CN"/>
        </w:rPr>
        <w:t xml:space="preserve">采云</w:t>
      </w:r>
      <w:r>
        <w:rPr>
          <w:rFonts w:hint="eastAsia" w:ascii="宋体" w:hAnsi="宋体"/>
          <w:sz w:val="24"/>
          <w:lang w:val="zh-CN"/>
        </w:rPr>
        <w:t xml:space="preserve">系统中通知所有参加谈判的供应商。供应商应当按照谈判文件的变动情况和谈判小组的要求在苏</w:t>
      </w:r>
      <w:r>
        <w:rPr>
          <w:rFonts w:hint="eastAsia" w:ascii="宋体" w:hAnsi="宋体"/>
          <w:sz w:val="24"/>
          <w:lang w:val="zh-CN"/>
        </w:rPr>
        <w:t xml:space="preserve">采云</w:t>
      </w:r>
      <w:r>
        <w:rPr>
          <w:rFonts w:hint="eastAsia" w:ascii="宋体" w:hAnsi="宋体"/>
          <w:sz w:val="24"/>
          <w:lang w:val="zh-CN"/>
        </w:rPr>
        <w:t xml:space="preserve">系统中重新提交响应文件，并加盖电子公章。</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w:t>
      </w:r>
      <w:r>
        <w:rPr>
          <w:rFonts w:hint="eastAsia" w:ascii="宋体" w:hAnsi="宋体"/>
          <w:sz w:val="24"/>
          <w:lang w:val="zh-CN"/>
        </w:rPr>
        <w:t xml:space="preserve">的</w:t>
      </w:r>
      <w:r>
        <w:rPr>
          <w:rFonts w:hint="eastAsia" w:ascii="宋体" w:hAnsi="宋体"/>
          <w:sz w:val="24"/>
          <w:lang w:val="zh-CN"/>
        </w:rPr>
        <w:t xml:space="preserve">技术、服务要求的，谈判结束后，谈判小组将在苏</w:t>
      </w:r>
      <w:r>
        <w:rPr>
          <w:rFonts w:hint="eastAsia" w:ascii="宋体" w:hAnsi="宋体"/>
          <w:sz w:val="24"/>
          <w:lang w:val="zh-CN"/>
        </w:rPr>
        <w:t xml:space="preserve">采云</w:t>
      </w:r>
      <w:r>
        <w:rPr>
          <w:rFonts w:hint="eastAsia" w:ascii="宋体" w:hAnsi="宋体"/>
          <w:sz w:val="24"/>
          <w:lang w:val="zh-CN"/>
        </w:rPr>
        <w:t xml:space="preserve">系统向所有实质性响应的供应商发布《最后报价要求函》及最后报价格式表，要求所有实质性响应的供应商在规定时间内提交最后报价。</w:t>
      </w:r>
      <w:r/>
    </w:p>
    <w:p>
      <w:pPr>
        <w:ind w:firstLine="420"/>
      </w:pPr>
      <w:r>
        <w:rPr>
          <w:rFonts w:hint="eastAsia" w:ascii="宋体" w:hAnsi="宋体"/>
          <w:sz w:val="24"/>
          <w:lang w:val="zh-CN"/>
        </w:rPr>
        <w:t xml:space="preserve">谈判文件不能详细列明采购标的</w:t>
      </w:r>
      <w:r>
        <w:rPr>
          <w:rFonts w:hint="eastAsia" w:ascii="宋体" w:hAnsi="宋体"/>
          <w:sz w:val="24"/>
          <w:lang w:val="zh-CN"/>
        </w:rPr>
        <w:t xml:space="preserve">的</w:t>
      </w:r>
      <w:r>
        <w:rPr>
          <w:rFonts w:hint="eastAsia" w:ascii="宋体" w:hAnsi="宋体"/>
          <w:sz w:val="24"/>
          <w:lang w:val="zh-CN"/>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lang w:val="zh-CN"/>
        </w:rPr>
        <w:t xml:space="preserve">采云</w:t>
      </w:r>
      <w:r>
        <w:rPr>
          <w:rFonts w:hint="eastAsia" w:ascii="宋体" w:hAnsi="宋体"/>
          <w:sz w:val="24"/>
          <w:lang w:val="zh-CN"/>
        </w:rPr>
        <w:t xml:space="preserve">系统中向其发布《最后报价要求函》及最后报价格式表，要求其在规定时间内提交最后报价。</w:t>
      </w:r>
      <w:r>
        <w:rPr>
          <w:rFonts w:hint="eastAsia" w:ascii="宋体" w:hAnsi="宋体"/>
          <w:sz w:val="24"/>
        </w:rPr>
        <w:t xml:space="preserve">最后报价是供应商响应文件的有效组成部分。</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w:t>
      </w:r>
      <w:r>
        <w:rPr>
          <w:rFonts w:hint="eastAsia" w:ascii="宋体" w:hAnsi="宋体"/>
          <w:sz w:val="24"/>
          <w:lang w:val="zh-CN"/>
        </w:rPr>
        <w:t xml:space="preserve">采云</w:t>
      </w:r>
      <w:r>
        <w:rPr>
          <w:rFonts w:hint="eastAsia" w:ascii="宋体" w:hAnsi="宋体"/>
          <w:sz w:val="24"/>
          <w:lang w:val="zh-CN"/>
        </w:rPr>
        <w:t xml:space="preserve">系统中提交最后报价的视为放弃谈判，其响应文件按无效响应处理，最后报价格式表须加盖电子公章,否则视为未提交最后报价。已提交响应文件的供应商，在提交最后报价之前，可以根据谈判情况退出谈判，并在苏</w:t>
      </w:r>
      <w:r>
        <w:rPr>
          <w:rFonts w:hint="eastAsia" w:ascii="宋体" w:hAnsi="宋体"/>
          <w:sz w:val="24"/>
          <w:lang w:val="zh-CN"/>
        </w:rPr>
        <w:t xml:space="preserve">采云</w:t>
      </w:r>
      <w:r>
        <w:rPr>
          <w:rFonts w:hint="eastAsia" w:ascii="宋体" w:hAnsi="宋体"/>
          <w:sz w:val="24"/>
          <w:lang w:val="zh-CN"/>
        </w:rPr>
        <w:t xml:space="preserve">系统中提交加盖电子公章的《退出谈判函》。</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w:t>
      </w:r>
      <w:r>
        <w:rPr>
          <w:rFonts w:hint="eastAsia" w:ascii="宋体" w:hAnsi="宋体"/>
          <w:sz w:val="24"/>
          <w:lang w:val="zh-CN"/>
        </w:rPr>
        <w:t xml:space="preserve">见谈判</w:t>
      </w:r>
      <w:r>
        <w:rPr>
          <w:rFonts w:hint="eastAsia" w:ascii="宋体" w:hAnsi="宋体"/>
          <w:sz w:val="24"/>
          <w:lang w:val="zh-CN"/>
        </w:rPr>
        <w:t xml:space="preserve">文件第五章。</w:t>
      </w:r>
      <w:r/>
    </w:p>
    <w:p>
      <w:pPr>
        <w:ind w:firstLine="420"/>
      </w:pPr>
      <w:r>
        <w:rPr>
          <w:rFonts w:hint="eastAsia" w:ascii="宋体" w:hAnsi="宋体"/>
          <w:sz w:val="24"/>
          <w:lang w:val="zh-CN"/>
        </w:rPr>
        <w:t xml:space="preserve">25.3 采购活动终止</w:t>
      </w:r>
      <w:r/>
    </w:p>
    <w:p>
      <w:pPr>
        <w:ind w:firstLine="422"/>
      </w:pPr>
      <w:r>
        <w:rPr>
          <w:rFonts w:hint="eastAsia" w:ascii="宋体" w:hAnsi="宋体"/>
          <w:b/>
          <w:bCs/>
          <w:sz w:val="24"/>
          <w:lang w:val="zh-CN"/>
        </w:rPr>
        <w:t xml:space="preserve">出现下列情形之一的，本次采购活动终止：</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.1因情况变化，不再符合规定的竞争性谈判采购方式适用情形。</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系统规定时间内成功解密电子响应文件的供应商不足三家。</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p>
    <w:p>
      <w:pPr>
        <w:ind w:firstLine="420"/>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.3.5法律法规规定的其他应当终止情形。</w:t>
      </w:r>
      <w:r/>
    </w:p>
    <w:p>
      <w:pPr>
        <w:ind w:firstLine="422"/>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六、成交</w:t>
      </w:r>
      <w:r/>
    </w:p>
    <w:p>
      <w:pPr>
        <w:pStyle w:val="719"/>
        <w:ind w:firstLine="422"/>
        <w:spacing w:before="0" w:after="0" w:line="240" w:lineRule="auto"/>
      </w:pPr>
      <w:r>
        <w:rPr>
          <w:rFonts w:hint="eastAsia" w:ascii="方正楷体_GBK" w:hAnsi="方正楷体_GBK" w:eastAsia="方正楷体_GBK" w:cs="方正楷体_GBK"/>
        </w:rPr>
        <w:t xml:space="preserve">26.确定成交单位</w:t>
      </w:r>
      <w:r/>
    </w:p>
    <w:p>
      <w:pPr>
        <w:ind w:firstLine="420"/>
      </w:pPr>
      <w:r>
        <w:rPr>
          <w:rFonts w:hint="eastAsia" w:ascii="宋体" w:hAnsi="宋体"/>
          <w:sz w:val="24"/>
        </w:rPr>
        <w:t xml:space="preserve">26.1</w:t>
      </w:r>
      <w:r>
        <w:rPr>
          <w:rFonts w:hint="eastAsia" w:ascii="宋体" w:hAnsi="宋体"/>
          <w:sz w:val="24"/>
          <w:szCs w:val="21"/>
        </w:rPr>
        <w:t xml:space="preserve"> 成交候选供应商的确定原则和数量</w:t>
      </w:r>
      <w:r>
        <w:rPr>
          <w:rFonts w:hint="eastAsia" w:ascii="宋体" w:hAnsi="宋体"/>
          <w:sz w:val="24"/>
          <w:szCs w:val="21"/>
        </w:rPr>
        <w:t xml:space="preserve">见谈判</w:t>
      </w:r>
      <w:r>
        <w:rPr>
          <w:rFonts w:hint="eastAsia" w:ascii="宋体" w:hAnsi="宋体"/>
          <w:sz w:val="24"/>
          <w:szCs w:val="21"/>
        </w:rPr>
        <w:t xml:space="preserve">文件第五章。</w:t>
      </w:r>
      <w:r/>
    </w:p>
    <w:p>
      <w:pPr>
        <w:ind w:firstLine="420"/>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ind w:firstLine="420"/>
      </w:pPr>
      <w:r>
        <w:rPr>
          <w:rFonts w:hint="eastAsia" w:ascii="宋体" w:hAnsi="宋体"/>
          <w:sz w:val="24"/>
          <w:lang w:val="zh-CN"/>
        </w:rPr>
        <w:t xml:space="preserve">（1）谈判小组直接确定排名第一的成交候选供应商为成交供应商。</w:t>
      </w:r>
      <w:r/>
    </w:p>
    <w:p>
      <w:pPr>
        <w:ind w:firstLine="420"/>
      </w:pPr>
      <w:r>
        <w:rPr>
          <w:rFonts w:hint="eastAsia" w:ascii="宋体" w:hAnsi="宋体"/>
          <w:sz w:val="24"/>
          <w:lang w:val="zh-CN"/>
        </w:rPr>
        <w:t xml:space="preserve">（2）采购人在谈判小组推荐的成交候选供应商中按顺序确定成交供应商。</w:t>
      </w:r>
      <w:r/>
    </w:p>
    <w:p>
      <w:pPr>
        <w:ind w:firstLine="420"/>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ind w:firstLine="420"/>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ind w:firstLine="420"/>
      </w:pPr>
      <w:r>
        <w:rPr>
          <w:rFonts w:hint="eastAsia" w:ascii="宋体" w:hAnsi="宋体"/>
          <w:sz w:val="24"/>
        </w:rPr>
        <w:t xml:space="preserve">26.4 </w:t>
      </w:r>
      <w:r>
        <w:rPr>
          <w:rFonts w:hint="eastAsia" w:ascii="宋体" w:hAnsi="宋体"/>
          <w:b/>
          <w:bCs/>
          <w:sz w:val="24"/>
          <w:lang w:val="zh-CN"/>
        </w:rPr>
        <w:t xml:space="preserve">若有充分证据证明成交供应</w:t>
      </w:r>
      <w:r>
        <w:rPr>
          <w:rFonts w:hint="eastAsia" w:ascii="宋体" w:hAnsi="宋体"/>
          <w:b/>
          <w:bCs/>
          <w:sz w:val="24"/>
          <w:lang w:val="zh-CN"/>
        </w:rPr>
        <w:t xml:space="preserve">商出现</w:t>
      </w:r>
      <w:r>
        <w:rPr>
          <w:rFonts w:hint="eastAsia" w:ascii="宋体" w:hAnsi="宋体"/>
          <w:b/>
          <w:bCs/>
          <w:sz w:val="24"/>
          <w:lang w:val="zh-CN"/>
        </w:rPr>
        <w:t xml:space="preserve">下列情况之一的，一经查实将被取消成交资格：</w:t>
      </w:r>
      <w:r/>
    </w:p>
    <w:p>
      <w:pPr>
        <w:ind w:firstLine="420"/>
      </w:pPr>
      <w:r>
        <w:rPr>
          <w:rFonts w:hint="eastAsia" w:ascii="宋体" w:hAnsi="宋体"/>
          <w:sz w:val="24"/>
          <w:lang w:val="zh-CN"/>
        </w:rPr>
        <w:t xml:space="preserve">26.4.1 提供虚假材料谋取成交。</w:t>
      </w:r>
      <w:r/>
    </w:p>
    <w:p>
      <w:pPr>
        <w:ind w:firstLine="420"/>
      </w:pPr>
      <w:r>
        <w:rPr>
          <w:rFonts w:hint="eastAsia" w:ascii="宋体" w:hAnsi="宋体"/>
          <w:sz w:val="24"/>
          <w:lang w:val="zh-CN"/>
        </w:rPr>
        <w:t xml:space="preserve">26.4.2 向评审专家、采购人或交易中心工作人员行贿或者提供其他不正当利益。</w:t>
      </w:r>
      <w:r/>
    </w:p>
    <w:p>
      <w:pPr>
        <w:ind w:firstLine="420"/>
      </w:pPr>
      <w:r>
        <w:rPr>
          <w:rFonts w:hint="eastAsia" w:ascii="宋体" w:hAnsi="宋体"/>
          <w:sz w:val="24"/>
          <w:lang w:val="zh-CN"/>
        </w:rPr>
        <w:t xml:space="preserve">26.4.3 与其</w:t>
      </w:r>
      <w:r>
        <w:rPr>
          <w:rFonts w:hint="eastAsia" w:ascii="宋体" w:hAnsi="宋体"/>
          <w:sz w:val="24"/>
          <w:lang w:val="zh-CN"/>
        </w:rPr>
        <w:t xml:space="preserve">他供应</w:t>
      </w:r>
      <w:r>
        <w:rPr>
          <w:rFonts w:hint="eastAsia" w:ascii="宋体" w:hAnsi="宋体"/>
          <w:sz w:val="24"/>
          <w:lang w:val="zh-CN"/>
        </w:rPr>
        <w:t xml:space="preserve">商、评审专家、采购人或交易中心工作人员恶意串通。</w:t>
      </w:r>
      <w:r/>
    </w:p>
    <w:p>
      <w:pPr>
        <w:ind w:firstLine="420"/>
      </w:pPr>
      <w:r>
        <w:rPr>
          <w:rFonts w:hint="eastAsia" w:ascii="宋体" w:hAnsi="宋体"/>
          <w:sz w:val="24"/>
          <w:lang w:val="zh-CN"/>
        </w:rPr>
        <w:t xml:space="preserve">26.4.4 不满足</w:t>
      </w:r>
      <w:r>
        <w:rPr>
          <w:rFonts w:hint="eastAsia" w:ascii="宋体" w:hAnsi="宋体"/>
          <w:sz w:val="24"/>
          <w:lang w:val="zh-CN"/>
        </w:rPr>
        <w:t xml:space="preserve">本谈判</w:t>
      </w:r>
      <w:r>
        <w:rPr>
          <w:rFonts w:hint="eastAsia" w:ascii="宋体" w:hAnsi="宋体"/>
          <w:sz w:val="24"/>
          <w:lang w:val="zh-CN"/>
        </w:rPr>
        <w:t xml:space="preserve">文件规定的实质性要求，但在评审过程中未被谈判小组发现。</w:t>
      </w:r>
      <w:r/>
    </w:p>
    <w:p>
      <w:pPr>
        <w:ind w:firstLine="420"/>
      </w:pPr>
      <w:r>
        <w:rPr>
          <w:rFonts w:hint="eastAsia" w:ascii="宋体" w:hAnsi="宋体"/>
          <w:sz w:val="24"/>
          <w:lang w:val="zh-CN"/>
        </w:rPr>
        <w:t xml:space="preserve">26.4.5 采取不正当手段诋毁、排挤其他供应商。</w:t>
      </w:r>
      <w:r/>
    </w:p>
    <w:p>
      <w:pPr>
        <w:pStyle w:val="719"/>
        <w:ind w:firstLine="422"/>
        <w:spacing w:before="0" w:after="0" w:line="240" w:lineRule="auto"/>
      </w:pPr>
      <w:r>
        <w:rPr>
          <w:rFonts w:hint="eastAsia" w:ascii="方正楷体_GBK" w:hAnsi="方正楷体_GBK" w:eastAsia="方正楷体_GBK" w:cs="方正楷体_GBK"/>
        </w:rPr>
        <w:t xml:space="preserve">27.成交通知书</w:t>
      </w:r>
      <w:r/>
    </w:p>
    <w:p>
      <w:pPr>
        <w:ind w:firstLine="420"/>
      </w:pPr>
      <w:r>
        <w:rPr>
          <w:rFonts w:hint="eastAsia" w:ascii="宋体" w:hAnsi="宋体"/>
          <w:sz w:val="24"/>
          <w:szCs w:val="21"/>
        </w:rPr>
        <w:t xml:space="preserve">27.1 成交结果确定后，交易中心将向成交供应商发出《成交通知书》。成交供应商可在成交结果公告届满之日起三十日内，登录苏</w:t>
      </w:r>
      <w:r>
        <w:rPr>
          <w:rFonts w:hint="eastAsia" w:ascii="宋体" w:hAnsi="宋体"/>
          <w:sz w:val="24"/>
          <w:szCs w:val="21"/>
        </w:rPr>
        <w:t xml:space="preserve">采云</w:t>
      </w:r>
      <w:r>
        <w:rPr>
          <w:rFonts w:hint="eastAsia" w:ascii="宋体" w:hAnsi="宋体"/>
          <w:sz w:val="24"/>
          <w:szCs w:val="21"/>
        </w:rPr>
        <w:t xml:space="preserve">系统下载。    </w:t>
      </w:r>
      <w:r/>
    </w:p>
    <w:p>
      <w:pPr>
        <w:ind w:firstLine="420"/>
      </w:pPr>
      <w:r>
        <w:rPr>
          <w:rFonts w:hint="eastAsia" w:ascii="宋体" w:hAnsi="宋体"/>
          <w:sz w:val="24"/>
          <w:szCs w:val="21"/>
        </w:rPr>
        <w:t xml:space="preserve">因系统存储空间有限，成交结果公告届满之日起三十日后，苏</w:t>
      </w:r>
      <w:r>
        <w:rPr>
          <w:rFonts w:hint="eastAsia" w:ascii="宋体" w:hAnsi="宋体"/>
          <w:sz w:val="24"/>
          <w:szCs w:val="21"/>
        </w:rPr>
        <w:t xml:space="preserve">采云</w:t>
      </w:r>
      <w:r>
        <w:rPr>
          <w:rFonts w:hint="eastAsia" w:ascii="宋体" w:hAnsi="宋体"/>
          <w:sz w:val="24"/>
          <w:szCs w:val="21"/>
        </w:rPr>
        <w:t xml:space="preserve">系统不再保证提供下载《成交通知书》服务，因未及时下载而造成的不利后果</w:t>
      </w:r>
      <w:r>
        <w:rPr>
          <w:rFonts w:hint="eastAsia" w:ascii="宋体" w:hAnsi="宋体"/>
          <w:sz w:val="24"/>
          <w:szCs w:val="21"/>
        </w:rPr>
        <w:t xml:space="preserve">由成交</w:t>
      </w:r>
      <w:r>
        <w:rPr>
          <w:rFonts w:hint="eastAsia" w:ascii="宋体" w:hAnsi="宋体"/>
          <w:sz w:val="24"/>
          <w:szCs w:val="21"/>
        </w:rPr>
        <w:t xml:space="preserve">供应商自行承担。</w:t>
      </w:r>
      <w:r/>
    </w:p>
    <w:p>
      <w:pPr>
        <w:ind w:firstLine="420"/>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七、授予合同</w:t>
      </w:r>
      <w:r/>
    </w:p>
    <w:p>
      <w:pPr>
        <w:pStyle w:val="719"/>
        <w:ind w:firstLine="422"/>
        <w:spacing w:before="0" w:after="0" w:line="240" w:lineRule="auto"/>
      </w:pPr>
      <w:r>
        <w:rPr>
          <w:rFonts w:hint="eastAsia" w:ascii="方正楷体_GBK" w:hAnsi="方正楷体_GBK" w:eastAsia="方正楷体_GBK" w:cs="方正楷体_GBK"/>
        </w:rPr>
        <w:t xml:space="preserve">28.签订合同</w:t>
      </w:r>
      <w:r/>
    </w:p>
    <w:p>
      <w:pPr>
        <w:ind w:firstLine="420"/>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采购人于合同签订后2个工作日内通过苏</w:t>
      </w:r>
      <w:r>
        <w:rPr>
          <w:rFonts w:hint="eastAsia" w:ascii="宋体" w:hAnsi="宋体"/>
          <w:sz w:val="24"/>
        </w:rPr>
        <w:t xml:space="preserve">采云</w:t>
      </w:r>
      <w:r>
        <w:rPr>
          <w:rFonts w:hint="eastAsia" w:ascii="宋体" w:hAnsi="宋体"/>
          <w:sz w:val="24"/>
        </w:rPr>
        <w:t xml:space="preserve">系统进行公示。</w:t>
      </w:r>
      <w:r/>
    </w:p>
    <w:p>
      <w:pPr>
        <w:ind w:firstLine="420"/>
      </w:pPr>
      <w:r>
        <w:rPr>
          <w:rFonts w:hint="eastAsia" w:ascii="宋体" w:hAnsi="宋体"/>
          <w:sz w:val="24"/>
          <w:szCs w:val="21"/>
        </w:rPr>
        <w:t xml:space="preserve">28.2 谈判文件、成交供应商的响应文件及谈判过程中有关澄清、承诺文件均作为合同附件。</w:t>
      </w:r>
      <w:r/>
    </w:p>
    <w:p>
      <w:pPr>
        <w:ind w:firstLine="420"/>
      </w:pPr>
      <w:r>
        <w:rPr>
          <w:rFonts w:hint="eastAsia" w:ascii="宋体" w:hAnsi="宋体"/>
          <w:sz w:val="24"/>
          <w:szCs w:val="21"/>
        </w:rPr>
        <w:t xml:space="preserve">28.3 签订合同后，成交供应商不得将合同标的进行转包。未经采购人同意，成交供应商</w:t>
      </w:r>
      <w:r>
        <w:rPr>
          <w:rFonts w:hint="eastAsia" w:ascii="宋体" w:hAnsi="宋体"/>
          <w:sz w:val="24"/>
          <w:szCs w:val="21"/>
        </w:rPr>
        <w:t xml:space="preserve">也不得采用分包形式履行合同,否则采购人有权终止合同。转包或分包造成采购人损失的，成交供应商应承担相应赔偿责任。</w:t>
      </w:r>
      <w:r/>
    </w:p>
    <w:p>
      <w:pPr>
        <w:ind w:firstLine="420"/>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9"/>
        <w:ind w:firstLine="422"/>
        <w:spacing w:before="0" w:after="0" w:line="240" w:lineRule="auto"/>
      </w:pPr>
      <w:r>
        <w:rPr>
          <w:rFonts w:hint="eastAsia" w:ascii="方正楷体_GBK" w:hAnsi="方正楷体_GBK" w:eastAsia="方正楷体_GBK" w:cs="方正楷体_GBK"/>
        </w:rPr>
        <w:t xml:space="preserve">29.标的物的追加</w:t>
      </w:r>
      <w:r/>
    </w:p>
    <w:p>
      <w:pPr>
        <w:ind w:firstLine="420"/>
      </w:pPr>
      <w:r>
        <w:rPr>
          <w:rFonts w:hint="eastAsia" w:ascii="宋体" w:hAnsi="宋体"/>
          <w:sz w:val="24"/>
          <w:szCs w:val="21"/>
        </w:rPr>
        <w:t xml:space="preserve">29.1 政府采购合同履行中，采购人需追加与合同标的相同的</w:t>
      </w:r>
      <w:r>
        <w:rPr>
          <w:rFonts w:hint="eastAsia" w:ascii="宋体" w:hAnsi="宋体" w:cs="Courier New"/>
          <w:color w:val="000000"/>
          <w:sz w:val="24"/>
          <w:szCs w:val="24"/>
          <w:lang w:val="zh-CN"/>
        </w:rPr>
        <w:t xml:space="preserve">货物或服务（包含与货物相关的服务</w:t>
      </w:r>
      <w:r>
        <w:rPr>
          <w:rFonts w:hint="eastAsia" w:ascii="宋体" w:hAnsi="宋体" w:cs="Courier New"/>
          <w:color w:val="000000"/>
          <w:sz w:val="24"/>
          <w:szCs w:val="24"/>
        </w:rPr>
        <w:t xml:space="preserve">或</w:t>
      </w:r>
      <w:r>
        <w:rPr>
          <w:rFonts w:hint="eastAsia" w:ascii="宋体" w:hAnsi="宋体" w:cs="Courier New"/>
          <w:color w:val="000000"/>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719"/>
        <w:ind w:firstLine="422"/>
        <w:spacing w:before="0" w:after="0" w:line="240" w:lineRule="auto"/>
      </w:pPr>
      <w:r>
        <w:rPr>
          <w:rFonts w:hint="eastAsia" w:ascii="方正楷体_GBK" w:hAnsi="方正楷体_GBK" w:eastAsia="方正楷体_GBK" w:cs="方正楷体_GBK"/>
        </w:rPr>
        <w:t xml:space="preserve">30.政府采购履约资金扶持政策</w:t>
      </w:r>
      <w:r/>
    </w:p>
    <w:p>
      <w:pPr>
        <w:ind w:firstLine="420"/>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八、质疑</w:t>
      </w:r>
      <w:r/>
    </w:p>
    <w:p>
      <w:pPr>
        <w:ind w:firstLine="420"/>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w:t>
      </w:r>
      <w:r>
        <w:rPr>
          <w:rFonts w:hint="eastAsia" w:ascii="宋体" w:hAnsi="宋体"/>
          <w:sz w:val="24"/>
          <w:lang w:val="zh-CN"/>
        </w:rPr>
        <w:t xml:space="preserve">本谈判</w:t>
      </w:r>
      <w:r>
        <w:rPr>
          <w:rFonts w:hint="eastAsia" w:ascii="宋体" w:hAnsi="宋体"/>
          <w:sz w:val="24"/>
          <w:lang w:val="zh-CN"/>
        </w:rPr>
        <w:t xml:space="preserve">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w:t>
      </w:r>
      <w:r>
        <w:rPr>
          <w:rFonts w:hint="eastAsia" w:ascii="宋体" w:hAnsi="宋体" w:cs="仿宋"/>
          <w:b/>
          <w:bCs/>
          <w:sz w:val="24"/>
          <w:szCs w:val="24"/>
        </w:rPr>
        <w:t xml:space="preserve">商法定</w:t>
      </w:r>
      <w:r>
        <w:rPr>
          <w:rFonts w:hint="eastAsia" w:ascii="宋体" w:hAnsi="宋体" w:cs="仿宋"/>
          <w:b/>
          <w:bCs/>
          <w:sz w:val="24"/>
          <w:szCs w:val="24"/>
        </w:rPr>
        <w:t xml:space="preserve">代表人或主要负责人签署的《授权委托书》。</w:t>
      </w:r>
      <w:r/>
    </w:p>
    <w:p>
      <w:pPr>
        <w:ind w:firstLine="420"/>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供应商根据质疑事项向相应的质疑答复主体提出质疑，具体详见采购文件第一章。由采购人负责答复的质疑，采购人将《质疑答复函》抄送交易中心。</w:t>
      </w:r>
      <w:r/>
    </w:p>
    <w:p>
      <w:pPr>
        <w:ind w:firstLine="420"/>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8"/>
        <w:ind w:firstLine="465"/>
        <w:spacing w:before="145" w:after="145" w:line="240" w:lineRule="auto"/>
      </w:pPr>
      <w:r>
        <w:rPr>
          <w:rFonts w:hint="eastAsia" w:ascii="方正黑体_GBK" w:hAnsi="方正黑体_GBK" w:eastAsia="方正黑体_GBK" w:cs="方正黑体_GBK"/>
          <w:b w:val="0"/>
          <w:bCs w:val="0"/>
          <w:sz w:val="30"/>
          <w:szCs w:val="30"/>
        </w:rPr>
        <w:t xml:space="preserve">九、政策功能落实</w:t>
      </w:r>
      <w:r/>
    </w:p>
    <w:p>
      <w:pPr>
        <w:pStyle w:val="719"/>
        <w:ind w:firstLine="422"/>
        <w:spacing w:before="0" w:after="0" w:line="240" w:lineRule="auto"/>
      </w:pPr>
      <w:r>
        <w:rPr>
          <w:rFonts w:hint="eastAsia" w:ascii="方正楷体_GBK" w:hAnsi="方正楷体_GBK" w:eastAsia="方正楷体_GBK" w:cs="方正楷体_GBK"/>
          <w:lang w:val="zh-CN"/>
        </w:rPr>
        <w:t xml:space="preserve">38.促进中小企业发展</w:t>
      </w:r>
      <w:r/>
    </w:p>
    <w:p>
      <w:pPr>
        <w:ind w:firstLine="420"/>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ind w:firstLine="420"/>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ind w:firstLine="420"/>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ind w:firstLine="420"/>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9"/>
        <w:ind w:firstLine="422"/>
        <w:spacing w:before="0" w:after="0" w:line="240" w:lineRule="auto"/>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sz w:val="24"/>
        </w:rPr>
        <w:t xml:space="preserve">且依据</w:t>
      </w:r>
      <w:r>
        <w:rPr>
          <w:rFonts w:hint="eastAsia" w:ascii="宋体" w:hAnsi="宋体"/>
          <w:sz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sz w:val="24"/>
        </w:rPr>
        <w:t xml:space="preserve">且依据</w:t>
      </w:r>
      <w:r>
        <w:rPr>
          <w:rFonts w:hint="eastAsia" w:ascii="宋体" w:hAnsi="宋体"/>
          <w:sz w:val="24"/>
        </w:rPr>
        <w:t xml:space="preserve">相关标准的最新版本认证的环境标志产品。国家对品目清单进行调整的，按照最新的品目清单执行。</w:t>
      </w:r>
      <w:r/>
    </w:p>
    <w:p>
      <w:pPr>
        <w:ind w:firstLine="420"/>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w:t>
      </w:r>
      <w:r>
        <w:rPr>
          <w:rFonts w:hint="eastAsia" w:ascii="宋体" w:hAnsi="宋体"/>
          <w:sz w:val="24"/>
        </w:rPr>
        <w:t xml:space="preserve">章成交</w:t>
      </w:r>
      <w:r>
        <w:rPr>
          <w:rFonts w:hint="eastAsia" w:ascii="宋体" w:hAnsi="宋体"/>
          <w:sz w:val="24"/>
        </w:rPr>
        <w:t xml:space="preserve">标准</w:t>
      </w:r>
      <w:r>
        <w:rPr>
          <w:rFonts w:hint="eastAsia" w:ascii="宋体" w:hAnsi="宋体"/>
          <w:sz w:val="24"/>
          <w:lang w:val="zh-CN"/>
        </w:rPr>
        <w:t xml:space="preserve">）。</w:t>
      </w:r>
      <w:r/>
    </w:p>
    <w:p>
      <w:pPr>
        <w:pStyle w:val="719"/>
        <w:ind w:firstLine="422"/>
        <w:spacing w:before="0" w:after="0" w:line="240" w:lineRule="auto"/>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Pr>
      <w:r>
        <w:rPr>
          <w:rFonts w:hint="eastAsia" w:ascii="宋体" w:hAnsi="宋体"/>
          <w:sz w:val="24"/>
        </w:rPr>
        <w:t xml:space="preserve">40.4 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9"/>
        <w:ind w:firstLine="422"/>
        <w:spacing w:before="0" w:after="0" w:line="240" w:lineRule="auto"/>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9"/>
        <w:ind w:firstLine="422"/>
        <w:spacing w:before="0" w:after="0" w:line="240" w:lineRule="auto"/>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签订合同及验收环节，应包含上述网络安全要求的条款。</w:t>
      </w:r>
      <w:r/>
    </w:p>
    <w:p>
      <w:pPr>
        <w:ind w:firstLine="420"/>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签订合同及验收环节，应包含上述市场准入类资质要求的条款。</w:t>
      </w:r>
      <w:r/>
    </w:p>
    <w:p>
      <w:pPr>
        <w:pStyle w:val="719"/>
        <w:ind w:firstLine="422"/>
        <w:spacing w:before="0" w:after="0" w:line="240" w:lineRule="auto"/>
      </w:pPr>
      <w:r>
        <w:rPr>
          <w:rFonts w:hint="eastAsia" w:ascii="方正楷体_GBK" w:hAnsi="方正楷体_GBK" w:eastAsia="方正楷体_GBK" w:cs="方正楷体_GBK"/>
          <w:lang w:val="zh-CN"/>
        </w:rPr>
        <w:t xml:space="preserve">43.实施本国产品标准及相关政策</w:t>
      </w:r>
      <w:r/>
    </w:p>
    <w:p>
      <w:pPr>
        <w:ind w:firstLine="420"/>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w:t>
      </w:r>
      <w:r>
        <w:rPr>
          <w:rFonts w:hint="eastAsia" w:ascii="宋体" w:hAnsi="宋体"/>
          <w:sz w:val="24"/>
        </w:rPr>
        <w:t xml:space="preserve">宁财购通</w:t>
      </w:r>
      <w:r>
        <w:rPr>
          <w:rFonts w:hint="eastAsia" w:ascii="宋体" w:hAnsi="宋体"/>
          <w:sz w:val="24"/>
        </w:rPr>
        <w:t xml:space="preserve">〔2025〕78号）等文件规定，在政府采购中实施本国产品标准及相关政策</w:t>
      </w:r>
      <w:r>
        <w:rPr>
          <w:rFonts w:hint="eastAsia" w:ascii="宋体" w:hAnsi="宋体"/>
          <w:sz w:val="24"/>
          <w:lang w:val="zh-CN"/>
        </w:rPr>
        <w:t xml:space="preserve">。</w:t>
      </w:r>
      <w:r/>
    </w:p>
    <w:p>
      <w:pPr>
        <w:ind w:firstLine="420"/>
      </w:pPr>
      <w:r>
        <w:rPr>
          <w:rFonts w:hint="eastAsia" w:ascii="宋体" w:hAnsi="宋体"/>
          <w:sz w:val="24"/>
          <w:lang w:val="zh-CN"/>
        </w:rPr>
        <w:t xml:space="preserve">43.2本国产品应当符合以下条件：</w:t>
      </w:r>
      <w:r/>
    </w:p>
    <w:p>
      <w:pPr>
        <w:ind w:firstLine="420"/>
      </w:pPr>
      <w:r>
        <w:rPr>
          <w:rFonts w:hint="eastAsia" w:ascii="宋体" w:hAnsi="宋体"/>
          <w:sz w:val="24"/>
          <w:lang w:val="zh-CN"/>
        </w:rPr>
        <w:t xml:space="preserve">（1）在中国境内生产</w:t>
      </w:r>
      <w:r/>
    </w:p>
    <w:p>
      <w:pPr>
        <w:ind w:firstLine="420"/>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Pr>
      <w:r>
        <w:rPr>
          <w:rFonts w:hint="eastAsia" w:ascii="宋体" w:hAnsi="宋体"/>
          <w:sz w:val="24"/>
          <w:lang w:val="zh-CN"/>
        </w:rPr>
        <w:t xml:space="preserve">（2）在中国境内生产的组件成本占比达到规定比例</w:t>
      </w:r>
      <w:r/>
    </w:p>
    <w:p>
      <w:pPr>
        <w:ind w:firstLine="420"/>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Pr>
      <w:r>
        <w:rPr>
          <w:rFonts w:hint="eastAsia" w:ascii="宋体" w:hAnsi="宋体"/>
          <w:sz w:val="24"/>
          <w:lang w:val="zh-CN"/>
        </w:rPr>
        <w:t xml:space="preserve">（3）特定产品的关键组件、关键工序符合相关要求</w:t>
      </w:r>
      <w:r/>
    </w:p>
    <w:p>
      <w:pPr>
        <w:ind w:firstLine="420"/>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Pr>
      <w:r>
        <w:rPr>
          <w:rFonts w:hint="eastAsia" w:ascii="宋体" w:hAnsi="宋体"/>
          <w:sz w:val="24"/>
          <w:lang w:val="zh-CN"/>
        </w:rPr>
        <w:t xml:space="preserve">43.3本国产品标准的适用范围</w:t>
      </w:r>
      <w:r/>
    </w:p>
    <w:p>
      <w:pPr>
        <w:ind w:firstLine="420"/>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Pr>
      <w:r>
        <w:rPr>
          <w:rFonts w:hint="eastAsia" w:ascii="宋体" w:hAnsi="宋体"/>
          <w:sz w:val="24"/>
        </w:rPr>
        <w:t xml:space="preserve">43.4对本国产品的支持政策</w:t>
      </w:r>
      <w:r/>
    </w:p>
    <w:p>
      <w:pPr>
        <w:ind w:firstLine="422"/>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pPr>
      <w:r>
        <w:rPr>
          <w:rFonts w:hint="eastAsia" w:ascii="宋体" w:hAnsi="宋体"/>
          <w:sz w:val="24"/>
        </w:rPr>
        <w:t xml:space="preserve">43.5政策执行要求</w:t>
      </w:r>
      <w:r/>
    </w:p>
    <w:p>
      <w:pPr>
        <w:ind w:firstLine="420"/>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w:t>
      </w:r>
      <w:r>
        <w:rPr>
          <w:rFonts w:hint="eastAsia" w:ascii="宋体" w:hAnsi="宋体"/>
          <w:sz w:val="24"/>
          <w:lang w:val="zh-CN"/>
        </w:rPr>
        <w:t xml:space="preserve">作出</w:t>
      </w:r>
      <w:r>
        <w:rPr>
          <w:rFonts w:hint="eastAsia" w:ascii="宋体" w:hAnsi="宋体"/>
          <w:sz w:val="24"/>
          <w:lang w:val="zh-CN"/>
        </w:rPr>
        <w:t xml:space="preserve">必要的澄清、说明或者补正。经澄清、说明或者补正的《关于符合本国产品标准的声明函》仍然不符合在政府采购中实施本国产品标准及相关政策规定要求的，供应商提供的相关产品视为不符合本国产品标准。</w:t>
      </w:r>
      <w:r/>
    </w:p>
    <w:p>
      <w:pPr>
        <w:jc w:val="center"/>
        <w:spacing w:before="120" w:after="120" w:line="0" w:lineRule="atLeast"/>
      </w:pPr>
      <w:r/>
      <w:r/>
    </w:p>
    <w:p>
      <w:pPr>
        <w:pStyle w:val="768"/>
        <w:ind w:firstLine="880"/>
        <w:rPr>
          <w:rFonts w:hint="eastAsia"/>
        </w:rPr>
      </w:pPr>
      <w:r>
        <w:rPr>
          <w:rFonts w:hint="eastAsia"/>
        </w:rPr>
      </w:r>
      <w:r/>
    </w:p>
    <w:p>
      <w:r/>
      <w:r/>
    </w:p>
    <w:p>
      <w:pPr>
        <w:pStyle w:val="768"/>
        <w:ind w:firstLine="880"/>
        <w:rPr>
          <w:rFonts w:hint="eastAsia"/>
        </w:rPr>
      </w:pPr>
      <w:r>
        <w:rPr>
          <w:rFonts w:hint="eastAsia"/>
        </w:rPr>
      </w:r>
      <w:r/>
    </w:p>
    <w:p>
      <w:r/>
      <w:r/>
    </w:p>
    <w:p>
      <w:pPr>
        <w:pStyle w:val="768"/>
        <w:rPr>
          <w:rFonts w:hint="eastAsia"/>
        </w:rPr>
      </w:pPr>
      <w:r>
        <w:rPr>
          <w:rFonts w:hint="eastAsia"/>
        </w:rPr>
      </w:r>
      <w:r/>
    </w:p>
    <w:p>
      <w:r/>
      <w:r/>
    </w:p>
    <w:p>
      <w:pPr>
        <w:pStyle w:val="768"/>
        <w:rPr>
          <w:rFonts w:hint="eastAsia"/>
        </w:rPr>
      </w:pPr>
      <w:r>
        <w:rPr>
          <w:rFonts w:hint="eastAsia"/>
        </w:rPr>
      </w:r>
      <w:r>
        <w:rPr>
          <w:rFonts w:hint="eastAsia"/>
        </w:rPr>
      </w:r>
      <w:r/>
    </w:p>
    <w:p>
      <w:pPr>
        <w:pStyle w:val="768"/>
        <w:rPr>
          <w:rFonts w:hint="eastAsia"/>
        </w:rPr>
      </w:pPr>
      <w:r>
        <w:rPr>
          <w:rFonts w:hint="eastAsia"/>
        </w:rPr>
      </w:r>
      <w:r>
        <w:rPr>
          <w:rFonts w:hint="eastAsia"/>
        </w:rPr>
      </w:r>
      <w:r/>
    </w:p>
    <w:p>
      <w:pPr>
        <w:pStyle w:val="768"/>
        <w:rPr>
          <w:rFonts w:hint="eastAsia"/>
        </w:rPr>
      </w:pPr>
      <w:r>
        <w:rPr>
          <w:rFonts w:hint="eastAsia"/>
        </w:rPr>
      </w:r>
      <w:r>
        <w:rPr>
          <w:rFonts w:hint="eastAsia"/>
        </w:rPr>
      </w:r>
      <w:r/>
    </w:p>
    <w:p>
      <w:pPr>
        <w:pStyle w:val="768"/>
        <w:rPr>
          <w:rFonts w:hint="eastAsia"/>
        </w:rPr>
      </w:pPr>
      <w:r>
        <w:rPr>
          <w:rFonts w:hint="eastAsia"/>
        </w:rPr>
      </w:r>
      <w:r>
        <w:rPr>
          <w:rFonts w:hint="eastAsia"/>
        </w:rPr>
      </w:r>
      <w:r/>
    </w:p>
    <w:p>
      <w:pPr>
        <w:pStyle w:val="768"/>
        <w:rPr>
          <w:rFonts w:hint="eastAsia"/>
        </w:rPr>
      </w:pPr>
      <w:r>
        <w:rPr>
          <w:rFonts w:hint="eastAsia"/>
        </w:rPr>
      </w:r>
      <w:r>
        <w:rPr>
          <w:rFonts w:hint="eastAsia"/>
        </w:rPr>
      </w:r>
      <w:r/>
    </w:p>
    <w:p>
      <w:pPr>
        <w:pStyle w:val="768"/>
        <w:rPr>
          <w:rFonts w:hint="eastAsia"/>
        </w:rPr>
      </w:pPr>
      <w:r>
        <w:rPr>
          <w:rFonts w:hint="eastAsia"/>
        </w:rPr>
      </w:r>
      <w:r/>
    </w:p>
    <w:p>
      <w:r/>
      <w:r/>
    </w:p>
    <w:p>
      <w:pPr>
        <w:jc w:val="center"/>
        <w:spacing w:before="120" w:after="120" w:line="0" w:lineRule="atLeast"/>
      </w:pPr>
      <w:r/>
      <w:r/>
    </w:p>
    <w:p>
      <w:pPr>
        <w:jc w:val="center"/>
        <w:spacing w:before="120" w:after="120" w:line="0" w:lineRule="atLeast"/>
      </w:pPr>
      <w:r/>
      <w:r/>
    </w:p>
    <w:p>
      <w:pPr>
        <w:jc w:val="center"/>
      </w:pPr>
      <w:r>
        <w:rPr>
          <w:rFonts w:hint="eastAsia" w:ascii="方正小标宋简体" w:hAnsi="方正小标宋简体" w:eastAsia="方正小标宋简体" w:cs="方正小标宋简体"/>
          <w:color w:val="000000"/>
          <w:sz w:val="36"/>
          <w:szCs w:val="36"/>
        </w:rPr>
        <w:t xml:space="preserve">第三章  合同文本</w:t>
      </w:r>
      <w:r/>
    </w:p>
    <w:p>
      <w:pPr>
        <w:ind w:firstLine="480"/>
      </w:pPr>
      <w:r>
        <w:rPr>
          <w:rFonts w:hint="eastAsia" w:ascii="宋体" w:hAnsi="宋体"/>
          <w:bCs/>
          <w:color w:val="000000"/>
          <w:sz w:val="24"/>
          <w:szCs w:val="21"/>
        </w:rPr>
        <w:t xml:space="preserve">以下为本项目的合同条款，合同双方不得对谈判、响应文件内容作实质性修改。</w:t>
      </w:r>
      <w:r/>
    </w:p>
    <w:p>
      <w:pPr>
        <w:jc w:val="center"/>
        <w:spacing w:before="145" w:after="145"/>
      </w:pPr>
      <w:r/>
      <w:r/>
    </w:p>
    <w:p>
      <w:pPr>
        <w:jc w:val="center"/>
        <w:spacing w:before="145" w:after="145"/>
        <w:outlineLvl w:val="1"/>
      </w:pPr>
      <w:r>
        <w:rPr>
          <w:rFonts w:hint="eastAsia" w:ascii="方正小标宋简体" w:hAnsi="方正小标宋简体" w:eastAsia="方正小标宋简体" w:cs="方正小标宋简体"/>
          <w:bCs/>
          <w:color w:val="000000"/>
          <w:sz w:val="32"/>
          <w:szCs w:val="32"/>
        </w:rPr>
        <w:t xml:space="preserve">政府采购合同</w:t>
      </w:r>
      <w:r/>
    </w:p>
    <w:p>
      <w:pPr>
        <w:jc w:val="left"/>
        <w:spacing w:before="145" w:after="145"/>
      </w:pPr>
      <w:r>
        <w:rPr>
          <w:rFonts w:ascii="宋体" w:hAnsi="宋体" w:cs="Courier New"/>
          <w:color w:val="000000"/>
          <w:sz w:val="24"/>
          <w:szCs w:val="24"/>
        </w:rPr>
        <w:t xml:space="preserve">合同编号：</w:t>
      </w:r>
      <w:r/>
    </w:p>
    <w:p>
      <w:pPr>
        <w:spacing w:before="145" w:after="145"/>
      </w:pPr>
      <w:r>
        <w:rPr>
          <w:rFonts w:ascii="宋体" w:hAnsi="宋体" w:cs="Courier New"/>
          <w:color w:val="000000"/>
          <w:sz w:val="24"/>
          <w:szCs w:val="24"/>
        </w:rPr>
        <w:t xml:space="preserve">项目名称：                                       项目编号：</w:t>
      </w:r>
      <w:r/>
    </w:p>
    <w:p>
      <w:pPr>
        <w:jc w:val="left"/>
        <w:spacing w:before="145" w:after="145"/>
      </w:pPr>
      <w:r>
        <w:rPr>
          <w:rFonts w:ascii="宋体" w:hAnsi="宋体" w:cs="Courier New"/>
          <w:color w:val="000000"/>
          <w:sz w:val="24"/>
          <w:szCs w:val="24"/>
        </w:rPr>
        <w:t xml:space="preserve">甲方（买方）：</w:t>
      </w:r>
      <w:r/>
    </w:p>
    <w:p>
      <w:pPr>
        <w:jc w:val="left"/>
        <w:spacing w:before="145" w:after="145"/>
      </w:pPr>
      <w:r>
        <w:rPr>
          <w:rFonts w:ascii="宋体" w:hAnsi="宋体" w:cs="Courier New"/>
          <w:color w:val="000000"/>
          <w:sz w:val="24"/>
          <w:szCs w:val="24"/>
        </w:rPr>
        <w:t xml:space="preserve">乙方（卖方）：</w:t>
      </w:r>
      <w:r/>
    </w:p>
    <w:p>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outlineLvl w:val="1"/>
      </w:pPr>
      <w:r>
        <w:rPr>
          <w:rFonts w:hint="eastAsia" w:ascii="方正黑体_GBK" w:hAnsi="方正黑体_GBK" w:eastAsia="方正黑体_GBK" w:cs="方正黑体_GBK"/>
          <w:bCs/>
          <w:color w:val="000000"/>
          <w:sz w:val="24"/>
          <w:szCs w:val="24"/>
        </w:rPr>
        <w:t xml:space="preserve">一、合同内容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rPr>
          <w:rFonts w:ascii="宋体" w:hAnsi="宋体" w:cs="宋体"/>
          <w:color w:val="000000" w:themeColor="text1"/>
          <w:sz w:val="24"/>
        </w:rPr>
        <w:t xml:space="preserve">按谈判文件及响应文件执行。</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1.3 标的数量（规模）：按谈判文件及响应文件执行。</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1.4 履行时间（期限）：按谈判文件及响应文件执行。</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1.5 履行地点：甲方指定地点。</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1.6 履行方式：按谈判文件及响应文件执行。</w:t>
      </w: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1.7 包装方式：按谈判文件及响应文件执行。</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 合同组成：关于本项目的谈判文件、响应文件、工作说明书（如有）、绩效目标考核方法（如有）是本合同的组成部分，本合同未约定的，双方应当按照上述文件履行，如上述文件存在冲突的，以甲方选择的解释顺序为准。</w:t>
      </w:r>
      <w:r/>
    </w:p>
    <w:p>
      <w:pPr>
        <w:outlineLvl w:val="1"/>
      </w:pPr>
      <w:r>
        <w:rPr>
          <w:rFonts w:hint="eastAsia" w:ascii="方正黑体_GBK" w:hAnsi="方正黑体_GBK" w:eastAsia="方正黑体_GBK" w:cs="方正黑体_GBK"/>
          <w:bCs/>
          <w:sz w:val="24"/>
          <w:szCs w:val="24"/>
        </w:rPr>
        <w:t xml:space="preserve">二、合同金额</w:t>
      </w:r>
      <w:r/>
    </w:p>
    <w:p>
      <w:pPr>
        <w:pStyle w:val="744"/>
      </w:pPr>
      <w:r>
        <w:rPr>
          <w:rFonts w:hAnsi="宋体"/>
          <w:sz w:val="24"/>
          <w:szCs w:val="24"/>
        </w:rPr>
        <w:t xml:space="preserve">2.1 </w:t>
      </w:r>
      <w:r>
        <w:rPr>
          <w:rFonts w:hint="eastAsia" w:hAnsi="宋体"/>
          <w:sz w:val="24"/>
          <w:szCs w:val="24"/>
        </w:rPr>
        <w:t xml:space="preserve">本合同金额为（大写）：</w:t>
      </w:r>
      <w:r>
        <w:rPr>
          <w:rFonts w:hint="eastAsia" w:hAnsi="宋体"/>
          <w:sz w:val="24"/>
          <w:szCs w:val="24"/>
          <w:u w:val="single"/>
        </w:rPr>
        <w:t xml:space="preserve">                     </w:t>
      </w:r>
      <w:r>
        <w:rPr>
          <w:rFonts w:hint="eastAsia" w:hAnsi="宋体"/>
          <w:sz w:val="24"/>
          <w:szCs w:val="24"/>
        </w:rPr>
        <w:t xml:space="preserve">圆（</w:t>
      </w:r>
      <w:r>
        <w:rPr>
          <w:rFonts w:hint="eastAsia" w:hAnsi="宋体"/>
          <w:sz w:val="24"/>
          <w:szCs w:val="24"/>
          <w:u w:val="single"/>
        </w:rPr>
        <w:t xml:space="preserve">                  </w:t>
      </w:r>
      <w:r>
        <w:rPr>
          <w:rFonts w:hint="eastAsia" w:hAnsi="宋体"/>
          <w:sz w:val="24"/>
          <w:szCs w:val="24"/>
        </w:rPr>
        <w:t xml:space="preserve">元）人民币。</w:t>
      </w:r>
      <w:r/>
    </w:p>
    <w:p>
      <w:pPr>
        <w:outlineLvl w:val="1"/>
      </w:pPr>
      <w:r>
        <w:rPr>
          <w:rFonts w:hint="eastAsia" w:ascii="方正黑体_GBK" w:hAnsi="方正黑体_GBK" w:eastAsia="方正黑体_GBK" w:cs="方正黑体_GBK"/>
          <w:bCs/>
          <w:color w:val="000000"/>
          <w:sz w:val="24"/>
          <w:szCs w:val="24"/>
        </w:rPr>
        <w:t xml:space="preserve">三、技术资料</w:t>
      </w:r>
      <w:r/>
    </w:p>
    <w:p>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乙方应按谈判文件规定的时间向甲方提供</w:t>
      </w:r>
      <w:r>
        <w:rPr>
          <w:rFonts w:hint="eastAsia" w:ascii="宋体" w:hAnsi="宋体" w:cs="Courier New"/>
          <w:color w:val="000000"/>
          <w:sz w:val="24"/>
          <w:szCs w:val="24"/>
          <w:lang w:val="zh-CN"/>
        </w:rPr>
        <w:t xml:space="preserve">货物、服务（包含与货物相关的服务</w:t>
      </w:r>
      <w:r>
        <w:rPr>
          <w:rFonts w:hint="eastAsia" w:ascii="宋体" w:hAnsi="宋体" w:cs="Courier New"/>
          <w:color w:val="000000"/>
          <w:sz w:val="24"/>
          <w:szCs w:val="24"/>
        </w:rPr>
        <w:t xml:space="preserve">或</w:t>
      </w:r>
      <w:r>
        <w:rPr>
          <w:rFonts w:hint="eastAsia" w:ascii="宋体" w:hAnsi="宋体" w:cs="Courier New"/>
          <w:color w:val="000000"/>
          <w:sz w:val="24"/>
          <w:szCs w:val="24"/>
          <w:lang w:val="zh-CN"/>
        </w:rPr>
        <w:t xml:space="preserve">与服务相关的货物）</w:t>
      </w:r>
      <w:r>
        <w:rPr>
          <w:rFonts w:hint="eastAsia" w:ascii="宋体" w:hAnsi="宋体" w:cs="Courier New"/>
          <w:color w:val="000000"/>
          <w:sz w:val="24"/>
          <w:szCs w:val="24"/>
        </w:rPr>
        <w:t xml:space="preserve">的有关技术资料。</w:t>
      </w:r>
      <w:r/>
    </w:p>
    <w:p>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sz w:val="24"/>
          <w:szCs w:val="24"/>
        </w:rPr>
        <w:t xml:space="preserve">向履行</w:t>
      </w:r>
      <w:r>
        <w:rPr>
          <w:rFonts w:hint="eastAsia" w:ascii="宋体" w:hAnsi="宋体" w:cs="Courier New"/>
          <w:color w:val="000000"/>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color w:val="000000"/>
          <w:sz w:val="24"/>
          <w:szCs w:val="24"/>
        </w:rPr>
        <w:t xml:space="preserve">孰</w:t>
      </w:r>
      <w:r>
        <w:rPr>
          <w:rFonts w:hint="eastAsia" w:ascii="宋体" w:hAnsi="宋体" w:cs="Courier New"/>
          <w:color w:val="000000"/>
          <w:sz w:val="24"/>
          <w:szCs w:val="24"/>
        </w:rPr>
        <w:t xml:space="preserve">长为准。</w:t>
      </w:r>
      <w:r/>
    </w:p>
    <w:p>
      <w:pPr>
        <w:outlineLvl w:val="1"/>
      </w:pPr>
      <w:r>
        <w:rPr>
          <w:rFonts w:hint="eastAsia" w:ascii="方正黑体_GBK" w:hAnsi="方正黑体_GBK" w:eastAsia="方正黑体_GBK" w:cs="方正黑体_GBK"/>
          <w:bCs/>
          <w:color w:val="000000"/>
          <w:sz w:val="24"/>
          <w:szCs w:val="24"/>
        </w:rPr>
        <w:t xml:space="preserve">四、知识产权</w:t>
      </w:r>
      <w:r/>
    </w:p>
    <w:p>
      <w:r>
        <w:rPr>
          <w:rFonts w:hint="eastAsia" w:ascii="宋体" w:hAnsi="宋体" w:cs="Courier New"/>
          <w:color w:val="000000"/>
          <w:sz w:val="24"/>
          <w:szCs w:val="24"/>
        </w:rPr>
        <w:t xml:space="preserve">4.1 乙方应保证甲方在使用、接受本合同</w:t>
      </w:r>
      <w:r>
        <w:rPr>
          <w:rFonts w:hint="eastAsia" w:ascii="宋体" w:hAnsi="宋体" w:cs="Courier New"/>
          <w:color w:val="000000"/>
          <w:sz w:val="24"/>
          <w:szCs w:val="24"/>
          <w:lang w:val="zh-CN"/>
        </w:rPr>
        <w:t xml:space="preserve">货物、服务（包含与货物相关的服务</w:t>
      </w:r>
      <w:r>
        <w:rPr>
          <w:rFonts w:hint="eastAsia" w:ascii="宋体" w:hAnsi="宋体" w:cs="Courier New"/>
          <w:color w:val="000000"/>
          <w:sz w:val="24"/>
          <w:szCs w:val="24"/>
        </w:rPr>
        <w:t xml:space="preserve">或</w:t>
      </w:r>
      <w:r>
        <w:rPr>
          <w:rFonts w:hint="eastAsia" w:ascii="宋体" w:hAnsi="宋体" w:cs="Courier New"/>
          <w:color w:val="000000"/>
          <w:sz w:val="24"/>
          <w:szCs w:val="24"/>
          <w:lang w:val="zh-CN"/>
        </w:rPr>
        <w:t xml:space="preserve">与服务相关的货物）</w:t>
      </w:r>
      <w:r>
        <w:rPr>
          <w:rFonts w:hint="eastAsia" w:ascii="宋体" w:hAnsi="宋体" w:cs="Courier New"/>
          <w:color w:val="000000"/>
          <w:sz w:val="24"/>
          <w:szCs w:val="24"/>
        </w:rPr>
        <w:t xml:space="preserve">或其任何一部分时不受第三方提出侵犯其专利权、著作权、商标权、工业设计权、商业秘密等知识产权的起诉。一旦出现侵权，由乙方负全部责任。</w:t>
      </w:r>
      <w:r/>
    </w:p>
    <w:p>
      <w:pPr>
        <w:outlineLvl w:val="1"/>
      </w:pPr>
      <w:r>
        <w:rPr>
          <w:rFonts w:hint="eastAsia" w:ascii="方正黑体_GBK" w:hAnsi="方正黑体_GBK" w:eastAsia="方正黑体_GBK" w:cs="方正黑体_GBK"/>
          <w:bCs/>
          <w:color w:val="000000"/>
          <w:sz w:val="24"/>
          <w:szCs w:val="24"/>
        </w:rPr>
        <w:t xml:space="preserve">五、产权担保</w:t>
      </w:r>
      <w:r/>
    </w:p>
    <w:p>
      <w:r>
        <w:rPr>
          <w:rFonts w:hint="eastAsia" w:ascii="宋体" w:hAnsi="宋体" w:cs="Courier New"/>
          <w:color w:val="000000"/>
          <w:sz w:val="24"/>
          <w:szCs w:val="24"/>
        </w:rPr>
        <w:t xml:space="preserve">5.1 乙方保证所交付的</w:t>
      </w:r>
      <w:r>
        <w:rPr>
          <w:rFonts w:hint="eastAsia" w:ascii="宋体" w:hAnsi="宋体" w:cs="Courier New"/>
          <w:color w:val="000000"/>
          <w:sz w:val="24"/>
          <w:szCs w:val="24"/>
          <w:lang w:val="zh-CN"/>
        </w:rPr>
        <w:t xml:space="preserve">货物、服务（包含与货物相关的服务</w:t>
      </w:r>
      <w:r>
        <w:rPr>
          <w:rFonts w:hint="eastAsia" w:ascii="宋体" w:hAnsi="宋体" w:cs="Courier New"/>
          <w:color w:val="000000"/>
          <w:sz w:val="24"/>
          <w:szCs w:val="24"/>
        </w:rPr>
        <w:t xml:space="preserve">或</w:t>
      </w:r>
      <w:r>
        <w:rPr>
          <w:rFonts w:hint="eastAsia" w:ascii="宋体" w:hAnsi="宋体" w:cs="Courier New"/>
          <w:color w:val="000000"/>
          <w:sz w:val="24"/>
          <w:szCs w:val="24"/>
          <w:lang w:val="zh-CN"/>
        </w:rPr>
        <w:t xml:space="preserve">与服务相关的货物）</w:t>
      </w:r>
      <w:r>
        <w:rPr>
          <w:rFonts w:hint="eastAsia" w:ascii="宋体" w:hAnsi="宋体" w:cs="Courier New"/>
          <w:color w:val="000000"/>
          <w:sz w:val="24"/>
          <w:szCs w:val="24"/>
        </w:rPr>
        <w:t xml:space="preserve">的所有权完全属于</w:t>
      </w:r>
      <w:r>
        <w:rPr>
          <w:rFonts w:hint="eastAsia" w:ascii="宋体" w:hAnsi="宋体" w:cs="Courier New"/>
          <w:color w:val="000000"/>
          <w:sz w:val="24"/>
          <w:szCs w:val="24"/>
        </w:rPr>
        <w:t xml:space="preserve">乙方且</w:t>
      </w:r>
      <w:r>
        <w:rPr>
          <w:rFonts w:hint="eastAsia" w:ascii="宋体" w:hAnsi="宋体" w:cs="Courier New"/>
          <w:color w:val="000000"/>
          <w:sz w:val="24"/>
          <w:szCs w:val="24"/>
        </w:rPr>
        <w:t xml:space="preserve">无任何抵押、查封等产权瑕疵。</w:t>
      </w:r>
      <w:r/>
    </w:p>
    <w:p>
      <w:pPr>
        <w:outlineLvl w:val="1"/>
      </w:pPr>
      <w:r>
        <w:rPr>
          <w:rFonts w:hint="eastAsia" w:ascii="方正黑体_GBK" w:hAnsi="方正黑体_GBK" w:eastAsia="方正黑体_GBK" w:cs="方正黑体_GBK"/>
          <w:bCs/>
          <w:sz w:val="24"/>
          <w:szCs w:val="24"/>
        </w:rPr>
        <w:t xml:space="preserve">六、履约保证金</w:t>
      </w:r>
      <w:r/>
    </w:p>
    <w:p>
      <w:pPr>
        <w:outlineLvl w:val="3"/>
      </w:pPr>
      <w:r>
        <w:rPr>
          <w:rFonts w:hint="eastAsia" w:ascii="宋体" w:hAnsi="宋体" w:cs="Courier New"/>
          <w:sz w:val="24"/>
          <w:szCs w:val="24"/>
        </w:rPr>
        <w:t xml:space="preserve">6.1 本项目乙方无需缴纳履约保证金。</w:t>
      </w:r>
      <w:r/>
    </w:p>
    <w:p>
      <w:pPr>
        <w:outlineLvl w:val="1"/>
      </w:pPr>
      <w:r>
        <w:rPr>
          <w:rFonts w:hint="eastAsia" w:ascii="方正黑体_GBK" w:hAnsi="方正黑体_GBK" w:eastAsia="方正黑体_GBK" w:cs="方正黑体_GBK"/>
          <w:bCs/>
          <w:color w:val="000000"/>
          <w:sz w:val="24"/>
          <w:szCs w:val="24"/>
        </w:rPr>
        <w:t xml:space="preserve">七、合同转包或分包</w:t>
      </w:r>
      <w:r/>
    </w:p>
    <w:p>
      <w:r>
        <w:rPr>
          <w:rFonts w:hint="eastAsia" w:ascii="宋体" w:hAnsi="宋体" w:cs="Courier New"/>
          <w:color w:val="000000"/>
          <w:sz w:val="24"/>
          <w:szCs w:val="24"/>
        </w:rPr>
        <w:t xml:space="preserve">7.1 乙方不得将合同标的转包给他人履行。</w:t>
      </w:r>
      <w:r/>
    </w:p>
    <w:p>
      <w:r>
        <w:rPr>
          <w:rFonts w:hint="eastAsia" w:ascii="宋体" w:hAnsi="宋体" w:cs="Courier New"/>
          <w:color w:val="000000"/>
          <w:sz w:val="24"/>
          <w:szCs w:val="24"/>
        </w:rPr>
        <w:t xml:space="preserve">7.2 </w:t>
      </w:r>
      <w:r>
        <w:rPr>
          <w:rFonts w:hint="eastAsia" w:ascii="宋体" w:hAnsi="宋体" w:cs="Courier New"/>
          <w:color w:val="000000"/>
          <w:sz w:val="24"/>
          <w:szCs w:val="24"/>
        </w:rPr>
        <w:t xml:space="preserve">除谈判</w:t>
      </w:r>
      <w:r>
        <w:rPr>
          <w:rFonts w:hint="eastAsia" w:ascii="宋体" w:hAnsi="宋体" w:cs="Courier New"/>
          <w:color w:val="000000"/>
          <w:sz w:val="24"/>
          <w:szCs w:val="24"/>
        </w:rPr>
        <w:t xml:space="preserve">文件接受分包并经甲方同意，乙方可按分包意向协议分包情况外，乙方不得将合同标的分包给他人履行。</w:t>
      </w:r>
      <w:r/>
    </w:p>
    <w:p>
      <w:r>
        <w:rPr>
          <w:rFonts w:hint="eastAsia" w:ascii="宋体" w:hAnsi="宋体" w:cs="Courier New"/>
          <w:color w:val="000000"/>
          <w:sz w:val="24"/>
          <w:szCs w:val="24"/>
        </w:rPr>
        <w:t xml:space="preserve">7.3 乙方如有转包或未经甲方同意的分包行为，甲方有权终止合同。</w:t>
      </w:r>
      <w:r/>
    </w:p>
    <w:p>
      <w:pPr>
        <w:outlineLvl w:val="1"/>
      </w:pPr>
      <w:r>
        <w:rPr>
          <w:rFonts w:hint="eastAsia" w:ascii="方正黑体_GBK" w:hAnsi="方正黑体_GBK" w:eastAsia="方正黑体_GBK" w:cs="方正黑体_GBK"/>
          <w:bCs/>
          <w:sz w:val="24"/>
          <w:szCs w:val="24"/>
        </w:rPr>
        <w:t xml:space="preserve">八、合同款项支付</w:t>
      </w:r>
      <w:r/>
    </w:p>
    <w:p>
      <w:pPr>
        <w:pStyle w:val="744"/>
        <w:outlineLvl w:val="3"/>
      </w:pPr>
      <w:r>
        <w:rPr>
          <w:rFonts w:hint="eastAsia" w:hAnsi="宋体"/>
          <w:sz w:val="24"/>
          <w:szCs w:val="24"/>
        </w:rPr>
        <w:t xml:space="preserve">8.1 合同款项的支付方式及时间</w:t>
      </w:r>
      <w:r/>
    </w:p>
    <w:p>
      <w:pPr>
        <w:rPr>
          <w:rFonts w:hint="eastAsia" w:ascii="宋体" w:hAnsi="宋体" w:cs="Courier New"/>
          <w:color w:val="000000"/>
          <w:sz w:val="24"/>
          <w:szCs w:val="24"/>
        </w:rPr>
      </w:pPr>
      <w:r>
        <w:rPr>
          <w:rFonts w:hint="eastAsia" w:ascii="宋体" w:hAnsi="宋体" w:cs="Courier New"/>
          <w:color w:val="000000"/>
          <w:sz w:val="24"/>
          <w:szCs w:val="24"/>
        </w:rPr>
        <w:t xml:space="preserve">8.1.1 合同签订后，甲方支付合同总价款的30%作为预付款。</w:t>
      </w:r>
      <w:r/>
    </w:p>
    <w:p>
      <w:pPr>
        <w:rPr>
          <w:rFonts w:hint="eastAsia" w:ascii="宋体" w:hAnsi="宋体" w:cs="Courier New"/>
          <w:color w:val="000000"/>
          <w:sz w:val="24"/>
          <w:szCs w:val="24"/>
        </w:rPr>
      </w:pPr>
      <w:r>
        <w:rPr>
          <w:rFonts w:hint="eastAsia" w:ascii="宋体" w:hAnsi="宋体" w:cs="Courier New"/>
          <w:color w:val="000000"/>
          <w:sz w:val="24"/>
          <w:szCs w:val="24"/>
        </w:rPr>
        <w:t xml:space="preserve">8.1.2 项目完成开发，完成系统开发部署并验收合格10个工作日内，甲方向乙方支付合同总价的40%。</w:t>
      </w:r>
      <w:r/>
    </w:p>
    <w:p>
      <w:pPr>
        <w:pStyle w:val="744"/>
      </w:pPr>
      <w:r>
        <w:rPr>
          <w:rFonts w:hint="eastAsia" w:hAnsi="宋体"/>
          <w:color w:val="000000"/>
          <w:sz w:val="24"/>
          <w:szCs w:val="24"/>
        </w:rPr>
        <w:t xml:space="preserve">8.1.3项目全部交付成果通过最终验收后10个工作日内，甲方向乙方支付合同总价的30%。</w:t>
      </w:r>
      <w:r>
        <w:rPr>
          <w:rFonts w:hint="eastAsia" w:hAnsi="宋体"/>
          <w:sz w:val="24"/>
          <w:szCs w:val="24"/>
        </w:rPr>
        <w:t xml:space="preserve">8.1.4满足合同约定支付条件的，甲方收到乙方发票后10个工作日内，将资金支付到合同约定的乙方账户。 </w:t>
      </w:r>
      <w:r/>
    </w:p>
    <w:p>
      <w:pPr>
        <w:pStyle w:val="744"/>
      </w:pPr>
      <w:r>
        <w:rPr>
          <w:rFonts w:hint="eastAsia" w:hAnsi="宋体"/>
          <w:sz w:val="24"/>
          <w:szCs w:val="24"/>
        </w:rPr>
        <w:t xml:space="preserve">8.2 根据《保障中小企业款项支付条例》规定，甲方未按合同约定支付款项的，乙方可以向有关部门投诉。</w:t>
      </w:r>
      <w:r/>
    </w:p>
    <w:p>
      <w:pPr>
        <w:pStyle w:val="744"/>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outlineLvl w:val="1"/>
      </w:pPr>
      <w:r>
        <w:rPr>
          <w:rFonts w:hint="eastAsia" w:ascii="方正黑体_GBK" w:hAnsi="方正黑体_GBK" w:eastAsia="方正黑体_GBK" w:cs="方正黑体_GBK"/>
          <w:bCs/>
          <w:color w:val="000000"/>
          <w:sz w:val="24"/>
          <w:szCs w:val="24"/>
        </w:rPr>
        <w:t xml:space="preserve">九、税费</w:t>
      </w:r>
      <w:r/>
    </w:p>
    <w:p>
      <w:r>
        <w:rPr>
          <w:rFonts w:hint="eastAsia" w:ascii="宋体" w:hAnsi="宋体" w:cs="Courier New"/>
          <w:color w:val="000000"/>
          <w:sz w:val="24"/>
          <w:szCs w:val="24"/>
        </w:rPr>
        <w:t xml:space="preserve">9.1 本合同执行中的相关税费均由乙方负担。</w:t>
      </w:r>
      <w:r/>
    </w:p>
    <w:p>
      <w:pPr>
        <w:outlineLvl w:val="1"/>
      </w:pPr>
      <w:r>
        <w:rPr>
          <w:rFonts w:hint="eastAsia" w:ascii="方正黑体_GBK" w:hAnsi="方正黑体_GBK" w:eastAsia="方正黑体_GBK" w:cs="方正黑体_GBK"/>
          <w:bCs/>
          <w:color w:val="000000"/>
          <w:sz w:val="24"/>
          <w:szCs w:val="24"/>
        </w:rPr>
        <w:t xml:space="preserve">十、质量保修范围和保修期及售后服务</w:t>
      </w:r>
      <w:r/>
    </w:p>
    <w:p>
      <w:r>
        <w:rPr>
          <w:rFonts w:hint="eastAsia" w:ascii="宋体" w:hAnsi="宋体" w:cs="Courier New"/>
          <w:color w:val="000000"/>
          <w:sz w:val="24"/>
          <w:szCs w:val="24"/>
        </w:rPr>
        <w:t xml:space="preserve">10.1 乙方应按谈判文件规定的货物性能、技术要求、质量标准向甲方提供未经使用的全新产品。</w:t>
      </w:r>
      <w:r/>
    </w:p>
    <w:p>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r>
        <w:rPr>
          <w:rFonts w:hint="eastAsia" w:ascii="宋体" w:hAnsi="宋体" w:cs="Courier New"/>
          <w:color w:val="000000"/>
          <w:sz w:val="24"/>
          <w:szCs w:val="24"/>
        </w:rPr>
        <w:t xml:space="preserve">10.2.1 更换：由乙方承担所发生的全部费用。</w:t>
      </w:r>
      <w:r/>
    </w:p>
    <w:p>
      <w:r>
        <w:rPr>
          <w:rFonts w:hint="eastAsia" w:ascii="宋体" w:hAnsi="宋体" w:cs="Courier New"/>
          <w:color w:val="000000"/>
          <w:sz w:val="24"/>
          <w:szCs w:val="24"/>
        </w:rPr>
        <w:t xml:space="preserve">10.2.2 贬值处理：由甲乙双方合议定价。</w:t>
      </w:r>
      <w:r/>
    </w:p>
    <w:p>
      <w:r>
        <w:rPr>
          <w:rFonts w:hint="eastAsia" w:ascii="宋体" w:hAnsi="宋体" w:cs="Courier New"/>
          <w:color w:val="000000"/>
          <w:sz w:val="24"/>
          <w:szCs w:val="24"/>
        </w:rPr>
        <w:t xml:space="preserve">10.2.3 退货处理：乙方应退还甲方支付的合同款，同时</w:t>
      </w:r>
      <w:r>
        <w:rPr>
          <w:rFonts w:hint="eastAsia" w:ascii="宋体" w:hAnsi="宋体" w:cs="Courier New"/>
          <w:color w:val="000000"/>
          <w:sz w:val="24"/>
          <w:szCs w:val="24"/>
        </w:rPr>
        <w:t xml:space="preserve">应承担该货物</w:t>
      </w:r>
      <w:r>
        <w:rPr>
          <w:rFonts w:hint="eastAsia" w:ascii="宋体" w:hAnsi="宋体" w:cs="Courier New"/>
          <w:color w:val="000000"/>
          <w:sz w:val="24"/>
          <w:szCs w:val="24"/>
        </w:rPr>
        <w:t xml:space="preserve">的直接费用（运输、保险、检验、货款利息及银行手续费等）。</w:t>
      </w:r>
      <w:r/>
    </w:p>
    <w:p>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r>
        <w:rPr>
          <w:rFonts w:hint="eastAsia" w:ascii="宋体" w:hAnsi="宋体" w:cs="Courier New"/>
          <w:color w:val="000000"/>
          <w:sz w:val="24"/>
          <w:szCs w:val="24"/>
        </w:rPr>
        <w:t xml:space="preserve">10.4 质保期内，乙方应对货物出现的质量及安全问题负责处理解决并承担一切费用。</w:t>
      </w:r>
      <w:r/>
    </w:p>
    <w:p>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w:t>
      </w:r>
      <w:r>
        <w:rPr>
          <w:rFonts w:hint="eastAsia" w:ascii="宋体" w:hAnsi="宋体" w:cs="Courier New"/>
          <w:color w:val="000000"/>
          <w:sz w:val="24"/>
          <w:szCs w:val="24"/>
        </w:rPr>
        <w:t xml:space="preserve">保范围</w:t>
      </w:r>
      <w:r>
        <w:rPr>
          <w:rFonts w:hint="eastAsia" w:ascii="宋体" w:hAnsi="宋体" w:cs="Courier New"/>
          <w:color w:val="000000"/>
          <w:sz w:val="24"/>
          <w:szCs w:val="24"/>
        </w:rPr>
        <w:t xml:space="preserve">内。超过质保期的乙方负责终生维修，维修时只收取部件成本费。</w:t>
      </w:r>
      <w:r/>
    </w:p>
    <w:p>
      <w:pPr>
        <w:outlineLvl w:val="1"/>
      </w:pPr>
      <w:r>
        <w:rPr>
          <w:rFonts w:hint="eastAsia" w:ascii="方正黑体_GBK" w:hAnsi="方正黑体_GBK" w:eastAsia="方正黑体_GBK" w:cs="方正黑体_GBK"/>
          <w:bCs/>
          <w:color w:val="000000"/>
          <w:sz w:val="24"/>
          <w:szCs w:val="24"/>
        </w:rPr>
        <w:t xml:space="preserve">十一、项目验收</w:t>
      </w:r>
      <w:r/>
    </w:p>
    <w:p>
      <w:r>
        <w:rPr>
          <w:rFonts w:hint="eastAsia" w:ascii="宋体" w:hAnsi="宋体" w:cs="Courier New"/>
          <w:color w:val="000000"/>
          <w:sz w:val="24"/>
          <w:szCs w:val="24"/>
        </w:rPr>
        <w:t xml:space="preserve">11.1 甲方依法组织履约验收工作。</w:t>
      </w:r>
      <w:r/>
    </w:p>
    <w:p>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r>
        <w:rPr>
          <w:rFonts w:hint="eastAsia" w:ascii="宋体" w:hAnsi="宋体" w:cs="Courier New"/>
          <w:color w:val="000000"/>
          <w:sz w:val="24"/>
          <w:szCs w:val="24"/>
        </w:rPr>
        <w:t xml:space="preserve">11.3 对于实际使用人和甲方分离的项目，甲方邀请实际使用人参与验收。</w:t>
      </w:r>
      <w:r/>
    </w:p>
    <w:p>
      <w:r>
        <w:rPr>
          <w:rFonts w:hint="eastAsia" w:ascii="宋体" w:hAnsi="宋体" w:cs="Courier New"/>
          <w:color w:val="000000"/>
          <w:sz w:val="24"/>
          <w:szCs w:val="24"/>
        </w:rPr>
        <w:t xml:space="preserve">11.4 如有必要，甲方可邀请参加本项目谈判的其他供应商或第三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机构及专家参与验收，相关意见将作为验收结论的参考。</w:t>
      </w:r>
      <w:r/>
    </w:p>
    <w:p>
      <w:r>
        <w:rPr>
          <w:rFonts w:hint="eastAsia" w:ascii="宋体" w:hAnsi="宋体" w:cs="Courier New"/>
          <w:color w:val="000000"/>
          <w:sz w:val="24"/>
          <w:szCs w:val="24"/>
        </w:rPr>
        <w:t xml:space="preserve">11.5 甲方成立验收小组，按照采购合同约定对乙方履约情况进行验收。验收时间、验收标准</w:t>
      </w:r>
      <w:r>
        <w:rPr>
          <w:rFonts w:hint="eastAsia" w:ascii="宋体" w:hAnsi="宋体" w:cs="Courier New"/>
          <w:color w:val="000000"/>
          <w:sz w:val="24"/>
          <w:szCs w:val="24"/>
        </w:rPr>
        <w:t xml:space="preserve">见谈判</w:t>
      </w:r>
      <w:r>
        <w:rPr>
          <w:rFonts w:hint="eastAsia" w:ascii="宋体" w:hAnsi="宋体" w:cs="Courier New"/>
          <w:color w:val="000000"/>
          <w:sz w:val="24"/>
          <w:szCs w:val="24"/>
        </w:rPr>
        <w:t xml:space="preserve">文件。验收时甲方按照采购合同的约定对每一项技术、商务要求的履约情况进行确认。</w:t>
      </w:r>
      <w:r>
        <w:rPr>
          <w:rFonts w:hint="eastAsia" w:ascii="宋体" w:hAnsi="宋体" w:cs="Courier New"/>
          <w:color w:val="000000"/>
          <w:sz w:val="24"/>
          <w:szCs w:val="24"/>
        </w:rPr>
        <w:t xml:space="preserve">验收结束后验收小组出具验收书，列明各项标准的验收情况及项目总体评价，由验收双方共同签署。验收结果与采购合同约定的资金支付及履约保证金退还挂钩。履约验收的各项资料存档备查。</w:t>
      </w:r>
      <w:r/>
    </w:p>
    <w:p>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outlineLvl w:val="1"/>
      </w:pPr>
      <w:r>
        <w:rPr>
          <w:rFonts w:hint="eastAsia" w:ascii="方正黑体_GBK" w:hAnsi="方正黑体_GBK" w:eastAsia="方正黑体_GBK" w:cs="方正黑体_GBK"/>
          <w:bCs/>
          <w:color w:val="000000"/>
          <w:sz w:val="24"/>
          <w:szCs w:val="24"/>
        </w:rPr>
        <w:t xml:space="preserve">十二、货物的包装、发运及运输</w:t>
      </w:r>
      <w:r/>
    </w:p>
    <w:p>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r>
        <w:rPr>
          <w:rFonts w:hint="eastAsia" w:ascii="宋体" w:hAnsi="宋体" w:cs="Courier New"/>
          <w:color w:val="000000"/>
          <w:sz w:val="24"/>
          <w:szCs w:val="24"/>
        </w:rPr>
        <w:t xml:space="preserve">12.2 使用说明书、质量检验证明书、随配附件和工具以及清单一并附于货物内。</w:t>
      </w:r>
      <w:r/>
    </w:p>
    <w:p>
      <w:r>
        <w:rPr>
          <w:rFonts w:hint="eastAsia" w:ascii="宋体" w:hAnsi="宋体" w:cs="Courier New"/>
          <w:color w:val="000000"/>
          <w:sz w:val="24"/>
          <w:szCs w:val="24"/>
        </w:rPr>
        <w:t xml:space="preserve">12.3 乙方在货物发运手续办理完毕后24小时内或货到甲方48小时前通知甲方，以准备接货。</w:t>
      </w:r>
      <w:r/>
    </w:p>
    <w:p>
      <w:r>
        <w:rPr>
          <w:rFonts w:hint="eastAsia" w:ascii="宋体" w:hAnsi="宋体" w:cs="Courier New"/>
          <w:color w:val="000000"/>
          <w:sz w:val="24"/>
          <w:szCs w:val="24"/>
        </w:rPr>
        <w:t xml:space="preserve">12.4 货物在交付甲方前发生的风险均由乙方负责。</w:t>
      </w:r>
      <w:r/>
    </w:p>
    <w:p>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outlineLvl w:val="1"/>
      </w:pPr>
      <w:r>
        <w:rPr>
          <w:rFonts w:hint="eastAsia" w:ascii="方正黑体_GBK" w:hAnsi="方正黑体_GBK" w:eastAsia="方正黑体_GBK" w:cs="方正黑体_GBK"/>
          <w:bCs/>
          <w:color w:val="000000"/>
          <w:sz w:val="24"/>
          <w:szCs w:val="24"/>
        </w:rPr>
        <w:t xml:space="preserve">十三、违约责任</w:t>
      </w:r>
      <w:r/>
    </w:p>
    <w:p>
      <w:r>
        <w:rPr>
          <w:rFonts w:hint="eastAsia" w:ascii="宋体" w:hAnsi="宋体" w:cs="Courier New"/>
          <w:color w:val="000000"/>
          <w:sz w:val="24"/>
          <w:szCs w:val="24"/>
        </w:rPr>
        <w:t xml:space="preserve">13.1 甲方无正当理由拒收货物或服务</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color w:val="000000"/>
          <w:sz w:val="24"/>
        </w:rPr>
        <w:t xml:space="preserve">，但违约金最高不得超过合同总价的</w:t>
      </w:r>
      <w:r>
        <w:rPr>
          <w:rFonts w:ascii="宋体" w:hAnsi="宋体" w:cs="宋体"/>
          <w:color w:val="000000"/>
          <w:sz w:val="24"/>
          <w:u w:val="single"/>
        </w:rPr>
        <w:t xml:space="preserve">     </w:t>
      </w:r>
      <w:r>
        <w:rPr>
          <w:rFonts w:ascii="宋体" w:hAnsi="宋体" w:cs="宋体"/>
          <w:color w:val="000000"/>
          <w:sz w:val="24"/>
        </w:rPr>
        <w:t xml:space="preserve">%</w:t>
      </w:r>
      <w:r>
        <w:rPr>
          <w:rFonts w:hint="eastAsia" w:ascii="宋体" w:hAnsi="宋体" w:cs="Courier New"/>
          <w:sz w:val="24"/>
          <w:szCs w:val="24"/>
        </w:rPr>
        <w:t xml:space="preserve">。</w:t>
      </w:r>
      <w:r/>
    </w:p>
    <w:p>
      <w:r>
        <w:rPr>
          <w:rFonts w:hint="eastAsia" w:ascii="宋体" w:hAnsi="宋体" w:cs="Courier New"/>
          <w:sz w:val="24"/>
          <w:szCs w:val="24"/>
        </w:rPr>
        <w:t xml:space="preserve">13.3 乙方逾期交付</w:t>
      </w:r>
      <w:r>
        <w:rPr>
          <w:rFonts w:hint="eastAsia" w:ascii="宋体" w:hAnsi="宋体" w:cs="Courier New"/>
          <w:color w:val="000000"/>
          <w:sz w:val="24"/>
          <w:szCs w:val="24"/>
        </w:rPr>
        <w:t xml:space="preserve">货物或服务</w:t>
      </w:r>
      <w:r>
        <w:rPr>
          <w:rFonts w:hint="eastAsia" w:ascii="宋体" w:hAnsi="宋体" w:cs="Courier New"/>
          <w:sz w:val="24"/>
          <w:szCs w:val="24"/>
        </w:rPr>
        <w:t xml:space="preserve">的，应按逾期交付总额每日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r>
        <w:rPr>
          <w:rFonts w:hint="eastAsia" w:ascii="宋体" w:hAnsi="宋体" w:cs="Courier New"/>
          <w:color w:val="000000"/>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r>
        <w:rPr>
          <w:rFonts w:hint="eastAsia" w:ascii="宋体" w:hAnsi="宋体" w:cs="Courier New"/>
          <w:color w:val="000000"/>
          <w:sz w:val="24"/>
          <w:szCs w:val="24"/>
        </w:rPr>
        <w:t xml:space="preserve">13.5 甲乙双方任何一方违反本合同约定的，除应承</w:t>
      </w:r>
      <w:r>
        <w:rPr>
          <w:rFonts w:hint="eastAsia" w:ascii="宋体" w:hAnsi="宋体" w:cs="Courier New"/>
          <w:color w:val="000000"/>
          <w:sz w:val="24"/>
          <w:szCs w:val="24"/>
        </w:rPr>
        <w:t xml:space="preserve">担上述</w:t>
      </w:r>
      <w:r>
        <w:rPr>
          <w:rFonts w:hint="eastAsia" w:ascii="宋体" w:hAnsi="宋体" w:cs="Courier New"/>
          <w:color w:val="000000"/>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outlineLvl w:val="1"/>
      </w:pPr>
      <w:r>
        <w:rPr>
          <w:rFonts w:hint="eastAsia" w:ascii="方正黑体_GBK" w:hAnsi="方正黑体_GBK" w:eastAsia="方正黑体_GBK" w:cs="方正黑体_GBK"/>
          <w:bCs/>
          <w:color w:val="000000"/>
          <w:sz w:val="24"/>
          <w:szCs w:val="24"/>
        </w:rPr>
        <w:t xml:space="preserve">十四、不可抗力事件处理</w:t>
      </w:r>
      <w:r/>
    </w:p>
    <w:p>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r>
        <w:rPr>
          <w:rFonts w:hint="eastAsia" w:ascii="宋体" w:hAnsi="宋体" w:cs="Courier New"/>
          <w:color w:val="000000"/>
          <w:sz w:val="24"/>
          <w:szCs w:val="24"/>
        </w:rPr>
        <w:t xml:space="preserve">14.2 不可抗力事件发生后，应立即通知对方并寄送有关权威机构出具的证明。</w:t>
      </w:r>
      <w:r/>
    </w:p>
    <w:p>
      <w:r>
        <w:rPr>
          <w:rFonts w:hint="eastAsia" w:ascii="宋体" w:hAnsi="宋体" w:cs="Courier New"/>
          <w:color w:val="000000"/>
          <w:sz w:val="24"/>
          <w:szCs w:val="24"/>
        </w:rPr>
        <w:t xml:space="preserve">14.3 不可抗力事件延续120天以上，双方应通过友好协商确定是否继续履行合同。</w:t>
      </w:r>
      <w:r/>
    </w:p>
    <w:p>
      <w:pPr>
        <w:outlineLvl w:val="1"/>
      </w:pPr>
      <w:r>
        <w:rPr>
          <w:rFonts w:hint="eastAsia" w:ascii="方正黑体_GBK" w:hAnsi="方正黑体_GBK" w:eastAsia="方正黑体_GBK" w:cs="方正黑体_GBK"/>
          <w:bCs/>
          <w:color w:val="000000"/>
          <w:sz w:val="24"/>
          <w:szCs w:val="24"/>
        </w:rPr>
        <w:t xml:space="preserve">十五、解决争议的方法</w:t>
      </w:r>
      <w:r/>
    </w:p>
    <w:p>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outlineLvl w:val="1"/>
      </w:pPr>
      <w:r>
        <w:rPr>
          <w:rFonts w:hint="eastAsia" w:ascii="方正黑体_GBK" w:hAnsi="方正黑体_GBK" w:eastAsia="方正黑体_GBK" w:cs="方正黑体_GBK"/>
          <w:bCs/>
          <w:color w:val="000000"/>
          <w:sz w:val="24"/>
          <w:szCs w:val="24"/>
        </w:rPr>
        <w:t xml:space="preserve">十六、合同生效及其它</w:t>
      </w:r>
      <w:r/>
    </w:p>
    <w:p>
      <w:r>
        <w:rPr>
          <w:rFonts w:hint="eastAsia" w:ascii="宋体" w:hAnsi="宋体" w:cs="Courier New"/>
          <w:color w:val="000000"/>
          <w:sz w:val="24"/>
          <w:szCs w:val="24"/>
        </w:rPr>
        <w:t xml:space="preserve">16.1 本合同经双方加盖单位公章后生效。</w:t>
      </w:r>
      <w:r/>
    </w:p>
    <w:p>
      <w:r>
        <w:rPr>
          <w:rFonts w:hint="eastAsia" w:ascii="宋体" w:hAnsi="宋体" w:cs="Courier New"/>
          <w:color w:val="000000"/>
          <w:sz w:val="24"/>
          <w:szCs w:val="24"/>
        </w:rPr>
        <w:t xml:space="preserve">16.2 本合同未尽事宜，遵照《中华人民共和国民法典》《中华人民共和国政府采购法》有关条文执行。</w:t>
      </w:r>
      <w:r/>
    </w:p>
    <w:p>
      <w:r>
        <w:rPr>
          <w:rFonts w:hint="eastAsia" w:ascii="宋体" w:hAnsi="宋体" w:cs="Courier New"/>
          <w:color w:val="000000"/>
          <w:sz w:val="24"/>
          <w:szCs w:val="24"/>
        </w:rPr>
        <w:t xml:space="preserve">16.3 本合同正本一式两份，具有同等法律效力，甲方、乙方各执一份。</w:t>
      </w:r>
      <w:r/>
    </w:p>
    <w:p>
      <w:pPr>
        <w:pStyle w:val="744"/>
        <w:spacing w:before="120" w:after="120"/>
      </w:pPr>
      <w:r>
        <w:rPr>
          <w:rFonts w:hint="eastAsia" w:hAnsi="宋体"/>
          <w:sz w:val="24"/>
          <w:szCs w:val="24"/>
        </w:rPr>
        <w:t xml:space="preserve">  </w:t>
      </w:r>
      <w:r/>
    </w:p>
    <w:p>
      <w:pPr>
        <w:pStyle w:val="744"/>
        <w:spacing w:before="120" w:after="120"/>
      </w:pPr>
      <w:r>
        <w:rPr>
          <w:rFonts w:hint="eastAsia" w:hAnsi="宋体"/>
          <w:sz w:val="24"/>
          <w:szCs w:val="24"/>
        </w:rPr>
        <w:t xml:space="preserve">甲  方：（公章）                       乙  方：（公章） </w:t>
      </w:r>
      <w:r/>
    </w:p>
    <w:p>
      <w:pPr>
        <w:pStyle w:val="744"/>
        <w:spacing w:before="120" w:after="120"/>
      </w:pPr>
      <w:r>
        <w:rPr>
          <w:rFonts w:hint="eastAsia" w:hAnsi="宋体"/>
          <w:sz w:val="24"/>
          <w:szCs w:val="24"/>
        </w:rPr>
        <w:t xml:space="preserve">地  址：                               地  址： </w:t>
      </w:r>
      <w:r/>
    </w:p>
    <w:p>
      <w:pPr>
        <w:pStyle w:val="744"/>
        <w:spacing w:before="120" w:after="120"/>
      </w:pPr>
      <w:r>
        <w:rPr>
          <w:rFonts w:hint="eastAsia" w:hAnsi="宋体"/>
          <w:sz w:val="24"/>
          <w:szCs w:val="24"/>
        </w:rPr>
        <w:t xml:space="preserve">法定代表人或授权代表：                 法定代表人或授权代表：</w:t>
      </w:r>
      <w:r/>
    </w:p>
    <w:p>
      <w:pPr>
        <w:pStyle w:val="744"/>
        <w:spacing w:before="120" w:after="120"/>
      </w:pPr>
      <w:r>
        <w:rPr>
          <w:rFonts w:hint="eastAsia" w:hAnsi="宋体"/>
          <w:sz w:val="24"/>
          <w:szCs w:val="24"/>
        </w:rPr>
        <w:t xml:space="preserve">联系电话：                             联系电话：          </w:t>
      </w:r>
      <w:r/>
    </w:p>
    <w:p>
      <w:pPr>
        <w:pStyle w:val="744"/>
        <w:spacing w:before="120" w:after="120"/>
      </w:pPr>
      <w:r>
        <w:rPr>
          <w:rFonts w:hint="eastAsia" w:hAnsi="宋体"/>
          <w:sz w:val="24"/>
          <w:szCs w:val="24"/>
        </w:rPr>
        <w:t xml:space="preserve">                                          </w:t>
      </w:r>
      <w:r/>
    </w:p>
    <w:p>
      <w:pPr>
        <w:pStyle w:val="744"/>
        <w:ind w:firstLine="4800"/>
        <w:spacing w:before="120" w:after="120"/>
      </w:pPr>
      <w:r>
        <w:rPr>
          <w:rFonts w:hint="eastAsia" w:hAnsi="宋体"/>
          <w:sz w:val="24"/>
          <w:szCs w:val="24"/>
        </w:rPr>
        <w:t xml:space="preserve">签订日期：      </w:t>
      </w:r>
      <w:r/>
    </w:p>
    <w:p>
      <w:pPr>
        <w:jc w:val="center"/>
        <w:spacing w:before="145" w:after="145"/>
      </w:pPr>
      <w:r/>
      <w:r/>
    </w:p>
    <w:p>
      <w:pPr>
        <w:spacing w:before="145" w:after="145"/>
      </w:pPr>
      <w:r/>
      <w:r/>
    </w:p>
    <w:p>
      <w:pPr>
        <w:jc w:val="center"/>
        <w:spacing w:before="145" w:after="145"/>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44"/>
        <w:jc w:val="left"/>
        <w:spacing w:before="120" w:after="120"/>
        <w:rPr>
          <w:rFonts w:hint="eastAsia" w:ascii="方正小标宋简体" w:hAnsi="方正小标宋简体" w:eastAsia="方正小标宋简体" w:cs="方正小标宋简体"/>
          <w:b/>
          <w:bCs/>
          <w:color w:val="000000"/>
          <w:sz w:val="32"/>
          <w:szCs w:val="32"/>
          <w:highlight w:val="yellow"/>
        </w:rPr>
      </w:pPr>
      <w:r>
        <w:rPr>
          <w:rFonts w:hint="eastAsia" w:hAnsi="宋体"/>
          <w:color w:val="000000"/>
          <w:sz w:val="24"/>
          <w:szCs w:val="24"/>
        </w:rPr>
        <w:t xml:space="preserve">   谈判文件及合同未约定事项，双方</w:t>
      </w:r>
      <w:r>
        <w:rPr>
          <w:rFonts w:hint="eastAsia" w:hAnsi="宋体"/>
          <w:color w:val="000000"/>
          <w:sz w:val="24"/>
          <w:szCs w:val="24"/>
        </w:rPr>
        <w:t xml:space="preserve">可友好</w:t>
      </w:r>
      <w:r>
        <w:rPr>
          <w:rFonts w:hint="eastAsia" w:hAnsi="宋体"/>
          <w:color w:val="000000"/>
          <w:sz w:val="24"/>
          <w:szCs w:val="24"/>
        </w:rPr>
        <w:t xml:space="preserve">协商签订补充协议。</w:t>
      </w:r>
      <w:r/>
    </w:p>
    <w:p>
      <w:pPr>
        <w:pStyle w:val="744"/>
        <w:jc w:val="left"/>
        <w:spacing w:before="120" w:after="120"/>
        <w:rPr>
          <w:rFonts w:hint="eastAsia" w:hAnsi="宋体"/>
          <w:color w:val="000000"/>
          <w:sz w:val="24"/>
          <w:szCs w:val="24"/>
        </w:rPr>
      </w:pPr>
      <w:r>
        <w:rPr>
          <w:rFonts w:hint="eastAsia" w:hAnsi="宋体"/>
          <w:color w:val="000000"/>
          <w:sz w:val="24"/>
          <w:szCs w:val="24"/>
        </w:rPr>
      </w:r>
      <w:r/>
    </w:p>
    <w:p>
      <w:pPr>
        <w:jc w:val="center"/>
        <w:spacing w:before="120" w:after="120" w:line="0" w:lineRule="atLeast"/>
        <w:rPr>
          <w:rFonts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rPr>
        <w:t xml:space="preserve">第四章 采购需求</w:t>
      </w:r>
      <w:bookmarkStart w:id="37" w:name="_Toc49090575"/>
      <w:r/>
      <w:bookmarkStart w:id="38" w:name="_Toc26554093"/>
      <w:r/>
      <w:r/>
    </w:p>
    <w:p>
      <w:pPr>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一、项目属性：</w:t>
      </w:r>
      <w:r>
        <w:rPr>
          <w:rFonts w:hint="eastAsia" w:ascii="宋体" w:hAnsi="宋体" w:cs="宋体"/>
          <w:bCs/>
          <w:sz w:val="24"/>
          <w:szCs w:val="24"/>
        </w:rPr>
        <w:t xml:space="preserve">服务类项目。</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随着智能网联汽车技术的快速发展，车辆安全成为行业关注焦点。为支撑智能网联汽车安全技术研究，采购人拟建设一套“智能网联汽车安全溯源仿真平台”，用于模拟真实交通环境，测试和验证自动驾驶算法在复杂场景下的安全性，并溯源信息安全风险向物理风险的传导机理。</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（二） 建设目标</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供应商需完成一套定制化的“智能网联汽车安全溯源仿真平台”的设计、开发、部署、测试、集成及技术培训。平台应具备高精度车辆动力学仿真、复杂交通场景构建、多传感器仿真、V2X全</w:t>
      </w:r>
      <w:r>
        <w:rPr>
          <w:rFonts w:hint="eastAsia" w:ascii="宋体" w:hAnsi="宋体" w:cs="宋体"/>
          <w:bCs/>
          <w:sz w:val="24"/>
          <w:szCs w:val="24"/>
        </w:rPr>
        <w:t xml:space="preserve">栈</w:t>
      </w:r>
      <w:r>
        <w:rPr>
          <w:rFonts w:hint="eastAsia" w:ascii="宋体" w:hAnsi="宋体" w:cs="宋体"/>
          <w:bCs/>
          <w:sz w:val="24"/>
          <w:szCs w:val="24"/>
        </w:rPr>
        <w:t xml:space="preserve">仿真、算法集成与测试、数据回放与风险溯源等核心功能。所有开发成果的知识产权（包括源代码、文档等）完全归采购人所有。</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（三）术语定义</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为明确需求，对以下专业术语进行统一定义：</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高精度车辆动力学模型：能够准确反映车辆纵向、横向、垂向动力学特性的数学模型，通常包含多个自由度（如27自由度），可模拟轮胎、悬架、转向、制动等系统行为。</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原子地图：构成高精度测试场景的最小可复用单元，如直线路段、弯道、交叉口、匝道等，可通过组合快速生成复杂道路网络。</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V2X全</w:t>
      </w:r>
      <w:r>
        <w:rPr>
          <w:rFonts w:hint="eastAsia" w:ascii="宋体" w:hAnsi="宋体" w:cs="宋体"/>
          <w:bCs/>
          <w:sz w:val="24"/>
          <w:szCs w:val="24"/>
        </w:rPr>
        <w:t xml:space="preserve">栈</w:t>
      </w:r>
      <w:r>
        <w:rPr>
          <w:rFonts w:hint="eastAsia" w:ascii="宋体" w:hAnsi="宋体" w:cs="宋体"/>
          <w:bCs/>
          <w:sz w:val="24"/>
          <w:szCs w:val="24"/>
        </w:rPr>
        <w:t xml:space="preserve">仿真：</w:t>
      </w:r>
      <w:r>
        <w:rPr>
          <w:rFonts w:hint="eastAsia" w:ascii="宋体" w:hAnsi="宋体" w:cs="宋体"/>
          <w:bCs/>
          <w:sz w:val="24"/>
          <w:szCs w:val="24"/>
        </w:rPr>
        <w:t xml:space="preserve">模拟车</w:t>
      </w:r>
      <w:r>
        <w:rPr>
          <w:rFonts w:hint="eastAsia" w:ascii="宋体" w:hAnsi="宋体" w:cs="宋体"/>
          <w:bCs/>
          <w:sz w:val="24"/>
          <w:szCs w:val="24"/>
        </w:rPr>
        <w:t xml:space="preserve">与外界（车、路、人、云）的通信过程，包括消息生成、发送、接收、解析，以及安全协议、攻击注入等功能的完整仿真环境。</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DRL：深度强化学习。</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MPC：模型预测控制。</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CAN：控制器局域网络。</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LTR：横向载荷转移率，用于评估侧翻风险。</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（四）项目建设遵循标准</w:t>
      </w:r>
      <w:r/>
    </w:p>
    <w:p>
      <w:pPr>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W w:w="5046" w:type="pct"/>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856"/>
        <w:gridCol w:w="2583"/>
        <w:gridCol w:w="960"/>
        <w:gridCol w:w="915"/>
        <w:gridCol w:w="1584"/>
        <w:gridCol w:w="1363"/>
        <w:gridCol w:w="1588"/>
      </w:tblGrid>
      <w:tr>
        <w:trPr>
          <w:trHeight w:val="470"/>
        </w:trPr>
        <w:tc>
          <w:tcPr>
            <w:tcBorders>
              <w:top w:val="single" w:color="000000" w:sz="2" w:space="0"/>
              <w:bottom w:val="single" w:color="000000" w:sz="2" w:space="0"/>
            </w:tcBorders>
            <w:tcW w:w="43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31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48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4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80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69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auto" w:sz="4" w:space="0"/>
            </w:tcBorders>
            <w:tcW w:w="80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414"/>
        </w:trPr>
        <w:tc>
          <w:tcPr>
            <w:tcBorders>
              <w:top w:val="single" w:color="000000" w:sz="2" w:space="0"/>
              <w:bottom w:val="single" w:color="000000" w:sz="2" w:space="0"/>
            </w:tcBorders>
            <w:tcW w:w="43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310"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color w:val="000000"/>
                <w:sz w:val="24"/>
                <w:szCs w:val="24"/>
              </w:rPr>
              <w:t xml:space="preserve">智能网联汽车安全溯源仿真平台开发服务</w:t>
            </w:r>
            <w:r/>
          </w:p>
        </w:tc>
        <w:tc>
          <w:tcPr>
            <w:tcBorders>
              <w:top w:val="single" w:color="000000" w:sz="2" w:space="0"/>
              <w:bottom w:val="single" w:color="000000" w:sz="2" w:space="0"/>
            </w:tcBorders>
            <w:tcW w:w="48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4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color w:val="000000"/>
                <w:sz w:val="24"/>
                <w:szCs w:val="24"/>
              </w:rPr>
              <w:t xml:space="preserve">项</w:t>
            </w:r>
            <w:r/>
          </w:p>
        </w:tc>
        <w:tc>
          <w:tcPr>
            <w:tcBorders>
              <w:top w:val="single" w:color="000000" w:sz="2" w:space="0"/>
              <w:bottom w:val="single" w:color="000000" w:sz="2" w:space="0"/>
            </w:tcBorders>
            <w:tcW w:w="80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69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bCs/>
                <w:color w:val="000000"/>
                <w:sz w:val="24"/>
                <w:szCs w:val="24"/>
              </w:rPr>
              <w:t xml:space="preserve">软件和信息技术服务业</w:t>
            </w:r>
            <w:r/>
          </w:p>
        </w:tc>
        <w:tc>
          <w:tcPr>
            <w:tcBorders>
              <w:top w:val="single" w:color="000000" w:sz="2" w:space="0"/>
              <w:bottom w:val="single" w:color="000000" w:sz="2" w:space="0"/>
              <w:right w:val="single" w:color="auto" w:sz="4" w:space="0"/>
            </w:tcBorders>
            <w:tcW w:w="80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color w:val="000000"/>
                <w:sz w:val="24"/>
                <w:szCs w:val="24"/>
              </w:rPr>
              <w:t xml:space="preserve">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总体技术要求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 架构与集成</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平台需采用模块化、高内聚低耦合的架构设计，各功能模块应能</w:t>
      </w:r>
      <w:r>
        <w:rPr>
          <w:rFonts w:hint="eastAsia" w:ascii="宋体" w:hAnsi="宋体" w:cs="宋体"/>
          <w:bCs/>
          <w:sz w:val="24"/>
          <w:szCs w:val="24"/>
        </w:rPr>
        <w:t xml:space="preserve">独立部署</w:t>
      </w:r>
      <w:r>
        <w:rPr>
          <w:rFonts w:hint="eastAsia" w:ascii="宋体" w:hAnsi="宋体" w:cs="宋体"/>
          <w:bCs/>
          <w:sz w:val="24"/>
          <w:szCs w:val="24"/>
        </w:rPr>
        <w:t xml:space="preserve">和升级。平台应提供统一的主控界面或集成接口，实现对各模块的集中管理和调度。</w:t>
      </w:r>
      <w:r/>
    </w:p>
    <w:p>
      <w:pPr>
        <w:ind w:left="480"/>
        <w:spacing w:line="264" w:lineRule="auto"/>
        <w:rPr>
          <w:rFonts w:hint="eastAsia" w:ascii="宋体" w:hAnsi="宋体" w:cs="宋体"/>
          <w:bCs/>
          <w:sz w:val="24"/>
          <w:szCs w:val="24"/>
        </w:rPr>
      </w:pPr>
      <w:r>
        <w:rPr>
          <w:rFonts w:ascii="宋体" w:hAnsi="宋体" w:cs="宋体"/>
          <w:bCs/>
          <w:sz w:val="24"/>
          <w:szCs w:val="24"/>
        </w:rPr>
        <w:t xml:space="preserve">平台应支持分布式部署，能够将计算任务分配到多台服务器，并支持云端扩展，以适应大规模仿真测试需求。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 开发与接口</w:t>
      </w:r>
      <w:r/>
    </w:p>
    <w:p>
      <w:pPr>
        <w:ind w:left="480"/>
        <w:spacing w:line="264" w:lineRule="auto"/>
        <w:rPr>
          <w:rFonts w:hint="eastAsia" w:ascii="宋体" w:hAnsi="宋体" w:cs="宋体"/>
          <w:bCs/>
          <w:sz w:val="24"/>
          <w:szCs w:val="24"/>
        </w:rPr>
      </w:pPr>
      <w:r>
        <w:rPr>
          <w:rFonts w:ascii="宋体" w:hAnsi="宋体" w:cs="宋体"/>
          <w:bCs/>
          <w:sz w:val="24"/>
          <w:szCs w:val="24"/>
        </w:rPr>
        <w:t xml:space="preserve">平台应基于主流技术</w:t>
      </w:r>
      <w:r>
        <w:rPr>
          <w:rFonts w:ascii="宋体" w:hAnsi="宋体" w:cs="宋体"/>
          <w:bCs/>
          <w:sz w:val="24"/>
          <w:szCs w:val="24"/>
        </w:rPr>
        <w:t xml:space="preserve">栈</w:t>
      </w:r>
      <w:r>
        <w:rPr>
          <w:rFonts w:ascii="宋体" w:hAnsi="宋体" w:cs="宋体"/>
          <w:bCs/>
          <w:sz w:val="24"/>
          <w:szCs w:val="24"/>
        </w:rPr>
        <w:t xml:space="preserve">开发（如C++、Python、ROS/ROS2等），并保证良好的跨平台性（至少支持Windows和Linux）。</w:t>
      </w:r>
      <w:r/>
    </w:p>
    <w:p>
      <w:pPr>
        <w:ind w:left="480"/>
        <w:spacing w:line="264" w:lineRule="auto"/>
        <w:rPr>
          <w:rFonts w:hint="eastAsia" w:ascii="宋体" w:hAnsi="宋体" w:cs="宋体"/>
          <w:bCs/>
          <w:sz w:val="24"/>
          <w:szCs w:val="24"/>
        </w:rPr>
      </w:pPr>
      <w:r>
        <w:rPr>
          <w:rFonts w:ascii="宋体" w:hAnsi="宋体" w:cs="宋体"/>
          <w:bCs/>
          <w:sz w:val="24"/>
          <w:szCs w:val="24"/>
        </w:rPr>
        <w:t xml:space="preserve">提供详尽的二次开发API，至少包括C++、Python、Simulink接口，支持用户自定义算法、场景、车辆模型等的接入。</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 可插拔仿真后端环境适配层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提供统一的用户Agent环境接口，支持将不同仿真后端接入平台主控系统，实现对实验管理、批量测试、回放与报告的无缝支持。</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 数据字典与坐标系/单位</w:t>
      </w:r>
      <w:r/>
    </w:p>
    <w:p>
      <w:pPr>
        <w:ind w:left="480"/>
        <w:spacing w:line="264" w:lineRule="auto"/>
        <w:rPr>
          <w:rFonts w:hint="eastAsia" w:ascii="宋体" w:hAnsi="宋体" w:cs="宋体"/>
          <w:bCs/>
          <w:sz w:val="24"/>
          <w:szCs w:val="24"/>
        </w:rPr>
      </w:pPr>
      <w:r>
        <w:rPr>
          <w:rFonts w:ascii="宋体" w:hAnsi="宋体" w:cs="宋体"/>
          <w:bCs/>
          <w:sz w:val="24"/>
          <w:szCs w:val="24"/>
        </w:rPr>
        <w:t xml:space="preserve">统一数据字典，定义所有输入输出字段（如</w:t>
      </w:r>
      <w:r>
        <w:rPr>
          <w:rFonts w:ascii="宋体" w:hAnsi="宋体" w:cs="宋体"/>
          <w:bCs/>
          <w:sz w:val="24"/>
          <w:szCs w:val="24"/>
        </w:rPr>
        <w:t xml:space="preserve">obs</w:t>
      </w:r>
      <w:r>
        <w:rPr>
          <w:rFonts w:ascii="宋体" w:hAnsi="宋体" w:cs="宋体"/>
          <w:bCs/>
          <w:sz w:val="24"/>
          <w:szCs w:val="24"/>
        </w:rPr>
        <w:t xml:space="preserve">、action、事件日志）的命名、类型、单位、坐标系和频率，并形成文档。不同仿真后端的差异应由适配层内部消化，对外提供一致的数据格式。</w:t>
      </w:r>
      <w:r/>
    </w:p>
    <w:p>
      <w:pPr>
        <w:ind w:left="480"/>
        <w:spacing w:line="264" w:lineRule="auto"/>
        <w:rPr>
          <w:rFonts w:hint="eastAsia" w:ascii="宋体" w:hAnsi="宋体" w:cs="宋体"/>
          <w:bCs/>
          <w:sz w:val="24"/>
          <w:szCs w:val="24"/>
        </w:rPr>
      </w:pPr>
      <w:r>
        <w:rPr>
          <w:rFonts w:ascii="宋体" w:hAnsi="宋体" w:cs="宋体"/>
          <w:bCs/>
          <w:sz w:val="24"/>
          <w:szCs w:val="24"/>
        </w:rPr>
        <w:t xml:space="preserve">坐标系应明确采用世界坐标系（如ENU）和车辆坐标系，单位统一使用国际单位制（m, s, rad, m/s²等）。</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 标准符合性</w:t>
      </w:r>
      <w:r/>
    </w:p>
    <w:p>
      <w:pPr>
        <w:ind w:left="480"/>
        <w:spacing w:line="264" w:lineRule="auto"/>
        <w:rPr>
          <w:rFonts w:hint="eastAsia" w:ascii="宋体" w:hAnsi="宋体" w:cs="宋体"/>
          <w:bCs/>
          <w:sz w:val="24"/>
          <w:szCs w:val="24"/>
        </w:rPr>
      </w:pPr>
      <w:r>
        <w:rPr>
          <w:rFonts w:ascii="宋体" w:hAnsi="宋体" w:cs="宋体"/>
          <w:bCs/>
          <w:sz w:val="24"/>
          <w:szCs w:val="24"/>
        </w:rPr>
        <w:t xml:space="preserve">设计需参考《车载智能计算基础平台参考架构2.0》等业内权威架构对工具链的要求，确保平台与行业发展趋势接轨。</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、功能模块要求</w:t>
      </w:r>
      <w:r/>
    </w:p>
    <w:p>
      <w:pPr>
        <w:ind w:left="480"/>
        <w:spacing w:line="264" w:lineRule="auto"/>
        <w:rPr>
          <w:rFonts w:hint="eastAsia" w:ascii="宋体" w:hAnsi="宋体" w:cs="宋体"/>
          <w:bCs/>
          <w:sz w:val="24"/>
          <w:szCs w:val="24"/>
        </w:rPr>
      </w:pPr>
      <w:r>
        <w:rPr>
          <w:rFonts w:ascii="宋体" w:hAnsi="宋体" w:cs="宋体"/>
          <w:bCs/>
          <w:sz w:val="24"/>
          <w:szCs w:val="24"/>
        </w:rPr>
        <w:t xml:space="preserve">平台需包含以下功能模块，各模块具体功能要点如下：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227"/>
        <w:gridCol w:w="6764"/>
      </w:tblGrid>
      <w:tr>
        <w:trPr>
          <w:tblHeader/>
        </w:trPr>
        <w:tc>
          <w:tcPr>
            <w:tcMar>
              <w:left w:w="0" w:type="dxa"/>
              <w:top w:w="150" w:type="dxa"/>
              <w:right w:w="240" w:type="dxa"/>
              <w:bottom w:w="150" w:type="dxa"/>
            </w:tcMar>
            <w:tcW w:w="1615" w:type="pct"/>
            <w:vAlign w:val="center"/>
            <w:textDirection w:val="lrTb"/>
            <w:noWrap w:val="false"/>
          </w:tcPr>
          <w:p>
            <w:pPr>
              <w:ind w:firstLine="480"/>
              <w:spacing w:line="264" w:lineRule="auto"/>
              <w:rPr>
                <w:rFonts w:hint="eastAsia" w:ascii="宋体" w:hAnsi="宋体" w:cs="宋体"/>
                <w:bCs/>
                <w:color w:val="000000"/>
                <w:sz w:val="24"/>
                <w:szCs w:val="24"/>
              </w:rPr>
            </w:pPr>
            <w:r>
              <w:rPr>
                <w:rFonts w:ascii="宋体" w:hAnsi="宋体" w:cs="宋体"/>
                <w:bCs/>
                <w:color w:val="000000"/>
                <w:sz w:val="24"/>
                <w:szCs w:val="24"/>
              </w:rPr>
              <w:t xml:space="preserve">模块名称</w:t>
            </w:r>
            <w:r/>
          </w:p>
        </w:tc>
        <w:tc>
          <w:tcPr>
            <w:tcMar>
              <w:left w:w="240" w:type="dxa"/>
              <w:top w:w="150" w:type="dxa"/>
              <w:right w:w="240" w:type="dxa"/>
              <w:bottom w:w="150" w:type="dxa"/>
            </w:tcMar>
            <w:tcW w:w="3385" w:type="pct"/>
            <w:vAlign w:val="center"/>
            <w:textDirection w:val="lrTb"/>
            <w:noWrap w:val="false"/>
          </w:tcPr>
          <w:p>
            <w:pPr>
              <w:spacing w:line="264" w:lineRule="auto"/>
              <w:rPr>
                <w:rFonts w:hint="eastAsia" w:ascii="宋体" w:hAnsi="宋体" w:cs="宋体"/>
                <w:bCs/>
                <w:color w:val="000000"/>
                <w:sz w:val="24"/>
                <w:szCs w:val="24"/>
              </w:rPr>
            </w:pPr>
            <w:r>
              <w:rPr>
                <w:rFonts w:ascii="宋体" w:hAnsi="宋体" w:cs="宋体"/>
                <w:bCs/>
                <w:color w:val="000000"/>
                <w:sz w:val="24"/>
                <w:szCs w:val="24"/>
              </w:rPr>
              <w:t xml:space="preserve">必须实现的核心功能要点</w:t>
            </w:r>
            <w:r/>
          </w:p>
        </w:tc>
      </w:tr>
      <w:tr>
        <w:trPr/>
        <w:tc>
          <w:tcPr>
            <w:tcMar>
              <w:left w:w="0" w:type="dxa"/>
              <w:top w:w="150" w:type="dxa"/>
              <w:right w:w="240" w:type="dxa"/>
              <w:bottom w:w="150" w:type="dxa"/>
            </w:tcMar>
            <w:tcW w:w="1615" w:type="pct"/>
            <w:vAlign w:val="center"/>
            <w:textDirection w:val="lrTb"/>
            <w:noWrap w:val="false"/>
          </w:tcPr>
          <w:p>
            <w:pPr>
              <w:ind w:firstLine="480"/>
              <w:spacing w:line="264" w:lineRule="auto"/>
              <w:rPr>
                <w:rFonts w:hint="eastAsia" w:ascii="宋体" w:hAnsi="宋体" w:cs="宋体"/>
                <w:bCs/>
                <w:color w:val="000000"/>
                <w:sz w:val="24"/>
                <w:szCs w:val="24"/>
              </w:rPr>
            </w:pPr>
            <w:r>
              <w:rPr>
                <w:rFonts w:ascii="宋体" w:hAnsi="宋体" w:cs="宋体"/>
                <w:bCs/>
                <w:color w:val="000000"/>
                <w:sz w:val="24"/>
                <w:szCs w:val="24"/>
              </w:rPr>
              <w:t xml:space="preserve">主控模块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1.仿真实验全生命周期管理（创建、配置、运行、暂停、停止、保存、加载）。</w:t>
            </w:r>
            <w:r>
              <w:rPr>
                <w:rFonts w:ascii="宋体" w:hAnsi="宋体" w:cs="宋体"/>
                <w:bCs/>
                <w:color w:val="000000"/>
                <w:sz w:val="24"/>
                <w:szCs w:val="24"/>
              </w:rPr>
              <w:br/>
              <w:t xml:space="preserve">2. 支持交通流与大气环境模拟（如车辆密度、速度分布、雨雪雾、光照等）。</w:t>
            </w:r>
            <w:r>
              <w:rPr>
                <w:rFonts w:ascii="宋体" w:hAnsi="宋体" w:cs="宋体"/>
                <w:bCs/>
                <w:color w:val="000000"/>
                <w:sz w:val="24"/>
                <w:szCs w:val="24"/>
              </w:rPr>
              <w:br/>
              <w:t xml:space="preserve">3. 支持自定义仿真消息（</w:t>
            </w:r>
            <w:r>
              <w:rPr>
                <w:rFonts w:ascii="宋体" w:hAnsi="宋体" w:cs="宋体"/>
                <w:bCs/>
                <w:color w:val="000000"/>
                <w:sz w:val="24"/>
                <w:szCs w:val="24"/>
              </w:rPr>
              <w:t xml:space="preserve">如事件</w:t>
            </w:r>
            <w:r>
              <w:rPr>
                <w:rFonts w:ascii="宋体" w:hAnsi="宋体" w:cs="宋体"/>
                <w:bCs/>
                <w:color w:val="000000"/>
                <w:sz w:val="24"/>
                <w:szCs w:val="24"/>
              </w:rPr>
              <w:t xml:space="preserve">触发、故障注入指令等）。</w:t>
            </w:r>
            <w:r>
              <w:rPr>
                <w:rFonts w:ascii="宋体" w:hAnsi="宋体" w:cs="宋体"/>
                <w:bCs/>
                <w:color w:val="000000"/>
                <w:sz w:val="24"/>
                <w:szCs w:val="24"/>
              </w:rPr>
              <w:br/>
              <w:t xml:space="preserve">4. 主车与用户Agent接入管理，支持多Agent同时接入。</w:t>
            </w:r>
            <w:r>
              <w:rPr>
                <w:rFonts w:ascii="宋体" w:hAnsi="宋体" w:cs="宋体"/>
                <w:bCs/>
                <w:color w:val="000000"/>
                <w:sz w:val="24"/>
                <w:szCs w:val="24"/>
              </w:rPr>
              <w:br/>
              <w:t xml:space="preserve">5. 算法集成与测试框架：提供开放的算法集成接口，允许用户自定义决策、规划、控制算法。平台应内置至少3种典型的自动驾驶基准算法（如基于规则的线性MPC、标准PPO/SAC强化学习算法、模仿学习算法），用于对比测试。</w:t>
            </w:r>
            <w:r>
              <w:rPr>
                <w:rFonts w:ascii="宋体" w:hAnsi="宋体" w:cs="宋体"/>
                <w:bCs/>
                <w:color w:val="000000"/>
                <w:sz w:val="24"/>
                <w:szCs w:val="24"/>
              </w:rPr>
              <w:br/>
              <w:t xml:space="preserve">6. 支持多交通参与者</w:t>
            </w:r>
            <w:r>
              <w:rPr>
                <w:rFonts w:ascii="宋体" w:hAnsi="宋体" w:cs="宋体"/>
                <w:bCs/>
                <w:color w:val="000000"/>
                <w:sz w:val="24"/>
                <w:szCs w:val="24"/>
              </w:rPr>
              <w:t xml:space="preserve">交互下</w:t>
            </w:r>
            <w:r>
              <w:rPr>
                <w:rFonts w:ascii="宋体" w:hAnsi="宋体" w:cs="宋体"/>
                <w:bCs/>
                <w:color w:val="000000"/>
                <w:sz w:val="24"/>
                <w:szCs w:val="24"/>
              </w:rPr>
              <w:t xml:space="preserve">的行为决策算法（如跟车、换道、超车、合流等）和局部路径/速度规划算法，并提供默认算法实现。</w:t>
            </w:r>
            <w:r>
              <w:rPr>
                <w:rFonts w:ascii="宋体" w:hAnsi="宋体" w:cs="宋体"/>
                <w:bCs/>
                <w:color w:val="000000"/>
                <w:sz w:val="24"/>
                <w:szCs w:val="24"/>
              </w:rPr>
              <w:br/>
              <w:t xml:space="preserve">7. 提供多种车辆控制器算法实现（如PID、LQR、MPC），支持对规划轨迹的精确跟踪，控制周期≤50ms，具备执行器延迟、饱和、故障注入接口。</w:t>
            </w:r>
            <w:r>
              <w:rPr>
                <w:rFonts w:ascii="宋体" w:hAnsi="宋体" w:cs="宋体"/>
                <w:bCs/>
                <w:color w:val="000000"/>
                <w:sz w:val="24"/>
                <w:szCs w:val="24"/>
              </w:rPr>
              <w:br/>
              <w:t xml:space="preserve">8. 支持在高速紧急避障、十字路口多车博弈、动态合流区、大曲率弯道及连续S型绕障等不少于5种典型复杂工况下的算</w:t>
            </w:r>
            <w:r>
              <w:rPr>
                <w:rFonts w:ascii="宋体" w:hAnsi="宋体" w:cs="宋体"/>
                <w:bCs/>
                <w:color w:val="000000"/>
                <w:sz w:val="24"/>
                <w:szCs w:val="24"/>
              </w:rPr>
              <w:t xml:space="preserve">法测试，并支持对避障成功率、碰撞概率、通行效率（平均速度与延时）、乘员舒适度（纵横向加加速度jerk曲线平滑度）、动态</w:t>
            </w:r>
            <w:r>
              <w:rPr>
                <w:rFonts w:ascii="宋体" w:hAnsi="宋体" w:cs="宋体"/>
                <w:bCs/>
                <w:color w:val="000000"/>
                <w:sz w:val="24"/>
                <w:szCs w:val="24"/>
              </w:rPr>
              <w:t xml:space="preserve">安全距离裕度等</w:t>
            </w:r>
            <w:r>
              <w:rPr>
                <w:rFonts w:ascii="宋体" w:hAnsi="宋体" w:cs="宋体"/>
                <w:bCs/>
                <w:color w:val="000000"/>
                <w:sz w:val="24"/>
                <w:szCs w:val="24"/>
              </w:rPr>
              <w:t xml:space="preserve">指标进行多目标权衡量化分析。</w:t>
            </w:r>
            <w:r>
              <w:rPr>
                <w:rFonts w:ascii="宋体" w:hAnsi="宋体" w:cs="宋体"/>
                <w:bCs/>
                <w:color w:val="000000"/>
                <w:sz w:val="24"/>
                <w:szCs w:val="24"/>
              </w:rPr>
              <w:br/>
              <w:t xml:space="preserve">9. 提供二次开发API（C++、Python、Simulink），允许用户定制全局导航引导、局部避障策略、运动学稳定性约束、车辆动力学边界参数，以及主车和其他交通参与者的运动学规划。</w:t>
            </w:r>
            <w:r/>
          </w:p>
        </w:tc>
      </w:tr>
      <w:tr>
        <w:trPr/>
        <w:tc>
          <w:tcPr>
            <w:tcMar>
              <w:left w:w="0" w:type="dxa"/>
              <w:top w:w="150" w:type="dxa"/>
              <w:right w:w="240" w:type="dxa"/>
              <w:bottom w:w="150" w:type="dxa"/>
            </w:tcMar>
            <w:tcW w:w="161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VehicleBuilder</w:t>
            </w:r>
            <w:r>
              <w:rPr>
                <w:rFonts w:ascii="宋体" w:hAnsi="宋体" w:cs="宋体"/>
                <w:bCs/>
                <w:color w:val="000000"/>
                <w:sz w:val="24"/>
                <w:szCs w:val="24"/>
              </w:rPr>
              <w:t xml:space="preserve"> 车辆编辑模块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提供图形化车辆编辑器，支持车辆动力学模型参数配置（如质量、惯量、轴距、轮胎特性等）。</w:t>
            </w:r>
            <w:r>
              <w:rPr>
                <w:rFonts w:ascii="宋体" w:hAnsi="宋体" w:cs="宋体"/>
                <w:bCs/>
                <w:color w:val="000000"/>
                <w:sz w:val="24"/>
                <w:szCs w:val="24"/>
              </w:rPr>
              <w:br/>
              <w:t xml:space="preserve">2. 支持高精度车辆动力学模型（</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27自由度</w:t>
            </w:r>
            <w:r>
              <w:rPr>
                <w:rFonts w:hint="eastAsia" w:ascii="宋体" w:hAnsi="宋体" w:cs="宋体"/>
                <w:bCs/>
                <w:color w:val="000000"/>
                <w:sz w:val="24"/>
                <w:szCs w:val="24"/>
              </w:rPr>
              <w:t xml:space="preserve">的精度</w:t>
            </w:r>
            <w:r>
              <w:rPr>
                <w:rFonts w:ascii="宋体" w:hAnsi="宋体" w:cs="宋体"/>
                <w:bCs/>
                <w:color w:val="000000"/>
                <w:sz w:val="24"/>
                <w:szCs w:val="24"/>
              </w:rPr>
              <w:t xml:space="preserve">）的配置和导入，允许用户自定义动力学模型。</w:t>
            </w:r>
            <w:r>
              <w:rPr>
                <w:rFonts w:ascii="宋体" w:hAnsi="宋体" w:cs="宋体"/>
                <w:bCs/>
                <w:color w:val="000000"/>
                <w:sz w:val="24"/>
                <w:szCs w:val="24"/>
              </w:rPr>
              <w:br/>
              <w:t xml:space="preserve">3. 支持车辆3D外形编辑（尺寸、颜色）与外部3D模型导入（如FBX、OBJ格式）。</w:t>
            </w:r>
            <w:r/>
          </w:p>
        </w:tc>
      </w:tr>
      <w:tr>
        <w:trPr/>
        <w:tc>
          <w:tcPr>
            <w:tcMar>
              <w:left w:w="0" w:type="dxa"/>
              <w:top w:w="150" w:type="dxa"/>
              <w:right w:w="240" w:type="dxa"/>
              <w:bottom w:w="150" w:type="dxa"/>
            </w:tcMar>
            <w:tcW w:w="1615" w:type="pct"/>
            <w:vAlign w:val="center"/>
            <w:textDirection w:val="lrTb"/>
            <w:noWrap w:val="false"/>
          </w:tcPr>
          <w:p>
            <w:pPr>
              <w:spacing w:line="264" w:lineRule="auto"/>
              <w:rPr>
                <w:rFonts w:hint="eastAsia" w:ascii="宋体" w:hAnsi="宋体" w:cs="宋体"/>
                <w:bCs/>
                <w:color w:val="000000"/>
                <w:sz w:val="24"/>
                <w:szCs w:val="24"/>
              </w:rPr>
            </w:pPr>
            <w:r>
              <w:rPr>
                <w:rFonts w:ascii="宋体" w:hAnsi="宋体" w:cs="宋体"/>
                <w:bCs/>
                <w:color w:val="000000"/>
                <w:sz w:val="24"/>
                <w:szCs w:val="24"/>
              </w:rPr>
              <w:t xml:space="preserve">FieldBuilder</w:t>
            </w:r>
            <w:r>
              <w:rPr>
                <w:rFonts w:ascii="宋体" w:hAnsi="宋体" w:cs="宋体"/>
                <w:bCs/>
                <w:color w:val="000000"/>
                <w:sz w:val="24"/>
                <w:szCs w:val="24"/>
              </w:rPr>
              <w:t xml:space="preserve"> </w:t>
            </w:r>
            <w:r/>
          </w:p>
          <w:p>
            <w:pPr>
              <w:spacing w:line="264" w:lineRule="auto"/>
              <w:rPr>
                <w:rFonts w:hint="eastAsia" w:ascii="宋体" w:hAnsi="宋体" w:cs="宋体"/>
                <w:bCs/>
                <w:color w:val="000000"/>
                <w:sz w:val="24"/>
                <w:szCs w:val="24"/>
              </w:rPr>
            </w:pPr>
            <w:r>
              <w:rPr>
                <w:rFonts w:ascii="宋体" w:hAnsi="宋体" w:cs="宋体"/>
                <w:bCs/>
                <w:color w:val="000000"/>
                <w:sz w:val="24"/>
                <w:szCs w:val="24"/>
              </w:rPr>
              <w:t xml:space="preserve">&amp; </w:t>
            </w:r>
            <w:r>
              <w:rPr>
                <w:rFonts w:ascii="宋体" w:hAnsi="宋体" w:cs="宋体"/>
                <w:bCs/>
                <w:color w:val="000000"/>
                <w:sz w:val="24"/>
                <w:szCs w:val="24"/>
              </w:rPr>
              <w:t xml:space="preserve">WorldBuilder</w:t>
            </w:r>
            <w:r>
              <w:rPr>
                <w:rFonts w:ascii="宋体" w:hAnsi="宋体" w:cs="宋体"/>
                <w:bCs/>
                <w:color w:val="000000"/>
                <w:sz w:val="24"/>
                <w:szCs w:val="24"/>
              </w:rPr>
              <w:t xml:space="preserve"> 场景构建模块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支持基于“原子地图”（如直道、弯道、交叉口、匝道等）快速拼装高精度测试场地，并提供图形化编辑工具。</w:t>
            </w:r>
            <w:r>
              <w:rPr>
                <w:rFonts w:ascii="宋体" w:hAnsi="宋体" w:cs="宋体"/>
                <w:bCs/>
                <w:color w:val="000000"/>
                <w:sz w:val="24"/>
                <w:szCs w:val="24"/>
              </w:rPr>
              <w:br/>
              <w:t xml:space="preserve">2. 内置标准场景库（如</w:t>
            </w:r>
            <w:r>
              <w:rPr>
                <w:rFonts w:ascii="宋体" w:hAnsi="宋体" w:cs="宋体"/>
                <w:bCs/>
                <w:color w:val="000000"/>
                <w:sz w:val="24"/>
                <w:szCs w:val="24"/>
              </w:rPr>
              <w:t xml:space="preserve">EuroNCAP</w:t>
            </w:r>
            <w:r>
              <w:rPr>
                <w:rFonts w:ascii="宋体" w:hAnsi="宋体" w:cs="宋体"/>
                <w:bCs/>
                <w:color w:val="000000"/>
                <w:sz w:val="24"/>
                <w:szCs w:val="24"/>
              </w:rPr>
              <w:t xml:space="preserve">测试场景、中国典型驾驶场景），支持用户自定义场景保存与复用。</w:t>
            </w:r>
            <w:r>
              <w:rPr>
                <w:rFonts w:ascii="宋体" w:hAnsi="宋体" w:cs="宋体"/>
                <w:bCs/>
                <w:color w:val="000000"/>
                <w:sz w:val="24"/>
                <w:szCs w:val="24"/>
              </w:rPr>
              <w:br/>
              <w:t xml:space="preserve">3. 支持动态交通流生成（如随机车流、特定行为车辆），以及天气（雨、雪、雾、光照）和光照效果模拟（时间、光照强度）。</w:t>
            </w:r>
            <w:r/>
          </w:p>
        </w:tc>
      </w:tr>
      <w:tr>
        <w:trPr/>
        <w:tc>
          <w:tcPr>
            <w:tcMar>
              <w:left w:w="0" w:type="dxa"/>
              <w:top w:w="150" w:type="dxa"/>
              <w:right w:w="240" w:type="dxa"/>
              <w:bottom w:w="150" w:type="dxa"/>
            </w:tcMar>
            <w:tcW w:w="161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SensorBuilder</w:t>
            </w:r>
            <w:r>
              <w:rPr>
                <w:rFonts w:ascii="宋体" w:hAnsi="宋体" w:cs="宋体"/>
                <w:bCs/>
                <w:color w:val="000000"/>
                <w:sz w:val="24"/>
                <w:szCs w:val="24"/>
              </w:rPr>
              <w:t xml:space="preserve"> 传感器仿真模块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支持摄像头、激光雷达、毫米波雷达等主流传感器的</w:t>
            </w:r>
            <w:r>
              <w:rPr>
                <w:rFonts w:ascii="宋体" w:hAnsi="宋体" w:cs="宋体"/>
                <w:bCs/>
                <w:color w:val="000000"/>
                <w:sz w:val="24"/>
                <w:szCs w:val="24"/>
              </w:rPr>
              <w:t xml:space="preserve">物理级</w:t>
            </w:r>
            <w:r>
              <w:rPr>
                <w:rFonts w:ascii="宋体" w:hAnsi="宋体" w:cs="宋体"/>
                <w:bCs/>
                <w:color w:val="000000"/>
                <w:sz w:val="24"/>
                <w:szCs w:val="24"/>
              </w:rPr>
              <w:t xml:space="preserve">信号仿真（如点云、图像、目标列表）。</w:t>
            </w:r>
            <w:r>
              <w:rPr>
                <w:rFonts w:ascii="宋体" w:hAnsi="宋体" w:cs="宋体"/>
                <w:bCs/>
                <w:color w:val="000000"/>
                <w:sz w:val="24"/>
                <w:szCs w:val="24"/>
              </w:rPr>
              <w:br/>
              <w:t xml:space="preserve">2. 支持传感器标定参数设置、噪声模型注入、故障注入（如完全失效、数据漂移）。</w:t>
            </w:r>
            <w:r/>
          </w:p>
        </w:tc>
      </w:tr>
      <w:tr>
        <w:trPr/>
        <w:tc>
          <w:tcPr>
            <w:tcMar>
              <w:left w:w="0" w:type="dxa"/>
              <w:top w:w="150" w:type="dxa"/>
              <w:right w:w="240" w:type="dxa"/>
              <w:bottom w:w="150" w:type="dxa"/>
            </w:tcMar>
            <w:tcW w:w="161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V2X全</w:t>
            </w:r>
            <w:r>
              <w:rPr>
                <w:rFonts w:ascii="宋体" w:hAnsi="宋体" w:cs="宋体"/>
                <w:bCs/>
                <w:color w:val="000000"/>
                <w:sz w:val="24"/>
                <w:szCs w:val="24"/>
              </w:rPr>
              <w:t xml:space="preserve">栈</w:t>
            </w:r>
            <w:r>
              <w:rPr>
                <w:rFonts w:ascii="宋体" w:hAnsi="宋体" w:cs="宋体"/>
                <w:bCs/>
                <w:color w:val="000000"/>
                <w:sz w:val="24"/>
                <w:szCs w:val="24"/>
              </w:rPr>
              <w:t xml:space="preserve">闭环仿真模块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实现至少16类典型V2X应用场景算法（如CSA E Day1/Day2标准中的场景，包括前向碰撞预警、交叉口碰撞预警、紧急电子刹车等），并支持自定义应用算法。</w:t>
            </w:r>
            <w:r>
              <w:rPr>
                <w:rFonts w:ascii="宋体" w:hAnsi="宋体" w:cs="宋体"/>
                <w:bCs/>
                <w:color w:val="000000"/>
                <w:sz w:val="24"/>
                <w:szCs w:val="24"/>
              </w:rPr>
              <w:br/>
              <w:t xml:space="preserve">2. 提供标准V2X消息包（如BSM、RSM、SPAT、MAP等）的生成与解析，以及安全SDK集成接口（支持通信加密、认证）。</w:t>
            </w:r>
            <w:r>
              <w:rPr>
                <w:rFonts w:ascii="宋体" w:hAnsi="宋体" w:cs="宋体"/>
                <w:bCs/>
                <w:color w:val="000000"/>
                <w:sz w:val="24"/>
                <w:szCs w:val="24"/>
              </w:rPr>
              <w:br/>
              <w:t xml:space="preserve">3. 支持信息安全攻击模拟，包括虚假消息注入、重放攻击、DoS攻击等，并提供二次开发接口用于自定义攻击脚本。</w:t>
            </w:r>
            <w:r>
              <w:rPr>
                <w:rFonts w:ascii="宋体" w:hAnsi="宋体" w:cs="宋体"/>
                <w:bCs/>
                <w:color w:val="000000"/>
                <w:sz w:val="24"/>
                <w:szCs w:val="24"/>
              </w:rPr>
              <w:br/>
              <w:t xml:space="preserve">4. 支持在规划或控制层注入典型故障（如规划死锁、控制超调、传感器失效导致轨迹突变），用于安全边界测试。</w:t>
            </w:r>
            <w:r>
              <w:rPr>
                <w:rFonts w:ascii="宋体" w:hAnsi="宋体" w:cs="宋体"/>
                <w:bCs/>
                <w:color w:val="000000"/>
                <w:sz w:val="24"/>
                <w:szCs w:val="24"/>
              </w:rPr>
              <w:br/>
              <w:t xml:space="preserve">5. 具备实时提取并对比分析攻击前后车辆动力学响应的能力，提供可量化的车辆稳定性与安全性指标报告，包括转向轮</w:t>
            </w:r>
            <w:r>
              <w:rPr>
                <w:rFonts w:ascii="宋体" w:hAnsi="宋体" w:cs="宋体"/>
                <w:bCs/>
                <w:color w:val="000000"/>
                <w:sz w:val="24"/>
                <w:szCs w:val="24"/>
              </w:rPr>
              <w:t xml:space="preserve">转角偏差、质心侧偏角beta、LTR、横摆角速度偏差、车辆轨迹位移偏差、纵横向加速度波动等关键性能数据。</w:t>
            </w:r>
            <w:r/>
          </w:p>
        </w:tc>
      </w:tr>
      <w:tr>
        <w:trPr/>
        <w:tc>
          <w:tcPr>
            <w:tcMar>
              <w:left w:w="0" w:type="dxa"/>
              <w:top w:w="150" w:type="dxa"/>
              <w:right w:w="240" w:type="dxa"/>
              <w:bottom w:w="150" w:type="dxa"/>
            </w:tcMar>
            <w:tcW w:w="161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Plot/</w:t>
            </w:r>
            <w:r>
              <w:rPr>
                <w:rFonts w:ascii="宋体" w:hAnsi="宋体" w:cs="宋体"/>
                <w:bCs/>
                <w:color w:val="000000"/>
                <w:sz w:val="24"/>
                <w:szCs w:val="24"/>
              </w:rPr>
              <w:t xml:space="preserve">PlayBack</w:t>
            </w:r>
            <w:r>
              <w:rPr>
                <w:rFonts w:ascii="宋体" w:hAnsi="宋体" w:cs="宋体"/>
                <w:bCs/>
                <w:color w:val="000000"/>
                <w:sz w:val="24"/>
                <w:szCs w:val="24"/>
              </w:rPr>
              <w:t xml:space="preserve"> 回放分析模块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多维</w:t>
            </w:r>
            <w:r>
              <w:rPr>
                <w:rFonts w:ascii="宋体" w:hAnsi="宋体" w:cs="宋体"/>
                <w:bCs/>
                <w:color w:val="000000"/>
                <w:sz w:val="24"/>
                <w:szCs w:val="24"/>
              </w:rPr>
              <w:t xml:space="preserve">度数据</w:t>
            </w:r>
            <w:r>
              <w:rPr>
                <w:rFonts w:ascii="宋体" w:hAnsi="宋体" w:cs="宋体"/>
                <w:bCs/>
                <w:color w:val="000000"/>
                <w:sz w:val="24"/>
                <w:szCs w:val="24"/>
              </w:rPr>
              <w:t xml:space="preserve">同步回放与可视化：</w:t>
            </w:r>
            <w:r>
              <w:rPr>
                <w:rFonts w:ascii="宋体" w:hAnsi="宋体" w:cs="宋体"/>
                <w:bCs/>
                <w:color w:val="000000"/>
                <w:sz w:val="24"/>
                <w:szCs w:val="24"/>
              </w:rPr>
              <w:br/>
              <w:t xml:space="preserve">- </w:t>
            </w:r>
            <w:r>
              <w:rPr>
                <w:rFonts w:ascii="宋体" w:hAnsi="宋体" w:cs="宋体"/>
                <w:bCs/>
                <w:color w:val="000000"/>
                <w:sz w:val="24"/>
                <w:szCs w:val="24"/>
              </w:rPr>
              <w:t xml:space="preserve">毫秒级多源</w:t>
            </w:r>
            <w:r>
              <w:rPr>
                <w:rFonts w:ascii="宋体" w:hAnsi="宋体" w:cs="宋体"/>
                <w:bCs/>
                <w:color w:val="000000"/>
                <w:sz w:val="24"/>
                <w:szCs w:val="24"/>
              </w:rPr>
              <w:t xml:space="preserve">同步：支持</w:t>
            </w:r>
            <w:r>
              <w:rPr>
                <w:rFonts w:ascii="宋体" w:hAnsi="宋体" w:cs="宋体"/>
                <w:bCs/>
                <w:color w:val="000000"/>
                <w:sz w:val="24"/>
                <w:szCs w:val="24"/>
              </w:rPr>
              <w:t xml:space="preserve">物理级</w:t>
            </w:r>
            <w:r>
              <w:rPr>
                <w:rFonts w:ascii="宋体" w:hAnsi="宋体" w:cs="宋体"/>
                <w:bCs/>
                <w:color w:val="000000"/>
                <w:sz w:val="24"/>
                <w:szCs w:val="24"/>
              </w:rPr>
              <w:t xml:space="preserve">传感器原始数据（点云、图像）、V2X协议报文（BSM、RSM、SPAT等）、车载网络信号（CAN/以太网）以及高精度车辆动力学状态的</w:t>
            </w:r>
            <w:r>
              <w:rPr>
                <w:rFonts w:ascii="宋体" w:hAnsi="宋体" w:cs="宋体"/>
                <w:bCs/>
                <w:color w:val="000000"/>
                <w:sz w:val="24"/>
                <w:szCs w:val="24"/>
              </w:rPr>
              <w:t xml:space="preserve">统一时戳对齐</w:t>
            </w:r>
            <w:r>
              <w:rPr>
                <w:rFonts w:ascii="宋体" w:hAnsi="宋体" w:cs="宋体"/>
                <w:bCs/>
                <w:color w:val="000000"/>
                <w:sz w:val="24"/>
                <w:szCs w:val="24"/>
              </w:rPr>
              <w:t xml:space="preserve">，各层级间同步误差不超过10ms。</w:t>
            </w:r>
            <w:r>
              <w:rPr>
                <w:rFonts w:ascii="宋体" w:hAnsi="宋体" w:cs="宋体"/>
                <w:bCs/>
                <w:color w:val="000000"/>
                <w:sz w:val="24"/>
                <w:szCs w:val="24"/>
              </w:rPr>
              <w:br/>
              <w:t xml:space="preserve">- 全</w:t>
            </w:r>
            <w:r>
              <w:rPr>
                <w:rFonts w:ascii="宋体" w:hAnsi="宋体" w:cs="宋体"/>
                <w:bCs/>
                <w:color w:val="000000"/>
                <w:sz w:val="24"/>
                <w:szCs w:val="24"/>
              </w:rPr>
              <w:t xml:space="preserve">栈</w:t>
            </w:r>
            <w:r>
              <w:rPr>
                <w:rFonts w:ascii="宋体" w:hAnsi="宋体" w:cs="宋体"/>
                <w:bCs/>
                <w:color w:val="000000"/>
                <w:sz w:val="24"/>
                <w:szCs w:val="24"/>
              </w:rPr>
              <w:t xml:space="preserve">数据同屏可视化：支持3D仿真场景、感知结果（如检测框）、决策博弈意图（如DRL状态空间映射）、控制预测轨迹（如MPC预测时域）以及底层系统/组件健康状态的联动回放。</w:t>
            </w:r>
            <w:r>
              <w:rPr>
                <w:rFonts w:ascii="宋体" w:hAnsi="宋体" w:cs="宋体"/>
                <w:bCs/>
                <w:color w:val="000000"/>
                <w:sz w:val="24"/>
                <w:szCs w:val="24"/>
              </w:rPr>
              <w:br/>
              <w:t xml:space="preserve">2. 风险致因溯源与逻辑回溯：</w:t>
            </w:r>
            <w:r>
              <w:rPr>
                <w:rFonts w:ascii="宋体" w:hAnsi="宋体" w:cs="宋体"/>
                <w:bCs/>
                <w:color w:val="000000"/>
                <w:sz w:val="24"/>
                <w:szCs w:val="24"/>
              </w:rPr>
              <w:br/>
              <w:t xml:space="preserve">- 提供数据追溯工具，支持根据回放数据逆向分析行车风险的可能原因，辅助用户定位风险源于感知偏差、决策冲突、执行极限或硬件故障。</w:t>
            </w:r>
            <w:r>
              <w:rPr>
                <w:rFonts w:ascii="宋体" w:hAnsi="宋体" w:cs="宋体"/>
                <w:bCs/>
                <w:color w:val="000000"/>
                <w:sz w:val="24"/>
                <w:szCs w:val="24"/>
              </w:rPr>
              <w:br/>
              <w:t xml:space="preserve">- 支持在回放时间轴上关联信息安全攻击事件与车辆运行异常数据，量化攻击对行车安全指标的影响。</w:t>
            </w:r>
            <w:r>
              <w:rPr>
                <w:rFonts w:ascii="宋体" w:hAnsi="宋体" w:cs="宋体"/>
                <w:bCs/>
                <w:color w:val="000000"/>
                <w:sz w:val="24"/>
                <w:szCs w:val="24"/>
              </w:rPr>
              <w:br/>
              <w:t xml:space="preserve">3. 数据对比：支持同一场景多次试验的数据对比，或不同算法在同一场景下的对比。</w:t>
            </w:r>
            <w:r>
              <w:rPr>
                <w:rFonts w:ascii="宋体" w:hAnsi="宋体" w:cs="宋体"/>
                <w:bCs/>
                <w:color w:val="000000"/>
                <w:sz w:val="24"/>
                <w:szCs w:val="24"/>
              </w:rPr>
              <w:br/>
              <w:t xml:space="preserve">4. 关键事件标注：允许用户在回放过程中手动或自动标注关键事件（如碰撞、违规、攻击触发），便于后续分析。</w:t>
            </w:r>
            <w:r>
              <w:rPr>
                <w:rFonts w:ascii="宋体" w:hAnsi="宋体" w:cs="宋体"/>
                <w:bCs/>
                <w:color w:val="000000"/>
                <w:sz w:val="24"/>
                <w:szCs w:val="24"/>
              </w:rPr>
              <w:br/>
              <w:t xml:space="preserve">5. 分析报告自动生成：支持一键生成回放分析报告，包含关键指标、图表和结论。</w:t>
            </w:r>
            <w:r/>
          </w:p>
        </w:tc>
      </w:tr>
      <w:tr>
        <w:trPr/>
        <w:tc>
          <w:tcPr>
            <w:tcMar>
              <w:left w:w="0" w:type="dxa"/>
              <w:top w:w="150" w:type="dxa"/>
              <w:right w:w="240" w:type="dxa"/>
              <w:bottom w:w="150" w:type="dxa"/>
            </w:tcMar>
            <w:tcW w:w="161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TestBuilder</w:t>
            </w:r>
            <w:r>
              <w:rPr>
                <w:rFonts w:ascii="宋体" w:hAnsi="宋体" w:cs="宋体"/>
                <w:bCs/>
                <w:color w:val="000000"/>
                <w:sz w:val="24"/>
                <w:szCs w:val="24"/>
              </w:rPr>
              <w:t xml:space="preserve"> 测试管理模块</w:t>
            </w:r>
            <w:r/>
          </w:p>
        </w:tc>
        <w:tc>
          <w:tcPr>
            <w:tcMar>
              <w:left w:w="240" w:type="dxa"/>
              <w:top w:w="150" w:type="dxa"/>
              <w:right w:w="0" w:type="dxa"/>
              <w:bottom w:w="150" w:type="dxa"/>
            </w:tcMar>
            <w:tcW w:w="3385" w:type="pct"/>
            <w:vAlign w:val="center"/>
            <w:textDirection w:val="lrTb"/>
            <w:noWrap w:val="false"/>
          </w:tcPr>
          <w:p>
            <w:pPr>
              <w:jc w:val="left"/>
              <w:spacing w:line="264" w:lineRule="auto"/>
              <w:rPr>
                <w:rFonts w:hint="eastAsia" w:ascii="宋体" w:hAnsi="宋体" w:cs="宋体"/>
                <w:bCs/>
                <w:color w:val="000000"/>
                <w:sz w:val="24"/>
                <w:szCs w:val="24"/>
              </w:rPr>
            </w:pPr>
            <w:r>
              <w:rPr>
                <w:rFonts w:ascii="宋体" w:hAnsi="宋体" w:cs="宋体"/>
                <w:bCs/>
                <w:color w:val="000000"/>
                <w:sz w:val="24"/>
                <w:szCs w:val="24"/>
              </w:rPr>
              <w:t xml:space="preserve">1. 提供高灵活性测试用例编辑功能，支持对天气、道路场景、动态交通流、V2X攻击/故障注入参数的深度定制。</w:t>
            </w:r>
            <w:r>
              <w:rPr>
                <w:rFonts w:ascii="宋体" w:hAnsi="宋体" w:cs="宋体"/>
                <w:bCs/>
                <w:color w:val="000000"/>
                <w:sz w:val="24"/>
                <w:szCs w:val="24"/>
              </w:rPr>
              <w:br/>
              <w:t xml:space="preserve">2. 支持基于参数泛化技术自动构建覆盖不同路面附着系数、目标车速、风险等级的测试场景矩阵。</w:t>
            </w:r>
            <w:r>
              <w:rPr>
                <w:rFonts w:ascii="宋体" w:hAnsi="宋体" w:cs="宋体"/>
                <w:bCs/>
                <w:color w:val="000000"/>
                <w:sz w:val="24"/>
                <w:szCs w:val="24"/>
              </w:rPr>
              <w:br/>
              <w:t xml:space="preserve">3. 支持自动化批量化测试，具备分布式测试管理能力，可同时调度多台计算节点执行测试任务。</w:t>
            </w:r>
            <w:r>
              <w:rPr>
                <w:rFonts w:ascii="宋体" w:hAnsi="宋体" w:cs="宋体"/>
                <w:bCs/>
                <w:color w:val="000000"/>
                <w:sz w:val="24"/>
                <w:szCs w:val="24"/>
              </w:rPr>
              <w:br/>
              <w:t xml:space="preserve">4. 支持主车Agent与多类复杂背景车的交互验证，实时监测算法收敛性、碰撞概率、通行效率、安全距离、乘员舒适度等指标。</w:t>
            </w:r>
            <w:r>
              <w:rPr>
                <w:rFonts w:ascii="宋体" w:hAnsi="宋体" w:cs="宋体"/>
                <w:bCs/>
                <w:color w:val="000000"/>
                <w:sz w:val="24"/>
                <w:szCs w:val="24"/>
              </w:rPr>
              <w:br/>
              <w:t xml:space="preserve">5. 测试报告需集成行车稳定性专项评估（如车辆位移、速度、加速度、航向角、侧偏角、横摆角、横摆角速度、LTR等指标），支持与平台内置基线方法进行多维度的量化对标分析。</w:t>
            </w:r>
            <w:r/>
          </w:p>
        </w:tc>
      </w:tr>
    </w:tbl>
    <w:p>
      <w:pPr>
        <w:ind w:left="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、非功能要求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.1 性能要求</w:t>
      </w:r>
      <w:r/>
    </w:p>
    <w:p>
      <w:pPr>
        <w:ind w:left="480"/>
        <w:spacing w:line="264" w:lineRule="auto"/>
        <w:rPr>
          <w:rFonts w:hint="eastAsia" w:ascii="宋体" w:hAnsi="宋体" w:cs="宋体"/>
          <w:bCs/>
          <w:sz w:val="24"/>
          <w:szCs w:val="24"/>
        </w:rPr>
      </w:pPr>
      <w:r>
        <w:rPr>
          <w:rFonts w:ascii="宋体" w:hAnsi="宋体" w:cs="宋体"/>
          <w:bCs/>
          <w:sz w:val="24"/>
          <w:szCs w:val="24"/>
        </w:rPr>
        <w:t xml:space="preserve">仿真帧率：</w:t>
      </w:r>
      <w:r>
        <w:rPr>
          <w:rFonts w:hint="eastAsia" w:ascii="宋体" w:hAnsi="宋体" w:cs="宋体"/>
          <w:bCs/>
          <w:sz w:val="24"/>
          <w:szCs w:val="24"/>
        </w:rPr>
        <w:t xml:space="preserve">在单机运行典型测试场景时（场景示例见附件，包含1辆具备高精度动力学模型的主车，以及50辆采用简化运动学模型、仅参与基本交通流交互的背景车），仿真主循环更新频率不低于20Hz。对于主车及关键交互车辆的控制闭环，应支持不低于100Hz的更新频率。</w:t>
      </w:r>
      <w:r/>
    </w:p>
    <w:p>
      <w:pPr>
        <w:ind w:left="480"/>
        <w:spacing w:line="264" w:lineRule="auto"/>
        <w:rPr>
          <w:rFonts w:hint="eastAsia" w:ascii="宋体" w:hAnsi="宋体" w:cs="宋体"/>
          <w:bCs/>
          <w:sz w:val="24"/>
          <w:szCs w:val="24"/>
        </w:rPr>
      </w:pPr>
      <w:r>
        <w:rPr>
          <w:rFonts w:ascii="宋体" w:hAnsi="宋体" w:cs="宋体"/>
          <w:bCs/>
          <w:sz w:val="24"/>
          <w:szCs w:val="24"/>
        </w:rPr>
        <w:t xml:space="preserve">同时在线仿真车辆数：平台应支持至少50辆具备动力学模型的车辆同时在线仿真。</w:t>
      </w:r>
      <w:r/>
    </w:p>
    <w:p>
      <w:pPr>
        <w:ind w:left="480"/>
        <w:spacing w:line="264" w:lineRule="auto"/>
        <w:rPr>
          <w:rFonts w:hint="eastAsia" w:ascii="宋体" w:hAnsi="宋体" w:cs="宋体"/>
          <w:bCs/>
          <w:sz w:val="24"/>
          <w:szCs w:val="24"/>
        </w:rPr>
      </w:pPr>
      <w:r>
        <w:rPr>
          <w:rFonts w:ascii="宋体" w:hAnsi="宋体" w:cs="宋体"/>
          <w:bCs/>
          <w:sz w:val="24"/>
          <w:szCs w:val="24"/>
        </w:rPr>
        <w:t xml:space="preserve">场景加载时间：从加载命令发出到场景可运行，时间不超过30秒（场景规模中等）。</w:t>
      </w:r>
      <w:r/>
    </w:p>
    <w:p>
      <w:pPr>
        <w:ind w:left="480"/>
        <w:spacing w:line="264" w:lineRule="auto"/>
        <w:rPr>
          <w:rFonts w:hint="eastAsia" w:ascii="宋体" w:hAnsi="宋体" w:cs="宋体"/>
          <w:bCs/>
          <w:sz w:val="24"/>
          <w:szCs w:val="24"/>
        </w:rPr>
      </w:pPr>
      <w:r>
        <w:rPr>
          <w:rFonts w:ascii="宋体" w:hAnsi="宋体" w:cs="宋体"/>
          <w:bCs/>
          <w:sz w:val="24"/>
          <w:szCs w:val="24"/>
        </w:rPr>
        <w:t xml:space="preserve">大规模交通流模拟：在简化动力学模型下，支持不少于200个交通参与者的实时仿真。</w:t>
      </w:r>
      <w:r/>
    </w:p>
    <w:p>
      <w:pPr>
        <w:ind w:left="480"/>
        <w:spacing w:line="264" w:lineRule="auto"/>
        <w:rPr>
          <w:rFonts w:hint="eastAsia" w:ascii="宋体" w:hAnsi="宋体" w:cs="宋体"/>
          <w:bCs/>
          <w:sz w:val="24"/>
          <w:szCs w:val="24"/>
        </w:rPr>
      </w:pPr>
      <w:r>
        <w:rPr>
          <w:rFonts w:ascii="宋体" w:hAnsi="宋体" w:cs="宋体"/>
          <w:bCs/>
          <w:sz w:val="24"/>
          <w:szCs w:val="24"/>
        </w:rPr>
        <w:t xml:space="preserve">数据同步误差：回放模块多</w:t>
      </w:r>
      <w:r>
        <w:rPr>
          <w:rFonts w:ascii="宋体" w:hAnsi="宋体" w:cs="宋体"/>
          <w:bCs/>
          <w:sz w:val="24"/>
          <w:szCs w:val="24"/>
        </w:rPr>
        <w:t xml:space="preserve">源数据</w:t>
      </w:r>
      <w:r>
        <w:rPr>
          <w:rFonts w:ascii="宋体" w:hAnsi="宋体" w:cs="宋体"/>
          <w:bCs/>
          <w:sz w:val="24"/>
          <w:szCs w:val="24"/>
        </w:rPr>
        <w:t xml:space="preserve">同步误差不超过10ms。</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.2 安全要求</w:t>
      </w:r>
      <w:r/>
    </w:p>
    <w:p>
      <w:pPr>
        <w:ind w:left="480"/>
        <w:spacing w:line="264" w:lineRule="auto"/>
        <w:rPr>
          <w:rFonts w:hint="eastAsia" w:ascii="宋体" w:hAnsi="宋体" w:cs="宋体"/>
          <w:bCs/>
          <w:sz w:val="24"/>
          <w:szCs w:val="24"/>
        </w:rPr>
      </w:pPr>
      <w:r>
        <w:rPr>
          <w:rFonts w:ascii="宋体" w:hAnsi="宋体" w:cs="宋体"/>
          <w:bCs/>
          <w:sz w:val="24"/>
          <w:szCs w:val="24"/>
        </w:rPr>
        <w:t xml:space="preserve">代码开发需遵循安全编码规范（如CERT C/C++、MISRA等），并进行静态代码扫描。</w:t>
      </w:r>
      <w:r/>
    </w:p>
    <w:p>
      <w:pPr>
        <w:ind w:left="480"/>
        <w:spacing w:line="264" w:lineRule="auto"/>
        <w:rPr>
          <w:rFonts w:hint="eastAsia" w:ascii="宋体" w:hAnsi="宋体" w:cs="宋体"/>
          <w:bCs/>
          <w:sz w:val="24"/>
          <w:szCs w:val="24"/>
        </w:rPr>
      </w:pPr>
      <w:r>
        <w:rPr>
          <w:rFonts w:ascii="宋体" w:hAnsi="宋体" w:cs="宋体"/>
          <w:bCs/>
          <w:sz w:val="24"/>
          <w:szCs w:val="24"/>
        </w:rPr>
        <w:t xml:space="preserve">平台自身需具备用户权限管理（至少三级权限：管理员、工程师、访客）、操作日志审计功能，确保操作可追溯。</w:t>
      </w:r>
      <w:r/>
    </w:p>
    <w:p>
      <w:pPr>
        <w:ind w:left="480"/>
        <w:spacing w:line="264" w:lineRule="auto"/>
        <w:rPr>
          <w:rFonts w:hint="eastAsia" w:ascii="宋体" w:hAnsi="宋体" w:cs="宋体"/>
          <w:bCs/>
          <w:sz w:val="24"/>
          <w:szCs w:val="24"/>
        </w:rPr>
      </w:pPr>
      <w:r>
        <w:rPr>
          <w:rFonts w:ascii="宋体" w:hAnsi="宋体" w:cs="宋体"/>
          <w:bCs/>
          <w:sz w:val="24"/>
          <w:szCs w:val="24"/>
        </w:rPr>
        <w:t xml:space="preserve">数据传输和存储需考虑敏感信息保护，符合网络安全法相关要求。</w:t>
      </w:r>
      <w:r/>
    </w:p>
    <w:p>
      <w:pPr>
        <w:ind w:left="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.3 数据与文档</w:t>
      </w:r>
      <w:r/>
    </w:p>
    <w:p>
      <w:pPr>
        <w:ind w:left="480"/>
        <w:spacing w:line="264" w:lineRule="auto"/>
        <w:rPr>
          <w:rFonts w:hint="eastAsia" w:ascii="宋体" w:hAnsi="宋体" w:cs="宋体"/>
          <w:bCs/>
          <w:sz w:val="24"/>
          <w:szCs w:val="24"/>
        </w:rPr>
      </w:pPr>
      <w:r>
        <w:rPr>
          <w:rFonts w:ascii="宋体" w:hAnsi="宋体" w:cs="宋体"/>
          <w:bCs/>
          <w:sz w:val="24"/>
          <w:szCs w:val="24"/>
        </w:rPr>
        <w:t xml:space="preserve">交付物包括但不限于：</w:t>
      </w:r>
      <w:r/>
    </w:p>
    <w:p>
      <w:pPr>
        <w:ind w:left="480"/>
        <w:spacing w:line="264" w:lineRule="auto"/>
        <w:rPr>
          <w:rFonts w:hint="eastAsia" w:ascii="宋体" w:hAnsi="宋体" w:cs="宋体"/>
          <w:bCs/>
          <w:sz w:val="24"/>
          <w:szCs w:val="24"/>
        </w:rPr>
      </w:pPr>
      <w:r>
        <w:rPr>
          <w:rFonts w:ascii="宋体" w:hAnsi="宋体" w:cs="宋体"/>
          <w:bCs/>
          <w:sz w:val="24"/>
          <w:szCs w:val="24"/>
        </w:rPr>
        <w:t xml:space="preserve">全部源代码（含注释）及编译构建脚本。</w:t>
      </w:r>
      <w:r/>
    </w:p>
    <w:p>
      <w:pPr>
        <w:ind w:left="480"/>
        <w:spacing w:line="264" w:lineRule="auto"/>
        <w:rPr>
          <w:rFonts w:hint="eastAsia" w:ascii="宋体" w:hAnsi="宋体" w:cs="宋体"/>
          <w:bCs/>
          <w:sz w:val="24"/>
          <w:szCs w:val="24"/>
        </w:rPr>
      </w:pPr>
      <w:r>
        <w:rPr>
          <w:rFonts w:ascii="宋体" w:hAnsi="宋体" w:cs="宋体"/>
          <w:bCs/>
          <w:sz w:val="24"/>
          <w:szCs w:val="24"/>
        </w:rPr>
        <w:t xml:space="preserve">设计文档（概要设计、详细设计、数据库设计）。</w:t>
      </w:r>
      <w:r/>
    </w:p>
    <w:p>
      <w:pPr>
        <w:ind w:left="480"/>
        <w:spacing w:line="264" w:lineRule="auto"/>
        <w:rPr>
          <w:rFonts w:hint="eastAsia" w:ascii="宋体" w:hAnsi="宋体" w:cs="宋体"/>
          <w:bCs/>
          <w:sz w:val="24"/>
          <w:szCs w:val="24"/>
        </w:rPr>
      </w:pPr>
      <w:r>
        <w:rPr>
          <w:rFonts w:ascii="宋体" w:hAnsi="宋体" w:cs="宋体"/>
          <w:bCs/>
          <w:sz w:val="24"/>
          <w:szCs w:val="24"/>
        </w:rPr>
        <w:t xml:space="preserve">API手册（详细说明所有二次开发接口）。</w:t>
      </w:r>
      <w:r/>
    </w:p>
    <w:p>
      <w:pPr>
        <w:ind w:left="480"/>
        <w:spacing w:line="264" w:lineRule="auto"/>
        <w:rPr>
          <w:rFonts w:hint="eastAsia" w:ascii="宋体" w:hAnsi="宋体" w:cs="宋体"/>
          <w:bCs/>
          <w:sz w:val="24"/>
          <w:szCs w:val="24"/>
        </w:rPr>
      </w:pPr>
      <w:r>
        <w:rPr>
          <w:rFonts w:ascii="宋体" w:hAnsi="宋体" w:cs="宋体"/>
          <w:bCs/>
          <w:sz w:val="24"/>
          <w:szCs w:val="24"/>
        </w:rPr>
        <w:t xml:space="preserve">部署运维手册（环境要求、安装步骤、配置说明、故障处理）。</w:t>
      </w:r>
      <w:r/>
    </w:p>
    <w:p>
      <w:pPr>
        <w:ind w:left="480"/>
        <w:spacing w:line="264" w:lineRule="auto"/>
        <w:rPr>
          <w:rFonts w:hint="eastAsia" w:ascii="宋体" w:hAnsi="宋体" w:cs="宋体"/>
          <w:bCs/>
          <w:sz w:val="24"/>
          <w:szCs w:val="24"/>
        </w:rPr>
      </w:pPr>
      <w:r>
        <w:rPr>
          <w:rFonts w:ascii="宋体" w:hAnsi="宋体" w:cs="宋体"/>
          <w:bCs/>
          <w:sz w:val="24"/>
          <w:szCs w:val="24"/>
        </w:rPr>
        <w:t xml:space="preserve">完整的测试报告（单元测试、集成测试、性能测试、验收测试用例及结果）。</w:t>
      </w:r>
      <w:r/>
    </w:p>
    <w:p>
      <w:pPr>
        <w:ind w:left="480"/>
        <w:spacing w:line="264" w:lineRule="auto"/>
        <w:rPr>
          <w:rFonts w:hint="eastAsia" w:ascii="宋体" w:hAnsi="宋体" w:cs="宋体"/>
          <w:bCs/>
          <w:sz w:val="24"/>
          <w:szCs w:val="24"/>
        </w:rPr>
      </w:pPr>
      <w:r>
        <w:rPr>
          <w:rFonts w:ascii="宋体" w:hAnsi="宋体" w:cs="宋体"/>
          <w:bCs/>
          <w:sz w:val="24"/>
          <w:szCs w:val="24"/>
        </w:rPr>
        <w:t xml:space="preserve">用户操作手册。</w:t>
      </w:r>
      <w:r/>
    </w:p>
    <w:p>
      <w:pPr>
        <w:ind w:firstLine="480"/>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（1）报价应包含为满足本项目所有技术要求及交付内容所需的一切费用，须覆盖所有服务清单项，包括测试集开发、样本分析、报告生成和咨询支持。</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1.实施要求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供应商需确保交付的所有内容符合上述技术要求，提供源代码、技术文档以及测试集咨询和支持服务。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（2）知识产权要求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乙方为履行本合同而独立开发的、且此前未为他人所拥有的“项目成果”（包括但不限于源代码、技术文档），其知识产权归甲方所有。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乙方承诺，其在本项目中使用的任何背景知识产权（即在本合同签订前已拥有的知识产权）均具有合法授权。乙方授予甲方对</w:t>
      </w:r>
      <w:r>
        <w:rPr>
          <w:rFonts w:hint="eastAsia" w:ascii="宋体" w:hAnsi="宋体" w:cs="宋体"/>
          <w:sz w:val="24"/>
          <w:szCs w:val="24"/>
        </w:rPr>
        <w:t xml:space="preserve">该背景</w:t>
      </w:r>
      <w:r>
        <w:rPr>
          <w:rFonts w:hint="eastAsia" w:ascii="宋体" w:hAnsi="宋体" w:cs="宋体"/>
          <w:sz w:val="24"/>
          <w:szCs w:val="24"/>
        </w:rPr>
        <w:t xml:space="preserve">知识产权中为实现本合同目的所必需部分，在</w:t>
      </w:r>
      <w:r>
        <w:rPr>
          <w:rFonts w:hint="eastAsia" w:ascii="宋体" w:hAnsi="宋体" w:cs="宋体"/>
          <w:sz w:val="24"/>
          <w:szCs w:val="24"/>
        </w:rPr>
        <w:t xml:space="preserve">项目范围内永久的、不可撤销的、免费的使用许可。</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乙方保证，其所提供的服务及交付成果不会侵犯任何第三方的合法权益（包括但不限于知识产权）。如发生任何</w:t>
      </w:r>
      <w:r>
        <w:rPr>
          <w:rFonts w:hint="eastAsia" w:ascii="宋体" w:hAnsi="宋体" w:cs="宋体"/>
          <w:sz w:val="24"/>
          <w:szCs w:val="24"/>
        </w:rPr>
        <w:t xml:space="preserve">第三方针</w:t>
      </w:r>
      <w:r>
        <w:rPr>
          <w:rFonts w:hint="eastAsia" w:ascii="宋体" w:hAnsi="宋体" w:cs="宋体"/>
          <w:sz w:val="24"/>
          <w:szCs w:val="24"/>
        </w:rPr>
        <w:t xml:space="preserve">对甲方提出侵权指控，乙方需向披露方承担合同金额25%的违约金并承担一切由此引起的后果及赔偿责任。</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交付清单</w:t>
      </w:r>
      <w:r/>
    </w:p>
    <w:p>
      <w:pPr>
        <w:spacing w:line="264" w:lineRule="auto"/>
        <w:rPr>
          <w:rFonts w:hint="eastAsia" w:ascii="宋体" w:hAnsi="宋体" w:cs="宋体"/>
          <w:sz w:val="24"/>
          <w:szCs w:val="24"/>
        </w:rPr>
      </w:pPr>
      <w:r>
        <w:rPr>
          <w:rFonts w:hint="eastAsia" w:ascii="宋体" w:hAnsi="宋体" w:cs="宋体"/>
          <w:sz w:val="24"/>
          <w:szCs w:val="24"/>
        </w:rPr>
        <w:t xml:space="preserve">a.供应商需交付以下成果：</w:t>
      </w:r>
      <w:r/>
    </w:p>
    <w:p>
      <w:pPr>
        <w:spacing w:line="264" w:lineRule="auto"/>
        <w:rPr>
          <w:rFonts w:hint="eastAsia" w:ascii="宋体" w:hAnsi="宋体" w:cs="宋体"/>
          <w:sz w:val="24"/>
          <w:szCs w:val="24"/>
        </w:rPr>
      </w:pPr>
      <w:r>
        <w:rPr>
          <w:rFonts w:hint="eastAsia" w:ascii="宋体" w:hAnsi="宋体" w:cs="宋体"/>
          <w:sz w:val="24"/>
          <w:szCs w:val="24"/>
        </w:rPr>
        <w:t xml:space="preserve">b.可运行的软件系统（包含所有模块）及安装包。</w:t>
      </w:r>
      <w:r/>
    </w:p>
    <w:p>
      <w:pPr>
        <w:spacing w:line="264" w:lineRule="auto"/>
        <w:rPr>
          <w:rFonts w:hint="eastAsia" w:ascii="宋体" w:hAnsi="宋体" w:cs="宋体"/>
          <w:sz w:val="24"/>
          <w:szCs w:val="24"/>
        </w:rPr>
      </w:pPr>
      <w:r>
        <w:rPr>
          <w:rFonts w:hint="eastAsia" w:ascii="宋体" w:hAnsi="宋体" w:cs="宋体"/>
          <w:sz w:val="24"/>
          <w:szCs w:val="24"/>
        </w:rPr>
        <w:t xml:space="preserve">c.全部源代码（含第三方开源组件源码或版权声明）。</w:t>
      </w:r>
      <w:r/>
    </w:p>
    <w:p>
      <w:pPr>
        <w:spacing w:line="264" w:lineRule="auto"/>
        <w:rPr>
          <w:rFonts w:hint="eastAsia" w:ascii="宋体" w:hAnsi="宋体" w:cs="宋体"/>
          <w:sz w:val="24"/>
          <w:szCs w:val="24"/>
        </w:rPr>
      </w:pPr>
      <w:r>
        <w:rPr>
          <w:rFonts w:hint="eastAsia" w:ascii="宋体" w:hAnsi="宋体" w:cs="宋体"/>
          <w:sz w:val="24"/>
          <w:szCs w:val="24"/>
        </w:rPr>
        <w:t xml:space="preserve">d.全套技术文档（见3.3</w:t>
      </w:r>
      <w:r>
        <w:rPr>
          <w:rFonts w:ascii="宋体" w:hAnsi="宋体" w:cs="宋体"/>
          <w:bCs/>
          <w:sz w:val="24"/>
          <w:szCs w:val="24"/>
        </w:rPr>
        <w:t xml:space="preserve">数据与文档</w:t>
      </w:r>
      <w:r>
        <w:rPr>
          <w:rFonts w:hint="eastAsia" w:ascii="宋体" w:hAnsi="宋体" w:cs="宋体"/>
          <w:sz w:val="24"/>
          <w:szCs w:val="24"/>
        </w:rPr>
        <w:t xml:space="preserve">）。</w:t>
      </w:r>
      <w:r/>
    </w:p>
    <w:p>
      <w:pPr>
        <w:spacing w:line="264" w:lineRule="auto"/>
        <w:rPr>
          <w:rFonts w:hint="eastAsia" w:ascii="宋体" w:hAnsi="宋体" w:cs="宋体"/>
          <w:sz w:val="24"/>
          <w:szCs w:val="24"/>
        </w:rPr>
      </w:pPr>
      <w:r>
        <w:rPr>
          <w:rFonts w:hint="eastAsia" w:ascii="宋体" w:hAnsi="宋体" w:cs="宋体"/>
          <w:sz w:val="24"/>
          <w:szCs w:val="24"/>
        </w:rPr>
        <w:t xml:space="preserve">e.培训材料（PPT、操作视频等）。</w:t>
      </w:r>
      <w:r/>
    </w:p>
    <w:p>
      <w:pPr>
        <w:spacing w:line="264" w:lineRule="auto"/>
        <w:rPr>
          <w:rFonts w:hint="eastAsia" w:ascii="宋体" w:hAnsi="宋体" w:cs="宋体"/>
          <w:sz w:val="24"/>
          <w:szCs w:val="24"/>
        </w:rPr>
      </w:pPr>
      <w:r>
        <w:rPr>
          <w:rFonts w:hint="eastAsia" w:ascii="宋体" w:hAnsi="宋体" w:cs="宋体"/>
          <w:sz w:val="24"/>
          <w:szCs w:val="24"/>
        </w:rPr>
        <w:t xml:space="preserve">f.项目计划、会议纪要、阶段性报告等管理文档。</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以</w:t>
      </w:r>
      <w:r>
        <w:rPr>
          <w:rFonts w:hint="eastAsia" w:ascii="宋体" w:hAnsi="宋体" w:cs="宋体"/>
          <w:sz w:val="24"/>
          <w:szCs w:val="24"/>
        </w:rPr>
        <w:t xml:space="preserve">本需求书</w:t>
      </w:r>
      <w:r>
        <w:rPr>
          <w:rFonts w:hint="eastAsia" w:ascii="宋体" w:hAnsi="宋体" w:cs="宋体"/>
          <w:sz w:val="24"/>
          <w:szCs w:val="24"/>
        </w:rPr>
        <w:t xml:space="preserve">、双方确认的技术方案及测试用例作为验收依据，验收过程分为四个阶段：</w:t>
      </w:r>
      <w:r/>
    </w:p>
    <w:p>
      <w:pPr>
        <w:spacing w:line="264" w:lineRule="auto"/>
        <w:rPr>
          <w:rFonts w:hint="eastAsia" w:ascii="宋体" w:hAnsi="宋体" w:cs="宋体"/>
          <w:sz w:val="24"/>
          <w:szCs w:val="24"/>
        </w:rPr>
      </w:pPr>
      <w:r>
        <w:rPr>
          <w:rFonts w:hint="eastAsia" w:ascii="宋体" w:hAnsi="宋体" w:cs="宋体"/>
          <w:sz w:val="24"/>
          <w:szCs w:val="24"/>
        </w:rPr>
        <w:t xml:space="preserve">a.原型评审：在开发中期，对核心功能原型进行评审，确保方向正确。</w:t>
      </w:r>
      <w:r/>
    </w:p>
    <w:p>
      <w:pPr>
        <w:spacing w:line="264" w:lineRule="auto"/>
        <w:rPr>
          <w:rFonts w:hint="eastAsia" w:ascii="宋体" w:hAnsi="宋体" w:cs="宋体"/>
          <w:sz w:val="24"/>
          <w:szCs w:val="24"/>
        </w:rPr>
      </w:pPr>
      <w:r>
        <w:rPr>
          <w:rFonts w:hint="eastAsia" w:ascii="宋体" w:hAnsi="宋体" w:cs="宋体"/>
          <w:sz w:val="24"/>
          <w:szCs w:val="24"/>
        </w:rPr>
        <w:t xml:space="preserve">b.系统测试：供应商完成内部测试后，采购人组织第三方测试或现场测试，验证功能、性能等指标。</w:t>
      </w:r>
      <w:r/>
    </w:p>
    <w:p>
      <w:pPr>
        <w:spacing w:line="264" w:lineRule="auto"/>
        <w:rPr>
          <w:rFonts w:hint="eastAsia" w:ascii="宋体" w:hAnsi="宋体" w:cs="宋体"/>
          <w:sz w:val="24"/>
          <w:szCs w:val="24"/>
        </w:rPr>
      </w:pPr>
      <w:r>
        <w:rPr>
          <w:rFonts w:hint="eastAsia" w:ascii="宋体" w:hAnsi="宋体" w:cs="宋体"/>
          <w:sz w:val="24"/>
          <w:szCs w:val="24"/>
        </w:rPr>
        <w:t xml:space="preserve">c.用户试运行：在采购人实际环境中运行至少1个月，处理发现的问题。</w:t>
      </w:r>
      <w:r/>
    </w:p>
    <w:p>
      <w:pPr>
        <w:spacing w:line="264" w:lineRule="auto"/>
        <w:rPr>
          <w:rFonts w:hint="eastAsia" w:ascii="宋体" w:hAnsi="宋体" w:cs="宋体"/>
          <w:sz w:val="24"/>
          <w:szCs w:val="24"/>
        </w:rPr>
      </w:pPr>
      <w:r>
        <w:rPr>
          <w:rFonts w:hint="eastAsia" w:ascii="宋体" w:hAnsi="宋体" w:cs="宋体"/>
          <w:sz w:val="24"/>
          <w:szCs w:val="24"/>
        </w:rPr>
        <w:t xml:space="preserve">d.最终验收：所有问题修复，文档齐全，培训完成，签署验收报告。</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（4）售后服务：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供应商需为采购人技术人员提供不少于5天的现场系统性培训，包括平台使用、二次开发、运</w:t>
      </w:r>
      <w:r>
        <w:rPr>
          <w:rFonts w:hint="eastAsia" w:ascii="宋体" w:hAnsi="宋体" w:cs="宋体"/>
          <w:sz w:val="24"/>
          <w:szCs w:val="24"/>
        </w:rPr>
        <w:t xml:space="preserve">维管理</w:t>
      </w:r>
      <w:r>
        <w:rPr>
          <w:rFonts w:hint="eastAsia" w:ascii="宋体" w:hAnsi="宋体" w:cs="宋体"/>
          <w:sz w:val="24"/>
          <w:szCs w:val="24"/>
        </w:rPr>
        <w:t xml:space="preserve">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提供至少1年的免费质保期，质保期内提供7×8小时技术支持服务，故障响应时间不超过2小时，严重问题24小时内解决。</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质保期后，提供有偿维护服务方案。</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（5）保密义务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双方应对在履行合同过程中知悉的对方商业秘密（包括技术信息、经营信息等）予以保密，未经对方事先书面同意，不得向任何第三方泄露。此保密义务在本合同终止后持续有效 三至五年。</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60</w:t>
      </w:r>
      <w:r>
        <w:rPr>
          <w:rFonts w:ascii="宋体" w:hAnsi="宋体" w:cs="宋体"/>
          <w:sz w:val="24"/>
          <w:szCs w:val="24"/>
        </w:rPr>
        <w:t xml:space="preserve">天内交付</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r>
      <w:r/>
    </w:p>
    <w:p>
      <w:pPr>
        <w:spacing w:line="264" w:lineRule="auto"/>
        <w:rPr>
          <w:rFonts w:hint="eastAsia" w:ascii="宋体" w:hAnsi="宋体" w:cs="宋体"/>
          <w:sz w:val="24"/>
          <w:szCs w:val="24"/>
        </w:rPr>
      </w:pPr>
      <w:r>
        <w:rPr>
          <w:rFonts w:hint="eastAsia" w:ascii="宋体" w:hAnsi="宋体" w:cs="宋体"/>
          <w:sz w:val="24"/>
          <w:szCs w:val="24"/>
        </w:rPr>
        <w:t xml:space="preserve">   </w:t>
      </w:r>
      <w:r/>
    </w:p>
    <w:p>
      <w:pPr>
        <w:ind w:firstLine="480"/>
        <w:spacing w:line="264" w:lineRule="auto"/>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rPr>
          <w:rFonts w:hint="eastAsia" w:ascii="宋体" w:hAnsi="宋体" w:cs="宋体"/>
          <w:color w:val="0000ff"/>
          <w:sz w:val="24"/>
          <w:szCs w:val="24"/>
          <w:highlight w:val="yellow"/>
        </w:rPr>
      </w:r>
      <w:r/>
    </w:p>
    <w:p>
      <w:pPr>
        <w:ind w:firstLine="480"/>
        <w:spacing w:line="264" w:lineRule="auto"/>
        <w:rPr>
          <w:rFonts w:hint="eastAsia" w:ascii="宋体" w:hAnsi="宋体" w:cs="宋体"/>
          <w:color w:val="0000ff"/>
          <w:sz w:val="24"/>
          <w:szCs w:val="24"/>
          <w:highlight w:val="yellow"/>
        </w:rPr>
      </w:pPr>
      <w:r>
        <w:rPr>
          <w:rFonts w:hint="eastAsia" w:ascii="宋体" w:hAnsi="宋体" w:cs="宋体"/>
          <w:color w:val="0000ff"/>
          <w:sz w:val="24"/>
          <w:szCs w:val="24"/>
          <w:highlight w:val="yellow"/>
        </w:rPr>
      </w:r>
      <w:r/>
    </w:p>
    <w:p>
      <w:pPr>
        <w:spacing w:line="0" w:lineRule="atLeast"/>
        <w:rPr>
          <w:rFonts w:hint="eastAsia" w:ascii="宋体" w:hAnsi="宋体"/>
          <w:color w:val="ff0000"/>
          <w:sz w:val="24"/>
          <w:szCs w:val="21"/>
        </w:rPr>
      </w:pPr>
      <w:r>
        <w:rPr>
          <w:rFonts w:hint="eastAsia" w:ascii="宋体" w:hAnsi="宋体"/>
          <w:color w:val="ff0000"/>
          <w:sz w:val="24"/>
          <w:szCs w:val="21"/>
        </w:rPr>
      </w:r>
      <w:r/>
    </w:p>
    <w:p>
      <w:pPr>
        <w:spacing w:line="0" w:lineRule="atLeas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1"/>
        </w:rPr>
      </w:pPr>
      <w:r>
        <w:rPr>
          <w:rFonts w:hint="eastAsia" w:ascii="宋体" w:hAnsi="宋体"/>
          <w:sz w:val="24"/>
          <w:szCs w:val="21"/>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成交标准</w:t>
      </w:r>
      <w:r/>
    </w:p>
    <w:p>
      <w:pPr>
        <w:ind w:firstLine="420"/>
        <w:spacing w:line="288" w:lineRule="auto"/>
        <w:rPr>
          <w:szCs w:val="21"/>
        </w:rPr>
      </w:pPr>
      <w:r>
        <w:rPr>
          <w:szCs w:val="21"/>
        </w:rPr>
      </w:r>
      <w:r/>
    </w:p>
    <w:p>
      <w:pPr>
        <w:ind w:firstLine="480"/>
        <w:spacing w:line="288"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一、成交标准</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1.谈判小组从质量和服务均能满足谈判文件实质性要求的供应商中，按照评审价格由低到高顺序推荐3名成交候选供应商。</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2.供应商的评审价格如相同，按照供应商在“苏</w:t>
      </w:r>
      <w:r>
        <w:rPr>
          <w:rFonts w:hint="eastAsia" w:ascii="宋体" w:hAnsi="宋体" w:cs="宋体"/>
          <w:sz w:val="24"/>
          <w:szCs w:val="24"/>
        </w:rPr>
        <w:t xml:space="preserve">采云</w:t>
      </w:r>
      <w:r>
        <w:rPr>
          <w:rFonts w:hint="eastAsia" w:ascii="宋体" w:hAnsi="宋体" w:cs="宋体"/>
          <w:sz w:val="24"/>
          <w:szCs w:val="24"/>
        </w:rPr>
        <w:t xml:space="preserve">系统”最终递交响应文件的先后顺序进行排名。</w:t>
      </w:r>
      <w:r/>
    </w:p>
    <w:p>
      <w:pPr>
        <w:ind w:firstLine="480"/>
        <w:spacing w:line="288" w:lineRule="auto"/>
        <w:rPr>
          <w:rFonts w:hint="eastAsia" w:ascii="黑体" w:hAnsi="黑体" w:eastAsia="黑体" w:cs="黑体"/>
          <w:sz w:val="24"/>
          <w:szCs w:val="24"/>
        </w:rPr>
        <w:outlineLvl w:val="1"/>
      </w:pPr>
      <w:r>
        <w:rPr>
          <w:rFonts w:hint="eastAsia" w:ascii="黑体" w:hAnsi="黑体" w:eastAsia="黑体" w:cs="黑体"/>
          <w:sz w:val="24"/>
          <w:szCs w:val="24"/>
        </w:rPr>
        <w:t xml:space="preserve">二、小</w:t>
      </w:r>
      <w:r>
        <w:rPr>
          <w:rFonts w:hint="eastAsia" w:ascii="黑体" w:hAnsi="黑体" w:eastAsia="黑体" w:cs="黑体"/>
          <w:sz w:val="24"/>
          <w:szCs w:val="24"/>
        </w:rPr>
        <w:t xml:space="preserve">微企业</w:t>
      </w:r>
      <w:r>
        <w:rPr>
          <w:rFonts w:hint="eastAsia" w:ascii="黑体" w:hAnsi="黑体" w:eastAsia="黑体" w:cs="黑体"/>
          <w:sz w:val="24"/>
          <w:szCs w:val="24"/>
        </w:rPr>
        <w:t xml:space="preserve">价格扣除</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1.本项目服务的</w:t>
      </w:r>
      <w:r>
        <w:rPr>
          <w:rFonts w:hint="eastAsia" w:ascii="宋体" w:hAnsi="宋体" w:cs="宋体"/>
          <w:sz w:val="24"/>
          <w:szCs w:val="24"/>
        </w:rPr>
        <w:t xml:space="preserve">承接商</w:t>
      </w:r>
      <w:r>
        <w:rPr>
          <w:rFonts w:hint="eastAsia" w:ascii="宋体" w:hAnsi="宋体" w:cs="宋体"/>
          <w:sz w:val="24"/>
          <w:szCs w:val="24"/>
        </w:rPr>
        <w:t xml:space="preserve">为小</w:t>
      </w:r>
      <w:r>
        <w:rPr>
          <w:rFonts w:hint="eastAsia" w:ascii="宋体" w:hAnsi="宋体" w:cs="宋体"/>
          <w:sz w:val="24"/>
          <w:szCs w:val="24"/>
        </w:rPr>
        <w:t xml:space="preserve">微企业</w:t>
      </w:r>
      <w:r>
        <w:rPr>
          <w:rFonts w:hint="eastAsia" w:ascii="宋体" w:hAnsi="宋体" w:cs="宋体"/>
          <w:sz w:val="24"/>
          <w:szCs w:val="24"/>
        </w:rPr>
        <w:t xml:space="preserve">的，对报价给予10%的扣除，用扣除后的价格参与评审。</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相同的价格扣除，用扣除后的价格参与评审；监狱和戒毒企业视同小型、微型企业，给予与小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相同的价格扣除，用扣除后的价格参与评审。残疾人福利单位、监狱企业属于小型、微型企业的，不重复享受价格扣除。</w:t>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88" w:lineRule="auto"/>
        <w:widowControl/>
        <w:rPr>
          <w:rFonts w:hint="eastAsia" w:ascii="黑体" w:hAnsi="黑体" w:eastAsia="黑体" w:cs="黑体"/>
          <w:sz w:val="24"/>
          <w:szCs w:val="24"/>
        </w:rPr>
        <w:outlineLvl w:val="1"/>
      </w:pPr>
      <w:r>
        <w:rPr>
          <w:rFonts w:hint="eastAsia" w:ascii="黑体" w:hAnsi="黑体" w:eastAsia="黑体" w:cs="黑体"/>
          <w:sz w:val="24"/>
          <w:szCs w:val="24"/>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w:t>
      </w:r>
      <w:bookmarkEnd w:id="37"/>
      <w:r/>
      <w:bookmarkEnd w:id="38"/>
      <w:r>
        <w:rPr>
          <w:rFonts w:hint="eastAsia" w:ascii="方正小标宋简体" w:hAnsi="方正小标宋简体" w:eastAsia="方正小标宋简体" w:cs="方正小标宋简体"/>
          <w:color w:val="000000"/>
          <w:sz w:val="36"/>
          <w:szCs w:val="36"/>
        </w:rPr>
        <w:t xml:space="preserve">响应文件格式 </w:t>
      </w:r>
      <w:r/>
    </w:p>
    <w:p>
      <w:pPr>
        <w:jc w:val="center"/>
        <w:rPr>
          <w:rFonts w:hint="eastAsia" w:ascii="宋体" w:hAnsi="宋体"/>
          <w:b/>
          <w:sz w:val="72"/>
          <w:szCs w:val="21"/>
        </w:rPr>
      </w:pPr>
      <w:r/>
      <w:bookmarkStart w:id="39" w:name="_Hlt26955039"/>
      <w:r/>
      <w:bookmarkStart w:id="40" w:name="_Hlt26671244"/>
      <w:r/>
      <w:bookmarkStart w:id="41" w:name="_Toc120614282"/>
      <w:r/>
      <w:bookmarkStart w:id="42" w:name="_Toc49090576"/>
      <w:r/>
      <w:bookmarkStart w:id="43" w:name="_Toc26554094"/>
      <w:r/>
      <w:bookmarkEnd w:id="39"/>
      <w:r/>
      <w:bookmarkEnd w:id="40"/>
      <w:r/>
      <w:r/>
    </w:p>
    <w:p>
      <w:pPr>
        <w:jc w:val="center"/>
        <w:rPr>
          <w:rFonts w:hint="eastAsia" w:ascii="宋体" w:hAnsi="宋体"/>
          <w:b/>
          <w:sz w:val="72"/>
          <w:szCs w:val="21"/>
        </w:rPr>
        <w:outlineLvl w:val="0"/>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outlineLvl w:val="0"/>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outlineLvl w:val="0"/>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outlineLvl w:val="0"/>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outlineLvl w:val="0"/>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outlineLvl w:val="0"/>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四、谈判响应函</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五、谈判报价表</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六、分项报价表（如有）</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outlineLvl w:val="0"/>
      </w:pPr>
      <w:r>
        <w:rPr>
          <w:rFonts w:hint="eastAsia" w:ascii="宋体" w:hAnsi="宋体" w:cs="宋体"/>
          <w:sz w:val="28"/>
          <w:szCs w:val="28"/>
        </w:rPr>
        <w:t xml:space="preserve">十、残疾人福利性单位声明函（如有）</w:t>
      </w:r>
      <w:r/>
    </w:p>
    <w:p>
      <w:pPr>
        <w:ind w:firstLine="560"/>
        <w:spacing w:line="600" w:lineRule="exact"/>
        <w:rPr>
          <w:rFonts w:cs="宋体"/>
          <w:sz w:val="28"/>
          <w:szCs w:val="28"/>
        </w:rPr>
        <w:outlineLvl w:val="0"/>
      </w:pPr>
      <w:r>
        <w:rPr>
          <w:rFonts w:hint="eastAsia" w:ascii="宋体" w:hAnsi="宋体" w:cs="宋体"/>
          <w:sz w:val="28"/>
          <w:szCs w:val="28"/>
        </w:rPr>
        <w:t xml:space="preserve">十一、联合体协议（如有）</w:t>
      </w:r>
      <w:r/>
    </w:p>
    <w:p>
      <w:pPr>
        <w:ind w:firstLine="560"/>
        <w:spacing w:line="600" w:lineRule="exact"/>
        <w:rPr>
          <w:rFonts w:cs="宋体"/>
          <w:sz w:val="28"/>
          <w:szCs w:val="28"/>
        </w:rPr>
        <w:outlineLvl w:val="0"/>
      </w:pPr>
      <w:r>
        <w:rPr>
          <w:rFonts w:hint="eastAsia" w:ascii="宋体" w:hAnsi="宋体" w:cs="宋体"/>
          <w:sz w:val="28"/>
          <w:szCs w:val="28"/>
        </w:rPr>
        <w:t xml:space="preserve">十二、关于符合本国产品标准的声明函（如有）</w:t>
      </w:r>
      <w:r/>
    </w:p>
    <w:p>
      <w:pPr>
        <w:ind w:firstLine="480"/>
        <w:spacing w:line="440" w:lineRule="exact"/>
        <w:rPr>
          <w:rFonts w:hint="eastAsia" w:ascii="宋体" w:hAnsi="宋体"/>
          <w:i/>
          <w:sz w:val="24"/>
          <w:szCs w:val="21"/>
          <w:u w:val="single"/>
        </w:rPr>
      </w:pPr>
      <w:r>
        <w:rPr>
          <w:rFonts w:hint="eastAsia" w:ascii="宋体" w:hAnsi="宋体"/>
          <w:i/>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一</w:t>
      </w:r>
      <w:r>
        <w:rPr>
          <w:rFonts w:hint="eastAsia" w:ascii="宋体" w:hAnsi="宋体"/>
          <w:color w:val="000000"/>
          <w:sz w:val="24"/>
          <w:szCs w:val="24"/>
        </w:rPr>
        <w:t xml:space="preserve">)具有独立承担民事责任的能力；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480"/>
        <w:spacing w:line="560" w:lineRule="exact"/>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p>
    <w:p>
      <w:pPr>
        <w:pStyle w:val="959"/>
        <w:ind w:firstLine="480"/>
        <w:rPr>
          <w:sz w:val="24"/>
          <w:szCs w:val="24"/>
        </w:rPr>
      </w:pPr>
      <w:r>
        <w:rPr>
          <w:rFonts w:hint="eastAsia"/>
          <w:sz w:val="24"/>
          <w:szCs w:val="24"/>
        </w:rPr>
        <w:t xml:space="preserve">本项目申请人的特定资格要求中要求提供的材料。</w:t>
      </w:r>
      <w:r/>
    </w:p>
    <w:p>
      <w:pPr>
        <w:ind w:firstLine="480"/>
        <w:spacing w:line="440" w:lineRule="exact"/>
        <w:rPr>
          <w:rFonts w:hint="eastAsia" w:ascii="宋体" w:hAnsi="宋体"/>
          <w:sz w:val="24"/>
          <w:szCs w:val="24"/>
        </w:rPr>
      </w:pPr>
      <w:r>
        <w:rPr>
          <w:rFonts w:hint="eastAsia" w:ascii="宋体" w:hAnsi="宋体"/>
          <w:sz w:val="24"/>
          <w:szCs w:val="24"/>
        </w:rPr>
      </w:r>
      <w:bookmarkEnd w:id="41"/>
      <w:r/>
      <w:bookmarkEnd w:id="42"/>
      <w:r/>
      <w:bookmarkEnd w:id="43"/>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bookmarkStart w:id="44" w:name="_Toc120614284"/>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59"/>
        <w:ind w:firstLine="480"/>
        <w:spacing w:line="420" w:lineRule="exact"/>
        <w:rPr>
          <w:sz w:val="24"/>
          <w:szCs w:val="24"/>
        </w:rPr>
      </w:pPr>
      <w:r>
        <w:rPr>
          <w:sz w:val="24"/>
          <w:szCs w:val="24"/>
        </w:rPr>
      </w:r>
      <w:r/>
    </w:p>
    <w:p>
      <w:pPr>
        <w:pStyle w:val="95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9"/>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59"/>
        <w:ind w:firstLine="480"/>
        <w:spacing w:line="480" w:lineRule="exact"/>
        <w:rPr>
          <w:sz w:val="24"/>
          <w:szCs w:val="24"/>
        </w:rPr>
      </w:pPr>
      <w:r>
        <w:rPr>
          <w:rFonts w:hint="eastAsia"/>
          <w:sz w:val="24"/>
          <w:szCs w:val="24"/>
        </w:rPr>
        <w:t xml:space="preserve">被授权人身份证号码：</w:t>
      </w:r>
      <w:r/>
    </w:p>
    <w:p>
      <w:pPr>
        <w:pStyle w:val="959"/>
        <w:ind w:firstLine="480"/>
        <w:spacing w:line="480" w:lineRule="exact"/>
        <w:rPr>
          <w:sz w:val="24"/>
          <w:szCs w:val="24"/>
          <w:u w:val="single"/>
        </w:rPr>
      </w:pPr>
      <w:r>
        <w:rPr>
          <w:rFonts w:hint="eastAsia"/>
          <w:sz w:val="24"/>
          <w:szCs w:val="24"/>
        </w:rPr>
        <w:t xml:space="preserve">被授权人联系电话：（手机）</w:t>
      </w:r>
      <w:r/>
    </w:p>
    <w:p>
      <w:pPr>
        <w:pStyle w:val="95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9"/>
        <w:ind w:firstLine="480"/>
        <w:spacing w:line="480" w:lineRule="exact"/>
        <w:rPr>
          <w:sz w:val="24"/>
          <w:szCs w:val="24"/>
          <w:u w:val="single"/>
        </w:rPr>
      </w:pPr>
      <w:r>
        <w:rPr>
          <w:rFonts w:hint="eastAsia"/>
          <w:sz w:val="24"/>
          <w:szCs w:val="24"/>
        </w:rPr>
        <w:t xml:space="preserve">单位地址：</w:t>
      </w:r>
      <w:r/>
    </w:p>
    <w:p>
      <w:pPr>
        <w:pStyle w:val="959"/>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45" w:name="_Hlt26955070"/>
      <w:r/>
      <w:bookmarkStart w:id="46" w:name="_Hlt26671380"/>
      <w:r/>
      <w:bookmarkStart w:id="47" w:name="_格式3__银行出具的资信证明"/>
      <w:r/>
      <w:bookmarkEnd w:id="45"/>
      <w:r/>
      <w:bookmarkEnd w:id="46"/>
      <w:r/>
      <w:bookmarkEnd w:id="47"/>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四、谈判响应函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谈判响应函</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color w:val="000000"/>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5.一旦我方成交,我方将根据谈判文件的规定，严格履行合同的责任和义务,并保证在谈判文件规定的时间完成项目，交付买方验收、使用。</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lang w:eastAsia="zh-CN"/>
        </w:rPr>
        <w:t xml:space="preserve">¨</w:t>
      </w:r>
      <w:r>
        <w:rPr>
          <w:rFonts w:hint="eastAsia" w:ascii="宋体" w:hAnsi="宋体"/>
          <w:lang w:eastAsia="zh-CN"/>
        </w:rPr>
        <w:t xml:space="preserve">大型企业 </w:t>
      </w:r>
      <w:r>
        <w:rPr>
          <w:rFonts w:ascii="Wingdings" w:hAnsi="Wingdings" w:eastAsia="Wingdings" w:cs="Wingdings"/>
          <w:lang w:eastAsia="zh-CN"/>
        </w:rPr>
        <w:t xml:space="preserve">¨</w:t>
      </w:r>
      <w:r>
        <w:rPr>
          <w:rFonts w:hint="eastAsia" w:ascii="宋体" w:hAnsi="宋体"/>
          <w:lang w:eastAsia="zh-CN"/>
        </w:rPr>
        <w:t xml:space="preserve">中型企业 </w:t>
      </w:r>
      <w:r>
        <w:rPr>
          <w:rFonts w:ascii="Wingdings" w:hAnsi="Wingdings" w:eastAsia="Wingdings" w:cs="Wingdings"/>
          <w:lang w:eastAsia="zh-CN"/>
        </w:rPr>
        <w:t xml:space="preserve">¨</w:t>
      </w:r>
      <w:r>
        <w:rPr>
          <w:rFonts w:hint="eastAsia" w:ascii="宋体" w:hAnsi="宋体"/>
          <w:lang w:eastAsia="zh-CN"/>
        </w:rPr>
        <w:t xml:space="preserve">小型企业 </w:t>
      </w:r>
      <w:r>
        <w:rPr>
          <w:rFonts w:ascii="Wingdings" w:hAnsi="Wingdings" w:eastAsia="Wingdings" w:cs="Wingdings"/>
          <w:lang w:eastAsia="zh-CN"/>
        </w:rPr>
        <w:t xml:space="preserve">¨</w:t>
      </w:r>
      <w:r>
        <w:rPr>
          <w:rFonts w:hint="eastAsia" w:ascii="宋体" w:hAnsi="宋体"/>
          <w:lang w:eastAsia="zh-CN"/>
        </w:rPr>
        <w:t xml:space="preserve">微型企业（在对应</w:t>
      </w:r>
      <w:r>
        <w:rPr>
          <w:rFonts w:ascii="Wingdings" w:hAnsi="Wingdings" w:eastAsia="Wingdings" w:cs="Wingdings"/>
          <w:lang w:eastAsia="zh-CN"/>
        </w:rPr>
        <w:t xml:space="preserve">¨</w:t>
      </w:r>
      <w:r>
        <w:rPr>
          <w:rFonts w:hint="eastAsia" w:ascii="宋体" w:hAnsi="宋体" w:cs="宋体"/>
          <w:color w:val="000000"/>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7.我方与</w:t>
      </w:r>
      <w:r>
        <w:rPr>
          <w:rFonts w:hint="eastAsia" w:ascii="宋体" w:hAnsi="宋体"/>
          <w:szCs w:val="21"/>
          <w:lang w:eastAsia="zh-CN"/>
        </w:rPr>
        <w:t xml:space="preserve">本谈判</w:t>
      </w:r>
      <w:r>
        <w:rPr>
          <w:rFonts w:hint="eastAsia" w:ascii="宋体" w:hAnsi="宋体"/>
          <w:szCs w:val="21"/>
          <w:lang w:eastAsia="zh-CN"/>
        </w:rPr>
        <w:t xml:space="preserve">有关的正式通讯地址为：</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邮</w:t>
      </w:r>
      <w:r>
        <w:rPr>
          <w:rFonts w:hint="eastAsia" w:ascii="宋体" w:hAnsi="宋体"/>
          <w:szCs w:val="21"/>
          <w:lang w:eastAsia="zh-CN"/>
        </w:rPr>
        <w:t xml:space="preserve">  编：</w:t>
      </w:r>
      <w:r/>
    </w:p>
    <w:p>
      <w:pPr>
        <w:pStyle w:val="961"/>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p>
    <w:p>
      <w:pPr>
        <w:pStyle w:val="961"/>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p>
    <w:p>
      <w:pPr>
        <w:pStyle w:val="961"/>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p>
    <w:p>
      <w:pPr>
        <w:pStyle w:val="961"/>
        <w:spacing w:before="0" w:after="0" w:line="420" w:lineRule="exact"/>
        <w:rPr>
          <w:rFonts w:hint="eastAsia" w:ascii="宋体" w:hAnsi="宋体"/>
          <w:szCs w:val="21"/>
          <w:u w:val="single"/>
          <w:lang w:eastAsia="zh-CN"/>
        </w:rPr>
      </w:pPr>
      <w:r>
        <w:rPr>
          <w:rFonts w:hint="eastAsia" w:ascii="宋体" w:hAnsi="宋体"/>
          <w:szCs w:val="21"/>
          <w:lang w:eastAsia="zh-CN"/>
        </w:rPr>
        <w:t xml:space="preserve">账</w:t>
      </w:r>
      <w:r>
        <w:rPr>
          <w:rFonts w:hint="eastAsia" w:ascii="宋体" w:hAnsi="宋体"/>
          <w:szCs w:val="21"/>
          <w:lang w:eastAsia="zh-CN"/>
        </w:rPr>
        <w:t xml:space="preserve">  号：</w:t>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61"/>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bookmarkEnd w:id="44"/>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420"/>
        <w:rPr>
          <w:sz w:val="24"/>
          <w:szCs w:val="24"/>
        </w:rPr>
      </w:pPr>
      <w:r>
        <w:rPr>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五、谈判报价表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谈判报价表</w:t>
      </w:r>
      <w:r/>
    </w:p>
    <w:p>
      <w:pPr>
        <w:rPr>
          <w:rFonts w:hint="eastAsia" w:ascii="宋体" w:hAnsi="宋体"/>
          <w:sz w:val="24"/>
          <w:szCs w:val="24"/>
        </w:rPr>
      </w:pPr>
      <w:r>
        <w:rPr>
          <w:rFonts w:hint="eastAsia" w:ascii="宋体" w:hAnsi="宋体"/>
          <w:sz w:val="24"/>
          <w:szCs w:val="24"/>
        </w:rPr>
        <w:t xml:space="preserve">供应商名称：（加盖电子公章）</w:t>
      </w:r>
      <w:r/>
    </w:p>
    <w:p>
      <w:pPr>
        <w:rPr>
          <w:rFonts w:hint="eastAsia" w:ascii="宋体" w:hAnsi="宋体"/>
          <w:sz w:val="24"/>
          <w:szCs w:val="24"/>
        </w:rPr>
      </w:pPr>
      <w:r>
        <w:rPr>
          <w:rFonts w:hint="eastAsia" w:ascii="宋体" w:hAnsi="宋体"/>
          <w:sz w:val="24"/>
          <w:szCs w:val="24"/>
        </w:rPr>
        <w:t xml:space="preserve">项目编号：                                   采购包号：</w:t>
      </w:r>
      <w:r/>
    </w:p>
    <w:tbl>
      <w:tblPr>
        <w:tblW w:w="974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1"/>
              <w:ind w:firstLine="0"/>
              <w:spacing w:before="0" w:after="0" w:line="480" w:lineRule="auto"/>
              <w:widowControl w:val="off"/>
              <w:rPr>
                <w:rFonts w:hint="eastAsia" w:ascii="宋体" w:hAnsi="宋体"/>
                <w:szCs w:val="21"/>
              </w:rPr>
            </w:pPr>
            <w:r>
              <w:rPr>
                <w:rFonts w:hint="eastAsia" w:ascii="宋体" w:hAnsi="宋体" w:cs="宋体"/>
              </w:rPr>
              <w:t xml:space="preserve">小写（元</w:t>
            </w:r>
            <w:r>
              <w:rPr>
                <w:rFonts w:hint="eastAsia" w:ascii="宋体" w:hAnsi="宋体" w:cs="宋体"/>
              </w:rPr>
              <w:t xml:space="preserve">）：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rPr>
          <w:sz w:val="24"/>
          <w:szCs w:val="24"/>
        </w:rPr>
      </w:pPr>
      <w:r>
        <w:rPr>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六、分项报价表</w:t>
      </w:r>
      <w:r/>
    </w:p>
    <w:p>
      <w:pPr>
        <w:jc w:val="center"/>
        <w:spacing w:line="360" w:lineRule="auto"/>
        <w:rPr>
          <w:rFonts w:ascii="黑体" w:hAnsi="Calibri" w:eastAsia="黑体"/>
          <w:color w:val="000000"/>
          <w:sz w:val="32"/>
          <w:szCs w:val="32"/>
        </w:rPr>
        <w:outlineLvl w:val="2"/>
      </w:pPr>
      <w:r>
        <w:rPr>
          <w:rFonts w:hint="eastAsia" w:ascii="黑体" w:hAnsi="Calibri" w:eastAsia="黑体"/>
          <w:color w:val="000000"/>
          <w:sz w:val="32"/>
          <w:szCs w:val="32"/>
        </w:rPr>
        <w:t xml:space="preserve">分项报价表</w:t>
      </w:r>
      <w:r/>
    </w:p>
    <w:tbl>
      <w:tblPr>
        <w:tblW w:w="996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bl>
    <w:p>
      <w:pPr>
        <w:jc w:val="center"/>
        <w:rPr>
          <w:rFonts w:hint="eastAsia" w:ascii="黑体" w:hAnsi="黑体" w:eastAsia="黑体"/>
          <w:b/>
          <w:sz w:val="24"/>
          <w:szCs w:val="24"/>
        </w:rPr>
      </w:pPr>
      <w:r>
        <w:rPr>
          <w:rFonts w:hint="eastAsia" w:ascii="黑体" w:hAnsi="黑体" w:eastAsia="黑体"/>
          <w:b/>
          <w:sz w:val="24"/>
          <w:szCs w:val="24"/>
        </w:rPr>
      </w:r>
      <w:r/>
    </w:p>
    <w:p>
      <w:pPr>
        <w:ind w:firstLine="480"/>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sz w:val="24"/>
          <w:szCs w:val="24"/>
        </w:rPr>
      </w:pPr>
      <w:r>
        <w:rPr>
          <w:rFonts w:hint="eastAsia" w:ascii="宋体" w:hAnsi="宋体"/>
          <w:sz w:val="24"/>
          <w:szCs w:val="24"/>
        </w:rPr>
      </w:r>
      <w:r/>
    </w:p>
    <w:p>
      <w:pPr>
        <w:pStyle w:val="763"/>
        <w:ind w:firstLine="480"/>
        <w:jc w:val="both"/>
        <w:spacing w:before="0" w:beforeAutospacing="0" w:after="0" w:afterAutospacing="0" w:line="360" w:lineRule="auto"/>
        <w:rPr>
          <w:rFonts w:hint="eastAsia"/>
          <w:color w:val="000000"/>
        </w:rPr>
      </w:pPr>
      <w:r>
        <w:rPr>
          <w:color w:val="000000"/>
        </w:rPr>
        <w:t xml:space="preserve">备注： </w:t>
      </w:r>
      <w:r/>
    </w:p>
    <w:p>
      <w:pPr>
        <w:pStyle w:val="763"/>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763"/>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2.《分项报价表中》“总报价”应当与《谈判报价表》中“总报价”一致。</w:t>
      </w:r>
      <w:r/>
    </w:p>
    <w:p>
      <w:pPr>
        <w:pStyle w:val="763"/>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p>
    <w:p>
      <w:pPr>
        <w:pStyle w:val="763"/>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5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s="宋体"/>
          <w:color w:val="000000"/>
          <w:sz w:val="24"/>
          <w:szCs w:val="24"/>
        </w:rPr>
      </w:pPr>
      <w:r>
        <w:rPr>
          <w:rFonts w:hint="eastAsia" w:ascii="宋体" w:hAnsi="宋体" w:cs="宋体"/>
          <w:color w:val="000000"/>
          <w:sz w:val="24"/>
          <w:szCs w:val="24"/>
        </w:rPr>
      </w:r>
      <w:r/>
    </w:p>
    <w:p>
      <w:r/>
      <w:r/>
    </w:p>
    <w:p>
      <w:pPr>
        <w:pStyle w:val="763"/>
        <w:ind w:firstLine="480"/>
        <w:jc w:val="both"/>
        <w:spacing w:before="0" w:beforeAutospacing="0" w:after="0" w:afterAutospacing="0" w:line="360" w:lineRule="auto"/>
        <w:rPr>
          <w:rFonts w:hint="eastAsia"/>
        </w:rPr>
      </w:pPr>
      <w:r>
        <w:t xml:space="preserve">备注： </w:t>
      </w:r>
      <w:r/>
    </w:p>
    <w:p>
      <w:pPr>
        <w:pStyle w:val="763"/>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76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63"/>
        <w:ind w:firstLine="480"/>
        <w:jc w:val="both"/>
        <w:spacing w:before="0" w:beforeAutospacing="0" w:after="0" w:afterAutospacing="0" w:line="360" w:lineRule="auto"/>
        <w:rPr>
          <w:rFonts w:hint="eastAsia"/>
        </w:rPr>
      </w:pPr>
      <w:r>
        <w:rPr>
          <w:rFonts w:hint="eastAsia"/>
        </w:rPr>
        <w:t xml:space="preserve">3.行数不够，可自行添加。</w:t>
      </w:r>
      <w:r/>
    </w:p>
    <w:p>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63"/>
        <w:ind w:firstLine="480"/>
        <w:jc w:val="both"/>
        <w:spacing w:before="0" w:beforeAutospacing="0" w:after="0" w:afterAutospacing="0" w:line="360" w:lineRule="auto"/>
        <w:rPr>
          <w:rFonts w:hint="eastAsia"/>
        </w:rPr>
      </w:pPr>
      <w:r>
        <w:rPr>
          <w:rFonts w:hint="eastAsia"/>
        </w:rPr>
        <w:t xml:space="preserve">备注： </w:t>
      </w:r>
      <w:r/>
    </w:p>
    <w:p>
      <w:pPr>
        <w:pStyle w:val="763"/>
        <w:ind w:firstLine="480"/>
        <w:jc w:val="both"/>
        <w:spacing w:before="0" w:beforeAutospacing="0" w:after="0" w:afterAutospacing="0" w:line="360" w:lineRule="auto"/>
        <w:rPr>
          <w:rFonts w:hint="eastAsia"/>
        </w:rPr>
      </w:pPr>
      <w:r>
        <w:rPr>
          <w:rFonts w:hint="eastAsia"/>
        </w:rPr>
        <w:t xml:space="preserve">1.供应商须对谈判文件商务要求中的实质性要求（斜体下划线内容或打“★”内容）做出明确响应，否则视为无效响应。</w:t>
      </w:r>
      <w:r/>
    </w:p>
    <w:p>
      <w:pPr>
        <w:pStyle w:val="763"/>
        <w:ind w:firstLine="480"/>
        <w:jc w:val="both"/>
        <w:spacing w:before="0" w:beforeAutospacing="0" w:after="0" w:afterAutospacing="0" w:line="360" w:lineRule="auto"/>
        <w:rPr>
          <w:rFonts w:hint="eastAsia"/>
        </w:rPr>
      </w:pPr>
      <w:r>
        <w:rPr>
          <w:rFonts w:hint="eastAsia"/>
        </w:rPr>
        <w:t xml:space="preserve">2.行数不够，可自行添加。</w:t>
      </w:r>
      <w:r/>
    </w:p>
    <w:p>
      <w:r/>
      <w:r/>
    </w:p>
    <w:p>
      <w:r/>
      <w:r/>
    </w:p>
    <w:p>
      <w:r/>
      <w:r/>
    </w:p>
    <w:p>
      <w:r/>
      <w:r/>
    </w:p>
    <w:p>
      <w:r/>
      <w:r/>
    </w:p>
    <w:p>
      <w:r/>
      <w:r/>
    </w:p>
    <w:p>
      <w:r/>
      <w:r/>
    </w:p>
    <w:p>
      <w:r/>
      <w:r/>
    </w:p>
    <w:p>
      <w:r/>
      <w:r/>
    </w:p>
    <w:p>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九、中小企业声明函</w:t>
      </w:r>
      <w:r/>
    </w:p>
    <w:p>
      <w:pPr>
        <w:jc w:val="center"/>
        <w:spacing w:line="360" w:lineRule="auto"/>
        <w:rPr>
          <w:rFonts w:ascii="黑体" w:hAnsi="Calibri" w:eastAsia="黑体"/>
          <w:sz w:val="32"/>
          <w:szCs w:val="32"/>
        </w:rPr>
        <w:outlineLvl w:val="1"/>
      </w:pPr>
      <w:r>
        <w:rPr>
          <w:rFonts w:hint="eastAsia" w:ascii="黑体" w:hAnsi="Calibri" w:eastAsia="黑体"/>
          <w:sz w:val="32"/>
          <w:szCs w:val="32"/>
        </w:rPr>
        <w:t xml:space="preserve">中小企业声明函（服务）</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50"/>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widowControl/>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价格扣除政策。项目清单中列示的所有服务，供应商须在声明函中逐项列示并明确承接企业的类型，如有缺失将按“不提供声明函”处理。此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成交结果同时公告，接受社会监督。4.服务采购项目中，服务的</w:t>
      </w:r>
      <w:r>
        <w:rPr>
          <w:rFonts w:hint="eastAsia" w:ascii="宋体" w:hAnsi="宋体"/>
          <w:sz w:val="24"/>
          <w:szCs w:val="24"/>
        </w:rPr>
        <w:t xml:space="preserve">承接商</w:t>
      </w:r>
      <w:r>
        <w:rPr>
          <w:rFonts w:hint="eastAsia" w:ascii="宋体" w:hAnsi="宋体"/>
          <w:sz w:val="24"/>
          <w:szCs w:val="24"/>
        </w:rPr>
        <w:t xml:space="preserve">应当为中小企业，不对其中涉及的货物的制造商、工程的承建商</w:t>
      </w:r>
      <w:r>
        <w:rPr>
          <w:rFonts w:hint="eastAsia" w:ascii="宋体" w:hAnsi="宋体"/>
          <w:sz w:val="24"/>
          <w:szCs w:val="24"/>
        </w:rPr>
        <w:t xml:space="preserve">作出</w:t>
      </w:r>
      <w:r>
        <w:rPr>
          <w:rFonts w:hint="eastAsia" w:ascii="宋体" w:hAnsi="宋体"/>
          <w:sz w:val="24"/>
          <w:szCs w:val="24"/>
        </w:rPr>
        <w:t xml:space="preserve">要求。</w:t>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十、残疾人福利性单位声明函</w:t>
      </w:r>
      <w:r/>
    </w:p>
    <w:p>
      <w:pPr>
        <w:ind w:firstLine="5760"/>
        <w:spacing w:line="560" w:lineRule="exact"/>
        <w:rPr>
          <w:rFonts w:hint="eastAsia" w:ascii="宋体" w:hAnsi="宋体"/>
          <w:color w:val="0000ff"/>
          <w:sz w:val="24"/>
          <w:szCs w:val="24"/>
        </w:rPr>
      </w:pPr>
      <w:r>
        <w:rPr>
          <w:rFonts w:hint="eastAsia" w:ascii="宋体" w:hAnsi="宋体"/>
          <w:color w:val="0000ff"/>
          <w:sz w:val="24"/>
          <w:szCs w:val="24"/>
        </w:rPr>
        <w:t xml:space="preserve">                                         </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残疾人福利性单位声明函（服务）</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50"/>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ind w:firstLine="480"/>
        <w:spacing w:line="480" w:lineRule="exact"/>
        <w:rPr>
          <w:rFonts w:hint="eastAsia" w:ascii="宋体" w:hAnsi="宋体"/>
          <w:sz w:val="24"/>
        </w:rPr>
      </w:pPr>
      <w:r>
        <w:rPr>
          <w:rFonts w:hint="eastAsia" w:ascii="宋体" w:hAnsi="宋体"/>
          <w:sz w:val="24"/>
        </w:rPr>
        <w:t xml:space="preserve">2.成交供应商为残疾人福利性单位的，此</w:t>
      </w:r>
      <w:r>
        <w:rPr>
          <w:rFonts w:hint="eastAsia" w:ascii="宋体" w:hAnsi="宋体"/>
          <w:sz w:val="24"/>
        </w:rPr>
        <w:t xml:space="preserve">声明函将随</w:t>
      </w:r>
      <w:r>
        <w:rPr>
          <w:rFonts w:hint="eastAsia" w:ascii="宋体" w:hAnsi="宋体"/>
          <w:sz w:val="24"/>
        </w:rPr>
        <w:t xml:space="preserve">成交结果同时公告，接受社会监督。</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768"/>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outlineLvl w:val="0"/>
      </w:pPr>
      <w: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outlineLvl w:val="1"/>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74"/>
          <w:rFonts w:hint="eastAsia"/>
          <w:i w:val="0"/>
          <w:u w:val="single"/>
          <w:shd w:val="clear" w:color="auto" w:fill="ffffff"/>
        </w:rPr>
        <w:t xml:space="preserve">（产品名称1）</w:t>
      </w:r>
      <w:r>
        <w:rPr>
          <w:rStyle w:val="77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74"/>
          <w:rFonts w:hint="eastAsia"/>
          <w:i w:val="0"/>
          <w:u w:val="single"/>
          <w:shd w:val="clear" w:color="auto" w:fill="ffffff"/>
        </w:rPr>
        <w:t xml:space="preserve">（厂名）</w:t>
      </w:r>
      <w:r>
        <w:rPr>
          <w:rStyle w:val="774"/>
          <w:rFonts w:hint="eastAsia"/>
          <w:i w:val="0"/>
          <w:shd w:val="clear" w:color="auto" w:fill="ffffff"/>
          <w:vertAlign w:val="superscript"/>
        </w:rPr>
        <w:t xml:space="preserve">2</w:t>
      </w:r>
      <w:r>
        <w:rPr>
          <w:rFonts w:hint="eastAsia"/>
          <w:shd w:val="clear" w:color="auto" w:fill="ffffff"/>
        </w:rPr>
        <w:t xml:space="preserve">，厂址为</w:t>
      </w:r>
      <w:r>
        <w:rPr>
          <w:rStyle w:val="774"/>
          <w:rFonts w:hint="eastAsia"/>
          <w:i w:val="0"/>
          <w:u w:val="single"/>
          <w:shd w:val="clear" w:color="auto" w:fill="ffffff"/>
        </w:rPr>
        <w:t xml:space="preserve">（生产厂址）</w:t>
      </w:r>
      <w:r>
        <w:rPr>
          <w:rFonts w:hint="eastAsia"/>
          <w:shd w:val="clear" w:color="auto" w:fill="ffffff"/>
        </w:rPr>
        <w:t xml:space="preserve">。</w:t>
      </w:r>
      <w:r>
        <w:rPr>
          <w:rStyle w:val="774"/>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74"/>
          <w:rFonts w:hint="eastAsia"/>
          <w:i w:val="0"/>
          <w:strike/>
          <w:u w:val="single"/>
          <w:shd w:val="clear" w:color="auto" w:fill="ffffff"/>
        </w:rPr>
        <w:t xml:space="preserve">（规定比例）</w:t>
      </w:r>
      <w:r>
        <w:rPr>
          <w:rStyle w:val="774"/>
          <w:rFonts w:hint="eastAsia"/>
          <w:i w:val="0"/>
          <w:shd w:val="clear" w:color="auto" w:fill="ffffff"/>
          <w:vertAlign w:val="superscript"/>
        </w:rPr>
        <w:t xml:space="preserve">3</w:t>
      </w:r>
      <w:r>
        <w:rPr>
          <w:rFonts w:hint="eastAsia"/>
          <w:strike/>
          <w:shd w:val="clear" w:color="auto" w:fill="ffffff"/>
        </w:rPr>
        <w:t xml:space="preserve">。</w:t>
      </w:r>
      <w:r>
        <w:rPr>
          <w:rStyle w:val="774"/>
          <w:rFonts w:hint="eastAsia"/>
          <w:i w:val="0"/>
          <w:strike/>
          <w:u w:val="single"/>
          <w:shd w:val="clear" w:color="auto" w:fill="ffffff"/>
        </w:rPr>
        <w:t xml:space="preserve">（产品名称1）</w:t>
      </w:r>
      <w:r>
        <w:rPr>
          <w:rFonts w:hint="eastAsia"/>
          <w:strike/>
          <w:shd w:val="clear" w:color="auto" w:fill="ffffff"/>
        </w:rPr>
        <w:t xml:space="preserve">的</w:t>
      </w:r>
      <w:r>
        <w:rPr>
          <w:rStyle w:val="774"/>
          <w:rFonts w:hint="eastAsia"/>
          <w:i w:val="0"/>
          <w:strike/>
          <w:u w:val="single"/>
          <w:shd w:val="clear" w:color="auto" w:fill="ffffff"/>
        </w:rPr>
        <w:t xml:space="preserve">（关键组件）</w:t>
      </w:r>
      <w:r>
        <w:rPr>
          <w:rStyle w:val="774"/>
          <w:rFonts w:hint="eastAsia"/>
          <w:i w:val="0"/>
          <w:shd w:val="clear" w:color="auto" w:fill="ffffff"/>
          <w:vertAlign w:val="superscript"/>
        </w:rPr>
        <w:t xml:space="preserve">4</w:t>
      </w:r>
      <w:r>
        <w:rPr>
          <w:rFonts w:hint="eastAsia"/>
          <w:strike/>
          <w:shd w:val="clear" w:color="auto" w:fill="ffffff"/>
        </w:rPr>
        <w:t xml:space="preserve">在中国境内生产。</w:t>
      </w:r>
      <w:r>
        <w:rPr>
          <w:rStyle w:val="774"/>
          <w:rFonts w:hint="eastAsia"/>
          <w:i w:val="0"/>
          <w:strike/>
          <w:u w:val="single"/>
          <w:shd w:val="clear" w:color="auto" w:fill="ffffff"/>
        </w:rPr>
        <w:t xml:space="preserve">（产品名称1）</w:t>
      </w:r>
      <w:r>
        <w:rPr>
          <w:rFonts w:hint="eastAsia"/>
          <w:strike/>
          <w:shd w:val="clear" w:color="auto" w:fill="ffffff"/>
        </w:rPr>
        <w:t xml:space="preserve">的</w:t>
      </w:r>
      <w:r>
        <w:rPr>
          <w:rStyle w:val="774"/>
          <w:rFonts w:hint="eastAsia"/>
          <w:i w:val="0"/>
          <w:strike/>
          <w:u w:val="single"/>
          <w:shd w:val="clear" w:color="auto" w:fill="ffffff"/>
        </w:rPr>
        <w:t xml:space="preserve">（关键工序）</w:t>
      </w:r>
      <w:r>
        <w:rPr>
          <w:rStyle w:val="774"/>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763"/>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74"/>
          <w:rFonts w:hint="eastAsia"/>
          <w:i w:val="0"/>
          <w:u w:val="single"/>
          <w:shd w:val="clear" w:color="auto" w:fill="ffffff"/>
        </w:rPr>
        <w:t xml:space="preserve">（产品名称2）</w:t>
      </w:r>
      <w:r>
        <w:rPr>
          <w:rFonts w:hint="eastAsia"/>
          <w:shd w:val="clear" w:color="auto" w:fill="ffffff"/>
        </w:rPr>
        <w:t xml:space="preserve">，生产厂为</w:t>
      </w:r>
      <w:r>
        <w:rPr>
          <w:rStyle w:val="774"/>
          <w:rFonts w:hint="eastAsia"/>
          <w:i w:val="0"/>
          <w:u w:val="single"/>
          <w:shd w:val="clear" w:color="auto" w:fill="ffffff"/>
        </w:rPr>
        <w:t xml:space="preserve">（厂名）</w:t>
      </w:r>
      <w:r>
        <w:rPr>
          <w:rFonts w:hint="eastAsia"/>
          <w:shd w:val="clear" w:color="auto" w:fill="ffffff"/>
        </w:rPr>
        <w:t xml:space="preserve">，厂址为</w:t>
      </w:r>
      <w:r>
        <w:rPr>
          <w:rStyle w:val="774"/>
          <w:rFonts w:hint="eastAsia"/>
          <w:i w:val="0"/>
          <w:u w:val="single"/>
          <w:shd w:val="clear" w:color="auto" w:fill="ffffff"/>
        </w:rPr>
        <w:t xml:space="preserve">（生产厂址）</w:t>
      </w:r>
      <w:r>
        <w:rPr>
          <w:rFonts w:hint="eastAsia"/>
          <w:shd w:val="clear" w:color="auto" w:fill="ffffff"/>
        </w:rPr>
        <w:t xml:space="preserve">。</w:t>
      </w:r>
      <w:r>
        <w:rPr>
          <w:rStyle w:val="774"/>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74"/>
          <w:rFonts w:hint="eastAsia"/>
          <w:i w:val="0"/>
          <w:strike/>
          <w:u w:val="single"/>
          <w:shd w:val="clear" w:color="auto" w:fill="ffffff"/>
        </w:rPr>
        <w:t xml:space="preserve">（规定比例）</w:t>
      </w:r>
      <w:r>
        <w:rPr>
          <w:rFonts w:hint="eastAsia"/>
          <w:strike/>
          <w:shd w:val="clear" w:color="auto" w:fill="ffffff"/>
        </w:rPr>
        <w:t xml:space="preserve">。</w:t>
      </w:r>
      <w:r>
        <w:rPr>
          <w:rStyle w:val="774"/>
          <w:rFonts w:hint="eastAsia"/>
          <w:i w:val="0"/>
          <w:strike/>
          <w:u w:val="single"/>
          <w:shd w:val="clear" w:color="auto" w:fill="ffffff"/>
        </w:rPr>
        <w:t xml:space="preserve">（产品名称2）</w:t>
      </w:r>
      <w:r>
        <w:rPr>
          <w:rFonts w:hint="eastAsia"/>
          <w:strike/>
          <w:shd w:val="clear" w:color="auto" w:fill="ffffff"/>
        </w:rPr>
        <w:t xml:space="preserve">的</w:t>
      </w:r>
      <w:r>
        <w:rPr>
          <w:rStyle w:val="774"/>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74"/>
          <w:rFonts w:hint="eastAsia"/>
          <w:i w:val="0"/>
          <w:strike/>
          <w:u w:val="single"/>
          <w:shd w:val="clear" w:color="auto" w:fill="ffffff"/>
        </w:rPr>
        <w:t xml:space="preserve">（产品名称2）</w:t>
      </w:r>
      <w:r>
        <w:rPr>
          <w:rFonts w:hint="eastAsia"/>
          <w:strike/>
          <w:shd w:val="clear" w:color="auto" w:fill="ffffff"/>
        </w:rPr>
        <w:t xml:space="preserve">的</w:t>
      </w:r>
      <w:r>
        <w:rPr>
          <w:rStyle w:val="774"/>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76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6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6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6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6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6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6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63"/>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76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6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63"/>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8"/>
        <w:rPr>
          <w:rFonts w:hint="eastAsia"/>
        </w:rPr>
      </w:pPr>
      <w:r>
        <w:br w:type="page" w:clear="all"/>
      </w:r>
      <w:r/>
    </w:p>
    <w:p>
      <w:pPr>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w:t>
      </w:r>
      <w:r>
        <w:rPr>
          <w:rFonts w:hint="eastAsia" w:ascii="宋体" w:hAnsi="宋体" w:cs="仿宋"/>
          <w:sz w:val="24"/>
          <w:szCs w:val="24"/>
        </w:rPr>
        <w:t xml:space="preserve">商法定</w:t>
      </w:r>
      <w:r>
        <w:rPr>
          <w:rFonts w:hint="eastAsia" w:ascii="宋体" w:hAnsi="宋体" w:cs="仿宋"/>
          <w:sz w:val="24"/>
          <w:szCs w:val="24"/>
        </w:rPr>
        <w:t xml:space="preserve">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Fonts w:hint="eastAsia" w:ascii="宋体" w:hAnsi="宋体"/>
      </w:rPr>
      <w:framePr w:wrap="around" w:vAnchor="text" w:hAnchor="margin" w:xAlign="center" w:y="1"/>
    </w:pPr>
    <w:r>
      <w:rPr>
        <w:rFonts w:ascii="宋体" w:hAnsi="宋体"/>
      </w:rPr>
      <w:fldChar w:fldCharType="begin"/>
    </w:r>
    <w:r>
      <w:rPr>
        <w:rStyle w:val="772"/>
        <w:rFonts w:ascii="宋体" w:hAnsi="宋体"/>
      </w:rPr>
      <w:instrText xml:space="preserve">PAGE  </w:instrText>
    </w:r>
    <w:r>
      <w:rPr>
        <w:rFonts w:ascii="宋体" w:hAnsi="宋体"/>
      </w:rPr>
      <w:fldChar w:fldCharType="separate"/>
    </w:r>
    <w:r>
      <w:rPr>
        <w:rStyle w:val="772"/>
        <w:rFonts w:ascii="宋体" w:hAnsi="宋体"/>
      </w:rPr>
      <w:t xml:space="preserve">２</w:t>
    </w:r>
    <w:r>
      <w:rPr>
        <w:rStyle w:val="772"/>
        <w:rFonts w:ascii="宋体" w:hAnsi="宋体"/>
      </w:rPr>
      <w:t xml:space="preserve">５</w:t>
    </w:r>
    <w:r>
      <w:rPr>
        <w:rFonts w:ascii="宋体" w:hAnsi="宋体"/>
      </w:rPr>
      <w:fldChar w:fldCharType="end"/>
    </w:r>
    <w:r/>
  </w:p>
  <w:p>
    <w:pPr>
      <w:pStyle w:val="75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1"/>
      <w:isLgl w:val="false"/>
      <w:suff w:val="nothing"/>
      <w:lvlText w:val=""/>
      <w:lvlJc w:val="left"/>
      <w:pPr>
        <w:ind w:left="0" w:firstLine="0"/>
      </w:pPr>
      <w:rPr>
        <w:rFonts w:hint="eastAsia"/>
      </w:rPr>
    </w:lvl>
    <w:lvl w:ilvl="6">
      <w:start w:val="1"/>
      <w:numFmt w:val="none"/>
      <w:pStyle w:val="722"/>
      <w:isLgl w:val="false"/>
      <w:suff w:val="nothing"/>
      <w:lvlText w:val=""/>
      <w:lvlJc w:val="left"/>
      <w:pPr>
        <w:ind w:left="0" w:firstLine="0"/>
      </w:pPr>
      <w:rPr>
        <w:rFonts w:hint="eastAsia"/>
      </w:rPr>
    </w:lvl>
    <w:lvl w:ilvl="7">
      <w:start w:val="1"/>
      <w:numFmt w:val="none"/>
      <w:pStyle w:val="723"/>
      <w:isLgl w:val="false"/>
      <w:suff w:val="nothing"/>
      <w:lvlText w:val=""/>
      <w:lvlJc w:val="left"/>
      <w:pPr>
        <w:ind w:left="0" w:firstLine="0"/>
      </w:pPr>
      <w:rPr>
        <w:rFonts w:hint="eastAsia"/>
      </w:rPr>
    </w:lvl>
    <w:lvl w:ilvl="8">
      <w:start w:val="1"/>
      <w:numFmt w:val="none"/>
      <w:pStyle w:val="724"/>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Title Char"/>
    <w:basedOn w:val="725"/>
    <w:link w:val="765"/>
    <w:uiPriority w:val="10"/>
    <w:rPr>
      <w:sz w:val="48"/>
      <w:szCs w:val="48"/>
    </w:rPr>
  </w:style>
  <w:style w:type="character" w:styleId="690">
    <w:name w:val="Subtitle Char"/>
    <w:basedOn w:val="725"/>
    <w:link w:val="754"/>
    <w:uiPriority w:val="11"/>
    <w:rPr>
      <w:sz w:val="24"/>
      <w:szCs w:val="24"/>
    </w:rPr>
  </w:style>
  <w:style w:type="character" w:styleId="691">
    <w:name w:val="Quote Char"/>
    <w:link w:val="789"/>
    <w:uiPriority w:val="29"/>
    <w:rPr>
      <w:i/>
    </w:rPr>
  </w:style>
  <w:style w:type="character" w:styleId="692">
    <w:name w:val="Intense Quote Char"/>
    <w:link w:val="791"/>
    <w:uiPriority w:val="30"/>
    <w:rPr>
      <w:i/>
    </w:rPr>
  </w:style>
  <w:style w:type="table" w:styleId="693">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756"/>
    <w:uiPriority w:val="99"/>
    <w:rPr>
      <w:sz w:val="18"/>
    </w:rPr>
  </w:style>
  <w:style w:type="character" w:styleId="713">
    <w:name w:val="Endnote Text Char"/>
    <w:link w:val="748"/>
    <w:uiPriority w:val="99"/>
    <w:rPr>
      <w:sz w:val="20"/>
    </w:rPr>
  </w:style>
  <w:style w:type="paragraph" w:styleId="714">
    <w:name w:val="TOC Heading"/>
    <w:uiPriority w:val="39"/>
    <w:unhideWhenUsed/>
  </w:style>
  <w:style w:type="paragraph" w:styleId="715" w:default="1">
    <w:name w:val="Normal"/>
    <w:next w:val="728"/>
    <w:qFormat/>
    <w:pPr>
      <w:jc w:val="both"/>
      <w:widowControl w:val="off"/>
    </w:pPr>
    <w:rPr>
      <w:sz w:val="21"/>
      <w:szCs w:val="22"/>
    </w:rPr>
  </w:style>
  <w:style w:type="paragraph" w:styleId="716">
    <w:name w:val="Heading 1"/>
    <w:basedOn w:val="715"/>
    <w:next w:val="715"/>
    <w:link w:val="926"/>
    <w:qFormat/>
    <w:pPr>
      <w:jc w:val="center"/>
      <w:keepNext/>
      <w:outlineLvl w:val="0"/>
    </w:pPr>
    <w:rPr>
      <w:rFonts w:ascii="楷体_GB2312" w:eastAsia="楷体_GB2312"/>
      <w:sz w:val="28"/>
      <w:szCs w:val="28"/>
    </w:rPr>
  </w:style>
  <w:style w:type="paragraph" w:styleId="717">
    <w:name w:val="Heading 2"/>
    <w:basedOn w:val="715"/>
    <w:next w:val="715"/>
    <w:link w:val="927"/>
    <w:qFormat/>
    <w:pPr>
      <w:jc w:val="center"/>
      <w:keepLines/>
      <w:keepNext/>
      <w:spacing w:before="260" w:after="260" w:line="416" w:lineRule="auto"/>
      <w:outlineLvl w:val="1"/>
    </w:pPr>
    <w:rPr>
      <w:rFonts w:ascii="Arial" w:hAnsi="Arial" w:eastAsia="幼圆" w:cs="Arial"/>
      <w:b/>
      <w:bCs/>
      <w:sz w:val="44"/>
      <w:szCs w:val="44"/>
    </w:rPr>
  </w:style>
  <w:style w:type="paragraph" w:styleId="718">
    <w:name w:val="Heading 3"/>
    <w:basedOn w:val="715"/>
    <w:next w:val="731"/>
    <w:link w:val="928"/>
    <w:qFormat/>
    <w:pPr>
      <w:keepLines/>
      <w:keepNext/>
      <w:spacing w:before="260" w:after="260" w:line="416" w:lineRule="auto"/>
      <w:outlineLvl w:val="2"/>
    </w:pPr>
    <w:rPr>
      <w:b/>
      <w:bCs/>
      <w:sz w:val="32"/>
      <w:szCs w:val="32"/>
    </w:rPr>
  </w:style>
  <w:style w:type="paragraph" w:styleId="719">
    <w:name w:val="Heading 4"/>
    <w:basedOn w:val="715"/>
    <w:next w:val="731"/>
    <w:link w:val="930"/>
    <w:qFormat/>
    <w:pPr>
      <w:keepLines/>
      <w:keepNext/>
      <w:spacing w:before="280" w:after="290" w:line="376" w:lineRule="auto"/>
      <w:outlineLvl w:val="3"/>
    </w:pPr>
    <w:rPr>
      <w:rFonts w:ascii="Arial" w:hAnsi="Arial" w:eastAsia="黑体" w:cs="Arial"/>
      <w:b/>
      <w:bCs/>
      <w:sz w:val="28"/>
      <w:szCs w:val="28"/>
    </w:rPr>
  </w:style>
  <w:style w:type="paragraph" w:styleId="720">
    <w:name w:val="Heading 5"/>
    <w:basedOn w:val="715"/>
    <w:next w:val="731"/>
    <w:link w:val="931"/>
    <w:qFormat/>
    <w:pPr>
      <w:keepNext/>
      <w:outlineLvl w:val="4"/>
    </w:pPr>
    <w:rPr>
      <w:rFonts w:ascii="宋体"/>
      <w:color w:val="000000"/>
      <w:sz w:val="28"/>
      <w:szCs w:val="28"/>
    </w:rPr>
  </w:style>
  <w:style w:type="paragraph" w:styleId="721">
    <w:name w:val="Heading 6"/>
    <w:basedOn w:val="715"/>
    <w:next w:val="715"/>
    <w:link w:val="932"/>
    <w:qFormat/>
    <w:pPr>
      <w:numPr>
        <w:ilvl w:val="5"/>
        <w:numId w:val="1"/>
      </w:numPr>
      <w:keepLines/>
      <w:keepNext/>
      <w:spacing w:before="240" w:after="64" w:line="320" w:lineRule="auto"/>
      <w:outlineLvl w:val="5"/>
    </w:pPr>
    <w:rPr>
      <w:rFonts w:ascii="Arial" w:hAnsi="Arial" w:eastAsia="黑体"/>
      <w:b/>
      <w:bCs/>
      <w:sz w:val="24"/>
      <w:szCs w:val="24"/>
    </w:rPr>
  </w:style>
  <w:style w:type="paragraph" w:styleId="722">
    <w:name w:val="Heading 7"/>
    <w:basedOn w:val="715"/>
    <w:next w:val="715"/>
    <w:link w:val="933"/>
    <w:qFormat/>
    <w:pPr>
      <w:numPr>
        <w:ilvl w:val="6"/>
        <w:numId w:val="1"/>
      </w:numPr>
      <w:keepLines/>
      <w:keepNext/>
      <w:spacing w:before="240" w:after="64" w:line="320" w:lineRule="auto"/>
      <w:outlineLvl w:val="6"/>
    </w:pPr>
    <w:rPr>
      <w:b/>
      <w:bCs/>
      <w:sz w:val="24"/>
      <w:szCs w:val="24"/>
    </w:rPr>
  </w:style>
  <w:style w:type="paragraph" w:styleId="723">
    <w:name w:val="Heading 8"/>
    <w:basedOn w:val="715"/>
    <w:next w:val="715"/>
    <w:link w:val="934"/>
    <w:qFormat/>
    <w:pPr>
      <w:numPr>
        <w:ilvl w:val="7"/>
        <w:numId w:val="1"/>
      </w:numPr>
      <w:keepLines/>
      <w:keepNext/>
      <w:spacing w:before="240" w:after="64" w:line="320" w:lineRule="auto"/>
      <w:outlineLvl w:val="7"/>
    </w:pPr>
    <w:rPr>
      <w:rFonts w:ascii="Arial" w:hAnsi="Arial" w:eastAsia="黑体"/>
      <w:sz w:val="24"/>
      <w:szCs w:val="24"/>
    </w:rPr>
  </w:style>
  <w:style w:type="paragraph" w:styleId="724">
    <w:name w:val="Heading 9"/>
    <w:basedOn w:val="715"/>
    <w:next w:val="715"/>
    <w:link w:val="935"/>
    <w:qFormat/>
    <w:pPr>
      <w:numPr>
        <w:ilvl w:val="8"/>
        <w:numId w:val="1"/>
      </w:numPr>
      <w:keepLines/>
      <w:keepNext/>
      <w:spacing w:before="240" w:after="64" w:line="320" w:lineRule="auto"/>
      <w:outlineLvl w:val="8"/>
    </w:pPr>
    <w:rPr>
      <w:rFonts w:ascii="Arial" w:hAnsi="Arial" w:eastAsia="黑体"/>
      <w:szCs w:val="21"/>
    </w:rPr>
  </w:style>
  <w:style w:type="character" w:styleId="725" w:default="1">
    <w:name w:val="Default Paragraph Font"/>
    <w:uiPriority w:val="1"/>
    <w:semiHidden/>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customStyle="1">
    <w:name w:val="正文首行缩进 21"/>
    <w:basedOn w:val="729"/>
    <w:next w:val="715"/>
    <w:qFormat/>
    <w:pPr>
      <w:ind w:left="0" w:firstLine="420"/>
      <w:spacing w:after="0" w:line="360" w:lineRule="auto"/>
    </w:pPr>
    <w:rPr>
      <w:rFonts w:ascii="宋体" w:hAnsi="宋体"/>
      <w:szCs w:val="20"/>
    </w:rPr>
  </w:style>
  <w:style w:type="paragraph" w:styleId="729" w:customStyle="1">
    <w:name w:val="正文文本缩进1"/>
    <w:basedOn w:val="715"/>
    <w:next w:val="730"/>
    <w:unhideWhenUsed/>
    <w:qFormat/>
    <w:pPr>
      <w:ind w:left="420"/>
      <w:spacing w:after="120"/>
    </w:pPr>
  </w:style>
  <w:style w:type="paragraph" w:styleId="730" w:customStyle="1">
    <w:name w:val="寄信人地址1"/>
    <w:basedOn w:val="715"/>
    <w:qFormat/>
    <w:rPr>
      <w:rFonts w:ascii="Arial" w:hAnsi="Arial" w:cs="宋体"/>
    </w:rPr>
  </w:style>
  <w:style w:type="paragraph" w:styleId="731">
    <w:name w:val="Normal Indent"/>
    <w:basedOn w:val="715"/>
    <w:link w:val="929"/>
    <w:qFormat/>
    <w:pPr>
      <w:ind w:firstLine="420"/>
    </w:pPr>
    <w:rPr>
      <w:szCs w:val="21"/>
    </w:rPr>
  </w:style>
  <w:style w:type="paragraph" w:styleId="732">
    <w:name w:val="List 3"/>
    <w:basedOn w:val="715"/>
    <w:qFormat/>
    <w:pPr>
      <w:ind w:left="100" w:hanging="200"/>
    </w:pPr>
    <w:rPr>
      <w:szCs w:val="21"/>
    </w:rPr>
  </w:style>
  <w:style w:type="paragraph" w:styleId="733">
    <w:name w:val="toc 7"/>
    <w:basedOn w:val="715"/>
    <w:next w:val="715"/>
    <w:semiHidden/>
    <w:qFormat/>
    <w:pPr>
      <w:ind w:left="1260"/>
      <w:jc w:val="left"/>
    </w:pPr>
    <w:rPr>
      <w:szCs w:val="21"/>
    </w:rPr>
  </w:style>
  <w:style w:type="paragraph" w:styleId="734">
    <w:name w:val="Caption"/>
    <w:basedOn w:val="715"/>
    <w:next w:val="715"/>
    <w:uiPriority w:val="35"/>
    <w:semiHidden/>
    <w:unhideWhenUsed/>
    <w:qFormat/>
    <w:pPr>
      <w:spacing w:line="276" w:lineRule="auto"/>
    </w:pPr>
    <w:rPr>
      <w:b/>
      <w:bCs/>
      <w:color w:val="4f81bd" w:themeColor="accent1"/>
      <w:sz w:val="18"/>
      <w:szCs w:val="18"/>
    </w:rPr>
  </w:style>
  <w:style w:type="paragraph" w:styleId="735">
    <w:name w:val="Document Map"/>
    <w:basedOn w:val="715"/>
    <w:link w:val="936"/>
    <w:semiHidden/>
    <w:qFormat/>
    <w:pPr>
      <w:shd w:val="clear" w:color="auto" w:fill="000080"/>
    </w:pPr>
    <w:rPr>
      <w:szCs w:val="21"/>
    </w:rPr>
  </w:style>
  <w:style w:type="paragraph" w:styleId="736">
    <w:name w:val="annotation text"/>
    <w:basedOn w:val="715"/>
    <w:link w:val="937"/>
    <w:uiPriority w:val="99"/>
    <w:unhideWhenUsed/>
    <w:qFormat/>
    <w:pPr>
      <w:jc w:val="left"/>
    </w:pPr>
  </w:style>
  <w:style w:type="paragraph" w:styleId="737">
    <w:name w:val="Body Text 3"/>
    <w:basedOn w:val="715"/>
    <w:link w:val="938"/>
    <w:qFormat/>
    <w:rPr>
      <w:rFonts w:ascii="仿宋_GB2312" w:hAnsi="Arial" w:eastAsia="仿宋_GB2312"/>
      <w:sz w:val="32"/>
      <w:szCs w:val="32"/>
    </w:rPr>
  </w:style>
  <w:style w:type="paragraph" w:styleId="738">
    <w:name w:val="Body Text"/>
    <w:basedOn w:val="715"/>
    <w:link w:val="939"/>
    <w:qFormat/>
    <w:rPr>
      <w:rFonts w:ascii="楷体_GB2312" w:hAnsi="Arial" w:eastAsia="楷体_GB2312"/>
      <w:sz w:val="28"/>
      <w:szCs w:val="28"/>
    </w:rPr>
  </w:style>
  <w:style w:type="paragraph" w:styleId="739">
    <w:name w:val="Body Text Indent"/>
    <w:basedOn w:val="715"/>
    <w:next w:val="740"/>
    <w:link w:val="924"/>
    <w:unhideWhenUsed/>
    <w:qFormat/>
    <w:pPr>
      <w:ind w:left="420"/>
      <w:spacing w:after="120"/>
    </w:pPr>
  </w:style>
  <w:style w:type="paragraph" w:styleId="740">
    <w:name w:val="envelope return"/>
    <w:basedOn w:val="715"/>
    <w:qFormat/>
    <w:rPr>
      <w:rFonts w:ascii="Arial" w:hAnsi="Arial" w:cs="宋体"/>
    </w:rPr>
  </w:style>
  <w:style w:type="paragraph" w:styleId="741">
    <w:name w:val="List 2"/>
    <w:basedOn w:val="715"/>
    <w:qFormat/>
    <w:pPr>
      <w:ind w:left="100" w:hanging="200"/>
    </w:pPr>
    <w:rPr>
      <w:szCs w:val="21"/>
    </w:rPr>
  </w:style>
  <w:style w:type="paragraph" w:styleId="742">
    <w:name w:val="toc 5"/>
    <w:basedOn w:val="715"/>
    <w:next w:val="715"/>
    <w:semiHidden/>
    <w:qFormat/>
    <w:pPr>
      <w:ind w:left="840"/>
      <w:jc w:val="left"/>
    </w:pPr>
    <w:rPr>
      <w:szCs w:val="21"/>
    </w:rPr>
  </w:style>
  <w:style w:type="paragraph" w:styleId="743">
    <w:name w:val="toc 3"/>
    <w:basedOn w:val="715"/>
    <w:next w:val="715"/>
    <w:semiHidden/>
    <w:qFormat/>
    <w:pPr>
      <w:ind w:left="420"/>
      <w:jc w:val="left"/>
    </w:pPr>
    <w:rPr>
      <w:i/>
      <w:iCs/>
      <w:szCs w:val="24"/>
    </w:rPr>
  </w:style>
  <w:style w:type="paragraph" w:styleId="744">
    <w:name w:val="Plain Text"/>
    <w:basedOn w:val="715"/>
    <w:link w:val="940"/>
    <w:qFormat/>
    <w:rPr>
      <w:rFonts w:ascii="宋体" w:hAnsi="Courier New" w:cs="Courier New"/>
      <w:szCs w:val="21"/>
    </w:rPr>
  </w:style>
  <w:style w:type="paragraph" w:styleId="745">
    <w:name w:val="toc 8"/>
    <w:basedOn w:val="715"/>
    <w:next w:val="715"/>
    <w:semiHidden/>
    <w:qFormat/>
    <w:pPr>
      <w:ind w:left="1470"/>
      <w:jc w:val="left"/>
    </w:pPr>
    <w:rPr>
      <w:szCs w:val="21"/>
    </w:rPr>
  </w:style>
  <w:style w:type="paragraph" w:styleId="746">
    <w:name w:val="Date"/>
    <w:basedOn w:val="715"/>
    <w:next w:val="715"/>
    <w:link w:val="941"/>
    <w:qFormat/>
    <w:rPr>
      <w:sz w:val="24"/>
      <w:szCs w:val="24"/>
    </w:rPr>
  </w:style>
  <w:style w:type="paragraph" w:styleId="747">
    <w:name w:val="Body Text Indent 2"/>
    <w:basedOn w:val="715"/>
    <w:link w:val="942"/>
    <w:qFormat/>
    <w:pPr>
      <w:ind w:left="630" w:firstLine="645"/>
    </w:pPr>
    <w:rPr>
      <w:rFonts w:ascii="Arial" w:hAnsi="Arial" w:eastAsia="仿宋_GB2312" w:cs="Arial"/>
      <w:sz w:val="32"/>
      <w:szCs w:val="32"/>
    </w:rPr>
  </w:style>
  <w:style w:type="paragraph" w:styleId="748">
    <w:name w:val="endnote text"/>
    <w:basedOn w:val="715"/>
    <w:link w:val="922"/>
    <w:uiPriority w:val="99"/>
    <w:semiHidden/>
    <w:unhideWhenUsed/>
    <w:qFormat/>
    <w:rPr>
      <w:sz w:val="20"/>
    </w:rPr>
  </w:style>
  <w:style w:type="paragraph" w:styleId="749">
    <w:name w:val="Balloon Text"/>
    <w:basedOn w:val="715"/>
    <w:link w:val="943"/>
    <w:semiHidden/>
    <w:qFormat/>
    <w:rPr>
      <w:sz w:val="18"/>
      <w:szCs w:val="18"/>
    </w:rPr>
  </w:style>
  <w:style w:type="paragraph" w:styleId="750">
    <w:name w:val="Footer"/>
    <w:basedOn w:val="715"/>
    <w:link w:val="944"/>
    <w:qFormat/>
    <w:pPr>
      <w:jc w:val="left"/>
      <w:tabs>
        <w:tab w:val="center" w:pos="4153" w:leader="none"/>
        <w:tab w:val="right" w:pos="8306" w:leader="none"/>
      </w:tabs>
    </w:pPr>
    <w:rPr>
      <w:sz w:val="18"/>
      <w:szCs w:val="18"/>
    </w:rPr>
  </w:style>
  <w:style w:type="paragraph" w:styleId="751">
    <w:name w:val="Header"/>
    <w:basedOn w:val="715"/>
    <w:link w:val="945"/>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15"/>
    <w:next w:val="715"/>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15"/>
    <w:next w:val="715"/>
    <w:semiHidden/>
    <w:qFormat/>
    <w:pPr>
      <w:ind w:left="630"/>
      <w:jc w:val="left"/>
    </w:pPr>
    <w:rPr>
      <w:szCs w:val="21"/>
    </w:rPr>
  </w:style>
  <w:style w:type="paragraph" w:styleId="754">
    <w:name w:val="Subtitle"/>
    <w:basedOn w:val="715"/>
    <w:next w:val="715"/>
    <w:link w:val="788"/>
    <w:uiPriority w:val="11"/>
    <w:qFormat/>
    <w:pPr>
      <w:spacing w:before="200" w:after="200"/>
    </w:pPr>
    <w:rPr>
      <w:sz w:val="24"/>
      <w:szCs w:val="24"/>
    </w:rPr>
  </w:style>
  <w:style w:type="paragraph" w:styleId="755">
    <w:name w:val="List"/>
    <w:basedOn w:val="715"/>
    <w:qFormat/>
    <w:pPr>
      <w:ind w:left="200" w:hanging="200"/>
    </w:pPr>
    <w:rPr>
      <w:szCs w:val="21"/>
    </w:rPr>
  </w:style>
  <w:style w:type="paragraph" w:styleId="756">
    <w:name w:val="footnote text"/>
    <w:basedOn w:val="715"/>
    <w:link w:val="921"/>
    <w:uiPriority w:val="99"/>
    <w:semiHidden/>
    <w:unhideWhenUsed/>
    <w:qFormat/>
    <w:pPr>
      <w:spacing w:after="40"/>
    </w:pPr>
    <w:rPr>
      <w:sz w:val="18"/>
    </w:rPr>
  </w:style>
  <w:style w:type="paragraph" w:styleId="757">
    <w:name w:val="toc 6"/>
    <w:basedOn w:val="715"/>
    <w:next w:val="715"/>
    <w:semiHidden/>
    <w:qFormat/>
    <w:pPr>
      <w:ind w:left="1050"/>
      <w:jc w:val="left"/>
    </w:pPr>
    <w:rPr>
      <w:szCs w:val="21"/>
    </w:rPr>
  </w:style>
  <w:style w:type="paragraph" w:styleId="758">
    <w:name w:val="Body Text Indent 3"/>
    <w:basedOn w:val="715"/>
    <w:link w:val="946"/>
    <w:qFormat/>
    <w:pPr>
      <w:ind w:left="645" w:firstLine="645"/>
    </w:pPr>
    <w:rPr>
      <w:rFonts w:ascii="Arial" w:hAnsi="Arial" w:eastAsia="仿宋_GB2312" w:cs="Arial"/>
      <w:color w:val="ffff00"/>
      <w:sz w:val="32"/>
      <w:szCs w:val="32"/>
    </w:rPr>
  </w:style>
  <w:style w:type="paragraph" w:styleId="759">
    <w:name w:val="table of figures"/>
    <w:basedOn w:val="715"/>
    <w:next w:val="715"/>
    <w:semiHidden/>
    <w:qFormat/>
    <w:pPr>
      <w:ind w:left="840" w:hanging="420"/>
    </w:pPr>
    <w:rPr>
      <w:szCs w:val="21"/>
    </w:rPr>
  </w:style>
  <w:style w:type="paragraph" w:styleId="760">
    <w:name w:val="toc 2"/>
    <w:basedOn w:val="715"/>
    <w:next w:val="715"/>
    <w:semiHidden/>
    <w:qFormat/>
    <w:pPr>
      <w:ind w:left="210"/>
      <w:jc w:val="left"/>
    </w:pPr>
    <w:rPr>
      <w:smallCaps/>
      <w:szCs w:val="24"/>
    </w:rPr>
  </w:style>
  <w:style w:type="paragraph" w:styleId="761">
    <w:name w:val="toc 9"/>
    <w:basedOn w:val="715"/>
    <w:next w:val="715"/>
    <w:semiHidden/>
    <w:qFormat/>
    <w:pPr>
      <w:ind w:left="1680"/>
      <w:jc w:val="left"/>
    </w:pPr>
    <w:rPr>
      <w:szCs w:val="21"/>
    </w:rPr>
  </w:style>
  <w:style w:type="paragraph" w:styleId="762">
    <w:name w:val="Body Text 2"/>
    <w:basedOn w:val="715"/>
    <w:link w:val="947"/>
    <w:qFormat/>
    <w:pPr>
      <w:jc w:val="center"/>
      <w:widowControl/>
    </w:pPr>
    <w:rPr>
      <w:rFonts w:ascii="楷体_GB2312" w:eastAsia="楷体_GB2312"/>
      <w:sz w:val="28"/>
      <w:szCs w:val="28"/>
    </w:rPr>
  </w:style>
  <w:style w:type="paragraph" w:styleId="763">
    <w:name w:val="Normal (Web)"/>
    <w:basedOn w:val="715"/>
    <w:uiPriority w:val="99"/>
    <w:qFormat/>
    <w:pPr>
      <w:jc w:val="left"/>
      <w:spacing w:before="100" w:beforeAutospacing="1" w:after="100" w:afterAutospacing="1"/>
      <w:widowControl/>
    </w:pPr>
    <w:rPr>
      <w:rFonts w:ascii="宋体" w:hAnsi="宋体" w:cs="宋体"/>
      <w:sz w:val="24"/>
      <w:szCs w:val="24"/>
    </w:rPr>
  </w:style>
  <w:style w:type="paragraph" w:styleId="764">
    <w:name w:val="index 1"/>
    <w:basedOn w:val="715"/>
    <w:next w:val="715"/>
    <w:semiHidden/>
    <w:qFormat/>
    <w:pPr>
      <w:spacing w:line="240" w:lineRule="atLeast"/>
    </w:pPr>
    <w:rPr>
      <w:b/>
      <w:bCs/>
      <w:szCs w:val="21"/>
    </w:rPr>
  </w:style>
  <w:style w:type="paragraph" w:styleId="765">
    <w:name w:val="Title"/>
    <w:basedOn w:val="715"/>
    <w:next w:val="715"/>
    <w:link w:val="787"/>
    <w:uiPriority w:val="10"/>
    <w:qFormat/>
    <w:pPr>
      <w:contextualSpacing/>
      <w:spacing w:before="300" w:after="200"/>
    </w:pPr>
    <w:rPr>
      <w:sz w:val="48"/>
      <w:szCs w:val="48"/>
    </w:rPr>
  </w:style>
  <w:style w:type="paragraph" w:styleId="766">
    <w:name w:val="annotation subject"/>
    <w:basedOn w:val="736"/>
    <w:next w:val="736"/>
    <w:link w:val="948"/>
    <w:semiHidden/>
    <w:qFormat/>
    <w:rPr>
      <w:b/>
      <w:bCs/>
      <w:szCs w:val="21"/>
    </w:rPr>
  </w:style>
  <w:style w:type="paragraph" w:styleId="767">
    <w:name w:val="Body Text First Indent"/>
    <w:basedOn w:val="715"/>
    <w:link w:val="949"/>
    <w:qFormat/>
    <w:pPr>
      <w:ind w:firstLine="200"/>
      <w:spacing w:line="360" w:lineRule="auto"/>
    </w:pPr>
    <w:rPr>
      <w:rFonts w:ascii="仿宋_GB2312" w:eastAsia="仿宋_GB2312"/>
      <w:sz w:val="30"/>
      <w:szCs w:val="30"/>
    </w:rPr>
  </w:style>
  <w:style w:type="paragraph" w:styleId="768">
    <w:name w:val="Body Text First Indent 2"/>
    <w:basedOn w:val="739"/>
    <w:next w:val="715"/>
    <w:link w:val="925"/>
    <w:qFormat/>
    <w:pPr>
      <w:ind w:left="0" w:firstLine="420"/>
      <w:spacing w:after="0" w:line="360" w:lineRule="auto"/>
    </w:pPr>
    <w:rPr>
      <w:rFonts w:ascii="宋体" w:hAnsi="宋体"/>
      <w:szCs w:val="20"/>
    </w:rPr>
  </w:style>
  <w:style w:type="table" w:styleId="769">
    <w:name w:val="Table Grid"/>
    <w:basedOn w:val="72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qFormat/>
    <w:rPr>
      <w:b/>
      <w:bCs/>
    </w:rPr>
  </w:style>
  <w:style w:type="character" w:styleId="771">
    <w:name w:val="endnote reference"/>
    <w:basedOn w:val="725"/>
    <w:uiPriority w:val="99"/>
    <w:semiHidden/>
    <w:unhideWhenUsed/>
    <w:qFormat/>
    <w:rPr>
      <w:vertAlign w:val="superscript"/>
    </w:rPr>
  </w:style>
  <w:style w:type="character" w:styleId="772">
    <w:name w:val="page number"/>
    <w:qFormat/>
  </w:style>
  <w:style w:type="character" w:styleId="773">
    <w:name w:val="FollowedHyperlink"/>
    <w:qFormat/>
    <w:rPr>
      <w:color w:val="800080"/>
      <w:u w:val="single"/>
    </w:rPr>
  </w:style>
  <w:style w:type="character" w:styleId="774">
    <w:name w:val="Emphasis"/>
    <w:qFormat/>
    <w:rPr>
      <w:i/>
    </w:rPr>
  </w:style>
  <w:style w:type="character" w:styleId="775">
    <w:name w:val="Hyperlink"/>
    <w:qFormat/>
    <w:rPr>
      <w:color w:val="0000ff"/>
      <w:u w:val="single"/>
    </w:rPr>
  </w:style>
  <w:style w:type="character" w:styleId="776">
    <w:name w:val="annotation reference"/>
    <w:basedOn w:val="725"/>
    <w:uiPriority w:val="99"/>
    <w:semiHidden/>
    <w:qFormat/>
    <w:rPr>
      <w:sz w:val="21"/>
      <w:szCs w:val="21"/>
    </w:rPr>
  </w:style>
  <w:style w:type="character" w:styleId="777">
    <w:name w:val="footnote reference"/>
    <w:basedOn w:val="725"/>
    <w:uiPriority w:val="99"/>
    <w:unhideWhenUsed/>
    <w:qFormat/>
    <w:rPr>
      <w:vertAlign w:val="superscript"/>
    </w:rPr>
  </w:style>
  <w:style w:type="character" w:styleId="778" w:customStyle="1">
    <w:name w:val="Heading 1 Char"/>
    <w:basedOn w:val="725"/>
    <w:uiPriority w:val="9"/>
    <w:qFormat/>
    <w:rPr>
      <w:rFonts w:ascii="Arial" w:hAnsi="Arial" w:eastAsia="Arial" w:cs="Arial"/>
      <w:sz w:val="40"/>
      <w:szCs w:val="40"/>
    </w:rPr>
  </w:style>
  <w:style w:type="character" w:styleId="779" w:customStyle="1">
    <w:name w:val="Heading 2 Char"/>
    <w:basedOn w:val="725"/>
    <w:uiPriority w:val="9"/>
    <w:qFormat/>
    <w:rPr>
      <w:rFonts w:ascii="Arial" w:hAnsi="Arial" w:eastAsia="Arial" w:cs="Arial"/>
      <w:sz w:val="34"/>
    </w:rPr>
  </w:style>
  <w:style w:type="character" w:styleId="780" w:customStyle="1">
    <w:name w:val="Heading 3 Char"/>
    <w:basedOn w:val="725"/>
    <w:uiPriority w:val="9"/>
    <w:qFormat/>
    <w:rPr>
      <w:rFonts w:ascii="Arial" w:hAnsi="Arial" w:eastAsia="Arial" w:cs="Arial"/>
      <w:sz w:val="30"/>
      <w:szCs w:val="30"/>
    </w:rPr>
  </w:style>
  <w:style w:type="character" w:styleId="781" w:customStyle="1">
    <w:name w:val="Heading 4 Char"/>
    <w:basedOn w:val="725"/>
    <w:uiPriority w:val="9"/>
    <w:qFormat/>
    <w:rPr>
      <w:rFonts w:ascii="Arial" w:hAnsi="Arial" w:eastAsia="Arial" w:cs="Arial"/>
      <w:b/>
      <w:bCs/>
      <w:sz w:val="26"/>
      <w:szCs w:val="26"/>
    </w:rPr>
  </w:style>
  <w:style w:type="character" w:styleId="782" w:customStyle="1">
    <w:name w:val="Heading 5 Char"/>
    <w:basedOn w:val="725"/>
    <w:uiPriority w:val="9"/>
    <w:qFormat/>
    <w:rPr>
      <w:rFonts w:ascii="Arial" w:hAnsi="Arial" w:eastAsia="Arial" w:cs="Arial"/>
      <w:b/>
      <w:bCs/>
      <w:sz w:val="24"/>
      <w:szCs w:val="24"/>
    </w:rPr>
  </w:style>
  <w:style w:type="character" w:styleId="783" w:customStyle="1">
    <w:name w:val="Heading 6 Char"/>
    <w:basedOn w:val="725"/>
    <w:uiPriority w:val="9"/>
    <w:qFormat/>
    <w:rPr>
      <w:rFonts w:ascii="Arial" w:hAnsi="Arial" w:eastAsia="Arial" w:cs="Arial"/>
      <w:b/>
      <w:bCs/>
      <w:sz w:val="22"/>
      <w:szCs w:val="22"/>
    </w:rPr>
  </w:style>
  <w:style w:type="character" w:styleId="784" w:customStyle="1">
    <w:name w:val="Heading 7 Char"/>
    <w:basedOn w:val="725"/>
    <w:uiPriority w:val="9"/>
    <w:qFormat/>
    <w:rPr>
      <w:rFonts w:ascii="Arial" w:hAnsi="Arial" w:eastAsia="Arial" w:cs="Arial"/>
      <w:b/>
      <w:bCs/>
      <w:i/>
      <w:iCs/>
      <w:sz w:val="22"/>
      <w:szCs w:val="22"/>
    </w:rPr>
  </w:style>
  <w:style w:type="character" w:styleId="785" w:customStyle="1">
    <w:name w:val="Heading 8 Char"/>
    <w:basedOn w:val="725"/>
    <w:uiPriority w:val="9"/>
    <w:qFormat/>
    <w:rPr>
      <w:rFonts w:ascii="Arial" w:hAnsi="Arial" w:eastAsia="Arial" w:cs="Arial"/>
      <w:i/>
      <w:iCs/>
      <w:sz w:val="22"/>
      <w:szCs w:val="22"/>
    </w:rPr>
  </w:style>
  <w:style w:type="character" w:styleId="786" w:customStyle="1">
    <w:name w:val="Heading 9 Char"/>
    <w:basedOn w:val="725"/>
    <w:uiPriority w:val="9"/>
    <w:qFormat/>
    <w:rPr>
      <w:rFonts w:ascii="Arial" w:hAnsi="Arial" w:eastAsia="Arial" w:cs="Arial"/>
      <w:i/>
      <w:iCs/>
      <w:sz w:val="21"/>
      <w:szCs w:val="21"/>
    </w:rPr>
  </w:style>
  <w:style w:type="character" w:styleId="787" w:customStyle="1">
    <w:name w:val="标题 字符"/>
    <w:basedOn w:val="725"/>
    <w:link w:val="765"/>
    <w:uiPriority w:val="10"/>
    <w:qFormat/>
    <w:rPr>
      <w:sz w:val="48"/>
      <w:szCs w:val="48"/>
    </w:rPr>
  </w:style>
  <w:style w:type="character" w:styleId="788" w:customStyle="1">
    <w:name w:val="副标题 字符"/>
    <w:basedOn w:val="725"/>
    <w:link w:val="754"/>
    <w:uiPriority w:val="11"/>
    <w:qFormat/>
    <w:rPr>
      <w:sz w:val="24"/>
      <w:szCs w:val="24"/>
    </w:rPr>
  </w:style>
  <w:style w:type="paragraph" w:styleId="789">
    <w:name w:val="Quote"/>
    <w:basedOn w:val="715"/>
    <w:next w:val="715"/>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15"/>
    <w:next w:val="71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basedOn w:val="725"/>
    <w:uiPriority w:val="99"/>
    <w:qFormat/>
  </w:style>
  <w:style w:type="character" w:styleId="794" w:customStyle="1">
    <w:name w:val="Footer Char"/>
    <w:basedOn w:val="725"/>
    <w:uiPriority w:val="99"/>
    <w:qFormat/>
  </w:style>
  <w:style w:type="character" w:styleId="795" w:customStyle="1">
    <w:name w:val="Caption Char"/>
    <w:uiPriority w:val="99"/>
    <w:qFormat/>
  </w:style>
  <w:style w:type="table" w:styleId="796" w:customStyle="1">
    <w:name w:val="Table Grid Light"/>
    <w:basedOn w:val="72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7" w:customStyle="1">
    <w:name w:val="无格式表格 11"/>
    <w:basedOn w:val="72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2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2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2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2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2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2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2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2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2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网格表 31"/>
    <w:basedOn w:val="72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2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2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2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2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2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2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2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2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basedOn w:val="72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basedOn w:val="72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basedOn w:val="72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2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2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网格表 6 彩色1"/>
    <w:basedOn w:val="72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basedOn w:val="72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basedOn w:val="72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basedOn w:val="72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basedOn w:val="72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basedOn w:val="72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网格表 7 彩色1"/>
    <w:basedOn w:val="72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2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2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2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2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2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2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basedOn w:val="72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2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2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2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2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2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2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清单表 21"/>
    <w:basedOn w:val="72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2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2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basedOn w:val="72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2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2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2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2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2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2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2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2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2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2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2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2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2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2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2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清单表 5 深色1"/>
    <w:basedOn w:val="72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2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2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2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2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2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2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basedOn w:val="72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2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basedOn w:val="726"/>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basedOn w:val="72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basedOn w:val="72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basedOn w:val="72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basedOn w:val="72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清单表 7 彩色1"/>
    <w:basedOn w:val="72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2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2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2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2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2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2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2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2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basedOn w:val="72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basedOn w:val="72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basedOn w:val="72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2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2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2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2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2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basedOn w:val="72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basedOn w:val="72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2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2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56"/>
    <w:uiPriority w:val="99"/>
    <w:qFormat/>
    <w:rPr>
      <w:sz w:val="18"/>
    </w:rPr>
  </w:style>
  <w:style w:type="character" w:styleId="922" w:customStyle="1">
    <w:name w:val="尾注文本 字符"/>
    <w:link w:val="748"/>
    <w:uiPriority w:val="99"/>
    <w:qFormat/>
    <w:rPr>
      <w:sz w:val="20"/>
    </w:rPr>
  </w:style>
  <w:style w:type="paragraph" w:styleId="923" w:customStyle="1">
    <w:name w:val="TOC 标题1"/>
    <w:uiPriority w:val="39"/>
    <w:unhideWhenUsed/>
    <w:qFormat/>
  </w:style>
  <w:style w:type="character" w:styleId="924" w:customStyle="1">
    <w:name w:val="正文文本缩进 字符"/>
    <w:link w:val="739"/>
    <w:uiPriority w:val="99"/>
    <w:semiHidden/>
    <w:qFormat/>
  </w:style>
  <w:style w:type="character" w:styleId="925" w:customStyle="1">
    <w:name w:val="正文文本首行缩进 2 字符"/>
    <w:link w:val="768"/>
    <w:qFormat/>
    <w:rPr>
      <w:rFonts w:ascii="宋体" w:hAnsi="宋体" w:eastAsia="宋体" w:cs="Times New Roman"/>
      <w:szCs w:val="20"/>
    </w:rPr>
  </w:style>
  <w:style w:type="character" w:styleId="926" w:customStyle="1">
    <w:name w:val="标题 1 字符"/>
    <w:link w:val="716"/>
    <w:qFormat/>
    <w:rPr>
      <w:rFonts w:ascii="楷体_GB2312" w:hAnsi="Times New Roman" w:eastAsia="楷体_GB2312" w:cs="Times New Roman"/>
      <w:sz w:val="28"/>
      <w:szCs w:val="28"/>
    </w:rPr>
  </w:style>
  <w:style w:type="character" w:styleId="927" w:customStyle="1">
    <w:name w:val="标题 2 字符"/>
    <w:link w:val="717"/>
    <w:qFormat/>
    <w:rPr>
      <w:rFonts w:ascii="Arial" w:hAnsi="Arial" w:eastAsia="幼圆" w:cs="Arial"/>
      <w:b/>
      <w:bCs/>
      <w:sz w:val="44"/>
      <w:szCs w:val="44"/>
    </w:rPr>
  </w:style>
  <w:style w:type="character" w:styleId="928" w:customStyle="1">
    <w:name w:val="标题 3 字符"/>
    <w:link w:val="718"/>
    <w:qFormat/>
    <w:rPr>
      <w:rFonts w:ascii="Times New Roman" w:hAnsi="Times New Roman" w:eastAsia="宋体" w:cs="Times New Roman"/>
      <w:b/>
      <w:bCs/>
      <w:sz w:val="32"/>
      <w:szCs w:val="32"/>
    </w:rPr>
  </w:style>
  <w:style w:type="character" w:styleId="929" w:customStyle="1">
    <w:name w:val="正文缩进 字符"/>
    <w:link w:val="731"/>
    <w:qFormat/>
    <w:rPr>
      <w:szCs w:val="21"/>
    </w:rPr>
  </w:style>
  <w:style w:type="character" w:styleId="930" w:customStyle="1">
    <w:name w:val="标题 4 字符"/>
    <w:link w:val="719"/>
    <w:qFormat/>
    <w:rPr>
      <w:rFonts w:ascii="Arial" w:hAnsi="Arial" w:eastAsia="黑体" w:cs="Arial"/>
      <w:b/>
      <w:bCs/>
      <w:sz w:val="28"/>
      <w:szCs w:val="28"/>
    </w:rPr>
  </w:style>
  <w:style w:type="character" w:styleId="931" w:customStyle="1">
    <w:name w:val="标题 5 字符"/>
    <w:link w:val="720"/>
    <w:qFormat/>
    <w:rPr>
      <w:rFonts w:ascii="宋体" w:hAnsi="Times New Roman" w:eastAsia="宋体" w:cs="Times New Roman"/>
      <w:color w:val="000000"/>
      <w:sz w:val="28"/>
      <w:szCs w:val="28"/>
    </w:rPr>
  </w:style>
  <w:style w:type="character" w:styleId="932" w:customStyle="1">
    <w:name w:val="标题 6 字符"/>
    <w:link w:val="721"/>
    <w:qFormat/>
    <w:rPr>
      <w:rFonts w:ascii="Arial" w:hAnsi="Arial" w:eastAsia="黑体" w:cs="Times New Roman"/>
      <w:b/>
      <w:bCs/>
      <w:sz w:val="24"/>
      <w:szCs w:val="24"/>
    </w:rPr>
  </w:style>
  <w:style w:type="character" w:styleId="933" w:customStyle="1">
    <w:name w:val="标题 7 字符"/>
    <w:link w:val="722"/>
    <w:qFormat/>
    <w:rPr>
      <w:rFonts w:ascii="Times New Roman" w:hAnsi="Times New Roman" w:eastAsia="宋体" w:cs="Times New Roman"/>
      <w:b/>
      <w:bCs/>
      <w:sz w:val="24"/>
      <w:szCs w:val="24"/>
    </w:rPr>
  </w:style>
  <w:style w:type="character" w:styleId="934" w:customStyle="1">
    <w:name w:val="标题 8 字符"/>
    <w:link w:val="723"/>
    <w:qFormat/>
    <w:rPr>
      <w:rFonts w:ascii="Arial" w:hAnsi="Arial" w:eastAsia="黑体" w:cs="Times New Roman"/>
      <w:sz w:val="24"/>
      <w:szCs w:val="24"/>
    </w:rPr>
  </w:style>
  <w:style w:type="character" w:styleId="935" w:customStyle="1">
    <w:name w:val="标题 9 字符"/>
    <w:link w:val="724"/>
    <w:qFormat/>
    <w:rPr>
      <w:rFonts w:ascii="Arial" w:hAnsi="Arial" w:eastAsia="黑体" w:cs="Times New Roman"/>
      <w:szCs w:val="21"/>
    </w:rPr>
  </w:style>
  <w:style w:type="character" w:styleId="936" w:customStyle="1">
    <w:name w:val="文档结构图 字符"/>
    <w:link w:val="735"/>
    <w:semiHidden/>
    <w:qFormat/>
    <w:rPr>
      <w:rFonts w:ascii="Times New Roman" w:hAnsi="Times New Roman" w:eastAsia="宋体" w:cs="Times New Roman"/>
      <w:szCs w:val="21"/>
      <w:shd w:val="clear" w:color="auto" w:fill="000080"/>
    </w:rPr>
  </w:style>
  <w:style w:type="character" w:styleId="937" w:customStyle="1">
    <w:name w:val="批注文字 字符"/>
    <w:link w:val="736"/>
    <w:uiPriority w:val="99"/>
    <w:semiHidden/>
    <w:qFormat/>
  </w:style>
  <w:style w:type="character" w:styleId="938" w:customStyle="1">
    <w:name w:val="正文文本 3 字符"/>
    <w:link w:val="737"/>
    <w:qFormat/>
    <w:rPr>
      <w:rFonts w:ascii="仿宋_GB2312" w:hAnsi="Arial" w:eastAsia="仿宋_GB2312" w:cs="Times New Roman"/>
      <w:sz w:val="32"/>
      <w:szCs w:val="32"/>
    </w:rPr>
  </w:style>
  <w:style w:type="character" w:styleId="939" w:customStyle="1">
    <w:name w:val="正文文本 字符"/>
    <w:link w:val="738"/>
    <w:qFormat/>
    <w:rPr>
      <w:rFonts w:ascii="楷体_GB2312" w:hAnsi="Arial" w:eastAsia="楷体_GB2312" w:cs="Times New Roman"/>
      <w:sz w:val="28"/>
      <w:szCs w:val="28"/>
    </w:rPr>
  </w:style>
  <w:style w:type="character" w:styleId="940" w:customStyle="1">
    <w:name w:val="纯文本 字符"/>
    <w:link w:val="744"/>
    <w:qFormat/>
    <w:rPr>
      <w:rFonts w:ascii="宋体" w:hAnsi="Courier New" w:eastAsia="宋体" w:cs="Courier New"/>
      <w:szCs w:val="21"/>
    </w:rPr>
  </w:style>
  <w:style w:type="character" w:styleId="941" w:customStyle="1">
    <w:name w:val="日期 字符"/>
    <w:link w:val="746"/>
    <w:qFormat/>
    <w:rPr>
      <w:rFonts w:ascii="Times New Roman" w:hAnsi="Times New Roman" w:eastAsia="宋体" w:cs="Times New Roman"/>
      <w:sz w:val="24"/>
      <w:szCs w:val="24"/>
    </w:rPr>
  </w:style>
  <w:style w:type="character" w:styleId="942" w:customStyle="1">
    <w:name w:val="正文文本缩进 2 字符"/>
    <w:link w:val="747"/>
    <w:qFormat/>
    <w:rPr>
      <w:rFonts w:ascii="Arial" w:hAnsi="Arial" w:eastAsia="仿宋_GB2312" w:cs="Arial"/>
      <w:sz w:val="32"/>
      <w:szCs w:val="32"/>
    </w:rPr>
  </w:style>
  <w:style w:type="character" w:styleId="943" w:customStyle="1">
    <w:name w:val="批注框文本 字符"/>
    <w:link w:val="749"/>
    <w:semiHidden/>
    <w:qFormat/>
    <w:rPr>
      <w:rFonts w:ascii="Times New Roman" w:hAnsi="Times New Roman" w:eastAsia="宋体" w:cs="Times New Roman"/>
      <w:sz w:val="18"/>
      <w:szCs w:val="18"/>
    </w:rPr>
  </w:style>
  <w:style w:type="character" w:styleId="944" w:customStyle="1">
    <w:name w:val="页脚 字符"/>
    <w:link w:val="750"/>
    <w:qFormat/>
    <w:rPr>
      <w:rFonts w:ascii="Times New Roman" w:hAnsi="Times New Roman" w:eastAsia="宋体" w:cs="Times New Roman"/>
      <w:sz w:val="18"/>
      <w:szCs w:val="18"/>
    </w:rPr>
  </w:style>
  <w:style w:type="character" w:styleId="945" w:customStyle="1">
    <w:name w:val="页眉 字符"/>
    <w:link w:val="751"/>
    <w:qFormat/>
    <w:rPr>
      <w:rFonts w:ascii="Times New Roman" w:hAnsi="Times New Roman" w:eastAsia="宋体" w:cs="Times New Roman"/>
      <w:sz w:val="18"/>
      <w:szCs w:val="18"/>
    </w:rPr>
  </w:style>
  <w:style w:type="character" w:styleId="946" w:customStyle="1">
    <w:name w:val="正文文本缩进 3 字符"/>
    <w:link w:val="758"/>
    <w:qFormat/>
    <w:rPr>
      <w:rFonts w:ascii="Arial" w:hAnsi="Arial" w:eastAsia="仿宋_GB2312" w:cs="Arial"/>
      <w:color w:val="ffff00"/>
      <w:sz w:val="32"/>
      <w:szCs w:val="32"/>
    </w:rPr>
  </w:style>
  <w:style w:type="character" w:styleId="947" w:customStyle="1">
    <w:name w:val="正文文本 2 字符"/>
    <w:link w:val="762"/>
    <w:qFormat/>
    <w:rPr>
      <w:rFonts w:ascii="楷体_GB2312" w:hAnsi="Times New Roman" w:eastAsia="楷体_GB2312" w:cs="Times New Roman"/>
      <w:sz w:val="28"/>
      <w:szCs w:val="28"/>
    </w:rPr>
  </w:style>
  <w:style w:type="character" w:styleId="948" w:customStyle="1">
    <w:name w:val="批注主题 字符"/>
    <w:link w:val="766"/>
    <w:semiHidden/>
    <w:qFormat/>
    <w:rPr>
      <w:rFonts w:ascii="Times New Roman" w:hAnsi="Times New Roman" w:eastAsia="宋体" w:cs="Times New Roman"/>
      <w:b/>
      <w:bCs/>
      <w:szCs w:val="21"/>
    </w:rPr>
  </w:style>
  <w:style w:type="character" w:styleId="949" w:customStyle="1">
    <w:name w:val="正文文本首行缩进 字符"/>
    <w:link w:val="767"/>
    <w:qFormat/>
    <w:rPr>
      <w:rFonts w:ascii="仿宋_GB2312" w:hAnsi="Times New Roman" w:eastAsia="仿宋_GB2312" w:cs="Times New Roman"/>
      <w:sz w:val="30"/>
      <w:szCs w:val="30"/>
    </w:rPr>
  </w:style>
  <w:style w:type="paragraph" w:styleId="950" w:customStyle="1">
    <w:name w:val="索引 41"/>
    <w:basedOn w:val="715"/>
    <w:next w:val="715"/>
    <w:semiHidden/>
    <w:qFormat/>
    <w:pPr>
      <w:ind w:left="1260"/>
    </w:pPr>
    <w:rPr>
      <w:rFonts w:ascii="Calibri" w:hAnsi="Calibri" w:eastAsia="Calibri" w:cs="宋体"/>
      <w:sz w:val="20"/>
      <w:lang w:val="zh-CN"/>
    </w:rPr>
  </w:style>
  <w:style w:type="character" w:styleId="951" w:customStyle="1">
    <w:name w:val="font5 Char"/>
    <w:qFormat/>
    <w:rPr>
      <w:rFonts w:ascii="宋体" w:hAnsi="宋体" w:eastAsia="宋体"/>
      <w:sz w:val="28"/>
      <w:szCs w:val="28"/>
      <w:lang w:val="en-US" w:eastAsia="zh-CN" w:bidi="ar-SA"/>
    </w:rPr>
  </w:style>
  <w:style w:type="character" w:styleId="952" w:customStyle="1">
    <w:name w:val="二级目录 Char"/>
    <w:link w:val="953"/>
    <w:qFormat/>
    <w:rPr>
      <w:b/>
      <w:sz w:val="30"/>
      <w:szCs w:val="28"/>
    </w:rPr>
  </w:style>
  <w:style w:type="paragraph" w:styleId="953" w:customStyle="1">
    <w:name w:val="二级目录"/>
    <w:next w:val="715"/>
    <w:link w:val="952"/>
    <w:qFormat/>
    <w:pPr>
      <w:ind w:left="907" w:hanging="907"/>
      <w:tabs>
        <w:tab w:val="left" w:pos="907" w:leader="none"/>
        <w:tab w:val="left" w:pos="1145" w:leader="none"/>
      </w:tabs>
      <w:outlineLvl w:val="1"/>
    </w:pPr>
    <w:rPr>
      <w:b/>
      <w:sz w:val="30"/>
      <w:szCs w:val="28"/>
    </w:rPr>
  </w:style>
  <w:style w:type="character" w:styleId="954" w:customStyle="1">
    <w:name w:val="列出段落 Char"/>
    <w:link w:val="955"/>
    <w:qFormat/>
    <w:rPr>
      <w:rFonts w:ascii="Calibri" w:hAnsi="Calibri"/>
      <w:sz w:val="24"/>
      <w:szCs w:val="24"/>
      <w:lang w:eastAsia="en-US" w:bidi="en-US"/>
    </w:rPr>
  </w:style>
  <w:style w:type="paragraph" w:styleId="955" w:customStyle="1">
    <w:name w:val="列出段落1"/>
    <w:basedOn w:val="715"/>
    <w:link w:val="954"/>
    <w:qFormat/>
    <w:pPr>
      <w:contextualSpacing/>
      <w:ind w:left="720"/>
      <w:jc w:val="left"/>
      <w:widowControl/>
    </w:pPr>
    <w:rPr>
      <w:rFonts w:ascii="Calibri" w:hAnsi="Calibri"/>
      <w:sz w:val="24"/>
      <w:szCs w:val="24"/>
      <w:lang w:eastAsia="en-US" w:bidi="en-US"/>
    </w:rPr>
  </w:style>
  <w:style w:type="paragraph" w:styleId="956" w:customStyle="1">
    <w:name w:val="Body Text(ch)"/>
    <w:basedOn w:val="715"/>
    <w:next w:val="738"/>
    <w:qFormat/>
    <w:pPr>
      <w:spacing w:after="120"/>
    </w:pPr>
    <w:rPr>
      <w:rFonts w:ascii="宋体" w:hAnsi="Arial"/>
      <w:bCs/>
      <w:iCs/>
      <w:szCs w:val="24"/>
    </w:rPr>
  </w:style>
  <w:style w:type="paragraph" w:styleId="957" w:customStyle="1">
    <w:name w:val="xl27"/>
    <w:basedOn w:val="71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715"/>
    <w:qFormat/>
    <w:pPr>
      <w:ind w:firstLine="200"/>
      <w:tabs>
        <w:tab w:val="left" w:pos="360" w:leader="none"/>
      </w:tabs>
    </w:pPr>
    <w:rPr>
      <w:sz w:val="28"/>
      <w:szCs w:val="30"/>
    </w:rPr>
  </w:style>
  <w:style w:type="paragraph" w:styleId="960" w:customStyle="1">
    <w:name w:val="Char1"/>
    <w:basedOn w:val="735"/>
    <w:qFormat/>
    <w:rPr>
      <w:rFonts w:ascii="Tahoma" w:hAnsi="Tahoma"/>
      <w:sz w:val="24"/>
      <w:szCs w:val="24"/>
    </w:rPr>
  </w:style>
  <w:style w:type="paragraph" w:styleId="961" w:customStyle="1">
    <w:name w:val="普通正文"/>
    <w:basedOn w:val="962"/>
    <w:qFormat/>
    <w:pPr>
      <w:ind w:firstLine="480"/>
      <w:spacing w:before="120" w:after="120" w:line="360" w:lineRule="auto"/>
    </w:pPr>
    <w:rPr>
      <w:rFonts w:ascii="Arial" w:hAnsi="Arial"/>
      <w:sz w:val="24"/>
      <w:szCs w:val="24"/>
    </w:rPr>
  </w:style>
  <w:style w:type="paragraph" w:styleId="962" w:customStyle="1">
    <w:name w:val="正文1"/>
    <w:qFormat/>
    <w:pPr>
      <w:spacing w:after="200" w:line="276" w:lineRule="auto"/>
    </w:pPr>
    <w:rPr>
      <w:rFonts w:ascii="Calibri" w:hAnsi="Calibri"/>
      <w:sz w:val="22"/>
      <w:szCs w:val="22"/>
      <w:lang w:eastAsia="en-US"/>
    </w:rPr>
  </w:style>
  <w:style w:type="paragraph" w:styleId="963" w:customStyle="1">
    <w:name w:val="table_lines"/>
    <w:basedOn w:val="715"/>
    <w:qFormat/>
    <w:pPr>
      <w:jc w:val="left"/>
      <w:widowControl/>
    </w:pPr>
    <w:rPr>
      <w:sz w:val="20"/>
      <w:szCs w:val="20"/>
      <w:lang w:val="de-DE" w:eastAsia="de-DE"/>
    </w:rPr>
  </w:style>
  <w:style w:type="paragraph" w:styleId="964" w:customStyle="1">
    <w:name w:val="附录1"/>
    <w:qFormat/>
    <w:pPr>
      <w:numPr>
        <w:numId w:val="2"/>
      </w:numPr>
      <w:spacing w:before="240" w:line="600" w:lineRule="atLeast"/>
    </w:pPr>
    <w:rPr>
      <w:b/>
      <w:i/>
      <w:sz w:val="28"/>
    </w:rPr>
  </w:style>
  <w:style w:type="paragraph" w:styleId="965" w:customStyle="1">
    <w:name w:val="font7"/>
    <w:basedOn w:val="715"/>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35"/>
    <w:qFormat/>
    <w:pPr>
      <w:spacing w:line="360" w:lineRule="auto"/>
    </w:pPr>
    <w:rPr>
      <w:rFonts w:ascii="Tahoma" w:hAnsi="Tahoma"/>
      <w:sz w:val="24"/>
      <w:szCs w:val="24"/>
    </w:rPr>
  </w:style>
  <w:style w:type="paragraph" w:styleId="967">
    <w:name w:val="List Paragraph"/>
    <w:basedOn w:val="715"/>
    <w:qFormat/>
    <w:pPr>
      <w:contextualSpacing/>
      <w:ind w:left="720"/>
      <w:jc w:val="left"/>
      <w:widowControl/>
    </w:pPr>
    <w:rPr>
      <w:rFonts w:ascii="Calibri" w:hAnsi="Calibri"/>
      <w:sz w:val="24"/>
      <w:szCs w:val="24"/>
      <w:lang w:eastAsia="en-US" w:bidi="en-US"/>
    </w:rPr>
  </w:style>
  <w:style w:type="paragraph" w:styleId="968" w:customStyle="1">
    <w:name w:val="4"/>
    <w:basedOn w:val="715"/>
    <w:next w:val="758"/>
    <w:qFormat/>
    <w:pPr>
      <w:ind w:firstLine="420"/>
      <w:spacing w:line="360" w:lineRule="auto"/>
    </w:pPr>
    <w:rPr>
      <w:color w:val="ff0000"/>
      <w:sz w:val="24"/>
      <w:szCs w:val="24"/>
    </w:rPr>
  </w:style>
  <w:style w:type="paragraph" w:styleId="969" w:customStyle="1">
    <w:name w:val="普通 (Web)"/>
    <w:basedOn w:val="715"/>
    <w:qFormat/>
    <w:pPr>
      <w:jc w:val="left"/>
      <w:spacing w:before="100" w:beforeAutospacing="1" w:after="100" w:afterAutospacing="1"/>
      <w:widowControl/>
    </w:pPr>
    <w:rPr>
      <w:rFonts w:ascii="宋体" w:hAnsi="宋体"/>
      <w:sz w:val="24"/>
      <w:szCs w:val="24"/>
    </w:rPr>
  </w:style>
  <w:style w:type="paragraph" w:styleId="970" w:customStyle="1">
    <w:name w:val="Char Char Char Char Char Char Char Char Char Char"/>
    <w:basedOn w:val="715"/>
    <w:qFormat/>
    <w:pPr>
      <w:spacing w:line="360" w:lineRule="auto"/>
    </w:pPr>
    <w:rPr>
      <w:sz w:val="24"/>
      <w:szCs w:val="20"/>
    </w:rPr>
  </w:style>
  <w:style w:type="paragraph" w:styleId="971" w:customStyle="1">
    <w:name w:val="样式1"/>
    <w:basedOn w:val="715"/>
    <w:qFormat/>
    <w:pPr>
      <w:numPr>
        <w:numId w:val="3"/>
      </w:numPr>
    </w:pPr>
    <w:rPr>
      <w:rFonts w:ascii="宋体" w:hAnsi="宋体"/>
      <w:szCs w:val="21"/>
    </w:rPr>
  </w:style>
  <w:style w:type="paragraph" w:styleId="972" w:customStyle="1">
    <w:name w:val="font6"/>
    <w:basedOn w:val="715"/>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71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715"/>
    <w:next w:val="71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715"/>
    <w:next w:val="715"/>
    <w:qFormat/>
    <w:pPr>
      <w:ind w:firstLine="624"/>
      <w:spacing w:line="590" w:lineRule="atLeast"/>
    </w:pPr>
    <w:rPr>
      <w:rFonts w:ascii="方正黑体_GBK" w:eastAsia="方正黑体_GBK"/>
      <w:sz w:val="32"/>
      <w:szCs w:val="32"/>
    </w:rPr>
  </w:style>
  <w:style w:type="paragraph" w:styleId="976" w:customStyle="1">
    <w:name w:val="xl24"/>
    <w:basedOn w:val="71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7" w:customStyle="1">
    <w:name w:val="xl29"/>
    <w:basedOn w:val="71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8" w:customStyle="1">
    <w:name w:val="Char Char Char Char Char Char Char Char"/>
    <w:basedOn w:val="715"/>
    <w:qFormat/>
    <w:pPr>
      <w:jc w:val="left"/>
      <w:spacing w:after="160" w:line="240" w:lineRule="exact"/>
      <w:widowControl/>
    </w:pPr>
    <w:rPr>
      <w:rFonts w:ascii="Verdana" w:hAnsi="Verdana"/>
      <w:sz w:val="20"/>
      <w:szCs w:val="20"/>
      <w:lang w:eastAsia="en-US"/>
    </w:rPr>
  </w:style>
  <w:style w:type="paragraph" w:styleId="979" w:customStyle="1">
    <w:name w:val="xl28"/>
    <w:basedOn w:val="71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0" w:customStyle="1">
    <w:name w:val="Char Char Char Char Char Char Char Char1"/>
    <w:basedOn w:val="715"/>
    <w:qFormat/>
    <w:pPr>
      <w:jc w:val="left"/>
      <w:spacing w:after="160" w:line="240" w:lineRule="exact"/>
      <w:widowControl/>
    </w:pPr>
    <w:rPr>
      <w:rFonts w:ascii="Verdana" w:hAnsi="Verdana"/>
      <w:sz w:val="20"/>
      <w:szCs w:val="20"/>
      <w:lang w:eastAsia="en-US"/>
    </w:rPr>
  </w:style>
  <w:style w:type="paragraph" w:styleId="981" w:customStyle="1">
    <w:name w:val="xl30"/>
    <w:basedOn w:val="715"/>
    <w:qFormat/>
    <w:pPr>
      <w:jc w:val="center"/>
      <w:spacing w:before="100" w:beforeAutospacing="1" w:after="100" w:afterAutospacing="1"/>
      <w:widowControl/>
    </w:pPr>
    <w:rPr>
      <w:rFonts w:ascii="宋体" w:hAnsi="宋体"/>
      <w:b/>
      <w:bCs/>
      <w:sz w:val="36"/>
      <w:szCs w:val="36"/>
    </w:rPr>
  </w:style>
  <w:style w:type="paragraph" w:styleId="982" w:customStyle="1">
    <w:name w:val="Char Char Char Char1"/>
    <w:basedOn w:val="735"/>
    <w:qFormat/>
    <w:pPr>
      <w:spacing w:line="360" w:lineRule="auto"/>
    </w:pPr>
    <w:rPr>
      <w:rFonts w:ascii="Tahoma" w:hAnsi="Tahoma"/>
      <w:sz w:val="24"/>
      <w:szCs w:val="24"/>
    </w:rPr>
  </w:style>
  <w:style w:type="paragraph" w:styleId="983" w:customStyle="1">
    <w:name w:val="table_1stline"/>
    <w:basedOn w:val="715"/>
    <w:qFormat/>
    <w:pPr>
      <w:jc w:val="left"/>
      <w:spacing w:before="120"/>
      <w:widowControl/>
    </w:pPr>
    <w:rPr>
      <w:bCs/>
      <w:sz w:val="20"/>
      <w:szCs w:val="20"/>
      <w:lang w:val="de-DE" w:eastAsia="de-DE"/>
    </w:rPr>
  </w:style>
  <w:style w:type="paragraph" w:styleId="984" w:customStyle="1">
    <w:name w:val="font5"/>
    <w:basedOn w:val="715"/>
    <w:qFormat/>
    <w:pPr>
      <w:jc w:val="left"/>
      <w:spacing w:before="100" w:beforeAutospacing="1" w:after="100" w:afterAutospacing="1"/>
      <w:widowControl/>
    </w:pPr>
    <w:rPr>
      <w:rFonts w:hint="eastAsia" w:ascii="宋体" w:hAnsi="宋体"/>
      <w:sz w:val="28"/>
      <w:szCs w:val="28"/>
    </w:rPr>
  </w:style>
  <w:style w:type="paragraph" w:styleId="985" w:customStyle="1">
    <w:name w:val="标题1"/>
    <w:basedOn w:val="715"/>
    <w:next w:val="7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_Style 114"/>
    <w:uiPriority w:val="99"/>
    <w:semiHidden/>
    <w:qFormat/>
    <w:rPr>
      <w:sz w:val="21"/>
      <w:szCs w:val="21"/>
    </w:rPr>
  </w:style>
  <w:style w:type="paragraph" w:styleId="987">
    <w:name w:val="No Spacing"/>
    <w:uiPriority w:val="99"/>
    <w:qFormat/>
    <w:pPr>
      <w:jc w:val="both"/>
      <w:widowControl w:val="off"/>
    </w:pPr>
    <w:rPr>
      <w:sz w:val="21"/>
      <w:szCs w:val="21"/>
    </w:rPr>
  </w:style>
  <w:style w:type="table" w:styleId="988" w:customStyle="1">
    <w:name w:val="Table Normal"/>
    <w:qFormat/>
    <w:tblPr>
      <w:tblCellMar>
        <w:left w:w="0" w:type="dxa"/>
        <w:top w:w="0" w:type="dxa"/>
        <w:right w:w="0" w:type="dxa"/>
        <w:bottom w:w="0" w:type="dxa"/>
      </w:tblCellMar>
    </w:tblPr>
  </w:style>
  <w:style w:type="paragraph" w:styleId="989" w:customStyle="1">
    <w:name w:val="正文文本 211"/>
    <w:basedOn w:val="715"/>
    <w:uiPriority w:val="99"/>
    <w:qFormat/>
    <w:pPr>
      <w:jc w:val="center"/>
    </w:pPr>
    <w:rPr>
      <w:b/>
      <w:bCs/>
      <w:sz w:val="20"/>
      <w:szCs w:val="20"/>
    </w:rPr>
  </w:style>
  <w:style w:type="paragraph" w:styleId="990" w:customStyle="1">
    <w:name w:val="正文文本12"/>
    <w:basedOn w:val="715"/>
    <w:uiPriority w:val="1"/>
    <w:qFormat/>
    <w:pPr>
      <w:ind w:left="120"/>
    </w:pPr>
    <w:rPr>
      <w:rFonts w:ascii="宋体" w:hAnsi="宋体" w:cs="宋体"/>
      <w:szCs w:val="21"/>
      <w:lang w:val="zh-CN" w:bidi="zh-CN"/>
    </w:rPr>
  </w:style>
  <w:style w:type="table" w:styleId="991" w:customStyle="1">
    <w:name w:val="网格型1"/>
    <w:basedOn w:val="992"/>
    <w:qFormat/>
    <w:pPr>
      <w:jc w:val="both"/>
      <w:widowControl w:val="off"/>
    </w:pPr>
    <w:tblPr/>
  </w:style>
  <w:style w:type="table" w:styleId="992" w:customStyle="1">
    <w:name w:val="普通表格1"/>
    <w:uiPriority w:val="99"/>
    <w:unhideWhenUsed/>
    <w:qFormat/>
    <w:tblPr>
      <w:tblCellMar>
        <w:left w:w="0" w:type="dxa"/>
        <w:top w:w="0" w:type="dxa"/>
        <w:right w:w="0" w:type="dxa"/>
        <w:bottom w:w="0" w:type="dxa"/>
      </w:tblCellMar>
    </w:tblPr>
  </w:style>
  <w:style w:type="paragraph" w:styleId="993" w:customStyle="1">
    <w:name w:val="修订1"/>
    <w:hidden/>
    <w:uiPriority w:val="99"/>
    <w:unhideWhenUsed/>
    <w:rPr>
      <w:sz w:val="21"/>
      <w:szCs w:val="22"/>
    </w:rPr>
  </w:style>
  <w:style w:type="paragraph" w:styleId="994">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33</cp:revision>
  <dcterms:created xsi:type="dcterms:W3CDTF">2023-03-27T07:28:00Z</dcterms:created>
  <dcterms:modified xsi:type="dcterms:W3CDTF">2026-04-10T06:55:03Z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A9DB25B7653242269D390E5B78F8E79A_13</vt:lpwstr>
  </property>
  <property fmtid="{D5CDD505-2E9C-101B-9397-08002B2CF9AE}" pid="4" name="KSOTemplateDocerSaveRecord">
    <vt:lpwstr>eyJoZGlkIjoiMDQxNDNlNDc0ODU3ZDk0ZmUyNjJiZWNjMmQxZjJhYmUiLCJ1c2VySWQiOiI0ODM0NDI3OTQifQ==</vt:lpwstr>
  </property>
</Properties>
</file>