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716E5">
      <w:pPr>
        <w:jc w:val="center"/>
        <w:rPr>
          <w:rFonts w:cs="宋体"/>
          <w:b/>
          <w:bCs/>
          <w:sz w:val="28"/>
          <w:szCs w:val="28"/>
        </w:rPr>
      </w:pPr>
      <w:bookmarkStart w:id="0" w:name="OLE_LINK1"/>
      <w:bookmarkStart w:id="1" w:name="OLE_LINK2"/>
      <w:r>
        <w:rPr>
          <w:rFonts w:hint="eastAsia"/>
          <w:b/>
          <w:bCs/>
          <w:sz w:val="44"/>
          <w:szCs w:val="44"/>
          <w:lang w:eastAsia="zh-CN"/>
        </w:rPr>
        <w:t>连云港市机关实验幼儿园民主园加固改造工程最高投标限价</w:t>
      </w:r>
      <w:r>
        <w:rPr>
          <w:rFonts w:hint="eastAsia"/>
          <w:b/>
          <w:bCs/>
          <w:sz w:val="44"/>
          <w:szCs w:val="44"/>
        </w:rPr>
        <w:t>编制说明</w:t>
      </w:r>
    </w:p>
    <w:bookmarkEnd w:id="0"/>
    <w:p w14:paraId="4CA616D0">
      <w:pPr>
        <w:spacing w:line="280" w:lineRule="exact"/>
        <w:rPr>
          <w:rFonts w:ascii="宋体" w:hAnsi="宋体" w:eastAsia="宋体"/>
          <w:b/>
          <w:iCs/>
          <w:sz w:val="28"/>
          <w:szCs w:val="28"/>
        </w:rPr>
      </w:pPr>
    </w:p>
    <w:p w14:paraId="3D1F8955">
      <w:pPr>
        <w:numPr>
          <w:ilvl w:val="0"/>
          <w:numId w:val="1"/>
        </w:numPr>
        <w:spacing w:line="360" w:lineRule="auto"/>
        <w:rPr>
          <w:rFonts w:ascii="宋体" w:hAnsi="宋体" w:eastAsia="宋体"/>
          <w:b/>
          <w:iCs/>
          <w:sz w:val="28"/>
          <w:szCs w:val="28"/>
        </w:rPr>
      </w:pPr>
      <w:r>
        <w:rPr>
          <w:rFonts w:ascii="宋体" w:hAnsi="宋体" w:eastAsia="宋体"/>
          <w:b/>
          <w:iCs/>
          <w:sz w:val="28"/>
          <w:szCs w:val="28"/>
        </w:rPr>
        <w:t>工程概况</w:t>
      </w:r>
    </w:p>
    <w:p w14:paraId="6FB668CB">
      <w:pPr>
        <w:pBdr>
          <w:top w:val="none" w:color="auto" w:sz="0" w:space="1"/>
          <w:left w:val="none" w:color="auto" w:sz="0" w:space="4"/>
          <w:bottom w:val="none" w:color="auto" w:sz="0" w:space="1"/>
          <w:right w:val="none" w:color="auto" w:sz="0" w:space="4"/>
        </w:pBdr>
        <w:ind w:firstLine="560"/>
        <w:rPr>
          <w:rFonts w:hint="eastAsia" w:ascii="Times New Roman" w:hAnsi="Times New Roman" w:eastAsia="宋体"/>
          <w:iCs/>
          <w:sz w:val="28"/>
          <w:szCs w:val="28"/>
          <w:lang w:val="en-US" w:eastAsia="zh-CN"/>
        </w:rPr>
      </w:pPr>
      <w:r>
        <w:rPr>
          <w:rFonts w:hint="eastAsia" w:ascii="Times New Roman" w:hAnsi="Times New Roman" w:eastAsia="宋体"/>
          <w:iCs/>
          <w:color w:val="000000" w:themeColor="text1"/>
          <w:sz w:val="28"/>
          <w:szCs w:val="28"/>
          <w:lang w:val="en-US" w:eastAsia="zh-CN"/>
          <w14:textFill>
            <w14:solidFill>
              <w14:schemeClr w14:val="tx1"/>
            </w14:solidFill>
          </w14:textFill>
        </w:rPr>
        <w:t>连云港市机关实验幼儿园民主园加固改造工程</w:t>
      </w:r>
      <w:r>
        <w:rPr>
          <w:rFonts w:hint="default" w:ascii="Times New Roman" w:hAnsi="Times New Roman" w:eastAsia="宋体"/>
          <w:iCs/>
          <w:sz w:val="28"/>
          <w:szCs w:val="28"/>
          <w:lang w:val="en-US" w:eastAsia="zh-CN"/>
        </w:rPr>
        <w:t>，</w:t>
      </w:r>
      <w:r>
        <w:rPr>
          <w:rFonts w:hint="eastAsia" w:ascii="Times New Roman" w:hAnsi="Times New Roman" w:eastAsia="宋体"/>
          <w:iCs/>
          <w:sz w:val="28"/>
          <w:szCs w:val="28"/>
          <w:lang w:val="en-US" w:eastAsia="zh-CN"/>
        </w:rPr>
        <w:t xml:space="preserve">位于连云港市海州开发区 </w:t>
      </w:r>
    </w:p>
    <w:p w14:paraId="0707C758">
      <w:pPr>
        <w:pBdr>
          <w:top w:val="none" w:color="auto" w:sz="0" w:space="1"/>
          <w:left w:val="none" w:color="auto" w:sz="0" w:space="4"/>
          <w:bottom w:val="none" w:color="auto" w:sz="0" w:space="1"/>
          <w:right w:val="none" w:color="auto" w:sz="0" w:space="4"/>
        </w:pBdr>
        <w:ind w:firstLine="560"/>
        <w:rPr>
          <w:rFonts w:hint="eastAsia" w:ascii="Times New Roman" w:hAnsi="Times New Roman" w:eastAsia="宋体"/>
          <w:iCs/>
          <w:color w:val="000000" w:themeColor="text1"/>
          <w:sz w:val="28"/>
          <w:szCs w:val="28"/>
          <w:lang w:val="en-US" w:eastAsia="zh-CN"/>
          <w14:textFill>
            <w14:solidFill>
              <w14:schemeClr w14:val="tx1"/>
            </w14:solidFill>
          </w14:textFill>
        </w:rPr>
      </w:pPr>
      <w:r>
        <w:rPr>
          <w:rFonts w:hint="eastAsia" w:ascii="Times New Roman" w:hAnsi="Times New Roman" w:eastAsia="宋体"/>
          <w:iCs/>
          <w:sz w:val="28"/>
          <w:szCs w:val="28"/>
          <w:lang w:val="en-US" w:eastAsia="zh-CN"/>
        </w:rPr>
        <w:t>建设单位:连云港市机关事务管理局</w:t>
      </w:r>
      <w:r>
        <w:rPr>
          <w:rFonts w:hint="eastAsia" w:ascii="Times New Roman" w:hAnsi="Times New Roman" w:eastAsia="宋体"/>
          <w:iCs/>
          <w:color w:val="000000" w:themeColor="text1"/>
          <w:sz w:val="28"/>
          <w:szCs w:val="28"/>
          <w:lang w:val="en-US" w:eastAsia="zh-CN"/>
          <w14:textFill>
            <w14:solidFill>
              <w14:schemeClr w14:val="tx1"/>
            </w14:solidFill>
          </w14:textFill>
        </w:rPr>
        <w:t>。</w:t>
      </w:r>
    </w:p>
    <w:p w14:paraId="48050D74">
      <w:pPr>
        <w:pBdr>
          <w:top w:val="none" w:color="auto" w:sz="0" w:space="1"/>
          <w:left w:val="none" w:color="auto" w:sz="0" w:space="4"/>
          <w:bottom w:val="none" w:color="auto" w:sz="0" w:space="1"/>
          <w:right w:val="none" w:color="auto" w:sz="0" w:space="4"/>
        </w:pBdr>
        <w:ind w:firstLine="560"/>
        <w:rPr>
          <w:rFonts w:hint="default" w:ascii="Times New Roman" w:hAnsi="Times New Roman" w:eastAsia="宋体"/>
          <w:iCs/>
          <w:color w:val="000000" w:themeColor="text1"/>
          <w:sz w:val="28"/>
          <w:szCs w:val="28"/>
          <w:lang w:val="en-US" w:eastAsia="zh-CN"/>
          <w14:textFill>
            <w14:solidFill>
              <w14:schemeClr w14:val="tx1"/>
            </w14:solidFill>
          </w14:textFill>
        </w:rPr>
      </w:pPr>
      <w:r>
        <w:rPr>
          <w:rFonts w:hint="eastAsia" w:ascii="Times New Roman" w:hAnsi="Times New Roman" w:eastAsia="宋体"/>
          <w:iCs/>
          <w:color w:val="000000" w:themeColor="text1"/>
          <w:sz w:val="28"/>
          <w:szCs w:val="28"/>
          <w:lang w:val="en-US" w:eastAsia="zh-CN"/>
          <w14:textFill>
            <w14:solidFill>
              <w14:schemeClr w14:val="tx1"/>
            </w14:solidFill>
          </w14:textFill>
        </w:rPr>
        <w:t>本项目位于江苏省连云港市海州区,为地上三层(局部楼梯出屋面)砖混结构。房屋东西向长39.0m,南北向长9.5m,建筑面积1112㎡。房屋一至三层层高均为3.2m,局部楼梯出屋面层高为2.8m,总高度11.4m。该房屋由连云港市建筑设计院设计(设计编号:84044),工程约于1984年竣工交付使用,后于2015年进行加固,加固工程由中建工程设计研究院有限公司设计。</w:t>
      </w:r>
    </w:p>
    <w:p w14:paraId="2EF6D4F2">
      <w:pPr>
        <w:pBdr>
          <w:top w:val="none" w:color="auto" w:sz="0" w:space="1"/>
          <w:left w:val="none" w:color="auto" w:sz="0" w:space="4"/>
          <w:bottom w:val="none" w:color="auto" w:sz="0" w:space="1"/>
          <w:right w:val="none" w:color="auto" w:sz="0" w:space="4"/>
        </w:pBdr>
        <w:ind w:firstLine="560"/>
        <w:rPr>
          <w:rFonts w:hint="default" w:ascii="Times New Roman" w:hAnsi="Times New Roman" w:eastAsia="宋体"/>
          <w:iCs/>
          <w:color w:val="000000" w:themeColor="text1"/>
          <w:sz w:val="28"/>
          <w:szCs w:val="28"/>
          <w:lang w:val="en-US" w:eastAsia="zh-CN"/>
          <w14:textFill>
            <w14:solidFill>
              <w14:schemeClr w14:val="tx1"/>
            </w14:solidFill>
          </w14:textFill>
        </w:rPr>
      </w:pPr>
      <w:r>
        <w:rPr>
          <w:rFonts w:hint="eastAsia" w:ascii="Times New Roman" w:hAnsi="Times New Roman" w:eastAsia="宋体"/>
          <w:iCs/>
          <w:color w:val="000000" w:themeColor="text1"/>
          <w:sz w:val="28"/>
          <w:szCs w:val="28"/>
          <w:lang w:val="en-US" w:eastAsia="zh-CN"/>
          <w14:textFill>
            <w14:solidFill>
              <w14:schemeClr w14:val="tx1"/>
            </w14:solidFill>
          </w14:textFill>
        </w:rPr>
        <w:t>南楼主要工作内容：</w:t>
      </w:r>
    </w:p>
    <w:p w14:paraId="779E1521">
      <w:pPr>
        <w:pBdr>
          <w:top w:val="none" w:color="auto" w:sz="0" w:space="1"/>
          <w:left w:val="none" w:color="auto" w:sz="0" w:space="4"/>
          <w:bottom w:val="none" w:color="auto" w:sz="0" w:space="1"/>
          <w:right w:val="none" w:color="auto" w:sz="0" w:space="4"/>
        </w:pBdr>
        <w:ind w:firstLine="560"/>
        <w:rPr>
          <w:rFonts w:hint="eastAsia" w:ascii="Times New Roman" w:hAnsi="Times New Roman" w:eastAsia="宋体"/>
          <w:iCs/>
          <w:color w:val="000000" w:themeColor="text1"/>
          <w:sz w:val="28"/>
          <w:szCs w:val="28"/>
          <w:lang w:val="en-US" w:eastAsia="zh-CN"/>
          <w14:textFill>
            <w14:solidFill>
              <w14:schemeClr w14:val="tx1"/>
            </w14:solidFill>
          </w14:textFill>
        </w:rPr>
      </w:pPr>
      <w:r>
        <w:rPr>
          <w:rFonts w:hint="eastAsia" w:ascii="Times New Roman" w:hAnsi="Times New Roman" w:eastAsia="宋体"/>
          <w:iCs/>
          <w:color w:val="000000" w:themeColor="text1"/>
          <w:sz w:val="28"/>
          <w:szCs w:val="28"/>
          <w:lang w:val="en-US" w:eastAsia="zh-CN"/>
          <w14:textFill>
            <w14:solidFill>
              <w14:schemeClr w14:val="tx1"/>
            </w14:solidFill>
          </w14:textFill>
        </w:rPr>
        <w:t>1、基础:对原条形基础进行托换,将条形基础托换为筏板基础,并增设锚杆静压桩止沉。</w:t>
      </w:r>
    </w:p>
    <w:p w14:paraId="7DB73933">
      <w:pPr>
        <w:pBdr>
          <w:top w:val="none" w:color="auto" w:sz="0" w:space="1"/>
          <w:left w:val="none" w:color="auto" w:sz="0" w:space="4"/>
          <w:bottom w:val="none" w:color="auto" w:sz="0" w:space="1"/>
          <w:right w:val="none" w:color="auto" w:sz="0" w:space="4"/>
        </w:pBdr>
        <w:ind w:firstLine="560"/>
        <w:rPr>
          <w:rFonts w:hint="eastAsia" w:ascii="Times New Roman" w:hAnsi="Times New Roman" w:eastAsia="宋体"/>
          <w:iCs/>
          <w:color w:val="000000" w:themeColor="text1"/>
          <w:sz w:val="28"/>
          <w:szCs w:val="28"/>
          <w:lang w:val="en-US" w:eastAsia="zh-CN"/>
          <w14:textFill>
            <w14:solidFill>
              <w14:schemeClr w14:val="tx1"/>
            </w14:solidFill>
          </w14:textFill>
        </w:rPr>
      </w:pPr>
      <w:r>
        <w:rPr>
          <w:rFonts w:hint="eastAsia" w:ascii="Times New Roman" w:hAnsi="Times New Roman" w:eastAsia="宋体"/>
          <w:iCs/>
          <w:color w:val="000000" w:themeColor="text1"/>
          <w:sz w:val="28"/>
          <w:szCs w:val="28"/>
          <w:lang w:val="en-US" w:eastAsia="zh-CN"/>
          <w14:textFill>
            <w14:solidFill>
              <w14:schemeClr w14:val="tx1"/>
            </w14:solidFill>
          </w14:textFill>
        </w:rPr>
        <w:t>2、由于房屋倾斜率超限,对房屋进行纠偏。</w:t>
      </w:r>
    </w:p>
    <w:p w14:paraId="2A3C8800">
      <w:pPr>
        <w:pBdr>
          <w:top w:val="none" w:color="auto" w:sz="0" w:space="1"/>
          <w:left w:val="none" w:color="auto" w:sz="0" w:space="4"/>
          <w:bottom w:val="none" w:color="auto" w:sz="0" w:space="1"/>
          <w:right w:val="none" w:color="auto" w:sz="0" w:space="4"/>
        </w:pBdr>
        <w:ind w:firstLine="560"/>
        <w:rPr>
          <w:rFonts w:hint="eastAsia" w:ascii="Times New Roman" w:hAnsi="Times New Roman" w:eastAsia="宋体"/>
          <w:iCs/>
          <w:color w:val="000000" w:themeColor="text1"/>
          <w:sz w:val="28"/>
          <w:szCs w:val="28"/>
          <w:lang w:val="en-US" w:eastAsia="zh-CN"/>
          <w14:textFill>
            <w14:solidFill>
              <w14:schemeClr w14:val="tx1"/>
            </w14:solidFill>
          </w14:textFill>
        </w:rPr>
      </w:pPr>
      <w:r>
        <w:rPr>
          <w:rFonts w:hint="eastAsia" w:ascii="Times New Roman" w:hAnsi="Times New Roman" w:eastAsia="宋体"/>
          <w:iCs/>
          <w:color w:val="000000" w:themeColor="text1"/>
          <w:sz w:val="28"/>
          <w:szCs w:val="28"/>
          <w:lang w:val="en-US" w:eastAsia="zh-CN"/>
          <w14:textFill>
            <w14:solidFill>
              <w14:schemeClr w14:val="tx1"/>
            </w14:solidFill>
          </w14:textFill>
        </w:rPr>
        <w:t>3、顶层楼梯间墙体进行钢筋网砂浆面层加固。</w:t>
      </w:r>
    </w:p>
    <w:p w14:paraId="289D7BFC">
      <w:pPr>
        <w:pBdr>
          <w:top w:val="none" w:color="auto" w:sz="0" w:space="1"/>
          <w:left w:val="none" w:color="auto" w:sz="0" w:space="4"/>
          <w:bottom w:val="none" w:color="auto" w:sz="0" w:space="1"/>
          <w:right w:val="none" w:color="auto" w:sz="0" w:space="4"/>
        </w:pBdr>
        <w:ind w:firstLine="560"/>
        <w:rPr>
          <w:rFonts w:hint="default" w:ascii="Times New Roman" w:hAnsi="Times New Roman" w:eastAsia="宋体"/>
          <w:iCs/>
          <w:color w:val="000000" w:themeColor="text1"/>
          <w:sz w:val="28"/>
          <w:szCs w:val="28"/>
          <w:lang w:val="en-US" w:eastAsia="zh-CN"/>
          <w14:textFill>
            <w14:solidFill>
              <w14:schemeClr w14:val="tx1"/>
            </w14:solidFill>
          </w14:textFill>
        </w:rPr>
      </w:pPr>
      <w:r>
        <w:rPr>
          <w:rFonts w:hint="eastAsia" w:ascii="Times New Roman" w:hAnsi="Times New Roman" w:eastAsia="宋体"/>
          <w:iCs/>
          <w:color w:val="000000" w:themeColor="text1"/>
          <w:sz w:val="28"/>
          <w:szCs w:val="28"/>
          <w:lang w:val="en-US" w:eastAsia="zh-CN"/>
          <w14:textFill>
            <w14:solidFill>
              <w14:schemeClr w14:val="tx1"/>
            </w14:solidFill>
          </w14:textFill>
        </w:rPr>
        <w:t>4、室外及相邻建筑因加固被损坏的恢复。</w:t>
      </w:r>
    </w:p>
    <w:p w14:paraId="41EE5EF9">
      <w:pPr>
        <w:pBdr>
          <w:top w:val="none" w:color="auto" w:sz="0" w:space="1"/>
          <w:left w:val="none" w:color="auto" w:sz="0" w:space="4"/>
          <w:bottom w:val="none" w:color="auto" w:sz="0" w:space="1"/>
          <w:right w:val="none" w:color="auto" w:sz="0" w:space="4"/>
        </w:pBdr>
        <w:ind w:firstLine="560"/>
        <w:rPr>
          <w:rFonts w:hint="eastAsia" w:ascii="Times New Roman" w:hAnsi="Times New Roman" w:eastAsia="宋体"/>
          <w:iCs/>
          <w:color w:val="000000" w:themeColor="text1"/>
          <w:sz w:val="28"/>
          <w:szCs w:val="28"/>
          <w:lang w:val="en-US" w:eastAsia="zh-CN"/>
          <w14:textFill>
            <w14:solidFill>
              <w14:schemeClr w14:val="tx1"/>
            </w14:solidFill>
          </w14:textFill>
        </w:rPr>
      </w:pPr>
      <w:r>
        <w:rPr>
          <w:rFonts w:hint="eastAsia" w:ascii="Times New Roman" w:hAnsi="Times New Roman" w:eastAsia="宋体"/>
          <w:iCs/>
          <w:color w:val="000000" w:themeColor="text1"/>
          <w:sz w:val="28"/>
          <w:szCs w:val="28"/>
          <w:lang w:val="en-US" w:eastAsia="zh-CN"/>
          <w14:textFill>
            <w14:solidFill>
              <w14:schemeClr w14:val="tx1"/>
            </w14:solidFill>
          </w14:textFill>
        </w:rPr>
        <w:t>北楼主要工作内容：</w:t>
      </w:r>
    </w:p>
    <w:p w14:paraId="320869A8">
      <w:pPr>
        <w:pBdr>
          <w:top w:val="none" w:color="auto" w:sz="0" w:space="1"/>
          <w:left w:val="none" w:color="auto" w:sz="0" w:space="4"/>
          <w:bottom w:val="none" w:color="auto" w:sz="0" w:space="1"/>
          <w:right w:val="none" w:color="auto" w:sz="0" w:space="4"/>
        </w:pBdr>
        <w:ind w:firstLine="560"/>
        <w:rPr>
          <w:rFonts w:hint="default" w:ascii="Times New Roman" w:hAnsi="Times New Roman" w:eastAsia="宋体"/>
          <w:iCs/>
          <w:color w:val="000000" w:themeColor="text1"/>
          <w:sz w:val="28"/>
          <w:szCs w:val="28"/>
          <w:lang w:val="en-US" w:eastAsia="zh-CN"/>
          <w14:textFill>
            <w14:solidFill>
              <w14:schemeClr w14:val="tx1"/>
            </w14:solidFill>
          </w14:textFill>
        </w:rPr>
      </w:pPr>
      <w:r>
        <w:rPr>
          <w:rFonts w:hint="eastAsia" w:ascii="Times New Roman" w:hAnsi="Times New Roman" w:eastAsia="宋体"/>
          <w:iCs/>
          <w:color w:val="000000" w:themeColor="text1"/>
          <w:sz w:val="28"/>
          <w:szCs w:val="28"/>
          <w:lang w:val="en-US" w:eastAsia="zh-CN"/>
          <w14:textFill>
            <w14:solidFill>
              <w14:schemeClr w14:val="tx1"/>
            </w14:solidFill>
          </w14:textFill>
        </w:rPr>
        <w:t>1、拆除原有楼体，垃圾外运。</w:t>
      </w:r>
    </w:p>
    <w:p w14:paraId="38E4D95B">
      <w:pPr>
        <w:numPr>
          <w:ilvl w:val="0"/>
          <w:numId w:val="1"/>
        </w:numPr>
        <w:pBdr>
          <w:top w:val="none" w:color="auto" w:sz="0" w:space="1"/>
          <w:bottom w:val="none" w:color="auto" w:sz="0" w:space="1"/>
          <w:right w:val="none" w:color="auto" w:sz="0" w:space="4"/>
        </w:pBdr>
        <w:ind w:left="0" w:leftChars="0" w:firstLine="0" w:firstLineChars="0"/>
        <w:rPr>
          <w:rFonts w:ascii="宋体" w:hAnsi="宋体" w:eastAsia="宋体"/>
          <w:b/>
          <w:iCs/>
          <w:sz w:val="28"/>
          <w:szCs w:val="28"/>
        </w:rPr>
      </w:pPr>
      <w:r>
        <w:rPr>
          <w:rFonts w:ascii="宋体" w:hAnsi="宋体" w:eastAsia="宋体"/>
          <w:b/>
          <w:iCs/>
          <w:sz w:val="28"/>
          <w:szCs w:val="28"/>
        </w:rPr>
        <w:t>编制依据：</w:t>
      </w:r>
    </w:p>
    <w:p w14:paraId="7B0395F1">
      <w:pPr>
        <w:numPr>
          <w:ilvl w:val="0"/>
          <w:numId w:val="0"/>
        </w:numPr>
        <w:pBdr>
          <w:top w:val="none" w:color="auto" w:sz="0" w:space="1"/>
          <w:bottom w:val="none" w:color="auto" w:sz="0" w:space="1"/>
          <w:right w:val="none" w:color="auto" w:sz="0" w:space="4"/>
        </w:pBdr>
        <w:ind w:leftChars="0"/>
        <w:rPr>
          <w:rFonts w:hint="eastAsia" w:ascii="Calibri" w:hAnsi="Calibri" w:cs="Calibri" w:eastAsiaTheme="minorEastAsia"/>
          <w:kern w:val="0"/>
          <w:sz w:val="28"/>
          <w:szCs w:val="28"/>
          <w:lang w:val="en-US" w:eastAsia="zh-CN" w:bidi="ar"/>
        </w:rPr>
      </w:pPr>
      <w:r>
        <w:rPr>
          <w:rFonts w:hint="eastAsia" w:ascii="Calibri" w:hAnsi="Calibri" w:cs="Calibri" w:eastAsiaTheme="minorEastAsia"/>
          <w:kern w:val="0"/>
          <w:sz w:val="28"/>
          <w:szCs w:val="28"/>
          <w:lang w:val="en-US" w:eastAsia="zh-CN" w:bidi="ar"/>
        </w:rPr>
        <w:t>1、</w:t>
      </w:r>
      <w:r>
        <w:rPr>
          <w:rFonts w:hint="eastAsia" w:ascii="Calibri" w:hAnsi="Calibri" w:cs="Calibri"/>
          <w:kern w:val="0"/>
          <w:sz w:val="28"/>
          <w:szCs w:val="28"/>
          <w:lang w:val="en-US" w:eastAsia="zh-CN" w:bidi="ar"/>
        </w:rPr>
        <w:t>连云港市机关实验幼儿园民主园加固改造工程施工图纸</w:t>
      </w:r>
      <w:r>
        <w:rPr>
          <w:rFonts w:hint="eastAsia" w:ascii="Calibri" w:hAnsi="Calibri" w:cs="Calibri" w:eastAsiaTheme="minorEastAsia"/>
          <w:kern w:val="0"/>
          <w:sz w:val="28"/>
          <w:szCs w:val="28"/>
          <w:lang w:val="en-US" w:eastAsia="zh-CN" w:bidi="ar"/>
        </w:rPr>
        <w:t>。</w:t>
      </w:r>
    </w:p>
    <w:p w14:paraId="6E6BA5EB">
      <w:pPr>
        <w:pStyle w:val="3"/>
        <w:keepNext w:val="0"/>
        <w:keepLines w:val="0"/>
        <w:widowControl/>
        <w:suppressLineNumbers w:val="0"/>
        <w:spacing w:before="0" w:beforeAutospacing="0" w:after="0" w:afterAutospacing="0"/>
        <w:ind w:left="0" w:right="0" w:firstLine="0"/>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、按照（苏建价</w:t>
      </w:r>
      <w:r>
        <w:rPr>
          <w:rFonts w:hint="default" w:ascii="Calibri" w:hAnsi="Calibri" w:cs="Calibri"/>
          <w:sz w:val="28"/>
          <w:szCs w:val="28"/>
        </w:rPr>
        <w:t>[2016]154</w:t>
      </w:r>
      <w:r>
        <w:rPr>
          <w:rFonts w:hint="eastAsia" w:ascii="宋体" w:hAnsi="宋体" w:eastAsia="宋体" w:cs="宋体"/>
          <w:sz w:val="28"/>
          <w:szCs w:val="28"/>
        </w:rPr>
        <w:t>号）文要求，本工程增值税采用一般计税方法</w:t>
      </w:r>
      <w:r>
        <w:rPr>
          <w:rFonts w:hint="eastAsia" w:ascii="宋体" w:hAnsi="宋体" w:eastAsia="宋体" w:cs="宋体"/>
          <w:sz w:val="28"/>
          <w:szCs w:val="28"/>
          <w:lang w:eastAsia="zh-CN"/>
        </w:rPr>
        <w:t>。</w:t>
      </w:r>
    </w:p>
    <w:p w14:paraId="3BE94916">
      <w:pPr>
        <w:pStyle w:val="3"/>
        <w:keepNext w:val="0"/>
        <w:keepLines w:val="0"/>
        <w:widowControl/>
        <w:suppressLineNumbers w:val="0"/>
        <w:spacing w:before="0" w:beforeAutospacing="0" w:after="0" w:afterAutospacing="0"/>
        <w:ind w:left="0" w:right="0" w:firstLine="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3、《房屋建筑与装饰工程工程量计算标准》（</w:t>
      </w:r>
      <w:r>
        <w:rPr>
          <w:rFonts w:hint="default" w:ascii="宋体" w:hAnsi="宋体" w:eastAsia="宋体" w:cs="宋体"/>
          <w:sz w:val="28"/>
          <w:szCs w:val="28"/>
          <w:lang w:val="en-US" w:eastAsia="zh-CN"/>
        </w:rPr>
        <w:t>GB50</w:t>
      </w:r>
      <w:r>
        <w:rPr>
          <w:rFonts w:hint="eastAsia" w:ascii="宋体" w:hAnsi="宋体" w:eastAsia="宋体" w:cs="宋体"/>
          <w:sz w:val="28"/>
          <w:szCs w:val="28"/>
          <w:lang w:val="en-US" w:eastAsia="zh-CN"/>
        </w:rPr>
        <w:t>854</w:t>
      </w:r>
      <w:r>
        <w:rPr>
          <w:rFonts w:hint="default" w:ascii="宋体" w:hAnsi="宋体" w:eastAsia="宋体" w:cs="宋体"/>
          <w:sz w:val="28"/>
          <w:szCs w:val="28"/>
          <w:lang w:val="en-US" w:eastAsia="zh-CN"/>
        </w:rPr>
        <w:t>-20</w:t>
      </w:r>
      <w:r>
        <w:rPr>
          <w:rFonts w:hint="eastAsia" w:ascii="宋体" w:hAnsi="宋体" w:eastAsia="宋体" w:cs="宋体"/>
          <w:sz w:val="28"/>
          <w:szCs w:val="28"/>
          <w:lang w:val="en-US" w:eastAsia="zh-CN"/>
        </w:rPr>
        <w:t>24）、《通用安装工程工程量计算标准》（GB/T50856-2024）、《市政工程工程量计算标</w:t>
      </w:r>
      <w:bookmarkStart w:id="2" w:name="_GoBack"/>
      <w:bookmarkEnd w:id="2"/>
      <w:r>
        <w:rPr>
          <w:rFonts w:hint="eastAsia" w:ascii="宋体" w:hAnsi="宋体" w:eastAsia="宋体" w:cs="宋体"/>
          <w:sz w:val="28"/>
          <w:szCs w:val="28"/>
          <w:lang w:val="en-US" w:eastAsia="zh-CN"/>
        </w:rPr>
        <w:t>准》（GB/T50857-2024）</w:t>
      </w:r>
    </w:p>
    <w:p w14:paraId="55C90EFF">
      <w:pPr>
        <w:pStyle w:val="3"/>
        <w:keepNext w:val="0"/>
        <w:keepLines w:val="0"/>
        <w:widowControl/>
        <w:suppressLineNumbers w:val="0"/>
        <w:spacing w:before="0" w:beforeAutospacing="0" w:after="0" w:afterAutospacing="0"/>
        <w:ind w:left="0" w:right="0" w:firstLine="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rPr>
        <w:t>国家及省级行业主管部门颁发的有关规定和与本工程项目有关的标准、规范、技术资料</w:t>
      </w:r>
      <w:r>
        <w:rPr>
          <w:rFonts w:hint="eastAsia" w:ascii="宋体" w:hAnsi="宋体" w:eastAsia="宋体" w:cs="宋体"/>
          <w:sz w:val="28"/>
          <w:szCs w:val="28"/>
          <w:lang w:eastAsia="zh-CN"/>
        </w:rPr>
        <w:t>。</w:t>
      </w:r>
    </w:p>
    <w:p w14:paraId="644F4CDB">
      <w:pPr>
        <w:pStyle w:val="3"/>
        <w:keepNext w:val="0"/>
        <w:keepLines w:val="0"/>
        <w:widowControl/>
        <w:suppressLineNumbers w:val="0"/>
        <w:spacing w:before="0" w:beforeAutospacing="0" w:after="0" w:afterAutospacing="0"/>
        <w:ind w:left="0" w:right="0" w:firstLine="0"/>
        <w:rPr>
          <w:rFonts w:hint="eastAsia" w:ascii="宋体" w:hAnsi="宋体" w:eastAsia="宋体" w:cs="宋体"/>
          <w:sz w:val="28"/>
          <w:szCs w:val="28"/>
          <w:lang w:eastAsia="zh-CN"/>
        </w:rPr>
      </w:pPr>
    </w:p>
    <w:p w14:paraId="003D20BB">
      <w:pPr>
        <w:pStyle w:val="3"/>
        <w:keepNext w:val="0"/>
        <w:keepLines w:val="0"/>
        <w:widowControl/>
        <w:suppressLineNumbers w:val="0"/>
        <w:spacing w:before="0" w:beforeAutospacing="0" w:after="0" w:afterAutospacing="0"/>
        <w:ind w:left="0" w:right="0" w:firstLine="0"/>
        <w:rPr>
          <w:rFonts w:hint="default" w:ascii="宋体" w:hAnsi="宋体" w:eastAsia="宋体" w:cs="宋体"/>
          <w:sz w:val="28"/>
          <w:szCs w:val="28"/>
          <w:lang w:val="en-US" w:eastAsia="zh-CN"/>
        </w:rPr>
      </w:pPr>
    </w:p>
    <w:p w14:paraId="60BCB9FD">
      <w:pPr>
        <w:pStyle w:val="3"/>
        <w:keepNext w:val="0"/>
        <w:keepLines w:val="0"/>
        <w:widowControl/>
        <w:suppressLineNumbers w:val="0"/>
        <w:spacing w:before="0" w:beforeAutospacing="0" w:after="0" w:afterAutospacing="0"/>
        <w:ind w:left="0" w:right="0" w:firstLine="0"/>
        <w:rPr>
          <w:rFonts w:hint="eastAsia" w:ascii="宋体" w:hAnsi="宋体" w:eastAsia="宋体" w:cs="宋体"/>
          <w:sz w:val="28"/>
          <w:szCs w:val="28"/>
          <w:lang w:val="en-US" w:eastAsia="zh-CN"/>
        </w:rPr>
      </w:pPr>
    </w:p>
    <w:p w14:paraId="51ED2ABB">
      <w:pPr>
        <w:numPr>
          <w:ilvl w:val="0"/>
          <w:numId w:val="0"/>
        </w:numPr>
        <w:jc w:val="right"/>
        <w:rPr>
          <w:rFonts w:hint="default" w:ascii="宋体" w:hAnsi="宋体" w:eastAsia="宋体" w:cs="宋体"/>
          <w:b/>
          <w:bCs/>
          <w:kern w:val="0"/>
          <w:sz w:val="28"/>
          <w:szCs w:val="28"/>
          <w:lang w:val="en-US" w:eastAsia="zh-CN" w:bidi="ar"/>
        </w:rPr>
      </w:pPr>
      <w:r>
        <w:rPr>
          <w:rFonts w:hint="default" w:ascii="宋体" w:hAnsi="宋体" w:eastAsia="宋体" w:cs="宋体"/>
          <w:kern w:val="0"/>
          <w:sz w:val="28"/>
          <w:szCs w:val="28"/>
          <w:lang w:val="en-US" w:eastAsia="zh-CN" w:bidi="ar"/>
        </w:rPr>
        <w:t xml:space="preserve"> </w:t>
      </w:r>
      <w:r>
        <w:rPr>
          <w:rFonts w:hint="default" w:ascii="宋体" w:hAnsi="宋体" w:eastAsia="宋体" w:cs="宋体"/>
          <w:b/>
          <w:bCs/>
          <w:kern w:val="0"/>
          <w:sz w:val="28"/>
          <w:szCs w:val="28"/>
          <w:lang w:val="en-US" w:eastAsia="zh-CN" w:bidi="ar"/>
        </w:rPr>
        <w:t>江苏</w:t>
      </w:r>
      <w:r>
        <w:rPr>
          <w:rFonts w:hint="eastAsia" w:ascii="宋体" w:hAnsi="宋体" w:eastAsia="宋体" w:cs="宋体"/>
          <w:b/>
          <w:bCs/>
          <w:kern w:val="0"/>
          <w:sz w:val="28"/>
          <w:szCs w:val="28"/>
          <w:lang w:val="en-US" w:eastAsia="zh-CN" w:bidi="ar"/>
        </w:rPr>
        <w:t>博凯隆工程咨询</w:t>
      </w:r>
      <w:r>
        <w:rPr>
          <w:rFonts w:hint="default" w:ascii="宋体" w:hAnsi="宋体" w:eastAsia="宋体" w:cs="宋体"/>
          <w:b/>
          <w:bCs/>
          <w:kern w:val="0"/>
          <w:sz w:val="28"/>
          <w:szCs w:val="28"/>
          <w:lang w:val="en-US" w:eastAsia="zh-CN" w:bidi="ar"/>
        </w:rPr>
        <w:t xml:space="preserve">有限公司 </w:t>
      </w:r>
    </w:p>
    <w:p w14:paraId="5565E78B">
      <w:pPr>
        <w:numPr>
          <w:ilvl w:val="0"/>
          <w:numId w:val="0"/>
        </w:numPr>
        <w:jc w:val="right"/>
        <w:rPr>
          <w:rFonts w:hint="eastAsia" w:ascii="宋体" w:hAnsi="宋体" w:eastAsia="宋体" w:cs="宋体"/>
          <w:b/>
          <w:bCs/>
          <w:kern w:val="0"/>
          <w:sz w:val="28"/>
          <w:szCs w:val="28"/>
          <w:lang w:val="en-US" w:eastAsia="zh-CN" w:bidi="ar"/>
        </w:rPr>
      </w:pPr>
      <w:r>
        <w:rPr>
          <w:rFonts w:hint="default" w:ascii="宋体" w:hAnsi="宋体" w:eastAsia="宋体" w:cs="宋体"/>
          <w:b/>
          <w:bCs/>
          <w:kern w:val="0"/>
          <w:sz w:val="28"/>
          <w:szCs w:val="28"/>
          <w:lang w:val="en-US" w:eastAsia="zh-CN" w:bidi="ar"/>
        </w:rPr>
        <w:t xml:space="preserve"> </w:t>
      </w:r>
      <w:r>
        <w:rPr>
          <w:rFonts w:hint="eastAsia" w:ascii="宋体" w:hAnsi="宋体" w:eastAsia="宋体" w:cs="宋体"/>
          <w:b/>
          <w:bCs/>
          <w:kern w:val="0"/>
          <w:sz w:val="28"/>
          <w:szCs w:val="28"/>
          <w:lang w:val="en-US" w:eastAsia="zh-CN" w:bidi="ar"/>
        </w:rPr>
        <w:t>2026年4月23日</w:t>
      </w:r>
      <w:bookmarkEnd w:id="1"/>
    </w:p>
    <w:p w14:paraId="3EAE89D7"/>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F0FD2">
    <w:pPr>
      <w:pStyle w:val="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43B089"/>
    <w:multiLevelType w:val="singleLevel"/>
    <w:tmpl w:val="B843B08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334451"/>
    <w:rsid w:val="0F424084"/>
    <w:rsid w:val="15F939DC"/>
    <w:rsid w:val="172647EB"/>
    <w:rsid w:val="1C5E1B2D"/>
    <w:rsid w:val="1F1958FA"/>
    <w:rsid w:val="1F533C43"/>
    <w:rsid w:val="22C516DD"/>
    <w:rsid w:val="26A707A4"/>
    <w:rsid w:val="2726584A"/>
    <w:rsid w:val="29471A1F"/>
    <w:rsid w:val="2F1A3966"/>
    <w:rsid w:val="33A85443"/>
    <w:rsid w:val="3E355E9B"/>
    <w:rsid w:val="47E26FE1"/>
    <w:rsid w:val="48532BC6"/>
    <w:rsid w:val="48D545A8"/>
    <w:rsid w:val="4BFA7913"/>
    <w:rsid w:val="5B571DE5"/>
    <w:rsid w:val="5CD526D0"/>
    <w:rsid w:val="5DEA2893"/>
    <w:rsid w:val="5EB168AC"/>
    <w:rsid w:val="65C000E0"/>
    <w:rsid w:val="67D42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502</Words>
  <Characters>566</Characters>
  <Lines>0</Lines>
  <Paragraphs>0</Paragraphs>
  <TotalTime>0</TotalTime>
  <ScaleCrop>false</ScaleCrop>
  <LinksUpToDate>false</LinksUpToDate>
  <CharactersWithSpaces>570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2025-11-18T07:49:00Z</dcterms:created>
  <dc:creator>Administrator</dc:creator>
  <cp:lastModifiedBy>沧海般若</cp:lastModifiedBy>
  <dcterms:modified xsi:type="dcterms:W3CDTF">2026-04-24T10:51:40Z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eyJoZGlkIjoiOGFjMDY1MzJmODIzMDliZDRkYjY2ODM2ZWZhMDRjM2MiLCJ1c2VySWQiOiI0MTY4MTQ3OTcifQ==</vt:lpwstr>
  </property>
  <property fmtid="{D5CDD505-2E9C-101B-9397-08002B2CF9AE}" pid="4" name="ICV">
    <vt:lpwstr>DEBCB48C6D954604ACE2F82BC8AA85D7_13</vt:lpwstr>
  </property>
</Properties>
</file>