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7D4EAD">
      <w:pPr>
        <w:jc w:val="left"/>
        <w:rPr>
          <w:rFonts w:hint="eastAsia" w:ascii="宋体" w:hAnsi="宋体" w:eastAsia="宋体" w:cs="宋体"/>
          <w:color w:val="auto"/>
          <w:highlight w:val="none"/>
        </w:rPr>
      </w:pPr>
    </w:p>
    <w:p w14:paraId="611A58F9">
      <w:pPr>
        <w:rPr>
          <w:rFonts w:hint="eastAsia" w:ascii="宋体" w:hAnsi="宋体" w:eastAsia="宋体" w:cs="宋体"/>
          <w:color w:val="auto"/>
          <w:highlight w:val="none"/>
        </w:rPr>
      </w:pPr>
      <w:bookmarkStart w:id="0" w:name="EB3ace3d43b98b41779337deb808be6fa3"/>
      <w:r>
        <w:rPr>
          <w:rFonts w:hint="eastAsia" w:ascii="宋体" w:hAnsi="宋体" w:eastAsia="宋体" w:cs="宋体"/>
          <w:color w:val="auto"/>
          <w:sz w:val="20"/>
          <w:highlight w:val="none"/>
        </w:rPr>
        <w:t xml:space="preserve"> </w:t>
      </w:r>
      <w:bookmarkEnd w:id="0"/>
      <w:bookmarkStart w:id="1" w:name="EB57dd2a69e2b54b0cb3f5c2f03a1ab7bf"/>
      <w:r>
        <w:rPr>
          <w:rFonts w:hint="eastAsia" w:ascii="宋体" w:hAnsi="宋体" w:eastAsia="宋体" w:cs="宋体"/>
          <w:color w:val="auto"/>
          <w:sz w:val="20"/>
          <w:highlight w:val="none"/>
        </w:rPr>
        <w:t xml:space="preserve"> </w:t>
      </w:r>
      <w:bookmarkEnd w:id="1"/>
    </w:p>
    <w:p w14:paraId="27283B16">
      <w:pPr>
        <w:rPr>
          <w:rFonts w:hint="eastAsia" w:ascii="宋体" w:hAnsi="宋体" w:eastAsia="宋体" w:cs="宋体"/>
          <w:color w:val="auto"/>
          <w:highlight w:val="none"/>
        </w:rPr>
      </w:pPr>
    </w:p>
    <w:p w14:paraId="65EB57C6">
      <w:pPr>
        <w:spacing w:before="120" w:after="120" w:line="360" w:lineRule="auto"/>
        <w:jc w:val="center"/>
        <w:rPr>
          <w:rFonts w:hint="eastAsia" w:ascii="宋体" w:hAnsi="宋体" w:eastAsia="宋体" w:cs="宋体"/>
          <w:b/>
          <w:color w:val="auto"/>
          <w:sz w:val="84"/>
          <w:szCs w:val="24"/>
          <w:highlight w:val="none"/>
          <w:lang w:bidi="ar"/>
        </w:rPr>
      </w:pPr>
      <w:r>
        <w:rPr>
          <w:rFonts w:hint="eastAsia" w:ascii="宋体" w:hAnsi="宋体" w:eastAsia="宋体" w:cs="宋体"/>
          <w:b/>
          <w:color w:val="auto"/>
          <w:sz w:val="84"/>
          <w:szCs w:val="24"/>
          <w:highlight w:val="none"/>
          <w:lang w:bidi="ar"/>
        </w:rPr>
        <w:t>招　标　文　件</w:t>
      </w:r>
    </w:p>
    <w:p w14:paraId="7760A47B">
      <w:pPr>
        <w:rPr>
          <w:rFonts w:hint="eastAsia" w:ascii="宋体" w:hAnsi="宋体" w:eastAsia="宋体" w:cs="宋体"/>
          <w:b/>
          <w:color w:val="auto"/>
          <w:sz w:val="30"/>
          <w:szCs w:val="30"/>
          <w:highlight w:val="none"/>
          <w:lang w:bidi="ar"/>
        </w:rPr>
      </w:pPr>
    </w:p>
    <w:p w14:paraId="566B6E17">
      <w:pPr>
        <w:rPr>
          <w:rFonts w:hint="eastAsia" w:ascii="宋体" w:hAnsi="宋体" w:eastAsia="宋体" w:cs="宋体"/>
          <w:b/>
          <w:color w:val="auto"/>
          <w:sz w:val="30"/>
          <w:szCs w:val="30"/>
          <w:highlight w:val="none"/>
          <w:lang w:bidi="ar"/>
        </w:rPr>
      </w:pPr>
    </w:p>
    <w:p w14:paraId="03E5B403">
      <w:pPr>
        <w:ind w:firstLine="1205" w:firstLineChars="400"/>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t xml:space="preserve">项目名称：宿迁学院显微镜及其他光学跟踪测量仪等设备采购项目 </w:t>
      </w:r>
    </w:p>
    <w:p w14:paraId="4E47A277">
      <w:pPr>
        <w:ind w:firstLine="1506"/>
        <w:rPr>
          <w:rFonts w:hint="eastAsia" w:ascii="宋体" w:hAnsi="宋体" w:eastAsia="宋体" w:cs="宋体"/>
          <w:b/>
          <w:color w:val="auto"/>
          <w:sz w:val="30"/>
          <w:szCs w:val="30"/>
          <w:highlight w:val="none"/>
          <w:lang w:bidi="ar"/>
        </w:rPr>
      </w:pPr>
    </w:p>
    <w:p w14:paraId="16B59BE1">
      <w:pPr>
        <w:ind w:firstLine="1205" w:firstLineChars="400"/>
        <w:rPr>
          <w:rFonts w:hint="default" w:ascii="宋体" w:hAnsi="宋体" w:eastAsia="宋体" w:cs="宋体"/>
          <w:b/>
          <w:color w:val="auto"/>
          <w:sz w:val="30"/>
          <w:szCs w:val="30"/>
          <w:highlight w:val="none"/>
          <w:lang w:val="en-US" w:eastAsia="zh-CN" w:bidi="ar"/>
        </w:rPr>
      </w:pPr>
      <w:r>
        <w:rPr>
          <w:rFonts w:hint="eastAsia" w:ascii="宋体" w:hAnsi="宋体" w:eastAsia="宋体" w:cs="宋体"/>
          <w:b/>
          <w:color w:val="auto"/>
          <w:sz w:val="30"/>
          <w:szCs w:val="30"/>
          <w:highlight w:val="none"/>
          <w:lang w:bidi="ar"/>
        </w:rPr>
        <w:t>项目编号：JSZC-320000-SQJW-G2026-0006</w:t>
      </w:r>
    </w:p>
    <w:p w14:paraId="2E2F0E58">
      <w:pPr>
        <w:ind w:left="2800" w:hanging="2800"/>
        <w:rPr>
          <w:rFonts w:hint="eastAsia" w:ascii="宋体" w:hAnsi="宋体" w:eastAsia="宋体" w:cs="宋体"/>
          <w:color w:val="auto"/>
          <w:sz w:val="28"/>
          <w:szCs w:val="28"/>
          <w:highlight w:val="none"/>
          <w:lang w:bidi="ar"/>
        </w:rPr>
      </w:pPr>
    </w:p>
    <w:p w14:paraId="3C16392B">
      <w:pPr>
        <w:jc w:val="center"/>
        <w:rPr>
          <w:rFonts w:hint="eastAsia" w:ascii="宋体" w:hAnsi="宋体" w:eastAsia="宋体" w:cs="宋体"/>
          <w:b/>
          <w:color w:val="auto"/>
          <w:sz w:val="32"/>
          <w:szCs w:val="32"/>
          <w:highlight w:val="none"/>
        </w:rPr>
      </w:pPr>
    </w:p>
    <w:p w14:paraId="52F8E45B">
      <w:pPr>
        <w:spacing w:line="360" w:lineRule="auto"/>
        <w:jc w:val="left"/>
        <w:rPr>
          <w:rFonts w:hint="eastAsia" w:ascii="宋体" w:hAnsi="宋体" w:eastAsia="宋体" w:cs="宋体"/>
          <w:color w:val="auto"/>
          <w:sz w:val="24"/>
          <w:szCs w:val="24"/>
          <w:highlight w:val="none"/>
        </w:rPr>
      </w:pPr>
    </w:p>
    <w:p w14:paraId="04BE5FCF">
      <w:pPr>
        <w:spacing w:line="360" w:lineRule="auto"/>
        <w:jc w:val="left"/>
        <w:rPr>
          <w:rFonts w:hint="eastAsia" w:ascii="宋体" w:hAnsi="宋体" w:eastAsia="宋体" w:cs="宋体"/>
          <w:color w:val="auto"/>
          <w:sz w:val="24"/>
          <w:szCs w:val="24"/>
          <w:highlight w:val="none"/>
        </w:rPr>
      </w:pPr>
    </w:p>
    <w:p w14:paraId="0F49C1E3">
      <w:pPr>
        <w:spacing w:line="360" w:lineRule="auto"/>
        <w:jc w:val="left"/>
        <w:rPr>
          <w:rFonts w:hint="eastAsia" w:ascii="宋体" w:hAnsi="宋体" w:eastAsia="宋体" w:cs="宋体"/>
          <w:color w:val="auto"/>
          <w:sz w:val="24"/>
          <w:szCs w:val="24"/>
          <w:highlight w:val="none"/>
        </w:rPr>
      </w:pPr>
    </w:p>
    <w:p w14:paraId="2AD54A3C">
      <w:pPr>
        <w:spacing w:line="360" w:lineRule="auto"/>
        <w:jc w:val="left"/>
        <w:rPr>
          <w:rFonts w:hint="eastAsia" w:ascii="宋体" w:hAnsi="宋体" w:eastAsia="宋体" w:cs="宋体"/>
          <w:color w:val="auto"/>
          <w:sz w:val="24"/>
          <w:szCs w:val="24"/>
          <w:highlight w:val="none"/>
        </w:rPr>
      </w:pPr>
    </w:p>
    <w:p w14:paraId="3441DA95">
      <w:pPr>
        <w:spacing w:line="360" w:lineRule="auto"/>
        <w:jc w:val="left"/>
        <w:rPr>
          <w:rFonts w:hint="eastAsia" w:ascii="宋体" w:hAnsi="宋体" w:eastAsia="宋体" w:cs="宋体"/>
          <w:color w:val="auto"/>
          <w:sz w:val="24"/>
          <w:szCs w:val="24"/>
          <w:highlight w:val="none"/>
        </w:rPr>
      </w:pPr>
    </w:p>
    <w:p w14:paraId="652BFCB3">
      <w:pPr>
        <w:spacing w:line="360" w:lineRule="auto"/>
        <w:jc w:val="left"/>
        <w:rPr>
          <w:rFonts w:hint="eastAsia" w:ascii="宋体" w:hAnsi="宋体" w:eastAsia="宋体" w:cs="宋体"/>
          <w:color w:val="auto"/>
          <w:sz w:val="24"/>
          <w:szCs w:val="24"/>
          <w:highlight w:val="none"/>
        </w:rPr>
      </w:pPr>
    </w:p>
    <w:p w14:paraId="4AF0D434">
      <w:pPr>
        <w:spacing w:line="360" w:lineRule="auto"/>
        <w:jc w:val="left"/>
        <w:rPr>
          <w:rFonts w:hint="eastAsia" w:ascii="宋体" w:hAnsi="宋体" w:eastAsia="宋体" w:cs="宋体"/>
          <w:color w:val="auto"/>
          <w:sz w:val="24"/>
          <w:szCs w:val="24"/>
          <w:highlight w:val="none"/>
        </w:rPr>
      </w:pPr>
    </w:p>
    <w:p w14:paraId="1E35414D">
      <w:pPr>
        <w:spacing w:line="360" w:lineRule="auto"/>
        <w:jc w:val="left"/>
        <w:rPr>
          <w:rFonts w:hint="eastAsia" w:ascii="宋体" w:hAnsi="宋体" w:eastAsia="宋体" w:cs="宋体"/>
          <w:color w:val="auto"/>
          <w:sz w:val="24"/>
          <w:szCs w:val="24"/>
          <w:highlight w:val="none"/>
        </w:rPr>
      </w:pPr>
    </w:p>
    <w:tbl>
      <w:tblPr>
        <w:tblStyle w:val="30"/>
        <w:tblW w:w="0" w:type="auto"/>
        <w:jc w:val="center"/>
        <w:tblLayout w:type="autofit"/>
        <w:tblCellMar>
          <w:top w:w="0" w:type="dxa"/>
          <w:left w:w="108" w:type="dxa"/>
          <w:bottom w:w="0" w:type="dxa"/>
          <w:right w:w="108" w:type="dxa"/>
        </w:tblCellMar>
      </w:tblPr>
      <w:tblGrid>
        <w:gridCol w:w="2471"/>
        <w:gridCol w:w="5641"/>
      </w:tblGrid>
      <w:tr w14:paraId="06C0BC49">
        <w:tblPrEx>
          <w:tblCellMar>
            <w:top w:w="0" w:type="dxa"/>
            <w:left w:w="108" w:type="dxa"/>
            <w:bottom w:w="0" w:type="dxa"/>
            <w:right w:w="108" w:type="dxa"/>
          </w:tblCellMar>
        </w:tblPrEx>
        <w:trPr>
          <w:jc w:val="center"/>
        </w:trPr>
        <w:tc>
          <w:tcPr>
            <w:tcW w:w="2471" w:type="dxa"/>
            <w:tcBorders>
              <w:top w:val="nil"/>
              <w:left w:val="nil"/>
              <w:bottom w:val="nil"/>
              <w:right w:val="nil"/>
            </w:tcBorders>
            <w:noWrap w:val="0"/>
            <w:vAlign w:val="center"/>
          </w:tcPr>
          <w:p w14:paraId="05A8484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spacing w:val="45"/>
                <w:sz w:val="32"/>
                <w:szCs w:val="24"/>
                <w:highlight w:val="none"/>
              </w:rPr>
              <w:t>招标人</w:t>
            </w:r>
            <w:r>
              <w:rPr>
                <w:rFonts w:hint="eastAsia" w:ascii="宋体" w:hAnsi="宋体" w:eastAsia="宋体" w:cs="宋体"/>
                <w:b/>
                <w:bCs/>
                <w:color w:val="auto"/>
                <w:spacing w:val="1"/>
                <w:sz w:val="32"/>
                <w:szCs w:val="24"/>
                <w:highlight w:val="none"/>
              </w:rPr>
              <w:t>：</w:t>
            </w:r>
          </w:p>
        </w:tc>
        <w:tc>
          <w:tcPr>
            <w:tcW w:w="5641" w:type="dxa"/>
            <w:tcBorders>
              <w:top w:val="nil"/>
              <w:left w:val="nil"/>
              <w:bottom w:val="nil"/>
              <w:right w:val="nil"/>
            </w:tcBorders>
            <w:noWrap w:val="0"/>
            <w:vAlign w:val="center"/>
          </w:tcPr>
          <w:p w14:paraId="4AD18809">
            <w:pPr>
              <w:jc w:val="both"/>
              <w:rPr>
                <w:rFonts w:hint="eastAsia" w:ascii="宋体" w:hAnsi="宋体" w:eastAsia="宋体" w:cs="宋体"/>
                <w:b/>
                <w:color w:val="auto"/>
                <w:sz w:val="30"/>
                <w:szCs w:val="30"/>
                <w:highlight w:val="none"/>
                <w:lang w:eastAsia="zh-CN" w:bidi="ar"/>
              </w:rPr>
            </w:pPr>
            <w:r>
              <w:rPr>
                <w:rFonts w:hint="eastAsia" w:ascii="宋体" w:hAnsi="宋体" w:eastAsia="宋体" w:cs="宋体"/>
                <w:b/>
                <w:color w:val="auto"/>
                <w:sz w:val="30"/>
                <w:szCs w:val="30"/>
                <w:highlight w:val="none"/>
                <w:lang w:eastAsia="zh-CN" w:bidi="ar"/>
              </w:rPr>
              <w:t>宿迁学院</w:t>
            </w:r>
          </w:p>
        </w:tc>
      </w:tr>
      <w:tr w14:paraId="2B3CA87A">
        <w:tblPrEx>
          <w:tblCellMar>
            <w:top w:w="0" w:type="dxa"/>
            <w:left w:w="108" w:type="dxa"/>
            <w:bottom w:w="0" w:type="dxa"/>
            <w:right w:w="108" w:type="dxa"/>
          </w:tblCellMar>
        </w:tblPrEx>
        <w:trPr>
          <w:jc w:val="center"/>
        </w:trPr>
        <w:tc>
          <w:tcPr>
            <w:tcW w:w="2471" w:type="dxa"/>
            <w:tcBorders>
              <w:top w:val="nil"/>
              <w:left w:val="nil"/>
              <w:bottom w:val="nil"/>
              <w:right w:val="nil"/>
            </w:tcBorders>
            <w:noWrap w:val="0"/>
            <w:vAlign w:val="center"/>
          </w:tcPr>
          <w:p w14:paraId="4EEEF27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spacing w:val="45"/>
                <w:sz w:val="32"/>
                <w:szCs w:val="24"/>
                <w:highlight w:val="none"/>
              </w:rPr>
              <w:t>代理机构：</w:t>
            </w:r>
          </w:p>
        </w:tc>
        <w:tc>
          <w:tcPr>
            <w:tcW w:w="5641" w:type="dxa"/>
            <w:tcBorders>
              <w:top w:val="nil"/>
              <w:left w:val="nil"/>
              <w:bottom w:val="nil"/>
              <w:right w:val="nil"/>
            </w:tcBorders>
            <w:noWrap w:val="0"/>
            <w:vAlign w:val="center"/>
          </w:tcPr>
          <w:p w14:paraId="5B056358">
            <w:pPr>
              <w:jc w:val="both"/>
              <w:rPr>
                <w:rFonts w:hint="eastAsia" w:ascii="宋体" w:hAnsi="宋体" w:eastAsia="宋体" w:cs="宋体"/>
                <w:b/>
                <w:color w:val="auto"/>
                <w:sz w:val="30"/>
                <w:szCs w:val="30"/>
                <w:highlight w:val="none"/>
                <w:lang w:eastAsia="zh-CN" w:bidi="ar"/>
              </w:rPr>
            </w:pPr>
            <w:r>
              <w:rPr>
                <w:rFonts w:hint="eastAsia" w:ascii="宋体" w:hAnsi="宋体" w:eastAsia="宋体" w:cs="宋体"/>
                <w:b/>
                <w:color w:val="auto"/>
                <w:sz w:val="30"/>
                <w:szCs w:val="30"/>
                <w:highlight w:val="none"/>
                <w:lang w:val="en-US" w:eastAsia="zh-CN" w:bidi="ar"/>
              </w:rPr>
              <w:t>宿迁建威工程咨询有限公司</w:t>
            </w:r>
          </w:p>
        </w:tc>
      </w:tr>
    </w:tbl>
    <w:p w14:paraId="4E774FAB">
      <w:pPr>
        <w:spacing w:before="120" w:after="120" w:line="360" w:lineRule="auto"/>
        <w:jc w:val="center"/>
        <w:rPr>
          <w:rFonts w:hint="default"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bidi="ar"/>
        </w:rPr>
        <w:t>202</w:t>
      </w:r>
      <w:r>
        <w:rPr>
          <w:rFonts w:hint="eastAsia" w:ascii="宋体" w:hAnsi="宋体" w:eastAsia="宋体" w:cs="宋体"/>
          <w:b/>
          <w:color w:val="auto"/>
          <w:sz w:val="32"/>
          <w:szCs w:val="24"/>
          <w:highlight w:val="none"/>
          <w:lang w:val="en-US" w:eastAsia="zh-CN" w:bidi="ar"/>
        </w:rPr>
        <w:t>6</w:t>
      </w:r>
      <w:r>
        <w:rPr>
          <w:rFonts w:hint="eastAsia" w:ascii="宋体" w:hAnsi="宋体" w:eastAsia="宋体" w:cs="宋体"/>
          <w:b/>
          <w:color w:val="auto"/>
          <w:sz w:val="32"/>
          <w:szCs w:val="24"/>
          <w:highlight w:val="none"/>
          <w:lang w:bidi="ar"/>
        </w:rPr>
        <w:t>年</w:t>
      </w:r>
      <w:r>
        <w:rPr>
          <w:rFonts w:hint="eastAsia" w:ascii="宋体" w:hAnsi="宋体" w:cs="宋体"/>
          <w:b/>
          <w:color w:val="auto"/>
          <w:sz w:val="32"/>
          <w:szCs w:val="24"/>
          <w:highlight w:val="none"/>
          <w:lang w:val="en-US" w:eastAsia="zh-CN" w:bidi="ar"/>
        </w:rPr>
        <w:t>3</w:t>
      </w:r>
      <w:r>
        <w:rPr>
          <w:rFonts w:hint="eastAsia" w:ascii="宋体" w:hAnsi="宋体" w:eastAsia="宋体" w:cs="宋体"/>
          <w:b/>
          <w:color w:val="auto"/>
          <w:sz w:val="32"/>
          <w:szCs w:val="24"/>
          <w:highlight w:val="none"/>
          <w:lang w:bidi="ar"/>
        </w:rPr>
        <w:t>月</w:t>
      </w:r>
      <w:r>
        <w:rPr>
          <w:rFonts w:hint="eastAsia" w:ascii="宋体" w:hAnsi="宋体" w:cs="宋体"/>
          <w:b/>
          <w:color w:val="auto"/>
          <w:sz w:val="32"/>
          <w:szCs w:val="24"/>
          <w:highlight w:val="none"/>
          <w:lang w:val="en-US" w:eastAsia="zh-CN" w:bidi="ar"/>
        </w:rPr>
        <w:t>26日</w:t>
      </w:r>
    </w:p>
    <w:p w14:paraId="5AF60506">
      <w:pPr>
        <w:spacing w:before="120" w:after="120" w:line="360" w:lineRule="auto"/>
        <w:jc w:val="center"/>
        <w:rPr>
          <w:rFonts w:hint="eastAsia" w:ascii="宋体" w:hAnsi="宋体" w:eastAsia="宋体" w:cs="宋体"/>
          <w:b/>
          <w:color w:val="auto"/>
          <w:sz w:val="32"/>
          <w:szCs w:val="24"/>
          <w:highlight w:val="none"/>
        </w:rPr>
      </w:pPr>
    </w:p>
    <w:p w14:paraId="2E043CBC">
      <w:pPr>
        <w:keepNext/>
        <w:keepLines/>
        <w:pageBreakBefore/>
        <w:jc w:val="center"/>
        <w:rPr>
          <w:rFonts w:hint="eastAsia" w:ascii="宋体" w:hAnsi="宋体" w:eastAsia="宋体" w:cs="宋体"/>
          <w:b/>
          <w:color w:val="auto"/>
          <w:sz w:val="44"/>
          <w:szCs w:val="44"/>
          <w:highlight w:val="none"/>
        </w:rPr>
        <w:sectPr>
          <w:footerReference r:id="rId5" w:type="first"/>
          <w:headerReference r:id="rId3" w:type="default"/>
          <w:footerReference r:id="rId4" w:type="default"/>
          <w:pgSz w:w="11907" w:h="16840"/>
          <w:pgMar w:top="1474" w:right="1304" w:bottom="1474" w:left="1418" w:header="851" w:footer="851" w:gutter="0"/>
          <w:cols w:space="720" w:num="1"/>
          <w:docGrid w:linePitch="360" w:charSpace="0"/>
        </w:sectPr>
      </w:pPr>
    </w:p>
    <w:p w14:paraId="633373E8">
      <w:pPr>
        <w:keepNext/>
        <w:keepLines/>
        <w:pageBreakBefore/>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目 录</w:t>
      </w:r>
    </w:p>
    <w:p w14:paraId="31FC9554">
      <w:pPr>
        <w:pStyle w:val="99"/>
        <w:tabs>
          <w:tab w:val="right" w:leader="dot" w:pos="9185"/>
        </w:tabs>
        <w:spacing w:line="600" w:lineRule="exact"/>
        <w:rPr>
          <w:rFonts w:hint="eastAsia" w:ascii="宋体" w:hAnsi="宋体" w:eastAsia="宋体" w:cs="宋体"/>
          <w:b w:val="0"/>
          <w:bC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_Toc10813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第一章  投标邀请</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_Toc10813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1</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p>
    <w:p w14:paraId="09D5DF9E">
      <w:pPr>
        <w:pStyle w:val="99"/>
        <w:tabs>
          <w:tab w:val="right" w:leader="dot" w:pos="9185"/>
        </w:tabs>
        <w:spacing w:line="6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_Toc9425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第二章  投标人须知</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_Toc9425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4</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p>
    <w:p w14:paraId="0FF3937E">
      <w:pPr>
        <w:pStyle w:val="99"/>
        <w:tabs>
          <w:tab w:val="right" w:leader="dot" w:pos="9185"/>
        </w:tabs>
        <w:spacing w:line="6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_Toc17996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第三章  资格审查及评标办法</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_Toc17996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20</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p>
    <w:p w14:paraId="7B11083A">
      <w:pPr>
        <w:pStyle w:val="99"/>
        <w:tabs>
          <w:tab w:val="right" w:leader="dot" w:pos="9185"/>
        </w:tabs>
        <w:spacing w:line="6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_Toc22314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第四章  采购需求</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_Toc22314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23</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p>
    <w:p w14:paraId="2DD2280C">
      <w:pPr>
        <w:pStyle w:val="99"/>
        <w:tabs>
          <w:tab w:val="right" w:leader="dot" w:pos="9185"/>
        </w:tabs>
        <w:spacing w:line="60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_Toc2513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第五章  合同文本</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t>35</w:t>
      </w:r>
    </w:p>
    <w:p w14:paraId="70C0EFE7">
      <w:pPr>
        <w:pStyle w:val="99"/>
        <w:tabs>
          <w:tab w:val="right" w:leader="dot" w:pos="9185"/>
        </w:tabs>
        <w:spacing w:line="600" w:lineRule="exact"/>
        <w:rPr>
          <w:rFonts w:hint="eastAsia" w:ascii="宋体" w:hAnsi="宋体" w:eastAsia="宋体" w:cs="宋体"/>
          <w:color w:val="auto"/>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_Toc12937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第六章  投标文件格式</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t>51</w:t>
      </w:r>
    </w:p>
    <w:p w14:paraId="6CEA9E4E">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p w14:paraId="6997EDE2">
      <w:pPr>
        <w:keepNext/>
        <w:keepLines/>
        <w:pageBreakBefore/>
        <w:jc w:val="center"/>
        <w:outlineLvl w:val="0"/>
        <w:rPr>
          <w:rFonts w:hint="eastAsia" w:ascii="宋体" w:hAnsi="宋体" w:eastAsia="宋体" w:cs="宋体"/>
          <w:b/>
          <w:color w:val="auto"/>
          <w:sz w:val="44"/>
          <w:szCs w:val="44"/>
          <w:highlight w:val="none"/>
        </w:rPr>
        <w:sectPr>
          <w:footerReference r:id="rId6" w:type="default"/>
          <w:pgSz w:w="11907" w:h="16840"/>
          <w:pgMar w:top="1474" w:right="1304" w:bottom="1474" w:left="1418" w:header="851" w:footer="851" w:gutter="0"/>
          <w:pgNumType w:start="1"/>
          <w:cols w:space="720" w:num="1"/>
          <w:docGrid w:linePitch="360" w:charSpace="0"/>
        </w:sectPr>
      </w:pPr>
      <w:bookmarkStart w:id="2" w:name="_Toc81575189"/>
      <w:bookmarkStart w:id="3" w:name="_Toc81575152"/>
    </w:p>
    <w:p w14:paraId="2FF07059">
      <w:pPr>
        <w:pStyle w:val="41"/>
        <w:spacing w:before="200"/>
        <w:jc w:val="center"/>
        <w:rPr>
          <w:rFonts w:hint="eastAsia" w:ascii="宋体" w:hAnsi="宋体" w:eastAsia="宋体" w:cs="宋体"/>
          <w:color w:val="auto"/>
          <w:sz w:val="44"/>
          <w:highlight w:val="none"/>
        </w:rPr>
      </w:pPr>
      <w:bookmarkStart w:id="4" w:name="_Toc25722"/>
      <w:bookmarkStart w:id="5" w:name="_Toc10813"/>
      <w:bookmarkStart w:id="6" w:name="_Toc30943"/>
      <w:r>
        <w:rPr>
          <w:rFonts w:hint="eastAsia" w:ascii="宋体" w:hAnsi="宋体" w:eastAsia="宋体" w:cs="宋体"/>
          <w:color w:val="auto"/>
          <w:sz w:val="44"/>
          <w:highlight w:val="none"/>
        </w:rPr>
        <w:t>第一章  投标邀请</w:t>
      </w:r>
      <w:bookmarkEnd w:id="2"/>
      <w:bookmarkEnd w:id="3"/>
      <w:bookmarkEnd w:id="4"/>
      <w:bookmarkEnd w:id="5"/>
      <w:bookmarkEnd w:id="6"/>
    </w:p>
    <w:p w14:paraId="17073311">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宿迁学院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u w:val="single"/>
        </w:rPr>
        <w:t>宿迁建威工程咨询有限公司</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u w:val="single"/>
        </w:rPr>
        <w:t>宿迁学院显微镜及其他光学跟踪测量仪等设备采购项目(JSZC-320000-SQJW-G2026-0006)</w:t>
      </w:r>
      <w:r>
        <w:rPr>
          <w:rFonts w:hint="eastAsia" w:ascii="宋体" w:hAnsi="宋体" w:eastAsia="宋体" w:cs="宋体"/>
          <w:color w:val="auto"/>
          <w:sz w:val="24"/>
          <w:szCs w:val="24"/>
          <w:highlight w:val="none"/>
        </w:rPr>
        <w:t>进行公开招标采购，欢迎符合条件的投标人投标。</w:t>
      </w:r>
    </w:p>
    <w:p w14:paraId="5AD8DCCD">
      <w:pPr>
        <w:pBdr>
          <w:top w:val="single" w:color="000000" w:sz="4" w:space="1"/>
          <w:left w:val="single" w:color="000000" w:sz="4" w:space="4"/>
          <w:bottom w:val="single" w:color="000000" w:sz="4" w:space="1"/>
          <w:right w:val="single" w:color="000000" w:sz="4" w:space="4"/>
        </w:pBd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436E147A">
      <w:pPr>
        <w:pBdr>
          <w:top w:val="single" w:color="000000" w:sz="4" w:space="1"/>
          <w:left w:val="single" w:color="000000" w:sz="4" w:space="4"/>
          <w:bottom w:val="single" w:color="000000" w:sz="4" w:space="1"/>
          <w:right w:val="single" w:color="000000" w:sz="4" w:space="4"/>
        </w:pBd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宿迁学院显微镜及其他光学跟踪测量仪等设备采购项目</w:t>
      </w:r>
      <w:r>
        <w:rPr>
          <w:rFonts w:hint="eastAsia" w:ascii="宋体" w:hAnsi="宋体" w:eastAsia="宋体" w:cs="宋体"/>
          <w:color w:val="auto"/>
          <w:sz w:val="24"/>
          <w:szCs w:val="24"/>
          <w:highlight w:val="none"/>
        </w:rPr>
        <w:t>招标项目的潜在投标人</w:t>
      </w:r>
      <w:r>
        <w:rPr>
          <w:rFonts w:hint="eastAsia" w:ascii="宋体" w:hAnsi="宋体" w:cs="宋体"/>
          <w:color w:val="auto"/>
          <w:sz w:val="24"/>
          <w:szCs w:val="24"/>
          <w:highlight w:val="none"/>
          <w:lang w:val="en-US" w:eastAsia="zh-CN"/>
        </w:rPr>
        <w:t>应</w:t>
      </w:r>
      <w:r>
        <w:rPr>
          <w:rFonts w:hint="eastAsia" w:ascii="宋体" w:hAnsi="宋体" w:eastAsia="宋体" w:cs="宋体"/>
          <w:color w:val="auto"/>
          <w:sz w:val="24"/>
          <w:szCs w:val="24"/>
          <w:highlight w:val="none"/>
        </w:rPr>
        <w:t>在宿迁建威工程咨询有限公司获取招标文件，并于</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04</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21</w:t>
      </w:r>
      <w:r>
        <w:rPr>
          <w:rFonts w:hint="eastAsia" w:ascii="宋体" w:hAnsi="宋体" w:eastAsia="宋体" w:cs="宋体"/>
          <w:bCs/>
          <w:color w:val="auto"/>
          <w:sz w:val="24"/>
          <w:szCs w:val="24"/>
          <w:highlight w:val="none"/>
          <w:u w:val="single"/>
        </w:rPr>
        <w:t>日09点30分（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14:paraId="7FC41A71">
      <w:pPr>
        <w:pStyle w:val="42"/>
        <w:spacing w:before="0" w:after="0" w:line="480" w:lineRule="exact"/>
        <w:ind w:firstLine="643"/>
        <w:rPr>
          <w:rFonts w:hint="eastAsia" w:ascii="宋体" w:hAnsi="宋体" w:eastAsia="宋体" w:cs="宋体"/>
          <w:bCs/>
          <w:color w:val="auto"/>
          <w:szCs w:val="22"/>
          <w:highlight w:val="none"/>
        </w:rPr>
      </w:pPr>
      <w:bookmarkStart w:id="7" w:name="_Toc38985263"/>
      <w:bookmarkStart w:id="8" w:name="_Toc28359079"/>
      <w:bookmarkStart w:id="9" w:name="_Toc35393621"/>
      <w:bookmarkStart w:id="10" w:name="_Toc28359002"/>
      <w:bookmarkStart w:id="11" w:name="_Toc35393790"/>
      <w:bookmarkStart w:id="12" w:name="_Toc2584"/>
      <w:bookmarkStart w:id="13" w:name="_Hlk24379207"/>
      <w:r>
        <w:rPr>
          <w:rFonts w:hint="eastAsia" w:ascii="宋体" w:hAnsi="宋体" w:eastAsia="宋体" w:cs="宋体"/>
          <w:bCs/>
          <w:color w:val="auto"/>
          <w:szCs w:val="22"/>
          <w:highlight w:val="none"/>
        </w:rPr>
        <w:t>一、项目基本情况</w:t>
      </w:r>
      <w:bookmarkEnd w:id="7"/>
      <w:bookmarkEnd w:id="8"/>
      <w:bookmarkEnd w:id="9"/>
      <w:bookmarkEnd w:id="10"/>
      <w:bookmarkEnd w:id="11"/>
      <w:bookmarkEnd w:id="12"/>
    </w:p>
    <w:p w14:paraId="08196B59">
      <w:pPr>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1.项目编号：</w:t>
      </w:r>
      <w:r>
        <w:rPr>
          <w:rFonts w:hint="eastAsia" w:ascii="宋体" w:hAnsi="宋体" w:eastAsia="宋体" w:cs="宋体"/>
          <w:color w:val="auto"/>
          <w:sz w:val="24"/>
          <w:szCs w:val="24"/>
          <w:highlight w:val="none"/>
          <w:u w:val="none"/>
        </w:rPr>
        <w:t>JSZC-320000-SQJW-G2026-0006</w:t>
      </w:r>
    </w:p>
    <w:p w14:paraId="53B94294">
      <w:pPr>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bookmarkEnd w:id="13"/>
      <w:r>
        <w:rPr>
          <w:rFonts w:hint="eastAsia" w:ascii="宋体" w:hAnsi="宋体" w:eastAsia="宋体" w:cs="宋体"/>
          <w:color w:val="auto"/>
          <w:sz w:val="24"/>
          <w:szCs w:val="24"/>
          <w:highlight w:val="none"/>
          <w:u w:val="none"/>
        </w:rPr>
        <w:t>宿迁学院显微镜及其他光学跟踪测量仪等设备采购项目</w:t>
      </w:r>
    </w:p>
    <w:p w14:paraId="4F831DB5">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3.预算金额：</w:t>
      </w:r>
      <w:r>
        <w:rPr>
          <w:rFonts w:hint="eastAsia" w:eastAsia="宋体"/>
          <w:caps w:val="0"/>
          <w:color w:val="auto"/>
          <w:sz w:val="24"/>
          <w:szCs w:val="24"/>
          <w:highlight w:val="none"/>
          <w:lang w:val="en-US" w:eastAsia="zh-CN"/>
        </w:rPr>
        <w:t>961</w:t>
      </w:r>
      <w:r>
        <w:rPr>
          <w:rFonts w:hint="eastAsia" w:ascii="宋体" w:hAnsi="宋体" w:eastAsia="宋体" w:cs="宋体"/>
          <w:color w:val="auto"/>
          <w:sz w:val="24"/>
          <w:szCs w:val="24"/>
          <w:highlight w:val="none"/>
        </w:rPr>
        <w:t>万元</w:t>
      </w:r>
    </w:p>
    <w:p w14:paraId="28008D87">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4.本项目</w:t>
      </w:r>
      <w:r>
        <w:rPr>
          <w:rFonts w:hint="eastAsia" w:ascii="宋体" w:hAnsi="宋体" w:eastAsia="宋体" w:cs="宋体"/>
          <w:color w:val="auto"/>
          <w:sz w:val="24"/>
          <w:szCs w:val="24"/>
          <w:highlight w:val="none"/>
          <w:u w:val="single"/>
        </w:rPr>
        <w:t>设定</w:t>
      </w:r>
      <w:r>
        <w:rPr>
          <w:rFonts w:hint="eastAsia" w:ascii="宋体" w:hAnsi="宋体" w:eastAsia="宋体" w:cs="宋体"/>
          <w:color w:val="auto"/>
          <w:sz w:val="24"/>
          <w:szCs w:val="24"/>
          <w:highlight w:val="none"/>
        </w:rPr>
        <w:t>最高限价，最高限价为</w:t>
      </w:r>
      <w:r>
        <w:rPr>
          <w:rFonts w:hint="eastAsia" w:ascii="宋体" w:hAnsi="宋体" w:eastAsia="宋体" w:cs="宋体"/>
          <w:color w:val="auto"/>
          <w:sz w:val="24"/>
          <w:highlight w:val="none"/>
        </w:rPr>
        <w:t>：</w:t>
      </w:r>
      <w:r>
        <w:rPr>
          <w:rFonts w:hint="eastAsia" w:eastAsia="宋体"/>
          <w:caps w:val="0"/>
          <w:color w:val="auto"/>
          <w:sz w:val="24"/>
          <w:szCs w:val="24"/>
          <w:highlight w:val="none"/>
          <w:lang w:val="en-US" w:eastAsia="zh-CN"/>
        </w:rPr>
        <w:t>961</w:t>
      </w:r>
      <w:r>
        <w:rPr>
          <w:rFonts w:hint="eastAsia" w:ascii="宋体" w:hAnsi="宋体" w:eastAsia="宋体" w:cs="宋体"/>
          <w:color w:val="auto"/>
          <w:sz w:val="24"/>
          <w:highlight w:val="none"/>
        </w:rPr>
        <w:t>万元</w:t>
      </w:r>
    </w:p>
    <w:p w14:paraId="7A85E686">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5.采购需求（简介）：</w:t>
      </w:r>
      <w:r>
        <w:rPr>
          <w:rFonts w:hint="eastAsia" w:eastAsia="宋体"/>
          <w:caps w:val="0"/>
          <w:color w:val="auto"/>
          <w:sz w:val="24"/>
          <w:szCs w:val="24"/>
          <w:highlight w:val="none"/>
          <w:lang w:val="en-US" w:eastAsia="zh-CN"/>
        </w:rPr>
        <w:t>宿迁学院</w:t>
      </w:r>
      <w:r>
        <w:rPr>
          <w:rFonts w:hint="eastAsia" w:ascii="Times New Roman" w:hAnsi="Times New Roman" w:eastAsia="宋体" w:cs="Times New Roman"/>
          <w:caps w:val="0"/>
          <w:color w:val="auto"/>
          <w:sz w:val="24"/>
          <w:szCs w:val="24"/>
          <w:highlight w:val="none"/>
          <w:lang w:val="en-US" w:eastAsia="zh-CN"/>
        </w:rPr>
        <w:t>拟采购</w:t>
      </w:r>
      <w:r>
        <w:rPr>
          <w:rFonts w:hint="eastAsia" w:ascii="Times New Roman" w:hAnsi="Times New Roman" w:eastAsia="宋体"/>
          <w:caps w:val="0"/>
          <w:color w:val="auto"/>
          <w:sz w:val="24"/>
          <w:szCs w:val="24"/>
          <w:highlight w:val="none"/>
        </w:rPr>
        <w:t>显微镜及其他光学跟踪测量仪等</w:t>
      </w:r>
      <w:r>
        <w:rPr>
          <w:rFonts w:hint="eastAsia" w:ascii="宋体" w:hAnsi="宋体" w:cs="宋体"/>
          <w:color w:val="auto"/>
          <w:sz w:val="24"/>
          <w:highlight w:val="none"/>
          <w:lang w:eastAsia="zh-CN"/>
        </w:rPr>
        <w:t>，</w:t>
      </w:r>
      <w:r>
        <w:rPr>
          <w:rFonts w:hint="eastAsia" w:ascii="宋体" w:hAnsi="宋体" w:eastAsia="宋体" w:cs="宋体"/>
          <w:color w:val="auto"/>
          <w:sz w:val="24"/>
          <w:szCs w:val="24"/>
          <w:highlight w:val="none"/>
        </w:rPr>
        <w:t>具体详见采购需求部分。</w:t>
      </w:r>
    </w:p>
    <w:p w14:paraId="79FC9EDA">
      <w:pPr>
        <w:spacing w:line="56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6.合同履行期限：</w:t>
      </w:r>
      <w:r>
        <w:rPr>
          <w:rFonts w:hint="eastAsia" w:ascii="Times New Roman" w:hAnsi="Times New Roman" w:eastAsia="宋体" w:cs="Times New Roman"/>
          <w:color w:val="auto"/>
          <w:kern w:val="0"/>
          <w:sz w:val="24"/>
          <w:highlight w:val="none"/>
        </w:rPr>
        <w:t>采购合同签订后</w:t>
      </w:r>
      <w:r>
        <w:rPr>
          <w:rFonts w:hint="eastAsia" w:eastAsia="宋体" w:cs="Times New Roman"/>
          <w:color w:val="auto"/>
          <w:kern w:val="0"/>
          <w:sz w:val="24"/>
          <w:highlight w:val="none"/>
          <w:lang w:val="en-US" w:eastAsia="zh-CN"/>
        </w:rPr>
        <w:t>6个月</w:t>
      </w:r>
      <w:r>
        <w:rPr>
          <w:rFonts w:hint="eastAsia" w:ascii="Times New Roman" w:hAnsi="Times New Roman" w:eastAsia="宋体" w:cs="Times New Roman"/>
          <w:color w:val="auto"/>
          <w:kern w:val="0"/>
          <w:sz w:val="24"/>
          <w:highlight w:val="none"/>
        </w:rPr>
        <w:t>内</w:t>
      </w:r>
      <w:r>
        <w:rPr>
          <w:rFonts w:hint="eastAsia" w:ascii="Times New Roman" w:hAnsi="Times New Roman" w:eastAsia="宋体" w:cs="Times New Roman"/>
          <w:color w:val="auto"/>
          <w:kern w:val="0"/>
          <w:sz w:val="24"/>
          <w:highlight w:val="none"/>
          <w:lang w:val="en-US" w:eastAsia="zh-CN"/>
        </w:rPr>
        <w:t>所有设备</w:t>
      </w:r>
      <w:r>
        <w:rPr>
          <w:rFonts w:hint="eastAsia" w:ascii="Times New Roman" w:hAnsi="Times New Roman" w:eastAsia="宋体" w:cs="Times New Roman"/>
          <w:color w:val="auto"/>
          <w:kern w:val="0"/>
          <w:sz w:val="24"/>
          <w:highlight w:val="none"/>
        </w:rPr>
        <w:t>安装调试完毕</w:t>
      </w:r>
      <w:r>
        <w:rPr>
          <w:rFonts w:hint="eastAsia" w:ascii="Times New Roman" w:hAnsi="Times New Roman" w:cs="Times New Roman"/>
          <w:color w:val="auto"/>
          <w:kern w:val="0"/>
          <w:sz w:val="24"/>
          <w:highlight w:val="none"/>
          <w:lang w:eastAsia="zh-CN"/>
        </w:rPr>
        <w:t>。</w:t>
      </w:r>
    </w:p>
    <w:p w14:paraId="2E10354C">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联合体投标。</w:t>
      </w:r>
    </w:p>
    <w:p w14:paraId="19893CE7">
      <w:pPr>
        <w:pStyle w:val="42"/>
        <w:spacing w:before="0" w:after="0" w:line="480" w:lineRule="exact"/>
        <w:ind w:firstLine="643"/>
        <w:rPr>
          <w:rFonts w:hint="eastAsia" w:ascii="宋体" w:hAnsi="宋体" w:eastAsia="宋体" w:cs="宋体"/>
          <w:bCs/>
          <w:color w:val="auto"/>
          <w:szCs w:val="22"/>
          <w:highlight w:val="none"/>
        </w:rPr>
      </w:pPr>
      <w:bookmarkStart w:id="14" w:name="_Toc35393622"/>
      <w:bookmarkStart w:id="15" w:name="_Toc35393791"/>
      <w:bookmarkStart w:id="16" w:name="_Toc28359003"/>
      <w:bookmarkStart w:id="17" w:name="_Toc27291"/>
      <w:bookmarkStart w:id="18" w:name="_Toc28359080"/>
      <w:bookmarkStart w:id="19" w:name="_Toc38985264"/>
      <w:r>
        <w:rPr>
          <w:rFonts w:hint="eastAsia" w:ascii="宋体" w:hAnsi="宋体" w:eastAsia="宋体" w:cs="宋体"/>
          <w:bCs/>
          <w:color w:val="auto"/>
          <w:szCs w:val="22"/>
          <w:highlight w:val="none"/>
        </w:rPr>
        <w:t>二、申请人的资格要求</w:t>
      </w:r>
      <w:bookmarkEnd w:id="14"/>
      <w:bookmarkEnd w:id="15"/>
      <w:bookmarkEnd w:id="16"/>
      <w:bookmarkEnd w:id="17"/>
      <w:bookmarkEnd w:id="18"/>
      <w:bookmarkEnd w:id="19"/>
    </w:p>
    <w:p w14:paraId="69F8A014">
      <w:pPr>
        <w:spacing w:line="480" w:lineRule="exact"/>
        <w:ind w:firstLine="480"/>
        <w:rPr>
          <w:rFonts w:hint="eastAsia" w:ascii="宋体" w:hAnsi="宋体" w:eastAsia="宋体" w:cs="宋体"/>
          <w:color w:val="auto"/>
          <w:sz w:val="24"/>
          <w:szCs w:val="24"/>
          <w:highlight w:val="none"/>
        </w:rPr>
      </w:pPr>
      <w:bookmarkStart w:id="20" w:name="_Toc28359004"/>
      <w:bookmarkStart w:id="21" w:name="_Toc38985265"/>
      <w:bookmarkStart w:id="22" w:name="_Toc28359081"/>
      <w:bookmarkStart w:id="23" w:name="_Toc35393623"/>
      <w:bookmarkStart w:id="24" w:name="_Toc35393792"/>
      <w:r>
        <w:rPr>
          <w:rFonts w:hint="eastAsia" w:ascii="宋体" w:hAnsi="宋体" w:eastAsia="宋体" w:cs="宋体"/>
          <w:color w:val="auto"/>
          <w:sz w:val="24"/>
          <w:szCs w:val="24"/>
          <w:highlight w:val="none"/>
        </w:rPr>
        <w:t>（一）通用资格要求</w:t>
      </w:r>
    </w:p>
    <w:p w14:paraId="65F3ACE9">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25" w:name="OLE_LINK28"/>
      <w:bookmarkStart w:id="26" w:name="OLE_LINK27"/>
      <w:r>
        <w:rPr>
          <w:rFonts w:hint="eastAsia" w:ascii="宋体" w:hAnsi="宋体" w:eastAsia="宋体" w:cs="宋体"/>
          <w:color w:val="auto"/>
          <w:sz w:val="24"/>
          <w:szCs w:val="24"/>
          <w:highlight w:val="none"/>
        </w:rPr>
        <w:t>具备《中华人民共和国政府采购法》第二十二条第一款规定的6项条件（按要求提供投标函）。</w:t>
      </w:r>
      <w:bookmarkEnd w:id="25"/>
      <w:bookmarkEnd w:id="26"/>
    </w:p>
    <w:p w14:paraId="71A859E8">
      <w:pPr>
        <w:numPr>
          <w:ilvl w:val="0"/>
          <w:numId w:val="0"/>
        </w:numPr>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bookmarkStart w:id="27" w:name="OLE_LINK30"/>
      <w:bookmarkStart w:id="28" w:name="OLE_LINK29"/>
      <w:r>
        <w:rPr>
          <w:rFonts w:hint="eastAsia" w:ascii="宋体" w:hAnsi="宋体" w:eastAsia="宋体" w:cs="宋体"/>
          <w:color w:val="auto"/>
          <w:sz w:val="24"/>
          <w:szCs w:val="24"/>
          <w:highlight w:val="none"/>
        </w:rPr>
        <w:t>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信用信息查询截止时间：资格审查结束前。由采购人在资格审查现场查询信用信息，网页截屏打印，查询结果留存并归档。</w:t>
      </w:r>
    </w:p>
    <w:bookmarkEnd w:id="27"/>
    <w:bookmarkEnd w:id="28"/>
    <w:p w14:paraId="2247C0DA">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3.落实政府采购政策需满足的资格要求：</w:t>
      </w:r>
      <w:bookmarkStart w:id="29" w:name="OLE_LINK31"/>
      <w:bookmarkStart w:id="30" w:name="OLE_LINK32"/>
      <w:r>
        <w:rPr>
          <w:rFonts w:hint="eastAsia" w:ascii="宋体" w:hAnsi="宋体" w:eastAsia="宋体" w:cs="宋体"/>
          <w:color w:val="auto"/>
          <w:sz w:val="24"/>
          <w:szCs w:val="24"/>
          <w:highlight w:val="none"/>
        </w:rPr>
        <w:t>无。</w:t>
      </w:r>
      <w:bookmarkEnd w:id="29"/>
      <w:bookmarkEnd w:id="30"/>
    </w:p>
    <w:p w14:paraId="6BAB4E3D">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（二）本项目的特定资格要求：无。</w:t>
      </w:r>
    </w:p>
    <w:p w14:paraId="45E5D205">
      <w:pPr>
        <w:pStyle w:val="42"/>
        <w:spacing w:before="0" w:after="0" w:line="480" w:lineRule="exact"/>
        <w:ind w:firstLine="643"/>
        <w:rPr>
          <w:rFonts w:hint="eastAsia" w:ascii="宋体" w:hAnsi="宋体" w:eastAsia="宋体" w:cs="宋体"/>
          <w:bCs/>
          <w:color w:val="auto"/>
          <w:szCs w:val="22"/>
          <w:highlight w:val="none"/>
        </w:rPr>
      </w:pPr>
      <w:bookmarkStart w:id="31" w:name="_Toc22204"/>
      <w:r>
        <w:rPr>
          <w:rFonts w:hint="eastAsia" w:ascii="宋体" w:hAnsi="宋体" w:eastAsia="宋体" w:cs="宋体"/>
          <w:bCs/>
          <w:color w:val="auto"/>
          <w:szCs w:val="22"/>
          <w:highlight w:val="none"/>
        </w:rPr>
        <w:t>三、获取招标文件</w:t>
      </w:r>
      <w:bookmarkEnd w:id="20"/>
      <w:bookmarkEnd w:id="21"/>
      <w:bookmarkEnd w:id="22"/>
      <w:bookmarkEnd w:id="23"/>
      <w:bookmarkEnd w:id="24"/>
      <w:bookmarkEnd w:id="31"/>
    </w:p>
    <w:p w14:paraId="3F6C93B7">
      <w:pPr>
        <w:pStyle w:val="42"/>
        <w:spacing w:before="0" w:after="0" w:line="480" w:lineRule="exact"/>
        <w:ind w:firstLine="643"/>
        <w:rPr>
          <w:rFonts w:hint="eastAsia" w:ascii="宋体" w:hAnsi="宋体" w:eastAsia="宋体" w:cs="宋体"/>
          <w:b w:val="0"/>
          <w:color w:val="auto"/>
          <w:sz w:val="24"/>
          <w:szCs w:val="24"/>
          <w:highlight w:val="none"/>
          <w:lang w:val="en-US" w:eastAsia="zh-CN" w:bidi="ar-SA"/>
        </w:rPr>
      </w:pPr>
      <w:bookmarkStart w:id="32" w:name="_Toc28359082"/>
      <w:bookmarkStart w:id="33" w:name="_Toc28359005"/>
      <w:bookmarkStart w:id="34" w:name="_Toc35393624"/>
      <w:bookmarkStart w:id="35" w:name="_Toc35393793"/>
      <w:bookmarkStart w:id="36" w:name="_Toc38985266"/>
      <w:bookmarkStart w:id="37" w:name="_Toc19148"/>
      <w:r>
        <w:rPr>
          <w:rFonts w:hint="eastAsia" w:ascii="宋体" w:hAnsi="宋体" w:eastAsia="宋体" w:cs="宋体"/>
          <w:b w:val="0"/>
          <w:color w:val="auto"/>
          <w:sz w:val="24"/>
          <w:szCs w:val="24"/>
          <w:highlight w:val="none"/>
          <w:lang w:val="en-US" w:eastAsia="zh-CN" w:bidi="ar-SA"/>
        </w:rPr>
        <w:t>（一）自招标文件公告发布之日起5个工作日 ；</w:t>
      </w:r>
    </w:p>
    <w:p w14:paraId="4E0D6CF3">
      <w:pPr>
        <w:pStyle w:val="42"/>
        <w:spacing w:before="0" w:after="0" w:line="480" w:lineRule="exact"/>
        <w:ind w:firstLine="643"/>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（二）采购文件获取地点：宿迁建威工程咨询有限公司二楼代理一科；</w:t>
      </w:r>
    </w:p>
    <w:p w14:paraId="044225DD">
      <w:pPr>
        <w:pStyle w:val="42"/>
        <w:spacing w:before="0" w:after="0" w:line="480" w:lineRule="exact"/>
        <w:ind w:firstLine="643"/>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三）采购文件获取方式：投标人应在招标文件提供的时间内，在宿迁建威工程咨询有限公司获取招标文件，获取文件联系方式：0527-81888178（邮箱：1029180858@qq.com），获取文件所需提供资料：营业执照、授权委托书及代理人身份证原件（扫描件）；</w:t>
      </w:r>
    </w:p>
    <w:p w14:paraId="0141A5B4">
      <w:pPr>
        <w:ind w:firstLine="720" w:firstLineChars="300"/>
        <w:rPr>
          <w:rFonts w:hint="default"/>
          <w:color w:val="auto"/>
          <w:highlight w:val="none"/>
          <w:lang w:val="en-US" w:eastAsia="zh-CN"/>
        </w:rPr>
      </w:pPr>
      <w:r>
        <w:rPr>
          <w:rFonts w:hint="eastAsia" w:ascii="宋体" w:hAnsi="宋体" w:cs="宋体"/>
          <w:b w:val="0"/>
          <w:color w:val="auto"/>
          <w:sz w:val="24"/>
          <w:szCs w:val="24"/>
          <w:highlight w:val="none"/>
          <w:lang w:val="en-US" w:eastAsia="zh-CN" w:bidi="ar-SA"/>
        </w:rPr>
        <w:t>（四）售价：300元。</w:t>
      </w:r>
    </w:p>
    <w:p w14:paraId="352DA0B2">
      <w:pPr>
        <w:pStyle w:val="42"/>
        <w:spacing w:before="0" w:after="0" w:line="480" w:lineRule="exact"/>
        <w:ind w:firstLine="643"/>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四、提交投标文件</w:t>
      </w:r>
      <w:bookmarkEnd w:id="32"/>
      <w:bookmarkEnd w:id="33"/>
      <w:r>
        <w:rPr>
          <w:rFonts w:hint="eastAsia" w:ascii="宋体" w:hAnsi="宋体" w:eastAsia="宋体" w:cs="宋体"/>
          <w:bCs/>
          <w:color w:val="auto"/>
          <w:szCs w:val="22"/>
          <w:highlight w:val="none"/>
        </w:rPr>
        <w:t>截止时间、开标时间和地点</w:t>
      </w:r>
      <w:bookmarkEnd w:id="34"/>
      <w:bookmarkEnd w:id="35"/>
      <w:bookmarkEnd w:id="36"/>
      <w:bookmarkEnd w:id="37"/>
    </w:p>
    <w:p w14:paraId="714E2412">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1.提交投标文件截止时间、开标时间：202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u w:val="single"/>
          <w:lang w:val="en-US" w:eastAsia="zh-CN"/>
        </w:rPr>
        <w:t>04</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u w:val="single"/>
          <w:lang w:val="en-US" w:eastAsia="zh-CN"/>
        </w:rPr>
        <w:t>21</w:t>
      </w:r>
      <w:r>
        <w:rPr>
          <w:rFonts w:hint="eastAsia" w:ascii="宋体" w:hAnsi="宋体" w:eastAsia="宋体" w:cs="宋体"/>
          <w:color w:val="auto"/>
          <w:sz w:val="24"/>
          <w:szCs w:val="24"/>
          <w:highlight w:val="none"/>
        </w:rPr>
        <w:t>日09点30分（北京时间）</w:t>
      </w:r>
    </w:p>
    <w:p w14:paraId="4CC0EA47">
      <w:pPr>
        <w:spacing w:line="48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2.本项目采用：现场开标</w:t>
      </w:r>
    </w:p>
    <w:p w14:paraId="3B6F185A">
      <w:pPr>
        <w:spacing w:line="48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开标地点</w:t>
      </w:r>
      <w:r>
        <w:rPr>
          <w:rFonts w:hint="eastAsia" w:ascii="宋体" w:hAnsi="宋体" w:eastAsia="宋体" w:cs="宋体"/>
          <w:color w:val="auto"/>
          <w:sz w:val="24"/>
          <w:szCs w:val="24"/>
          <w:highlight w:val="none"/>
        </w:rPr>
        <w:t>：宿迁建威工程咨询有限公司三楼会议室（宿迁市洪泽湖路府苑小区商住楼A座）。</w:t>
      </w:r>
    </w:p>
    <w:p w14:paraId="6580F57F">
      <w:pPr>
        <w:pStyle w:val="42"/>
        <w:spacing w:before="0" w:after="0" w:line="480" w:lineRule="exact"/>
        <w:ind w:firstLine="643"/>
        <w:rPr>
          <w:rFonts w:hint="eastAsia" w:ascii="宋体" w:hAnsi="宋体" w:eastAsia="宋体" w:cs="宋体"/>
          <w:bCs/>
          <w:color w:val="auto"/>
          <w:szCs w:val="22"/>
          <w:highlight w:val="none"/>
        </w:rPr>
      </w:pPr>
      <w:bookmarkStart w:id="38" w:name="_Toc35393794"/>
      <w:bookmarkStart w:id="39" w:name="_Toc38985267"/>
      <w:bookmarkStart w:id="40" w:name="_Toc35393625"/>
      <w:bookmarkStart w:id="41" w:name="_Toc28359007"/>
      <w:bookmarkStart w:id="42" w:name="_Toc24820"/>
      <w:bookmarkStart w:id="43" w:name="_Toc28359084"/>
      <w:r>
        <w:rPr>
          <w:rFonts w:hint="eastAsia" w:ascii="宋体" w:hAnsi="宋体" w:eastAsia="宋体" w:cs="宋体"/>
          <w:bCs/>
          <w:color w:val="auto"/>
          <w:szCs w:val="22"/>
          <w:highlight w:val="none"/>
        </w:rPr>
        <w:t>五、公告期限</w:t>
      </w:r>
      <w:bookmarkEnd w:id="38"/>
      <w:bookmarkEnd w:id="39"/>
      <w:bookmarkEnd w:id="40"/>
      <w:bookmarkEnd w:id="41"/>
      <w:bookmarkEnd w:id="42"/>
      <w:bookmarkEnd w:id="43"/>
    </w:p>
    <w:p w14:paraId="4AD50F48">
      <w:pPr>
        <w:spacing w:line="480" w:lineRule="exact"/>
        <w:ind w:firstLine="480"/>
        <w:rPr>
          <w:rFonts w:hint="eastAsia" w:ascii="宋体" w:hAnsi="宋体" w:eastAsia="宋体" w:cs="宋体"/>
          <w:color w:val="auto"/>
          <w:sz w:val="24"/>
          <w:szCs w:val="24"/>
          <w:highlight w:val="none"/>
        </w:rPr>
      </w:pPr>
      <w:bookmarkStart w:id="44" w:name="_Toc35393626"/>
      <w:bookmarkStart w:id="45" w:name="_Toc38985268"/>
      <w:bookmarkStart w:id="46" w:name="_Toc35393795"/>
      <w:r>
        <w:rPr>
          <w:rFonts w:hint="eastAsia" w:ascii="宋体" w:hAnsi="宋体" w:eastAsia="宋体" w:cs="宋体"/>
          <w:color w:val="auto"/>
          <w:sz w:val="24"/>
          <w:szCs w:val="24"/>
          <w:highlight w:val="none"/>
        </w:rPr>
        <w:t>招标公告及招标文件公告期限为自本公告发布之日起5个工作日。</w:t>
      </w:r>
    </w:p>
    <w:p w14:paraId="1AAC643C">
      <w:pPr>
        <w:pStyle w:val="42"/>
        <w:spacing w:before="0" w:after="0" w:line="480" w:lineRule="exact"/>
        <w:ind w:firstLine="643"/>
        <w:rPr>
          <w:rFonts w:hint="eastAsia" w:ascii="宋体" w:hAnsi="宋体" w:eastAsia="宋体" w:cs="宋体"/>
          <w:bCs/>
          <w:color w:val="auto"/>
          <w:szCs w:val="22"/>
          <w:highlight w:val="none"/>
        </w:rPr>
      </w:pPr>
      <w:bookmarkStart w:id="47" w:name="_Toc13415"/>
      <w:r>
        <w:rPr>
          <w:rFonts w:hint="eastAsia" w:ascii="宋体" w:hAnsi="宋体" w:eastAsia="宋体" w:cs="宋体"/>
          <w:bCs/>
          <w:color w:val="auto"/>
          <w:szCs w:val="22"/>
          <w:highlight w:val="none"/>
        </w:rPr>
        <w:t>六、其他补充事宜</w:t>
      </w:r>
      <w:bookmarkEnd w:id="44"/>
      <w:bookmarkEnd w:id="45"/>
      <w:bookmarkEnd w:id="46"/>
      <w:bookmarkEnd w:id="47"/>
    </w:p>
    <w:p w14:paraId="59F3C3DD">
      <w:pPr>
        <w:spacing w:line="480" w:lineRule="exact"/>
        <w:ind w:firstLine="480"/>
        <w:rPr>
          <w:rFonts w:hint="eastAsia" w:ascii="宋体" w:hAnsi="宋体" w:eastAsia="宋体" w:cs="宋体"/>
          <w:color w:val="auto"/>
          <w:sz w:val="24"/>
          <w:szCs w:val="24"/>
          <w:highlight w:val="none"/>
        </w:rPr>
      </w:pPr>
      <w:bookmarkStart w:id="48" w:name="EB64e1f522fd8c43fcb4d3ba471386b3e7"/>
      <w:bookmarkStart w:id="49" w:name="_Toc35393796"/>
      <w:bookmarkStart w:id="50" w:name="_Toc38985269"/>
      <w:bookmarkStart w:id="51" w:name="_Toc35393627"/>
      <w:bookmarkStart w:id="52" w:name="_Toc28359008"/>
      <w:bookmarkStart w:id="53" w:name="_Toc28359085"/>
      <w:r>
        <w:rPr>
          <w:rFonts w:hint="eastAsia" w:ascii="宋体" w:hAnsi="宋体" w:eastAsia="宋体" w:cs="宋体"/>
          <w:color w:val="auto"/>
          <w:sz w:val="24"/>
          <w:szCs w:val="24"/>
          <w:highlight w:val="none"/>
        </w:rPr>
        <w:t>招标公告发布媒体：</w:t>
      </w:r>
      <w:bookmarkStart w:id="54" w:name="OLE_LINK3"/>
      <w:r>
        <w:rPr>
          <w:rFonts w:hint="eastAsia" w:ascii="宋体" w:hAnsi="宋体" w:eastAsia="宋体" w:cs="宋体"/>
          <w:color w:val="auto"/>
          <w:sz w:val="24"/>
          <w:szCs w:val="24"/>
          <w:highlight w:val="none"/>
        </w:rPr>
        <w:t>江苏政府采购网</w:t>
      </w:r>
      <w:bookmarkEnd w:id="54"/>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宿迁学院网</w:t>
      </w:r>
      <w:r>
        <w:rPr>
          <w:rFonts w:hint="eastAsia" w:ascii="宋体" w:hAnsi="宋体" w:eastAsia="宋体" w:cs="宋体"/>
          <w:color w:val="auto"/>
          <w:sz w:val="24"/>
          <w:szCs w:val="24"/>
          <w:highlight w:val="none"/>
        </w:rPr>
        <w:t>等。</w:t>
      </w:r>
    </w:p>
    <w:bookmarkEnd w:id="48"/>
    <w:p w14:paraId="599389CD">
      <w:pPr>
        <w:pStyle w:val="42"/>
        <w:spacing w:before="0" w:after="0" w:line="480" w:lineRule="exact"/>
        <w:ind w:firstLine="643"/>
        <w:rPr>
          <w:rFonts w:hint="eastAsia" w:ascii="宋体" w:hAnsi="宋体" w:eastAsia="宋体" w:cs="宋体"/>
          <w:bCs/>
          <w:color w:val="auto"/>
          <w:szCs w:val="22"/>
          <w:highlight w:val="none"/>
        </w:rPr>
      </w:pPr>
      <w:bookmarkStart w:id="55" w:name="_Toc29049"/>
      <w:r>
        <w:rPr>
          <w:rFonts w:hint="eastAsia" w:ascii="宋体" w:hAnsi="宋体" w:eastAsia="宋体" w:cs="宋体"/>
          <w:bCs/>
          <w:color w:val="auto"/>
          <w:szCs w:val="22"/>
          <w:highlight w:val="none"/>
        </w:rPr>
        <w:t>七、本次招标联系方式</w:t>
      </w:r>
      <w:bookmarkEnd w:id="49"/>
      <w:bookmarkEnd w:id="50"/>
      <w:bookmarkEnd w:id="51"/>
      <w:bookmarkEnd w:id="52"/>
      <w:bookmarkEnd w:id="53"/>
      <w:bookmarkEnd w:id="55"/>
    </w:p>
    <w:p w14:paraId="12B36BD1">
      <w:pPr>
        <w:widowControl/>
        <w:spacing w:line="480" w:lineRule="exact"/>
        <w:ind w:firstLine="480"/>
        <w:jc w:val="left"/>
        <w:rPr>
          <w:rFonts w:hint="eastAsia" w:ascii="宋体" w:hAnsi="宋体" w:eastAsia="宋体" w:cs="宋体"/>
          <w:color w:val="auto"/>
          <w:sz w:val="24"/>
          <w:szCs w:val="24"/>
          <w:highlight w:val="none"/>
        </w:rPr>
      </w:pPr>
      <w:bookmarkStart w:id="56" w:name="_Toc28359009"/>
      <w:bookmarkStart w:id="57" w:name="_Toc28359086"/>
      <w:r>
        <w:rPr>
          <w:rFonts w:hint="eastAsia" w:ascii="宋体" w:hAnsi="宋体" w:eastAsia="宋体" w:cs="宋体"/>
          <w:color w:val="auto"/>
          <w:sz w:val="24"/>
          <w:szCs w:val="24"/>
          <w:highlight w:val="none"/>
        </w:rPr>
        <w:t>1.采购人信息</w:t>
      </w:r>
    </w:p>
    <w:p w14:paraId="37D12CB0">
      <w:pPr>
        <w:spacing w:line="480" w:lineRule="exact"/>
        <w:ind w:firstLine="48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名   称：</w:t>
      </w:r>
      <w:r>
        <w:rPr>
          <w:rFonts w:hint="eastAsia" w:ascii="宋体" w:hAnsi="宋体" w:eastAsia="宋体" w:cs="宋体"/>
          <w:color w:val="auto"/>
          <w:sz w:val="24"/>
          <w:szCs w:val="24"/>
          <w:highlight w:val="none"/>
          <w:u w:val="none"/>
          <w:lang w:eastAsia="zh-CN"/>
        </w:rPr>
        <w:t>宿迁学院</w:t>
      </w:r>
      <w:r>
        <w:rPr>
          <w:rFonts w:hint="eastAsia" w:ascii="宋体" w:hAnsi="宋体" w:eastAsia="宋体" w:cs="宋体"/>
          <w:color w:val="auto"/>
          <w:sz w:val="24"/>
          <w:szCs w:val="24"/>
          <w:highlight w:val="none"/>
          <w:u w:val="none"/>
        </w:rPr>
        <w:t xml:space="preserve"> </w:t>
      </w:r>
    </w:p>
    <w:p w14:paraId="482CF615">
      <w:pPr>
        <w:spacing w:line="480" w:lineRule="exact"/>
        <w:ind w:firstLine="48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地   址：江苏省宿迁市黄河南路399号</w:t>
      </w:r>
    </w:p>
    <w:p w14:paraId="55A59DAB">
      <w:pPr>
        <w:spacing w:line="480" w:lineRule="exact"/>
        <w:ind w:firstLine="482"/>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pacing w:val="60"/>
          <w:sz w:val="24"/>
          <w:szCs w:val="24"/>
          <w:highlight w:val="none"/>
          <w:u w:val="none"/>
        </w:rPr>
        <w:t>联系</w:t>
      </w:r>
      <w:r>
        <w:rPr>
          <w:rFonts w:hint="eastAsia" w:ascii="宋体" w:hAnsi="宋体" w:eastAsia="宋体" w:cs="宋体"/>
          <w:color w:val="auto"/>
          <w:sz w:val="24"/>
          <w:szCs w:val="24"/>
          <w:highlight w:val="none"/>
          <w:u w:val="none"/>
        </w:rPr>
        <w:t>人：</w:t>
      </w:r>
      <w:r>
        <w:rPr>
          <w:rFonts w:hint="eastAsia" w:ascii="宋体" w:hAnsi="宋体" w:cs="宋体"/>
          <w:color w:val="auto"/>
          <w:sz w:val="24"/>
          <w:highlight w:val="none"/>
          <w:u w:val="none"/>
          <w:lang w:val="en-US" w:eastAsia="zh-CN"/>
        </w:rPr>
        <w:t>师</w:t>
      </w:r>
      <w:r>
        <w:rPr>
          <w:rFonts w:hint="eastAsia" w:ascii="宋体" w:hAnsi="宋体" w:eastAsia="宋体" w:cs="宋体"/>
          <w:color w:val="auto"/>
          <w:sz w:val="24"/>
          <w:highlight w:val="none"/>
          <w:u w:val="none"/>
          <w:lang w:val="en-US" w:eastAsia="zh-CN"/>
        </w:rPr>
        <w:t>老师</w:t>
      </w:r>
      <w:r>
        <w:rPr>
          <w:rFonts w:hint="eastAsia" w:ascii="宋体" w:hAnsi="宋体" w:cs="宋体"/>
          <w:color w:val="auto"/>
          <w:sz w:val="24"/>
          <w:highlight w:val="none"/>
          <w:u w:val="none"/>
          <w:lang w:val="en-US" w:eastAsia="zh-CN"/>
        </w:rPr>
        <w:t>、朱老师</w:t>
      </w:r>
    </w:p>
    <w:p w14:paraId="180AA979">
      <w:pPr>
        <w:spacing w:line="480" w:lineRule="exact"/>
        <w:ind w:firstLine="480"/>
        <w:jc w:val="left"/>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联系方式：</w:t>
      </w:r>
      <w:bookmarkStart w:id="58" w:name="OLE_LINK9"/>
      <w:r>
        <w:rPr>
          <w:rFonts w:hint="eastAsia" w:ascii="宋体" w:hAnsi="宋体" w:eastAsia="宋体" w:cs="宋体"/>
          <w:color w:val="auto"/>
          <w:sz w:val="24"/>
          <w:highlight w:val="none"/>
          <w:u w:val="none"/>
        </w:rPr>
        <w:t>0527-</w:t>
      </w:r>
      <w:bookmarkEnd w:id="58"/>
      <w:r>
        <w:rPr>
          <w:rFonts w:hint="eastAsia" w:ascii="宋体" w:hAnsi="宋体" w:cs="宋体"/>
          <w:color w:val="auto"/>
          <w:sz w:val="24"/>
          <w:highlight w:val="none"/>
          <w:u w:val="none"/>
          <w:lang w:val="en-US" w:eastAsia="zh-CN"/>
        </w:rPr>
        <w:t>84201005</w:t>
      </w:r>
    </w:p>
    <w:p w14:paraId="77260D06">
      <w:pPr>
        <w:spacing w:line="480" w:lineRule="exact"/>
        <w:ind w:firstLine="48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2.</w:t>
      </w:r>
      <w:bookmarkEnd w:id="56"/>
      <w:bookmarkEnd w:id="57"/>
      <w:r>
        <w:rPr>
          <w:rFonts w:hint="eastAsia" w:ascii="宋体" w:hAnsi="宋体" w:eastAsia="宋体" w:cs="宋体"/>
          <w:color w:val="auto"/>
          <w:sz w:val="24"/>
          <w:szCs w:val="24"/>
          <w:highlight w:val="none"/>
          <w:u w:val="none"/>
        </w:rPr>
        <w:t>采购代理机构信息</w:t>
      </w:r>
    </w:p>
    <w:p w14:paraId="5887E10F">
      <w:pPr>
        <w:spacing w:line="480" w:lineRule="exact"/>
        <w:ind w:firstLine="48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名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称：</w:t>
      </w:r>
      <w:r>
        <w:rPr>
          <w:rFonts w:hint="eastAsia" w:ascii="Times New Roman" w:hAnsi="Times New Roman"/>
          <w:caps w:val="0"/>
          <w:color w:val="auto"/>
          <w:sz w:val="24"/>
          <w:szCs w:val="24"/>
          <w:highlight w:val="none"/>
          <w:u w:val="none"/>
          <w:lang w:val="en-US" w:eastAsia="zh-CN"/>
        </w:rPr>
        <w:t>宿迁建威工程咨询有限公司</w:t>
      </w:r>
    </w:p>
    <w:p w14:paraId="4FDB1825">
      <w:pPr>
        <w:spacing w:line="480" w:lineRule="exact"/>
        <w:ind w:firstLine="48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地</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址：</w:t>
      </w:r>
      <w:r>
        <w:rPr>
          <w:rFonts w:hint="eastAsia" w:ascii="Times New Roman" w:hAnsi="Times New Roman"/>
          <w:caps w:val="0"/>
          <w:color w:val="auto"/>
          <w:sz w:val="24"/>
          <w:szCs w:val="24"/>
          <w:highlight w:val="none"/>
          <w:u w:val="none"/>
        </w:rPr>
        <w:t>宿迁市府苑小区商住楼A座2楼</w:t>
      </w:r>
    </w:p>
    <w:p w14:paraId="456D2A0B">
      <w:pPr>
        <w:spacing w:line="480" w:lineRule="exact"/>
        <w:ind w:firstLine="48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联系人：</w:t>
      </w:r>
      <w:r>
        <w:rPr>
          <w:rFonts w:hint="eastAsia" w:ascii="Times New Roman" w:eastAsia="宋体"/>
          <w:caps w:val="0"/>
          <w:color w:val="auto"/>
          <w:sz w:val="24"/>
          <w:szCs w:val="24"/>
          <w:highlight w:val="none"/>
          <w:u w:val="none"/>
          <w:lang w:val="en-US" w:eastAsia="zh-CN"/>
        </w:rPr>
        <w:t>李许静</w:t>
      </w:r>
    </w:p>
    <w:p w14:paraId="511B5D7F">
      <w:pPr>
        <w:spacing w:line="480" w:lineRule="exact"/>
        <w:ind w:firstLine="48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联系方式：</w:t>
      </w:r>
      <w:r>
        <w:rPr>
          <w:rFonts w:hint="eastAsia" w:ascii="Times New Roman" w:eastAsia="宋体"/>
          <w:caps w:val="0"/>
          <w:color w:val="auto"/>
          <w:sz w:val="24"/>
          <w:szCs w:val="24"/>
          <w:highlight w:val="none"/>
          <w:u w:val="none"/>
          <w:lang w:val="en-US" w:eastAsia="zh-CN"/>
        </w:rPr>
        <w:t>0527-81888178</w:t>
      </w:r>
    </w:p>
    <w:p w14:paraId="19C8FF50">
      <w:pPr>
        <w:spacing w:line="480" w:lineRule="exact"/>
        <w:ind w:firstLine="480"/>
        <w:jc w:val="center"/>
        <w:outlineLvl w:val="0"/>
        <w:rPr>
          <w:rFonts w:hint="eastAsia" w:ascii="宋体" w:hAnsi="宋体" w:eastAsia="宋体" w:cs="宋体"/>
          <w:color w:val="auto"/>
          <w:sz w:val="44"/>
          <w:highlight w:val="none"/>
        </w:rPr>
      </w:pPr>
      <w:r>
        <w:rPr>
          <w:rFonts w:hint="eastAsia" w:ascii="宋体" w:hAnsi="宋体" w:eastAsia="宋体" w:cs="宋体"/>
          <w:color w:val="auto"/>
          <w:sz w:val="24"/>
          <w:highlight w:val="none"/>
        </w:rPr>
        <w:br w:type="page" w:clear="all"/>
      </w:r>
      <w:bookmarkStart w:id="59" w:name="_Toc81575190"/>
      <w:bookmarkStart w:id="60" w:name="_Toc81575153"/>
      <w:bookmarkStart w:id="61" w:name="_Toc15265"/>
      <w:bookmarkStart w:id="62" w:name="_Toc9425"/>
      <w:bookmarkStart w:id="63" w:name="_Toc11687"/>
      <w:r>
        <w:rPr>
          <w:rFonts w:hint="eastAsia" w:ascii="宋体" w:hAnsi="宋体" w:eastAsia="宋体" w:cs="宋体"/>
          <w:color w:val="auto"/>
          <w:sz w:val="44"/>
          <w:highlight w:val="none"/>
        </w:rPr>
        <w:t>第二章  投标人须知</w:t>
      </w:r>
      <w:bookmarkEnd w:id="59"/>
      <w:bookmarkEnd w:id="60"/>
      <w:bookmarkEnd w:id="61"/>
      <w:bookmarkEnd w:id="62"/>
      <w:bookmarkEnd w:id="63"/>
    </w:p>
    <w:p w14:paraId="6C9588A0">
      <w:pPr>
        <w:pStyle w:val="42"/>
        <w:spacing w:before="0" w:after="120" w:line="520" w:lineRule="exact"/>
        <w:rPr>
          <w:rFonts w:hint="eastAsia" w:ascii="宋体" w:hAnsi="宋体" w:eastAsia="宋体" w:cs="宋体"/>
          <w:bCs/>
          <w:color w:val="auto"/>
          <w:szCs w:val="22"/>
          <w:highlight w:val="none"/>
        </w:rPr>
      </w:pPr>
      <w:bookmarkStart w:id="64" w:name="_Toc4529"/>
      <w:r>
        <w:rPr>
          <w:rFonts w:hint="eastAsia" w:ascii="宋体" w:hAnsi="宋体" w:eastAsia="宋体" w:cs="宋体"/>
          <w:bCs/>
          <w:color w:val="auto"/>
          <w:szCs w:val="22"/>
          <w:highlight w:val="none"/>
        </w:rPr>
        <w:t>投标人须知前附表：</w:t>
      </w:r>
      <w:bookmarkEnd w:id="64"/>
    </w:p>
    <w:tbl>
      <w:tblPr>
        <w:tblStyle w:val="30"/>
        <w:tblpPr w:leftFromText="180" w:rightFromText="180" w:vertAnchor="text" w:horzAnchor="page" w:tblpX="1530" w:tblpY="22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7ED0A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7686A27">
            <w:pPr>
              <w:jc w:val="center"/>
              <w:rPr>
                <w:rFonts w:hint="eastAsia" w:ascii="宋体" w:hAnsi="宋体" w:eastAsia="宋体" w:cs="宋体"/>
                <w:b/>
                <w:color w:val="auto"/>
                <w:sz w:val="24"/>
                <w:szCs w:val="24"/>
                <w:highlight w:val="none"/>
              </w:rPr>
            </w:pPr>
            <w:bookmarkStart w:id="65" w:name="_Toc81575191"/>
            <w:bookmarkStart w:id="66" w:name="_Toc29262"/>
            <w:bookmarkStart w:id="67" w:name="_Toc81575154"/>
            <w:r>
              <w:rPr>
                <w:rFonts w:hint="eastAsia" w:ascii="宋体" w:hAnsi="宋体" w:eastAsia="宋体" w:cs="宋体"/>
                <w:b/>
                <w:color w:val="auto"/>
                <w:sz w:val="24"/>
                <w:szCs w:val="24"/>
                <w:highlight w:val="none"/>
              </w:rPr>
              <w:t>序号</w:t>
            </w:r>
          </w:p>
        </w:tc>
        <w:tc>
          <w:tcPr>
            <w:tcW w:w="1772" w:type="dxa"/>
            <w:tcBorders>
              <w:top w:val="single" w:color="000000" w:sz="4" w:space="0"/>
              <w:left w:val="nil"/>
              <w:bottom w:val="single" w:color="000000" w:sz="4" w:space="0"/>
              <w:right w:val="single" w:color="000000" w:sz="4" w:space="0"/>
            </w:tcBorders>
            <w:noWrap w:val="0"/>
            <w:vAlign w:val="center"/>
          </w:tcPr>
          <w:p w14:paraId="6CD08CAE">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内容</w:t>
            </w:r>
          </w:p>
        </w:tc>
        <w:tc>
          <w:tcPr>
            <w:tcW w:w="6579" w:type="dxa"/>
            <w:tcBorders>
              <w:top w:val="single" w:color="000000" w:sz="4" w:space="0"/>
              <w:left w:val="nil"/>
              <w:bottom w:val="single" w:color="000000" w:sz="4" w:space="0"/>
              <w:right w:val="single" w:color="000000" w:sz="4" w:space="0"/>
            </w:tcBorders>
            <w:noWrap w:val="0"/>
            <w:vAlign w:val="center"/>
          </w:tcPr>
          <w:p w14:paraId="7754A37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说明及要求</w:t>
            </w:r>
          </w:p>
        </w:tc>
      </w:tr>
      <w:tr w14:paraId="61C47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42754C5E">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72" w:type="dxa"/>
            <w:tcBorders>
              <w:top w:val="single" w:color="000000" w:sz="4" w:space="0"/>
              <w:left w:val="nil"/>
              <w:bottom w:val="single" w:color="000000" w:sz="4" w:space="0"/>
              <w:right w:val="single" w:color="000000" w:sz="4" w:space="0"/>
            </w:tcBorders>
            <w:noWrap w:val="0"/>
            <w:vAlign w:val="center"/>
          </w:tcPr>
          <w:p w14:paraId="6E80E51E">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tc>
        <w:tc>
          <w:tcPr>
            <w:tcW w:w="6579" w:type="dxa"/>
            <w:tcBorders>
              <w:top w:val="single" w:color="000000" w:sz="4" w:space="0"/>
              <w:left w:val="nil"/>
              <w:bottom w:val="single" w:color="000000" w:sz="4" w:space="0"/>
              <w:right w:val="single" w:color="000000" w:sz="4" w:space="0"/>
            </w:tcBorders>
            <w:noWrap w:val="0"/>
            <w:vAlign w:val="center"/>
          </w:tcPr>
          <w:p w14:paraId="30262A74">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bookmarkStart w:id="68" w:name="EB9a5853ee094f4f0ea6ec3169265f6f2c"/>
            <w:r>
              <w:rPr>
                <w:rFonts w:hint="eastAsia" w:ascii="宋体" w:hAnsi="宋体" w:eastAsia="宋体" w:cs="宋体"/>
                <w:color w:val="auto"/>
                <w:sz w:val="24"/>
                <w:szCs w:val="24"/>
                <w:highlight w:val="none"/>
              </w:rPr>
              <w:t>属性按以下第</w:t>
            </w:r>
            <w:bookmarkEnd w:id="68"/>
            <w:r>
              <w:rPr>
                <w:rFonts w:hint="eastAsia" w:ascii="宋体" w:hAnsi="宋体" w:eastAsia="宋体" w:cs="宋体"/>
                <w:color w:val="auto"/>
                <w:sz w:val="24"/>
                <w:szCs w:val="24"/>
                <w:highlight w:val="none"/>
              </w:rPr>
              <w:t>1种确定：</w:t>
            </w:r>
          </w:p>
          <w:p w14:paraId="316D85EC">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w:t>
            </w:r>
            <w:bookmarkStart w:id="69" w:name="EBd5c6c026f9674c39b21b31ecd0c1e7fa"/>
            <w:r>
              <w:rPr>
                <w:rFonts w:hint="eastAsia" w:ascii="宋体" w:hAnsi="宋体" w:eastAsia="宋体" w:cs="宋体"/>
                <w:color w:val="auto"/>
                <w:sz w:val="24"/>
                <w:szCs w:val="24"/>
                <w:highlight w:val="none"/>
              </w:rPr>
              <w:t>采购；2.</w:t>
            </w:r>
            <w:bookmarkEnd w:id="69"/>
            <w:r>
              <w:rPr>
                <w:rFonts w:hint="eastAsia" w:ascii="宋体" w:hAnsi="宋体" w:eastAsia="宋体" w:cs="宋体"/>
                <w:color w:val="auto"/>
                <w:sz w:val="24"/>
                <w:szCs w:val="24"/>
                <w:highlight w:val="none"/>
              </w:rPr>
              <w:t>服务</w:t>
            </w:r>
            <w:bookmarkStart w:id="70" w:name="EBf7d2a4f44ecb4166a93ea852e73be69f"/>
            <w:r>
              <w:rPr>
                <w:rFonts w:hint="eastAsia" w:ascii="宋体" w:hAnsi="宋体" w:eastAsia="宋体" w:cs="宋体"/>
                <w:color w:val="auto"/>
                <w:sz w:val="24"/>
                <w:szCs w:val="24"/>
                <w:highlight w:val="none"/>
              </w:rPr>
              <w:t>采购；3.</w:t>
            </w:r>
            <w:bookmarkEnd w:id="70"/>
            <w:r>
              <w:rPr>
                <w:rFonts w:hint="eastAsia" w:ascii="宋体" w:hAnsi="宋体" w:eastAsia="宋体" w:cs="宋体"/>
                <w:color w:val="auto"/>
                <w:sz w:val="24"/>
                <w:szCs w:val="24"/>
                <w:highlight w:val="none"/>
              </w:rPr>
              <w:t>工程采购。</w:t>
            </w:r>
          </w:p>
        </w:tc>
      </w:tr>
      <w:tr w14:paraId="43203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562D3564">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72" w:type="dxa"/>
            <w:tcBorders>
              <w:top w:val="single" w:color="000000" w:sz="4" w:space="0"/>
              <w:left w:val="nil"/>
              <w:bottom w:val="single" w:color="000000" w:sz="4" w:space="0"/>
              <w:right w:val="single" w:color="000000" w:sz="4" w:space="0"/>
            </w:tcBorders>
            <w:noWrap w:val="0"/>
            <w:vAlign w:val="center"/>
          </w:tcPr>
          <w:p w14:paraId="19EC2CAE">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579" w:type="dxa"/>
            <w:tcBorders>
              <w:top w:val="single" w:color="000000" w:sz="4" w:space="0"/>
              <w:left w:val="nil"/>
              <w:bottom w:val="single" w:color="000000" w:sz="4" w:space="0"/>
              <w:right w:val="single" w:color="000000" w:sz="4" w:space="0"/>
            </w:tcBorders>
            <w:noWrap w:val="0"/>
            <w:vAlign w:val="center"/>
          </w:tcPr>
          <w:p w14:paraId="6940B2FA">
            <w:pPr>
              <w:spacing w:line="400" w:lineRule="exact"/>
              <w:jc w:val="left"/>
              <w:rPr>
                <w:rFonts w:hint="eastAsia" w:ascii="宋体" w:hAnsi="宋体" w:eastAsia="宋体" w:cs="宋体"/>
                <w:color w:val="auto"/>
                <w:sz w:val="24"/>
                <w:szCs w:val="24"/>
                <w:highlight w:val="none"/>
              </w:rPr>
            </w:pPr>
            <w:bookmarkStart w:id="71" w:name="EBd40b5fb42f2944a3b45e579ce3941f02"/>
            <w:bookmarkEnd w:id="71"/>
            <w:r>
              <w:rPr>
                <w:rFonts w:hint="eastAsia" w:ascii="宋体" w:hAnsi="宋体" w:eastAsia="宋体" w:cs="宋体"/>
                <w:color w:val="auto"/>
                <w:sz w:val="24"/>
                <w:szCs w:val="24"/>
                <w:highlight w:val="none"/>
              </w:rPr>
              <w:t>60日（从提交投标文件截止之日起算）</w:t>
            </w:r>
          </w:p>
        </w:tc>
      </w:tr>
      <w:tr w14:paraId="0A2C1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7ECF44E4">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772" w:type="dxa"/>
            <w:tcBorders>
              <w:top w:val="single" w:color="000000" w:sz="4" w:space="0"/>
              <w:left w:val="nil"/>
              <w:bottom w:val="single" w:color="000000" w:sz="4" w:space="0"/>
              <w:right w:val="single" w:color="000000" w:sz="4" w:space="0"/>
            </w:tcBorders>
            <w:noWrap w:val="0"/>
            <w:vAlign w:val="center"/>
          </w:tcPr>
          <w:p w14:paraId="2248625D">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投标文件份数</w:t>
            </w:r>
          </w:p>
        </w:tc>
        <w:tc>
          <w:tcPr>
            <w:tcW w:w="6579" w:type="dxa"/>
            <w:tcBorders>
              <w:top w:val="single" w:color="000000" w:sz="4" w:space="0"/>
              <w:left w:val="nil"/>
              <w:bottom w:val="single" w:color="000000" w:sz="4" w:space="0"/>
              <w:right w:val="single" w:color="000000" w:sz="4" w:space="0"/>
            </w:tcBorders>
            <w:noWrap w:val="0"/>
            <w:vAlign w:val="center"/>
          </w:tcPr>
          <w:p w14:paraId="1893756B">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正本1份，副本</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份。</w:t>
            </w:r>
            <w:r>
              <w:rPr>
                <w:rFonts w:hint="eastAsia" w:ascii="仿宋" w:hAnsi="仿宋" w:eastAsia="仿宋" w:cs="仿宋"/>
                <w:b/>
                <w:bCs/>
                <w:color w:val="auto"/>
                <w:sz w:val="24"/>
                <w:szCs w:val="24"/>
                <w:highlight w:val="none"/>
              </w:rPr>
              <w:t>中标后提供正本扫描件1份。</w:t>
            </w:r>
          </w:p>
        </w:tc>
      </w:tr>
      <w:tr w14:paraId="60745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6DEC8FF1">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772" w:type="dxa"/>
            <w:tcBorders>
              <w:top w:val="single" w:color="000000" w:sz="4" w:space="0"/>
              <w:left w:val="nil"/>
              <w:bottom w:val="single" w:color="000000" w:sz="4" w:space="0"/>
              <w:right w:val="single" w:color="000000" w:sz="4" w:space="0"/>
            </w:tcBorders>
            <w:noWrap w:val="0"/>
            <w:vAlign w:val="center"/>
          </w:tcPr>
          <w:p w14:paraId="41744359">
            <w:pPr>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投标保证金</w:t>
            </w:r>
          </w:p>
        </w:tc>
        <w:tc>
          <w:tcPr>
            <w:tcW w:w="6579" w:type="dxa"/>
            <w:tcBorders>
              <w:top w:val="single" w:color="000000" w:sz="4" w:space="0"/>
              <w:left w:val="nil"/>
              <w:bottom w:val="single" w:color="000000" w:sz="4" w:space="0"/>
              <w:right w:val="single" w:color="000000" w:sz="4" w:space="0"/>
            </w:tcBorders>
            <w:noWrap w:val="0"/>
            <w:vAlign w:val="center"/>
          </w:tcPr>
          <w:p w14:paraId="5B5FA3F0">
            <w:pPr>
              <w:spacing w:line="400" w:lineRule="exact"/>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本项目不收取投标保证金。</w:t>
            </w:r>
          </w:p>
        </w:tc>
      </w:tr>
      <w:tr w14:paraId="5EA57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2FA15181">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772" w:type="dxa"/>
            <w:tcBorders>
              <w:top w:val="single" w:color="000000" w:sz="4" w:space="0"/>
              <w:left w:val="nil"/>
              <w:bottom w:val="single" w:color="000000" w:sz="4" w:space="0"/>
              <w:right w:val="single" w:color="000000" w:sz="4" w:space="0"/>
            </w:tcBorders>
            <w:noWrap w:val="0"/>
            <w:vAlign w:val="center"/>
          </w:tcPr>
          <w:p w14:paraId="2F524A02">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w:t>
            </w:r>
          </w:p>
        </w:tc>
        <w:tc>
          <w:tcPr>
            <w:tcW w:w="6579" w:type="dxa"/>
            <w:tcBorders>
              <w:top w:val="single" w:color="000000" w:sz="4" w:space="0"/>
              <w:left w:val="nil"/>
              <w:bottom w:val="single" w:color="000000" w:sz="4" w:space="0"/>
              <w:right w:val="single" w:color="000000" w:sz="4" w:space="0"/>
            </w:tcBorders>
            <w:noWrap w:val="0"/>
            <w:vAlign w:val="center"/>
          </w:tcPr>
          <w:p w14:paraId="294BD410">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按以下第</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rPr>
              <w:t>种方式确定：</w:t>
            </w:r>
          </w:p>
          <w:p w14:paraId="28858588">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1.接受进口产品。</w:t>
            </w:r>
            <w:r>
              <w:rPr>
                <w:rFonts w:hint="eastAsia" w:ascii="宋体" w:hAnsi="宋体" w:eastAsia="宋体" w:cs="宋体"/>
                <w:color w:val="auto"/>
                <w:sz w:val="24"/>
                <w:highlight w:val="none"/>
              </w:rPr>
              <w:t>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highlight w:val="none"/>
              </w:rPr>
              <w:t>；</w:t>
            </w:r>
          </w:p>
          <w:p w14:paraId="40722CEB">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2.不接受进口产品。</w:t>
            </w:r>
          </w:p>
        </w:tc>
      </w:tr>
      <w:tr w14:paraId="7AFBA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2DEC7E7D">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772" w:type="dxa"/>
            <w:tcBorders>
              <w:top w:val="single" w:color="000000" w:sz="4" w:space="0"/>
              <w:left w:val="nil"/>
              <w:bottom w:val="single" w:color="000000" w:sz="4" w:space="0"/>
              <w:right w:val="single" w:color="000000" w:sz="4" w:space="0"/>
            </w:tcBorders>
            <w:noWrap w:val="0"/>
            <w:vAlign w:val="center"/>
          </w:tcPr>
          <w:p w14:paraId="0ACF6807">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评标办法</w:t>
            </w:r>
          </w:p>
        </w:tc>
        <w:tc>
          <w:tcPr>
            <w:tcW w:w="6579" w:type="dxa"/>
            <w:tcBorders>
              <w:top w:val="single" w:color="000000" w:sz="4" w:space="0"/>
              <w:left w:val="nil"/>
              <w:bottom w:val="single" w:color="000000" w:sz="4" w:space="0"/>
              <w:right w:val="single" w:color="000000" w:sz="4" w:space="0"/>
            </w:tcBorders>
            <w:noWrap w:val="0"/>
            <w:vAlign w:val="center"/>
          </w:tcPr>
          <w:p w14:paraId="13DB77B3">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具体评标办法详见招标文件第三章。</w:t>
            </w:r>
          </w:p>
          <w:p w14:paraId="5949F62E">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评标委员会依据招标文件规定的评标办法和标准推荐</w:t>
            </w:r>
            <w:r>
              <w:rPr>
                <w:rFonts w:hint="eastAsia" w:ascii="宋体" w:hAnsi="宋体" w:eastAsia="宋体" w:cs="宋体"/>
                <w:color w:val="auto"/>
                <w:sz w:val="24"/>
                <w:szCs w:val="24"/>
                <w:highlight w:val="none"/>
                <w:u w:val="single"/>
              </w:rPr>
              <w:t>3</w:t>
            </w:r>
            <w:r>
              <w:rPr>
                <w:rFonts w:hint="eastAsia" w:ascii="宋体" w:hAnsi="宋体" w:eastAsia="宋体" w:cs="宋体"/>
                <w:color w:val="auto"/>
                <w:sz w:val="24"/>
                <w:szCs w:val="24"/>
                <w:highlight w:val="none"/>
              </w:rPr>
              <w:t>名中标候选人。</w:t>
            </w:r>
          </w:p>
        </w:tc>
      </w:tr>
      <w:tr w14:paraId="762ED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5E29EBBB">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772" w:type="dxa"/>
            <w:tcBorders>
              <w:top w:val="single" w:color="000000" w:sz="4" w:space="0"/>
              <w:left w:val="nil"/>
              <w:bottom w:val="single" w:color="000000" w:sz="4" w:space="0"/>
              <w:right w:val="single" w:color="000000" w:sz="4" w:space="0"/>
            </w:tcBorders>
            <w:noWrap w:val="0"/>
            <w:vAlign w:val="center"/>
          </w:tcPr>
          <w:p w14:paraId="44000E6C">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确定中标人</w:t>
            </w:r>
          </w:p>
        </w:tc>
        <w:tc>
          <w:tcPr>
            <w:tcW w:w="6579" w:type="dxa"/>
            <w:tcBorders>
              <w:top w:val="single" w:color="000000" w:sz="4" w:space="0"/>
              <w:left w:val="nil"/>
              <w:bottom w:val="single" w:color="000000" w:sz="4" w:space="0"/>
              <w:right w:val="single" w:color="000000" w:sz="4" w:space="0"/>
            </w:tcBorders>
            <w:noWrap w:val="0"/>
            <w:vAlign w:val="center"/>
          </w:tcPr>
          <w:p w14:paraId="7E8B2E91">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按以下第</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rPr>
              <w:t>种方式确定中标人：</w:t>
            </w:r>
          </w:p>
          <w:p w14:paraId="39AF50B0">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1.采购人按规定在评标委员会推荐的中标候选人中确定中标人；</w:t>
            </w:r>
          </w:p>
          <w:p w14:paraId="7DD59617">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2.采购人授权评标委员会直接确定中标人。</w:t>
            </w:r>
          </w:p>
        </w:tc>
      </w:tr>
      <w:tr w14:paraId="3A20D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55E0958C">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772" w:type="dxa"/>
            <w:tcBorders>
              <w:top w:val="single" w:color="000000" w:sz="4" w:space="0"/>
              <w:left w:val="nil"/>
              <w:bottom w:val="single" w:color="000000" w:sz="4" w:space="0"/>
              <w:right w:val="single" w:color="000000" w:sz="4" w:space="0"/>
            </w:tcBorders>
            <w:noWrap w:val="0"/>
            <w:vAlign w:val="center"/>
          </w:tcPr>
          <w:p w14:paraId="1DD661AB">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分包要求</w:t>
            </w:r>
          </w:p>
        </w:tc>
        <w:tc>
          <w:tcPr>
            <w:tcW w:w="6579" w:type="dxa"/>
            <w:tcBorders>
              <w:top w:val="single" w:color="000000" w:sz="4" w:space="0"/>
              <w:left w:val="nil"/>
              <w:bottom w:val="single" w:color="000000" w:sz="4" w:space="0"/>
              <w:right w:val="single" w:color="000000" w:sz="4" w:space="0"/>
            </w:tcBorders>
            <w:noWrap w:val="0"/>
            <w:vAlign w:val="center"/>
          </w:tcPr>
          <w:p w14:paraId="44B37D2B">
            <w:pPr>
              <w:spacing w:line="400" w:lineRule="exact"/>
              <w:jc w:val="left"/>
              <w:rPr>
                <w:rFonts w:hint="eastAsia" w:ascii="宋体" w:hAnsi="宋体" w:eastAsia="宋体" w:cs="宋体"/>
                <w:color w:val="auto"/>
                <w:sz w:val="24"/>
                <w:szCs w:val="24"/>
                <w:highlight w:val="none"/>
              </w:rPr>
            </w:pPr>
            <w:bookmarkStart w:id="72" w:name="EBebac1462c5d9459fbda8a75065c2455d"/>
            <w:r>
              <w:rPr>
                <w:rFonts w:hint="eastAsia" w:ascii="宋体" w:hAnsi="宋体" w:eastAsia="宋体" w:cs="宋体"/>
                <w:color w:val="auto"/>
                <w:sz w:val="24"/>
                <w:szCs w:val="24"/>
                <w:highlight w:val="none"/>
              </w:rPr>
              <w:t>本项目的非主体、非关键性工作是否允许分包</w:t>
            </w:r>
            <w:bookmarkEnd w:id="72"/>
            <w:r>
              <w:rPr>
                <w:rFonts w:hint="eastAsia" w:ascii="宋体" w:hAnsi="宋体" w:eastAsia="宋体" w:cs="宋体"/>
                <w:color w:val="auto"/>
                <w:sz w:val="24"/>
                <w:szCs w:val="24"/>
                <w:highlight w:val="none"/>
              </w:rPr>
              <w:t>按以下第</w:t>
            </w:r>
            <w:r>
              <w:rPr>
                <w:rFonts w:hint="eastAsia" w:ascii="宋体" w:hAnsi="宋体" w:eastAsia="宋体" w:cs="宋体"/>
                <w:color w:val="auto"/>
                <w:sz w:val="24"/>
                <w:szCs w:val="24"/>
                <w:highlight w:val="none"/>
                <w:u w:val="single"/>
              </w:rPr>
              <w:t>  2  </w:t>
            </w:r>
            <w:r>
              <w:rPr>
                <w:rFonts w:hint="eastAsia" w:ascii="宋体" w:hAnsi="宋体" w:eastAsia="宋体" w:cs="宋体"/>
                <w:color w:val="auto"/>
                <w:sz w:val="24"/>
                <w:szCs w:val="24"/>
                <w:highlight w:val="none"/>
              </w:rPr>
              <w:t>种方式确定：</w:t>
            </w:r>
          </w:p>
          <w:p w14:paraId="6F0C9F85">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1.允许分包，</w:t>
            </w:r>
            <w:bookmarkStart w:id="73" w:name="EB512ba06683724173802e2aae54a26079"/>
            <w:r>
              <w:rPr>
                <w:rFonts w:hint="eastAsia" w:ascii="宋体" w:hAnsi="宋体" w:eastAsia="宋体" w:cs="宋体"/>
                <w:color w:val="auto"/>
                <w:sz w:val="24"/>
                <w:szCs w:val="24"/>
                <w:highlight w:val="none"/>
              </w:rPr>
              <w:t>允许大中型企业向一家或者多家小微企业分包，分包具体内容、金额或比例：</w:t>
            </w:r>
            <w:bookmarkEnd w:id="73"/>
            <w:r>
              <w:rPr>
                <w:rFonts w:hint="eastAsia" w:ascii="宋体" w:hAnsi="宋体" w:eastAsia="宋体" w:cs="宋体"/>
                <w:color w:val="auto"/>
                <w:sz w:val="24"/>
                <w:szCs w:val="24"/>
                <w:highlight w:val="none"/>
              </w:rPr>
              <w:t>无</w:t>
            </w:r>
          </w:p>
          <w:p w14:paraId="5411EB90">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 </w:t>
            </w:r>
          </w:p>
        </w:tc>
      </w:tr>
      <w:tr w14:paraId="40568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7921DA10">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772" w:type="dxa"/>
            <w:tcBorders>
              <w:top w:val="single" w:color="000000" w:sz="4" w:space="0"/>
              <w:left w:val="nil"/>
              <w:bottom w:val="single" w:color="000000" w:sz="4" w:space="0"/>
              <w:right w:val="single" w:color="000000" w:sz="4" w:space="0"/>
            </w:tcBorders>
            <w:noWrap w:val="0"/>
            <w:vAlign w:val="center"/>
          </w:tcPr>
          <w:p w14:paraId="4BBAF64A">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代理费用收取方式及标准</w:t>
            </w:r>
          </w:p>
        </w:tc>
        <w:tc>
          <w:tcPr>
            <w:tcW w:w="6579" w:type="dxa"/>
            <w:tcBorders>
              <w:top w:val="single" w:color="000000" w:sz="4" w:space="0"/>
              <w:left w:val="nil"/>
              <w:bottom w:val="single" w:color="000000" w:sz="4" w:space="0"/>
              <w:right w:val="single" w:color="000000" w:sz="4" w:space="0"/>
            </w:tcBorders>
            <w:noWrap w:val="0"/>
            <w:vAlign w:val="center"/>
          </w:tcPr>
          <w:p w14:paraId="17404EB1">
            <w:pPr>
              <w:spacing w:line="400" w:lineRule="exact"/>
              <w:jc w:val="left"/>
              <w:rPr>
                <w:rFonts w:hint="default" w:ascii="宋体" w:hAnsi="宋体" w:eastAsia="宋体" w:cs="宋体"/>
                <w:color w:val="auto"/>
                <w:sz w:val="24"/>
                <w:szCs w:val="24"/>
                <w:highlight w:val="none"/>
                <w:lang w:val="en-US" w:eastAsia="zh-CN"/>
              </w:rPr>
            </w:pPr>
            <w:bookmarkStart w:id="74" w:name="EBfe735bb6fc4d4e5e9e350f940db98c5f"/>
            <w:bookmarkEnd w:id="74"/>
            <w:r>
              <w:rPr>
                <w:rFonts w:hint="eastAsia" w:ascii="宋体" w:hAnsi="宋体" w:eastAsia="宋体" w:cs="宋体"/>
                <w:color w:val="auto"/>
                <w:sz w:val="24"/>
                <w:szCs w:val="24"/>
                <w:highlight w:val="none"/>
              </w:rPr>
              <w:t>代理服务费：按计价格【2002】1980号文件规定标准的4</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%计取，评委费据实结算。由</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人支付，可使用数字人民币支付。</w:t>
            </w:r>
            <w:r>
              <w:rPr>
                <w:rFonts w:hint="eastAsia" w:ascii="宋体" w:hAnsi="宋体" w:cs="宋体"/>
                <w:color w:val="auto"/>
                <w:sz w:val="24"/>
                <w:szCs w:val="24"/>
                <w:highlight w:val="none"/>
                <w:lang w:val="en-US" w:eastAsia="zh-CN"/>
              </w:rPr>
              <w:t>评委费按实收取。</w:t>
            </w:r>
          </w:p>
        </w:tc>
      </w:tr>
      <w:tr w14:paraId="32872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5F55263E">
            <w:pPr>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1772" w:type="dxa"/>
            <w:tcBorders>
              <w:top w:val="single" w:color="000000" w:sz="4" w:space="0"/>
              <w:left w:val="nil"/>
              <w:bottom w:val="single" w:color="000000" w:sz="4" w:space="0"/>
              <w:right w:val="single" w:color="000000" w:sz="4" w:space="0"/>
            </w:tcBorders>
            <w:noWrap w:val="0"/>
            <w:vAlign w:val="center"/>
          </w:tcPr>
          <w:p w14:paraId="4E0F80F5">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开标</w:t>
            </w:r>
            <w:r>
              <w:rPr>
                <w:rFonts w:hint="eastAsia" w:ascii="宋体" w:hAnsi="宋体" w:eastAsia="宋体" w:cs="宋体"/>
                <w:color w:val="auto"/>
                <w:sz w:val="24"/>
                <w:szCs w:val="24"/>
                <w:highlight w:val="none"/>
              </w:rPr>
              <w:t>需要携带的资料</w:t>
            </w:r>
          </w:p>
        </w:tc>
        <w:tc>
          <w:tcPr>
            <w:tcW w:w="6579" w:type="dxa"/>
            <w:tcBorders>
              <w:top w:val="single" w:color="000000" w:sz="4" w:space="0"/>
              <w:left w:val="nil"/>
              <w:bottom w:val="single" w:color="000000" w:sz="4" w:space="0"/>
              <w:right w:val="single" w:color="000000" w:sz="4" w:space="0"/>
            </w:tcBorders>
            <w:noWrap w:val="0"/>
            <w:vAlign w:val="center"/>
          </w:tcPr>
          <w:p w14:paraId="19FF2E64">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文件；（2）法定代表人或授权代理人身份证原件。</w:t>
            </w:r>
          </w:p>
        </w:tc>
      </w:tr>
      <w:bookmarkEnd w:id="65"/>
      <w:bookmarkEnd w:id="66"/>
      <w:bookmarkEnd w:id="67"/>
    </w:tbl>
    <w:p w14:paraId="4AF390A5">
      <w:pPr>
        <w:rPr>
          <w:rFonts w:hint="eastAsia" w:ascii="宋体" w:hAnsi="宋体" w:eastAsia="宋体" w:cs="宋体"/>
          <w:color w:val="auto"/>
          <w:sz w:val="20"/>
          <w:highlight w:val="none"/>
        </w:rPr>
      </w:pPr>
    </w:p>
    <w:p w14:paraId="372FFA4E">
      <w:pPr>
        <w:pStyle w:val="42"/>
        <w:spacing w:before="0" w:after="0" w:line="480" w:lineRule="exact"/>
        <w:ind w:firstLine="321"/>
        <w:rPr>
          <w:rFonts w:hint="eastAsia" w:ascii="宋体" w:hAnsi="宋体" w:eastAsia="宋体" w:cs="宋体"/>
          <w:bCs/>
          <w:color w:val="auto"/>
          <w:szCs w:val="22"/>
          <w:highlight w:val="none"/>
        </w:rPr>
      </w:pPr>
      <w:bookmarkStart w:id="75" w:name="EB6eaaf474639940df900ef4965d71f450"/>
      <w:bookmarkEnd w:id="75"/>
      <w:bookmarkStart w:id="76" w:name="_Toc81575192"/>
      <w:bookmarkStart w:id="77" w:name="_Toc30953"/>
      <w:bookmarkStart w:id="78" w:name="_Toc8239"/>
      <w:bookmarkStart w:id="79" w:name="_Toc81575155"/>
      <w:r>
        <w:rPr>
          <w:rFonts w:hint="eastAsia" w:ascii="宋体" w:hAnsi="宋体" w:eastAsia="宋体" w:cs="宋体"/>
          <w:bCs/>
          <w:color w:val="auto"/>
          <w:szCs w:val="22"/>
          <w:highlight w:val="none"/>
        </w:rPr>
        <w:t>一、总 则</w:t>
      </w:r>
      <w:bookmarkEnd w:id="76"/>
      <w:bookmarkEnd w:id="77"/>
      <w:bookmarkEnd w:id="78"/>
      <w:bookmarkEnd w:id="79"/>
    </w:p>
    <w:p w14:paraId="05D77521">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1、招标方式</w:t>
      </w:r>
    </w:p>
    <w:p w14:paraId="16876EF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本次采购采取公开招标方式。</w:t>
      </w:r>
    </w:p>
    <w:p w14:paraId="7C47429D">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2、合格的投标人</w:t>
      </w:r>
    </w:p>
    <w:p w14:paraId="48122D9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2.1合格的投标人必须符合招标文件第一章《投标邀请》第二条及投标人须知前附表相关规定，且具备完成本项目的能力，中标后不允许转包。</w:t>
      </w:r>
    </w:p>
    <w:p w14:paraId="53A3CE8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2.2满足本文件实质性要求的规定。</w:t>
      </w:r>
    </w:p>
    <w:p w14:paraId="39AF91BF">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3、适用法律</w:t>
      </w:r>
    </w:p>
    <w:p w14:paraId="06846CB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本次招标及由招标产生的合同受中华人民共和国的相关法律、法规制约和保护。</w:t>
      </w:r>
    </w:p>
    <w:p w14:paraId="682F77F5">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4、投标费用</w:t>
      </w:r>
    </w:p>
    <w:p w14:paraId="63D0C2B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投标人应自行承担所有参加投标有关的费用。</w:t>
      </w:r>
    </w:p>
    <w:p w14:paraId="0368CDEC">
      <w:pPr>
        <w:pStyle w:val="42"/>
        <w:spacing w:before="0" w:after="0" w:line="480" w:lineRule="exact"/>
        <w:ind w:firstLine="321"/>
        <w:rPr>
          <w:rFonts w:hint="eastAsia" w:ascii="宋体" w:hAnsi="宋体" w:eastAsia="宋体" w:cs="宋体"/>
          <w:bCs/>
          <w:color w:val="auto"/>
          <w:szCs w:val="22"/>
          <w:highlight w:val="none"/>
        </w:rPr>
      </w:pPr>
      <w:bookmarkStart w:id="80" w:name="_Toc15995"/>
      <w:bookmarkStart w:id="81" w:name="_Toc81575193"/>
      <w:bookmarkStart w:id="82" w:name="_Toc81575156"/>
      <w:bookmarkStart w:id="83" w:name="_Toc29306"/>
      <w:r>
        <w:rPr>
          <w:rFonts w:hint="eastAsia" w:ascii="宋体" w:hAnsi="宋体" w:eastAsia="宋体" w:cs="宋体"/>
          <w:bCs/>
          <w:color w:val="auto"/>
          <w:szCs w:val="22"/>
          <w:highlight w:val="none"/>
        </w:rPr>
        <w:t>二、招标文件</w:t>
      </w:r>
      <w:bookmarkEnd w:id="80"/>
      <w:bookmarkEnd w:id="81"/>
      <w:bookmarkEnd w:id="82"/>
      <w:bookmarkEnd w:id="83"/>
    </w:p>
    <w:p w14:paraId="1F64E205">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5、招标文件构成</w:t>
      </w:r>
    </w:p>
    <w:p w14:paraId="1839129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5.1招标文件由以下部分组成：</w:t>
      </w:r>
    </w:p>
    <w:p w14:paraId="44893D8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第一章：投标邀请；</w:t>
      </w:r>
    </w:p>
    <w:p w14:paraId="621FF3E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第二章：投标人须知；</w:t>
      </w:r>
    </w:p>
    <w:p w14:paraId="7EBFE67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第三章：资格审查及评标办法；</w:t>
      </w:r>
    </w:p>
    <w:p w14:paraId="6EBBFCE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第四章：采购需求；</w:t>
      </w:r>
    </w:p>
    <w:p w14:paraId="090C87D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第五章：合同文本；</w:t>
      </w:r>
    </w:p>
    <w:p w14:paraId="741DDEB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第六章：投标文件格式。</w:t>
      </w:r>
    </w:p>
    <w:p w14:paraId="02170B6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请仔细检查招标文件是否齐全，如有缺漏请立即与代理机构联系解决。</w:t>
      </w:r>
    </w:p>
    <w:p w14:paraId="2CD5552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481DA1AE">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6、政府采购政策功能落实</w:t>
      </w:r>
    </w:p>
    <w:p w14:paraId="0375A2A6">
      <w:pPr>
        <w:spacing w:line="480" w:lineRule="exact"/>
        <w:ind w:firstLine="482"/>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rPr>
        <w:t>本项目落实的政府采购政策对应序号为</w:t>
      </w:r>
      <w:r>
        <w:rPr>
          <w:rFonts w:hint="eastAsia" w:ascii="宋体" w:hAnsi="宋体" w:eastAsia="宋体" w:cs="宋体"/>
          <w:b/>
          <w:bCs/>
          <w:color w:val="auto"/>
          <w:sz w:val="24"/>
          <w:highlight w:val="none"/>
          <w:u w:val="single"/>
        </w:rPr>
        <w:t xml:space="preserve"> 6.1、6.2、6.3.1</w:t>
      </w:r>
      <w:r>
        <w:rPr>
          <w:rFonts w:hint="eastAsia" w:ascii="宋体" w:hAnsi="宋体" w:cs="宋体"/>
          <w:b/>
          <w:bCs/>
          <w:color w:val="auto"/>
          <w:sz w:val="24"/>
          <w:highlight w:val="none"/>
          <w:u w:val="single"/>
          <w:lang w:eastAsia="zh-CN"/>
        </w:rPr>
        <w:t>、</w:t>
      </w:r>
      <w:r>
        <w:rPr>
          <w:rFonts w:hint="eastAsia" w:ascii="宋体" w:hAnsi="宋体" w:cs="宋体"/>
          <w:b/>
          <w:bCs/>
          <w:color w:val="auto"/>
          <w:sz w:val="24"/>
          <w:highlight w:val="none"/>
          <w:u w:val="single"/>
          <w:lang w:val="en-US" w:eastAsia="zh-CN"/>
        </w:rPr>
        <w:t>6.5</w:t>
      </w:r>
      <w:r>
        <w:rPr>
          <w:rFonts w:hint="eastAsia" w:ascii="宋体" w:hAnsi="宋体" w:eastAsia="宋体" w:cs="宋体"/>
          <w:b/>
          <w:bCs/>
          <w:color w:val="auto"/>
          <w:sz w:val="24"/>
          <w:highlight w:val="none"/>
          <w:u w:val="single"/>
        </w:rPr>
        <w:t xml:space="preserve">    </w:t>
      </w:r>
    </w:p>
    <w:p w14:paraId="4807A93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6.1中小企业政策</w:t>
      </w:r>
    </w:p>
    <w:p w14:paraId="209560A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本项目按第</w:t>
      </w:r>
      <w:r>
        <w:rPr>
          <w:rFonts w:hint="eastAsia" w:ascii="宋体" w:hAnsi="宋体" w:eastAsia="宋体" w:cs="宋体"/>
          <w:color w:val="auto"/>
          <w:sz w:val="24"/>
          <w:highlight w:val="none"/>
          <w:u w:val="single"/>
        </w:rPr>
        <w:t>（2）</w:t>
      </w:r>
      <w:r>
        <w:rPr>
          <w:rFonts w:hint="eastAsia" w:ascii="宋体" w:hAnsi="宋体" w:eastAsia="宋体" w:cs="宋体"/>
          <w:color w:val="auto"/>
          <w:sz w:val="24"/>
          <w:highlight w:val="none"/>
        </w:rPr>
        <w:t>种政策落实：</w:t>
      </w:r>
    </w:p>
    <w:p w14:paraId="221C87C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（1）本项目专门面向中小企业（含监狱与戒毒企业、残疾人福利企业）采购。</w:t>
      </w:r>
    </w:p>
    <w:p w14:paraId="149B96C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（2）对符合规定情形的小微企业报价给予</w:t>
      </w:r>
      <w:r>
        <w:rPr>
          <w:rFonts w:hint="eastAsia" w:ascii="宋体" w:hAnsi="宋体" w:eastAsia="宋体" w:cs="宋体"/>
          <w:b/>
          <w:bCs/>
          <w:color w:val="auto"/>
          <w:sz w:val="24"/>
          <w:highlight w:val="none"/>
          <w:u w:val="single"/>
        </w:rPr>
        <w:t>1</w:t>
      </w:r>
      <w:r>
        <w:rPr>
          <w:rFonts w:hint="eastAsia" w:ascii="宋体" w:hAnsi="宋体" w:eastAsia="宋体" w:cs="宋体"/>
          <w:b/>
          <w:bCs/>
          <w:color w:val="auto"/>
          <w:sz w:val="24"/>
          <w:highlight w:val="none"/>
          <w:u w:val="single"/>
          <w:lang w:val="en-US" w:eastAsia="zh-CN"/>
        </w:rPr>
        <w:t>0</w:t>
      </w:r>
      <w:r>
        <w:rPr>
          <w:rFonts w:hint="eastAsia" w:ascii="宋体" w:hAnsi="宋体" w:eastAsia="宋体" w:cs="宋体"/>
          <w:b/>
          <w:bCs/>
          <w:color w:val="auto"/>
          <w:sz w:val="24"/>
          <w:highlight w:val="none"/>
          <w:u w:val="single"/>
        </w:rPr>
        <w:t>%</w:t>
      </w:r>
      <w:r>
        <w:rPr>
          <w:rFonts w:hint="eastAsia" w:ascii="宋体" w:hAnsi="宋体" w:eastAsia="宋体" w:cs="宋体"/>
          <w:color w:val="auto"/>
          <w:sz w:val="24"/>
          <w:highlight w:val="none"/>
        </w:rPr>
        <w:t>扣除，用扣除后的价格参加评审。</w:t>
      </w:r>
    </w:p>
    <w:p w14:paraId="5FB47F0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在服务采购项目中，服务由中小企业承接，即提供服务的人员为中小企业依照《中华人民共和国劳动合同法》订立劳动合同的从业人员。</w:t>
      </w:r>
    </w:p>
    <w:p w14:paraId="1B65E14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在货物采购项目中，货物由中小企业制造，即货物由中小企业生产且使用该中小企业商号或者注册商标。</w:t>
      </w:r>
    </w:p>
    <w:p w14:paraId="7A94B58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号）。</w:t>
      </w:r>
    </w:p>
    <w:p w14:paraId="7C6BD83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053AB54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D4635D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6.2节能产品、环境标志产品</w:t>
      </w:r>
    </w:p>
    <w:p w14:paraId="2627B11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1309DA6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6.2.1拟采购的产品属于政府强制采购的节能产品品目清单范围的，投标人须提供国家确定的认证机构出具的、处于有效期之内的节能产品认证证书，否则其投标文件作无效标处理。</w:t>
      </w:r>
    </w:p>
    <w:p w14:paraId="063B47E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6.2.2采购人拟采购的产品属于优先采购的节能环保品目清单范围的，按以下条件优先采购：</w:t>
      </w:r>
    </w:p>
    <w:p w14:paraId="7BC6364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采用综合评分法的项目，对提供有效节能环保证书的投标人加分。</w:t>
      </w:r>
    </w:p>
    <w:p w14:paraId="1C66F2E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采用最低评标价法的项目，同等条件下优先推荐提供有效节能环保证书多的投标人为中标人。</w:t>
      </w:r>
    </w:p>
    <w:p w14:paraId="3774A4C0">
      <w:pPr>
        <w:tabs>
          <w:tab w:val="left" w:pos="305"/>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6.3政府采购需求标准</w:t>
      </w:r>
    </w:p>
    <w:p w14:paraId="68A47A6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6.3.1商品包装、快递包装政府采购需求标准（试行）</w:t>
      </w:r>
    </w:p>
    <w:p w14:paraId="4B678D8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按照财政部印发的《商品包装政府采购需求标准（试行）》《快递包装政府采购需求标准（试行）》要求执行，本项目商品包装和快递包装的具体需求详见第四章采购需求。</w:t>
      </w:r>
    </w:p>
    <w:p w14:paraId="5605CE9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6.3.2绿色数据中心政府采购需求标准（试行）</w:t>
      </w:r>
    </w:p>
    <w:p w14:paraId="3BB6623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按照财政部 生态环境部 工业和信息化部关于印发《绿色数据中心政府采购需求标准（试行）》的通知）要求执行，本项目绿色数据中心的具体需求详见第四章采购需求。</w:t>
      </w:r>
    </w:p>
    <w:p w14:paraId="50DCC72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6.3.3绿色建材政府采购需求标准</w:t>
      </w:r>
    </w:p>
    <w:p w14:paraId="2FCF95B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按照财政部 住房和城乡建设部 工业和信息化部关于印发《关于扩大政府采购支持绿色建材促进建筑品质提升政策实施范围的通知》要求执行，本项目绿色建材的具体需求详见第四章采购需求。</w:t>
      </w:r>
    </w:p>
    <w:p w14:paraId="12C4C86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59A4F933">
      <w:pPr>
        <w:keepNext w:val="0"/>
        <w:keepLines w:val="0"/>
        <w:pageBreakBefore w:val="0"/>
        <w:widowControl w:val="0"/>
        <w:kinsoku/>
        <w:wordWrap/>
        <w:overflowPunct/>
        <w:topLinePunct w:val="0"/>
        <w:autoSpaceDE/>
        <w:autoSpaceDN/>
        <w:bidi w:val="0"/>
        <w:adjustRightInd/>
        <w:snapToGrid/>
        <w:spacing w:line="360" w:lineRule="auto"/>
        <w:ind w:firstLine="561"/>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6.5</w:t>
      </w:r>
      <w:r>
        <w:rPr>
          <w:rFonts w:hint="eastAsia" w:ascii="宋体" w:hAnsi="宋体" w:eastAsia="宋体" w:cs="宋体"/>
          <w:b/>
          <w:bCs/>
          <w:color w:val="auto"/>
          <w:sz w:val="24"/>
          <w:szCs w:val="24"/>
          <w:highlight w:val="none"/>
        </w:rPr>
        <w:t>采购本国产品的支持政策</w:t>
      </w:r>
    </w:p>
    <w:p w14:paraId="0129FA4A">
      <w:pPr>
        <w:keepNext w:val="0"/>
        <w:keepLines w:val="0"/>
        <w:pageBreakBefore w:val="0"/>
        <w:widowControl w:val="0"/>
        <w:kinsoku/>
        <w:wordWrap/>
        <w:overflowPunct/>
        <w:topLinePunct w:val="0"/>
        <w:autoSpaceDE/>
        <w:autoSpaceDN/>
        <w:bidi w:val="0"/>
        <w:adjustRightInd/>
        <w:snapToGrid/>
        <w:spacing w:line="360" w:lineRule="auto"/>
        <w:ind w:firstLine="561"/>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6.5</w:t>
      </w:r>
      <w:r>
        <w:rPr>
          <w:rFonts w:hint="eastAsia" w:ascii="宋体" w:hAnsi="宋体" w:eastAsia="宋体" w:cs="宋体"/>
          <w:b/>
          <w:bCs/>
          <w:color w:val="auto"/>
          <w:sz w:val="24"/>
          <w:szCs w:val="24"/>
          <w:highlight w:val="none"/>
        </w:rPr>
        <w:t>.1 本项目政府采购活动中既有本国产品又有非本国产品参与竞争的，依法对本国产品给予价格评审优惠，对本国产品的报价给予</w:t>
      </w:r>
      <w:r>
        <w:rPr>
          <w:rFonts w:hint="eastAsia" w:ascii="宋体" w:hAnsi="宋体" w:eastAsia="宋体" w:cs="宋体"/>
          <w:b/>
          <w:bCs/>
          <w:color w:val="auto"/>
          <w:sz w:val="24"/>
          <w:szCs w:val="24"/>
          <w:highlight w:val="none"/>
          <w:u w:val="single"/>
        </w:rPr>
        <w:t>20%</w:t>
      </w:r>
      <w:r>
        <w:rPr>
          <w:rFonts w:hint="eastAsia" w:ascii="宋体" w:hAnsi="宋体" w:eastAsia="宋体" w:cs="宋体"/>
          <w:b/>
          <w:bCs/>
          <w:color w:val="auto"/>
          <w:sz w:val="24"/>
          <w:szCs w:val="24"/>
          <w:highlight w:val="none"/>
        </w:rPr>
        <w:t>的价格扣除，用扣除后的价格参与评审。</w:t>
      </w:r>
    </w:p>
    <w:p w14:paraId="7A68C498">
      <w:pPr>
        <w:keepNext w:val="0"/>
        <w:keepLines w:val="0"/>
        <w:pageBreakBefore w:val="0"/>
        <w:widowControl w:val="0"/>
        <w:kinsoku/>
        <w:wordWrap/>
        <w:overflowPunct/>
        <w:topLinePunct w:val="0"/>
        <w:autoSpaceDE/>
        <w:autoSpaceDN/>
        <w:bidi w:val="0"/>
        <w:adjustRightInd/>
        <w:snapToGrid/>
        <w:spacing w:line="360" w:lineRule="auto"/>
        <w:ind w:firstLine="561"/>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6.5</w:t>
      </w:r>
      <w:r>
        <w:rPr>
          <w:rFonts w:hint="eastAsia" w:ascii="宋体" w:hAnsi="宋体" w:eastAsia="宋体" w:cs="宋体"/>
          <w:b/>
          <w:bCs/>
          <w:color w:val="auto"/>
          <w:sz w:val="24"/>
          <w:szCs w:val="24"/>
          <w:highlight w:val="none"/>
        </w:rPr>
        <w:t>.2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80%</w:t>
      </w:r>
      <w:r>
        <w:rPr>
          <w:rFonts w:hint="eastAsia" w:ascii="宋体" w:hAnsi="宋体" w:eastAsia="宋体" w:cs="宋体"/>
          <w:b/>
          <w:bCs/>
          <w:color w:val="auto"/>
          <w:sz w:val="24"/>
          <w:szCs w:val="24"/>
          <w:highlight w:val="none"/>
        </w:rPr>
        <w:t>以上时（供应商需在“第六章 投标文件格式”的“投标分项报价表”中填写比例数值），依法对该供应商提供的全部产品给予价格评审优惠，即对该供应商提供的全部产品的总报价给予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20%</w:t>
      </w:r>
      <w:r>
        <w:rPr>
          <w:rFonts w:hint="eastAsia" w:ascii="宋体" w:hAnsi="宋体" w:eastAsia="宋体" w:cs="宋体"/>
          <w:b/>
          <w:bCs/>
          <w:color w:val="auto"/>
          <w:sz w:val="24"/>
          <w:szCs w:val="24"/>
          <w:highlight w:val="none"/>
        </w:rPr>
        <w:t>的价格扣除，用扣除后的价格参与评审。供应商未填写比例数值，或比例数值不足80%的，将不享受本国产品价格评审优惠。</w:t>
      </w:r>
    </w:p>
    <w:p w14:paraId="627024B0">
      <w:pPr>
        <w:keepNext w:val="0"/>
        <w:keepLines w:val="0"/>
        <w:pageBreakBefore w:val="0"/>
        <w:widowControl w:val="0"/>
        <w:kinsoku/>
        <w:wordWrap/>
        <w:overflowPunct/>
        <w:topLinePunct w:val="0"/>
        <w:autoSpaceDE/>
        <w:autoSpaceDN/>
        <w:bidi w:val="0"/>
        <w:adjustRightInd/>
        <w:snapToGrid/>
        <w:spacing w:line="360" w:lineRule="auto"/>
        <w:ind w:firstLine="561"/>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6.5</w:t>
      </w:r>
      <w:r>
        <w:rPr>
          <w:rFonts w:hint="eastAsia" w:ascii="宋体" w:hAnsi="宋体" w:eastAsia="宋体" w:cs="宋体"/>
          <w:b/>
          <w:bCs/>
          <w:color w:val="auto"/>
          <w:sz w:val="24"/>
          <w:szCs w:val="24"/>
          <w:highlight w:val="none"/>
        </w:rPr>
        <w:t>.3 供应商需按照招标文件的要求提供《关于符合本国产品标准的声明函》（以下简称《声明函》），如不提供将不享受本国产品价格评审优惠。</w:t>
      </w:r>
    </w:p>
    <w:p w14:paraId="2ABF9575">
      <w:pPr>
        <w:keepNext w:val="0"/>
        <w:keepLines w:val="0"/>
        <w:pageBreakBefore w:val="0"/>
        <w:widowControl w:val="0"/>
        <w:kinsoku/>
        <w:wordWrap/>
        <w:overflowPunct/>
        <w:topLinePunct w:val="0"/>
        <w:autoSpaceDE/>
        <w:autoSpaceDN/>
        <w:bidi w:val="0"/>
        <w:adjustRightInd/>
        <w:snapToGrid/>
        <w:spacing w:line="360" w:lineRule="auto"/>
        <w:ind w:firstLine="561"/>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6.5</w:t>
      </w:r>
      <w:r>
        <w:rPr>
          <w:rFonts w:hint="eastAsia" w:ascii="宋体" w:hAnsi="宋体" w:eastAsia="宋体" w:cs="宋体"/>
          <w:b/>
          <w:bCs/>
          <w:color w:val="auto"/>
          <w:sz w:val="24"/>
          <w:szCs w:val="24"/>
          <w:highlight w:val="none"/>
        </w:rPr>
        <w:t>.4 供应商需在《声明函》中逐一、准确填写产品名称、厂名、生产厂址三项信息（《声明函》中标注</w:t>
      </w:r>
      <w:r>
        <w:rPr>
          <w:rFonts w:hint="eastAsia" w:ascii="宋体" w:hAnsi="宋体" w:eastAsia="宋体" w:cs="宋体"/>
          <w:b/>
          <w:bCs/>
          <w:color w:val="auto"/>
          <w:sz w:val="24"/>
          <w:szCs w:val="24"/>
          <w:highlight w:val="none"/>
          <w:u w:val="single"/>
        </w:rPr>
        <w:t>“  /  ”</w:t>
      </w:r>
      <w:r>
        <w:rPr>
          <w:rFonts w:hint="eastAsia" w:ascii="宋体" w:hAnsi="宋体" w:eastAsia="宋体" w:cs="宋体"/>
          <w:b/>
          <w:bCs/>
          <w:color w:val="auto"/>
          <w:sz w:val="24"/>
          <w:szCs w:val="24"/>
          <w:highlight w:val="none"/>
        </w:rPr>
        <w:t>的地方无需填写），三项信息中任意一项未填写的视为该项产品不符合本国产品标准，不享受本国产品价格评审优惠。</w:t>
      </w:r>
    </w:p>
    <w:p w14:paraId="4EA9DDE1">
      <w:pPr>
        <w:keepNext w:val="0"/>
        <w:keepLines w:val="0"/>
        <w:pageBreakBefore w:val="0"/>
        <w:widowControl w:val="0"/>
        <w:kinsoku/>
        <w:wordWrap/>
        <w:overflowPunct/>
        <w:topLinePunct w:val="0"/>
        <w:autoSpaceDE/>
        <w:autoSpaceDN/>
        <w:bidi w:val="0"/>
        <w:adjustRightInd/>
        <w:snapToGrid/>
        <w:spacing w:line="360" w:lineRule="auto"/>
        <w:ind w:firstLine="561"/>
        <w:jc w:val="left"/>
        <w:textAlignment w:val="auto"/>
        <w:rPr>
          <w:rFonts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6.5</w:t>
      </w:r>
      <w:r>
        <w:rPr>
          <w:rFonts w:hint="eastAsia" w:ascii="宋体" w:hAnsi="宋体" w:eastAsia="宋体" w:cs="宋体"/>
          <w:b/>
          <w:bCs/>
          <w:color w:val="auto"/>
          <w:sz w:val="24"/>
          <w:szCs w:val="24"/>
          <w:highlight w:val="none"/>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C301ED3">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7、招标文件的澄清或修改</w:t>
      </w:r>
    </w:p>
    <w:p w14:paraId="16B4900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097BAA7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7.2招标文件的澄清、修改将在原公告媒体上发布更正公告，澄清、修改文件均作为招标文件的组成部分，并对投标人具有约束力。</w:t>
      </w:r>
    </w:p>
    <w:p w14:paraId="7A778F3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7.3投标人应及时</w:t>
      </w:r>
      <w:r>
        <w:rPr>
          <w:rFonts w:hint="eastAsia" w:ascii="宋体" w:hAnsi="宋体" w:cs="宋体"/>
          <w:color w:val="auto"/>
          <w:sz w:val="24"/>
          <w:highlight w:val="none"/>
          <w:lang w:val="en-US" w:eastAsia="zh-CN"/>
        </w:rPr>
        <w:t>查看</w:t>
      </w:r>
      <w:r>
        <w:rPr>
          <w:rFonts w:hint="eastAsia" w:ascii="宋体" w:hAnsi="宋体" w:eastAsia="宋体" w:cs="宋体"/>
          <w:color w:val="auto"/>
          <w:sz w:val="24"/>
          <w:highlight w:val="none"/>
        </w:rPr>
        <w:t>澄清答疑文件（修改后的招标文件），如投标人未能及时下载澄清答疑文件，造成的相关责任由投标人承担。</w:t>
      </w:r>
    </w:p>
    <w:p w14:paraId="4A93E6BC">
      <w:pPr>
        <w:pStyle w:val="42"/>
        <w:spacing w:before="0" w:after="0" w:line="480" w:lineRule="exact"/>
        <w:ind w:firstLine="321"/>
        <w:rPr>
          <w:rFonts w:hint="eastAsia" w:ascii="宋体" w:hAnsi="宋体" w:eastAsia="宋体" w:cs="宋体"/>
          <w:bCs/>
          <w:color w:val="auto"/>
          <w:szCs w:val="22"/>
          <w:highlight w:val="none"/>
        </w:rPr>
      </w:pPr>
      <w:bookmarkStart w:id="84" w:name="_Toc5574"/>
      <w:bookmarkStart w:id="85" w:name="_Toc81575157"/>
      <w:bookmarkStart w:id="86" w:name="_Toc11461"/>
      <w:bookmarkStart w:id="87" w:name="_Toc81575194"/>
      <w:r>
        <w:rPr>
          <w:rFonts w:hint="eastAsia" w:ascii="宋体" w:hAnsi="宋体" w:eastAsia="宋体" w:cs="宋体"/>
          <w:bCs/>
          <w:color w:val="auto"/>
          <w:szCs w:val="22"/>
          <w:highlight w:val="none"/>
        </w:rPr>
        <w:t>三、投标文件的编制</w:t>
      </w:r>
      <w:bookmarkEnd w:id="84"/>
      <w:bookmarkEnd w:id="85"/>
      <w:bookmarkEnd w:id="86"/>
      <w:bookmarkEnd w:id="87"/>
    </w:p>
    <w:p w14:paraId="4F278B02">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8、投标文件的编制要求</w:t>
      </w:r>
    </w:p>
    <w:p w14:paraId="68B9BE7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8.1投标人应仔细阅读“招标文件”的所有内容，保证所提供的全部资料的真实性、完整性及有效性，以使其投标对“招标文件”作出实质性响应。</w:t>
      </w:r>
    </w:p>
    <w:p w14:paraId="58F46FF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8.2投标文件要求盖章之处，应按要求加盖投标人</w:t>
      </w:r>
      <w:r>
        <w:rPr>
          <w:rFonts w:hint="eastAsia" w:ascii="宋体" w:hAnsi="宋体" w:cs="宋体"/>
          <w:color w:val="auto"/>
          <w:sz w:val="24"/>
          <w:highlight w:val="none"/>
          <w:lang w:val="en-US" w:eastAsia="zh-CN"/>
        </w:rPr>
        <w:t>公章</w:t>
      </w:r>
      <w:r>
        <w:rPr>
          <w:rFonts w:hint="eastAsia" w:ascii="宋体" w:hAnsi="宋体" w:eastAsia="宋体" w:cs="宋体"/>
          <w:color w:val="auto"/>
          <w:sz w:val="24"/>
          <w:highlight w:val="none"/>
        </w:rPr>
        <w:t>。</w:t>
      </w:r>
    </w:p>
    <w:p w14:paraId="464F710D">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9、投标文件构成</w:t>
      </w:r>
    </w:p>
    <w:p w14:paraId="574120CA">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9.1</w:t>
      </w:r>
      <w:bookmarkStart w:id="88" w:name="EBc50e2bb832bb43068403b10c1cce6141"/>
      <w:r>
        <w:rPr>
          <w:rFonts w:hint="eastAsia" w:ascii="Times New Roman" w:hAnsi="Times New Roman" w:eastAsia="宋体" w:cs="Times New Roman"/>
          <w:b w:val="0"/>
          <w:bCs w:val="0"/>
          <w:caps w:val="0"/>
          <w:color w:val="auto"/>
          <w:kern w:val="2"/>
          <w:sz w:val="24"/>
          <w:szCs w:val="21"/>
          <w:highlight w:val="none"/>
          <w:lang w:val="en-US" w:eastAsia="zh-CN"/>
        </w:rPr>
        <w:t>投标人应仔细阅读“招标文件”的所有内容，按“招标文件”第六章“投标文件格式”编制“书面投标文件”，如有必要，可以增加附页，作为投标文件的组成部分。投标人须保证所提供的全部资料的真实性、完整性及有效性，以使其投标对“招标文件”作出实质性响应。否则，可能被拒绝。</w:t>
      </w:r>
    </w:p>
    <w:p w14:paraId="04CA424B">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olor w:val="auto"/>
          <w:sz w:val="24"/>
          <w:highlight w:val="none"/>
        </w:rPr>
      </w:pPr>
      <w:r>
        <w:rPr>
          <w:rFonts w:hint="eastAsia" w:ascii="Times New Roman" w:hAnsi="Times New Roman" w:eastAsia="宋体" w:cs="Times New Roman"/>
          <w:b w:val="0"/>
          <w:bCs w:val="0"/>
          <w:caps w:val="0"/>
          <w:color w:val="auto"/>
          <w:kern w:val="2"/>
          <w:sz w:val="24"/>
          <w:szCs w:val="21"/>
          <w:highlight w:val="none"/>
          <w:lang w:val="zh-CN" w:eastAsia="zh-CN"/>
        </w:rPr>
        <w:t>各投标人在编制投标文件时请按照招标文件第六</w:t>
      </w:r>
      <w:r>
        <w:rPr>
          <w:rFonts w:hint="eastAsia" w:ascii="Times New Roman" w:hAnsi="Times New Roman" w:eastAsia="宋体" w:cs="Times New Roman"/>
          <w:b w:val="0"/>
          <w:bCs w:val="0"/>
          <w:caps w:val="0"/>
          <w:color w:val="auto"/>
          <w:kern w:val="2"/>
          <w:sz w:val="24"/>
          <w:szCs w:val="21"/>
          <w:highlight w:val="none"/>
          <w:lang w:val="en-US" w:eastAsia="zh-CN"/>
        </w:rPr>
        <w:t>章</w:t>
      </w:r>
      <w:r>
        <w:rPr>
          <w:rFonts w:hint="eastAsia" w:ascii="Times New Roman" w:hAnsi="Times New Roman" w:eastAsia="宋体" w:cs="Times New Roman"/>
          <w:b w:val="0"/>
          <w:bCs w:val="0"/>
          <w:caps w:val="0"/>
          <w:color w:val="auto"/>
          <w:kern w:val="2"/>
          <w:sz w:val="24"/>
          <w:szCs w:val="21"/>
          <w:highlight w:val="none"/>
          <w:lang w:val="zh-CN" w:eastAsia="zh-CN"/>
        </w:rPr>
        <w:t>规定的格式进行，混乱的编排导致投标文件被误读或评委会查找不到有效文件是投标人的风险。</w:t>
      </w:r>
    </w:p>
    <w:p w14:paraId="0532876D">
      <w:pPr>
        <w:spacing w:line="480" w:lineRule="exact"/>
        <w:ind w:firstLine="482"/>
        <w:rPr>
          <w:rFonts w:hint="eastAsia" w:ascii="宋体" w:hAnsi="宋体" w:eastAsia="宋体" w:cs="宋体"/>
          <w:bCs/>
          <w:color w:val="auto"/>
          <w:sz w:val="24"/>
          <w:highlight w:val="none"/>
        </w:rPr>
      </w:pPr>
      <w:r>
        <w:rPr>
          <w:rFonts w:hint="eastAsia" w:ascii="Times New Roman" w:hAnsi="Times New Roman" w:eastAsia="宋体" w:cs="Times New Roman"/>
          <w:b/>
          <w:bCs/>
          <w:caps w:val="0"/>
          <w:color w:val="auto"/>
          <w:sz w:val="24"/>
          <w:highlight w:val="none"/>
          <w:lang w:val="en-US" w:eastAsia="zh-CN"/>
        </w:rPr>
        <w:t>注：（1）投标人需将投标文件按上述顺序装订成册；（2）投标文件构成资料为非中文时应提供中文译版；（3）</w:t>
      </w:r>
      <w:r>
        <w:rPr>
          <w:rFonts w:hint="eastAsia" w:ascii="宋体" w:hAnsi="宋体" w:eastAsia="宋体" w:cs="宋体"/>
          <w:b/>
          <w:color w:val="auto"/>
          <w:sz w:val="24"/>
          <w:highlight w:val="none"/>
        </w:rPr>
        <w:t>无论何种原因，即使投标人开标时携带了证书证明资料的原件，但投标文件中未包含相关资料的，评标委员会可以视同其未提供。</w:t>
      </w:r>
      <w:bookmarkEnd w:id="88"/>
    </w:p>
    <w:p w14:paraId="02C7EDC8">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10、投标报价</w:t>
      </w:r>
    </w:p>
    <w:p w14:paraId="7BC743D7">
      <w:pPr>
        <w:pageBreakBefore w:val="0"/>
        <w:kinsoku/>
        <w:wordWrap/>
        <w:overflowPunct/>
        <w:topLinePunct w:val="0"/>
        <w:bidi w:val="0"/>
        <w:spacing w:line="560" w:lineRule="exact"/>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10.1报价为一次报价，本项目不接受备选的投标方案或有选择的报价，只允许有一个报价。</w:t>
      </w:r>
      <w:r>
        <w:rPr>
          <w:rFonts w:hint="eastAsia" w:ascii="Times New Roman" w:hAnsi="Times New Roman" w:eastAsia="宋体"/>
          <w:bCs/>
          <w:caps w:val="0"/>
          <w:color w:val="auto"/>
          <w:kern w:val="2"/>
          <w:sz w:val="24"/>
          <w:szCs w:val="21"/>
          <w:highlight w:val="none"/>
        </w:rPr>
        <w:t>投标报价内容包括：</w:t>
      </w:r>
      <w:r>
        <w:rPr>
          <w:rFonts w:hint="eastAsia" w:ascii="Times New Roman" w:hAnsi="Times New Roman" w:eastAsia="宋体" w:cs="Times New Roman"/>
          <w:bCs/>
          <w:caps w:val="0"/>
          <w:color w:val="auto"/>
          <w:kern w:val="2"/>
          <w:sz w:val="24"/>
          <w:szCs w:val="21"/>
          <w:highlight w:val="none"/>
          <w:lang w:val="en-US" w:eastAsia="zh-CN"/>
        </w:rPr>
        <w:t>响应报价应包括货款、标准附件、备品备件、专用工具、包装、运输、装卸、保险、校准、税金、货到就位以及安装、调试、培训、保修等完成本项目所涉及到的一切相关费用。</w:t>
      </w:r>
    </w:p>
    <w:p w14:paraId="723E4B7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10.2报价注意事项：投标价格一律以人民币计算，以元为单位标注，最多保留至小数点后两位，招标文件有规定的按招标文件执行。</w:t>
      </w:r>
    </w:p>
    <w:p w14:paraId="0D36E742">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11、投标保证金</w:t>
      </w:r>
      <w:bookmarkStart w:id="89" w:name="EB183a0bf075204c54a4ff090f1aecaaa7"/>
    </w:p>
    <w:p w14:paraId="38E2B7D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本项目不收取投标保证金。</w:t>
      </w:r>
      <w:bookmarkEnd w:id="89"/>
    </w:p>
    <w:p w14:paraId="0DD55F1A">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12、投标有效期</w:t>
      </w:r>
    </w:p>
    <w:p w14:paraId="40B6952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12.1在投标人须知前附表规定的投标有效期内，投标有效期从提交投标文件的截止之日起算。投标有效期比规定短的将被视为未实质性响应招标文件。</w:t>
      </w:r>
    </w:p>
    <w:p w14:paraId="6A2CFA9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657A3507">
      <w:pPr>
        <w:pStyle w:val="42"/>
        <w:spacing w:before="0" w:after="0" w:line="480" w:lineRule="exact"/>
        <w:ind w:firstLine="321"/>
        <w:rPr>
          <w:rFonts w:hint="eastAsia" w:ascii="宋体" w:hAnsi="宋体" w:eastAsia="宋体" w:cs="宋体"/>
          <w:bCs/>
          <w:color w:val="auto"/>
          <w:szCs w:val="22"/>
          <w:highlight w:val="none"/>
        </w:rPr>
      </w:pPr>
      <w:bookmarkStart w:id="90" w:name="_Toc23443"/>
      <w:bookmarkStart w:id="91" w:name="_Toc2773"/>
      <w:bookmarkStart w:id="92" w:name="_Toc81575195"/>
      <w:bookmarkStart w:id="93" w:name="_Toc81575158"/>
      <w:r>
        <w:rPr>
          <w:rFonts w:hint="eastAsia" w:ascii="宋体" w:hAnsi="宋体" w:eastAsia="宋体" w:cs="宋体"/>
          <w:bCs/>
          <w:color w:val="auto"/>
          <w:szCs w:val="22"/>
          <w:highlight w:val="none"/>
        </w:rPr>
        <w:t>四、投标文件的提交</w:t>
      </w:r>
      <w:bookmarkEnd w:id="90"/>
      <w:bookmarkEnd w:id="91"/>
      <w:bookmarkEnd w:id="92"/>
      <w:bookmarkEnd w:id="93"/>
    </w:p>
    <w:p w14:paraId="4D74B21A">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13、投标文件的提交</w:t>
      </w:r>
    </w:p>
    <w:p w14:paraId="429F7775">
      <w:pPr>
        <w:pageBreakBefore w:val="0"/>
        <w:widowControl w:val="0"/>
        <w:kinsoku/>
        <w:wordWrap/>
        <w:overflowPunct/>
        <w:topLinePunct w:val="0"/>
        <w:bidi w:val="0"/>
        <w:spacing w:line="560" w:lineRule="exact"/>
        <w:ind w:left="0" w:leftChars="0" w:firstLine="482" w:firstLineChars="200"/>
        <w:textAlignment w:val="auto"/>
        <w:rPr>
          <w:rFonts w:hint="eastAsia" w:ascii="Times New Roman" w:hAnsi="Times New Roman" w:eastAsia="宋体" w:cs="Times New Roman"/>
          <w:b/>
          <w:bCs/>
          <w:caps w:val="0"/>
          <w:color w:val="auto"/>
          <w:kern w:val="2"/>
          <w:sz w:val="24"/>
          <w:szCs w:val="21"/>
          <w:highlight w:val="none"/>
          <w:lang w:val="en-US" w:eastAsia="zh-CN"/>
        </w:rPr>
      </w:pPr>
      <w:r>
        <w:rPr>
          <w:rFonts w:hint="eastAsia" w:ascii="Times New Roman" w:hAnsi="Times New Roman" w:eastAsia="宋体" w:cs="Times New Roman"/>
          <w:b/>
          <w:bCs/>
          <w:caps w:val="0"/>
          <w:color w:val="auto"/>
          <w:kern w:val="2"/>
          <w:sz w:val="24"/>
          <w:szCs w:val="21"/>
          <w:highlight w:val="none"/>
          <w:lang w:val="en-US" w:eastAsia="zh-CN"/>
        </w:rPr>
        <w:t>1</w:t>
      </w:r>
      <w:r>
        <w:rPr>
          <w:rFonts w:hint="eastAsia" w:ascii="Times New Roman" w:hAnsi="Times New Roman" w:cs="Times New Roman"/>
          <w:b/>
          <w:bCs/>
          <w:caps w:val="0"/>
          <w:color w:val="auto"/>
          <w:kern w:val="2"/>
          <w:sz w:val="24"/>
          <w:szCs w:val="21"/>
          <w:highlight w:val="none"/>
          <w:lang w:val="en-US" w:eastAsia="zh-CN"/>
        </w:rPr>
        <w:t>3</w:t>
      </w:r>
      <w:r>
        <w:rPr>
          <w:rFonts w:hint="eastAsia" w:ascii="Times New Roman" w:hAnsi="Times New Roman" w:eastAsia="宋体" w:cs="Times New Roman"/>
          <w:b/>
          <w:bCs/>
          <w:caps w:val="0"/>
          <w:color w:val="auto"/>
          <w:kern w:val="2"/>
          <w:sz w:val="24"/>
          <w:szCs w:val="21"/>
          <w:highlight w:val="none"/>
          <w:lang w:val="en-US" w:eastAsia="zh-CN"/>
        </w:rPr>
        <w:t>.1提交书面投标文件：正本1份，副本4份。正本、副本分别密封，并在每个密封袋上清楚地标明“正本”、“副本”；</w:t>
      </w:r>
    </w:p>
    <w:p w14:paraId="2ECEE8CE">
      <w:pPr>
        <w:pageBreakBefore w:val="0"/>
        <w:widowControl w:val="0"/>
        <w:kinsoku/>
        <w:wordWrap/>
        <w:overflowPunct/>
        <w:topLinePunct w:val="0"/>
        <w:bidi w:val="0"/>
        <w:spacing w:line="560" w:lineRule="exact"/>
        <w:ind w:left="0" w:leftChars="0" w:firstLine="482" w:firstLineChars="200"/>
        <w:textAlignment w:val="auto"/>
        <w:rPr>
          <w:rFonts w:hint="eastAsia" w:ascii="Times New Roman" w:hAnsi="Times New Roman" w:eastAsia="宋体" w:cs="Times New Roman"/>
          <w:b/>
          <w:bCs/>
          <w:caps w:val="0"/>
          <w:color w:val="auto"/>
          <w:kern w:val="2"/>
          <w:sz w:val="24"/>
          <w:szCs w:val="21"/>
          <w:highlight w:val="none"/>
          <w:lang w:val="en-US" w:eastAsia="zh-CN"/>
        </w:rPr>
      </w:pPr>
      <w:r>
        <w:rPr>
          <w:rFonts w:hint="eastAsia" w:ascii="Times New Roman" w:hAnsi="Times New Roman" w:eastAsia="宋体" w:cs="Times New Roman"/>
          <w:b/>
          <w:bCs/>
          <w:caps w:val="0"/>
          <w:color w:val="auto"/>
          <w:kern w:val="2"/>
          <w:sz w:val="24"/>
          <w:szCs w:val="21"/>
          <w:highlight w:val="none"/>
          <w:lang w:val="en-US" w:eastAsia="zh-CN"/>
        </w:rPr>
        <w:t>1</w:t>
      </w:r>
      <w:r>
        <w:rPr>
          <w:rFonts w:hint="eastAsia" w:ascii="Times New Roman" w:hAnsi="Times New Roman" w:cs="Times New Roman"/>
          <w:b/>
          <w:bCs/>
          <w:caps w:val="0"/>
          <w:color w:val="auto"/>
          <w:kern w:val="2"/>
          <w:sz w:val="24"/>
          <w:szCs w:val="21"/>
          <w:highlight w:val="none"/>
          <w:lang w:val="en-US" w:eastAsia="zh-CN"/>
        </w:rPr>
        <w:t>3</w:t>
      </w:r>
      <w:r>
        <w:rPr>
          <w:rFonts w:hint="eastAsia" w:ascii="Times New Roman" w:hAnsi="Times New Roman" w:eastAsia="宋体" w:cs="Times New Roman"/>
          <w:b/>
          <w:bCs/>
          <w:caps w:val="0"/>
          <w:color w:val="auto"/>
          <w:kern w:val="2"/>
          <w:sz w:val="24"/>
          <w:szCs w:val="21"/>
          <w:highlight w:val="none"/>
          <w:lang w:val="en-US" w:eastAsia="zh-CN"/>
        </w:rPr>
        <w:t>.2投标文件的正本和副本均需打印。授权代表须有法人代表以书面形式出具的“授权书”附在投标文件中。一旦正本和副本不符，以正本为准。</w:t>
      </w:r>
    </w:p>
    <w:p w14:paraId="38BF5C06">
      <w:pPr>
        <w:pageBreakBefore w:val="0"/>
        <w:widowControl w:val="0"/>
        <w:kinsoku/>
        <w:wordWrap/>
        <w:overflowPunct/>
        <w:topLinePunct w:val="0"/>
        <w:bidi w:val="0"/>
        <w:spacing w:line="560" w:lineRule="exact"/>
        <w:ind w:left="0" w:leftChars="0" w:firstLine="482" w:firstLineChars="200"/>
        <w:textAlignment w:val="auto"/>
        <w:rPr>
          <w:rFonts w:hint="eastAsia" w:ascii="Times New Roman" w:hAnsi="Times New Roman" w:eastAsia="宋体" w:cs="Times New Roman"/>
          <w:b/>
          <w:bCs/>
          <w:caps w:val="0"/>
          <w:color w:val="auto"/>
          <w:kern w:val="2"/>
          <w:sz w:val="24"/>
          <w:szCs w:val="21"/>
          <w:highlight w:val="none"/>
          <w:lang w:val="en-US" w:eastAsia="zh-CN"/>
        </w:rPr>
      </w:pPr>
      <w:r>
        <w:rPr>
          <w:rFonts w:hint="eastAsia" w:ascii="Times New Roman" w:hAnsi="Times New Roman" w:eastAsia="宋体" w:cs="Times New Roman"/>
          <w:b/>
          <w:bCs/>
          <w:caps w:val="0"/>
          <w:color w:val="auto"/>
          <w:kern w:val="2"/>
          <w:sz w:val="24"/>
          <w:szCs w:val="21"/>
          <w:highlight w:val="none"/>
          <w:lang w:val="en-US" w:eastAsia="zh-CN"/>
        </w:rPr>
        <w:t>1</w:t>
      </w:r>
      <w:r>
        <w:rPr>
          <w:rFonts w:hint="eastAsia" w:ascii="Times New Roman" w:hAnsi="Times New Roman" w:cs="Times New Roman"/>
          <w:b/>
          <w:bCs/>
          <w:caps w:val="0"/>
          <w:color w:val="auto"/>
          <w:kern w:val="2"/>
          <w:sz w:val="24"/>
          <w:szCs w:val="21"/>
          <w:highlight w:val="none"/>
          <w:lang w:val="en-US" w:eastAsia="zh-CN"/>
        </w:rPr>
        <w:t>3</w:t>
      </w:r>
      <w:r>
        <w:rPr>
          <w:rFonts w:hint="eastAsia" w:ascii="Times New Roman" w:hAnsi="Times New Roman" w:eastAsia="宋体" w:cs="Times New Roman"/>
          <w:b/>
          <w:bCs/>
          <w:caps w:val="0"/>
          <w:color w:val="auto"/>
          <w:kern w:val="2"/>
          <w:sz w:val="24"/>
          <w:szCs w:val="21"/>
          <w:highlight w:val="none"/>
          <w:lang w:val="en-US" w:eastAsia="zh-CN"/>
        </w:rPr>
        <w:t>.3除对错处做必要修改外，投标文件不得行间插字、涂改或增删，必要的修改处必须有投标单位法人代表或其授权代表人签字并盖公章。</w:t>
      </w:r>
    </w:p>
    <w:p w14:paraId="3BB14FDA">
      <w:pPr>
        <w:pageBreakBefore w:val="0"/>
        <w:widowControl w:val="0"/>
        <w:kinsoku/>
        <w:wordWrap/>
        <w:overflowPunct/>
        <w:topLinePunct w:val="0"/>
        <w:bidi w:val="0"/>
        <w:spacing w:line="560" w:lineRule="exact"/>
        <w:ind w:left="0" w:leftChars="0" w:firstLine="482" w:firstLineChars="200"/>
        <w:textAlignment w:val="auto"/>
        <w:rPr>
          <w:rFonts w:hint="eastAsia" w:ascii="Times New Roman" w:hAnsi="Times New Roman" w:eastAsia="宋体" w:cs="Times New Roman"/>
          <w:b/>
          <w:bCs/>
          <w:caps w:val="0"/>
          <w:color w:val="auto"/>
          <w:kern w:val="2"/>
          <w:sz w:val="24"/>
          <w:szCs w:val="21"/>
          <w:highlight w:val="none"/>
          <w:lang w:val="en-US" w:eastAsia="zh-CN"/>
        </w:rPr>
      </w:pPr>
      <w:r>
        <w:rPr>
          <w:rFonts w:hint="eastAsia" w:ascii="Times New Roman" w:hAnsi="Times New Roman" w:eastAsia="宋体" w:cs="Times New Roman"/>
          <w:b/>
          <w:bCs/>
          <w:caps w:val="0"/>
          <w:color w:val="auto"/>
          <w:kern w:val="2"/>
          <w:sz w:val="24"/>
          <w:szCs w:val="21"/>
          <w:highlight w:val="none"/>
          <w:lang w:val="en-US" w:eastAsia="zh-CN"/>
        </w:rPr>
        <w:t>1</w:t>
      </w:r>
      <w:r>
        <w:rPr>
          <w:rFonts w:hint="eastAsia" w:ascii="Times New Roman" w:hAnsi="Times New Roman" w:cs="Times New Roman"/>
          <w:b/>
          <w:bCs/>
          <w:caps w:val="0"/>
          <w:color w:val="auto"/>
          <w:kern w:val="2"/>
          <w:sz w:val="24"/>
          <w:szCs w:val="21"/>
          <w:highlight w:val="none"/>
          <w:lang w:val="en-US" w:eastAsia="zh-CN"/>
        </w:rPr>
        <w:t>3</w:t>
      </w:r>
      <w:r>
        <w:rPr>
          <w:rFonts w:hint="eastAsia" w:ascii="Times New Roman" w:hAnsi="Times New Roman" w:eastAsia="宋体" w:cs="Times New Roman"/>
          <w:b/>
          <w:bCs/>
          <w:caps w:val="0"/>
          <w:color w:val="auto"/>
          <w:kern w:val="2"/>
          <w:sz w:val="24"/>
          <w:szCs w:val="21"/>
          <w:highlight w:val="none"/>
          <w:lang w:val="en-US" w:eastAsia="zh-CN"/>
        </w:rPr>
        <w:t xml:space="preserve">.4投标文件密封件外层正面应注明供应商名称、项目名称等字样，并在骑缝处加盖公章，因标注不清而产生后果的由供应商自负。 </w:t>
      </w:r>
    </w:p>
    <w:p w14:paraId="597AF025">
      <w:pPr>
        <w:pageBreakBefore w:val="0"/>
        <w:widowControl w:val="0"/>
        <w:kinsoku/>
        <w:wordWrap/>
        <w:overflowPunct/>
        <w:topLinePunct w:val="0"/>
        <w:bidi w:val="0"/>
        <w:spacing w:line="560" w:lineRule="exact"/>
        <w:ind w:left="0" w:leftChars="0" w:firstLine="482" w:firstLineChars="200"/>
        <w:textAlignment w:val="auto"/>
        <w:rPr>
          <w:rFonts w:hint="eastAsia" w:ascii="Times New Roman" w:hAnsi="Times New Roman" w:eastAsia="宋体" w:cs="Times New Roman"/>
          <w:b/>
          <w:bCs/>
          <w:caps w:val="0"/>
          <w:color w:val="auto"/>
          <w:kern w:val="2"/>
          <w:sz w:val="24"/>
          <w:szCs w:val="21"/>
          <w:highlight w:val="none"/>
          <w:lang w:val="en-US" w:eastAsia="zh-CN"/>
        </w:rPr>
      </w:pPr>
      <w:r>
        <w:rPr>
          <w:rFonts w:hint="eastAsia" w:ascii="Times New Roman" w:hAnsi="Times New Roman" w:eastAsia="宋体" w:cs="Times New Roman"/>
          <w:b/>
          <w:bCs/>
          <w:caps w:val="0"/>
          <w:color w:val="auto"/>
          <w:kern w:val="2"/>
          <w:sz w:val="24"/>
          <w:szCs w:val="21"/>
          <w:highlight w:val="none"/>
          <w:lang w:val="en-US" w:eastAsia="zh-CN"/>
        </w:rPr>
        <w:t>1</w:t>
      </w:r>
      <w:r>
        <w:rPr>
          <w:rFonts w:hint="eastAsia" w:ascii="Times New Roman" w:hAnsi="Times New Roman" w:cs="Times New Roman"/>
          <w:b/>
          <w:bCs/>
          <w:caps w:val="0"/>
          <w:color w:val="auto"/>
          <w:kern w:val="2"/>
          <w:sz w:val="24"/>
          <w:szCs w:val="21"/>
          <w:highlight w:val="none"/>
          <w:lang w:val="en-US" w:eastAsia="zh-CN"/>
        </w:rPr>
        <w:t>3</w:t>
      </w:r>
      <w:r>
        <w:rPr>
          <w:rFonts w:hint="eastAsia" w:ascii="Times New Roman" w:hAnsi="Times New Roman" w:eastAsia="宋体" w:cs="Times New Roman"/>
          <w:b/>
          <w:bCs/>
          <w:caps w:val="0"/>
          <w:color w:val="auto"/>
          <w:kern w:val="2"/>
          <w:sz w:val="24"/>
          <w:szCs w:val="21"/>
          <w:highlight w:val="none"/>
          <w:lang w:val="en-US" w:eastAsia="zh-CN"/>
        </w:rPr>
        <w:t xml:space="preserve">.5投标文件须盖章或签字之处，应按要求加盖。 </w:t>
      </w:r>
    </w:p>
    <w:p w14:paraId="69166E43">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14、投标文件被拒绝接收的情形</w:t>
      </w:r>
    </w:p>
    <w:p w14:paraId="14CB211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14.1</w:t>
      </w:r>
      <w:r>
        <w:rPr>
          <w:rFonts w:hint="eastAsia" w:ascii="宋体" w:hAnsi="宋体" w:eastAsia="宋体" w:cs="宋体"/>
          <w:color w:val="auto"/>
          <w:sz w:val="24"/>
          <w:highlight w:val="none"/>
        </w:rPr>
        <w:t>在招标文件规定的投标截止时间后</w:t>
      </w:r>
      <w:r>
        <w:rPr>
          <w:rFonts w:hint="eastAsia" w:ascii="宋体" w:hAnsi="宋体" w:eastAsia="宋体" w:cs="宋体"/>
          <w:color w:val="auto"/>
          <w:sz w:val="24"/>
          <w:highlight w:val="none"/>
          <w:lang w:val="en-US" w:eastAsia="zh-CN"/>
        </w:rPr>
        <w:t>递交</w:t>
      </w:r>
      <w:r>
        <w:rPr>
          <w:rFonts w:hint="eastAsia" w:ascii="宋体" w:hAnsi="宋体" w:eastAsia="宋体" w:cs="宋体"/>
          <w:color w:val="auto"/>
          <w:sz w:val="24"/>
          <w:highlight w:val="none"/>
        </w:rPr>
        <w:t>的投标文件。</w:t>
      </w:r>
    </w:p>
    <w:p w14:paraId="6AEFB747">
      <w:pPr>
        <w:spacing w:line="48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14.2</w:t>
      </w:r>
      <w:r>
        <w:rPr>
          <w:rFonts w:hint="eastAsia" w:ascii="Times New Roman" w:hAnsi="Times New Roman" w:eastAsia="宋体" w:cs="Times New Roman"/>
          <w:bCs/>
          <w:caps w:val="0"/>
          <w:color w:val="auto"/>
          <w:sz w:val="24"/>
          <w:highlight w:val="none"/>
        </w:rPr>
        <w:t>未按</w:t>
      </w:r>
      <w:r>
        <w:rPr>
          <w:rFonts w:hint="eastAsia" w:ascii="Times New Roman" w:hAnsi="Times New Roman" w:eastAsia="宋体" w:cs="Times New Roman"/>
          <w:bCs/>
          <w:caps w:val="0"/>
          <w:color w:val="auto"/>
          <w:sz w:val="24"/>
          <w:highlight w:val="none"/>
          <w:lang w:eastAsia="zh-CN"/>
        </w:rPr>
        <w:t>招标</w:t>
      </w:r>
      <w:r>
        <w:rPr>
          <w:rFonts w:hint="eastAsia" w:ascii="Times New Roman" w:hAnsi="Times New Roman" w:eastAsia="宋体" w:cs="Times New Roman"/>
          <w:bCs/>
          <w:caps w:val="0"/>
          <w:color w:val="auto"/>
          <w:sz w:val="24"/>
          <w:highlight w:val="none"/>
        </w:rPr>
        <w:t>文件要求密封的任何</w:t>
      </w:r>
      <w:r>
        <w:rPr>
          <w:rFonts w:hint="eastAsia" w:ascii="Times New Roman" w:hAnsi="Times New Roman" w:eastAsia="宋体" w:cs="Times New Roman"/>
          <w:bCs/>
          <w:caps w:val="0"/>
          <w:color w:val="auto"/>
          <w:sz w:val="24"/>
          <w:highlight w:val="none"/>
          <w:lang w:eastAsia="zh-CN"/>
        </w:rPr>
        <w:t>投标</w:t>
      </w:r>
      <w:r>
        <w:rPr>
          <w:rFonts w:hint="eastAsia" w:ascii="Times New Roman" w:hAnsi="Times New Roman" w:eastAsia="宋体" w:cs="Times New Roman"/>
          <w:bCs/>
          <w:caps w:val="0"/>
          <w:color w:val="auto"/>
          <w:sz w:val="24"/>
          <w:highlight w:val="none"/>
        </w:rPr>
        <w:t>文件</w:t>
      </w:r>
      <w:r>
        <w:rPr>
          <w:rFonts w:hint="eastAsia" w:ascii="宋体" w:hAnsi="宋体" w:eastAsia="宋体" w:cs="宋体"/>
          <w:color w:val="auto"/>
          <w:sz w:val="24"/>
          <w:highlight w:val="none"/>
          <w:lang w:val="en-US" w:eastAsia="zh-CN"/>
        </w:rPr>
        <w:t>。</w:t>
      </w:r>
    </w:p>
    <w:p w14:paraId="0AC9F606">
      <w:pPr>
        <w:pStyle w:val="42"/>
        <w:spacing w:before="0" w:after="0" w:line="520" w:lineRule="exact"/>
        <w:ind w:firstLine="321"/>
        <w:rPr>
          <w:rFonts w:hint="eastAsia" w:ascii="宋体" w:hAnsi="宋体" w:eastAsia="宋体" w:cs="宋体"/>
          <w:bCs/>
          <w:color w:val="auto"/>
          <w:szCs w:val="22"/>
          <w:highlight w:val="none"/>
        </w:rPr>
      </w:pPr>
      <w:bookmarkStart w:id="94" w:name="_Toc81575197"/>
      <w:bookmarkStart w:id="95" w:name="_Toc959"/>
      <w:bookmarkStart w:id="96" w:name="_Toc81575160"/>
      <w:bookmarkStart w:id="97" w:name="_Toc20026"/>
      <w:r>
        <w:rPr>
          <w:rFonts w:hint="eastAsia" w:ascii="宋体" w:hAnsi="宋体" w:eastAsia="宋体" w:cs="宋体"/>
          <w:bCs/>
          <w:color w:val="auto"/>
          <w:szCs w:val="22"/>
          <w:highlight w:val="none"/>
        </w:rPr>
        <w:t>五、开标、评标程序</w:t>
      </w:r>
      <w:bookmarkEnd w:id="94"/>
      <w:bookmarkEnd w:id="95"/>
      <w:bookmarkEnd w:id="96"/>
      <w:bookmarkEnd w:id="97"/>
    </w:p>
    <w:p w14:paraId="09CD1342">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15、开标</w:t>
      </w:r>
    </w:p>
    <w:p w14:paraId="39566E8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15.1采购单位（采购代理机构）按招标文件规定的时间、地点组织开标。采购单位代表及有关工作人员参加。</w:t>
      </w:r>
    </w:p>
    <w:p w14:paraId="31AADD8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15.2开标仪式由采购代理机构组织。</w:t>
      </w:r>
    </w:p>
    <w:p w14:paraId="4B11F9AC">
      <w:pPr>
        <w:spacing w:line="48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由</w:t>
      </w:r>
      <w:r>
        <w:rPr>
          <w:rFonts w:hint="eastAsia" w:ascii="宋体" w:hAnsi="宋体" w:eastAsia="宋体" w:cs="宋体"/>
          <w:color w:val="auto"/>
          <w:sz w:val="24"/>
          <w:highlight w:val="none"/>
        </w:rPr>
        <w:t>投标人或其推选的代表</w:t>
      </w:r>
      <w:r>
        <w:rPr>
          <w:rFonts w:hint="eastAsia" w:ascii="宋体" w:hAnsi="宋体" w:eastAsia="宋体" w:cs="宋体"/>
          <w:color w:val="auto"/>
          <w:sz w:val="24"/>
          <w:highlight w:val="none"/>
          <w:lang w:val="en-US" w:eastAsia="zh-CN"/>
        </w:rPr>
        <w:t>检查投标文件的密封情况，对检查未通过的，采购单位（采购代理机构）将拒绝并原封退回其投标文件。</w:t>
      </w:r>
    </w:p>
    <w:p w14:paraId="62E2A35F">
      <w:pPr>
        <w:pageBreakBefore w:val="0"/>
        <w:widowControl w:val="0"/>
        <w:kinsoku/>
        <w:wordWrap/>
        <w:overflowPunct/>
        <w:topLinePunct w:val="0"/>
        <w:bidi w:val="0"/>
        <w:spacing w:line="560" w:lineRule="exact"/>
        <w:ind w:left="0" w:leftChars="0" w:firstLine="480" w:firstLineChars="200"/>
        <w:textAlignment w:val="auto"/>
        <w:rPr>
          <w:rFonts w:hint="eastAsia" w:ascii="Times New Roman" w:hAnsi="Times New Roman" w:eastAsia="宋体" w:cs="Times New Roman"/>
          <w:caps w:val="0"/>
          <w:color w:val="auto"/>
          <w:kern w:val="2"/>
          <w:sz w:val="24"/>
          <w:szCs w:val="24"/>
          <w:highlight w:val="none"/>
          <w:lang w:val="en-US" w:eastAsia="zh-CN"/>
        </w:rPr>
      </w:pPr>
      <w:r>
        <w:rPr>
          <w:rFonts w:hint="eastAsia" w:ascii="Times New Roman" w:hAnsi="Times New Roman" w:eastAsia="宋体" w:cs="Times New Roman"/>
          <w:caps w:val="0"/>
          <w:color w:val="auto"/>
          <w:kern w:val="2"/>
          <w:sz w:val="24"/>
          <w:szCs w:val="24"/>
          <w:highlight w:val="none"/>
          <w:lang w:val="en-US" w:eastAsia="zh-CN"/>
        </w:rPr>
        <w:t>15.</w:t>
      </w:r>
      <w:r>
        <w:rPr>
          <w:rFonts w:hint="eastAsia" w:ascii="Times New Roman" w:hAnsi="Times New Roman" w:cs="Times New Roman"/>
          <w:caps w:val="0"/>
          <w:color w:val="auto"/>
          <w:kern w:val="2"/>
          <w:sz w:val="24"/>
          <w:szCs w:val="24"/>
          <w:highlight w:val="none"/>
          <w:lang w:val="en-US" w:eastAsia="zh-CN"/>
        </w:rPr>
        <w:t>4</w:t>
      </w:r>
      <w:r>
        <w:rPr>
          <w:rFonts w:hint="eastAsia" w:ascii="Times New Roman" w:hAnsi="Times New Roman" w:eastAsia="宋体" w:cs="Times New Roman"/>
          <w:caps w:val="0"/>
          <w:color w:val="auto"/>
          <w:kern w:val="2"/>
          <w:sz w:val="24"/>
          <w:szCs w:val="24"/>
          <w:highlight w:val="none"/>
          <w:lang w:val="en-US" w:eastAsia="zh-CN"/>
        </w:rPr>
        <w:t>开标时，由采购代理机构宣布投标人名称、投标价格和招标文件规定的需要宣布的其他内容。投标人现场确认投标价格，未在规定时间内确认价格的，视同认可开标结果。</w:t>
      </w:r>
    </w:p>
    <w:p w14:paraId="02455412">
      <w:pPr>
        <w:pageBreakBefore w:val="0"/>
        <w:widowControl w:val="0"/>
        <w:kinsoku/>
        <w:wordWrap/>
        <w:overflowPunct/>
        <w:topLinePunct w:val="0"/>
        <w:bidi w:val="0"/>
        <w:spacing w:line="560" w:lineRule="exact"/>
        <w:ind w:left="0" w:leftChars="0" w:firstLine="480" w:firstLineChars="200"/>
        <w:textAlignment w:val="auto"/>
        <w:rPr>
          <w:rFonts w:hint="eastAsia" w:ascii="Times New Roman" w:hAnsi="Times New Roman" w:eastAsia="宋体" w:cs="Times New Roman"/>
          <w:caps w:val="0"/>
          <w:color w:val="auto"/>
          <w:kern w:val="2"/>
          <w:sz w:val="24"/>
          <w:szCs w:val="24"/>
          <w:highlight w:val="none"/>
          <w:lang w:val="en-US" w:eastAsia="zh-CN"/>
        </w:rPr>
      </w:pPr>
      <w:r>
        <w:rPr>
          <w:rFonts w:hint="eastAsia" w:ascii="Times New Roman" w:hAnsi="Times New Roman" w:eastAsia="宋体" w:cs="Times New Roman"/>
          <w:caps w:val="0"/>
          <w:color w:val="auto"/>
          <w:kern w:val="2"/>
          <w:sz w:val="24"/>
          <w:szCs w:val="24"/>
          <w:highlight w:val="none"/>
          <w:lang w:val="en-US" w:eastAsia="zh-CN"/>
        </w:rPr>
        <w:t>15.</w:t>
      </w:r>
      <w:r>
        <w:rPr>
          <w:rFonts w:hint="eastAsia" w:ascii="Times New Roman" w:hAnsi="Times New Roman" w:cs="Times New Roman"/>
          <w:caps w:val="0"/>
          <w:color w:val="auto"/>
          <w:kern w:val="2"/>
          <w:sz w:val="24"/>
          <w:szCs w:val="24"/>
          <w:highlight w:val="none"/>
          <w:lang w:val="en-US" w:eastAsia="zh-CN"/>
        </w:rPr>
        <w:t>5</w:t>
      </w:r>
      <w:r>
        <w:rPr>
          <w:rFonts w:hint="eastAsia" w:ascii="Times New Roman" w:hAnsi="Times New Roman" w:eastAsia="宋体" w:cs="Times New Roman"/>
          <w:caps w:val="0"/>
          <w:color w:val="auto"/>
          <w:kern w:val="2"/>
          <w:sz w:val="24"/>
          <w:szCs w:val="24"/>
          <w:highlight w:val="none"/>
          <w:lang w:val="en-US" w:eastAsia="zh-CN"/>
        </w:rPr>
        <w:t>投标人如果对开标过程和开标记录有疑义，应现场提出，如开标现场未提出的，视同认可开标结果。</w:t>
      </w:r>
    </w:p>
    <w:p w14:paraId="7772748F">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16、评标委员会</w:t>
      </w:r>
    </w:p>
    <w:p w14:paraId="6A2A946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5989CCCD">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17、评标程序</w:t>
      </w:r>
    </w:p>
    <w:p w14:paraId="56359C1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17.1资格审查</w:t>
      </w:r>
      <w:bookmarkStart w:id="98" w:name="EBa9c0a2c9e523494487594c65b2a92370"/>
    </w:p>
    <w:p w14:paraId="7370721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开标结束后，采购人依法根据招标文件的规定对投标人的资格证明文件等进行审查。</w:t>
      </w:r>
      <w:bookmarkEnd w:id="98"/>
    </w:p>
    <w:p w14:paraId="7D414BC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17.2符合性检查</w:t>
      </w:r>
    </w:p>
    <w:p w14:paraId="5C84416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17.2.1依据招标文件的规定，由评标委员会从投标文件的有效性、完整性和对招标文件的响应程度进行审查，以确定是否对招标文件的实质性要求作出响应。</w:t>
      </w:r>
    </w:p>
    <w:p w14:paraId="3BCDDE7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17.2.2在详细评标之前，评标委员会将首先审查每份投标文件是否实质性响应了招标文件的要求。实质性响应的投标应是与招标文件要求的全部条款、条件和规格相符，没有重大偏离的投标。</w:t>
      </w:r>
      <w:bookmarkStart w:id="99" w:name="EB1499356fad43416eb16398733accabf7"/>
      <w:r>
        <w:rPr>
          <w:rFonts w:hint="eastAsia" w:ascii="宋体" w:hAnsi="宋体" w:eastAsia="宋体" w:cs="宋体"/>
          <w:color w:val="auto"/>
          <w:sz w:val="24"/>
          <w:highlight w:val="none"/>
        </w:rPr>
        <w:t>所谓重大偏离是指投标人投标文件中所述设备质量、技术规格、数量、交货期、服务等明显不能满足招标文件要求。</w:t>
      </w:r>
      <w:bookmarkEnd w:id="99"/>
      <w:r>
        <w:rPr>
          <w:rFonts w:hint="eastAsia" w:ascii="宋体" w:hAnsi="宋体" w:eastAsia="宋体" w:cs="宋体"/>
          <w:color w:val="auto"/>
          <w:sz w:val="24"/>
          <w:highlight w:val="none"/>
        </w:rPr>
        <w:t>重大偏离的认定需经过评标委员会以少数服从多数的原则作出结论。</w:t>
      </w:r>
    </w:p>
    <w:p w14:paraId="2BDC0A8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17.3未通过资格审查或符合性审查的投标人，采购代理机构将告知未通过资格审查或符合性审查的原因。</w:t>
      </w:r>
    </w:p>
    <w:p w14:paraId="04018A3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17.4评标委员会判断投标文件的响应性，仅基于投标文件本身而不靠外部证据。对非实质性响应的投标文件，投标人不能通过修正或撤销不符之处，而使其成为实质性响应。</w:t>
      </w:r>
    </w:p>
    <w:p w14:paraId="087ED60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17.5相同品牌产品投标</w:t>
      </w:r>
    </w:p>
    <w:p w14:paraId="3971448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0846897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0225ADC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17.5.3非单一产品采购项目，采购人确定核心产品，并在招标文件中载明。多家投标人提供的核心产品品牌相同的，按前两款规定处理。</w:t>
      </w:r>
    </w:p>
    <w:p w14:paraId="6E618935">
      <w:pPr>
        <w:spacing w:line="4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17.6有关问题的澄清</w:t>
      </w:r>
    </w:p>
    <w:p w14:paraId="6BB9A5C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17.6.1对投标文件中含义不明确、同类问题表述不一致或者有明显文字和计算错误的内容，评标委员会可以书面形式</w:t>
      </w:r>
      <w:r>
        <w:rPr>
          <w:rFonts w:hint="eastAsia" w:ascii="宋体" w:hAnsi="宋体" w:eastAsia="宋体" w:cs="宋体"/>
          <w:color w:val="auto"/>
          <w:sz w:val="24"/>
          <w:highlight w:val="none"/>
          <w:lang w:val="en-US" w:eastAsia="zh-CN"/>
        </w:rPr>
        <w:t>要求</w:t>
      </w:r>
      <w:r>
        <w:rPr>
          <w:rFonts w:hint="eastAsia" w:ascii="宋体" w:hAnsi="宋体" w:eastAsia="宋体" w:cs="宋体"/>
          <w:color w:val="auto"/>
          <w:sz w:val="24"/>
          <w:highlight w:val="none"/>
        </w:rPr>
        <w:t>投标人作出必要的澄清、说明或者补正。投标人的澄清、说明或者补正应当采用书面形式且不得超出投标文件的范围或者改变投标文件的实质性内容。投标人的澄清、说明或者补正应加盖公章，或者由法定代表人或其授权的代表签章（或签字）。澄清、说明和补正的内容作为投标文件的补充部分。</w:t>
      </w:r>
    </w:p>
    <w:p w14:paraId="17DA503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17.6.2投标文件报价出现前后不一致的，除招标文件另有规定外，按照下列规定修正：</w:t>
      </w:r>
    </w:p>
    <w:p w14:paraId="0DF1000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①投标文件中开标一览表（报价表）内容与投标文件中相应内容不一致的，以开标一览表（报价表）为准；</w:t>
      </w:r>
    </w:p>
    <w:p w14:paraId="12211DA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②大写金额和小写金额不一致的，以大写金额为准；</w:t>
      </w:r>
    </w:p>
    <w:p w14:paraId="371270F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③单价金额小数点或者百分比有明显错位的，以开标一览表的总价为准，并修改单价；</w:t>
      </w:r>
    </w:p>
    <w:p w14:paraId="262BC4E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④总价金额与按单价汇总金额不一致的，以单价金额计算结果为准。</w:t>
      </w:r>
    </w:p>
    <w:p w14:paraId="658652F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w:t>
      </w:r>
    </w:p>
    <w:p w14:paraId="444CEFA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17.6.3评标委员会将按上述修正错误的方法调整投标文件中的投标报价，并告知投标人，调整后的价格应对投标人具有约束力。投标人不接受修正后的价格，其投标将被拒绝。</w:t>
      </w:r>
    </w:p>
    <w:p w14:paraId="0E4AFFF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评标过程中，不得去掉报价中的最高报价和最低报价。</w:t>
      </w:r>
    </w:p>
    <w:p w14:paraId="06C52E4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17.7异常低价投标审查</w:t>
      </w:r>
    </w:p>
    <w:p w14:paraId="28BEC6F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17.7.1评标过程中出现下列情形之一的，评标委员会应当启动异常低价投标审查程序：</w:t>
      </w:r>
    </w:p>
    <w:p w14:paraId="6899A141">
      <w:pPr>
        <w:spacing w:line="400" w:lineRule="exact"/>
        <w:ind w:firstLine="420"/>
        <w:rPr>
          <w:rFonts w:hint="eastAsia" w:ascii="方正魏碑_GBK" w:hAnsi="方正魏碑_GBK" w:eastAsia="方正魏碑_GBK" w:cs="方正魏碑_GBK"/>
          <w:b w:val="0"/>
          <w:bCs w:val="0"/>
          <w:color w:val="auto"/>
          <w:sz w:val="24"/>
          <w:szCs w:val="21"/>
          <w:highlight w:val="none"/>
        </w:rPr>
      </w:pPr>
      <w:r>
        <w:rPr>
          <w:rFonts w:hint="eastAsia" w:ascii="方正魏碑_GBK" w:hAnsi="方正魏碑_GBK" w:eastAsia="方正魏碑_GBK" w:cs="方正魏碑_GBK"/>
          <w:b w:val="0"/>
          <w:bCs w:val="0"/>
          <w:color w:val="auto"/>
          <w:sz w:val="24"/>
          <w:szCs w:val="21"/>
          <w:highlight w:val="none"/>
        </w:rPr>
        <w:t>（1）投标报价低于全部通过符合性审查供应商投标报价平均值</w:t>
      </w:r>
      <w:r>
        <w:rPr>
          <w:rFonts w:hint="eastAsia" w:ascii="方正魏碑_GBK" w:hAnsi="方正魏碑_GBK" w:eastAsia="方正魏碑_GBK" w:cs="方正魏碑_GBK"/>
          <w:b w:val="0"/>
          <w:bCs w:val="0"/>
          <w:color w:val="auto"/>
          <w:sz w:val="24"/>
          <w:szCs w:val="21"/>
          <w:highlight w:val="none"/>
          <w:u w:val="single"/>
        </w:rPr>
        <w:t>50%</w:t>
      </w:r>
      <w:r>
        <w:rPr>
          <w:rFonts w:hint="eastAsia" w:ascii="方正魏碑_GBK" w:hAnsi="方正魏碑_GBK" w:eastAsia="方正魏碑_GBK" w:cs="方正魏碑_GBK"/>
          <w:b w:val="0"/>
          <w:bCs w:val="0"/>
          <w:color w:val="auto"/>
          <w:sz w:val="24"/>
          <w:szCs w:val="21"/>
          <w:highlight w:val="none"/>
        </w:rPr>
        <w:t>的，即投标报价&lt;全部通过符合性审查供应商投标报价平均值×</w:t>
      </w:r>
      <w:r>
        <w:rPr>
          <w:rFonts w:hint="eastAsia" w:ascii="方正魏碑_GBK" w:hAnsi="方正魏碑_GBK" w:eastAsia="方正魏碑_GBK" w:cs="方正魏碑_GBK"/>
          <w:b w:val="0"/>
          <w:bCs w:val="0"/>
          <w:color w:val="auto"/>
          <w:sz w:val="24"/>
          <w:szCs w:val="21"/>
          <w:highlight w:val="none"/>
          <w:u w:val="single"/>
        </w:rPr>
        <w:t>50%</w:t>
      </w:r>
      <w:r>
        <w:rPr>
          <w:rFonts w:hint="eastAsia" w:ascii="方正魏碑_GBK" w:hAnsi="方正魏碑_GBK" w:eastAsia="方正魏碑_GBK" w:cs="方正魏碑_GBK"/>
          <w:b w:val="0"/>
          <w:bCs w:val="0"/>
          <w:color w:val="auto"/>
          <w:sz w:val="24"/>
          <w:szCs w:val="21"/>
          <w:highlight w:val="none"/>
        </w:rPr>
        <w:t>；</w:t>
      </w:r>
    </w:p>
    <w:p w14:paraId="72636004">
      <w:pPr>
        <w:spacing w:line="400" w:lineRule="exact"/>
        <w:ind w:firstLine="420"/>
        <w:rPr>
          <w:rFonts w:hint="eastAsia" w:ascii="方正魏碑_GBK" w:hAnsi="方正魏碑_GBK" w:eastAsia="方正魏碑_GBK" w:cs="方正魏碑_GBK"/>
          <w:b w:val="0"/>
          <w:bCs w:val="0"/>
          <w:color w:val="auto"/>
          <w:sz w:val="24"/>
          <w:szCs w:val="21"/>
          <w:highlight w:val="none"/>
        </w:rPr>
      </w:pPr>
      <w:r>
        <w:rPr>
          <w:rFonts w:hint="eastAsia" w:ascii="方正魏碑_GBK" w:hAnsi="方正魏碑_GBK" w:eastAsia="方正魏碑_GBK" w:cs="方正魏碑_GBK"/>
          <w:b w:val="0"/>
          <w:bCs w:val="0"/>
          <w:color w:val="auto"/>
          <w:sz w:val="24"/>
          <w:szCs w:val="21"/>
          <w:highlight w:val="none"/>
        </w:rPr>
        <w:t>（2）投标报价低于通过符合性审查的次低报价供应商投标报价</w:t>
      </w:r>
      <w:r>
        <w:rPr>
          <w:rFonts w:hint="eastAsia" w:ascii="方正魏碑_GBK" w:hAnsi="方正魏碑_GBK" w:eastAsia="方正魏碑_GBK" w:cs="方正魏碑_GBK"/>
          <w:b w:val="0"/>
          <w:bCs w:val="0"/>
          <w:color w:val="auto"/>
          <w:sz w:val="24"/>
          <w:szCs w:val="21"/>
          <w:highlight w:val="none"/>
          <w:u w:val="single"/>
        </w:rPr>
        <w:t>50%</w:t>
      </w:r>
      <w:r>
        <w:rPr>
          <w:rFonts w:hint="eastAsia" w:ascii="方正魏碑_GBK" w:hAnsi="方正魏碑_GBK" w:eastAsia="方正魏碑_GBK" w:cs="方正魏碑_GBK"/>
          <w:b w:val="0"/>
          <w:bCs w:val="0"/>
          <w:color w:val="auto"/>
          <w:sz w:val="24"/>
          <w:szCs w:val="21"/>
          <w:highlight w:val="none"/>
        </w:rPr>
        <w:t>的，即投标报价&lt;通过符合性审查的次低报价供应商投标报价×</w:t>
      </w:r>
      <w:r>
        <w:rPr>
          <w:rFonts w:hint="eastAsia" w:ascii="方正魏碑_GBK" w:hAnsi="方正魏碑_GBK" w:eastAsia="方正魏碑_GBK" w:cs="方正魏碑_GBK"/>
          <w:b w:val="0"/>
          <w:bCs w:val="0"/>
          <w:color w:val="auto"/>
          <w:sz w:val="24"/>
          <w:szCs w:val="21"/>
          <w:highlight w:val="none"/>
          <w:u w:val="single"/>
        </w:rPr>
        <w:t>50%</w:t>
      </w:r>
      <w:r>
        <w:rPr>
          <w:rFonts w:hint="eastAsia" w:ascii="方正魏碑_GBK" w:hAnsi="方正魏碑_GBK" w:eastAsia="方正魏碑_GBK" w:cs="方正魏碑_GBK"/>
          <w:b w:val="0"/>
          <w:bCs w:val="0"/>
          <w:color w:val="auto"/>
          <w:sz w:val="24"/>
          <w:szCs w:val="21"/>
          <w:highlight w:val="none"/>
        </w:rPr>
        <w:t>；</w:t>
      </w:r>
    </w:p>
    <w:p w14:paraId="01546065">
      <w:pPr>
        <w:spacing w:line="400" w:lineRule="exact"/>
        <w:ind w:firstLine="420"/>
        <w:rPr>
          <w:rFonts w:hint="eastAsia" w:ascii="方正魏碑_GBK" w:hAnsi="方正魏碑_GBK" w:eastAsia="方正魏碑_GBK" w:cs="方正魏碑_GBK"/>
          <w:b w:val="0"/>
          <w:bCs w:val="0"/>
          <w:color w:val="auto"/>
          <w:sz w:val="24"/>
          <w:szCs w:val="21"/>
          <w:highlight w:val="none"/>
        </w:rPr>
      </w:pPr>
      <w:r>
        <w:rPr>
          <w:rFonts w:hint="eastAsia" w:ascii="方正魏碑_GBK" w:hAnsi="方正魏碑_GBK" w:eastAsia="方正魏碑_GBK" w:cs="方正魏碑_GBK"/>
          <w:b w:val="0"/>
          <w:bCs w:val="0"/>
          <w:color w:val="auto"/>
          <w:sz w:val="24"/>
          <w:szCs w:val="21"/>
          <w:highlight w:val="none"/>
          <w:lang w:eastAsia="zh-CN"/>
        </w:rPr>
        <w:t>（</w:t>
      </w:r>
      <w:r>
        <w:rPr>
          <w:rFonts w:hint="eastAsia" w:ascii="方正魏碑_GBK" w:hAnsi="方正魏碑_GBK" w:eastAsia="方正魏碑_GBK" w:cs="方正魏碑_GBK"/>
          <w:b w:val="0"/>
          <w:bCs w:val="0"/>
          <w:color w:val="auto"/>
          <w:sz w:val="24"/>
          <w:szCs w:val="21"/>
          <w:highlight w:val="none"/>
          <w:lang w:val="en-US" w:eastAsia="zh-CN"/>
        </w:rPr>
        <w:t>3</w:t>
      </w:r>
      <w:r>
        <w:rPr>
          <w:rFonts w:hint="eastAsia" w:ascii="方正魏碑_GBK" w:hAnsi="方正魏碑_GBK" w:eastAsia="方正魏碑_GBK" w:cs="方正魏碑_GBK"/>
          <w:b w:val="0"/>
          <w:bCs w:val="0"/>
          <w:color w:val="auto"/>
          <w:sz w:val="24"/>
          <w:szCs w:val="21"/>
          <w:highlight w:val="none"/>
          <w:lang w:eastAsia="zh-CN"/>
        </w:rPr>
        <w:t>）投标报价低于采购项目最高限价</w:t>
      </w:r>
      <w:r>
        <w:rPr>
          <w:rFonts w:hint="eastAsia" w:ascii="方正魏碑_GBK" w:hAnsi="方正魏碑_GBK" w:eastAsia="方正魏碑_GBK" w:cs="方正魏碑_GBK"/>
          <w:b w:val="0"/>
          <w:bCs w:val="0"/>
          <w:color w:val="auto"/>
          <w:sz w:val="24"/>
          <w:szCs w:val="21"/>
          <w:highlight w:val="none"/>
          <w:u w:val="single"/>
          <w:lang w:eastAsia="zh-CN"/>
        </w:rPr>
        <w:t>45%</w:t>
      </w:r>
      <w:r>
        <w:rPr>
          <w:rFonts w:hint="eastAsia" w:ascii="方正魏碑_GBK" w:hAnsi="方正魏碑_GBK" w:eastAsia="方正魏碑_GBK" w:cs="方正魏碑_GBK"/>
          <w:b w:val="0"/>
          <w:bCs w:val="0"/>
          <w:color w:val="auto"/>
          <w:sz w:val="24"/>
          <w:szCs w:val="21"/>
          <w:highlight w:val="none"/>
          <w:lang w:eastAsia="zh-CN"/>
        </w:rPr>
        <w:t>的，即投标报价&lt;采购项目最高限价×</w:t>
      </w:r>
      <w:r>
        <w:rPr>
          <w:rFonts w:hint="eastAsia" w:ascii="方正魏碑_GBK" w:hAnsi="方正魏碑_GBK" w:eastAsia="方正魏碑_GBK" w:cs="方正魏碑_GBK"/>
          <w:b w:val="0"/>
          <w:bCs w:val="0"/>
          <w:color w:val="auto"/>
          <w:sz w:val="24"/>
          <w:szCs w:val="21"/>
          <w:highlight w:val="none"/>
          <w:u w:val="single"/>
          <w:lang w:eastAsia="zh-CN"/>
        </w:rPr>
        <w:t>45%</w:t>
      </w:r>
      <w:r>
        <w:rPr>
          <w:rFonts w:hint="eastAsia" w:ascii="方正魏碑_GBK" w:hAnsi="方正魏碑_GBK" w:eastAsia="方正魏碑_GBK" w:cs="方正魏碑_GBK"/>
          <w:b w:val="0"/>
          <w:bCs w:val="0"/>
          <w:color w:val="auto"/>
          <w:sz w:val="24"/>
          <w:szCs w:val="21"/>
          <w:highlight w:val="none"/>
          <w:lang w:eastAsia="zh-CN"/>
        </w:rPr>
        <w:t>；</w:t>
      </w:r>
    </w:p>
    <w:p w14:paraId="7B24FE4E">
      <w:pPr>
        <w:spacing w:line="480" w:lineRule="exact"/>
        <w:ind w:firstLine="480"/>
        <w:rPr>
          <w:rFonts w:hint="eastAsia" w:ascii="宋体" w:hAnsi="宋体" w:eastAsia="宋体" w:cs="宋体"/>
          <w:b w:val="0"/>
          <w:bCs w:val="0"/>
          <w:color w:val="auto"/>
          <w:sz w:val="24"/>
          <w:highlight w:val="none"/>
        </w:rPr>
      </w:pPr>
      <w:r>
        <w:rPr>
          <w:rFonts w:hint="eastAsia" w:ascii="方正魏碑_GBK" w:hAnsi="方正魏碑_GBK" w:eastAsia="方正魏碑_GBK" w:cs="方正魏碑_GBK"/>
          <w:b w:val="0"/>
          <w:bCs w:val="0"/>
          <w:color w:val="auto"/>
          <w:sz w:val="24"/>
          <w:szCs w:val="21"/>
          <w:highlight w:val="none"/>
        </w:rPr>
        <w:t>（</w:t>
      </w:r>
      <w:r>
        <w:rPr>
          <w:rFonts w:hint="eastAsia" w:ascii="方正魏碑_GBK" w:hAnsi="方正魏碑_GBK" w:eastAsia="方正魏碑_GBK" w:cs="方正魏碑_GBK"/>
          <w:b w:val="0"/>
          <w:bCs w:val="0"/>
          <w:color w:val="auto"/>
          <w:sz w:val="24"/>
          <w:szCs w:val="21"/>
          <w:highlight w:val="none"/>
          <w:lang w:val="en-US" w:eastAsia="zh-CN"/>
        </w:rPr>
        <w:t>4</w:t>
      </w:r>
      <w:r>
        <w:rPr>
          <w:rFonts w:hint="eastAsia" w:ascii="方正魏碑_GBK" w:hAnsi="方正魏碑_GBK" w:eastAsia="方正魏碑_GBK" w:cs="方正魏碑_GBK"/>
          <w:b w:val="0"/>
          <w:bCs w:val="0"/>
          <w:color w:val="auto"/>
          <w:sz w:val="24"/>
          <w:szCs w:val="21"/>
          <w:highlight w:val="none"/>
        </w:rPr>
        <w:t>）</w:t>
      </w:r>
      <w:r>
        <w:rPr>
          <w:rFonts w:hint="eastAsia" w:ascii="方正魏碑_GBK" w:hAnsi="方正魏碑_GBK" w:eastAsia="方正魏碑_GBK" w:cs="方正魏碑_GBK"/>
          <w:b w:val="0"/>
          <w:bCs w:val="0"/>
          <w:color w:val="auto"/>
          <w:sz w:val="24"/>
          <w:szCs w:val="21"/>
          <w:highlight w:val="none"/>
          <w:lang w:eastAsia="zh-CN"/>
        </w:rPr>
        <w:t>评标</w:t>
      </w:r>
      <w:r>
        <w:rPr>
          <w:rFonts w:hint="eastAsia" w:ascii="方正魏碑_GBK" w:hAnsi="方正魏碑_GBK" w:eastAsia="方正魏碑_GBK" w:cs="方正魏碑_GBK"/>
          <w:b w:val="0"/>
          <w:bCs w:val="0"/>
          <w:color w:val="auto"/>
          <w:sz w:val="24"/>
          <w:szCs w:val="21"/>
          <w:highlight w:val="none"/>
        </w:rPr>
        <w:t>委员会基于专业判断，认为供应商报价过低，有可能影响产品质量或者不能诚信履约的其他情形。</w:t>
      </w:r>
    </w:p>
    <w:p w14:paraId="374ECE1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17.7.2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434176B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4199E6A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17.7.</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异常低价投标审查的启动原因、审查意见和审查结果应当在评审报告中记录，并随供应商提供的相关书面说明及证明材料，以及评审委员会有关互联网浏览、查询历史一并归档。</w:t>
      </w:r>
    </w:p>
    <w:p w14:paraId="15EA0120">
      <w:pPr>
        <w:spacing w:line="4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17.8比较</w:t>
      </w:r>
    </w:p>
    <w:p w14:paraId="2597AF5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评标委员会将按招标文件中规定的评标方法和标准，对符合性检查合格的投标文件进行商务和技术评比。</w:t>
      </w:r>
    </w:p>
    <w:p w14:paraId="7C94D743">
      <w:pPr>
        <w:spacing w:line="4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17.9推荐中标候选人</w:t>
      </w:r>
    </w:p>
    <w:p w14:paraId="733A6D0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评标委员会按照招标文件中规定的评标方法和标准推荐中标候选人。</w:t>
      </w:r>
    </w:p>
    <w:p w14:paraId="3650A698">
      <w:pPr>
        <w:pStyle w:val="42"/>
        <w:spacing w:before="0" w:after="0" w:line="480" w:lineRule="exact"/>
        <w:ind w:firstLine="321"/>
        <w:rPr>
          <w:rFonts w:hint="eastAsia" w:ascii="宋体" w:hAnsi="宋体" w:eastAsia="宋体" w:cs="宋体"/>
          <w:bCs/>
          <w:color w:val="auto"/>
          <w:szCs w:val="22"/>
          <w:highlight w:val="none"/>
        </w:rPr>
      </w:pPr>
      <w:bookmarkStart w:id="100" w:name="_Toc81575159"/>
      <w:bookmarkStart w:id="101" w:name="_Toc81575196"/>
      <w:bookmarkStart w:id="102" w:name="_Toc8712"/>
      <w:bookmarkStart w:id="103" w:name="_Toc8841"/>
      <w:r>
        <w:rPr>
          <w:rFonts w:hint="eastAsia" w:ascii="宋体" w:hAnsi="宋体" w:eastAsia="宋体" w:cs="宋体"/>
          <w:bCs/>
          <w:color w:val="auto"/>
          <w:szCs w:val="22"/>
          <w:highlight w:val="none"/>
        </w:rPr>
        <w:t>六、无效投标、废标、串通投标</w:t>
      </w:r>
      <w:bookmarkEnd w:id="100"/>
      <w:bookmarkEnd w:id="101"/>
      <w:bookmarkEnd w:id="102"/>
      <w:bookmarkEnd w:id="103"/>
      <w:r>
        <w:rPr>
          <w:rFonts w:hint="eastAsia" w:ascii="宋体" w:hAnsi="宋体" w:eastAsia="宋体" w:cs="宋体"/>
          <w:bCs/>
          <w:color w:val="auto"/>
          <w:szCs w:val="22"/>
          <w:highlight w:val="none"/>
        </w:rPr>
        <w:t>及取消中标候选人资格情形</w:t>
      </w:r>
    </w:p>
    <w:p w14:paraId="3914F0B6">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18、无效投标情形</w:t>
      </w:r>
    </w:p>
    <w:p w14:paraId="450E7190">
      <w:pPr>
        <w:spacing w:line="480" w:lineRule="exact"/>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18.1投标人同一分包提交两个（含两个）以上不同的投标报价的。</w:t>
      </w:r>
    </w:p>
    <w:p w14:paraId="442265C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18.2投标人不符合招标文件规定资格要求的或未按规定提交资质证件的。</w:t>
      </w:r>
    </w:p>
    <w:p w14:paraId="33AFA88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18.3投标人的报价超过了采购预算或最高限价的。</w:t>
      </w:r>
    </w:p>
    <w:p w14:paraId="5EE03CC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18.4投标文件未通过符合性审查的。</w:t>
      </w:r>
    </w:p>
    <w:p w14:paraId="7DD829C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18.5投标文件出现重大偏离，不符合招标文件中规定的实质性要求的（★部分为实质性要求）。</w:t>
      </w:r>
    </w:p>
    <w:p w14:paraId="183F572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18.6评标委员会启动异常低价投标审查后，投标人不提供书面说明、证明材料，或者评标委员会认为投标人提供的书面说明、证明材料不能证明其报价合理性的。</w:t>
      </w:r>
    </w:p>
    <w:p w14:paraId="1BEAA2E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18.7投标文件未按照招标文件要求加盖公章的。</w:t>
      </w:r>
    </w:p>
    <w:p w14:paraId="3C710D4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18.8投标人有本招标文件规定的恶意串通投标情形的。</w:t>
      </w:r>
    </w:p>
    <w:p w14:paraId="57F166C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18.9投标文件含有采购人不能接受的附加条件的。</w:t>
      </w:r>
    </w:p>
    <w:p w14:paraId="523694A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18.10其他法律、法规及本招标文件规定的属无效投标的情形。</w:t>
      </w:r>
    </w:p>
    <w:p w14:paraId="72B4AE2C">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19、废标情形</w:t>
      </w:r>
    </w:p>
    <w:p w14:paraId="27B438B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19.1符合专业条件的投标人或者对招标文件作实质响应的投标人不足三家的。</w:t>
      </w:r>
    </w:p>
    <w:p w14:paraId="57CDC91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19.2出现影响采购公正的违法、违规行为的。</w:t>
      </w:r>
    </w:p>
    <w:p w14:paraId="33F7311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19.3因重大变故，采购任务取消的。</w:t>
      </w:r>
    </w:p>
    <w:p w14:paraId="745C010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19.4评标委员会认定招标文件存在歧义、重大缺陷导致评审工作无法进行的。</w:t>
      </w:r>
    </w:p>
    <w:p w14:paraId="1161C6D7">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20、投标人不足三家情形处理</w:t>
      </w:r>
    </w:p>
    <w:p w14:paraId="28F6ECB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投标截止后投标人不足3家或者通过资格审查或符合性审查的投标人不足3家的，除采购任务取消情形外，按财政部令第87号第四十三条条款进行处理。</w:t>
      </w:r>
    </w:p>
    <w:p w14:paraId="6E207F51">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21、串通投标情形</w:t>
      </w:r>
    </w:p>
    <w:p w14:paraId="7D9439D5">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有下列情形之一的，属于恶意串通投标：</w:t>
      </w:r>
    </w:p>
    <w:p w14:paraId="02C7165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21.1供应商直接或间接从采购人或采购代理机构处获得其他供应商的投标情况，并修改其投标文件；</w:t>
      </w:r>
    </w:p>
    <w:p w14:paraId="7C002A1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21.2评审活动开始前供应商直接或间接从采购人或采购代理机构处获得评标委员会组成人员情况；</w:t>
      </w:r>
    </w:p>
    <w:p w14:paraId="6036DA5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21.3供应商接受采购人或采购代理机构授意撤换、修改投标文件；</w:t>
      </w:r>
    </w:p>
    <w:p w14:paraId="0FEE507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21.4供应商之间协商投标报价、技术方案等投标文件实质性内容；</w:t>
      </w:r>
    </w:p>
    <w:p w14:paraId="3BFD937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21.5属于同一集团、协会、商会等组织成员的供应商按照该组织要求协同投标；</w:t>
      </w:r>
    </w:p>
    <w:p w14:paraId="4F7542D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21.6供应商之间事先约定由某一特定供应商中标、成交；</w:t>
      </w:r>
    </w:p>
    <w:p w14:paraId="4C3B868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21.7供应商之间商定部分供应商放弃投标或者放弃中标、成交；</w:t>
      </w:r>
    </w:p>
    <w:p w14:paraId="73AA21F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21.8供应商与采购人或采购代理机构之间、供应商相互之间为谋求特定供应商中标成交或者排斥其他供应商的其他串通行为；</w:t>
      </w:r>
    </w:p>
    <w:p w14:paraId="204E70DB">
      <w:pPr>
        <w:spacing w:line="5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有下列情形之一的，视为投标人串通投标，其投标无效：</w:t>
      </w:r>
    </w:p>
    <w:p w14:paraId="4AA1E70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21.9不同投标人的投标文件由同一单位或者个人编制；</w:t>
      </w:r>
    </w:p>
    <w:p w14:paraId="4783976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21.10不同投标人委托同一单位或者个人办理投标事宜；</w:t>
      </w:r>
    </w:p>
    <w:p w14:paraId="4087237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21.11不同投标人的投标文件载明的项目管理成员或者联系人员为同一人；</w:t>
      </w:r>
    </w:p>
    <w:p w14:paraId="3A0EBBC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21.12不同投标人的投标文件异常一致或者投标报价呈规律性差异；</w:t>
      </w:r>
    </w:p>
    <w:p w14:paraId="4CB2E1A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21.13不同投标人的投标文件相互混装；</w:t>
      </w:r>
    </w:p>
    <w:p w14:paraId="1A41055B">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w:t>
      </w:r>
      <w:bookmarkStart w:id="104" w:name="OLE_LINK4"/>
      <w:r>
        <w:rPr>
          <w:rFonts w:hint="eastAsia" w:ascii="宋体" w:hAnsi="宋体" w:eastAsia="宋体" w:cs="宋体"/>
          <w:b/>
          <w:color w:val="auto"/>
          <w:sz w:val="24"/>
          <w:highlight w:val="none"/>
        </w:rPr>
        <w:t>取消中标候选人资格情形</w:t>
      </w:r>
    </w:p>
    <w:bookmarkEnd w:id="104"/>
    <w:p w14:paraId="4CDD7DF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22.1提供虚假材料谋取中标的；</w:t>
      </w:r>
    </w:p>
    <w:p w14:paraId="2E1C032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22.2采取不正当手段诋毁、排挤其他投标人的；</w:t>
      </w:r>
    </w:p>
    <w:p w14:paraId="3A6D166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22.3与采购人、其他投标人或者采购代理机构恶意串通的；</w:t>
      </w:r>
    </w:p>
    <w:p w14:paraId="31A04B7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22.4向采购人、采购代理机构行贿或者提供其他不正当利益的；</w:t>
      </w:r>
    </w:p>
    <w:p w14:paraId="6338421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22.5未在规定时间内与采购人签订采购合同的；</w:t>
      </w:r>
    </w:p>
    <w:p w14:paraId="64CDA85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22.6法律、法规规定的其它情况。</w:t>
      </w:r>
      <w:bookmarkStart w:id="105" w:name="_Toc81575198"/>
      <w:bookmarkStart w:id="106" w:name="_Toc2391"/>
      <w:bookmarkStart w:id="107" w:name="_Toc81575161"/>
      <w:bookmarkStart w:id="108" w:name="_Toc6494"/>
    </w:p>
    <w:p w14:paraId="03D8B291">
      <w:pPr>
        <w:spacing w:line="480" w:lineRule="exact"/>
        <w:ind w:firstLine="321"/>
        <w:outlineLvl w:val="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七、中标及合同签订</w:t>
      </w:r>
      <w:bookmarkEnd w:id="105"/>
      <w:bookmarkEnd w:id="106"/>
      <w:bookmarkEnd w:id="107"/>
      <w:bookmarkEnd w:id="108"/>
    </w:p>
    <w:p w14:paraId="137C57F7">
      <w:pPr>
        <w:spacing w:line="50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23、确定中标人</w:t>
      </w:r>
    </w:p>
    <w:p w14:paraId="7B089B9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23.1采购人应当自收到评审报告之日起5个工作日内在评审报告推荐的中标候选人中按顺序确定中标人。</w:t>
      </w:r>
    </w:p>
    <w:p w14:paraId="2B6DEF7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23.2中标人确定之日起2个工作日内，采购人、采购代理机构将发布中标结果，中标公告的公告期限为1个工作日。</w:t>
      </w:r>
    </w:p>
    <w:p w14:paraId="0C53B8D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23.3采购人确定正被列为失信被执行人的投标人为中标人的，中标结果无效。</w:t>
      </w:r>
    </w:p>
    <w:p w14:paraId="43132D4D">
      <w:pPr>
        <w:spacing w:line="50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24、中标通知书</w:t>
      </w:r>
    </w:p>
    <w:p w14:paraId="3D27F63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24.1在公告中标结果的同时，采购代理机构将向中标人发出中标通知书。</w:t>
      </w:r>
    </w:p>
    <w:p w14:paraId="0045B18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24.2中标通知书发出后，采购人改变中标结果的，或者中标人放弃中标项目的，应当依法承担法律责任。</w:t>
      </w:r>
    </w:p>
    <w:p w14:paraId="1E99EABE">
      <w:pPr>
        <w:spacing w:line="50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25、授予合同</w:t>
      </w:r>
    </w:p>
    <w:p w14:paraId="54A0B30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25.1采购人与中标人应当在中标通知书发出之日起15日内签订政府采购合同。招标文件、中标人的投标文件以及评标过程中有关澄清文件均作为合同附件。</w:t>
      </w:r>
    </w:p>
    <w:p w14:paraId="13D3940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25.2采购人在自合同签订之日起2个工作日内，将合同在指定的媒体上公告。</w:t>
      </w:r>
    </w:p>
    <w:p w14:paraId="58A5F6E5">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26、履约保证金</w:t>
      </w:r>
    </w:p>
    <w:p w14:paraId="2157927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本项目不收取履约保证金。</w:t>
      </w:r>
    </w:p>
    <w:p w14:paraId="7F71A1D5">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27、线上融资</w:t>
      </w:r>
    </w:p>
    <w:p w14:paraId="42FC4857">
      <w:pPr>
        <w:spacing w:line="480" w:lineRule="exact"/>
        <w:ind w:firstLine="48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中标人可凭政府采购合同办理融资贷款，详情见江苏政府采购网“政采贷”专栏。</w:t>
      </w:r>
    </w:p>
    <w:p w14:paraId="3B4B2C92">
      <w:pPr>
        <w:spacing w:line="480" w:lineRule="exact"/>
        <w:ind w:firstLine="482"/>
        <w:rPr>
          <w:rFonts w:hint="eastAsia" w:ascii="宋体" w:hAnsi="宋体" w:eastAsia="宋体" w:cs="宋体"/>
          <w:color w:val="auto"/>
          <w:sz w:val="24"/>
          <w:highlight w:val="none"/>
        </w:rPr>
      </w:pPr>
      <w:r>
        <w:rPr>
          <w:rFonts w:hint="eastAsia" w:ascii="宋体" w:hAnsi="宋体" w:eastAsia="宋体" w:cs="宋体"/>
          <w:b/>
          <w:color w:val="auto"/>
          <w:sz w:val="24"/>
          <w:highlight w:val="none"/>
        </w:rPr>
        <w:t>28、合同履行</w:t>
      </w:r>
    </w:p>
    <w:p w14:paraId="12E9F60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28.1政府采购合同订立后，合同各方不得擅自变更、中止或者终止合同。</w:t>
      </w:r>
    </w:p>
    <w:p w14:paraId="17281EF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28.2政府采购合同履行中，采购人需追加与合同标的相同的货物、工程或者服务的，在不改变合同其他条款的前提下，可以与中标人签订补充合同，但所补充合同的采购金额不得超过原采购金额的10%。</w:t>
      </w:r>
    </w:p>
    <w:p w14:paraId="566476D8">
      <w:pPr>
        <w:pStyle w:val="42"/>
        <w:spacing w:before="0" w:after="0" w:line="520" w:lineRule="exact"/>
        <w:rPr>
          <w:rFonts w:hint="eastAsia" w:ascii="宋体" w:hAnsi="宋体" w:eastAsia="宋体" w:cs="宋体"/>
          <w:bCs/>
          <w:color w:val="auto"/>
          <w:szCs w:val="22"/>
          <w:highlight w:val="none"/>
        </w:rPr>
      </w:pPr>
      <w:bookmarkStart w:id="109" w:name="_Toc81575199"/>
      <w:bookmarkStart w:id="110" w:name="_Toc22084"/>
      <w:bookmarkStart w:id="111" w:name="_Toc7550"/>
      <w:bookmarkStart w:id="112" w:name="_Toc81575162"/>
      <w:r>
        <w:rPr>
          <w:rFonts w:hint="eastAsia" w:ascii="宋体" w:hAnsi="宋体" w:eastAsia="宋体" w:cs="宋体"/>
          <w:bCs/>
          <w:color w:val="auto"/>
          <w:szCs w:val="22"/>
          <w:highlight w:val="none"/>
        </w:rPr>
        <w:t>八、</w:t>
      </w:r>
      <w:bookmarkEnd w:id="109"/>
      <w:bookmarkEnd w:id="110"/>
      <w:bookmarkEnd w:id="111"/>
      <w:bookmarkEnd w:id="112"/>
      <w:bookmarkStart w:id="113" w:name="_Toc81575163"/>
      <w:bookmarkStart w:id="114" w:name="_Toc81575200"/>
      <w:bookmarkStart w:id="115" w:name="_Toc31888"/>
      <w:bookmarkStart w:id="116" w:name="_Toc12263"/>
      <w:r>
        <w:rPr>
          <w:rFonts w:hint="eastAsia" w:ascii="宋体" w:hAnsi="宋体" w:eastAsia="宋体" w:cs="宋体"/>
          <w:bCs/>
          <w:color w:val="auto"/>
          <w:szCs w:val="22"/>
          <w:highlight w:val="none"/>
        </w:rPr>
        <w:t>质疑与投诉</w:t>
      </w:r>
      <w:bookmarkEnd w:id="113"/>
      <w:bookmarkEnd w:id="114"/>
      <w:bookmarkEnd w:id="115"/>
      <w:bookmarkEnd w:id="116"/>
    </w:p>
    <w:p w14:paraId="6CFBDE84">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29、质疑</w:t>
      </w:r>
    </w:p>
    <w:p w14:paraId="7B2FB4B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29.1供应商认为采购文件、采购过程和中标结果使自己的权益受到损害的，可以在知道或者应知其权益受到损害之日起七个工作日内</w:t>
      </w:r>
      <w:bookmarkStart w:id="117" w:name="OLE_LINK2"/>
      <w:r>
        <w:rPr>
          <w:rFonts w:hint="eastAsia" w:ascii="宋体" w:hAnsi="宋体" w:eastAsia="宋体" w:cs="宋体"/>
          <w:b/>
          <w:bCs/>
          <w:color w:val="auto"/>
          <w:sz w:val="24"/>
          <w:highlight w:val="none"/>
        </w:rPr>
        <w:t>向采购人提出质疑</w:t>
      </w:r>
      <w:bookmarkEnd w:id="117"/>
      <w:r>
        <w:rPr>
          <w:rFonts w:hint="eastAsia" w:ascii="宋体" w:hAnsi="宋体" w:eastAsia="宋体" w:cs="宋体"/>
          <w:b/>
          <w:bCs/>
          <w:color w:val="auto"/>
          <w:sz w:val="24"/>
          <w:highlight w:val="none"/>
        </w:rPr>
        <w:t>。</w:t>
      </w:r>
      <w:bookmarkStart w:id="118" w:name="OLE_LINK1"/>
      <w:r>
        <w:rPr>
          <w:rFonts w:hint="eastAsia" w:ascii="宋体" w:hAnsi="宋体" w:eastAsia="宋体" w:cs="宋体"/>
          <w:color w:val="auto"/>
          <w:sz w:val="24"/>
          <w:highlight w:val="none"/>
        </w:rPr>
        <w:t>质疑联系部门、联系电话、通讯地址详见采购公告。</w:t>
      </w:r>
      <w:bookmarkEnd w:id="118"/>
    </w:p>
    <w:p w14:paraId="76C883B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29.2供应商应知其权益受到损害之日，是指：</w:t>
      </w:r>
    </w:p>
    <w:p w14:paraId="2724AF7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（1）对本项目采购文件提出质疑的，为获取采购文件之日或者采购文件公告期限届满之日；</w:t>
      </w:r>
    </w:p>
    <w:p w14:paraId="419C076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（2）对本项目采购过程提出质疑的，为各采购程序环节结束之日；</w:t>
      </w:r>
    </w:p>
    <w:p w14:paraId="671649D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（3）对本项目中标结果提出质疑的，为中标结果公告期限届满之日。</w:t>
      </w:r>
    </w:p>
    <w:p w14:paraId="54FA2AB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29.3质疑供应商应当是参与所质疑项目采购活动的供应商。潜在供应商已依法获取其可质疑的采购文件的，方可对该文件提出质疑。供应商在法定质疑期内应一次性提出针对同一采购程序环节的质疑。</w:t>
      </w:r>
    </w:p>
    <w:p w14:paraId="01506AC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29.4供应商提出质疑应当提交质疑函和必要的证明材料。质疑函的必备内容：</w:t>
      </w:r>
    </w:p>
    <w:p w14:paraId="35DDD41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（1）供应商的姓名或者名称、地址、邮编、联系人及联系电话；</w:t>
      </w:r>
    </w:p>
    <w:p w14:paraId="7D769B5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（2）质疑项目的名称、编号；</w:t>
      </w:r>
    </w:p>
    <w:p w14:paraId="5773514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（3）获取采购文件的时间；</w:t>
      </w:r>
    </w:p>
    <w:p w14:paraId="3834C3CE">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（4）具体、明确的质疑事项和质疑事项相关的请求；</w:t>
      </w:r>
    </w:p>
    <w:p w14:paraId="0758B8D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（5）事实依据；</w:t>
      </w:r>
    </w:p>
    <w:p w14:paraId="4CC9BBB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（6）必要的法律依据；</w:t>
      </w:r>
    </w:p>
    <w:p w14:paraId="7A8BF7D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（7）提出质疑的日期；</w:t>
      </w:r>
    </w:p>
    <w:p w14:paraId="3DC840F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（8）供应商为自然人的，由本人签字；供应商为法人或者其他组织的，应当由法定代表人、主要负责人，或者其授权代表签字或者盖章，并加盖公章；</w:t>
      </w:r>
    </w:p>
    <w:p w14:paraId="2641279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3D33290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29.5采购人在收到质疑函后7个工作日内作出答复，并以书面形式通知质疑供应商和其他有关供应商，但质疑答复的内容不涉及商业秘密。</w:t>
      </w:r>
    </w:p>
    <w:p w14:paraId="3844DDB5">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30、投诉</w:t>
      </w:r>
    </w:p>
    <w:p w14:paraId="54A3158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质疑供应商对答复不满意或采购人、采购代理机构未在规定时间内作出答复的，可在答复期满后15个工作日内向同级财政部门提起投诉。</w:t>
      </w:r>
    </w:p>
    <w:p w14:paraId="36D97698">
      <w:pPr>
        <w:pStyle w:val="41"/>
        <w:spacing w:before="200"/>
        <w:jc w:val="center"/>
        <w:rPr>
          <w:rFonts w:hint="eastAsia" w:ascii="宋体" w:hAnsi="宋体" w:eastAsia="宋体" w:cs="宋体"/>
          <w:color w:val="auto"/>
          <w:highlight w:val="none"/>
        </w:rPr>
      </w:pPr>
      <w:bookmarkStart w:id="119" w:name="EB4d341233595e4bf8ad7006b4bd78d974"/>
      <w:bookmarkEnd w:id="119"/>
      <w:bookmarkStart w:id="120" w:name="_Toc81575164"/>
      <w:bookmarkStart w:id="121" w:name="_Toc81575201"/>
      <w:bookmarkStart w:id="122" w:name="_Hlk166141273"/>
      <w:r>
        <w:rPr>
          <w:rFonts w:hint="eastAsia" w:ascii="宋体" w:hAnsi="宋体" w:eastAsia="宋体" w:cs="宋体"/>
          <w:color w:val="auto"/>
          <w:highlight w:val="none"/>
        </w:rPr>
        <w:br w:type="page" w:clear="all"/>
      </w:r>
      <w:bookmarkStart w:id="123" w:name="_Toc17996"/>
      <w:r>
        <w:rPr>
          <w:rFonts w:hint="eastAsia" w:ascii="宋体" w:hAnsi="宋体" w:eastAsia="宋体" w:cs="宋体"/>
          <w:b/>
          <w:color w:val="auto"/>
          <w:sz w:val="44"/>
          <w:szCs w:val="44"/>
          <w:highlight w:val="none"/>
        </w:rPr>
        <w:t>第三章  资格审查及评标</w:t>
      </w:r>
      <w:bookmarkEnd w:id="120"/>
      <w:bookmarkEnd w:id="121"/>
      <w:bookmarkEnd w:id="123"/>
      <w:r>
        <w:rPr>
          <w:rFonts w:hint="eastAsia" w:ascii="宋体" w:hAnsi="宋体" w:eastAsia="宋体" w:cs="宋体"/>
          <w:b/>
          <w:color w:val="auto"/>
          <w:sz w:val="44"/>
          <w:szCs w:val="44"/>
          <w:highlight w:val="none"/>
        </w:rPr>
        <w:t>方法</w:t>
      </w:r>
    </w:p>
    <w:p w14:paraId="1F605080">
      <w:pPr>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一、资格审查</w:t>
      </w:r>
    </w:p>
    <w:p w14:paraId="48F0EA35">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资格审查人员按照下列指标对各投标人的资格进行审查，未通过审查的为无效标，不参与评标。</w:t>
      </w:r>
    </w:p>
    <w:tbl>
      <w:tblPr>
        <w:tblStyle w:val="30"/>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14:paraId="260399C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6" w:space="0"/>
              <w:left w:val="single" w:color="000000" w:sz="6" w:space="0"/>
              <w:bottom w:val="single" w:color="000000" w:sz="6" w:space="0"/>
              <w:right w:val="single" w:color="000000" w:sz="6" w:space="0"/>
            </w:tcBorders>
            <w:noWrap w:val="0"/>
            <w:vAlign w:val="center"/>
          </w:tcPr>
          <w:p w14:paraId="2A869ED2">
            <w:pPr>
              <w:spacing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资格审查因素</w:t>
            </w:r>
          </w:p>
        </w:tc>
        <w:tc>
          <w:tcPr>
            <w:tcW w:w="4246" w:type="dxa"/>
            <w:tcBorders>
              <w:top w:val="single" w:color="000000" w:sz="6" w:space="0"/>
              <w:left w:val="single" w:color="000000" w:sz="6" w:space="0"/>
              <w:bottom w:val="single" w:color="000000" w:sz="6" w:space="0"/>
              <w:right w:val="single" w:color="000000" w:sz="6" w:space="0"/>
            </w:tcBorders>
            <w:noWrap w:val="0"/>
            <w:vAlign w:val="center"/>
          </w:tcPr>
          <w:p w14:paraId="12731D54">
            <w:pPr>
              <w:spacing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审查标准</w:t>
            </w:r>
          </w:p>
        </w:tc>
      </w:tr>
      <w:tr w14:paraId="752854B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6" w:space="0"/>
              <w:left w:val="single" w:color="000000" w:sz="6" w:space="0"/>
              <w:bottom w:val="single" w:color="000000" w:sz="6" w:space="0"/>
              <w:right w:val="single" w:color="000000" w:sz="6" w:space="0"/>
            </w:tcBorders>
            <w:noWrap w:val="0"/>
            <w:vAlign w:val="center"/>
          </w:tcPr>
          <w:p w14:paraId="22F3B861">
            <w:pPr>
              <w:spacing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投标声明及承诺函</w:t>
            </w:r>
          </w:p>
        </w:tc>
        <w:tc>
          <w:tcPr>
            <w:tcW w:w="4246" w:type="dxa"/>
            <w:tcBorders>
              <w:top w:val="single" w:color="000000" w:sz="6" w:space="0"/>
              <w:left w:val="single" w:color="000000" w:sz="6" w:space="0"/>
              <w:bottom w:val="single" w:color="000000" w:sz="6" w:space="0"/>
              <w:right w:val="single" w:color="000000" w:sz="6" w:space="0"/>
            </w:tcBorders>
            <w:noWrap w:val="0"/>
            <w:vAlign w:val="center"/>
          </w:tcPr>
          <w:p w14:paraId="71C2918F">
            <w:pPr>
              <w:spacing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tr w14:paraId="5A64E6E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6" w:space="0"/>
              <w:left w:val="single" w:color="000000" w:sz="6" w:space="0"/>
              <w:bottom w:val="single" w:color="000000" w:sz="6" w:space="0"/>
              <w:right w:val="single" w:color="000000" w:sz="6" w:space="0"/>
            </w:tcBorders>
            <w:noWrap w:val="0"/>
            <w:vAlign w:val="center"/>
          </w:tcPr>
          <w:p w14:paraId="2AEE4E1E">
            <w:pPr>
              <w:spacing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信用信息</w:t>
            </w:r>
          </w:p>
        </w:tc>
        <w:tc>
          <w:tcPr>
            <w:tcW w:w="4246" w:type="dxa"/>
            <w:tcBorders>
              <w:top w:val="single" w:color="000000" w:sz="6" w:space="0"/>
              <w:left w:val="single" w:color="000000" w:sz="6" w:space="0"/>
              <w:bottom w:val="single" w:color="000000" w:sz="6" w:space="0"/>
              <w:right w:val="single" w:color="000000" w:sz="6" w:space="0"/>
            </w:tcBorders>
            <w:noWrap w:val="0"/>
            <w:vAlign w:val="center"/>
          </w:tcPr>
          <w:p w14:paraId="5A7793E5">
            <w:pPr>
              <w:spacing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tbl>
    <w:p w14:paraId="3AFC27B6">
      <w:pPr>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二、符合性审查</w:t>
      </w:r>
    </w:p>
    <w:p w14:paraId="70CC3B10">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评标委员会对符合资格的投标人的投标文件进行符合性审查，未通过审查的为无效标，不再参与评审。</w:t>
      </w:r>
    </w:p>
    <w:tbl>
      <w:tblPr>
        <w:tblStyle w:val="30"/>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14:paraId="05DE139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6" w:space="0"/>
              <w:left w:val="single" w:color="000000" w:sz="6" w:space="0"/>
              <w:bottom w:val="single" w:color="000000" w:sz="6" w:space="0"/>
              <w:right w:val="single" w:color="000000" w:sz="6" w:space="0"/>
            </w:tcBorders>
            <w:noWrap w:val="0"/>
            <w:vAlign w:val="center"/>
          </w:tcPr>
          <w:p w14:paraId="6DCACC0C">
            <w:pPr>
              <w:spacing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符合性审查因素</w:t>
            </w:r>
          </w:p>
        </w:tc>
        <w:tc>
          <w:tcPr>
            <w:tcW w:w="4304" w:type="dxa"/>
            <w:tcBorders>
              <w:top w:val="single" w:color="000000" w:sz="6" w:space="0"/>
              <w:left w:val="single" w:color="000000" w:sz="6" w:space="0"/>
              <w:bottom w:val="single" w:color="000000" w:sz="6" w:space="0"/>
              <w:right w:val="single" w:color="000000" w:sz="6" w:space="0"/>
            </w:tcBorders>
            <w:noWrap w:val="0"/>
            <w:vAlign w:val="center"/>
          </w:tcPr>
          <w:p w14:paraId="08A4DD40">
            <w:pPr>
              <w:spacing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审查标准</w:t>
            </w:r>
          </w:p>
        </w:tc>
      </w:tr>
      <w:tr w14:paraId="4C3D570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6" w:space="0"/>
              <w:left w:val="single" w:color="000000" w:sz="6" w:space="0"/>
              <w:bottom w:val="single" w:color="000000" w:sz="6" w:space="0"/>
              <w:right w:val="single" w:color="000000" w:sz="6" w:space="0"/>
            </w:tcBorders>
            <w:noWrap w:val="0"/>
            <w:vAlign w:val="center"/>
          </w:tcPr>
          <w:p w14:paraId="31CB424B">
            <w:pPr>
              <w:spacing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法人授权书</w:t>
            </w:r>
          </w:p>
        </w:tc>
        <w:tc>
          <w:tcPr>
            <w:tcW w:w="4304" w:type="dxa"/>
            <w:tcBorders>
              <w:top w:val="single" w:color="000000" w:sz="6" w:space="0"/>
              <w:left w:val="single" w:color="000000" w:sz="6" w:space="0"/>
              <w:bottom w:val="single" w:color="000000" w:sz="6" w:space="0"/>
              <w:right w:val="single" w:color="000000" w:sz="6" w:space="0"/>
            </w:tcBorders>
            <w:noWrap w:val="0"/>
            <w:vAlign w:val="center"/>
          </w:tcPr>
          <w:p w14:paraId="4003A191">
            <w:pPr>
              <w:spacing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tr w14:paraId="28241B3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64" w:hRule="atLeast"/>
        </w:trPr>
        <w:tc>
          <w:tcPr>
            <w:tcW w:w="4364"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59A3385F">
            <w:pPr>
              <w:widowControl w:val="0"/>
              <w:bidi w:val="0"/>
              <w:spacing w:after="0" w:afterLines="0" w:afterAutospacing="0"/>
              <w:jc w:val="center"/>
              <w:rPr>
                <w:rFonts w:hint="eastAsia" w:ascii="Times New Roman" w:hAnsi="Times New Roman" w:eastAsia="宋体" w:cs="Times New Roman"/>
                <w:caps w:val="0"/>
                <w:color w:val="auto"/>
                <w:kern w:val="2"/>
                <w:sz w:val="21"/>
                <w:szCs w:val="22"/>
                <w:highlight w:val="none"/>
                <w:lang w:val="en-US" w:eastAsia="zh-CN" w:bidi="ar-SA"/>
              </w:rPr>
            </w:pPr>
            <w:r>
              <w:rPr>
                <w:rFonts w:ascii="Times New Roman" w:hAnsi="Times New Roman"/>
                <w:caps w:val="0"/>
                <w:color w:val="auto"/>
                <w:kern w:val="2"/>
                <w:sz w:val="21"/>
                <w:szCs w:val="22"/>
                <w:highlight w:val="none"/>
                <w:rtl w:val="0"/>
                <w:lang w:val="en-US" w:eastAsia="zh-CN" w:bidi="ar-SA"/>
              </w:rPr>
              <w:t>技术标准和要求</w:t>
            </w:r>
          </w:p>
        </w:tc>
        <w:tc>
          <w:tcPr>
            <w:tcW w:w="4304"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4B69CB2D">
            <w:pPr>
              <w:widowControl w:val="0"/>
              <w:bidi w:val="0"/>
              <w:spacing w:after="0" w:afterLines="0" w:afterAutospacing="0"/>
              <w:jc w:val="center"/>
              <w:rPr>
                <w:rFonts w:hint="eastAsia" w:ascii="Times New Roman" w:hAnsi="Times New Roman" w:eastAsia="宋体" w:cs="Times New Roman"/>
                <w:caps w:val="0"/>
                <w:color w:val="auto"/>
                <w:kern w:val="2"/>
                <w:sz w:val="21"/>
                <w:szCs w:val="22"/>
                <w:highlight w:val="none"/>
                <w:lang w:val="en-US" w:eastAsia="zh-CN" w:bidi="ar-SA"/>
              </w:rPr>
            </w:pPr>
            <w:r>
              <w:rPr>
                <w:rFonts w:ascii="Times New Roman" w:hAnsi="Times New Roman"/>
                <w:caps w:val="0"/>
                <w:color w:val="auto"/>
                <w:kern w:val="2"/>
                <w:sz w:val="21"/>
                <w:szCs w:val="22"/>
                <w:highlight w:val="none"/>
                <w:rtl w:val="0"/>
                <w:lang w:val="en-US" w:eastAsia="zh-CN" w:bidi="ar-SA"/>
              </w:rPr>
              <w:t>符合招标文件要求</w:t>
            </w:r>
          </w:p>
        </w:tc>
      </w:tr>
      <w:tr w14:paraId="5645CC2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6" w:space="0"/>
              <w:left w:val="single" w:color="000000" w:sz="6" w:space="0"/>
              <w:bottom w:val="single" w:color="000000" w:sz="6" w:space="0"/>
              <w:right w:val="single" w:color="000000" w:sz="6" w:space="0"/>
            </w:tcBorders>
            <w:noWrap w:val="0"/>
            <w:vAlign w:val="center"/>
          </w:tcPr>
          <w:p w14:paraId="3321BC7E">
            <w:pPr>
              <w:spacing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其他</w:t>
            </w:r>
          </w:p>
        </w:tc>
        <w:tc>
          <w:tcPr>
            <w:tcW w:w="4304" w:type="dxa"/>
            <w:tcBorders>
              <w:top w:val="single" w:color="000000" w:sz="6" w:space="0"/>
              <w:left w:val="single" w:color="000000" w:sz="6" w:space="0"/>
              <w:bottom w:val="single" w:color="000000" w:sz="6" w:space="0"/>
              <w:right w:val="single" w:color="000000" w:sz="6" w:space="0"/>
            </w:tcBorders>
            <w:noWrap w:val="0"/>
            <w:vAlign w:val="center"/>
          </w:tcPr>
          <w:p w14:paraId="4A687AF8">
            <w:pPr>
              <w:spacing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tbl>
    <w:p w14:paraId="564866FD">
      <w:pPr>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三、评标方法</w:t>
      </w:r>
    </w:p>
    <w:p w14:paraId="5355089A">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本项目采用综合评分法，评标结果按评审后得分由高到低顺序排列。得分相同的，按投标报价由低到高顺序排序。得分且投标报价相同的</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lang w:val="en-US" w:eastAsia="zh-CN"/>
        </w:rPr>
        <w:t>由评标委员会评审确定</w:t>
      </w:r>
      <w:r>
        <w:rPr>
          <w:rFonts w:hint="eastAsia" w:ascii="宋体" w:hAnsi="宋体" w:eastAsia="宋体" w:cs="宋体"/>
          <w:color w:val="auto"/>
          <w:sz w:val="24"/>
          <w:szCs w:val="28"/>
          <w:highlight w:val="none"/>
        </w:rPr>
        <w:t>。</w:t>
      </w:r>
    </w:p>
    <w:p w14:paraId="10BA8A6D">
      <w:pPr>
        <w:spacing w:line="480" w:lineRule="exact"/>
        <w:ind w:firstLine="480"/>
        <w:jc w:val="lef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招标文件未规定的评标标准不得作为评审的依据。</w:t>
      </w:r>
    </w:p>
    <w:p w14:paraId="60F3DC41">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综合评分保留至小数点后两位。</w:t>
      </w:r>
    </w:p>
    <w:p w14:paraId="696CEE8E">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评标委员会根据评标后投标人排序推荐</w:t>
      </w:r>
      <w:r>
        <w:rPr>
          <w:rFonts w:hint="eastAsia" w:ascii="宋体" w:hAnsi="宋体" w:cs="宋体"/>
          <w:color w:val="auto"/>
          <w:sz w:val="24"/>
          <w:highlight w:val="none"/>
          <w:lang w:val="en-US" w:eastAsia="zh-CN"/>
        </w:rPr>
        <w:t>3名</w:t>
      </w:r>
      <w:r>
        <w:rPr>
          <w:rFonts w:hint="eastAsia" w:ascii="宋体" w:hAnsi="宋体" w:eastAsia="宋体" w:cs="宋体"/>
          <w:color w:val="auto"/>
          <w:sz w:val="24"/>
          <w:highlight w:val="none"/>
        </w:rPr>
        <w:t>中标候选人，并形成评标报告。</w:t>
      </w:r>
    </w:p>
    <w:p w14:paraId="257CDA72">
      <w:pPr>
        <w:spacing w:line="480" w:lineRule="exact"/>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四、评标标准</w:t>
      </w:r>
    </w:p>
    <w:tbl>
      <w:tblPr>
        <w:tblStyle w:val="30"/>
        <w:tblW w:w="5032"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74"/>
        <w:gridCol w:w="1571"/>
        <w:gridCol w:w="1331"/>
        <w:gridCol w:w="5277"/>
      </w:tblGrid>
      <w:tr w14:paraId="623E1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42" w:type="dxa"/>
            <w:gridSpan w:val="2"/>
            <w:noWrap w:val="0"/>
            <w:vAlign w:val="center"/>
          </w:tcPr>
          <w:p w14:paraId="46A5BE3B">
            <w:pPr>
              <w:widowControl w:val="0"/>
              <w:spacing w:after="0" w:afterAutospacing="0"/>
              <w:jc w:val="center"/>
              <w:rPr>
                <w:rFonts w:ascii="Calibri" w:hAnsi="Calibri" w:eastAsia="宋体" w:cs="Times New Roman"/>
                <w:color w:val="auto"/>
                <w:sz w:val="21"/>
                <w:szCs w:val="22"/>
                <w:highlight w:val="none"/>
                <w:lang w:val="en-US" w:eastAsia="zh-CN" w:bidi="ar-SA"/>
              </w:rPr>
            </w:pPr>
            <w:r>
              <w:rPr>
                <w:rFonts w:ascii="Calibri" w:hAnsi="Calibri" w:eastAsia="宋体" w:cs="Times New Roman"/>
                <w:color w:val="auto"/>
                <w:sz w:val="21"/>
                <w:szCs w:val="22"/>
                <w:highlight w:val="none"/>
                <w:rtl w:val="0"/>
                <w:lang w:val="en-US" w:eastAsia="zh-CN" w:bidi="ar-SA"/>
              </w:rPr>
              <w:t>评审因素</w:t>
            </w:r>
          </w:p>
        </w:tc>
        <w:tc>
          <w:tcPr>
            <w:tcW w:w="1330" w:type="dxa"/>
            <w:noWrap w:val="0"/>
            <w:vAlign w:val="center"/>
          </w:tcPr>
          <w:p w14:paraId="4A096A24">
            <w:pPr>
              <w:widowControl w:val="0"/>
              <w:spacing w:after="0" w:afterAutospacing="0"/>
              <w:jc w:val="center"/>
              <w:rPr>
                <w:rFonts w:ascii="Calibri" w:hAnsi="Calibri" w:eastAsia="宋体" w:cs="Times New Roman"/>
                <w:color w:val="auto"/>
                <w:sz w:val="21"/>
                <w:szCs w:val="22"/>
                <w:highlight w:val="none"/>
                <w:lang w:val="en-US" w:eastAsia="zh-CN" w:bidi="ar-SA"/>
              </w:rPr>
            </w:pPr>
            <w:r>
              <w:rPr>
                <w:rFonts w:ascii="Calibri" w:hAnsi="Calibri" w:eastAsia="宋体" w:cs="Times New Roman"/>
                <w:color w:val="auto"/>
                <w:sz w:val="21"/>
                <w:szCs w:val="22"/>
                <w:highlight w:val="none"/>
                <w:rtl w:val="0"/>
                <w:lang w:val="en-US" w:eastAsia="zh-CN" w:bidi="ar-SA"/>
              </w:rPr>
              <w:t>分数</w:t>
            </w:r>
          </w:p>
        </w:tc>
        <w:tc>
          <w:tcPr>
            <w:tcW w:w="5272" w:type="dxa"/>
            <w:noWrap w:val="0"/>
            <w:vAlign w:val="center"/>
          </w:tcPr>
          <w:p w14:paraId="31EA4A0E">
            <w:pPr>
              <w:widowControl w:val="0"/>
              <w:spacing w:after="0" w:afterAutospacing="0"/>
              <w:jc w:val="center"/>
              <w:rPr>
                <w:rFonts w:ascii="Calibri" w:hAnsi="Calibri" w:eastAsia="宋体" w:cs="Times New Roman"/>
                <w:color w:val="auto"/>
                <w:sz w:val="21"/>
                <w:szCs w:val="22"/>
                <w:highlight w:val="none"/>
                <w:lang w:val="en-US" w:eastAsia="zh-CN" w:bidi="ar-SA"/>
              </w:rPr>
            </w:pPr>
            <w:r>
              <w:rPr>
                <w:rFonts w:ascii="Calibri" w:hAnsi="Calibri" w:eastAsia="宋体" w:cs="Times New Roman"/>
                <w:color w:val="auto"/>
                <w:sz w:val="21"/>
                <w:szCs w:val="22"/>
                <w:highlight w:val="none"/>
                <w:rtl w:val="0"/>
                <w:lang w:val="en-US" w:eastAsia="zh-CN" w:bidi="ar-SA"/>
              </w:rPr>
              <w:t>评审标准</w:t>
            </w:r>
          </w:p>
        </w:tc>
      </w:tr>
      <w:tr w14:paraId="4171D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73" w:type="dxa"/>
            <w:noWrap w:val="0"/>
            <w:vAlign w:val="center"/>
          </w:tcPr>
          <w:p w14:paraId="2E2FEFA6">
            <w:pPr>
              <w:widowControl w:val="0"/>
              <w:spacing w:after="0" w:afterAutospacing="0"/>
              <w:jc w:val="left"/>
              <w:rPr>
                <w:rFonts w:ascii="Calibri" w:hAnsi="Calibri" w:eastAsia="宋体" w:cs="Times New Roman"/>
                <w:color w:val="auto"/>
                <w:sz w:val="21"/>
                <w:szCs w:val="22"/>
                <w:highlight w:val="none"/>
                <w:lang w:val="en-US" w:eastAsia="zh-CN" w:bidi="ar-SA"/>
              </w:rPr>
            </w:pPr>
            <w:r>
              <w:rPr>
                <w:rFonts w:ascii="Calibri" w:hAnsi="Calibri" w:eastAsia="宋体" w:cs="Times New Roman"/>
                <w:color w:val="auto"/>
                <w:sz w:val="21"/>
                <w:szCs w:val="22"/>
                <w:highlight w:val="none"/>
                <w:rtl w:val="0"/>
                <w:lang w:val="en-US" w:eastAsia="zh-CN" w:bidi="ar-SA"/>
              </w:rPr>
              <w:t>报价分</w:t>
            </w:r>
          </w:p>
        </w:tc>
        <w:tc>
          <w:tcPr>
            <w:tcW w:w="1569" w:type="dxa"/>
            <w:noWrap w:val="0"/>
            <w:vAlign w:val="center"/>
          </w:tcPr>
          <w:p w14:paraId="3D967E34">
            <w:pPr>
              <w:widowControl w:val="0"/>
              <w:spacing w:after="0" w:afterAutospacing="0"/>
              <w:jc w:val="left"/>
              <w:rPr>
                <w:rFonts w:ascii="Calibri" w:hAnsi="Calibri" w:eastAsia="宋体" w:cs="Times New Roman"/>
                <w:color w:val="auto"/>
                <w:sz w:val="21"/>
                <w:szCs w:val="22"/>
                <w:highlight w:val="none"/>
                <w:lang w:val="en-US" w:eastAsia="zh-CN" w:bidi="ar-SA"/>
              </w:rPr>
            </w:pPr>
            <w:r>
              <w:rPr>
                <w:rFonts w:ascii="Calibri" w:hAnsi="Calibri" w:eastAsia="宋体" w:cs="Times New Roman"/>
                <w:color w:val="auto"/>
                <w:sz w:val="21"/>
                <w:szCs w:val="22"/>
                <w:highlight w:val="none"/>
                <w:rtl w:val="0"/>
                <w:lang w:val="en-US" w:eastAsia="zh-CN" w:bidi="ar-SA"/>
              </w:rPr>
              <w:t>投标报价</w:t>
            </w:r>
          </w:p>
        </w:tc>
        <w:tc>
          <w:tcPr>
            <w:tcW w:w="1330" w:type="dxa"/>
            <w:noWrap w:val="0"/>
            <w:vAlign w:val="center"/>
          </w:tcPr>
          <w:p w14:paraId="1D04BFCF">
            <w:pPr>
              <w:widowControl w:val="0"/>
              <w:spacing w:after="0" w:afterAutospacing="0"/>
              <w:jc w:val="left"/>
              <w:rPr>
                <w:rFonts w:ascii="Calibri" w:hAnsi="Calibri" w:eastAsia="宋体" w:cs="Times New Roman"/>
                <w:color w:val="auto"/>
                <w:sz w:val="21"/>
                <w:szCs w:val="22"/>
                <w:highlight w:val="none"/>
                <w:lang w:val="en-US" w:eastAsia="zh-CN" w:bidi="ar-SA"/>
              </w:rPr>
            </w:pPr>
            <w:r>
              <w:rPr>
                <w:rFonts w:ascii="Calibri" w:hAnsi="Calibri" w:eastAsia="宋体" w:cs="Times New Roman"/>
                <w:color w:val="auto"/>
                <w:sz w:val="21"/>
                <w:szCs w:val="22"/>
                <w:highlight w:val="none"/>
                <w:rtl w:val="0"/>
                <w:lang w:val="en-US" w:eastAsia="zh-CN" w:bidi="ar-SA"/>
              </w:rPr>
              <w:t>30.00分</w:t>
            </w:r>
          </w:p>
        </w:tc>
        <w:tc>
          <w:tcPr>
            <w:tcW w:w="5272" w:type="dxa"/>
            <w:noWrap w:val="0"/>
            <w:vAlign w:val="center"/>
          </w:tcPr>
          <w:p w14:paraId="008447F3">
            <w:pPr>
              <w:widowControl w:val="0"/>
              <w:spacing w:after="0" w:afterAutospacing="0"/>
              <w:jc w:val="left"/>
              <w:rPr>
                <w:color w:val="auto"/>
                <w:highlight w:val="none"/>
              </w:rPr>
            </w:pPr>
            <w:r>
              <w:rPr>
                <w:color w:val="auto"/>
                <w:highlight w:val="none"/>
              </w:rPr>
              <w:t xml:space="preserve">采用低价优先法计算，即满足招标文件要求且投标价格最低的投标报价为评标基准价，其价格分为满分。其他投标人投标报价得分＝（评标基准价/投标报价）*30。 </w:t>
            </w:r>
          </w:p>
          <w:p w14:paraId="13E3AF8C">
            <w:pPr>
              <w:widowControl w:val="0"/>
              <w:spacing w:after="0" w:afterAutospacing="0"/>
              <w:jc w:val="left"/>
              <w:rPr>
                <w:rFonts w:ascii="Calibri" w:hAnsi="Calibri" w:eastAsia="宋体" w:cs="Times New Roman"/>
                <w:color w:val="auto"/>
                <w:sz w:val="21"/>
                <w:szCs w:val="22"/>
                <w:highlight w:val="none"/>
                <w:lang w:val="en-US" w:eastAsia="zh-CN" w:bidi="ar-SA"/>
              </w:rPr>
            </w:pPr>
            <w:r>
              <w:rPr>
                <w:rFonts w:ascii="Calibri" w:hAnsi="Calibri" w:eastAsia="宋体" w:cs="Times New Roman"/>
                <w:color w:val="auto"/>
                <w:sz w:val="21"/>
                <w:szCs w:val="22"/>
                <w:highlight w:val="none"/>
                <w:rtl w:val="0"/>
                <w:lang w:val="en-US" w:eastAsia="zh-CN" w:bidi="ar-SA"/>
              </w:rPr>
              <w:t>注：符合规定的小微企业（含监狱企业和残疾人福利单位）报价给予 10%的扣除，用扣除后的价格参加评审。</w:t>
            </w:r>
          </w:p>
        </w:tc>
      </w:tr>
      <w:tr w14:paraId="36B7B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73" w:type="dxa"/>
            <w:noWrap w:val="0"/>
            <w:vAlign w:val="center"/>
          </w:tcPr>
          <w:p w14:paraId="04D3E836">
            <w:pPr>
              <w:widowControl w:val="0"/>
              <w:spacing w:after="0" w:afterAutospacing="0"/>
              <w:jc w:val="left"/>
              <w:rPr>
                <w:rFonts w:ascii="Calibri" w:hAnsi="Calibri" w:eastAsia="宋体" w:cs="Times New Roman"/>
                <w:color w:val="auto"/>
                <w:sz w:val="21"/>
                <w:szCs w:val="22"/>
                <w:highlight w:val="none"/>
                <w:lang w:val="en-US" w:eastAsia="zh-CN" w:bidi="ar-SA"/>
              </w:rPr>
            </w:pPr>
            <w:r>
              <w:rPr>
                <w:rFonts w:ascii="Calibri" w:hAnsi="Calibri" w:eastAsia="宋体" w:cs="Times New Roman"/>
                <w:color w:val="auto"/>
                <w:sz w:val="21"/>
                <w:szCs w:val="22"/>
                <w:highlight w:val="none"/>
                <w:rtl w:val="0"/>
                <w:lang w:val="en-US" w:eastAsia="zh-CN" w:bidi="ar-SA"/>
              </w:rPr>
              <w:t>技术响应</w:t>
            </w:r>
          </w:p>
        </w:tc>
        <w:tc>
          <w:tcPr>
            <w:tcW w:w="1569" w:type="dxa"/>
            <w:noWrap w:val="0"/>
            <w:vAlign w:val="center"/>
          </w:tcPr>
          <w:p w14:paraId="35B1711B">
            <w:pPr>
              <w:widowControl w:val="0"/>
              <w:spacing w:after="0" w:afterAutospacing="0"/>
              <w:jc w:val="left"/>
              <w:rPr>
                <w:rFonts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rtl w:val="0"/>
                <w:lang w:val="en-US" w:eastAsia="zh-CN" w:bidi="ar-SA"/>
              </w:rPr>
              <w:t>技术参数响应</w:t>
            </w:r>
          </w:p>
        </w:tc>
        <w:tc>
          <w:tcPr>
            <w:tcW w:w="1330" w:type="dxa"/>
            <w:noWrap w:val="0"/>
            <w:vAlign w:val="center"/>
          </w:tcPr>
          <w:p w14:paraId="1549627D">
            <w:pPr>
              <w:widowControl w:val="0"/>
              <w:spacing w:after="0" w:afterAutospacing="0"/>
              <w:jc w:val="left"/>
              <w:rPr>
                <w:rFonts w:ascii="Calibri" w:hAnsi="Calibri" w:eastAsia="宋体" w:cs="Times New Roman"/>
                <w:color w:val="auto"/>
                <w:sz w:val="21"/>
                <w:szCs w:val="22"/>
                <w:highlight w:val="none"/>
                <w:lang w:val="en-US" w:eastAsia="zh-CN" w:bidi="ar-SA"/>
              </w:rPr>
            </w:pPr>
            <w:r>
              <w:rPr>
                <w:rFonts w:hint="eastAsia" w:cs="Times New Roman"/>
                <w:color w:val="auto"/>
                <w:sz w:val="21"/>
                <w:szCs w:val="22"/>
                <w:highlight w:val="none"/>
                <w:rtl w:val="0"/>
                <w:lang w:val="en-US" w:eastAsia="zh-CN" w:bidi="ar-SA"/>
              </w:rPr>
              <w:t>40</w:t>
            </w:r>
            <w:r>
              <w:rPr>
                <w:rFonts w:hint="eastAsia" w:eastAsia="宋体" w:cs="Times New Roman"/>
                <w:color w:val="auto"/>
                <w:sz w:val="21"/>
                <w:szCs w:val="22"/>
                <w:highlight w:val="none"/>
                <w:rtl w:val="0"/>
                <w:lang w:val="en-US" w:eastAsia="zh-CN" w:bidi="ar-SA"/>
              </w:rPr>
              <w:t>.00</w:t>
            </w:r>
            <w:r>
              <w:rPr>
                <w:rFonts w:hint="eastAsia" w:ascii="Calibri" w:hAnsi="Calibri" w:eastAsia="宋体" w:cs="Times New Roman"/>
                <w:color w:val="auto"/>
                <w:sz w:val="21"/>
                <w:szCs w:val="22"/>
                <w:highlight w:val="none"/>
                <w:rtl w:val="0"/>
                <w:lang w:val="en-US" w:eastAsia="zh-CN" w:bidi="ar-SA"/>
              </w:rPr>
              <w:t>分</w:t>
            </w:r>
          </w:p>
        </w:tc>
        <w:tc>
          <w:tcPr>
            <w:tcW w:w="5272" w:type="dxa"/>
            <w:noWrap w:val="0"/>
            <w:vAlign w:val="center"/>
          </w:tcPr>
          <w:p w14:paraId="79A8F1BF">
            <w:pPr>
              <w:jc w:val="left"/>
              <w:rPr>
                <w:rFonts w:hint="eastAsia" w:ascii="Times New Roman" w:hAnsi="Times New Roman" w:eastAsia="宋体"/>
                <w:color w:val="auto"/>
                <w:kern w:val="2"/>
                <w:szCs w:val="22"/>
                <w:highlight w:val="none"/>
              </w:rPr>
            </w:pPr>
            <w:r>
              <w:rPr>
                <w:rFonts w:hint="eastAsia" w:ascii="Times New Roman" w:hAnsi="Times New Roman" w:eastAsia="宋体"/>
                <w:color w:val="auto"/>
                <w:kern w:val="2"/>
                <w:szCs w:val="22"/>
                <w:highlight w:val="none"/>
              </w:rPr>
              <w:t>（1）所投设备技术参数全部满足或优于招标文件“第四章采购需求”技术参数</w:t>
            </w:r>
            <w:r>
              <w:rPr>
                <w:rFonts w:hint="eastAsia" w:ascii="Times New Roman" w:hAnsi="Times New Roman"/>
                <w:color w:val="auto"/>
                <w:kern w:val="2"/>
                <w:szCs w:val="22"/>
                <w:highlight w:val="none"/>
                <w:lang w:val="en-US" w:eastAsia="zh-CN"/>
              </w:rPr>
              <w:t>要求</w:t>
            </w:r>
            <w:r>
              <w:rPr>
                <w:rFonts w:hint="eastAsia" w:ascii="Times New Roman" w:hAnsi="Times New Roman" w:eastAsia="宋体"/>
                <w:color w:val="auto"/>
                <w:kern w:val="2"/>
                <w:szCs w:val="22"/>
                <w:highlight w:val="none"/>
              </w:rPr>
              <w:t xml:space="preserve">的，得40分；“★”为实质性响应参数，不响应作为无效标处理。 </w:t>
            </w:r>
          </w:p>
          <w:p w14:paraId="2EE78D82">
            <w:pPr>
              <w:jc w:val="left"/>
              <w:rPr>
                <w:rFonts w:hint="eastAsia" w:ascii="Times New Roman" w:hAnsi="Times New Roman" w:eastAsia="宋体"/>
                <w:color w:val="auto"/>
                <w:kern w:val="2"/>
                <w:szCs w:val="22"/>
                <w:highlight w:val="none"/>
              </w:rPr>
            </w:pPr>
            <w:r>
              <w:rPr>
                <w:rFonts w:hint="eastAsia" w:ascii="Times New Roman" w:hAnsi="Times New Roman" w:eastAsia="宋体"/>
                <w:color w:val="auto"/>
                <w:kern w:val="2"/>
                <w:szCs w:val="22"/>
                <w:highlight w:val="none"/>
              </w:rPr>
              <w:t>（2）标▲项属于重要参数，任何一项不响应或负偏离的，每一项扣</w:t>
            </w:r>
            <w:r>
              <w:rPr>
                <w:rFonts w:hint="eastAsia" w:ascii="Times New Roman" w:hAnsi="Times New Roman"/>
                <w:color w:val="auto"/>
                <w:kern w:val="2"/>
                <w:szCs w:val="22"/>
                <w:highlight w:val="none"/>
                <w:lang w:val="en-US" w:eastAsia="zh-CN"/>
              </w:rPr>
              <w:t>0.5</w:t>
            </w:r>
            <w:r>
              <w:rPr>
                <w:rFonts w:hint="eastAsia" w:ascii="Times New Roman" w:hAnsi="Times New Roman" w:eastAsia="宋体"/>
                <w:color w:val="auto"/>
                <w:kern w:val="2"/>
                <w:szCs w:val="22"/>
                <w:highlight w:val="none"/>
              </w:rPr>
              <w:t>分，扣完为止；</w:t>
            </w:r>
          </w:p>
          <w:p w14:paraId="01988D56">
            <w:pPr>
              <w:jc w:val="left"/>
              <w:rPr>
                <w:rFonts w:hint="eastAsia" w:ascii="Times New Roman" w:hAnsi="Times New Roman" w:eastAsia="宋体"/>
                <w:color w:val="auto"/>
                <w:kern w:val="2"/>
                <w:szCs w:val="22"/>
                <w:highlight w:val="none"/>
              </w:rPr>
            </w:pPr>
            <w:bookmarkStart w:id="173" w:name="_GoBack"/>
            <w:r>
              <w:rPr>
                <w:rFonts w:hint="eastAsia" w:ascii="Times New Roman" w:hAnsi="Times New Roman" w:eastAsia="宋体"/>
                <w:color w:val="auto"/>
                <w:kern w:val="2"/>
                <w:szCs w:val="22"/>
                <w:highlight w:val="none"/>
              </w:rPr>
              <w:t>（3）未标▲项属于一般参数，任何一项不响应或负偏离的，每一项扣</w:t>
            </w:r>
            <w:r>
              <w:rPr>
                <w:rFonts w:hint="eastAsia" w:ascii="Times New Roman" w:hAnsi="Times New Roman"/>
                <w:color w:val="auto"/>
                <w:kern w:val="2"/>
                <w:szCs w:val="22"/>
                <w:highlight w:val="none"/>
                <w:lang w:val="en-US" w:eastAsia="zh-CN"/>
              </w:rPr>
              <w:t>0.12</w:t>
            </w:r>
            <w:r>
              <w:rPr>
                <w:rFonts w:hint="eastAsia" w:ascii="Times New Roman" w:hAnsi="Times New Roman" w:eastAsia="宋体"/>
                <w:color w:val="auto"/>
                <w:kern w:val="2"/>
                <w:szCs w:val="22"/>
                <w:highlight w:val="none"/>
              </w:rPr>
              <w:t>分，扣完为止。</w:t>
            </w:r>
          </w:p>
          <w:p w14:paraId="6EF8A737">
            <w:pPr>
              <w:widowControl w:val="0"/>
              <w:spacing w:after="0" w:afterAutospacing="0"/>
              <w:jc w:val="left"/>
              <w:rPr>
                <w:color w:val="auto"/>
                <w:highlight w:val="none"/>
              </w:rPr>
            </w:pPr>
            <w:r>
              <w:rPr>
                <w:rFonts w:hint="eastAsia" w:ascii="Calibri" w:hAnsi="Calibri" w:eastAsia="宋体" w:cs="Times New Roman"/>
                <w:color w:val="auto"/>
                <w:sz w:val="21"/>
                <w:szCs w:val="22"/>
                <w:highlight w:val="none"/>
                <w:rtl w:val="0"/>
                <w:lang w:val="en-US" w:eastAsia="zh-CN" w:bidi="ar-SA"/>
              </w:rPr>
              <w:t>注：供应商针对本项评内容在投标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bookmarkEnd w:id="173"/>
          </w:p>
        </w:tc>
      </w:tr>
      <w:tr w14:paraId="20960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73" w:type="dxa"/>
            <w:vMerge w:val="restart"/>
            <w:noWrap w:val="0"/>
            <w:vAlign w:val="center"/>
          </w:tcPr>
          <w:p w14:paraId="6E2CBB66">
            <w:pPr>
              <w:widowControl w:val="0"/>
              <w:spacing w:after="0" w:afterAutospacing="0"/>
              <w:jc w:val="left"/>
              <w:rPr>
                <w:rFonts w:ascii="Calibri" w:hAnsi="Calibri" w:eastAsia="宋体" w:cs="Times New Roman"/>
                <w:color w:val="auto"/>
                <w:sz w:val="21"/>
                <w:szCs w:val="22"/>
                <w:highlight w:val="none"/>
                <w:lang w:val="en-US" w:eastAsia="zh-CN" w:bidi="ar-SA"/>
              </w:rPr>
            </w:pPr>
            <w:r>
              <w:rPr>
                <w:rFonts w:ascii="Calibri" w:hAnsi="Calibri" w:eastAsia="宋体" w:cs="Times New Roman"/>
                <w:color w:val="auto"/>
                <w:sz w:val="21"/>
                <w:szCs w:val="22"/>
                <w:highlight w:val="none"/>
                <w:rtl w:val="0"/>
                <w:lang w:val="en-US" w:eastAsia="zh-CN" w:bidi="ar-SA"/>
              </w:rPr>
              <w:t>企业经营业绩、信誉</w:t>
            </w:r>
          </w:p>
        </w:tc>
        <w:tc>
          <w:tcPr>
            <w:tcW w:w="1569" w:type="dxa"/>
            <w:noWrap w:val="0"/>
            <w:vAlign w:val="center"/>
          </w:tcPr>
          <w:p w14:paraId="6368111B">
            <w:pPr>
              <w:widowControl w:val="0"/>
              <w:spacing w:after="0" w:afterAutospacing="0"/>
              <w:jc w:val="left"/>
              <w:rPr>
                <w:rFonts w:hint="eastAsia" w:ascii="Calibri" w:hAnsi="Calibri" w:eastAsia="宋体" w:cs="Times New Roman"/>
                <w:color w:val="auto"/>
                <w:sz w:val="21"/>
                <w:szCs w:val="22"/>
                <w:highlight w:val="none"/>
                <w:rtl w:val="0"/>
                <w:lang w:val="en-US" w:eastAsia="zh-CN" w:bidi="ar-SA"/>
              </w:rPr>
            </w:pPr>
            <w:r>
              <w:rPr>
                <w:rFonts w:hint="eastAsia" w:ascii="Calibri" w:hAnsi="Calibri" w:eastAsia="宋体" w:cs="Times New Roman"/>
                <w:color w:val="auto"/>
                <w:sz w:val="21"/>
                <w:szCs w:val="22"/>
                <w:highlight w:val="none"/>
                <w:rtl w:val="0"/>
                <w:lang w:val="en-US" w:eastAsia="zh-CN" w:bidi="ar-SA"/>
              </w:rPr>
              <w:t>企业业绩</w:t>
            </w:r>
          </w:p>
        </w:tc>
        <w:tc>
          <w:tcPr>
            <w:tcW w:w="1330" w:type="dxa"/>
            <w:noWrap w:val="0"/>
            <w:vAlign w:val="center"/>
          </w:tcPr>
          <w:p w14:paraId="4DF6DFE6">
            <w:pPr>
              <w:jc w:val="left"/>
              <w:rPr>
                <w:rFonts w:hint="eastAsia" w:ascii="Times New Roman" w:hAnsi="Times New Roman" w:eastAsia="宋体" w:cs="Times New Roman"/>
                <w:color w:val="auto"/>
                <w:kern w:val="2"/>
                <w:szCs w:val="22"/>
                <w:highlight w:val="none"/>
                <w:rtl w:val="0"/>
                <w:lang w:val="en-US" w:eastAsia="zh-CN"/>
              </w:rPr>
            </w:pPr>
            <w:r>
              <w:rPr>
                <w:rFonts w:hint="eastAsia" w:ascii="Times New Roman" w:hAnsi="Times New Roman" w:cs="Times New Roman"/>
                <w:color w:val="auto"/>
                <w:kern w:val="2"/>
                <w:szCs w:val="22"/>
                <w:highlight w:val="none"/>
                <w:rtl w:val="0"/>
                <w:lang w:val="en-US" w:eastAsia="zh-CN"/>
              </w:rPr>
              <w:t>4</w:t>
            </w:r>
            <w:r>
              <w:rPr>
                <w:rFonts w:hint="eastAsia" w:ascii="Times New Roman" w:hAnsi="Times New Roman" w:eastAsia="宋体" w:cs="Times New Roman"/>
                <w:color w:val="auto"/>
                <w:kern w:val="2"/>
                <w:szCs w:val="22"/>
                <w:highlight w:val="none"/>
                <w:rtl w:val="0"/>
                <w:lang w:val="en-US" w:eastAsia="zh-CN"/>
              </w:rPr>
              <w:t>.00分</w:t>
            </w:r>
          </w:p>
        </w:tc>
        <w:tc>
          <w:tcPr>
            <w:tcW w:w="5272" w:type="dxa"/>
            <w:noWrap w:val="0"/>
            <w:vAlign w:val="center"/>
          </w:tcPr>
          <w:p w14:paraId="39154093">
            <w:pPr>
              <w:jc w:val="left"/>
              <w:rPr>
                <w:rFonts w:hint="eastAsia" w:ascii="Times New Roman" w:hAnsi="Times New Roman" w:eastAsia="宋体" w:cs="Times New Roman"/>
                <w:color w:val="auto"/>
                <w:kern w:val="2"/>
                <w:szCs w:val="22"/>
                <w:highlight w:val="none"/>
                <w:rtl w:val="0"/>
                <w:lang w:val="en-US" w:eastAsia="zh-CN"/>
              </w:rPr>
            </w:pPr>
            <w:r>
              <w:rPr>
                <w:rFonts w:hint="eastAsia" w:ascii="Times New Roman" w:hAnsi="Times New Roman" w:eastAsia="宋体" w:cs="Times New Roman"/>
                <w:color w:val="auto"/>
                <w:kern w:val="2"/>
                <w:szCs w:val="22"/>
                <w:highlight w:val="none"/>
                <w:rtl w:val="0"/>
                <w:lang w:val="en-US" w:eastAsia="zh-CN"/>
              </w:rPr>
              <w:t>投标人自202</w:t>
            </w:r>
            <w:r>
              <w:rPr>
                <w:rFonts w:hint="eastAsia" w:ascii="Times New Roman" w:hAnsi="Times New Roman" w:cs="Times New Roman"/>
                <w:color w:val="auto"/>
                <w:kern w:val="2"/>
                <w:szCs w:val="22"/>
                <w:highlight w:val="none"/>
                <w:rtl w:val="0"/>
                <w:lang w:val="en-US" w:eastAsia="zh-CN"/>
              </w:rPr>
              <w:t>3</w:t>
            </w:r>
            <w:r>
              <w:rPr>
                <w:rFonts w:hint="eastAsia" w:ascii="Times New Roman" w:hAnsi="Times New Roman" w:eastAsia="宋体" w:cs="Times New Roman"/>
                <w:color w:val="auto"/>
                <w:kern w:val="2"/>
                <w:szCs w:val="22"/>
                <w:highlight w:val="none"/>
                <w:rtl w:val="0"/>
                <w:lang w:val="en-US" w:eastAsia="zh-CN"/>
              </w:rPr>
              <w:t>年1月1日以来（以合同签订的日期为准），承接过</w:t>
            </w:r>
            <w:r>
              <w:rPr>
                <w:rFonts w:hint="eastAsia" w:ascii="Times New Roman" w:hAnsi="Times New Roman" w:cs="Times New Roman"/>
                <w:color w:val="auto"/>
                <w:kern w:val="2"/>
                <w:szCs w:val="22"/>
                <w:highlight w:val="none"/>
                <w:rtl w:val="0"/>
                <w:lang w:val="en-US" w:eastAsia="zh-CN"/>
              </w:rPr>
              <w:t>类似</w:t>
            </w:r>
            <w:r>
              <w:rPr>
                <w:rFonts w:hint="eastAsia" w:ascii="Times New Roman" w:hAnsi="Times New Roman" w:eastAsia="宋体" w:cs="Times New Roman"/>
                <w:color w:val="auto"/>
                <w:kern w:val="2"/>
                <w:szCs w:val="22"/>
                <w:highlight w:val="none"/>
                <w:rtl w:val="0"/>
                <w:lang w:val="en-US" w:eastAsia="zh-CN"/>
              </w:rPr>
              <w:t>项目业绩的，每有一个得2分，最高得</w:t>
            </w:r>
            <w:r>
              <w:rPr>
                <w:rFonts w:hint="eastAsia" w:ascii="Times New Roman" w:hAnsi="Times New Roman" w:cs="Times New Roman"/>
                <w:color w:val="auto"/>
                <w:kern w:val="2"/>
                <w:szCs w:val="22"/>
                <w:highlight w:val="none"/>
                <w:rtl w:val="0"/>
                <w:lang w:val="en-US" w:eastAsia="zh-CN"/>
              </w:rPr>
              <w:t>4</w:t>
            </w:r>
            <w:r>
              <w:rPr>
                <w:rFonts w:hint="eastAsia" w:ascii="Times New Roman" w:hAnsi="Times New Roman" w:eastAsia="宋体" w:cs="Times New Roman"/>
                <w:color w:val="auto"/>
                <w:kern w:val="2"/>
                <w:szCs w:val="22"/>
                <w:highlight w:val="none"/>
                <w:rtl w:val="0"/>
                <w:lang w:val="en-US" w:eastAsia="zh-CN"/>
              </w:rPr>
              <w:t xml:space="preserve">分。 </w:t>
            </w:r>
          </w:p>
          <w:p w14:paraId="05D04B77">
            <w:pPr>
              <w:jc w:val="left"/>
              <w:rPr>
                <w:rFonts w:hint="eastAsia" w:ascii="Times New Roman" w:hAnsi="Times New Roman" w:eastAsia="宋体" w:cs="Times New Roman"/>
                <w:color w:val="auto"/>
                <w:kern w:val="2"/>
                <w:szCs w:val="22"/>
                <w:highlight w:val="none"/>
                <w:rtl w:val="0"/>
                <w:lang w:val="en-US" w:eastAsia="zh-CN"/>
              </w:rPr>
            </w:pPr>
            <w:r>
              <w:rPr>
                <w:rFonts w:hint="eastAsia" w:ascii="Times New Roman" w:hAnsi="Times New Roman" w:eastAsia="宋体" w:cs="Times New Roman"/>
                <w:color w:val="auto"/>
                <w:kern w:val="2"/>
                <w:szCs w:val="22"/>
                <w:highlight w:val="none"/>
                <w:rtl w:val="0"/>
                <w:lang w:val="en-US" w:eastAsia="zh-CN"/>
              </w:rPr>
              <w:t>注：投标文件中提供业绩合同电子件，业绩合同主要内容、标的、数量等清晰可见，未提供或提供不全不得分。</w:t>
            </w:r>
          </w:p>
        </w:tc>
      </w:tr>
      <w:tr w14:paraId="03B9C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73" w:type="dxa"/>
            <w:vMerge w:val="continue"/>
            <w:noWrap w:val="0"/>
            <w:vAlign w:val="center"/>
          </w:tcPr>
          <w:p w14:paraId="00852B4D">
            <w:pPr>
              <w:widowControl w:val="0"/>
              <w:spacing w:after="0" w:afterAutospacing="0"/>
              <w:jc w:val="left"/>
              <w:rPr>
                <w:rFonts w:ascii="Calibri" w:hAnsi="Calibri" w:eastAsia="宋体" w:cs="Times New Roman"/>
                <w:color w:val="auto"/>
                <w:sz w:val="21"/>
                <w:szCs w:val="22"/>
                <w:highlight w:val="none"/>
                <w:lang w:val="en-US" w:eastAsia="zh-CN" w:bidi="ar-SA"/>
              </w:rPr>
            </w:pPr>
          </w:p>
        </w:tc>
        <w:tc>
          <w:tcPr>
            <w:tcW w:w="1569" w:type="dxa"/>
            <w:noWrap w:val="0"/>
            <w:vAlign w:val="center"/>
          </w:tcPr>
          <w:p w14:paraId="0117B915">
            <w:pPr>
              <w:widowControl w:val="0"/>
              <w:spacing w:after="0" w:afterAutospacing="0"/>
              <w:jc w:val="left"/>
              <w:rPr>
                <w:rFonts w:ascii="Calibri" w:hAnsi="Calibri" w:eastAsia="宋体" w:cs="Times New Roman"/>
                <w:color w:val="auto"/>
                <w:sz w:val="21"/>
                <w:szCs w:val="22"/>
                <w:highlight w:val="none"/>
                <w:lang w:val="en-US" w:eastAsia="zh-CN" w:bidi="ar-SA"/>
              </w:rPr>
            </w:pPr>
            <w:r>
              <w:rPr>
                <w:rFonts w:ascii="Calibri" w:hAnsi="Calibri" w:eastAsia="宋体" w:cs="Times New Roman"/>
                <w:color w:val="auto"/>
                <w:sz w:val="21"/>
                <w:szCs w:val="22"/>
                <w:highlight w:val="none"/>
                <w:rtl w:val="0"/>
                <w:lang w:val="en-US" w:eastAsia="zh-CN" w:bidi="ar-SA"/>
              </w:rPr>
              <w:t>节能环保</w:t>
            </w:r>
          </w:p>
        </w:tc>
        <w:tc>
          <w:tcPr>
            <w:tcW w:w="1330" w:type="dxa"/>
            <w:noWrap w:val="0"/>
            <w:vAlign w:val="center"/>
          </w:tcPr>
          <w:p w14:paraId="559E1A3A">
            <w:pPr>
              <w:widowControl w:val="0"/>
              <w:spacing w:after="0" w:afterAutospacing="0"/>
              <w:jc w:val="left"/>
              <w:rPr>
                <w:rFonts w:ascii="Calibri" w:hAnsi="Calibri" w:eastAsia="宋体" w:cs="Times New Roman"/>
                <w:color w:val="auto"/>
                <w:sz w:val="21"/>
                <w:szCs w:val="22"/>
                <w:highlight w:val="none"/>
                <w:lang w:val="en-US" w:eastAsia="zh-CN" w:bidi="ar-SA"/>
              </w:rPr>
            </w:pPr>
            <w:r>
              <w:rPr>
                <w:rFonts w:ascii="Calibri" w:hAnsi="Calibri" w:eastAsia="宋体" w:cs="Times New Roman"/>
                <w:color w:val="auto"/>
                <w:sz w:val="21"/>
                <w:szCs w:val="22"/>
                <w:highlight w:val="none"/>
                <w:rtl w:val="0"/>
                <w:lang w:val="en-US" w:eastAsia="zh-CN" w:bidi="ar-SA"/>
              </w:rPr>
              <w:t>2.00分</w:t>
            </w:r>
          </w:p>
        </w:tc>
        <w:tc>
          <w:tcPr>
            <w:tcW w:w="5272" w:type="dxa"/>
            <w:noWrap w:val="0"/>
            <w:vAlign w:val="center"/>
          </w:tcPr>
          <w:p w14:paraId="642C89F8">
            <w:pPr>
              <w:jc w:val="left"/>
              <w:rPr>
                <w:rFonts w:hint="eastAsia" w:ascii="Times New Roman" w:hAnsi="Times New Roman" w:eastAsia="宋体"/>
                <w:color w:val="auto"/>
                <w:kern w:val="2"/>
                <w:szCs w:val="22"/>
                <w:highlight w:val="none"/>
              </w:rPr>
            </w:pPr>
            <w:r>
              <w:rPr>
                <w:rFonts w:hint="eastAsia" w:ascii="Times New Roman" w:hAnsi="Times New Roman" w:eastAsia="宋体"/>
                <w:color w:val="auto"/>
                <w:kern w:val="2"/>
                <w:szCs w:val="22"/>
                <w:highlight w:val="none"/>
              </w:rPr>
              <w:t>1.投标产品在财政部，生态环境部公布的“</w:t>
            </w:r>
            <w:bookmarkStart w:id="124" w:name="OLE_LINK20"/>
            <w:r>
              <w:rPr>
                <w:rFonts w:hint="eastAsia" w:ascii="Times New Roman" w:hAnsi="Times New Roman" w:eastAsia="宋体"/>
                <w:color w:val="auto"/>
                <w:kern w:val="2"/>
                <w:szCs w:val="22"/>
                <w:highlight w:val="none"/>
              </w:rPr>
              <w:t>环境标志产品政府采购品目清单</w:t>
            </w:r>
            <w:bookmarkEnd w:id="124"/>
            <w:r>
              <w:rPr>
                <w:rFonts w:hint="eastAsia" w:ascii="Times New Roman" w:hAnsi="Times New Roman" w:eastAsia="宋体"/>
                <w:color w:val="auto"/>
                <w:kern w:val="2"/>
                <w:szCs w:val="22"/>
                <w:highlight w:val="none"/>
              </w:rPr>
              <w:t>”内，且投标文件中提供国家市场监督管理局确定的列入“参与实施政府采购环境标志产品认证机构名录”内的认证机构出具的、有效期内的该产品环境标志产品认证证书</w:t>
            </w:r>
            <w:r>
              <w:rPr>
                <w:rFonts w:hint="eastAsia" w:ascii="Times New Roman" w:hAnsi="Times New Roman" w:eastAsia="宋体"/>
                <w:color w:val="auto"/>
                <w:kern w:val="2"/>
                <w:szCs w:val="22"/>
                <w:highlight w:val="none"/>
                <w:lang w:val="en-US" w:eastAsia="zh-CN"/>
              </w:rPr>
              <w:t>原件扫描</w:t>
            </w:r>
            <w:r>
              <w:rPr>
                <w:rFonts w:hint="eastAsia" w:ascii="Times New Roman" w:hAnsi="Times New Roman" w:eastAsia="宋体"/>
                <w:color w:val="auto"/>
                <w:kern w:val="2"/>
                <w:szCs w:val="22"/>
                <w:highlight w:val="none"/>
              </w:rPr>
              <w:t xml:space="preserve">件的，提供一个得 </w:t>
            </w:r>
            <w:r>
              <w:rPr>
                <w:rFonts w:hint="eastAsia" w:ascii="Times New Roman" w:hAnsi="Times New Roman" w:eastAsia="宋体"/>
                <w:color w:val="auto"/>
                <w:kern w:val="2"/>
                <w:szCs w:val="22"/>
                <w:highlight w:val="none"/>
                <w:lang w:val="en-US" w:eastAsia="zh-CN"/>
              </w:rPr>
              <w:t>1</w:t>
            </w:r>
            <w:r>
              <w:rPr>
                <w:rFonts w:hint="eastAsia" w:ascii="Times New Roman" w:hAnsi="Times New Roman" w:eastAsia="宋体"/>
                <w:color w:val="auto"/>
                <w:kern w:val="2"/>
                <w:szCs w:val="22"/>
                <w:highlight w:val="none"/>
              </w:rPr>
              <w:t xml:space="preserve"> 分，本项最高得1分。 </w:t>
            </w:r>
          </w:p>
          <w:p w14:paraId="3E19619F">
            <w:pPr>
              <w:widowControl w:val="0"/>
              <w:numPr>
                <w:ilvl w:val="0"/>
                <w:numId w:val="0"/>
              </w:numPr>
              <w:spacing w:after="0" w:afterAutospacing="0"/>
              <w:jc w:val="left"/>
              <w:rPr>
                <w:rFonts w:ascii="Calibri" w:hAnsi="Calibri" w:eastAsia="宋体" w:cs="Times New Roman"/>
                <w:color w:val="auto"/>
                <w:sz w:val="21"/>
                <w:szCs w:val="22"/>
                <w:highlight w:val="none"/>
                <w:lang w:val="en-US" w:eastAsia="zh-CN" w:bidi="ar-SA"/>
              </w:rPr>
            </w:pPr>
            <w:r>
              <w:rPr>
                <w:rFonts w:hint="eastAsia" w:ascii="Times New Roman" w:hAnsi="Times New Roman" w:eastAsia="宋体"/>
                <w:color w:val="auto"/>
                <w:kern w:val="2"/>
                <w:szCs w:val="22"/>
                <w:highlight w:val="none"/>
              </w:rPr>
              <w:t>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w:t>
            </w:r>
            <w:r>
              <w:rPr>
                <w:rFonts w:hint="eastAsia" w:ascii="Times New Roman" w:hAnsi="Times New Roman" w:eastAsia="宋体"/>
                <w:color w:val="auto"/>
                <w:kern w:val="2"/>
                <w:szCs w:val="22"/>
                <w:highlight w:val="none"/>
                <w:lang w:val="en-US" w:eastAsia="zh-CN"/>
              </w:rPr>
              <w:t>原件扫描</w:t>
            </w:r>
            <w:r>
              <w:rPr>
                <w:rFonts w:hint="eastAsia" w:ascii="Times New Roman" w:hAnsi="Times New Roman" w:eastAsia="宋体"/>
                <w:color w:val="auto"/>
                <w:kern w:val="2"/>
                <w:szCs w:val="22"/>
                <w:highlight w:val="none"/>
              </w:rPr>
              <w:t>件的，提供一个得</w:t>
            </w:r>
            <w:r>
              <w:rPr>
                <w:rFonts w:hint="eastAsia" w:ascii="Times New Roman" w:hAnsi="Times New Roman" w:eastAsia="宋体"/>
                <w:color w:val="auto"/>
                <w:kern w:val="2"/>
                <w:szCs w:val="22"/>
                <w:highlight w:val="none"/>
                <w:lang w:val="en-US" w:eastAsia="zh-CN"/>
              </w:rPr>
              <w:t>1</w:t>
            </w:r>
            <w:r>
              <w:rPr>
                <w:rFonts w:hint="eastAsia" w:ascii="Times New Roman" w:hAnsi="Times New Roman" w:eastAsia="宋体"/>
                <w:color w:val="auto"/>
                <w:kern w:val="2"/>
                <w:szCs w:val="22"/>
                <w:highlight w:val="none"/>
              </w:rPr>
              <w:t>分，本项最高得1分。</w:t>
            </w:r>
          </w:p>
        </w:tc>
      </w:tr>
      <w:tr w14:paraId="26458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73" w:type="dxa"/>
            <w:vMerge w:val="restart"/>
            <w:noWrap w:val="0"/>
            <w:vAlign w:val="center"/>
          </w:tcPr>
          <w:p w14:paraId="59961274">
            <w:pPr>
              <w:widowControl w:val="0"/>
              <w:spacing w:after="0" w:afterAutospacing="0"/>
              <w:jc w:val="left"/>
              <w:rPr>
                <w:rFonts w:ascii="Calibri" w:hAnsi="Calibri" w:eastAsia="宋体" w:cs="Times New Roman"/>
                <w:color w:val="auto"/>
                <w:sz w:val="21"/>
                <w:szCs w:val="22"/>
                <w:highlight w:val="none"/>
                <w:lang w:val="en-US" w:eastAsia="zh-CN" w:bidi="ar-SA"/>
              </w:rPr>
            </w:pPr>
            <w:r>
              <w:rPr>
                <w:rFonts w:ascii="Calibri" w:hAnsi="Calibri" w:eastAsia="宋体" w:cs="Times New Roman"/>
                <w:color w:val="auto"/>
                <w:sz w:val="21"/>
                <w:szCs w:val="22"/>
                <w:highlight w:val="none"/>
                <w:rtl w:val="0"/>
                <w:lang w:val="en-US" w:eastAsia="zh-CN" w:bidi="ar-SA"/>
              </w:rPr>
              <w:t>项目实施方案</w:t>
            </w:r>
          </w:p>
        </w:tc>
        <w:tc>
          <w:tcPr>
            <w:tcW w:w="1569" w:type="dxa"/>
            <w:noWrap w:val="0"/>
            <w:vAlign w:val="center"/>
          </w:tcPr>
          <w:p w14:paraId="7F2E855A">
            <w:pPr>
              <w:widowControl w:val="0"/>
              <w:spacing w:after="0" w:afterAutospacing="0"/>
              <w:jc w:val="left"/>
              <w:rPr>
                <w:rFonts w:ascii="Calibri" w:hAnsi="Calibri" w:eastAsia="宋体" w:cs="Times New Roman"/>
                <w:color w:val="auto"/>
                <w:sz w:val="21"/>
                <w:szCs w:val="22"/>
                <w:highlight w:val="none"/>
                <w:lang w:val="en-US" w:eastAsia="zh-CN" w:bidi="ar-SA"/>
              </w:rPr>
            </w:pPr>
            <w:r>
              <w:rPr>
                <w:rFonts w:ascii="Calibri" w:hAnsi="Calibri" w:eastAsia="宋体" w:cs="Times New Roman"/>
                <w:color w:val="auto"/>
                <w:sz w:val="21"/>
                <w:szCs w:val="22"/>
                <w:highlight w:val="none"/>
                <w:rtl w:val="0"/>
                <w:lang w:val="en-US" w:eastAsia="zh-CN" w:bidi="ar-SA"/>
              </w:rPr>
              <w:t>项目实施方案</w:t>
            </w:r>
          </w:p>
        </w:tc>
        <w:tc>
          <w:tcPr>
            <w:tcW w:w="1330" w:type="dxa"/>
            <w:noWrap w:val="0"/>
            <w:vAlign w:val="center"/>
          </w:tcPr>
          <w:p w14:paraId="181E6443">
            <w:pPr>
              <w:widowControl w:val="0"/>
              <w:spacing w:after="0" w:afterAutospacing="0"/>
              <w:jc w:val="left"/>
              <w:rPr>
                <w:rFonts w:ascii="Calibri" w:hAnsi="Calibri" w:eastAsia="宋体" w:cs="Times New Roman"/>
                <w:color w:val="auto"/>
                <w:sz w:val="21"/>
                <w:szCs w:val="22"/>
                <w:highlight w:val="none"/>
                <w:lang w:val="en-US" w:eastAsia="zh-CN" w:bidi="ar-SA"/>
              </w:rPr>
            </w:pPr>
            <w:r>
              <w:rPr>
                <w:rFonts w:hint="eastAsia" w:cs="Times New Roman"/>
                <w:color w:val="auto"/>
                <w:sz w:val="21"/>
                <w:szCs w:val="22"/>
                <w:highlight w:val="none"/>
                <w:rtl w:val="0"/>
                <w:lang w:val="en-US" w:eastAsia="zh-CN" w:bidi="ar-SA"/>
              </w:rPr>
              <w:t>10</w:t>
            </w:r>
            <w:r>
              <w:rPr>
                <w:rFonts w:ascii="Calibri" w:hAnsi="Calibri" w:eastAsia="宋体" w:cs="Times New Roman"/>
                <w:color w:val="auto"/>
                <w:sz w:val="21"/>
                <w:szCs w:val="22"/>
                <w:highlight w:val="none"/>
                <w:rtl w:val="0"/>
                <w:lang w:val="en-US" w:eastAsia="zh-CN" w:bidi="ar-SA"/>
              </w:rPr>
              <w:t>.00分</w:t>
            </w:r>
          </w:p>
        </w:tc>
        <w:tc>
          <w:tcPr>
            <w:tcW w:w="5272" w:type="dxa"/>
            <w:noWrap w:val="0"/>
            <w:vAlign w:val="center"/>
          </w:tcPr>
          <w:p w14:paraId="1540193A">
            <w:pPr>
              <w:widowControl w:val="0"/>
              <w:spacing w:after="0" w:afterAutospacing="0"/>
              <w:jc w:val="left"/>
              <w:rPr>
                <w:rFonts w:hint="eastAsia" w:ascii="Calibri" w:hAnsi="Calibri" w:eastAsia="宋体" w:cs="Times New Roman"/>
                <w:color w:val="auto"/>
                <w:sz w:val="21"/>
                <w:szCs w:val="22"/>
                <w:highlight w:val="none"/>
                <w:rtl w:val="0"/>
                <w:lang w:val="en-US" w:eastAsia="zh-CN" w:bidi="ar-SA"/>
              </w:rPr>
            </w:pPr>
            <w:r>
              <w:rPr>
                <w:color w:val="auto"/>
                <w:highlight w:val="none"/>
              </w:rPr>
              <w:t>供应商</w:t>
            </w:r>
            <w:r>
              <w:rPr>
                <w:rFonts w:hint="eastAsia" w:ascii="Times New Roman" w:eastAsia="宋体"/>
                <w:color w:val="auto"/>
                <w:highlight w:val="none"/>
                <w:lang w:val="en-US" w:eastAsia="zh-CN"/>
              </w:rPr>
              <w:t>应根据招标文件要求提供项目</w:t>
            </w:r>
            <w:r>
              <w:rPr>
                <w:color w:val="auto"/>
                <w:highlight w:val="none"/>
              </w:rPr>
              <w:t>实施方案</w:t>
            </w:r>
            <w:r>
              <w:rPr>
                <w:rFonts w:hint="eastAsia" w:eastAsia="宋体"/>
                <w:color w:val="auto"/>
                <w:highlight w:val="none"/>
                <w:lang w:eastAsia="zh-CN"/>
              </w:rPr>
              <w:t>，</w:t>
            </w:r>
            <w:r>
              <w:rPr>
                <w:color w:val="auto"/>
                <w:highlight w:val="none"/>
              </w:rPr>
              <w:t>实施方案内容包括进度计划与保证、</w:t>
            </w:r>
            <w:r>
              <w:rPr>
                <w:rFonts w:hint="eastAsia" w:ascii="Times New Roman" w:eastAsia="宋体"/>
                <w:color w:val="auto"/>
                <w:highlight w:val="none"/>
                <w:lang w:val="en-US" w:eastAsia="zh-CN"/>
              </w:rPr>
              <w:t>质量保证措施、</w:t>
            </w:r>
            <w:r>
              <w:rPr>
                <w:color w:val="auto"/>
                <w:highlight w:val="none"/>
              </w:rPr>
              <w:t>组织结构与管理、技术资料管理、管理力量；方案结构严谨，内容完整详实，能够针对</w:t>
            </w:r>
            <w:r>
              <w:rPr>
                <w:rFonts w:hint="eastAsia"/>
                <w:color w:val="auto"/>
                <w:highlight w:val="none"/>
              </w:rPr>
              <w:t>所投</w:t>
            </w:r>
            <w:r>
              <w:rPr>
                <w:color w:val="auto"/>
                <w:highlight w:val="none"/>
              </w:rPr>
              <w:t>项目内容要求而细化制定，有明确的时间节点和进度安排，项目管理运行机制健全，且优于采购需求，得</w:t>
            </w:r>
            <w:r>
              <w:rPr>
                <w:rFonts w:hint="eastAsia" w:ascii="Times New Roman" w:eastAsia="宋体"/>
                <w:color w:val="auto"/>
                <w:highlight w:val="none"/>
                <w:lang w:val="en-US" w:eastAsia="zh-CN"/>
              </w:rPr>
              <w:t>10</w:t>
            </w:r>
            <w:r>
              <w:rPr>
                <w:color w:val="auto"/>
                <w:highlight w:val="none"/>
              </w:rPr>
              <w:t>分；项目实施方案完整，为</w:t>
            </w:r>
            <w:r>
              <w:rPr>
                <w:rFonts w:hint="eastAsia"/>
                <w:color w:val="auto"/>
                <w:highlight w:val="none"/>
              </w:rPr>
              <w:t>所投</w:t>
            </w:r>
            <w:r>
              <w:rPr>
                <w:rFonts w:hint="eastAsia"/>
                <w:color w:val="auto"/>
                <w:highlight w:val="none"/>
                <w:lang w:val="en-US" w:eastAsia="zh-CN"/>
              </w:rPr>
              <w:t>项目</w:t>
            </w:r>
            <w:r>
              <w:rPr>
                <w:color w:val="auto"/>
                <w:highlight w:val="none"/>
              </w:rPr>
              <w:t>的实施要求而制定的措施较齐全，方案表述有一定偏差，但不影响实质性意思表达，能够满</w:t>
            </w:r>
            <w:r>
              <w:rPr>
                <w:rFonts w:hint="eastAsia"/>
                <w:color w:val="auto"/>
                <w:highlight w:val="none"/>
                <w:lang w:val="en-US" w:eastAsia="zh-CN"/>
              </w:rPr>
              <w:t>足</w:t>
            </w:r>
            <w:r>
              <w:rPr>
                <w:color w:val="auto"/>
                <w:highlight w:val="none"/>
              </w:rPr>
              <w:t>对</w:t>
            </w:r>
            <w:r>
              <w:rPr>
                <w:rFonts w:hint="eastAsia"/>
                <w:color w:val="auto"/>
                <w:highlight w:val="none"/>
                <w:lang w:val="en-US" w:eastAsia="zh-CN"/>
              </w:rPr>
              <w:t>项目</w:t>
            </w:r>
            <w:r>
              <w:rPr>
                <w:rFonts w:hint="eastAsia"/>
                <w:color w:val="auto"/>
                <w:highlight w:val="none"/>
              </w:rPr>
              <w:t>的</w:t>
            </w:r>
            <w:r>
              <w:rPr>
                <w:color w:val="auto"/>
                <w:highlight w:val="none"/>
              </w:rPr>
              <w:t>实施的要求，得</w:t>
            </w:r>
            <w:r>
              <w:rPr>
                <w:rFonts w:hint="eastAsia" w:ascii="Times New Roman" w:eastAsia="宋体"/>
                <w:color w:val="auto"/>
                <w:highlight w:val="none"/>
                <w:lang w:val="en-US" w:eastAsia="zh-CN"/>
              </w:rPr>
              <w:t>7</w:t>
            </w:r>
            <w:r>
              <w:rPr>
                <w:color w:val="auto"/>
                <w:highlight w:val="none"/>
              </w:rPr>
              <w:t>分；有</w:t>
            </w:r>
            <w:r>
              <w:rPr>
                <w:rFonts w:hint="eastAsia"/>
                <w:color w:val="auto"/>
                <w:highlight w:val="none"/>
              </w:rPr>
              <w:t>所投</w:t>
            </w:r>
            <w:r>
              <w:rPr>
                <w:color w:val="auto"/>
                <w:highlight w:val="none"/>
              </w:rPr>
              <w:t>项目实施方案，但方案内容笼统，没有针对</w:t>
            </w:r>
            <w:r>
              <w:rPr>
                <w:rFonts w:hint="eastAsia" w:ascii="Times New Roman" w:eastAsia="宋体"/>
                <w:color w:val="auto"/>
                <w:highlight w:val="none"/>
                <w:lang w:val="en-US" w:eastAsia="zh-CN"/>
              </w:rPr>
              <w:t>所投</w:t>
            </w:r>
            <w:r>
              <w:rPr>
                <w:rFonts w:hint="eastAsia"/>
                <w:color w:val="auto"/>
                <w:highlight w:val="none"/>
                <w:lang w:val="en-US" w:eastAsia="zh-CN"/>
              </w:rPr>
              <w:t>项目</w:t>
            </w:r>
            <w:r>
              <w:rPr>
                <w:color w:val="auto"/>
                <w:highlight w:val="none"/>
              </w:rPr>
              <w:t>细化制定，承诺经过优化可实现采购需求，得</w:t>
            </w:r>
            <w:r>
              <w:rPr>
                <w:rFonts w:hint="eastAsia" w:ascii="Times New Roman" w:eastAsia="宋体"/>
                <w:color w:val="auto"/>
                <w:highlight w:val="none"/>
                <w:lang w:val="en-US" w:eastAsia="zh-CN"/>
              </w:rPr>
              <w:t>4</w:t>
            </w:r>
            <w:r>
              <w:rPr>
                <w:color w:val="auto"/>
                <w:highlight w:val="none"/>
              </w:rPr>
              <w:t>分。没有内容不得分。</w:t>
            </w:r>
          </w:p>
        </w:tc>
      </w:tr>
      <w:tr w14:paraId="2AC42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73" w:type="dxa"/>
            <w:vMerge w:val="continue"/>
            <w:noWrap w:val="0"/>
            <w:vAlign w:val="center"/>
          </w:tcPr>
          <w:p w14:paraId="54DE4E14">
            <w:pPr>
              <w:widowControl w:val="0"/>
              <w:spacing w:after="0" w:afterAutospacing="0"/>
              <w:jc w:val="left"/>
              <w:rPr>
                <w:rFonts w:ascii="Calibri" w:hAnsi="Calibri" w:eastAsia="宋体" w:cs="Times New Roman"/>
                <w:color w:val="auto"/>
                <w:sz w:val="21"/>
                <w:szCs w:val="22"/>
                <w:highlight w:val="none"/>
                <w:rtl w:val="0"/>
                <w:lang w:val="en-US" w:eastAsia="zh-CN" w:bidi="ar-SA"/>
              </w:rPr>
            </w:pPr>
          </w:p>
        </w:tc>
        <w:tc>
          <w:tcPr>
            <w:tcW w:w="1569" w:type="dxa"/>
            <w:noWrap w:val="0"/>
            <w:vAlign w:val="center"/>
          </w:tcPr>
          <w:p w14:paraId="15EFB260">
            <w:pPr>
              <w:widowControl w:val="0"/>
              <w:spacing w:after="0" w:afterAutospacing="0"/>
              <w:jc w:val="left"/>
              <w:rPr>
                <w:rFonts w:hint="eastAsia" w:ascii="Calibri" w:hAnsi="Calibri" w:eastAsia="宋体" w:cs="Times New Roman"/>
                <w:color w:val="auto"/>
                <w:sz w:val="21"/>
                <w:szCs w:val="22"/>
                <w:highlight w:val="none"/>
                <w:rtl w:val="0"/>
                <w:lang w:val="en-US" w:eastAsia="zh-CN" w:bidi="ar-SA"/>
              </w:rPr>
            </w:pPr>
            <w:r>
              <w:rPr>
                <w:rFonts w:hint="eastAsia" w:ascii="Calibri" w:hAnsi="Calibri" w:eastAsia="宋体" w:cs="Times New Roman"/>
                <w:color w:val="auto"/>
                <w:sz w:val="21"/>
                <w:szCs w:val="22"/>
                <w:highlight w:val="none"/>
                <w:rtl w:val="0"/>
                <w:lang w:val="en-US" w:eastAsia="zh-CN" w:bidi="ar-SA"/>
              </w:rPr>
              <w:t>培训方案</w:t>
            </w:r>
          </w:p>
        </w:tc>
        <w:tc>
          <w:tcPr>
            <w:tcW w:w="1330" w:type="dxa"/>
            <w:noWrap w:val="0"/>
            <w:vAlign w:val="center"/>
          </w:tcPr>
          <w:p w14:paraId="208FAB47">
            <w:pPr>
              <w:widowControl w:val="0"/>
              <w:spacing w:after="0" w:afterAutospacing="0"/>
              <w:jc w:val="left"/>
              <w:rPr>
                <w:rFonts w:hint="eastAsia" w:ascii="Calibri" w:hAnsi="Calibri" w:eastAsia="宋体" w:cs="Times New Roman"/>
                <w:color w:val="auto"/>
                <w:sz w:val="21"/>
                <w:szCs w:val="22"/>
                <w:highlight w:val="none"/>
                <w:rtl w:val="0"/>
                <w:lang w:val="en-US" w:eastAsia="zh-CN" w:bidi="ar-SA"/>
              </w:rPr>
            </w:pPr>
            <w:r>
              <w:rPr>
                <w:rFonts w:hint="eastAsia" w:cs="Times New Roman"/>
                <w:color w:val="auto"/>
                <w:sz w:val="21"/>
                <w:szCs w:val="22"/>
                <w:highlight w:val="none"/>
                <w:rtl w:val="0"/>
                <w:lang w:val="en-US" w:eastAsia="zh-CN" w:bidi="ar-SA"/>
              </w:rPr>
              <w:t>6</w:t>
            </w:r>
            <w:r>
              <w:rPr>
                <w:rFonts w:hint="eastAsia" w:ascii="Calibri" w:hAnsi="Calibri" w:eastAsia="宋体" w:cs="Times New Roman"/>
                <w:color w:val="auto"/>
                <w:sz w:val="21"/>
                <w:szCs w:val="22"/>
                <w:highlight w:val="none"/>
                <w:rtl w:val="0"/>
                <w:lang w:val="en-US" w:eastAsia="zh-CN" w:bidi="ar-SA"/>
              </w:rPr>
              <w:t>.00分</w:t>
            </w:r>
          </w:p>
        </w:tc>
        <w:tc>
          <w:tcPr>
            <w:tcW w:w="5272" w:type="dxa"/>
            <w:noWrap w:val="0"/>
            <w:vAlign w:val="center"/>
          </w:tcPr>
          <w:p w14:paraId="6B51C63C">
            <w:pPr>
              <w:widowControl w:val="0"/>
              <w:spacing w:after="0" w:afterAutospacing="0"/>
              <w:jc w:val="left"/>
              <w:rPr>
                <w:rFonts w:hint="eastAsia" w:ascii="Calibri" w:hAnsi="Calibri" w:eastAsia="宋体" w:cs="Times New Roman"/>
                <w:color w:val="auto"/>
                <w:sz w:val="21"/>
                <w:szCs w:val="22"/>
                <w:highlight w:val="none"/>
                <w:rtl w:val="0"/>
                <w:lang w:val="en-US" w:eastAsia="zh-CN" w:bidi="ar-SA"/>
              </w:rPr>
            </w:pPr>
            <w:r>
              <w:rPr>
                <w:rFonts w:hint="eastAsia" w:ascii="Times New Roman" w:hAnsi="Times New Roman" w:eastAsia="宋体" w:cs="Times New Roman"/>
                <w:color w:val="auto"/>
                <w:kern w:val="2"/>
                <w:sz w:val="21"/>
                <w:szCs w:val="21"/>
                <w:highlight w:val="none"/>
                <w:lang w:val="en-US" w:eastAsia="zh-CN" w:bidi="ar-SA"/>
              </w:rPr>
              <w:t>供应商应根据招标文件要求提供项目培训方案，方案内容包括</w:t>
            </w:r>
            <w:r>
              <w:rPr>
                <w:rFonts w:hint="eastAsia"/>
                <w:color w:val="auto"/>
                <w:szCs w:val="21"/>
                <w:highlight w:val="none"/>
              </w:rPr>
              <w:t>培训方式、培训内容及学时安排等</w:t>
            </w:r>
            <w:r>
              <w:rPr>
                <w:rFonts w:hint="eastAsia" w:eastAsia="宋体"/>
                <w:color w:val="auto"/>
                <w:szCs w:val="21"/>
                <w:highlight w:val="none"/>
                <w:lang w:eastAsia="zh-CN"/>
              </w:rPr>
              <w:t>，</w:t>
            </w:r>
            <w:r>
              <w:rPr>
                <w:rFonts w:hint="eastAsia" w:ascii="Times New Roman" w:hAnsi="Times New Roman" w:eastAsia="宋体" w:cs="Times New Roman"/>
                <w:color w:val="auto"/>
                <w:kern w:val="2"/>
                <w:sz w:val="21"/>
                <w:szCs w:val="21"/>
                <w:highlight w:val="none"/>
                <w:lang w:val="en-US" w:eastAsia="zh-CN" w:bidi="ar-SA"/>
              </w:rPr>
              <w:t>方案描述详细、完整，优于采购需求的得</w:t>
            </w:r>
            <w:r>
              <w:rPr>
                <w:rFonts w:hint="eastAsia" w:ascii="Times New Roman" w:hAnsi="Times New Roman" w:cs="Times New Roman"/>
                <w:color w:val="auto"/>
                <w:kern w:val="2"/>
                <w:sz w:val="21"/>
                <w:szCs w:val="21"/>
                <w:highlight w:val="none"/>
                <w:lang w:val="en-US" w:eastAsia="zh-CN" w:bidi="ar-SA"/>
              </w:rPr>
              <w:t>6</w:t>
            </w:r>
            <w:r>
              <w:rPr>
                <w:rFonts w:hint="eastAsia" w:ascii="Times New Roman" w:hAnsi="Times New Roman" w:eastAsia="宋体" w:cs="Times New Roman"/>
                <w:color w:val="auto"/>
                <w:kern w:val="2"/>
                <w:sz w:val="21"/>
                <w:szCs w:val="21"/>
                <w:highlight w:val="none"/>
                <w:lang w:val="en-US" w:eastAsia="zh-CN" w:bidi="ar-SA"/>
              </w:rPr>
              <w:t>分；方案内容基本完整、内容基本详实，能够满足采购需求的得</w:t>
            </w:r>
            <w:r>
              <w:rPr>
                <w:rFonts w:hint="eastAsia" w:ascii="Times New Roman" w:hAnsi="Times New Roman" w:cs="Times New Roman"/>
                <w:color w:val="auto"/>
                <w:kern w:val="2"/>
                <w:sz w:val="21"/>
                <w:szCs w:val="21"/>
                <w:highlight w:val="none"/>
                <w:lang w:val="en-US" w:eastAsia="zh-CN" w:bidi="ar-SA"/>
              </w:rPr>
              <w:t>4</w:t>
            </w:r>
            <w:r>
              <w:rPr>
                <w:rFonts w:hint="eastAsia" w:ascii="Times New Roman" w:hAnsi="Times New Roman" w:eastAsia="宋体" w:cs="Times New Roman"/>
                <w:color w:val="auto"/>
                <w:kern w:val="2"/>
                <w:sz w:val="21"/>
                <w:szCs w:val="21"/>
                <w:highlight w:val="none"/>
                <w:lang w:val="en-US" w:eastAsia="zh-CN" w:bidi="ar-SA"/>
              </w:rPr>
              <w:t>分；方案内容粗略，通过后期优化能够实现采购需求要求的得</w:t>
            </w:r>
            <w:r>
              <w:rPr>
                <w:rFonts w:hint="eastAsia" w:ascii="Times New Roman" w:hAnsi="Times New Roman" w:cs="Times New Roman"/>
                <w:color w:val="auto"/>
                <w:kern w:val="2"/>
                <w:sz w:val="21"/>
                <w:szCs w:val="21"/>
                <w:highlight w:val="none"/>
                <w:lang w:val="en-US" w:eastAsia="zh-CN" w:bidi="ar-SA"/>
              </w:rPr>
              <w:t>2</w:t>
            </w:r>
            <w:r>
              <w:rPr>
                <w:rFonts w:hint="eastAsia" w:ascii="Times New Roman" w:hAnsi="Times New Roman" w:eastAsia="宋体" w:cs="Times New Roman"/>
                <w:color w:val="auto"/>
                <w:kern w:val="2"/>
                <w:sz w:val="21"/>
                <w:szCs w:val="21"/>
                <w:highlight w:val="none"/>
                <w:lang w:val="en-US" w:eastAsia="zh-CN" w:bidi="ar-SA"/>
              </w:rPr>
              <w:t>分。没有内容不得分。</w:t>
            </w:r>
          </w:p>
        </w:tc>
      </w:tr>
      <w:tr w14:paraId="06FB6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73" w:type="dxa"/>
            <w:vMerge w:val="continue"/>
            <w:noWrap w:val="0"/>
            <w:vAlign w:val="center"/>
          </w:tcPr>
          <w:p w14:paraId="6AEEACDB">
            <w:pPr>
              <w:widowControl w:val="0"/>
              <w:spacing w:after="0" w:afterAutospacing="0"/>
              <w:jc w:val="left"/>
              <w:rPr>
                <w:rFonts w:ascii="Calibri" w:hAnsi="Calibri" w:eastAsia="宋体" w:cs="Times New Roman"/>
                <w:color w:val="auto"/>
                <w:sz w:val="21"/>
                <w:szCs w:val="22"/>
                <w:highlight w:val="none"/>
                <w:lang w:val="en-US" w:eastAsia="zh-CN" w:bidi="ar-SA"/>
              </w:rPr>
            </w:pPr>
          </w:p>
        </w:tc>
        <w:tc>
          <w:tcPr>
            <w:tcW w:w="1569" w:type="dxa"/>
            <w:noWrap w:val="0"/>
            <w:vAlign w:val="center"/>
          </w:tcPr>
          <w:p w14:paraId="4DAF22D7">
            <w:pPr>
              <w:widowControl w:val="0"/>
              <w:spacing w:after="0" w:afterAutospacing="0"/>
              <w:jc w:val="left"/>
              <w:rPr>
                <w:rFonts w:hint="eastAsia" w:ascii="Calibri" w:hAnsi="Calibri" w:eastAsia="宋体" w:cs="Times New Roman"/>
                <w:color w:val="auto"/>
                <w:sz w:val="21"/>
                <w:szCs w:val="22"/>
                <w:highlight w:val="none"/>
                <w:rtl w:val="0"/>
                <w:lang w:val="en-US" w:eastAsia="zh-CN" w:bidi="ar-SA"/>
              </w:rPr>
            </w:pPr>
            <w:r>
              <w:rPr>
                <w:rFonts w:hint="eastAsia" w:ascii="Calibri" w:hAnsi="Calibri" w:eastAsia="宋体" w:cs="Times New Roman"/>
                <w:color w:val="auto"/>
                <w:sz w:val="21"/>
                <w:szCs w:val="22"/>
                <w:highlight w:val="none"/>
                <w:rtl w:val="0"/>
                <w:lang w:val="en-US" w:eastAsia="zh-CN" w:bidi="ar-SA"/>
              </w:rPr>
              <w:t>售后服务</w:t>
            </w:r>
          </w:p>
        </w:tc>
        <w:tc>
          <w:tcPr>
            <w:tcW w:w="1330" w:type="dxa"/>
            <w:noWrap w:val="0"/>
            <w:vAlign w:val="center"/>
          </w:tcPr>
          <w:p w14:paraId="0F740373">
            <w:pPr>
              <w:widowControl w:val="0"/>
              <w:spacing w:after="0" w:afterAutospacing="0"/>
              <w:jc w:val="left"/>
              <w:rPr>
                <w:rFonts w:hint="eastAsia" w:ascii="Calibri" w:hAnsi="Calibri" w:eastAsia="宋体" w:cs="Times New Roman"/>
                <w:color w:val="auto"/>
                <w:sz w:val="21"/>
                <w:szCs w:val="22"/>
                <w:highlight w:val="none"/>
                <w:rtl w:val="0"/>
                <w:lang w:val="en-US" w:eastAsia="zh-CN" w:bidi="ar-SA"/>
              </w:rPr>
            </w:pPr>
            <w:r>
              <w:rPr>
                <w:rFonts w:hint="eastAsia" w:cs="Times New Roman"/>
                <w:color w:val="auto"/>
                <w:sz w:val="21"/>
                <w:szCs w:val="22"/>
                <w:highlight w:val="none"/>
                <w:rtl w:val="0"/>
                <w:lang w:val="en-US" w:eastAsia="zh-CN" w:bidi="ar-SA"/>
              </w:rPr>
              <w:t>8</w:t>
            </w:r>
            <w:r>
              <w:rPr>
                <w:rFonts w:hint="eastAsia" w:ascii="Calibri" w:hAnsi="Calibri" w:eastAsia="宋体" w:cs="Times New Roman"/>
                <w:color w:val="auto"/>
                <w:sz w:val="21"/>
                <w:szCs w:val="22"/>
                <w:highlight w:val="none"/>
                <w:rtl w:val="0"/>
                <w:lang w:val="en-US" w:eastAsia="zh-CN" w:bidi="ar-SA"/>
              </w:rPr>
              <w:t>.00分</w:t>
            </w:r>
          </w:p>
        </w:tc>
        <w:tc>
          <w:tcPr>
            <w:tcW w:w="5272" w:type="dxa"/>
            <w:noWrap w:val="0"/>
            <w:vAlign w:val="center"/>
          </w:tcPr>
          <w:p w14:paraId="57CB8527">
            <w:pPr>
              <w:widowControl w:val="0"/>
              <w:spacing w:after="0" w:afterAutospacing="0"/>
              <w:jc w:val="left"/>
              <w:rPr>
                <w:rFonts w:hint="eastAsia" w:ascii="Calibri" w:hAnsi="Calibri" w:eastAsia="宋体" w:cs="Times New Roman"/>
                <w:color w:val="auto"/>
                <w:sz w:val="21"/>
                <w:szCs w:val="22"/>
                <w:highlight w:val="none"/>
                <w:rtl w:val="0"/>
                <w:lang w:val="en-US" w:eastAsia="zh-CN" w:bidi="ar-SA"/>
              </w:rPr>
            </w:pPr>
            <w:r>
              <w:rPr>
                <w:rFonts w:hint="eastAsia" w:ascii="Times New Roman" w:hAnsi="Times New Roman" w:eastAsia="宋体" w:cs="Times New Roman"/>
                <w:color w:val="auto"/>
                <w:kern w:val="2"/>
                <w:sz w:val="21"/>
                <w:szCs w:val="21"/>
                <w:highlight w:val="none"/>
                <w:lang w:val="en-US" w:eastAsia="zh-CN" w:bidi="ar-SA"/>
              </w:rPr>
              <w:t>供应商应根据招标文件要求提供项目售后服务方案，</w:t>
            </w:r>
            <w:r>
              <w:rPr>
                <w:rFonts w:ascii="Times New Roman" w:hAnsi="Times New Roman" w:eastAsia="宋体" w:cs="Times New Roman"/>
                <w:color w:val="auto"/>
                <w:kern w:val="2"/>
                <w:sz w:val="21"/>
                <w:szCs w:val="21"/>
                <w:highlight w:val="none"/>
                <w:lang w:val="en-US" w:eastAsia="zh-CN" w:bidi="ar-SA"/>
              </w:rPr>
              <w:t>方案内容包括</w:t>
            </w:r>
            <w:r>
              <w:rPr>
                <w:rFonts w:hint="eastAsia" w:ascii="Times New Roman" w:hAnsi="Times New Roman" w:eastAsia="宋体" w:cs="Times New Roman"/>
                <w:color w:val="auto"/>
                <w:kern w:val="2"/>
                <w:sz w:val="21"/>
                <w:szCs w:val="21"/>
                <w:highlight w:val="none"/>
                <w:lang w:val="en-US" w:eastAsia="zh-CN" w:bidi="ar-SA"/>
              </w:rPr>
              <w:t>服务内容、</w:t>
            </w:r>
            <w:r>
              <w:rPr>
                <w:rFonts w:ascii="Times New Roman" w:hAnsi="Times New Roman" w:eastAsia="宋体" w:cs="Times New Roman"/>
                <w:color w:val="auto"/>
                <w:kern w:val="2"/>
                <w:sz w:val="21"/>
                <w:szCs w:val="21"/>
                <w:highlight w:val="none"/>
                <w:lang w:val="en-US" w:eastAsia="zh-CN" w:bidi="ar-SA"/>
              </w:rPr>
              <w:t>人员配备、响应时间、质保期内的技术支持和维护能力</w:t>
            </w:r>
            <w:r>
              <w:rPr>
                <w:rFonts w:hint="eastAsia" w:ascii="Times New Roman" w:hAnsi="Times New Roman" w:eastAsia="宋体" w:cs="Times New Roman"/>
                <w:color w:val="auto"/>
                <w:kern w:val="2"/>
                <w:sz w:val="21"/>
                <w:szCs w:val="21"/>
                <w:highlight w:val="none"/>
                <w:lang w:val="en-US" w:eastAsia="zh-CN" w:bidi="ar-SA"/>
              </w:rPr>
              <w:t>，方案详细、完整、优于采购需求的得</w:t>
            </w:r>
            <w:r>
              <w:rPr>
                <w:rFonts w:hint="eastAsia" w:ascii="Times New Roman" w:hAnsi="Times New Roman" w:cs="Times New Roman"/>
                <w:color w:val="auto"/>
                <w:kern w:val="2"/>
                <w:sz w:val="21"/>
                <w:szCs w:val="21"/>
                <w:highlight w:val="none"/>
                <w:lang w:val="en-US" w:eastAsia="zh-CN" w:bidi="ar-SA"/>
              </w:rPr>
              <w:t>8</w:t>
            </w:r>
            <w:r>
              <w:rPr>
                <w:rFonts w:hint="eastAsia" w:ascii="Times New Roman" w:hAnsi="Times New Roman" w:eastAsia="宋体" w:cs="Times New Roman"/>
                <w:color w:val="auto"/>
                <w:kern w:val="2"/>
                <w:sz w:val="21"/>
                <w:szCs w:val="21"/>
                <w:highlight w:val="none"/>
                <w:lang w:val="en-US" w:eastAsia="zh-CN" w:bidi="ar-SA"/>
              </w:rPr>
              <w:t>分；方案内容基本完整、内容基本详实，能够满足采购需求的得</w:t>
            </w:r>
            <w:r>
              <w:rPr>
                <w:rFonts w:hint="eastAsia" w:ascii="Times New Roman" w:hAnsi="Times New Roman" w:cs="Times New Roman"/>
                <w:color w:val="auto"/>
                <w:kern w:val="2"/>
                <w:sz w:val="21"/>
                <w:szCs w:val="21"/>
                <w:highlight w:val="none"/>
                <w:lang w:val="en-US" w:eastAsia="zh-CN" w:bidi="ar-SA"/>
              </w:rPr>
              <w:t>6</w:t>
            </w:r>
            <w:r>
              <w:rPr>
                <w:rFonts w:hint="eastAsia" w:ascii="Times New Roman" w:hAnsi="Times New Roman" w:eastAsia="宋体" w:cs="Times New Roman"/>
                <w:color w:val="auto"/>
                <w:kern w:val="2"/>
                <w:sz w:val="21"/>
                <w:szCs w:val="21"/>
                <w:highlight w:val="none"/>
                <w:lang w:val="en-US" w:eastAsia="zh-CN" w:bidi="ar-SA"/>
              </w:rPr>
              <w:t>分；方案内容粗略，通过后期优化能够实现采购需求要求的得</w:t>
            </w:r>
            <w:r>
              <w:rPr>
                <w:rFonts w:hint="eastAsia" w:ascii="Times New Roman" w:hAnsi="Times New Roman" w:cs="Times New Roman"/>
                <w:color w:val="auto"/>
                <w:kern w:val="2"/>
                <w:sz w:val="21"/>
                <w:szCs w:val="21"/>
                <w:highlight w:val="none"/>
                <w:lang w:val="en-US" w:eastAsia="zh-CN" w:bidi="ar-SA"/>
              </w:rPr>
              <w:t>3</w:t>
            </w:r>
            <w:r>
              <w:rPr>
                <w:rFonts w:hint="eastAsia" w:ascii="Times New Roman" w:hAnsi="Times New Roman" w:eastAsia="宋体" w:cs="Times New Roman"/>
                <w:color w:val="auto"/>
                <w:kern w:val="2"/>
                <w:sz w:val="21"/>
                <w:szCs w:val="21"/>
                <w:highlight w:val="none"/>
                <w:lang w:val="en-US" w:eastAsia="zh-CN" w:bidi="ar-SA"/>
              </w:rPr>
              <w:t>分。没有内容不得分。</w:t>
            </w:r>
          </w:p>
        </w:tc>
      </w:tr>
    </w:tbl>
    <w:p w14:paraId="75D49214">
      <w:pPr>
        <w:keepNext/>
        <w:keepLines/>
        <w:pageBreakBefore/>
        <w:jc w:val="center"/>
        <w:outlineLvl w:val="0"/>
        <w:rPr>
          <w:rFonts w:hint="eastAsia" w:ascii="宋体" w:hAnsi="宋体" w:eastAsia="宋体" w:cs="宋体"/>
          <w:b/>
          <w:color w:val="auto"/>
          <w:sz w:val="44"/>
          <w:szCs w:val="44"/>
          <w:highlight w:val="none"/>
        </w:rPr>
      </w:pPr>
      <w:bookmarkStart w:id="125" w:name="_Toc12255"/>
      <w:bookmarkStart w:id="126" w:name="_Toc81575168"/>
      <w:bookmarkStart w:id="127" w:name="_Toc22314"/>
      <w:bookmarkStart w:id="128" w:name="_Toc2916"/>
      <w:bookmarkStart w:id="129" w:name="_Toc81575205"/>
      <w:r>
        <w:rPr>
          <w:rFonts w:hint="eastAsia" w:ascii="宋体" w:hAnsi="宋体" w:eastAsia="宋体" w:cs="宋体"/>
          <w:b/>
          <w:color w:val="auto"/>
          <w:sz w:val="44"/>
          <w:szCs w:val="44"/>
          <w:highlight w:val="none"/>
        </w:rPr>
        <w:t>第四章  采购需求</w:t>
      </w:r>
      <w:bookmarkEnd w:id="122"/>
      <w:bookmarkEnd w:id="125"/>
      <w:bookmarkEnd w:id="126"/>
      <w:bookmarkEnd w:id="127"/>
      <w:bookmarkEnd w:id="128"/>
      <w:bookmarkEnd w:id="129"/>
    </w:p>
    <w:p w14:paraId="4FB3ED11">
      <w:pPr>
        <w:rPr>
          <w:rFonts w:hint="eastAsia" w:ascii="宋体" w:hAnsi="宋体" w:eastAsia="宋体" w:cs="宋体"/>
          <w:color w:val="auto"/>
          <w:highlight w:val="none"/>
        </w:rPr>
      </w:pPr>
      <w:bookmarkStart w:id="130" w:name="_Toc22098"/>
      <w:bookmarkStart w:id="131" w:name="_Toc81575169"/>
      <w:bookmarkStart w:id="132" w:name="_Toc81575206"/>
      <w:bookmarkStart w:id="133" w:name="_Toc31499"/>
      <w:bookmarkStart w:id="134" w:name="_Toc2513"/>
    </w:p>
    <w:p w14:paraId="7B1A5505">
      <w:pPr>
        <w:spacing w:line="560" w:lineRule="exact"/>
        <w:ind w:firstLine="480"/>
        <w:rPr>
          <w:rFonts w:hint="eastAsia" w:cs="Courier New"/>
          <w:color w:val="auto"/>
          <w:sz w:val="24"/>
          <w:szCs w:val="24"/>
          <w:highlight w:val="none"/>
        </w:rPr>
      </w:pPr>
      <w:r>
        <w:rPr>
          <w:rFonts w:hint="eastAsia" w:cs="Courier New"/>
          <w:color w:val="auto"/>
          <w:sz w:val="24"/>
          <w:szCs w:val="24"/>
          <w:highlight w:val="none"/>
        </w:rPr>
        <w:t>项目属性：货物类项目</w:t>
      </w:r>
    </w:p>
    <w:p w14:paraId="28E16C1B">
      <w:pPr>
        <w:spacing w:line="560" w:lineRule="exact"/>
        <w:ind w:firstLine="480"/>
        <w:rPr>
          <w:rFonts w:hint="eastAsia" w:eastAsia="宋体" w:cs="Courier New"/>
          <w:color w:val="auto"/>
          <w:sz w:val="24"/>
          <w:szCs w:val="24"/>
          <w:highlight w:val="none"/>
          <w:lang w:val="en-US" w:eastAsia="zh-CN"/>
        </w:rPr>
      </w:pPr>
      <w:r>
        <w:rPr>
          <w:rFonts w:hint="eastAsia" w:cs="Courier New"/>
          <w:color w:val="auto"/>
          <w:sz w:val="24"/>
          <w:szCs w:val="24"/>
          <w:highlight w:val="none"/>
        </w:rPr>
        <w:t>本项目采购标的对应的中小企业划分标准所属行业：</w:t>
      </w:r>
      <w:r>
        <w:rPr>
          <w:rFonts w:hint="eastAsia" w:cs="Courier New"/>
          <w:color w:val="auto"/>
          <w:sz w:val="24"/>
          <w:szCs w:val="24"/>
          <w:highlight w:val="none"/>
          <w:u w:val="single"/>
        </w:rPr>
        <w:t xml:space="preserve"> 工业</w:t>
      </w:r>
      <w:r>
        <w:rPr>
          <w:rFonts w:hint="eastAsia" w:cs="Courier New"/>
          <w:color w:val="auto"/>
          <w:sz w:val="24"/>
          <w:szCs w:val="24"/>
          <w:highlight w:val="none"/>
          <w:u w:val="single"/>
          <w:lang w:val="en-US" w:eastAsia="zh-CN"/>
        </w:rPr>
        <w:t xml:space="preserve"> </w:t>
      </w:r>
    </w:p>
    <w:p w14:paraId="798A8C33">
      <w:pPr>
        <w:spacing w:line="560" w:lineRule="exact"/>
        <w:ind w:firstLine="480"/>
        <w:rPr>
          <w:rFonts w:hint="eastAsia" w:cs="Courier New"/>
          <w:color w:val="auto"/>
          <w:sz w:val="24"/>
          <w:szCs w:val="24"/>
          <w:highlight w:val="none"/>
        </w:rPr>
      </w:pPr>
      <w:r>
        <w:rPr>
          <w:rFonts w:hint="eastAsia" w:cs="Courier New"/>
          <w:color w:val="auto"/>
          <w:sz w:val="24"/>
          <w:szCs w:val="24"/>
          <w:highlight w:val="none"/>
        </w:rPr>
        <w:t>本项目</w:t>
      </w:r>
      <w:r>
        <w:rPr>
          <w:rFonts w:hint="eastAsia" w:cs="Courier New"/>
          <w:color w:val="auto"/>
          <w:sz w:val="24"/>
          <w:szCs w:val="24"/>
          <w:highlight w:val="none"/>
          <w:u w:val="single"/>
        </w:rPr>
        <w:t xml:space="preserve"> 接受 </w:t>
      </w:r>
      <w:r>
        <w:rPr>
          <w:rFonts w:hint="eastAsia" w:cs="Courier New"/>
          <w:color w:val="auto"/>
          <w:sz w:val="24"/>
          <w:szCs w:val="24"/>
          <w:highlight w:val="none"/>
        </w:rPr>
        <w:t>（接受/不接受）进口产品。</w:t>
      </w:r>
    </w:p>
    <w:p w14:paraId="3E72A938">
      <w:pPr>
        <w:spacing w:line="560" w:lineRule="exact"/>
        <w:ind w:firstLine="480"/>
        <w:outlineLvl w:val="1"/>
        <w:rPr>
          <w:rFonts w:hint="eastAsia" w:eastAsia="宋体" w:cs="Courier New"/>
          <w:b/>
          <w:bCs/>
          <w:color w:val="auto"/>
          <w:sz w:val="24"/>
          <w:szCs w:val="24"/>
          <w:highlight w:val="none"/>
        </w:rPr>
      </w:pPr>
      <w:r>
        <w:rPr>
          <w:rFonts w:hint="eastAsia" w:eastAsia="宋体" w:cs="Courier New"/>
          <w:b/>
          <w:bCs/>
          <w:color w:val="auto"/>
          <w:sz w:val="24"/>
          <w:szCs w:val="24"/>
          <w:highlight w:val="none"/>
          <w:lang w:val="en-US" w:eastAsia="zh-CN"/>
        </w:rPr>
        <w:t>一</w:t>
      </w:r>
      <w:r>
        <w:rPr>
          <w:rFonts w:hint="eastAsia" w:eastAsia="宋体" w:cs="Courier New"/>
          <w:b/>
          <w:bCs/>
          <w:color w:val="auto"/>
          <w:sz w:val="24"/>
          <w:szCs w:val="24"/>
          <w:highlight w:val="none"/>
        </w:rPr>
        <w:t>、基本概况</w:t>
      </w:r>
    </w:p>
    <w:p w14:paraId="101C58AA">
      <w:pPr>
        <w:spacing w:line="560" w:lineRule="exact"/>
        <w:ind w:firstLine="480"/>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本次采购内容为</w:t>
      </w:r>
      <w:r>
        <w:rPr>
          <w:rFonts w:hint="eastAsia" w:ascii="Times New Roman" w:hAnsi="Times New Roman" w:eastAsia="宋体" w:cs="Times New Roman"/>
          <w:caps w:val="0"/>
          <w:color w:val="auto"/>
          <w:kern w:val="2"/>
          <w:sz w:val="24"/>
          <w:szCs w:val="24"/>
          <w:highlight w:val="none"/>
          <w:lang w:val="en-US" w:eastAsia="zh-CN" w:bidi="ar-SA"/>
        </w:rPr>
        <w:t>宿迁学院显微镜及其他光学跟踪测量仪等设备采购项目</w:t>
      </w:r>
      <w:r>
        <w:rPr>
          <w:rFonts w:hint="eastAsia" w:eastAsia="宋体" w:cs="Courier New"/>
          <w:color w:val="auto"/>
          <w:sz w:val="24"/>
          <w:szCs w:val="24"/>
          <w:highlight w:val="none"/>
          <w:lang w:val="en-US" w:eastAsia="zh-CN"/>
        </w:rPr>
        <w:t>，项目总预算及最高限价为</w:t>
      </w:r>
      <w:r>
        <w:rPr>
          <w:rFonts w:hint="eastAsia" w:cs="Courier New"/>
          <w:color w:val="auto"/>
          <w:sz w:val="24"/>
          <w:szCs w:val="24"/>
          <w:highlight w:val="none"/>
          <w:lang w:val="en-US" w:eastAsia="zh-CN"/>
        </w:rPr>
        <w:t>961</w:t>
      </w:r>
      <w:r>
        <w:rPr>
          <w:rFonts w:hint="eastAsia" w:eastAsia="宋体" w:cs="Courier New"/>
          <w:color w:val="auto"/>
          <w:sz w:val="24"/>
          <w:szCs w:val="24"/>
          <w:highlight w:val="none"/>
          <w:lang w:val="en-US" w:eastAsia="zh-CN"/>
        </w:rPr>
        <w:t>万元。</w:t>
      </w:r>
    </w:p>
    <w:p w14:paraId="7B1B0A04">
      <w:pPr>
        <w:spacing w:line="560" w:lineRule="exact"/>
        <w:ind w:firstLine="480"/>
        <w:outlineLvl w:val="1"/>
        <w:rPr>
          <w:rFonts w:hint="eastAsia" w:eastAsia="宋体" w:cs="Courier New"/>
          <w:b/>
          <w:bCs/>
          <w:color w:val="auto"/>
          <w:sz w:val="24"/>
          <w:szCs w:val="24"/>
          <w:highlight w:val="none"/>
          <w:lang w:val="en-US" w:eastAsia="zh-CN"/>
        </w:rPr>
      </w:pPr>
      <w:r>
        <w:rPr>
          <w:rFonts w:hint="eastAsia" w:eastAsia="宋体" w:cs="Courier New"/>
          <w:b/>
          <w:bCs/>
          <w:color w:val="auto"/>
          <w:sz w:val="24"/>
          <w:szCs w:val="24"/>
          <w:highlight w:val="none"/>
          <w:lang w:val="en-US" w:eastAsia="zh-CN"/>
        </w:rPr>
        <w:t>二、合同履行期限、地点及要求</w:t>
      </w:r>
    </w:p>
    <w:p w14:paraId="402292DA">
      <w:pPr>
        <w:spacing w:line="560" w:lineRule="exact"/>
        <w:ind w:firstLine="480"/>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合同履行期限：</w:t>
      </w:r>
      <w:r>
        <w:rPr>
          <w:rFonts w:hint="eastAsia" w:ascii="Times New Roman" w:hAnsi="Times New Roman" w:eastAsia="宋体" w:cs="Times New Roman"/>
          <w:color w:val="auto"/>
          <w:kern w:val="0"/>
          <w:sz w:val="24"/>
          <w:highlight w:val="none"/>
        </w:rPr>
        <w:t>采购合同签订后</w:t>
      </w:r>
      <w:r>
        <w:rPr>
          <w:rFonts w:hint="eastAsia" w:eastAsia="宋体" w:cs="Times New Roman"/>
          <w:color w:val="auto"/>
          <w:kern w:val="0"/>
          <w:sz w:val="24"/>
          <w:highlight w:val="none"/>
          <w:lang w:val="en-US" w:eastAsia="zh-CN"/>
        </w:rPr>
        <w:t>6个月</w:t>
      </w:r>
      <w:r>
        <w:rPr>
          <w:rFonts w:hint="eastAsia" w:ascii="Times New Roman" w:hAnsi="Times New Roman" w:eastAsia="宋体" w:cs="Times New Roman"/>
          <w:color w:val="auto"/>
          <w:kern w:val="0"/>
          <w:sz w:val="24"/>
          <w:highlight w:val="none"/>
        </w:rPr>
        <w:t>内</w:t>
      </w:r>
      <w:r>
        <w:rPr>
          <w:rFonts w:hint="eastAsia" w:ascii="Times New Roman" w:hAnsi="Times New Roman" w:eastAsia="宋体" w:cs="Times New Roman"/>
          <w:color w:val="auto"/>
          <w:kern w:val="0"/>
          <w:sz w:val="24"/>
          <w:highlight w:val="none"/>
          <w:lang w:val="en-US" w:eastAsia="zh-CN"/>
        </w:rPr>
        <w:t>所有设备</w:t>
      </w:r>
      <w:r>
        <w:rPr>
          <w:rFonts w:hint="eastAsia" w:ascii="Times New Roman" w:hAnsi="Times New Roman" w:eastAsia="宋体" w:cs="Times New Roman"/>
          <w:color w:val="auto"/>
          <w:kern w:val="0"/>
          <w:sz w:val="24"/>
          <w:highlight w:val="none"/>
        </w:rPr>
        <w:t>安装调试完毕</w:t>
      </w:r>
      <w:r>
        <w:rPr>
          <w:rFonts w:hint="eastAsia" w:eastAsia="宋体" w:cs="Courier New"/>
          <w:color w:val="auto"/>
          <w:sz w:val="24"/>
          <w:szCs w:val="24"/>
          <w:highlight w:val="none"/>
          <w:lang w:val="en-US" w:eastAsia="zh-CN"/>
        </w:rPr>
        <w:t>。</w:t>
      </w:r>
    </w:p>
    <w:p w14:paraId="1C1864C1">
      <w:pPr>
        <w:spacing w:line="560" w:lineRule="exact"/>
        <w:ind w:firstLine="480"/>
        <w:rPr>
          <w:rFonts w:hint="eastAsia" w:eastAsia="宋体" w:cs="Courier New"/>
          <w:color w:val="auto"/>
          <w:sz w:val="24"/>
          <w:szCs w:val="24"/>
          <w:highlight w:val="none"/>
          <w:lang w:val="en-US" w:eastAsia="zh-CN"/>
        </w:rPr>
      </w:pPr>
      <w:r>
        <w:rPr>
          <w:rFonts w:ascii="Times New Roman" w:hAnsi="Times New Roman" w:eastAsia="宋体" w:cs="Times New Roman"/>
          <w:color w:val="auto"/>
          <w:sz w:val="24"/>
          <w:szCs w:val="24"/>
          <w:highlight w:val="none"/>
        </w:rPr>
        <w:t>免费</w:t>
      </w:r>
      <w:r>
        <w:rPr>
          <w:rFonts w:hint="eastAsia" w:eastAsia="宋体" w:cs="Times New Roman"/>
          <w:color w:val="auto"/>
          <w:sz w:val="24"/>
          <w:szCs w:val="24"/>
          <w:highlight w:val="none"/>
          <w:lang w:val="en-US" w:eastAsia="zh-CN"/>
        </w:rPr>
        <w:t>质保期</w:t>
      </w:r>
      <w:r>
        <w:rPr>
          <w:rFonts w:hint="eastAsia" w:ascii="Times New Roman" w:hAnsi="Times New Roman" w:eastAsia="宋体" w:cs="Times New Roman"/>
          <w:color w:val="auto"/>
          <w:kern w:val="0"/>
          <w:sz w:val="24"/>
          <w:highlight w:val="none"/>
        </w:rPr>
        <w:t>：</w:t>
      </w:r>
      <w:r>
        <w:rPr>
          <w:rFonts w:hint="eastAsia" w:ascii="Times New Roman" w:hAnsi="Times New Roman" w:eastAsia="宋体" w:cs="Times New Roman"/>
          <w:color w:val="auto"/>
          <w:kern w:val="0"/>
          <w:sz w:val="24"/>
          <w:szCs w:val="21"/>
          <w:highlight w:val="none"/>
          <w:lang w:val="en-US" w:eastAsia="zh-CN"/>
        </w:rPr>
        <w:t>按照厂家提供的免费保修期年限执行（最低不少于1</w:t>
      </w:r>
      <w:r>
        <w:rPr>
          <w:rFonts w:hint="eastAsia" w:ascii="Times New Roman" w:hAnsi="Times New Roman" w:eastAsia="宋体" w:cs="Times New Roman"/>
          <w:color w:val="auto"/>
          <w:kern w:val="0"/>
          <w:sz w:val="24"/>
          <w:szCs w:val="21"/>
          <w:highlight w:val="none"/>
        </w:rPr>
        <w:t>年</w:t>
      </w:r>
      <w:r>
        <w:rPr>
          <w:rFonts w:hint="eastAsia" w:ascii="Times New Roman" w:hAnsi="Times New Roman" w:eastAsia="宋体" w:cs="Times New Roman"/>
          <w:color w:val="auto"/>
          <w:kern w:val="0"/>
          <w:sz w:val="24"/>
          <w:szCs w:val="21"/>
          <w:highlight w:val="none"/>
          <w:lang w:val="en-US" w:eastAsia="zh-CN"/>
        </w:rPr>
        <w:t>）</w:t>
      </w:r>
      <w:r>
        <w:rPr>
          <w:rFonts w:hint="eastAsia" w:ascii="Times New Roman" w:hAnsi="Times New Roman" w:eastAsia="宋体" w:cs="Times New Roman"/>
          <w:color w:val="auto"/>
          <w:kern w:val="0"/>
          <w:sz w:val="24"/>
          <w:szCs w:val="21"/>
          <w:highlight w:val="none"/>
        </w:rPr>
        <w:t>，自项目验收合格之日起</w:t>
      </w:r>
      <w:r>
        <w:rPr>
          <w:rFonts w:hint="eastAsia" w:ascii="Times New Roman" w:hAnsi="Times New Roman" w:eastAsia="宋体" w:cs="Times New Roman"/>
          <w:color w:val="auto"/>
          <w:kern w:val="0"/>
          <w:sz w:val="24"/>
          <w:szCs w:val="21"/>
          <w:highlight w:val="none"/>
          <w:lang w:eastAsia="zh-CN"/>
        </w:rPr>
        <w:t>。</w:t>
      </w:r>
    </w:p>
    <w:p w14:paraId="7E16D3B9">
      <w:pPr>
        <w:spacing w:line="560" w:lineRule="exact"/>
        <w:ind w:firstLine="480"/>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供货地点：采购人指定地点。</w:t>
      </w:r>
    </w:p>
    <w:p w14:paraId="536F829C">
      <w:pPr>
        <w:spacing w:line="560" w:lineRule="exact"/>
        <w:ind w:firstLine="480"/>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质量要求：合格；提供的产品性能及质量有国家标准的应符合国家标准。无国家标准的应符合行业标准或企业标准，并满足招标文件要求，实现投标文件承诺条款。</w:t>
      </w:r>
    </w:p>
    <w:p w14:paraId="793A5D44">
      <w:pPr>
        <w:spacing w:line="560" w:lineRule="exact"/>
        <w:ind w:firstLine="480"/>
        <w:outlineLvl w:val="1"/>
        <w:rPr>
          <w:rFonts w:hint="eastAsia" w:eastAsia="宋体" w:cs="Courier New"/>
          <w:b/>
          <w:bCs/>
          <w:color w:val="auto"/>
          <w:sz w:val="24"/>
          <w:szCs w:val="24"/>
          <w:highlight w:val="none"/>
          <w:lang w:val="en-US" w:eastAsia="zh-CN"/>
        </w:rPr>
      </w:pPr>
      <w:r>
        <w:rPr>
          <w:rFonts w:hint="eastAsia" w:eastAsia="宋体" w:cs="Courier New"/>
          <w:b/>
          <w:bCs/>
          <w:color w:val="auto"/>
          <w:sz w:val="24"/>
          <w:szCs w:val="24"/>
          <w:highlight w:val="none"/>
          <w:lang w:val="en-US" w:eastAsia="zh-CN"/>
        </w:rPr>
        <w:t>三、付款方式</w:t>
      </w:r>
    </w:p>
    <w:p w14:paraId="6E94D075">
      <w:pPr>
        <w:spacing w:line="560" w:lineRule="exact"/>
        <w:ind w:firstLine="480"/>
        <w:rPr>
          <w:rFonts w:hint="eastAsia" w:ascii="Times New Roman" w:hAnsi="Times New Roman" w:eastAsia="宋体" w:cs="Times New Roman"/>
          <w:b/>
          <w:bCs/>
          <w:color w:val="auto"/>
          <w:kern w:val="0"/>
          <w:sz w:val="24"/>
          <w:szCs w:val="21"/>
          <w:highlight w:val="none"/>
        </w:rPr>
      </w:pPr>
      <w:r>
        <w:rPr>
          <w:rFonts w:hint="eastAsia" w:ascii="Times New Roman" w:hAnsi="Times New Roman" w:eastAsia="宋体" w:cs="Times New Roman"/>
          <w:color w:val="auto"/>
          <w:kern w:val="0"/>
          <w:sz w:val="24"/>
          <w:szCs w:val="21"/>
          <w:highlight w:val="none"/>
        </w:rPr>
        <w:t>采购合同签订后收到</w:t>
      </w:r>
      <w:r>
        <w:rPr>
          <w:rFonts w:hint="eastAsia" w:ascii="Times New Roman" w:hAnsi="Times New Roman" w:cs="Times New Roman"/>
          <w:color w:val="auto"/>
          <w:kern w:val="0"/>
          <w:sz w:val="24"/>
          <w:szCs w:val="21"/>
          <w:highlight w:val="none"/>
          <w:lang w:val="en-US" w:eastAsia="zh-CN"/>
        </w:rPr>
        <w:t>中标</w:t>
      </w:r>
      <w:r>
        <w:rPr>
          <w:rFonts w:hint="eastAsia" w:ascii="Times New Roman" w:hAnsi="Times New Roman" w:eastAsia="宋体" w:cs="Times New Roman"/>
          <w:color w:val="auto"/>
          <w:kern w:val="0"/>
          <w:sz w:val="24"/>
          <w:szCs w:val="21"/>
          <w:highlight w:val="none"/>
        </w:rPr>
        <w:t>供应商发票10</w:t>
      </w:r>
      <w:r>
        <w:rPr>
          <w:rFonts w:hint="eastAsia" w:ascii="Times New Roman" w:hAnsi="Times New Roman" w:eastAsia="宋体" w:cs="Times New Roman"/>
          <w:color w:val="auto"/>
          <w:kern w:val="0"/>
          <w:sz w:val="24"/>
          <w:szCs w:val="21"/>
          <w:highlight w:val="none"/>
          <w:lang w:val="en-US" w:eastAsia="zh-CN"/>
        </w:rPr>
        <w:t>个</w:t>
      </w:r>
      <w:r>
        <w:rPr>
          <w:rFonts w:hint="eastAsia" w:ascii="Times New Roman" w:hAnsi="Times New Roman" w:eastAsia="宋体" w:cs="Times New Roman"/>
          <w:color w:val="auto"/>
          <w:kern w:val="0"/>
          <w:sz w:val="24"/>
          <w:szCs w:val="21"/>
          <w:highlight w:val="none"/>
        </w:rPr>
        <w:t>工作日内付合同金额的</w:t>
      </w:r>
      <w:r>
        <w:rPr>
          <w:rFonts w:hint="eastAsia" w:ascii="Times New Roman" w:hAnsi="Times New Roman" w:eastAsia="宋体" w:cs="Times New Roman"/>
          <w:color w:val="auto"/>
          <w:kern w:val="0"/>
          <w:sz w:val="24"/>
          <w:szCs w:val="21"/>
          <w:highlight w:val="none"/>
          <w:lang w:val="en-US" w:eastAsia="zh-CN"/>
        </w:rPr>
        <w:t>3</w:t>
      </w:r>
      <w:r>
        <w:rPr>
          <w:rFonts w:hint="eastAsia" w:ascii="Times New Roman" w:hAnsi="Times New Roman" w:eastAsia="宋体" w:cs="Times New Roman"/>
          <w:color w:val="auto"/>
          <w:kern w:val="0"/>
          <w:sz w:val="24"/>
          <w:szCs w:val="21"/>
          <w:highlight w:val="none"/>
        </w:rPr>
        <w:t>0%</w:t>
      </w:r>
      <w:r>
        <w:rPr>
          <w:rFonts w:hint="eastAsia" w:ascii="Times New Roman" w:hAnsi="Times New Roman" w:eastAsia="宋体" w:cs="Times New Roman"/>
          <w:color w:val="auto"/>
          <w:kern w:val="0"/>
          <w:sz w:val="24"/>
          <w:szCs w:val="21"/>
          <w:highlight w:val="none"/>
          <w:lang w:val="en-US" w:eastAsia="zh-CN"/>
        </w:rPr>
        <w:t>作为</w:t>
      </w:r>
      <w:r>
        <w:rPr>
          <w:rFonts w:hint="eastAsia" w:ascii="Times New Roman" w:hAnsi="Times New Roman" w:eastAsia="宋体" w:cs="Times New Roman"/>
          <w:color w:val="auto"/>
          <w:kern w:val="0"/>
          <w:sz w:val="24"/>
          <w:szCs w:val="21"/>
          <w:highlight w:val="none"/>
        </w:rPr>
        <w:t>预付款；</w:t>
      </w:r>
      <w:r>
        <w:rPr>
          <w:rFonts w:hint="eastAsia" w:ascii="Times New Roman" w:hAnsi="Times New Roman" w:eastAsia="宋体" w:cs="Times New Roman"/>
          <w:b w:val="0"/>
          <w:bCs/>
          <w:caps w:val="0"/>
          <w:color w:val="auto"/>
          <w:kern w:val="2"/>
          <w:sz w:val="24"/>
          <w:szCs w:val="21"/>
          <w:highlight w:val="none"/>
          <w:u w:val="none"/>
          <w:lang w:val="en-US" w:eastAsia="zh-CN"/>
        </w:rPr>
        <w:t>货物完成安装调试经验收合格后付清合同价款。</w:t>
      </w:r>
      <w:r>
        <w:rPr>
          <w:rFonts w:hint="eastAsia" w:ascii="Times New Roman" w:hAnsi="Times New Roman" w:eastAsia="宋体" w:cs="Times New Roman"/>
          <w:color w:val="auto"/>
          <w:kern w:val="0"/>
          <w:sz w:val="24"/>
          <w:szCs w:val="21"/>
          <w:highlight w:val="none"/>
        </w:rPr>
        <w:t>对于满足合同约定支付条件的，自收到发票后10个工作日内将资金支付到合同约定的投标人账户或投标人数字人民币账户。</w:t>
      </w:r>
    </w:p>
    <w:p w14:paraId="03BB03CD">
      <w:pPr>
        <w:spacing w:line="560" w:lineRule="exact"/>
        <w:ind w:firstLine="480"/>
        <w:rPr>
          <w:rFonts w:hint="eastAsia" w:ascii="Times New Roman" w:hAnsi="Times New Roman" w:eastAsia="宋体" w:cs="Times New Roman"/>
          <w:color w:val="auto"/>
          <w:kern w:val="0"/>
          <w:sz w:val="24"/>
          <w:szCs w:val="21"/>
          <w:highlight w:val="none"/>
        </w:rPr>
      </w:pPr>
      <w:r>
        <w:rPr>
          <w:rFonts w:hint="eastAsia" w:ascii="Times New Roman" w:hAnsi="Times New Roman" w:eastAsia="宋体" w:cs="Times New Roman"/>
          <w:color w:val="auto"/>
          <w:kern w:val="0"/>
          <w:sz w:val="24"/>
          <w:szCs w:val="21"/>
          <w:highlight w:val="none"/>
        </w:rPr>
        <w:t>注：数字人民币为合同价款支付的一种方式。在签订合同时，中标人明确表示无需预付款或者主动要求降低预付款比例的金额，采购人可不适用预付款规定。</w:t>
      </w:r>
    </w:p>
    <w:p w14:paraId="228A0B10">
      <w:pPr>
        <w:spacing w:line="560" w:lineRule="exact"/>
        <w:ind w:firstLine="480"/>
        <w:outlineLvl w:val="1"/>
        <w:rPr>
          <w:rFonts w:hint="eastAsia" w:eastAsia="宋体" w:cs="Courier New"/>
          <w:b/>
          <w:bCs/>
          <w:color w:val="auto"/>
          <w:sz w:val="24"/>
          <w:szCs w:val="24"/>
          <w:highlight w:val="none"/>
          <w:lang w:val="en-US" w:eastAsia="zh-CN"/>
        </w:rPr>
      </w:pPr>
    </w:p>
    <w:p w14:paraId="7992CFAC">
      <w:pPr>
        <w:spacing w:line="560" w:lineRule="exact"/>
        <w:ind w:firstLine="480"/>
        <w:outlineLvl w:val="1"/>
        <w:rPr>
          <w:rFonts w:hint="eastAsia" w:eastAsia="宋体" w:cs="Courier New"/>
          <w:b/>
          <w:bCs/>
          <w:color w:val="auto"/>
          <w:sz w:val="24"/>
          <w:szCs w:val="24"/>
          <w:highlight w:val="none"/>
          <w:lang w:val="en-US" w:eastAsia="zh-CN"/>
        </w:rPr>
      </w:pPr>
    </w:p>
    <w:p w14:paraId="0CFAA51D">
      <w:pPr>
        <w:spacing w:line="560" w:lineRule="exact"/>
        <w:ind w:firstLine="480"/>
        <w:outlineLvl w:val="1"/>
        <w:rPr>
          <w:rFonts w:hint="eastAsia" w:eastAsia="宋体" w:cs="Courier New"/>
          <w:b/>
          <w:bCs/>
          <w:color w:val="auto"/>
          <w:sz w:val="24"/>
          <w:szCs w:val="24"/>
          <w:highlight w:val="none"/>
          <w:lang w:val="en-US" w:eastAsia="zh-CN"/>
        </w:rPr>
      </w:pPr>
    </w:p>
    <w:p w14:paraId="0EA80539">
      <w:pPr>
        <w:spacing w:line="560" w:lineRule="exact"/>
        <w:ind w:firstLine="480"/>
        <w:outlineLvl w:val="1"/>
        <w:rPr>
          <w:rFonts w:hint="eastAsia" w:eastAsia="宋体" w:cs="Courier New"/>
          <w:b/>
          <w:bCs/>
          <w:color w:val="auto"/>
          <w:sz w:val="24"/>
          <w:szCs w:val="24"/>
          <w:highlight w:val="none"/>
          <w:lang w:val="en-US" w:eastAsia="zh-CN"/>
        </w:rPr>
      </w:pPr>
      <w:r>
        <w:rPr>
          <w:rFonts w:hint="eastAsia" w:eastAsia="宋体" w:cs="Courier New"/>
          <w:b/>
          <w:bCs/>
          <w:color w:val="auto"/>
          <w:sz w:val="24"/>
          <w:szCs w:val="24"/>
          <w:highlight w:val="none"/>
          <w:lang w:val="en-US" w:eastAsia="zh-CN"/>
        </w:rPr>
        <w:t>四、采购清单</w:t>
      </w:r>
    </w:p>
    <w:tbl>
      <w:tblPr>
        <w:tblStyle w:val="30"/>
        <w:tblW w:w="50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3"/>
        <w:gridCol w:w="3083"/>
        <w:gridCol w:w="1129"/>
        <w:gridCol w:w="1202"/>
        <w:gridCol w:w="2268"/>
        <w:gridCol w:w="1073"/>
      </w:tblGrid>
      <w:tr w14:paraId="4E2E4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743" w:type="dxa"/>
            <w:noWrap w:val="0"/>
            <w:vAlign w:val="center"/>
          </w:tcPr>
          <w:p w14:paraId="7A1C37E6">
            <w:pPr>
              <w:jc w:val="center"/>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序号</w:t>
            </w:r>
          </w:p>
        </w:tc>
        <w:tc>
          <w:tcPr>
            <w:tcW w:w="3083" w:type="dxa"/>
            <w:noWrap w:val="0"/>
            <w:vAlign w:val="center"/>
          </w:tcPr>
          <w:p w14:paraId="3DC8F604">
            <w:pPr>
              <w:ind w:left="409" w:leftChars="195"/>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采购产品名称</w:t>
            </w:r>
          </w:p>
        </w:tc>
        <w:tc>
          <w:tcPr>
            <w:tcW w:w="1129" w:type="dxa"/>
            <w:noWrap w:val="0"/>
            <w:vAlign w:val="center"/>
          </w:tcPr>
          <w:p w14:paraId="0E6DA726">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数量</w:t>
            </w:r>
          </w:p>
        </w:tc>
        <w:tc>
          <w:tcPr>
            <w:tcW w:w="1202" w:type="dxa"/>
            <w:noWrap w:val="0"/>
            <w:vAlign w:val="center"/>
          </w:tcPr>
          <w:p w14:paraId="28367CB0">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单位</w:t>
            </w:r>
          </w:p>
        </w:tc>
        <w:tc>
          <w:tcPr>
            <w:tcW w:w="2268" w:type="dxa"/>
            <w:noWrap w:val="0"/>
            <w:vAlign w:val="center"/>
          </w:tcPr>
          <w:p w14:paraId="42F3651F">
            <w:pPr>
              <w:jc w:val="center"/>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rPr>
              <w:t>是否接受进口</w:t>
            </w:r>
            <w:r>
              <w:rPr>
                <w:rFonts w:hint="eastAsia" w:ascii="Times New Roman" w:hAnsi="Times New Roman" w:eastAsia="宋体" w:cs="Times New Roman"/>
                <w:color w:val="auto"/>
                <w:kern w:val="2"/>
                <w:sz w:val="24"/>
                <w:szCs w:val="24"/>
                <w:highlight w:val="none"/>
                <w:lang w:val="en-US" w:eastAsia="zh-CN"/>
              </w:rPr>
              <w:t>产品</w:t>
            </w:r>
          </w:p>
        </w:tc>
        <w:tc>
          <w:tcPr>
            <w:tcW w:w="1073" w:type="dxa"/>
            <w:noWrap w:val="0"/>
            <w:vAlign w:val="center"/>
          </w:tcPr>
          <w:p w14:paraId="3F49923F">
            <w:pPr>
              <w:jc w:val="center"/>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是否核心产品</w:t>
            </w:r>
          </w:p>
        </w:tc>
      </w:tr>
      <w:tr w14:paraId="0196D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4" w:hRule="atLeast"/>
        </w:trPr>
        <w:tc>
          <w:tcPr>
            <w:tcW w:w="743" w:type="dxa"/>
            <w:noWrap w:val="0"/>
            <w:vAlign w:val="center"/>
          </w:tcPr>
          <w:p w14:paraId="22CC359D">
            <w:pPr>
              <w:jc w:val="center"/>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1</w:t>
            </w:r>
          </w:p>
        </w:tc>
        <w:tc>
          <w:tcPr>
            <w:tcW w:w="3083" w:type="dxa"/>
            <w:noWrap w:val="0"/>
            <w:vAlign w:val="center"/>
          </w:tcPr>
          <w:p w14:paraId="5013D18F">
            <w:pPr>
              <w:jc w:val="center"/>
              <w:rPr>
                <w:rFonts w:hint="eastAsia"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场发射扫描电子显微镜</w:t>
            </w:r>
          </w:p>
        </w:tc>
        <w:tc>
          <w:tcPr>
            <w:tcW w:w="1129" w:type="dxa"/>
            <w:noWrap w:val="0"/>
            <w:vAlign w:val="center"/>
          </w:tcPr>
          <w:p w14:paraId="55206EF5">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1</w:t>
            </w:r>
          </w:p>
        </w:tc>
        <w:tc>
          <w:tcPr>
            <w:tcW w:w="1202" w:type="dxa"/>
            <w:noWrap w:val="0"/>
            <w:vAlign w:val="center"/>
          </w:tcPr>
          <w:p w14:paraId="590ACD2B">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套</w:t>
            </w:r>
          </w:p>
        </w:tc>
        <w:tc>
          <w:tcPr>
            <w:tcW w:w="2268" w:type="dxa"/>
            <w:noWrap w:val="0"/>
            <w:vAlign w:val="center"/>
          </w:tcPr>
          <w:p w14:paraId="44D48820">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接受进口</w:t>
            </w:r>
            <w:r>
              <w:rPr>
                <w:rFonts w:hint="eastAsia" w:ascii="Times New Roman" w:hAnsi="Times New Roman" w:eastAsia="宋体" w:cs="Times New Roman"/>
                <w:color w:val="auto"/>
                <w:kern w:val="2"/>
                <w:sz w:val="24"/>
                <w:szCs w:val="24"/>
                <w:highlight w:val="none"/>
                <w:lang w:val="en-US" w:eastAsia="zh-CN"/>
              </w:rPr>
              <w:t>产品</w:t>
            </w:r>
          </w:p>
        </w:tc>
        <w:tc>
          <w:tcPr>
            <w:tcW w:w="1073" w:type="dxa"/>
            <w:noWrap w:val="0"/>
            <w:vAlign w:val="center"/>
          </w:tcPr>
          <w:p w14:paraId="2F45C7E1">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sz w:val="24"/>
                <w:szCs w:val="24"/>
                <w:highlight w:val="none"/>
                <w:lang w:val="en-US" w:eastAsia="zh-CN"/>
              </w:rPr>
              <w:t>是</w:t>
            </w:r>
          </w:p>
        </w:tc>
      </w:tr>
      <w:tr w14:paraId="5FBD9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743" w:type="dxa"/>
            <w:noWrap w:val="0"/>
            <w:vAlign w:val="center"/>
          </w:tcPr>
          <w:p w14:paraId="4A470973">
            <w:pPr>
              <w:jc w:val="center"/>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2</w:t>
            </w:r>
          </w:p>
        </w:tc>
        <w:tc>
          <w:tcPr>
            <w:tcW w:w="3083" w:type="dxa"/>
            <w:noWrap w:val="0"/>
            <w:vAlign w:val="center"/>
          </w:tcPr>
          <w:p w14:paraId="4AE845B8">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离子抛光仪</w:t>
            </w:r>
          </w:p>
        </w:tc>
        <w:tc>
          <w:tcPr>
            <w:tcW w:w="1129" w:type="dxa"/>
            <w:noWrap w:val="0"/>
            <w:vAlign w:val="center"/>
          </w:tcPr>
          <w:p w14:paraId="185AADFB">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1</w:t>
            </w:r>
          </w:p>
        </w:tc>
        <w:tc>
          <w:tcPr>
            <w:tcW w:w="1202" w:type="dxa"/>
            <w:noWrap w:val="0"/>
            <w:vAlign w:val="center"/>
          </w:tcPr>
          <w:p w14:paraId="7E49F631">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套</w:t>
            </w:r>
          </w:p>
        </w:tc>
        <w:tc>
          <w:tcPr>
            <w:tcW w:w="2268" w:type="dxa"/>
            <w:noWrap w:val="0"/>
            <w:vAlign w:val="center"/>
          </w:tcPr>
          <w:p w14:paraId="721F62DF">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接受进口</w:t>
            </w:r>
            <w:r>
              <w:rPr>
                <w:rFonts w:hint="eastAsia" w:ascii="Times New Roman" w:hAnsi="Times New Roman" w:eastAsia="宋体" w:cs="Times New Roman"/>
                <w:color w:val="auto"/>
                <w:kern w:val="2"/>
                <w:sz w:val="24"/>
                <w:szCs w:val="24"/>
                <w:highlight w:val="none"/>
                <w:lang w:val="en-US" w:eastAsia="zh-CN"/>
              </w:rPr>
              <w:t>产品</w:t>
            </w:r>
          </w:p>
        </w:tc>
        <w:tc>
          <w:tcPr>
            <w:tcW w:w="1073" w:type="dxa"/>
            <w:noWrap w:val="0"/>
            <w:vAlign w:val="center"/>
          </w:tcPr>
          <w:p w14:paraId="4849DB35">
            <w:pPr>
              <w:jc w:val="center"/>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cs="Times New Roman"/>
                <w:color w:val="auto"/>
                <w:kern w:val="2"/>
                <w:sz w:val="24"/>
                <w:szCs w:val="24"/>
                <w:highlight w:val="none"/>
                <w:lang w:val="en-US" w:eastAsia="zh-CN"/>
              </w:rPr>
              <w:t>否</w:t>
            </w:r>
          </w:p>
        </w:tc>
      </w:tr>
      <w:tr w14:paraId="38288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743" w:type="dxa"/>
            <w:noWrap w:val="0"/>
            <w:vAlign w:val="center"/>
          </w:tcPr>
          <w:p w14:paraId="75DD690F">
            <w:pPr>
              <w:jc w:val="center"/>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3</w:t>
            </w:r>
          </w:p>
        </w:tc>
        <w:tc>
          <w:tcPr>
            <w:tcW w:w="3083" w:type="dxa"/>
            <w:noWrap w:val="0"/>
            <w:vAlign w:val="center"/>
          </w:tcPr>
          <w:p w14:paraId="5ADF0003">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原子力显微镜</w:t>
            </w:r>
          </w:p>
        </w:tc>
        <w:tc>
          <w:tcPr>
            <w:tcW w:w="1129" w:type="dxa"/>
            <w:noWrap w:val="0"/>
            <w:vAlign w:val="center"/>
          </w:tcPr>
          <w:p w14:paraId="01256285">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1</w:t>
            </w:r>
          </w:p>
        </w:tc>
        <w:tc>
          <w:tcPr>
            <w:tcW w:w="1202" w:type="dxa"/>
            <w:noWrap w:val="0"/>
            <w:vAlign w:val="center"/>
          </w:tcPr>
          <w:p w14:paraId="66A6CC83">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台</w:t>
            </w:r>
          </w:p>
        </w:tc>
        <w:tc>
          <w:tcPr>
            <w:tcW w:w="2268" w:type="dxa"/>
            <w:noWrap w:val="0"/>
            <w:vAlign w:val="center"/>
          </w:tcPr>
          <w:p w14:paraId="40BE296F">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接受进口</w:t>
            </w:r>
            <w:r>
              <w:rPr>
                <w:rFonts w:hint="eastAsia" w:ascii="Times New Roman" w:hAnsi="Times New Roman" w:eastAsia="宋体" w:cs="Times New Roman"/>
                <w:color w:val="auto"/>
                <w:kern w:val="2"/>
                <w:sz w:val="24"/>
                <w:szCs w:val="24"/>
                <w:highlight w:val="none"/>
                <w:lang w:val="en-US" w:eastAsia="zh-CN"/>
              </w:rPr>
              <w:t>产品</w:t>
            </w:r>
          </w:p>
        </w:tc>
        <w:tc>
          <w:tcPr>
            <w:tcW w:w="1073" w:type="dxa"/>
            <w:noWrap w:val="0"/>
            <w:vAlign w:val="center"/>
          </w:tcPr>
          <w:p w14:paraId="38BF2735">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cs="Times New Roman"/>
                <w:color w:val="auto"/>
                <w:kern w:val="2"/>
                <w:sz w:val="24"/>
                <w:szCs w:val="24"/>
                <w:highlight w:val="none"/>
                <w:lang w:val="en-US" w:eastAsia="zh-CN"/>
              </w:rPr>
              <w:t>否</w:t>
            </w:r>
          </w:p>
        </w:tc>
      </w:tr>
      <w:tr w14:paraId="043C4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743" w:type="dxa"/>
            <w:noWrap w:val="0"/>
            <w:vAlign w:val="center"/>
          </w:tcPr>
          <w:p w14:paraId="2177D833">
            <w:pPr>
              <w:jc w:val="center"/>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4</w:t>
            </w:r>
          </w:p>
        </w:tc>
        <w:tc>
          <w:tcPr>
            <w:tcW w:w="3083" w:type="dxa"/>
            <w:noWrap w:val="0"/>
            <w:vAlign w:val="center"/>
          </w:tcPr>
          <w:p w14:paraId="26624253">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X射线衍射仪</w:t>
            </w:r>
          </w:p>
        </w:tc>
        <w:tc>
          <w:tcPr>
            <w:tcW w:w="1129" w:type="dxa"/>
            <w:noWrap w:val="0"/>
            <w:vAlign w:val="center"/>
          </w:tcPr>
          <w:p w14:paraId="4DFED920">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1</w:t>
            </w:r>
          </w:p>
        </w:tc>
        <w:tc>
          <w:tcPr>
            <w:tcW w:w="1202" w:type="dxa"/>
            <w:noWrap w:val="0"/>
            <w:vAlign w:val="center"/>
          </w:tcPr>
          <w:p w14:paraId="07272569">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台</w:t>
            </w:r>
          </w:p>
        </w:tc>
        <w:tc>
          <w:tcPr>
            <w:tcW w:w="2268" w:type="dxa"/>
            <w:noWrap w:val="0"/>
            <w:vAlign w:val="center"/>
          </w:tcPr>
          <w:p w14:paraId="5EC0DEBE">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接受进口产品</w:t>
            </w:r>
          </w:p>
        </w:tc>
        <w:tc>
          <w:tcPr>
            <w:tcW w:w="1073" w:type="dxa"/>
            <w:noWrap w:val="0"/>
            <w:vAlign w:val="center"/>
          </w:tcPr>
          <w:p w14:paraId="208B57FD">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cs="Times New Roman"/>
                <w:color w:val="auto"/>
                <w:kern w:val="2"/>
                <w:sz w:val="24"/>
                <w:szCs w:val="24"/>
                <w:highlight w:val="none"/>
                <w:lang w:val="en-US" w:eastAsia="zh-CN"/>
              </w:rPr>
              <w:t>否</w:t>
            </w:r>
          </w:p>
        </w:tc>
      </w:tr>
      <w:tr w14:paraId="5BD4E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743" w:type="dxa"/>
            <w:noWrap w:val="0"/>
            <w:vAlign w:val="center"/>
          </w:tcPr>
          <w:p w14:paraId="6C730775">
            <w:pPr>
              <w:jc w:val="center"/>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5</w:t>
            </w:r>
          </w:p>
        </w:tc>
        <w:tc>
          <w:tcPr>
            <w:tcW w:w="3083" w:type="dxa"/>
            <w:noWrap w:val="0"/>
            <w:vAlign w:val="center"/>
          </w:tcPr>
          <w:p w14:paraId="7D292FE6">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纳米粒度及zeta 电位分析仪</w:t>
            </w:r>
          </w:p>
        </w:tc>
        <w:tc>
          <w:tcPr>
            <w:tcW w:w="1129" w:type="dxa"/>
            <w:noWrap w:val="0"/>
            <w:vAlign w:val="center"/>
          </w:tcPr>
          <w:p w14:paraId="75DA336B">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1</w:t>
            </w:r>
          </w:p>
        </w:tc>
        <w:tc>
          <w:tcPr>
            <w:tcW w:w="1202" w:type="dxa"/>
            <w:noWrap w:val="0"/>
            <w:vAlign w:val="center"/>
          </w:tcPr>
          <w:p w14:paraId="727CCC90">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台</w:t>
            </w:r>
          </w:p>
        </w:tc>
        <w:tc>
          <w:tcPr>
            <w:tcW w:w="2268" w:type="dxa"/>
            <w:noWrap w:val="0"/>
            <w:vAlign w:val="center"/>
          </w:tcPr>
          <w:p w14:paraId="09D294C4">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接受进口产品</w:t>
            </w:r>
          </w:p>
        </w:tc>
        <w:tc>
          <w:tcPr>
            <w:tcW w:w="1073" w:type="dxa"/>
            <w:noWrap w:val="0"/>
            <w:vAlign w:val="center"/>
          </w:tcPr>
          <w:p w14:paraId="25E3572F">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cs="Times New Roman"/>
                <w:color w:val="auto"/>
                <w:kern w:val="2"/>
                <w:sz w:val="24"/>
                <w:szCs w:val="24"/>
                <w:highlight w:val="none"/>
                <w:lang w:val="en-US" w:eastAsia="zh-CN"/>
              </w:rPr>
              <w:t>否</w:t>
            </w:r>
          </w:p>
        </w:tc>
      </w:tr>
      <w:tr w14:paraId="5D9C6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743" w:type="dxa"/>
            <w:noWrap w:val="0"/>
            <w:vAlign w:val="center"/>
          </w:tcPr>
          <w:p w14:paraId="1C57F3C4">
            <w:pPr>
              <w:jc w:val="center"/>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6</w:t>
            </w:r>
          </w:p>
        </w:tc>
        <w:tc>
          <w:tcPr>
            <w:tcW w:w="3083" w:type="dxa"/>
            <w:noWrap w:val="0"/>
            <w:vAlign w:val="center"/>
          </w:tcPr>
          <w:p w14:paraId="5741B7EB">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可控温薄膜拉伸试验机</w:t>
            </w:r>
          </w:p>
        </w:tc>
        <w:tc>
          <w:tcPr>
            <w:tcW w:w="1129" w:type="dxa"/>
            <w:noWrap w:val="0"/>
            <w:vAlign w:val="center"/>
          </w:tcPr>
          <w:p w14:paraId="2567C87B">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1</w:t>
            </w:r>
          </w:p>
        </w:tc>
        <w:tc>
          <w:tcPr>
            <w:tcW w:w="1202" w:type="dxa"/>
            <w:noWrap w:val="0"/>
            <w:vAlign w:val="center"/>
          </w:tcPr>
          <w:p w14:paraId="5EB55DE2">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台</w:t>
            </w:r>
          </w:p>
        </w:tc>
        <w:tc>
          <w:tcPr>
            <w:tcW w:w="2268" w:type="dxa"/>
            <w:noWrap w:val="0"/>
            <w:vAlign w:val="center"/>
          </w:tcPr>
          <w:p w14:paraId="2A3337A4">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接受进口产品</w:t>
            </w:r>
          </w:p>
        </w:tc>
        <w:tc>
          <w:tcPr>
            <w:tcW w:w="1073" w:type="dxa"/>
            <w:noWrap w:val="0"/>
            <w:vAlign w:val="center"/>
          </w:tcPr>
          <w:p w14:paraId="12AB4A91">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cs="Times New Roman"/>
                <w:color w:val="auto"/>
                <w:kern w:val="2"/>
                <w:sz w:val="24"/>
                <w:szCs w:val="24"/>
                <w:highlight w:val="none"/>
                <w:lang w:val="en-US" w:eastAsia="zh-CN"/>
              </w:rPr>
              <w:t>否</w:t>
            </w:r>
          </w:p>
        </w:tc>
      </w:tr>
      <w:tr w14:paraId="4D7B3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743" w:type="dxa"/>
            <w:noWrap w:val="0"/>
            <w:vAlign w:val="center"/>
          </w:tcPr>
          <w:p w14:paraId="1C654924">
            <w:pPr>
              <w:jc w:val="center"/>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7</w:t>
            </w:r>
          </w:p>
        </w:tc>
        <w:tc>
          <w:tcPr>
            <w:tcW w:w="3083" w:type="dxa"/>
            <w:noWrap w:val="0"/>
            <w:vAlign w:val="center"/>
          </w:tcPr>
          <w:p w14:paraId="72FF1AAA">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热重分析仪</w:t>
            </w:r>
          </w:p>
        </w:tc>
        <w:tc>
          <w:tcPr>
            <w:tcW w:w="1129" w:type="dxa"/>
            <w:noWrap w:val="0"/>
            <w:vAlign w:val="center"/>
          </w:tcPr>
          <w:p w14:paraId="2878BB2D">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1</w:t>
            </w:r>
          </w:p>
        </w:tc>
        <w:tc>
          <w:tcPr>
            <w:tcW w:w="1202" w:type="dxa"/>
            <w:noWrap w:val="0"/>
            <w:vAlign w:val="center"/>
          </w:tcPr>
          <w:p w14:paraId="5F2B71EA">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台</w:t>
            </w:r>
          </w:p>
        </w:tc>
        <w:tc>
          <w:tcPr>
            <w:tcW w:w="2268" w:type="dxa"/>
            <w:noWrap w:val="0"/>
            <w:vAlign w:val="center"/>
          </w:tcPr>
          <w:p w14:paraId="220A50C7">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rPr>
              <w:t>接受进口产品</w:t>
            </w:r>
          </w:p>
        </w:tc>
        <w:tc>
          <w:tcPr>
            <w:tcW w:w="1073" w:type="dxa"/>
            <w:noWrap w:val="0"/>
            <w:vAlign w:val="center"/>
          </w:tcPr>
          <w:p w14:paraId="49ECE5A0">
            <w:pPr>
              <w:jc w:val="center"/>
              <w:rPr>
                <w:rFonts w:hint="eastAsia" w:ascii="Times New Roman" w:hAnsi="Times New Roman" w:eastAsia="宋体" w:cs="Times New Roman"/>
                <w:color w:val="auto"/>
                <w:kern w:val="2"/>
                <w:sz w:val="24"/>
                <w:szCs w:val="24"/>
                <w:highlight w:val="none"/>
              </w:rPr>
            </w:pPr>
            <w:r>
              <w:rPr>
                <w:rFonts w:hint="eastAsia" w:ascii="Times New Roman" w:hAnsi="Times New Roman" w:cs="Times New Roman"/>
                <w:color w:val="auto"/>
                <w:kern w:val="2"/>
                <w:sz w:val="24"/>
                <w:szCs w:val="24"/>
                <w:highlight w:val="none"/>
                <w:lang w:val="en-US" w:eastAsia="zh-CN"/>
              </w:rPr>
              <w:t>否</w:t>
            </w:r>
          </w:p>
        </w:tc>
      </w:tr>
    </w:tbl>
    <w:p w14:paraId="5C345928">
      <w:pPr>
        <w:spacing w:line="560" w:lineRule="exact"/>
        <w:ind w:firstLine="480"/>
        <w:outlineLvl w:val="1"/>
        <w:rPr>
          <w:rFonts w:hint="eastAsia" w:eastAsia="宋体" w:cs="Courier New"/>
          <w:b/>
          <w:bCs/>
          <w:color w:val="auto"/>
          <w:sz w:val="24"/>
          <w:szCs w:val="24"/>
          <w:highlight w:val="none"/>
          <w:lang w:val="en-US" w:eastAsia="zh-CN"/>
        </w:rPr>
      </w:pPr>
      <w:r>
        <w:rPr>
          <w:rFonts w:hint="eastAsia" w:eastAsia="宋体" w:cs="Courier New"/>
          <w:b/>
          <w:bCs/>
          <w:color w:val="auto"/>
          <w:sz w:val="24"/>
          <w:szCs w:val="24"/>
          <w:highlight w:val="none"/>
          <w:lang w:val="en-US" w:eastAsia="zh-CN"/>
        </w:rPr>
        <w:t>五、具体技术参数要求</w:t>
      </w:r>
    </w:p>
    <w:p w14:paraId="2A1B3AC8">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（一）</w:t>
      </w:r>
      <w:r>
        <w:rPr>
          <w:rFonts w:hint="eastAsia" w:ascii="宋体" w:hAnsi="宋体" w:eastAsia="宋体" w:cs="宋体"/>
          <w:b/>
          <w:bCs/>
          <w:color w:val="auto"/>
          <w:kern w:val="2"/>
          <w:sz w:val="24"/>
          <w:szCs w:val="24"/>
          <w:highlight w:val="none"/>
        </w:rPr>
        <w:t>场发射扫描电子显微镜</w:t>
      </w:r>
      <w:r>
        <w:rPr>
          <w:rFonts w:hint="eastAsia" w:ascii="宋体" w:hAnsi="宋体" w:eastAsia="宋体" w:cs="宋体"/>
          <w:b/>
          <w:bCs/>
          <w:color w:val="auto"/>
          <w:kern w:val="2"/>
          <w:sz w:val="24"/>
          <w:szCs w:val="24"/>
          <w:highlight w:val="none"/>
          <w:lang w:val="en-US" w:eastAsia="zh-CN"/>
        </w:rPr>
        <w:t>技术</w:t>
      </w:r>
      <w:r>
        <w:rPr>
          <w:rFonts w:hint="eastAsia" w:ascii="宋体" w:hAnsi="宋体" w:eastAsia="宋体" w:cs="宋体"/>
          <w:b/>
          <w:bCs/>
          <w:color w:val="auto"/>
          <w:kern w:val="2"/>
          <w:sz w:val="24"/>
          <w:szCs w:val="24"/>
          <w:highlight w:val="none"/>
        </w:rPr>
        <w:t>参数</w:t>
      </w:r>
      <w:r>
        <w:rPr>
          <w:rFonts w:hint="eastAsia" w:ascii="宋体" w:hAnsi="宋体" w:eastAsia="宋体" w:cs="宋体"/>
          <w:b/>
          <w:bCs/>
          <w:color w:val="auto"/>
          <w:kern w:val="2"/>
          <w:sz w:val="24"/>
          <w:szCs w:val="24"/>
          <w:highlight w:val="none"/>
          <w:lang w:val="en-US" w:eastAsia="zh-CN"/>
        </w:rPr>
        <w:t>要求</w:t>
      </w:r>
    </w:p>
    <w:p w14:paraId="33D1F434">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lang w:val="en-US" w:eastAsia="zh-CN"/>
        </w:rPr>
        <w:t>1</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rPr>
        <w:t>设备主要用途、功能以及特点：</w:t>
      </w:r>
    </w:p>
    <w:p w14:paraId="3528F766">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功能描述：主要用于材料样品表面的高分辨率的微观形貌观察，样品在低加速电压下有较高分辨率，并且能对磁性材料有较高分辨率，可配备X射线能谱仪（EDS）、EBSD等附件。</w:t>
      </w:r>
    </w:p>
    <w:p w14:paraId="186A2DB4">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eastAsia="zh-CN"/>
        </w:rPr>
        <w:t>（</w:t>
      </w:r>
      <w:r>
        <w:rPr>
          <w:rFonts w:hint="eastAsia" w:ascii="宋体" w:hAnsi="宋体" w:eastAsia="宋体" w:cs="宋体"/>
          <w:bCs/>
          <w:color w:val="auto"/>
          <w:kern w:val="2"/>
          <w:sz w:val="24"/>
          <w:szCs w:val="24"/>
          <w:highlight w:val="none"/>
          <w:lang w:val="en-US" w:eastAsia="zh-CN"/>
        </w:rPr>
        <w:t>2</w:t>
      </w:r>
      <w:r>
        <w:rPr>
          <w:rFonts w:hint="eastAsia" w:ascii="宋体" w:hAnsi="宋体" w:eastAsia="宋体" w:cs="宋体"/>
          <w:bCs/>
          <w:color w:val="auto"/>
          <w:kern w:val="2"/>
          <w:sz w:val="24"/>
          <w:szCs w:val="24"/>
          <w:highlight w:val="none"/>
          <w:lang w:eastAsia="zh-CN"/>
        </w:rPr>
        <w:t>）</w:t>
      </w:r>
      <w:r>
        <w:rPr>
          <w:rFonts w:hint="eastAsia" w:ascii="宋体" w:hAnsi="宋体" w:eastAsia="宋体" w:cs="宋体"/>
          <w:b/>
          <w:bCs/>
          <w:color w:val="auto"/>
          <w:kern w:val="2"/>
          <w:sz w:val="24"/>
          <w:szCs w:val="24"/>
          <w:highlight w:val="none"/>
        </w:rPr>
        <w:t>技术指标</w:t>
      </w:r>
    </w:p>
    <w:p w14:paraId="6F6F25FE">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1、 主要技术规格</w:t>
      </w:r>
    </w:p>
    <w:p w14:paraId="0CAAE2CA">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bookmarkStart w:id="135" w:name="_Hlk42095390"/>
      <w:r>
        <w:rPr>
          <w:rFonts w:hint="eastAsia" w:ascii="宋体" w:hAnsi="宋体" w:eastAsia="宋体" w:cs="宋体"/>
          <w:b/>
          <w:bCs/>
          <w:color w:val="auto"/>
          <w:kern w:val="2"/>
          <w:sz w:val="24"/>
          <w:szCs w:val="24"/>
          <w:highlight w:val="none"/>
        </w:rPr>
        <w:t>★</w:t>
      </w:r>
      <w:bookmarkEnd w:id="135"/>
      <w:r>
        <w:rPr>
          <w:rFonts w:hint="eastAsia" w:ascii="宋体" w:hAnsi="宋体" w:eastAsia="宋体" w:cs="宋体"/>
          <w:b/>
          <w:bCs/>
          <w:color w:val="auto"/>
          <w:kern w:val="2"/>
          <w:sz w:val="24"/>
          <w:szCs w:val="24"/>
          <w:highlight w:val="none"/>
        </w:rPr>
        <w:t>1.1分辨率：</w:t>
      </w:r>
      <w:r>
        <w:rPr>
          <w:rFonts w:hint="eastAsia" w:ascii="宋体" w:hAnsi="宋体" w:eastAsia="宋体" w:cs="宋体"/>
          <w:bCs/>
          <w:color w:val="auto"/>
          <w:kern w:val="2"/>
          <w:sz w:val="24"/>
          <w:szCs w:val="24"/>
          <w:highlight w:val="none"/>
        </w:rPr>
        <w:t>二次电子图像分辨率：≤0.6 nm@15KV；≤1.1 nm@1KV</w:t>
      </w:r>
    </w:p>
    <w:p w14:paraId="7A3D8FFB">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color w:val="auto"/>
          <w:kern w:val="2"/>
          <w:sz w:val="24"/>
          <w:szCs w:val="24"/>
          <w:highlight w:val="none"/>
        </w:rPr>
        <w:t>1.2 放大倍数：</w:t>
      </w:r>
      <w:r>
        <w:rPr>
          <w:rFonts w:hint="eastAsia" w:ascii="宋体" w:hAnsi="宋体" w:eastAsia="宋体" w:cs="宋体"/>
          <w:bCs/>
          <w:color w:val="auto"/>
          <w:kern w:val="2"/>
          <w:sz w:val="24"/>
          <w:szCs w:val="24"/>
          <w:highlight w:val="none"/>
        </w:rPr>
        <w:t>×10～×2,000,000；放大倍数粗、细模式连续可调，具有随着工作距离或加速电压的变化自动精确校正、补偿、预设等功能。</w:t>
      </w:r>
    </w:p>
    <w:p w14:paraId="1C82FCDB">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color w:val="auto"/>
          <w:kern w:val="2"/>
          <w:sz w:val="24"/>
          <w:szCs w:val="24"/>
          <w:highlight w:val="none"/>
        </w:rPr>
        <w:t>1.3 成像模式：</w:t>
      </w:r>
      <w:r>
        <w:rPr>
          <w:rFonts w:hint="eastAsia" w:ascii="宋体" w:hAnsi="宋体" w:eastAsia="宋体" w:cs="宋体"/>
          <w:bCs/>
          <w:color w:val="auto"/>
          <w:kern w:val="2"/>
          <w:sz w:val="24"/>
          <w:szCs w:val="24"/>
          <w:highlight w:val="none"/>
        </w:rPr>
        <w:t>二次电子像、背散射电子像</w:t>
      </w:r>
    </w:p>
    <w:p w14:paraId="791B3258">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2、 电子光学系统</w:t>
      </w:r>
    </w:p>
    <w:p w14:paraId="0C1CABF0">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color w:val="auto"/>
          <w:kern w:val="2"/>
          <w:sz w:val="24"/>
          <w:szCs w:val="24"/>
          <w:highlight w:val="none"/>
        </w:rPr>
        <w:t>★2.1电子发射枪：</w:t>
      </w:r>
      <w:r>
        <w:rPr>
          <w:rFonts w:hint="eastAsia" w:ascii="宋体" w:hAnsi="宋体" w:eastAsia="宋体" w:cs="宋体"/>
          <w:bCs/>
          <w:color w:val="auto"/>
          <w:kern w:val="2"/>
          <w:sz w:val="24"/>
          <w:szCs w:val="24"/>
          <w:highlight w:val="none"/>
        </w:rPr>
        <w:t>高稳定性肖特基（Schottky）热场发射电子源，至少保用3年。</w:t>
      </w:r>
    </w:p>
    <w:p w14:paraId="44D0BE96">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color w:val="auto"/>
          <w:kern w:val="2"/>
          <w:sz w:val="24"/>
          <w:szCs w:val="24"/>
          <w:highlight w:val="none"/>
        </w:rPr>
        <w:t>2.2 加速电压：</w:t>
      </w:r>
      <w:r>
        <w:rPr>
          <w:rFonts w:hint="eastAsia" w:ascii="宋体" w:hAnsi="宋体" w:eastAsia="宋体" w:cs="宋体"/>
          <w:bCs/>
          <w:color w:val="auto"/>
          <w:kern w:val="2"/>
          <w:sz w:val="24"/>
          <w:szCs w:val="24"/>
          <w:highlight w:val="none"/>
        </w:rPr>
        <w:t>0.01KV～30KV，并能连续可调。</w:t>
      </w:r>
    </w:p>
    <w:p w14:paraId="433F37FF">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color w:val="auto"/>
          <w:kern w:val="2"/>
          <w:sz w:val="24"/>
          <w:szCs w:val="24"/>
          <w:highlight w:val="none"/>
        </w:rPr>
        <w:t>▲ 2.3最大束流：</w:t>
      </w:r>
      <w:r>
        <w:rPr>
          <w:rFonts w:hint="eastAsia" w:ascii="宋体" w:hAnsi="宋体" w:eastAsia="宋体" w:cs="宋体"/>
          <w:bCs/>
          <w:color w:val="auto"/>
          <w:kern w:val="2"/>
          <w:sz w:val="24"/>
          <w:szCs w:val="24"/>
          <w:highlight w:val="none"/>
        </w:rPr>
        <w:t>≥400nA。</w:t>
      </w:r>
    </w:p>
    <w:p w14:paraId="275B2642">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color w:val="auto"/>
          <w:kern w:val="2"/>
          <w:sz w:val="24"/>
          <w:szCs w:val="24"/>
          <w:highlight w:val="none"/>
        </w:rPr>
        <w:t>★2.4 束流调整方式：</w:t>
      </w:r>
      <w:r>
        <w:rPr>
          <w:rFonts w:hint="eastAsia" w:ascii="宋体" w:hAnsi="宋体" w:eastAsia="宋体" w:cs="宋体"/>
          <w:bCs/>
          <w:color w:val="auto"/>
          <w:kern w:val="2"/>
          <w:sz w:val="24"/>
          <w:szCs w:val="24"/>
          <w:highlight w:val="none"/>
        </w:rPr>
        <w:t>连续可调。</w:t>
      </w:r>
    </w:p>
    <w:p w14:paraId="30EF6A7D">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color w:val="auto"/>
          <w:kern w:val="2"/>
          <w:sz w:val="24"/>
          <w:szCs w:val="24"/>
          <w:highlight w:val="none"/>
        </w:rPr>
        <w:t>2.5 聚光镜：</w:t>
      </w:r>
      <w:r>
        <w:rPr>
          <w:rFonts w:hint="eastAsia" w:ascii="宋体" w:hAnsi="宋体" w:eastAsia="宋体" w:cs="宋体"/>
          <w:bCs/>
          <w:color w:val="auto"/>
          <w:kern w:val="2"/>
          <w:sz w:val="24"/>
          <w:szCs w:val="24"/>
          <w:highlight w:val="none"/>
        </w:rPr>
        <w:t>2级电磁透镜会聚系统，束流强度可连续可调。</w:t>
      </w:r>
    </w:p>
    <w:p w14:paraId="614CA84E">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color w:val="auto"/>
          <w:kern w:val="2"/>
          <w:sz w:val="24"/>
          <w:szCs w:val="24"/>
          <w:highlight w:val="none"/>
        </w:rPr>
        <w:t>2.6 物镜光阑：</w:t>
      </w:r>
      <w:r>
        <w:rPr>
          <w:rFonts w:hint="eastAsia" w:ascii="宋体" w:hAnsi="宋体" w:eastAsia="宋体" w:cs="宋体"/>
          <w:bCs/>
          <w:color w:val="auto"/>
          <w:kern w:val="2"/>
          <w:sz w:val="24"/>
          <w:szCs w:val="24"/>
          <w:highlight w:val="none"/>
        </w:rPr>
        <w:t>4级可调， X、Y方向精细可调对中。</w:t>
      </w:r>
    </w:p>
    <w:p w14:paraId="5293FB11">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color w:val="auto"/>
          <w:kern w:val="2"/>
          <w:sz w:val="24"/>
          <w:szCs w:val="24"/>
          <w:highlight w:val="none"/>
        </w:rPr>
        <w:t>2.7 消像散器：</w:t>
      </w:r>
      <w:r>
        <w:rPr>
          <w:rFonts w:hint="eastAsia" w:ascii="宋体" w:hAnsi="宋体" w:eastAsia="宋体" w:cs="宋体"/>
          <w:bCs/>
          <w:color w:val="auto"/>
          <w:kern w:val="2"/>
          <w:sz w:val="24"/>
          <w:szCs w:val="24"/>
          <w:highlight w:val="none"/>
        </w:rPr>
        <w:t>八级电磁系统，具有自动消像散功能。</w:t>
      </w:r>
    </w:p>
    <w:p w14:paraId="7D580172">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color w:val="auto"/>
          <w:kern w:val="2"/>
          <w:sz w:val="24"/>
          <w:szCs w:val="24"/>
          <w:highlight w:val="none"/>
        </w:rPr>
        <w:t>2.8 动态聚焦：</w:t>
      </w:r>
      <w:r>
        <w:rPr>
          <w:rFonts w:hint="eastAsia" w:ascii="宋体" w:hAnsi="宋体" w:eastAsia="宋体" w:cs="宋体"/>
          <w:bCs/>
          <w:color w:val="auto"/>
          <w:kern w:val="2"/>
          <w:sz w:val="24"/>
          <w:szCs w:val="24"/>
          <w:highlight w:val="none"/>
        </w:rPr>
        <w:t>样品倾斜时能自动聚焦并修正。</w:t>
      </w:r>
    </w:p>
    <w:p w14:paraId="39D8A0BB">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color w:val="auto"/>
          <w:kern w:val="2"/>
          <w:sz w:val="24"/>
          <w:szCs w:val="24"/>
          <w:highlight w:val="none"/>
        </w:rPr>
        <w:t>2.9 图像电平移：</w:t>
      </w:r>
      <w:r>
        <w:rPr>
          <w:rFonts w:hint="eastAsia" w:ascii="宋体" w:hAnsi="宋体" w:eastAsia="宋体" w:cs="宋体"/>
          <w:bCs/>
          <w:color w:val="auto"/>
          <w:kern w:val="2"/>
          <w:sz w:val="24"/>
          <w:szCs w:val="24"/>
          <w:highlight w:val="none"/>
        </w:rPr>
        <w:t>±10μm，可通过控制电子束移动实现图像的平移。</w:t>
      </w:r>
    </w:p>
    <w:p w14:paraId="2010264A">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color w:val="auto"/>
          <w:kern w:val="2"/>
          <w:sz w:val="24"/>
          <w:szCs w:val="24"/>
          <w:highlight w:val="none"/>
        </w:rPr>
        <w:t>2.10 自动调整功能：</w:t>
      </w:r>
      <w:r>
        <w:rPr>
          <w:rFonts w:hint="eastAsia" w:ascii="宋体" w:hAnsi="宋体" w:eastAsia="宋体" w:cs="宋体"/>
          <w:bCs/>
          <w:color w:val="auto"/>
          <w:kern w:val="2"/>
          <w:sz w:val="24"/>
          <w:szCs w:val="24"/>
          <w:highlight w:val="none"/>
        </w:rPr>
        <w:t>具有自动透镜控制、自动对中（合轴）、自动聚焦、消像散、对比度、亮度调节功能，并兼有手动调整功能。</w:t>
      </w:r>
    </w:p>
    <w:p w14:paraId="22FDA8F3">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color w:val="auto"/>
          <w:kern w:val="2"/>
          <w:sz w:val="24"/>
          <w:szCs w:val="24"/>
          <w:highlight w:val="none"/>
        </w:rPr>
        <w:t>2.11 电子光学参数设定：</w:t>
      </w:r>
      <w:r>
        <w:rPr>
          <w:rFonts w:hint="eastAsia" w:ascii="宋体" w:hAnsi="宋体" w:eastAsia="宋体" w:cs="宋体"/>
          <w:bCs/>
          <w:color w:val="auto"/>
          <w:kern w:val="2"/>
          <w:sz w:val="24"/>
          <w:szCs w:val="24"/>
          <w:highlight w:val="none"/>
        </w:rPr>
        <w:t>具有个人用户登陆、个人设定自动记忆及标准电子参数自动恢复功能。</w:t>
      </w:r>
    </w:p>
    <w:p w14:paraId="56CDB844">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3、 样品室</w:t>
      </w:r>
    </w:p>
    <w:p w14:paraId="23E6551C">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color w:val="auto"/>
          <w:kern w:val="2"/>
          <w:sz w:val="24"/>
          <w:szCs w:val="24"/>
          <w:highlight w:val="none"/>
        </w:rPr>
        <w:t>3.1最大可进样品尺寸：</w:t>
      </w:r>
      <w:r>
        <w:rPr>
          <w:rFonts w:hint="eastAsia" w:ascii="宋体" w:hAnsi="宋体" w:eastAsia="宋体" w:cs="宋体"/>
          <w:bCs/>
          <w:color w:val="auto"/>
          <w:kern w:val="2"/>
          <w:sz w:val="24"/>
          <w:szCs w:val="24"/>
          <w:highlight w:val="none"/>
        </w:rPr>
        <w:t>直径≥200mm，高度≥55mm。</w:t>
      </w:r>
    </w:p>
    <w:p w14:paraId="31C74D6B">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color w:val="auto"/>
          <w:kern w:val="2"/>
          <w:sz w:val="24"/>
          <w:szCs w:val="24"/>
          <w:highlight w:val="none"/>
        </w:rPr>
        <w:t>3.2 附件接口：</w:t>
      </w:r>
      <w:r>
        <w:rPr>
          <w:rFonts w:hint="eastAsia" w:ascii="宋体" w:hAnsi="宋体" w:eastAsia="宋体" w:cs="宋体"/>
          <w:bCs/>
          <w:color w:val="auto"/>
          <w:kern w:val="2"/>
          <w:sz w:val="24"/>
          <w:szCs w:val="24"/>
          <w:highlight w:val="none"/>
        </w:rPr>
        <w:t>样品室提供包括二次电子探测器、背散射电子探测器、X射线能谱仪（EDS）、背散射电子衍射（EBSD）系统、红外CCD照相机、波谱仪（WDS）、冷台、STEM、CL等不少于10个附件接口，且二次电子探测器、EDS 等接口分布有利于多种手段的原位综合分析的最优化设计，方便今后探测器的升级与增加。</w:t>
      </w:r>
    </w:p>
    <w:p w14:paraId="56BFBAFA">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color w:val="auto"/>
          <w:kern w:val="2"/>
          <w:sz w:val="24"/>
          <w:szCs w:val="24"/>
          <w:highlight w:val="none"/>
        </w:rPr>
        <w:t>3.3 防污染装置：</w:t>
      </w:r>
      <w:r>
        <w:rPr>
          <w:rFonts w:hint="eastAsia" w:ascii="宋体" w:hAnsi="宋体" w:eastAsia="宋体" w:cs="宋体"/>
          <w:bCs/>
          <w:color w:val="auto"/>
          <w:kern w:val="2"/>
          <w:sz w:val="24"/>
          <w:szCs w:val="24"/>
          <w:highlight w:val="none"/>
        </w:rPr>
        <w:t>样品室有防污染装置。</w:t>
      </w:r>
    </w:p>
    <w:p w14:paraId="0D4FE703">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3.4样品台：</w:t>
      </w:r>
    </w:p>
    <w:p w14:paraId="36B942B6">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3.4.1样品台类型：5轴马达驱动；全对中、测角样品台。在X、Y、倾斜（T）、旋转（R）移动时，无需改变聚焦。</w:t>
      </w:r>
    </w:p>
    <w:p w14:paraId="6932FD97">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3.4.2 移动范围：X：0～100mm；Y：0～100mm；Z：1～50mm；T：-5</w:t>
      </w:r>
      <w:r>
        <w:rPr>
          <w:rFonts w:hint="eastAsia" w:ascii="宋体" w:hAnsi="宋体" w:eastAsia="宋体" w:cs="宋体"/>
          <w:bCs/>
          <w:color w:val="auto"/>
          <w:kern w:val="2"/>
          <w:sz w:val="24"/>
          <w:szCs w:val="24"/>
          <w:highlight w:val="none"/>
        </w:rPr>
        <w:sym w:font="Symbol" w:char="F0B0"/>
      </w:r>
      <w:r>
        <w:rPr>
          <w:rFonts w:hint="eastAsia" w:ascii="宋体" w:hAnsi="宋体" w:eastAsia="宋体" w:cs="宋体"/>
          <w:bCs/>
          <w:color w:val="auto"/>
          <w:kern w:val="2"/>
          <w:sz w:val="24"/>
          <w:szCs w:val="24"/>
          <w:highlight w:val="none"/>
        </w:rPr>
        <w:t>～</w:t>
      </w:r>
      <w:r>
        <w:rPr>
          <w:rFonts w:hint="eastAsia" w:ascii="宋体" w:hAnsi="宋体" w:eastAsia="宋体" w:cs="宋体"/>
          <w:bCs/>
          <w:color w:val="auto"/>
          <w:kern w:val="2"/>
          <w:sz w:val="24"/>
          <w:szCs w:val="24"/>
          <w:highlight w:val="none"/>
        </w:rPr>
        <w:sym w:font="Symbol" w:char="F02B"/>
      </w:r>
      <w:r>
        <w:rPr>
          <w:rFonts w:hint="eastAsia" w:ascii="宋体" w:hAnsi="宋体" w:eastAsia="宋体" w:cs="宋体"/>
          <w:bCs/>
          <w:color w:val="auto"/>
          <w:kern w:val="2"/>
          <w:sz w:val="24"/>
          <w:szCs w:val="24"/>
          <w:highlight w:val="none"/>
        </w:rPr>
        <w:t>70</w:t>
      </w:r>
      <w:r>
        <w:rPr>
          <w:rFonts w:hint="eastAsia" w:ascii="宋体" w:hAnsi="宋体" w:eastAsia="宋体" w:cs="宋体"/>
          <w:bCs/>
          <w:color w:val="auto"/>
          <w:kern w:val="2"/>
          <w:sz w:val="24"/>
          <w:szCs w:val="24"/>
          <w:highlight w:val="none"/>
        </w:rPr>
        <w:sym w:font="Symbol" w:char="F0B0"/>
      </w:r>
      <w:r>
        <w:rPr>
          <w:rFonts w:hint="eastAsia" w:ascii="宋体" w:hAnsi="宋体" w:eastAsia="宋体" w:cs="宋体"/>
          <w:bCs/>
          <w:color w:val="auto"/>
          <w:kern w:val="2"/>
          <w:sz w:val="24"/>
          <w:szCs w:val="24"/>
          <w:highlight w:val="none"/>
        </w:rPr>
        <w:t>；R：360</w:t>
      </w:r>
      <w:r>
        <w:rPr>
          <w:rFonts w:hint="eastAsia" w:ascii="宋体" w:hAnsi="宋体" w:eastAsia="宋体" w:cs="宋体"/>
          <w:bCs/>
          <w:color w:val="auto"/>
          <w:kern w:val="2"/>
          <w:sz w:val="24"/>
          <w:szCs w:val="24"/>
          <w:highlight w:val="none"/>
        </w:rPr>
        <w:sym w:font="Symbol" w:char="F0B0"/>
      </w:r>
      <w:r>
        <w:rPr>
          <w:rFonts w:hint="eastAsia" w:ascii="宋体" w:hAnsi="宋体" w:eastAsia="宋体" w:cs="宋体"/>
          <w:bCs/>
          <w:color w:val="auto"/>
          <w:kern w:val="2"/>
          <w:sz w:val="24"/>
          <w:szCs w:val="24"/>
          <w:highlight w:val="none"/>
        </w:rPr>
        <w:t>连续可调，具有自动全对中旋转控制。</w:t>
      </w:r>
    </w:p>
    <w:p w14:paraId="77129393">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3.4.3 样品台移动控制方式：电脑自动控制，并具有防撞警报功能。</w:t>
      </w:r>
    </w:p>
    <w:p w14:paraId="63CA2104">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3.4.4 样品更换：大开门换样。</w:t>
      </w:r>
    </w:p>
    <w:p w14:paraId="553A312C">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4、真空系统：</w:t>
      </w:r>
    </w:p>
    <w:p w14:paraId="146D001F">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color w:val="auto"/>
          <w:kern w:val="2"/>
          <w:sz w:val="24"/>
          <w:szCs w:val="24"/>
          <w:highlight w:val="none"/>
        </w:rPr>
        <w:t>4.1 真空度：</w:t>
      </w:r>
      <w:r>
        <w:rPr>
          <w:rFonts w:hint="eastAsia" w:ascii="宋体" w:hAnsi="宋体" w:eastAsia="宋体" w:cs="宋体"/>
          <w:bCs/>
          <w:color w:val="auto"/>
          <w:kern w:val="2"/>
          <w:sz w:val="24"/>
          <w:szCs w:val="24"/>
          <w:highlight w:val="none"/>
        </w:rPr>
        <w:t>镜筒真空度：优于10</w:t>
      </w:r>
      <w:r>
        <w:rPr>
          <w:rFonts w:hint="eastAsia" w:ascii="宋体" w:hAnsi="宋体" w:eastAsia="宋体" w:cs="宋体"/>
          <w:bCs/>
          <w:color w:val="auto"/>
          <w:kern w:val="2"/>
          <w:sz w:val="24"/>
          <w:szCs w:val="24"/>
          <w:highlight w:val="none"/>
          <w:vertAlign w:val="superscript"/>
        </w:rPr>
        <w:t>-7</w:t>
      </w:r>
      <w:r>
        <w:rPr>
          <w:rFonts w:hint="eastAsia" w:ascii="宋体" w:hAnsi="宋体" w:eastAsia="宋体" w:cs="宋体"/>
          <w:bCs/>
          <w:color w:val="auto"/>
          <w:kern w:val="2"/>
          <w:sz w:val="24"/>
          <w:szCs w:val="24"/>
          <w:highlight w:val="none"/>
        </w:rPr>
        <w:t>Pa数量级；样品室真空度：优于10</w:t>
      </w:r>
      <w:r>
        <w:rPr>
          <w:rFonts w:hint="eastAsia" w:ascii="宋体" w:hAnsi="宋体" w:eastAsia="宋体" w:cs="宋体"/>
          <w:bCs/>
          <w:color w:val="auto"/>
          <w:kern w:val="2"/>
          <w:sz w:val="24"/>
          <w:szCs w:val="24"/>
          <w:highlight w:val="none"/>
          <w:vertAlign w:val="superscript"/>
        </w:rPr>
        <w:t>-4</w:t>
      </w:r>
      <w:r>
        <w:rPr>
          <w:rFonts w:hint="eastAsia" w:ascii="宋体" w:hAnsi="宋体" w:eastAsia="宋体" w:cs="宋体"/>
          <w:bCs/>
          <w:color w:val="auto"/>
          <w:kern w:val="2"/>
          <w:sz w:val="24"/>
          <w:szCs w:val="24"/>
          <w:highlight w:val="none"/>
        </w:rPr>
        <w:t>Pa数量级。</w:t>
      </w:r>
    </w:p>
    <w:p w14:paraId="0EAE81C7">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4.2 泵系统：</w:t>
      </w:r>
      <w:r>
        <w:rPr>
          <w:rFonts w:hint="eastAsia" w:ascii="宋体" w:hAnsi="宋体" w:eastAsia="宋体" w:cs="宋体"/>
          <w:bCs/>
          <w:color w:val="auto"/>
          <w:kern w:val="2"/>
          <w:sz w:val="24"/>
          <w:szCs w:val="24"/>
          <w:highlight w:val="none"/>
        </w:rPr>
        <w:t>分子泵、离子泵及机械泵。</w:t>
      </w:r>
    </w:p>
    <w:p w14:paraId="6264F75B">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5、探测器</w:t>
      </w:r>
    </w:p>
    <w:p w14:paraId="7A78DAD0">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物镜内电子探测器、样品室电子探测器、可抽拉式背散射电子探测器、彩色红外CCD照相机，样品台导航相机。</w:t>
      </w:r>
    </w:p>
    <w:p w14:paraId="3277A103">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
          <w:bCs/>
          <w:color w:val="auto"/>
          <w:kern w:val="2"/>
          <w:sz w:val="24"/>
          <w:szCs w:val="24"/>
          <w:highlight w:val="none"/>
        </w:rPr>
      </w:pPr>
      <w:r>
        <w:rPr>
          <w:rFonts w:hint="eastAsia" w:ascii="宋体" w:hAnsi="宋体" w:cs="宋体"/>
          <w:b/>
          <w:bCs/>
          <w:color w:val="auto"/>
          <w:kern w:val="2"/>
          <w:sz w:val="24"/>
          <w:szCs w:val="24"/>
          <w:highlight w:val="none"/>
          <w:lang w:val="en-US" w:eastAsia="zh-CN"/>
        </w:rPr>
        <w:t>6</w:t>
      </w:r>
      <w:r>
        <w:rPr>
          <w:rFonts w:hint="eastAsia" w:ascii="宋体" w:hAnsi="宋体" w:eastAsia="宋体" w:cs="宋体"/>
          <w:b/>
          <w:bCs/>
          <w:color w:val="auto"/>
          <w:kern w:val="2"/>
          <w:sz w:val="24"/>
          <w:szCs w:val="24"/>
          <w:highlight w:val="none"/>
        </w:rPr>
        <w:t>、标准附件，特殊工具及附属设备</w:t>
      </w:r>
    </w:p>
    <w:p w14:paraId="143C23C7">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cs="宋体"/>
          <w:b/>
          <w:bCs/>
          <w:color w:val="auto"/>
          <w:kern w:val="2"/>
          <w:sz w:val="24"/>
          <w:szCs w:val="24"/>
          <w:highlight w:val="none"/>
          <w:lang w:val="en-US" w:eastAsia="zh-CN"/>
        </w:rPr>
        <w:t>6</w:t>
      </w:r>
      <w:r>
        <w:rPr>
          <w:rFonts w:hint="eastAsia" w:ascii="宋体" w:hAnsi="宋体" w:eastAsia="宋体" w:cs="宋体"/>
          <w:b/>
          <w:bCs/>
          <w:color w:val="auto"/>
          <w:kern w:val="2"/>
          <w:sz w:val="24"/>
          <w:szCs w:val="24"/>
          <w:highlight w:val="none"/>
        </w:rPr>
        <w:t>.1</w:t>
      </w:r>
      <w:r>
        <w:rPr>
          <w:rFonts w:hint="eastAsia" w:ascii="宋体" w:hAnsi="宋体" w:eastAsia="宋体" w:cs="宋体"/>
          <w:bCs/>
          <w:color w:val="auto"/>
          <w:kern w:val="2"/>
          <w:sz w:val="24"/>
          <w:szCs w:val="24"/>
          <w:highlight w:val="none"/>
        </w:rPr>
        <w:t xml:space="preserve"> 提供备品备件（如物镜光阑、样品座、样品托等）、专用工具和消耗品（机械泵油等）；</w:t>
      </w:r>
    </w:p>
    <w:p w14:paraId="00DF9BAC">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val="0"/>
          <w:color w:val="auto"/>
          <w:kern w:val="2"/>
          <w:sz w:val="24"/>
          <w:szCs w:val="24"/>
          <w:highlight w:val="none"/>
          <w:lang w:val="en-US" w:eastAsia="zh-CN"/>
        </w:rPr>
        <w:t>6</w:t>
      </w:r>
      <w:r>
        <w:rPr>
          <w:rFonts w:hint="eastAsia" w:ascii="宋体" w:hAnsi="宋体" w:eastAsia="宋体" w:cs="宋体"/>
          <w:b/>
          <w:bCs w:val="0"/>
          <w:color w:val="auto"/>
          <w:kern w:val="2"/>
          <w:sz w:val="24"/>
          <w:szCs w:val="24"/>
          <w:highlight w:val="none"/>
        </w:rPr>
        <w:t>.2</w:t>
      </w:r>
      <w:r>
        <w:rPr>
          <w:rFonts w:hint="eastAsia" w:ascii="宋体" w:hAnsi="宋体" w:eastAsia="宋体" w:cs="宋体"/>
          <w:bCs/>
          <w:color w:val="auto"/>
          <w:kern w:val="2"/>
          <w:sz w:val="24"/>
          <w:szCs w:val="24"/>
          <w:highlight w:val="none"/>
        </w:rPr>
        <w:t xml:space="preserve"> 循环冷却水箱，变压器等附属设备一套。</w:t>
      </w:r>
    </w:p>
    <w:p w14:paraId="5CE56A7E">
      <w:pPr>
        <w:keepNext w:val="0"/>
        <w:keepLines w:val="0"/>
        <w:pageBreakBefore w:val="0"/>
        <w:widowControl w:val="0"/>
        <w:kinsoku/>
        <w:wordWrap/>
        <w:overflowPunct/>
        <w:topLinePunct w:val="0"/>
        <w:autoSpaceDE/>
        <w:autoSpaceDN/>
        <w:bidi w:val="0"/>
        <w:spacing w:line="460" w:lineRule="exact"/>
        <w:ind w:firstLine="482" w:firstLineChars="200"/>
        <w:rPr>
          <w:rFonts w:hint="default" w:ascii="宋体" w:hAnsi="宋体" w:eastAsia="宋体" w:cs="宋体"/>
          <w:bCs/>
          <w:color w:val="auto"/>
          <w:kern w:val="2"/>
          <w:sz w:val="24"/>
          <w:szCs w:val="24"/>
          <w:highlight w:val="none"/>
          <w:lang w:val="en-US" w:eastAsia="zh-CN"/>
        </w:rPr>
      </w:pPr>
      <w:r>
        <w:rPr>
          <w:rFonts w:hint="eastAsia" w:ascii="宋体" w:hAnsi="宋体" w:eastAsia="宋体" w:cs="宋体"/>
          <w:b/>
          <w:bCs w:val="0"/>
          <w:color w:val="auto"/>
          <w:kern w:val="2"/>
          <w:sz w:val="24"/>
          <w:szCs w:val="24"/>
          <w:highlight w:val="none"/>
          <w:lang w:val="en-US" w:eastAsia="zh-CN"/>
        </w:rPr>
        <w:t>6.3</w:t>
      </w:r>
      <w:r>
        <w:rPr>
          <w:rFonts w:hint="eastAsia" w:ascii="宋体" w:hAnsi="宋体" w:eastAsia="宋体" w:cs="宋体"/>
          <w:bCs/>
          <w:color w:val="auto"/>
          <w:kern w:val="2"/>
          <w:sz w:val="24"/>
          <w:szCs w:val="24"/>
          <w:highlight w:val="none"/>
          <w:lang w:val="en-US" w:eastAsia="zh-CN"/>
        </w:rPr>
        <w:t>显示</w:t>
      </w:r>
      <w:r>
        <w:rPr>
          <w:rFonts w:hint="eastAsia" w:ascii="宋体" w:hAnsi="宋体" w:cs="宋体"/>
          <w:bCs/>
          <w:color w:val="auto"/>
          <w:kern w:val="2"/>
          <w:sz w:val="24"/>
          <w:szCs w:val="24"/>
          <w:highlight w:val="none"/>
          <w:lang w:val="en-US" w:eastAsia="zh-CN"/>
        </w:rPr>
        <w:t>屏幕</w:t>
      </w:r>
      <w:r>
        <w:rPr>
          <w:rFonts w:hint="eastAsia" w:ascii="宋体" w:hAnsi="宋体" w:eastAsia="宋体" w:cs="宋体"/>
          <w:bCs/>
          <w:color w:val="auto"/>
          <w:kern w:val="2"/>
          <w:sz w:val="24"/>
          <w:szCs w:val="24"/>
          <w:highlight w:val="none"/>
          <w:lang w:val="en-US" w:eastAsia="zh-CN"/>
        </w:rPr>
        <w:t>：</w:t>
      </w:r>
      <w:r>
        <w:rPr>
          <w:rFonts w:hint="eastAsia" w:ascii="宋体" w:hAnsi="宋体" w:cs="宋体"/>
          <w:bCs/>
          <w:color w:val="auto"/>
          <w:kern w:val="2"/>
          <w:sz w:val="24"/>
          <w:szCs w:val="24"/>
          <w:highlight w:val="none"/>
          <w:lang w:val="en-US" w:eastAsia="zh-CN"/>
        </w:rPr>
        <w:t>不小于</w:t>
      </w:r>
      <w:r>
        <w:rPr>
          <w:rFonts w:hint="eastAsia" w:ascii="宋体" w:hAnsi="宋体" w:eastAsia="宋体" w:cs="宋体"/>
          <w:bCs/>
          <w:color w:val="auto"/>
          <w:kern w:val="2"/>
          <w:sz w:val="24"/>
          <w:szCs w:val="24"/>
          <w:highlight w:val="none"/>
          <w:lang w:val="en-US" w:eastAsia="zh-CN"/>
        </w:rPr>
        <w:t>23</w:t>
      </w:r>
      <w:r>
        <w:rPr>
          <w:rFonts w:hint="eastAsia" w:ascii="宋体" w:hAnsi="宋体" w:cs="宋体"/>
          <w:bCs/>
          <w:color w:val="auto"/>
          <w:kern w:val="2"/>
          <w:sz w:val="24"/>
          <w:szCs w:val="24"/>
          <w:highlight w:val="none"/>
          <w:lang w:val="en-US" w:eastAsia="zh-CN"/>
        </w:rPr>
        <w:t>寸</w:t>
      </w:r>
    </w:p>
    <w:p w14:paraId="1CD6C97E">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7</w:t>
      </w:r>
      <w:r>
        <w:rPr>
          <w:rFonts w:hint="eastAsia" w:ascii="宋体" w:hAnsi="宋体" w:eastAsia="宋体" w:cs="宋体"/>
          <w:b/>
          <w:bCs/>
          <w:color w:val="auto"/>
          <w:kern w:val="2"/>
          <w:sz w:val="24"/>
          <w:szCs w:val="24"/>
          <w:highlight w:val="none"/>
        </w:rPr>
        <w:t>、能谱仪一套</w:t>
      </w:r>
    </w:p>
    <w:p w14:paraId="66768781">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7</w:t>
      </w:r>
      <w:r>
        <w:rPr>
          <w:rFonts w:hint="eastAsia" w:ascii="宋体" w:hAnsi="宋体" w:eastAsia="宋体" w:cs="宋体"/>
          <w:bCs/>
          <w:color w:val="auto"/>
          <w:kern w:val="2"/>
          <w:sz w:val="24"/>
          <w:szCs w:val="24"/>
          <w:highlight w:val="none"/>
        </w:rPr>
        <w:t>.1探测器：分析型SDD硅漂移电制冷探测器，有效面积不小于65mm</w:t>
      </w:r>
      <w:r>
        <w:rPr>
          <w:rFonts w:hint="eastAsia" w:ascii="宋体" w:hAnsi="宋体" w:eastAsia="宋体" w:cs="宋体"/>
          <w:bCs/>
          <w:color w:val="auto"/>
          <w:kern w:val="2"/>
          <w:sz w:val="24"/>
          <w:szCs w:val="24"/>
          <w:highlight w:val="none"/>
          <w:vertAlign w:val="superscript"/>
        </w:rPr>
        <w:t>2</w:t>
      </w:r>
      <w:r>
        <w:rPr>
          <w:rFonts w:hint="eastAsia" w:ascii="宋体" w:hAnsi="宋体" w:eastAsia="宋体" w:cs="宋体"/>
          <w:bCs/>
          <w:color w:val="auto"/>
          <w:kern w:val="2"/>
          <w:sz w:val="24"/>
          <w:szCs w:val="24"/>
          <w:highlight w:val="none"/>
        </w:rPr>
        <w:t>；高分子超薄窗设计，无需液氮冷却，仅消耗电能。</w:t>
      </w:r>
    </w:p>
    <w:p w14:paraId="17B8CAA8">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7</w:t>
      </w:r>
      <w:r>
        <w:rPr>
          <w:rFonts w:hint="eastAsia" w:ascii="宋体" w:hAnsi="宋体" w:eastAsia="宋体" w:cs="宋体"/>
          <w:bCs/>
          <w:color w:val="auto"/>
          <w:kern w:val="2"/>
          <w:sz w:val="24"/>
          <w:szCs w:val="24"/>
          <w:highlight w:val="none"/>
        </w:rPr>
        <w:t>.2能量分辨率：Mn Ka保证优于127eV（@计数率100,000cps）；以上探测器能量分辨率保证符合ISO 15632:2012标准。</w:t>
      </w:r>
    </w:p>
    <w:p w14:paraId="6E9F0F9A">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7</w:t>
      </w:r>
      <w:r>
        <w:rPr>
          <w:rFonts w:hint="eastAsia" w:ascii="宋体" w:hAnsi="宋体" w:eastAsia="宋体" w:cs="宋体"/>
          <w:bCs/>
          <w:color w:val="auto"/>
          <w:kern w:val="2"/>
          <w:sz w:val="24"/>
          <w:szCs w:val="24"/>
          <w:highlight w:val="none"/>
        </w:rPr>
        <w:t>.3元素分析范围: Be4～Cf98。</w:t>
      </w:r>
    </w:p>
    <w:p w14:paraId="5710318E">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7</w:t>
      </w:r>
      <w:r>
        <w:rPr>
          <w:rFonts w:hint="eastAsia" w:ascii="宋体" w:hAnsi="宋体" w:eastAsia="宋体" w:cs="宋体"/>
          <w:bCs/>
          <w:color w:val="auto"/>
          <w:kern w:val="2"/>
          <w:sz w:val="24"/>
          <w:szCs w:val="24"/>
          <w:highlight w:val="none"/>
        </w:rPr>
        <w:t>.4具备零峰修正功能, 可以快速稳定谱峰, 开机后无需重新修正峰位。</w:t>
      </w:r>
    </w:p>
    <w:p w14:paraId="5EF24586">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7</w:t>
      </w:r>
      <w:r>
        <w:rPr>
          <w:rFonts w:hint="eastAsia" w:ascii="宋体" w:hAnsi="宋体" w:eastAsia="宋体" w:cs="宋体"/>
          <w:bCs/>
          <w:color w:val="auto"/>
          <w:kern w:val="2"/>
          <w:sz w:val="24"/>
          <w:szCs w:val="24"/>
          <w:highlight w:val="none"/>
        </w:rPr>
        <w:t>.5备元素谱图Live功能，移动样品或改变放大倍率时，元素谱图实时刷新显示，无需在电镜和能谱软件间切换；在谱图采集时实时显示MinQuant的定量分析结果。</w:t>
      </w:r>
    </w:p>
    <w:p w14:paraId="274A8C4D">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7</w:t>
      </w:r>
      <w:r>
        <w:rPr>
          <w:rFonts w:hint="eastAsia" w:ascii="宋体" w:hAnsi="宋体" w:eastAsia="宋体" w:cs="宋体"/>
          <w:bCs/>
          <w:color w:val="auto"/>
          <w:kern w:val="2"/>
          <w:sz w:val="24"/>
          <w:szCs w:val="24"/>
          <w:highlight w:val="none"/>
        </w:rPr>
        <w:t>.6具备元素面分布Live功能，移动样品或改变放大倍率时，元素面分布图实时刷新显示，无需在电镜和能谱软件间切换；样品一旦停止移动，自动开启面分布图静态采集模式，得到更高清晰度的面分布图。</w:t>
      </w:r>
    </w:p>
    <w:p w14:paraId="47A1695E">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7</w:t>
      </w:r>
      <w:r>
        <w:rPr>
          <w:rFonts w:hint="eastAsia" w:ascii="宋体" w:hAnsi="宋体" w:eastAsia="宋体" w:cs="宋体"/>
          <w:bCs/>
          <w:color w:val="auto"/>
          <w:kern w:val="2"/>
          <w:sz w:val="24"/>
          <w:szCs w:val="24"/>
          <w:highlight w:val="none"/>
        </w:rPr>
        <w:t>.7具有实时谱图比对功能。</w:t>
      </w:r>
    </w:p>
    <w:p w14:paraId="6DBE0F84">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7</w:t>
      </w:r>
      <w:r>
        <w:rPr>
          <w:rFonts w:hint="eastAsia" w:ascii="宋体" w:hAnsi="宋体" w:eastAsia="宋体" w:cs="宋体"/>
          <w:bCs/>
          <w:color w:val="auto"/>
          <w:kern w:val="2"/>
          <w:sz w:val="24"/>
          <w:szCs w:val="24"/>
          <w:highlight w:val="none"/>
        </w:rPr>
        <w:t>.8定量分析：采用XPP定量修正技术，具有完备的虚拟标样库，20kV及5kV高低电压定量数据库。</w:t>
      </w:r>
    </w:p>
    <w:p w14:paraId="35741736">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
          <w:bCs/>
          <w:color w:val="auto"/>
          <w:kern w:val="2"/>
          <w:sz w:val="24"/>
          <w:szCs w:val="24"/>
          <w:highlight w:val="none"/>
        </w:rPr>
      </w:pPr>
      <w:r>
        <w:rPr>
          <w:rFonts w:hint="eastAsia" w:ascii="宋体" w:hAnsi="宋体" w:cs="宋体"/>
          <w:b/>
          <w:bCs/>
          <w:color w:val="auto"/>
          <w:kern w:val="2"/>
          <w:sz w:val="24"/>
          <w:szCs w:val="24"/>
          <w:highlight w:val="none"/>
          <w:lang w:val="en-US" w:eastAsia="zh-CN"/>
        </w:rPr>
        <w:t>8</w:t>
      </w:r>
      <w:r>
        <w:rPr>
          <w:rFonts w:hint="eastAsia" w:ascii="宋体" w:hAnsi="宋体" w:eastAsia="宋体" w:cs="宋体"/>
          <w:b/>
          <w:bCs/>
          <w:color w:val="auto"/>
          <w:kern w:val="2"/>
          <w:sz w:val="24"/>
          <w:szCs w:val="24"/>
          <w:highlight w:val="none"/>
        </w:rPr>
        <w:t>、背散射电子衍射仪一套</w:t>
      </w:r>
    </w:p>
    <w:p w14:paraId="2189C9C1">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8</w:t>
      </w:r>
      <w:r>
        <w:rPr>
          <w:rFonts w:hint="eastAsia" w:ascii="宋体" w:hAnsi="宋体" w:eastAsia="宋体" w:cs="宋体"/>
          <w:bCs/>
          <w:color w:val="auto"/>
          <w:kern w:val="2"/>
          <w:sz w:val="24"/>
          <w:szCs w:val="24"/>
          <w:highlight w:val="none"/>
        </w:rPr>
        <w:t>.1 高速低噪音CMOS相机，花样分辨率1244*1024；</w:t>
      </w:r>
    </w:p>
    <w:p w14:paraId="04164B51">
      <w:pPr>
        <w:keepNext w:val="0"/>
        <w:keepLines w:val="0"/>
        <w:pageBreakBefore w:val="0"/>
        <w:widowControl w:val="0"/>
        <w:kinsoku/>
        <w:wordWrap/>
        <w:overflowPunct/>
        <w:topLinePunct w:val="0"/>
        <w:autoSpaceDE/>
        <w:autoSpaceDN/>
        <w:bidi w:val="0"/>
        <w:spacing w:line="460" w:lineRule="exact"/>
        <w:ind w:firstLine="482" w:firstLineChars="200"/>
        <w:rPr>
          <w:rFonts w:hint="eastAsia" w:ascii="宋体" w:hAnsi="宋体" w:eastAsia="宋体" w:cs="宋体"/>
          <w:bCs/>
          <w:color w:val="auto"/>
          <w:kern w:val="2"/>
          <w:sz w:val="24"/>
          <w:szCs w:val="24"/>
          <w:highlight w:val="none"/>
        </w:rPr>
      </w:pPr>
      <w:r>
        <w:rPr>
          <w:rFonts w:hint="eastAsia" w:ascii="宋体" w:hAnsi="宋体" w:eastAsia="宋体" w:cs="宋体"/>
          <w:b/>
          <w:bCs/>
          <w:color w:val="auto"/>
          <w:kern w:val="2"/>
          <w:sz w:val="24"/>
          <w:szCs w:val="24"/>
          <w:highlight w:val="none"/>
        </w:rPr>
        <w:t>★</w:t>
      </w:r>
      <w:r>
        <w:rPr>
          <w:rFonts w:hint="eastAsia" w:ascii="宋体" w:hAnsi="宋体" w:cs="宋体"/>
          <w:bCs/>
          <w:color w:val="auto"/>
          <w:kern w:val="2"/>
          <w:sz w:val="24"/>
          <w:szCs w:val="24"/>
          <w:highlight w:val="none"/>
          <w:lang w:val="en-US" w:eastAsia="zh-CN"/>
        </w:rPr>
        <w:t>8</w:t>
      </w:r>
      <w:r>
        <w:rPr>
          <w:rFonts w:hint="eastAsia" w:ascii="宋体" w:hAnsi="宋体" w:eastAsia="宋体" w:cs="宋体"/>
          <w:bCs/>
          <w:color w:val="auto"/>
          <w:kern w:val="2"/>
          <w:sz w:val="24"/>
          <w:szCs w:val="24"/>
          <w:highlight w:val="none"/>
        </w:rPr>
        <w:t>.2 同时采集EDS和EBSD数据时互不影响，EBSD最高在线速度最高可达5700pps；</w:t>
      </w:r>
    </w:p>
    <w:p w14:paraId="1BB86B7A">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8</w:t>
      </w:r>
      <w:r>
        <w:rPr>
          <w:rFonts w:hint="eastAsia" w:ascii="宋体" w:hAnsi="宋体" w:eastAsia="宋体" w:cs="宋体"/>
          <w:bCs/>
          <w:color w:val="auto"/>
          <w:kern w:val="2"/>
          <w:sz w:val="24"/>
          <w:szCs w:val="24"/>
          <w:highlight w:val="none"/>
        </w:rPr>
        <w:t>.3电子图像分辨率高达8192*8192；</w:t>
      </w:r>
    </w:p>
    <w:p w14:paraId="01CB8E80">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8</w:t>
      </w:r>
      <w:r>
        <w:rPr>
          <w:rFonts w:hint="eastAsia" w:ascii="宋体" w:hAnsi="宋体" w:eastAsia="宋体" w:cs="宋体"/>
          <w:bCs/>
          <w:color w:val="auto"/>
          <w:kern w:val="2"/>
          <w:sz w:val="24"/>
          <w:szCs w:val="24"/>
          <w:highlight w:val="none"/>
        </w:rPr>
        <w:t>.4 EBSD面分布图分辨率高达4096*4096；</w:t>
      </w:r>
    </w:p>
    <w:p w14:paraId="1D0374BB">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8</w:t>
      </w:r>
      <w:r>
        <w:rPr>
          <w:rFonts w:hint="eastAsia" w:ascii="宋体" w:hAnsi="宋体" w:eastAsia="宋体" w:cs="宋体"/>
          <w:bCs/>
          <w:color w:val="auto"/>
          <w:kern w:val="2"/>
          <w:sz w:val="24"/>
          <w:szCs w:val="24"/>
          <w:highlight w:val="none"/>
        </w:rPr>
        <w:t>.5 取向精度高达0.05度；</w:t>
      </w:r>
    </w:p>
    <w:p w14:paraId="4DCC85E1">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8</w:t>
      </w:r>
      <w:r>
        <w:rPr>
          <w:rFonts w:hint="eastAsia" w:ascii="宋体" w:hAnsi="宋体" w:eastAsia="宋体" w:cs="宋体"/>
          <w:bCs/>
          <w:color w:val="auto"/>
          <w:kern w:val="2"/>
          <w:sz w:val="24"/>
          <w:szCs w:val="24"/>
          <w:highlight w:val="none"/>
        </w:rPr>
        <w:t>.6 采用专门定制的光学系统，由光纤板将荧光屏接受到的信号无损的传导到CMOS芯片，有效增大光通量，特别适合弱信号分析；</w:t>
      </w:r>
    </w:p>
    <w:p w14:paraId="09EC7482">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8</w:t>
      </w:r>
      <w:r>
        <w:rPr>
          <w:rFonts w:hint="eastAsia" w:ascii="宋体" w:hAnsi="宋体" w:eastAsia="宋体" w:cs="宋体"/>
          <w:bCs/>
          <w:color w:val="auto"/>
          <w:kern w:val="2"/>
          <w:sz w:val="24"/>
          <w:szCs w:val="24"/>
          <w:highlight w:val="none"/>
        </w:rPr>
        <w:t>.7 独有的接近传感器，保护EBSD探测器前端，在碰撞接触前就探测并预警；</w:t>
      </w:r>
    </w:p>
    <w:p w14:paraId="605CAAAD">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8</w:t>
      </w:r>
      <w:r>
        <w:rPr>
          <w:rFonts w:hint="eastAsia" w:ascii="宋体" w:hAnsi="宋体" w:eastAsia="宋体" w:cs="宋体"/>
          <w:bCs/>
          <w:color w:val="auto"/>
          <w:kern w:val="2"/>
          <w:sz w:val="24"/>
          <w:szCs w:val="24"/>
          <w:highlight w:val="none"/>
        </w:rPr>
        <w:t>.8 探测器插入退出，最快速度：15mm/s，精度：&lt;10μm；</w:t>
      </w:r>
    </w:p>
    <w:p w14:paraId="6BC27CA7">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8</w:t>
      </w:r>
      <w:r>
        <w:rPr>
          <w:rFonts w:hint="eastAsia" w:ascii="宋体" w:hAnsi="宋体" w:eastAsia="宋体" w:cs="宋体"/>
          <w:bCs/>
          <w:color w:val="auto"/>
          <w:kern w:val="2"/>
          <w:sz w:val="24"/>
          <w:szCs w:val="24"/>
          <w:highlight w:val="none"/>
        </w:rPr>
        <w:t>.9 软件配置</w:t>
      </w:r>
    </w:p>
    <w:p w14:paraId="541B951A">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8</w:t>
      </w:r>
      <w:r>
        <w:rPr>
          <w:rFonts w:hint="eastAsia" w:ascii="宋体" w:hAnsi="宋体" w:eastAsia="宋体" w:cs="宋体"/>
          <w:bCs/>
          <w:color w:val="auto"/>
          <w:kern w:val="2"/>
          <w:sz w:val="24"/>
          <w:szCs w:val="24"/>
          <w:highlight w:val="none"/>
        </w:rPr>
        <w:t>.9.1应用软件采用多任务设计，可以同时并行数个任务，并支持分屏显示及远程控制。操作软件完全与能谱仪软件一体化，可进行EBSD晶体取向分布分析。可根据能谱数据对EBSD花样进行预过滤，实现对未知相的相鉴定（Phase ID），实现能谱EBSD同时联机分析且不降速；</w:t>
      </w:r>
    </w:p>
    <w:p w14:paraId="64EC9F9F">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8</w:t>
      </w:r>
      <w:r>
        <w:rPr>
          <w:rFonts w:hint="eastAsia" w:ascii="宋体" w:hAnsi="宋体" w:eastAsia="宋体" w:cs="宋体"/>
          <w:bCs/>
          <w:color w:val="auto"/>
          <w:kern w:val="2"/>
          <w:sz w:val="24"/>
          <w:szCs w:val="24"/>
          <w:highlight w:val="none"/>
        </w:rPr>
        <w:t>.9.2动态自动背景扣除技术，探测器参数自动优化，大大减轻用户工作量。切换样品、更换分析位置、以及EBSD探测器伸缩、倾转后均无需重新扣除背景或重新优化；</w:t>
      </w:r>
    </w:p>
    <w:p w14:paraId="1AB4D549">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8</w:t>
      </w:r>
      <w:r>
        <w:rPr>
          <w:rFonts w:hint="eastAsia" w:ascii="宋体" w:hAnsi="宋体" w:eastAsia="宋体" w:cs="宋体"/>
          <w:bCs/>
          <w:color w:val="auto"/>
          <w:kern w:val="2"/>
          <w:sz w:val="24"/>
          <w:szCs w:val="24"/>
          <w:highlight w:val="none"/>
        </w:rPr>
        <w:t>.9.3能对所有对称性（从三斜到立方）晶体材料的EBSP花样进行自动化的标定，且各相的反射面可以独立选择，并可以进行带宽修正，也可以对衍射带边缘及中间进行标定；</w:t>
      </w:r>
    </w:p>
    <w:p w14:paraId="5297B853">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8</w:t>
      </w:r>
      <w:r>
        <w:rPr>
          <w:rFonts w:hint="eastAsia" w:ascii="宋体" w:hAnsi="宋体" w:eastAsia="宋体" w:cs="宋体"/>
          <w:bCs/>
          <w:color w:val="auto"/>
          <w:kern w:val="2"/>
          <w:sz w:val="24"/>
          <w:szCs w:val="24"/>
          <w:highlight w:val="none"/>
        </w:rPr>
        <w:t>.9.4配置HKL标准数据库和ICSD海量晶体学数据库，数据容量不小于5万种，已经滤掉伪对称数据；</w:t>
      </w:r>
    </w:p>
    <w:p w14:paraId="2AA51620">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8</w:t>
      </w:r>
      <w:r>
        <w:rPr>
          <w:rFonts w:hint="eastAsia" w:ascii="宋体" w:hAnsi="宋体" w:eastAsia="宋体" w:cs="宋体"/>
          <w:bCs/>
          <w:color w:val="auto"/>
          <w:kern w:val="2"/>
          <w:sz w:val="24"/>
          <w:szCs w:val="24"/>
          <w:highlight w:val="none"/>
        </w:rPr>
        <w:t>.9.5采用最优化的Hough变换，多条带标定方法（最多可以用12根菊池带进行标定），根据平均角度偏差MAD结构因子进行完全自动化的菊池带识别和花样标定。</w:t>
      </w:r>
    </w:p>
    <w:p w14:paraId="4A49D852">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8</w:t>
      </w:r>
      <w:r>
        <w:rPr>
          <w:rFonts w:hint="eastAsia" w:ascii="宋体" w:hAnsi="宋体" w:eastAsia="宋体" w:cs="宋体"/>
          <w:bCs/>
          <w:color w:val="auto"/>
          <w:kern w:val="2"/>
          <w:sz w:val="24"/>
          <w:szCs w:val="24"/>
          <w:highlight w:val="none"/>
        </w:rPr>
        <w:t>.9.6配有64位后处理软件包，和采集软件一体化风格，方便高效，包含且不限于如下功能：晶粒度统计/晶界分析 /物相鉴定/ 极图和反极图分析/可自动剥离形变和再结晶区。</w:t>
      </w:r>
    </w:p>
    <w:p w14:paraId="116AEC7D">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8</w:t>
      </w:r>
      <w:r>
        <w:rPr>
          <w:rFonts w:hint="eastAsia" w:ascii="宋体" w:hAnsi="宋体" w:eastAsia="宋体" w:cs="宋体"/>
          <w:bCs/>
          <w:color w:val="auto"/>
          <w:kern w:val="2"/>
          <w:sz w:val="24"/>
          <w:szCs w:val="24"/>
          <w:highlight w:val="none"/>
        </w:rPr>
        <w:t>.10配置专用的分析透射样品的TKD标定模式，有效提高空间分辨率；</w:t>
      </w:r>
    </w:p>
    <w:p w14:paraId="2565B287">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8</w:t>
      </w:r>
      <w:r>
        <w:rPr>
          <w:rFonts w:hint="eastAsia" w:ascii="宋体" w:hAnsi="宋体" w:eastAsia="宋体" w:cs="宋体"/>
          <w:bCs/>
          <w:color w:val="auto"/>
          <w:kern w:val="2"/>
          <w:sz w:val="24"/>
          <w:szCs w:val="24"/>
          <w:highlight w:val="none"/>
        </w:rPr>
        <w:t>.11配有专用的高精度标定模式，实现更高角度分辨率的标定；</w:t>
      </w:r>
    </w:p>
    <w:p w14:paraId="00A11168">
      <w:pPr>
        <w:keepNext w:val="0"/>
        <w:keepLines w:val="0"/>
        <w:pageBreakBefore w:val="0"/>
        <w:widowControl w:val="0"/>
        <w:numPr>
          <w:ilvl w:val="0"/>
          <w:numId w:val="0"/>
        </w:numPr>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9.</w:t>
      </w:r>
      <w:r>
        <w:rPr>
          <w:rFonts w:hint="eastAsia" w:ascii="宋体" w:hAnsi="宋体" w:eastAsia="宋体" w:cs="宋体"/>
          <w:bCs/>
          <w:color w:val="auto"/>
          <w:kern w:val="2"/>
          <w:sz w:val="24"/>
          <w:szCs w:val="24"/>
          <w:highlight w:val="none"/>
        </w:rPr>
        <w:t>离子溅射仪一套</w:t>
      </w:r>
    </w:p>
    <w:p w14:paraId="581B56C7">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9</w:t>
      </w:r>
      <w:r>
        <w:rPr>
          <w:rFonts w:hint="eastAsia" w:ascii="宋体" w:hAnsi="宋体" w:eastAsia="宋体" w:cs="宋体"/>
          <w:bCs/>
          <w:color w:val="auto"/>
          <w:kern w:val="2"/>
          <w:sz w:val="24"/>
          <w:szCs w:val="24"/>
          <w:highlight w:val="none"/>
        </w:rPr>
        <w:t>.1 靶材：Pt；</w:t>
      </w:r>
    </w:p>
    <w:p w14:paraId="06401594">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9</w:t>
      </w:r>
      <w:r>
        <w:rPr>
          <w:rFonts w:hint="eastAsia" w:ascii="宋体" w:hAnsi="宋体" w:eastAsia="宋体" w:cs="宋体"/>
          <w:bCs/>
          <w:color w:val="auto"/>
          <w:kern w:val="2"/>
          <w:sz w:val="24"/>
          <w:szCs w:val="24"/>
          <w:highlight w:val="none"/>
        </w:rPr>
        <w:t>.2 样品室直径：64mm；</w:t>
      </w:r>
    </w:p>
    <w:p w14:paraId="733BAB2A">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9</w:t>
      </w:r>
      <w:r>
        <w:rPr>
          <w:rFonts w:hint="eastAsia" w:ascii="宋体" w:hAnsi="宋体" w:eastAsia="宋体" w:cs="宋体"/>
          <w:bCs/>
          <w:color w:val="auto"/>
          <w:kern w:val="2"/>
          <w:sz w:val="24"/>
          <w:szCs w:val="24"/>
          <w:highlight w:val="none"/>
        </w:rPr>
        <w:t>.3 溅射时间：0~300s；</w:t>
      </w:r>
    </w:p>
    <w:p w14:paraId="6B5247BF">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9</w:t>
      </w:r>
      <w:r>
        <w:rPr>
          <w:rFonts w:hint="eastAsia" w:ascii="宋体" w:hAnsi="宋体" w:eastAsia="宋体" w:cs="宋体"/>
          <w:bCs/>
          <w:color w:val="auto"/>
          <w:kern w:val="2"/>
          <w:sz w:val="24"/>
          <w:szCs w:val="24"/>
          <w:highlight w:val="none"/>
        </w:rPr>
        <w:t>.4 溅射电流：10、20、30、40mA。</w:t>
      </w:r>
    </w:p>
    <w:p w14:paraId="143D2832">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color w:val="auto"/>
          <w:kern w:val="2"/>
          <w:sz w:val="24"/>
          <w:szCs w:val="24"/>
          <w:highlight w:val="none"/>
        </w:rPr>
        <w:t>▲</w:t>
      </w:r>
      <w:r>
        <w:rPr>
          <w:rFonts w:hint="eastAsia" w:ascii="宋体" w:hAnsi="宋体" w:cs="宋体"/>
          <w:color w:val="auto"/>
          <w:kern w:val="2"/>
          <w:sz w:val="24"/>
          <w:szCs w:val="24"/>
          <w:highlight w:val="none"/>
          <w:lang w:val="en-US" w:eastAsia="zh-CN"/>
        </w:rPr>
        <w:t>10</w:t>
      </w:r>
      <w:r>
        <w:rPr>
          <w:rFonts w:hint="eastAsia" w:ascii="宋体" w:hAnsi="宋体" w:eastAsia="宋体" w:cs="宋体"/>
          <w:color w:val="auto"/>
          <w:kern w:val="2"/>
          <w:sz w:val="24"/>
          <w:szCs w:val="24"/>
          <w:highlight w:val="none"/>
        </w:rPr>
        <w:t>为了保证产品质</w:t>
      </w:r>
      <w:r>
        <w:rPr>
          <w:rFonts w:hint="eastAsia" w:ascii="宋体" w:hAnsi="宋体" w:eastAsia="宋体" w:cs="宋体"/>
          <w:bCs/>
          <w:color w:val="auto"/>
          <w:kern w:val="2"/>
          <w:sz w:val="24"/>
          <w:szCs w:val="24"/>
          <w:highlight w:val="none"/>
        </w:rPr>
        <w:t>量，</w:t>
      </w:r>
      <w:r>
        <w:rPr>
          <w:rFonts w:hint="eastAsia" w:ascii="宋体" w:hAnsi="宋体" w:cs="宋体"/>
          <w:bCs/>
          <w:color w:val="auto"/>
          <w:kern w:val="2"/>
          <w:sz w:val="24"/>
          <w:szCs w:val="24"/>
          <w:highlight w:val="none"/>
          <w:lang w:val="en-US" w:eastAsia="zh-CN"/>
        </w:rPr>
        <w:t>投标文件中</w:t>
      </w:r>
      <w:r>
        <w:rPr>
          <w:rFonts w:hint="eastAsia" w:ascii="宋体" w:hAnsi="宋体" w:eastAsia="宋体" w:cs="宋体"/>
          <w:color w:val="auto"/>
          <w:kern w:val="2"/>
          <w:sz w:val="24"/>
          <w:szCs w:val="24"/>
          <w:highlight w:val="none"/>
        </w:rPr>
        <w:t>提供生产厂家针对本项目的授权</w:t>
      </w:r>
      <w:r>
        <w:rPr>
          <w:rFonts w:hint="eastAsia" w:ascii="宋体" w:hAnsi="宋体" w:cs="宋体"/>
          <w:color w:val="auto"/>
          <w:kern w:val="2"/>
          <w:sz w:val="24"/>
          <w:szCs w:val="24"/>
          <w:highlight w:val="none"/>
          <w:lang w:val="en-US" w:eastAsia="zh-CN"/>
        </w:rPr>
        <w:t>书</w:t>
      </w:r>
      <w:r>
        <w:rPr>
          <w:rFonts w:hint="eastAsia" w:ascii="宋体" w:hAnsi="宋体" w:eastAsia="宋体" w:cs="宋体"/>
          <w:color w:val="auto"/>
          <w:kern w:val="2"/>
          <w:sz w:val="24"/>
          <w:szCs w:val="24"/>
          <w:highlight w:val="none"/>
        </w:rPr>
        <w:t>和售后服务</w:t>
      </w:r>
      <w:r>
        <w:rPr>
          <w:rFonts w:hint="eastAsia" w:ascii="宋体" w:hAnsi="宋体" w:cs="宋体"/>
          <w:color w:val="auto"/>
          <w:kern w:val="2"/>
          <w:sz w:val="24"/>
          <w:szCs w:val="24"/>
          <w:highlight w:val="none"/>
          <w:lang w:val="en-US" w:eastAsia="zh-CN"/>
        </w:rPr>
        <w:t>承诺函原件</w:t>
      </w:r>
      <w:r>
        <w:rPr>
          <w:rFonts w:hint="eastAsia" w:ascii="宋体" w:hAnsi="宋体" w:eastAsia="宋体" w:cs="宋体"/>
          <w:color w:val="auto"/>
          <w:kern w:val="2"/>
          <w:sz w:val="24"/>
          <w:szCs w:val="24"/>
          <w:highlight w:val="none"/>
        </w:rPr>
        <w:t>。</w:t>
      </w:r>
    </w:p>
    <w:p w14:paraId="50D18716">
      <w:pPr>
        <w:keepNext w:val="0"/>
        <w:keepLines w:val="0"/>
        <w:pageBreakBefore w:val="0"/>
        <w:widowControl w:val="0"/>
        <w:kinsoku/>
        <w:wordWrap/>
        <w:overflowPunct/>
        <w:topLinePunct w:val="0"/>
        <w:autoSpaceDE/>
        <w:autoSpaceDN/>
        <w:bidi w:val="0"/>
        <w:spacing w:line="460" w:lineRule="exact"/>
        <w:jc w:val="both"/>
        <w:rPr>
          <w:rFonts w:hint="eastAsia" w:ascii="宋体" w:hAnsi="宋体" w:eastAsia="宋体" w:cs="宋体"/>
          <w:b/>
          <w:bCs/>
          <w:color w:val="auto"/>
          <w:kern w:val="2"/>
          <w:sz w:val="24"/>
          <w:szCs w:val="24"/>
          <w:highlight w:val="none"/>
          <w:lang w:val="en-US" w:eastAsia="zh-CN"/>
        </w:rPr>
      </w:pPr>
      <w:bookmarkStart w:id="136" w:name="_Hlk221026193"/>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lang w:val="en-US" w:eastAsia="zh-CN"/>
        </w:rPr>
        <w:t>二</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rPr>
        <w:t>离子抛光仪</w:t>
      </w:r>
      <w:r>
        <w:rPr>
          <w:rFonts w:hint="eastAsia" w:ascii="宋体" w:hAnsi="宋体" w:eastAsia="宋体" w:cs="宋体"/>
          <w:b/>
          <w:bCs/>
          <w:color w:val="auto"/>
          <w:kern w:val="2"/>
          <w:sz w:val="24"/>
          <w:szCs w:val="24"/>
          <w:highlight w:val="none"/>
          <w:lang w:val="en-US" w:eastAsia="zh-CN"/>
        </w:rPr>
        <w:t>技术参数要求</w:t>
      </w:r>
    </w:p>
    <w:p w14:paraId="24B5C8E6">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1.1所有操作通过6.5寸触摸屏进行，无需目镜观察</w:t>
      </w:r>
    </w:p>
    <w:p w14:paraId="45079433">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1.2定位精度：不低于20um</w:t>
      </w:r>
    </w:p>
    <w:p w14:paraId="63A3DCFC">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1.3氩离子加速电压：2-10kV；</w:t>
      </w:r>
    </w:p>
    <w:p w14:paraId="6F42A811">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1.4氩离子束斑尺寸：不低于500μm（半高宽）；</w:t>
      </w:r>
    </w:p>
    <w:p w14:paraId="59727523">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color w:val="auto"/>
          <w:kern w:val="2"/>
          <w:sz w:val="24"/>
          <w:szCs w:val="24"/>
          <w:highlight w:val="none"/>
        </w:rPr>
        <w:t>▲</w:t>
      </w:r>
      <w:r>
        <w:rPr>
          <w:rFonts w:hint="eastAsia" w:ascii="宋体" w:hAnsi="宋体" w:eastAsia="宋体" w:cs="宋体"/>
          <w:b/>
          <w:color w:val="auto"/>
          <w:kern w:val="2"/>
          <w:sz w:val="24"/>
          <w:szCs w:val="24"/>
          <w:highlight w:val="none"/>
        </w:rPr>
        <w:t>1.5</w:t>
      </w:r>
      <w:r>
        <w:rPr>
          <w:rFonts w:hint="eastAsia" w:ascii="宋体" w:hAnsi="宋体" w:eastAsia="宋体" w:cs="宋体"/>
          <w:bCs/>
          <w:color w:val="auto"/>
          <w:kern w:val="2"/>
          <w:sz w:val="24"/>
          <w:szCs w:val="24"/>
          <w:highlight w:val="none"/>
        </w:rPr>
        <w:t>抛光速度：不低于1200μm/h(以Si换算)；</w:t>
      </w:r>
      <w:r>
        <w:rPr>
          <w:rFonts w:hint="eastAsia" w:ascii="宋体" w:hAnsi="宋体" w:eastAsia="宋体" w:cs="宋体"/>
          <w:color w:val="auto"/>
          <w:kern w:val="2"/>
          <w:sz w:val="24"/>
          <w:szCs w:val="24"/>
          <w:highlight w:val="none"/>
        </w:rPr>
        <w:t>（投标文件中需提供公开发行的产品彩页）</w:t>
      </w:r>
    </w:p>
    <w:p w14:paraId="4E7E20A2">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1.6具有间隔研磨功能：可有效防止离子束连续轰击给样品带来的热损伤，间隔时间用户可任意设定。</w:t>
      </w:r>
    </w:p>
    <w:p w14:paraId="6AB7E1C2">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w:t>
      </w:r>
      <w:r>
        <w:rPr>
          <w:rFonts w:hint="eastAsia" w:ascii="宋体" w:hAnsi="宋体" w:eastAsia="宋体" w:cs="宋体"/>
          <w:bCs/>
          <w:color w:val="auto"/>
          <w:kern w:val="2"/>
          <w:sz w:val="24"/>
          <w:szCs w:val="24"/>
          <w:highlight w:val="none"/>
          <w:lang w:val="en-US" w:eastAsia="zh-CN"/>
        </w:rPr>
        <w:t>.</w:t>
      </w:r>
      <w:r>
        <w:rPr>
          <w:rFonts w:hint="eastAsia" w:ascii="宋体" w:hAnsi="宋体" w:eastAsia="宋体" w:cs="宋体"/>
          <w:bCs/>
          <w:color w:val="auto"/>
          <w:kern w:val="2"/>
          <w:sz w:val="24"/>
          <w:szCs w:val="24"/>
          <w:highlight w:val="none"/>
        </w:rPr>
        <w:t>7具有精抛研磨功能：加工前软件可预设不同加速电压的组合加工同一样品位置。先使用高电压进行快速粗抛，粗抛结束后自动使用低加速电压进行精研。既保证高加速电压下的研磨速度，又可有效减少高加速电压对样品带来的损伤。</w:t>
      </w:r>
    </w:p>
    <w:p w14:paraId="0F9E5F0D">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1.8横截面样品尺寸：不低于11mm长× 8mm宽×3mm厚</w:t>
      </w:r>
    </w:p>
    <w:p w14:paraId="7FADADD0">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1.9平面样品尺寸：不低于40mm 直径×15mm 厚</w:t>
      </w:r>
    </w:p>
    <w:p w14:paraId="1D8AB16F">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1.10样品台移动距离：不低于X: ± 6 mm, Y: ± 2.5 mm</w:t>
      </w:r>
    </w:p>
    <w:p w14:paraId="0B7964C7">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1.11加工后样品可自动水平摆动，去除应力</w:t>
      </w:r>
    </w:p>
    <w:p w14:paraId="3920F2BB">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1.12快速启动模式：将样品放入抛光仪后，金属样品可在6分钟以内自动完成抽真空及氩气通入并开始工作。</w:t>
      </w:r>
    </w:p>
    <w:p w14:paraId="0B335E8E">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1.13离子枪非耗材，用户可自己拆卸安装进行内部清洗及维护</w:t>
      </w:r>
    </w:p>
    <w:p w14:paraId="3B70A08D">
      <w:pPr>
        <w:keepNext w:val="0"/>
        <w:keepLines w:val="0"/>
        <w:pageBreakBefore w:val="0"/>
        <w:widowControl w:val="0"/>
        <w:kinsoku/>
        <w:wordWrap/>
        <w:overflowPunct/>
        <w:topLinePunct w:val="0"/>
        <w:autoSpaceDE/>
        <w:autoSpaceDN/>
        <w:bidi w:val="0"/>
        <w:spacing w:line="460" w:lineRule="exact"/>
        <w:ind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1.14附带液氮冷却功能</w:t>
      </w:r>
    </w:p>
    <w:p w14:paraId="6739C21E">
      <w:pPr>
        <w:keepNext w:val="0"/>
        <w:keepLines w:val="0"/>
        <w:pageBreakBefore w:val="0"/>
        <w:widowControl w:val="0"/>
        <w:kinsoku/>
        <w:wordWrap/>
        <w:overflowPunct/>
        <w:topLinePunct w:val="0"/>
        <w:autoSpaceDE/>
        <w:autoSpaceDN/>
        <w:bidi w:val="0"/>
        <w:spacing w:line="460" w:lineRule="exact"/>
        <w:ind w:firstLine="720" w:firstLineChars="3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1.14.1 样品座冷却温度：低于-120℃</w:t>
      </w:r>
    </w:p>
    <w:p w14:paraId="5600F9B9">
      <w:pPr>
        <w:keepNext w:val="0"/>
        <w:keepLines w:val="0"/>
        <w:pageBreakBefore w:val="0"/>
        <w:widowControl w:val="0"/>
        <w:kinsoku/>
        <w:wordWrap/>
        <w:overflowPunct/>
        <w:topLinePunct w:val="0"/>
        <w:autoSpaceDE/>
        <w:autoSpaceDN/>
        <w:bidi w:val="0"/>
        <w:spacing w:line="460" w:lineRule="exact"/>
        <w:ind w:firstLine="720" w:firstLineChars="3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1.14.2 室温冷却至-100摄氏度的时间：60分钟以内</w:t>
      </w:r>
    </w:p>
    <w:p w14:paraId="439FC7AB">
      <w:pPr>
        <w:keepNext w:val="0"/>
        <w:keepLines w:val="0"/>
        <w:pageBreakBefore w:val="0"/>
        <w:widowControl w:val="0"/>
        <w:kinsoku/>
        <w:wordWrap/>
        <w:overflowPunct/>
        <w:topLinePunct w:val="0"/>
        <w:autoSpaceDE/>
        <w:autoSpaceDN/>
        <w:bidi w:val="0"/>
        <w:spacing w:line="460" w:lineRule="exact"/>
        <w:ind w:firstLine="720" w:firstLineChars="3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1.14.3 保持时间：大于8小时</w:t>
      </w:r>
    </w:p>
    <w:p w14:paraId="119039BF">
      <w:pPr>
        <w:keepNext w:val="0"/>
        <w:keepLines w:val="0"/>
        <w:pageBreakBefore w:val="0"/>
        <w:widowControl w:val="0"/>
        <w:kinsoku/>
        <w:wordWrap/>
        <w:overflowPunct/>
        <w:topLinePunct w:val="0"/>
        <w:autoSpaceDE/>
        <w:autoSpaceDN/>
        <w:bidi w:val="0"/>
        <w:spacing w:line="460" w:lineRule="exact"/>
        <w:ind w:firstLine="720" w:firstLineChars="3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1.14.4 冷却介质：液氮，容量不小于1L</w:t>
      </w:r>
    </w:p>
    <w:bookmarkEnd w:id="136"/>
    <w:p w14:paraId="7E928A7C">
      <w:pPr>
        <w:keepNext w:val="0"/>
        <w:keepLines w:val="0"/>
        <w:pageBreakBefore w:val="0"/>
        <w:widowControl w:val="0"/>
        <w:kinsoku/>
        <w:wordWrap/>
        <w:overflowPunct/>
        <w:topLinePunct w:val="0"/>
        <w:autoSpaceDE/>
        <w:autoSpaceDN/>
        <w:bidi w:val="0"/>
        <w:spacing w:line="460" w:lineRule="exact"/>
        <w:ind w:firstLine="720" w:firstLineChars="300"/>
        <w:rPr>
          <w:rFonts w:hint="eastAsia" w:ascii="宋体" w:hAnsi="宋体" w:eastAsia="宋体" w:cs="宋体"/>
          <w:color w:val="auto"/>
          <w:kern w:val="2"/>
          <w:sz w:val="24"/>
          <w:szCs w:val="24"/>
          <w:highlight w:val="none"/>
        </w:rPr>
      </w:pPr>
      <w:bookmarkStart w:id="137" w:name="_Hlk221026213"/>
      <w:r>
        <w:rPr>
          <w:rFonts w:hint="eastAsia" w:ascii="宋体" w:hAnsi="宋体" w:eastAsia="宋体" w:cs="宋体"/>
          <w:color w:val="auto"/>
          <w:kern w:val="2"/>
          <w:sz w:val="24"/>
          <w:szCs w:val="24"/>
          <w:highlight w:val="none"/>
        </w:rPr>
        <w:t>▲1.14.5为了保证产品质</w:t>
      </w:r>
      <w:r>
        <w:rPr>
          <w:rFonts w:hint="eastAsia" w:ascii="宋体" w:hAnsi="宋体" w:eastAsia="宋体" w:cs="宋体"/>
          <w:bCs/>
          <w:color w:val="auto"/>
          <w:kern w:val="2"/>
          <w:sz w:val="24"/>
          <w:szCs w:val="24"/>
          <w:highlight w:val="none"/>
        </w:rPr>
        <w:t>量，</w:t>
      </w:r>
      <w:r>
        <w:rPr>
          <w:rFonts w:hint="eastAsia" w:ascii="宋体" w:hAnsi="宋体" w:cs="宋体"/>
          <w:bCs/>
          <w:color w:val="auto"/>
          <w:kern w:val="2"/>
          <w:sz w:val="24"/>
          <w:szCs w:val="24"/>
          <w:highlight w:val="none"/>
          <w:lang w:val="en-US" w:eastAsia="zh-CN"/>
        </w:rPr>
        <w:t>投标文件中</w:t>
      </w:r>
      <w:r>
        <w:rPr>
          <w:rFonts w:hint="eastAsia" w:ascii="宋体" w:hAnsi="宋体" w:eastAsia="宋体" w:cs="宋体"/>
          <w:color w:val="auto"/>
          <w:kern w:val="2"/>
          <w:sz w:val="24"/>
          <w:szCs w:val="24"/>
          <w:highlight w:val="none"/>
        </w:rPr>
        <w:t>提供生产厂家针对本项目的授权</w:t>
      </w:r>
      <w:r>
        <w:rPr>
          <w:rFonts w:hint="eastAsia" w:ascii="宋体" w:hAnsi="宋体" w:cs="宋体"/>
          <w:color w:val="auto"/>
          <w:kern w:val="2"/>
          <w:sz w:val="24"/>
          <w:szCs w:val="24"/>
          <w:highlight w:val="none"/>
          <w:lang w:val="en-US" w:eastAsia="zh-CN"/>
        </w:rPr>
        <w:t>书</w:t>
      </w:r>
      <w:r>
        <w:rPr>
          <w:rFonts w:hint="eastAsia" w:ascii="宋体" w:hAnsi="宋体" w:eastAsia="宋体" w:cs="宋体"/>
          <w:color w:val="auto"/>
          <w:kern w:val="2"/>
          <w:sz w:val="24"/>
          <w:szCs w:val="24"/>
          <w:highlight w:val="none"/>
        </w:rPr>
        <w:t>和售后服务</w:t>
      </w:r>
      <w:r>
        <w:rPr>
          <w:rFonts w:hint="eastAsia" w:ascii="宋体" w:hAnsi="宋体" w:cs="宋体"/>
          <w:color w:val="auto"/>
          <w:kern w:val="2"/>
          <w:sz w:val="24"/>
          <w:szCs w:val="24"/>
          <w:highlight w:val="none"/>
          <w:lang w:val="en-US" w:eastAsia="zh-CN"/>
        </w:rPr>
        <w:t>承诺函原件</w:t>
      </w:r>
      <w:r>
        <w:rPr>
          <w:rFonts w:hint="eastAsia" w:ascii="宋体" w:hAnsi="宋体" w:eastAsia="宋体" w:cs="宋体"/>
          <w:color w:val="auto"/>
          <w:kern w:val="2"/>
          <w:sz w:val="24"/>
          <w:szCs w:val="24"/>
          <w:highlight w:val="none"/>
        </w:rPr>
        <w:t>。</w:t>
      </w:r>
    </w:p>
    <w:bookmarkEnd w:id="137"/>
    <w:p w14:paraId="2AA92A5B">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eastAsia="zh-CN"/>
        </w:rPr>
        <w:t>（</w:t>
      </w:r>
      <w:r>
        <w:rPr>
          <w:rFonts w:hint="eastAsia" w:ascii="宋体" w:hAnsi="宋体" w:cs="宋体"/>
          <w:b/>
          <w:bCs/>
          <w:color w:val="auto"/>
          <w:kern w:val="2"/>
          <w:sz w:val="24"/>
          <w:szCs w:val="24"/>
          <w:highlight w:val="none"/>
          <w:lang w:val="en-US" w:eastAsia="zh-CN"/>
        </w:rPr>
        <w:t>三</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rPr>
        <w:t>原子力显微镜</w:t>
      </w:r>
      <w:r>
        <w:rPr>
          <w:rFonts w:hint="eastAsia" w:ascii="宋体" w:hAnsi="宋体" w:eastAsia="宋体" w:cs="宋体"/>
          <w:b/>
          <w:bCs/>
          <w:color w:val="auto"/>
          <w:kern w:val="2"/>
          <w:sz w:val="24"/>
          <w:szCs w:val="24"/>
          <w:highlight w:val="none"/>
          <w:lang w:val="en-US" w:eastAsia="zh-CN"/>
        </w:rPr>
        <w:t>技术参数要求</w:t>
      </w:r>
    </w:p>
    <w:p w14:paraId="632AC0CB">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color w:val="auto"/>
          <w:kern w:val="0"/>
          <w:sz w:val="24"/>
          <w:szCs w:val="24"/>
          <w:highlight w:val="none"/>
          <w:lang w:val="zh-TW"/>
        </w:rPr>
      </w:pPr>
      <w:r>
        <w:rPr>
          <w:rFonts w:hint="eastAsia" w:ascii="宋体" w:hAnsi="宋体" w:eastAsia="宋体" w:cs="宋体"/>
          <w:b/>
          <w:color w:val="auto"/>
          <w:kern w:val="0"/>
          <w:sz w:val="24"/>
          <w:szCs w:val="24"/>
          <w:highlight w:val="none"/>
          <w:lang w:eastAsia="zh-CN"/>
        </w:rPr>
        <w:t>（</w:t>
      </w:r>
      <w:r>
        <w:rPr>
          <w:rFonts w:hint="eastAsia" w:ascii="宋体" w:hAnsi="宋体" w:eastAsia="宋体" w:cs="宋体"/>
          <w:b/>
          <w:color w:val="auto"/>
          <w:kern w:val="0"/>
          <w:sz w:val="24"/>
          <w:szCs w:val="24"/>
          <w:highlight w:val="none"/>
          <w:lang w:val="en-US" w:eastAsia="zh-CN"/>
        </w:rPr>
        <w:t>1</w:t>
      </w:r>
      <w:r>
        <w:rPr>
          <w:rFonts w:hint="eastAsia" w:ascii="宋体" w:hAnsi="宋体" w:eastAsia="宋体" w:cs="宋体"/>
          <w:b/>
          <w:color w:val="auto"/>
          <w:kern w:val="0"/>
          <w:sz w:val="24"/>
          <w:szCs w:val="24"/>
          <w:highlight w:val="none"/>
          <w:lang w:eastAsia="zh-CN"/>
        </w:rPr>
        <w:t>）</w:t>
      </w:r>
      <w:r>
        <w:rPr>
          <w:rFonts w:hint="eastAsia" w:ascii="宋体" w:hAnsi="宋体" w:eastAsia="宋体" w:cs="宋体"/>
          <w:b/>
          <w:color w:val="auto"/>
          <w:kern w:val="0"/>
          <w:sz w:val="24"/>
          <w:szCs w:val="24"/>
          <w:highlight w:val="none"/>
          <w:lang w:val="zh-TW"/>
        </w:rPr>
        <w:t>仪器的功能及用途</w:t>
      </w:r>
    </w:p>
    <w:p w14:paraId="26A56B40">
      <w:pPr>
        <w:keepNext w:val="0"/>
        <w:keepLines w:val="0"/>
        <w:pageBreakBefore w:val="0"/>
        <w:widowControl w:val="0"/>
        <w:kinsoku/>
        <w:wordWrap/>
        <w:overflowPunct/>
        <w:topLinePunct w:val="0"/>
        <w:autoSpaceDE/>
        <w:autoSpaceDN/>
        <w:bidi w:val="0"/>
        <w:spacing w:line="460" w:lineRule="exact"/>
        <w:ind w:firstLine="352" w:firstLineChars="147"/>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eastAsia="zh-TW"/>
        </w:rPr>
        <w:t>原子力</w:t>
      </w:r>
      <w:r>
        <w:rPr>
          <w:rFonts w:hint="eastAsia" w:ascii="宋体" w:hAnsi="宋体" w:eastAsia="宋体" w:cs="宋体"/>
          <w:bCs/>
          <w:color w:val="auto"/>
          <w:kern w:val="2"/>
          <w:sz w:val="24"/>
          <w:szCs w:val="24"/>
          <w:highlight w:val="none"/>
        </w:rPr>
        <w:t>显微镜(AFM) 能够在大气及液体环境下准确地观测样品表面微区(纳米及微米尺度)三维形貌；同时可对样品表面物理化学特性进行研究，能测试多种材料如纤维材料、膜材料、生物材料、高分子材料等非金属材料以及金属材料、复合材料的多种物性，包括表面组分区别、温度、表面电势、磁场力、静电力、摩擦力、电流和其他表面力以及电化学相互作用力的测量。</w:t>
      </w:r>
    </w:p>
    <w:p w14:paraId="4AAFF32A">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color w:val="auto"/>
          <w:kern w:val="0"/>
          <w:sz w:val="24"/>
          <w:szCs w:val="24"/>
          <w:highlight w:val="none"/>
          <w:lang w:val="zh-TW"/>
        </w:rPr>
      </w:pPr>
      <w:r>
        <w:rPr>
          <w:rFonts w:hint="eastAsia" w:ascii="宋体" w:hAnsi="宋体" w:eastAsia="宋体" w:cs="宋体"/>
          <w:bCs/>
          <w:color w:val="auto"/>
          <w:kern w:val="0"/>
          <w:sz w:val="24"/>
          <w:szCs w:val="24"/>
          <w:highlight w:val="none"/>
          <w:lang w:val="zh-TW" w:eastAsia="zh-CN"/>
        </w:rPr>
        <w:t>（</w:t>
      </w:r>
      <w:r>
        <w:rPr>
          <w:rFonts w:hint="eastAsia" w:ascii="宋体" w:hAnsi="宋体" w:eastAsia="宋体" w:cs="宋体"/>
          <w:bCs/>
          <w:color w:val="auto"/>
          <w:kern w:val="0"/>
          <w:sz w:val="24"/>
          <w:szCs w:val="24"/>
          <w:highlight w:val="none"/>
          <w:lang w:val="en-US" w:eastAsia="zh-CN"/>
        </w:rPr>
        <w:t>2</w:t>
      </w:r>
      <w:r>
        <w:rPr>
          <w:rFonts w:hint="eastAsia" w:ascii="宋体" w:hAnsi="宋体" w:eastAsia="宋体" w:cs="宋体"/>
          <w:bCs/>
          <w:color w:val="auto"/>
          <w:kern w:val="0"/>
          <w:sz w:val="24"/>
          <w:szCs w:val="24"/>
          <w:highlight w:val="none"/>
          <w:lang w:val="zh-TW" w:eastAsia="zh-CN"/>
        </w:rPr>
        <w:t>）</w:t>
      </w:r>
      <w:r>
        <w:rPr>
          <w:rFonts w:hint="eastAsia" w:ascii="宋体" w:hAnsi="宋体" w:eastAsia="宋体" w:cs="宋体"/>
          <w:b/>
          <w:color w:val="auto"/>
          <w:kern w:val="0"/>
          <w:sz w:val="24"/>
          <w:szCs w:val="24"/>
          <w:highlight w:val="none"/>
          <w:lang w:val="zh-TW"/>
        </w:rPr>
        <w:t>仪器的配置及主要技术指标</w:t>
      </w:r>
    </w:p>
    <w:p w14:paraId="46A16CDF">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 xml:space="preserve"> 1.仪器配置</w:t>
      </w:r>
    </w:p>
    <w:p w14:paraId="0F516094">
      <w:pPr>
        <w:keepNext w:val="0"/>
        <w:keepLines w:val="0"/>
        <w:pageBreakBefore w:val="0"/>
        <w:widowControl w:val="0"/>
        <w:kinsoku/>
        <w:wordWrap/>
        <w:overflowPunct/>
        <w:topLinePunct w:val="0"/>
        <w:autoSpaceDE/>
        <w:autoSpaceDN/>
        <w:bidi w:val="0"/>
        <w:spacing w:line="460" w:lineRule="exact"/>
        <w:ind w:left="31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 xml:space="preserve"> 1.1. 高速控制器系统 </w:t>
      </w:r>
    </w:p>
    <w:p w14:paraId="1A2BC69E">
      <w:pPr>
        <w:keepNext w:val="0"/>
        <w:keepLines w:val="0"/>
        <w:pageBreakBefore w:val="0"/>
        <w:widowControl w:val="0"/>
        <w:kinsoku/>
        <w:wordWrap/>
        <w:overflowPunct/>
        <w:topLinePunct w:val="0"/>
        <w:autoSpaceDE/>
        <w:autoSpaceDN/>
        <w:bidi w:val="0"/>
        <w:spacing w:line="460" w:lineRule="exact"/>
        <w:ind w:left="31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 xml:space="preserve"> 1.2. 原子力显微镜主机</w:t>
      </w:r>
    </w:p>
    <w:p w14:paraId="0494BE14">
      <w:pPr>
        <w:keepNext w:val="0"/>
        <w:keepLines w:val="0"/>
        <w:pageBreakBefore w:val="0"/>
        <w:widowControl w:val="0"/>
        <w:kinsoku/>
        <w:wordWrap/>
        <w:overflowPunct/>
        <w:topLinePunct w:val="0"/>
        <w:autoSpaceDE/>
        <w:autoSpaceDN/>
        <w:bidi w:val="0"/>
        <w:spacing w:line="460" w:lineRule="exact"/>
        <w:ind w:left="31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 xml:space="preserve"> 1.3. 探针支架一组(大气及液体环境实现形貌及物理特性测试要求)</w:t>
      </w:r>
    </w:p>
    <w:p w14:paraId="5FBB3B79">
      <w:pPr>
        <w:keepNext w:val="0"/>
        <w:keepLines w:val="0"/>
        <w:pageBreakBefore w:val="0"/>
        <w:widowControl w:val="0"/>
        <w:kinsoku/>
        <w:wordWrap/>
        <w:overflowPunct/>
        <w:topLinePunct w:val="0"/>
        <w:autoSpaceDE/>
        <w:autoSpaceDN/>
        <w:bidi w:val="0"/>
        <w:spacing w:line="460" w:lineRule="exact"/>
        <w:ind w:left="31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 xml:space="preserve"> 1.4. 光学系统,含高分辩CCD系统</w:t>
      </w:r>
    </w:p>
    <w:p w14:paraId="48714A0F">
      <w:pPr>
        <w:keepNext w:val="0"/>
        <w:keepLines w:val="0"/>
        <w:pageBreakBefore w:val="0"/>
        <w:widowControl w:val="0"/>
        <w:kinsoku/>
        <w:wordWrap/>
        <w:overflowPunct/>
        <w:topLinePunct w:val="0"/>
        <w:autoSpaceDE/>
        <w:autoSpaceDN/>
        <w:bidi w:val="0"/>
        <w:spacing w:line="460" w:lineRule="exact"/>
        <w:ind w:left="31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 xml:space="preserve"> 1.5. 进口防震台</w:t>
      </w:r>
    </w:p>
    <w:p w14:paraId="5B5A14F3">
      <w:pPr>
        <w:keepNext w:val="0"/>
        <w:keepLines w:val="0"/>
        <w:pageBreakBefore w:val="0"/>
        <w:widowControl w:val="0"/>
        <w:kinsoku/>
        <w:wordWrap/>
        <w:overflowPunct/>
        <w:topLinePunct w:val="0"/>
        <w:autoSpaceDE/>
        <w:autoSpaceDN/>
        <w:bidi w:val="0"/>
        <w:spacing w:line="460" w:lineRule="exact"/>
        <w:ind w:left="310" w:firstLine="240" w:firstLineChars="1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1.6. 扫描器一个(低噪音闭环扫描器)</w:t>
      </w:r>
    </w:p>
    <w:p w14:paraId="2484251E">
      <w:pPr>
        <w:keepNext w:val="0"/>
        <w:keepLines w:val="0"/>
        <w:pageBreakBefore w:val="0"/>
        <w:widowControl w:val="0"/>
        <w:kinsoku/>
        <w:wordWrap/>
        <w:overflowPunct/>
        <w:topLinePunct w:val="0"/>
        <w:autoSpaceDE/>
        <w:autoSpaceDN/>
        <w:bidi w:val="0"/>
        <w:spacing w:line="460" w:lineRule="exact"/>
        <w:ind w:left="89" w:hanging="101" w:hangingChars="42"/>
        <w:rPr>
          <w:rFonts w:hint="eastAsia" w:ascii="宋体" w:hAnsi="宋体" w:eastAsia="宋体" w:cs="宋体"/>
          <w:bCs/>
          <w:color w:val="auto"/>
          <w:kern w:val="2"/>
          <w:sz w:val="24"/>
          <w:szCs w:val="24"/>
          <w:highlight w:val="none"/>
        </w:rPr>
      </w:pPr>
      <w:r>
        <w:rPr>
          <w:rFonts w:hint="eastAsia" w:ascii="宋体" w:hAnsi="宋体" w:eastAsia="宋体" w:cs="宋体"/>
          <w:b/>
          <w:color w:val="auto"/>
          <w:kern w:val="2"/>
          <w:sz w:val="24"/>
          <w:szCs w:val="24"/>
          <w:highlight w:val="none"/>
        </w:rPr>
        <w:t xml:space="preserve">    </w:t>
      </w:r>
      <w:r>
        <w:rPr>
          <w:rFonts w:hint="eastAsia" w:ascii="宋体" w:hAnsi="宋体" w:eastAsia="宋体" w:cs="宋体"/>
          <w:color w:val="auto"/>
          <w:kern w:val="2"/>
          <w:sz w:val="24"/>
          <w:szCs w:val="24"/>
          <w:highlight w:val="none"/>
        </w:rPr>
        <w:t xml:space="preserve">1.7. </w:t>
      </w:r>
      <w:r>
        <w:rPr>
          <w:rFonts w:hint="eastAsia" w:ascii="宋体" w:hAnsi="宋体" w:eastAsia="宋体" w:cs="宋体"/>
          <w:bCs/>
          <w:color w:val="auto"/>
          <w:kern w:val="2"/>
          <w:sz w:val="24"/>
          <w:szCs w:val="24"/>
          <w:highlight w:val="none"/>
        </w:rPr>
        <w:t>150mm移动范围马达自动控制样品台</w:t>
      </w:r>
      <w:r>
        <w:rPr>
          <w:rFonts w:hint="eastAsia" w:ascii="宋体" w:hAnsi="宋体" w:eastAsia="宋体" w:cs="宋体"/>
          <w:color w:val="auto"/>
          <w:kern w:val="2"/>
          <w:sz w:val="24"/>
          <w:szCs w:val="24"/>
          <w:highlight w:val="none"/>
        </w:rPr>
        <w:t>（投标文件中需提供公开发行的产品彩页）</w:t>
      </w:r>
    </w:p>
    <w:p w14:paraId="6F019C13">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
          <w:color w:val="auto"/>
          <w:kern w:val="2"/>
          <w:sz w:val="24"/>
          <w:szCs w:val="24"/>
          <w:highlight w:val="none"/>
        </w:rPr>
        <w:t xml:space="preserve">    </w:t>
      </w:r>
      <w:r>
        <w:rPr>
          <w:rFonts w:hint="eastAsia" w:ascii="宋体" w:hAnsi="宋体" w:eastAsia="宋体" w:cs="宋体"/>
          <w:color w:val="auto"/>
          <w:kern w:val="2"/>
          <w:sz w:val="24"/>
          <w:szCs w:val="24"/>
          <w:highlight w:val="none"/>
        </w:rPr>
        <w:t xml:space="preserve">1.8. </w:t>
      </w:r>
      <w:r>
        <w:rPr>
          <w:rFonts w:hint="eastAsia" w:ascii="宋体" w:hAnsi="宋体" w:eastAsia="宋体" w:cs="宋体"/>
          <w:bCs/>
          <w:color w:val="auto"/>
          <w:kern w:val="2"/>
          <w:sz w:val="24"/>
          <w:szCs w:val="24"/>
          <w:highlight w:val="none"/>
        </w:rPr>
        <w:t>样品台真空吸附附件</w:t>
      </w:r>
    </w:p>
    <w:p w14:paraId="65CA8F8C">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2 .附件</w:t>
      </w:r>
    </w:p>
    <w:p w14:paraId="74E69331">
      <w:pPr>
        <w:keepNext w:val="0"/>
        <w:keepLines w:val="0"/>
        <w:pageBreakBefore w:val="0"/>
        <w:widowControl w:val="0"/>
        <w:kinsoku/>
        <w:wordWrap/>
        <w:overflowPunct/>
        <w:topLinePunct w:val="0"/>
        <w:autoSpaceDE/>
        <w:autoSpaceDN/>
        <w:bidi w:val="0"/>
        <w:spacing w:line="460" w:lineRule="exact"/>
        <w:ind w:left="31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2.1. 标准样品(云母,石墨,三维光栅、磁带等)</w:t>
      </w:r>
    </w:p>
    <w:p w14:paraId="53643AA6">
      <w:pPr>
        <w:keepNext w:val="0"/>
        <w:keepLines w:val="0"/>
        <w:pageBreakBefore w:val="0"/>
        <w:widowControl w:val="0"/>
        <w:kinsoku/>
        <w:wordWrap/>
        <w:overflowPunct/>
        <w:topLinePunct w:val="0"/>
        <w:autoSpaceDE/>
        <w:autoSpaceDN/>
        <w:bidi w:val="0"/>
        <w:spacing w:line="460" w:lineRule="exact"/>
        <w:ind w:left="31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2.2. 工具一套，包括专用镊子、磁力探针磁化器等。</w:t>
      </w:r>
    </w:p>
    <w:p w14:paraId="2BDFE166">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3. 耗材（高品质探针）</w:t>
      </w:r>
    </w:p>
    <w:p w14:paraId="07D3262C">
      <w:pPr>
        <w:keepNext w:val="0"/>
        <w:keepLines w:val="0"/>
        <w:pageBreakBefore w:val="0"/>
        <w:widowControl w:val="0"/>
        <w:kinsoku/>
        <w:wordWrap/>
        <w:overflowPunct/>
        <w:topLinePunct w:val="0"/>
        <w:autoSpaceDE/>
        <w:autoSpaceDN/>
        <w:bidi w:val="0"/>
        <w:spacing w:line="460" w:lineRule="exact"/>
        <w:ind w:left="31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3.1 原厂探针50只</w:t>
      </w:r>
    </w:p>
    <w:p w14:paraId="76BACA75">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4.配置功能列表</w:t>
      </w:r>
    </w:p>
    <w:p w14:paraId="44B6CA5F">
      <w:pPr>
        <w:keepNext w:val="0"/>
        <w:keepLines w:val="0"/>
        <w:pageBreakBefore w:val="0"/>
        <w:widowControl w:val="0"/>
        <w:kinsoku/>
        <w:wordWrap/>
        <w:overflowPunct/>
        <w:topLinePunct w:val="0"/>
        <w:autoSpaceDE/>
        <w:autoSpaceDN/>
        <w:bidi w:val="0"/>
        <w:spacing w:line="460" w:lineRule="exact"/>
        <w:ind w:left="310" w:firstLine="120" w:firstLineChars="5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4.1. 智能扫描模式（ScanAsyst）</w:t>
      </w:r>
    </w:p>
    <w:p w14:paraId="3879842B">
      <w:pPr>
        <w:keepNext w:val="0"/>
        <w:keepLines w:val="0"/>
        <w:pageBreakBefore w:val="0"/>
        <w:widowControl w:val="0"/>
        <w:kinsoku/>
        <w:wordWrap/>
        <w:overflowPunct/>
        <w:topLinePunct w:val="0"/>
        <w:autoSpaceDE/>
        <w:autoSpaceDN/>
        <w:bidi w:val="0"/>
        <w:spacing w:line="460" w:lineRule="exact"/>
        <w:ind w:left="31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 xml:space="preserve"> 4.2. 接触式原子力模式（Contact AFM）</w:t>
      </w:r>
    </w:p>
    <w:p w14:paraId="7CEA14EB">
      <w:pPr>
        <w:keepNext w:val="0"/>
        <w:keepLines w:val="0"/>
        <w:pageBreakBefore w:val="0"/>
        <w:widowControl w:val="0"/>
        <w:kinsoku/>
        <w:wordWrap/>
        <w:overflowPunct/>
        <w:topLinePunct w:val="0"/>
        <w:autoSpaceDE/>
        <w:autoSpaceDN/>
        <w:bidi w:val="0"/>
        <w:spacing w:line="460" w:lineRule="exact"/>
        <w:ind w:left="31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 xml:space="preserve"> 4.3. 轻敲模式（Tapping Mode）</w:t>
      </w:r>
    </w:p>
    <w:p w14:paraId="6B61A8ED">
      <w:pPr>
        <w:keepNext w:val="0"/>
        <w:keepLines w:val="0"/>
        <w:pageBreakBefore w:val="0"/>
        <w:widowControl w:val="0"/>
        <w:kinsoku/>
        <w:wordWrap/>
        <w:overflowPunct/>
        <w:topLinePunct w:val="0"/>
        <w:autoSpaceDE/>
        <w:autoSpaceDN/>
        <w:bidi w:val="0"/>
        <w:spacing w:line="460" w:lineRule="exact"/>
        <w:ind w:left="31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 xml:space="preserve"> 4.4. 力曲线及力谱线</w:t>
      </w:r>
    </w:p>
    <w:p w14:paraId="2E90339F">
      <w:pPr>
        <w:keepNext w:val="0"/>
        <w:keepLines w:val="0"/>
        <w:pageBreakBefore w:val="0"/>
        <w:widowControl w:val="0"/>
        <w:kinsoku/>
        <w:wordWrap/>
        <w:overflowPunct/>
        <w:topLinePunct w:val="0"/>
        <w:autoSpaceDE/>
        <w:autoSpaceDN/>
        <w:bidi w:val="0"/>
        <w:spacing w:line="460" w:lineRule="exact"/>
        <w:ind w:left="31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 xml:space="preserve"> 4.5. 相位成像（Phase imaging）</w:t>
      </w:r>
    </w:p>
    <w:p w14:paraId="45919726">
      <w:pPr>
        <w:keepNext w:val="0"/>
        <w:keepLines w:val="0"/>
        <w:pageBreakBefore w:val="0"/>
        <w:widowControl w:val="0"/>
        <w:kinsoku/>
        <w:wordWrap/>
        <w:overflowPunct/>
        <w:topLinePunct w:val="0"/>
        <w:autoSpaceDE/>
        <w:autoSpaceDN/>
        <w:bidi w:val="0"/>
        <w:spacing w:line="460" w:lineRule="exact"/>
        <w:ind w:left="31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 xml:space="preserve"> 4.6. 横向力/摩擦力显微镜 (LFM)</w:t>
      </w:r>
    </w:p>
    <w:p w14:paraId="1A91D9BA">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5. 主要性能指标</w:t>
      </w:r>
    </w:p>
    <w:p w14:paraId="2C972BD7">
      <w:pPr>
        <w:keepNext w:val="0"/>
        <w:keepLines w:val="0"/>
        <w:pageBreakBefore w:val="0"/>
        <w:widowControl w:val="0"/>
        <w:kinsoku/>
        <w:wordWrap/>
        <w:overflowPunct/>
        <w:topLinePunct w:val="0"/>
        <w:autoSpaceDE/>
        <w:autoSpaceDN/>
        <w:bidi w:val="0"/>
        <w:spacing w:line="460" w:lineRule="exact"/>
        <w:ind w:left="89" w:hanging="101" w:hangingChars="42"/>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w:t>
      </w:r>
      <w:r>
        <w:rPr>
          <w:rFonts w:hint="eastAsia" w:ascii="宋体" w:hAnsi="宋体" w:eastAsia="宋体" w:cs="宋体"/>
          <w:bCs/>
          <w:color w:val="auto"/>
          <w:kern w:val="2"/>
          <w:sz w:val="24"/>
          <w:szCs w:val="24"/>
          <w:highlight w:val="none"/>
        </w:rPr>
        <w:t>5.1. 峰值力成像模式，利用针尖与样品的直接相互作用力作为反馈，可直接控制针尖与样品的相互作用力低至50pN，大大减少了针尖的磨损，提高了横向分辨率。</w:t>
      </w:r>
      <w:r>
        <w:rPr>
          <w:rFonts w:hint="eastAsia" w:ascii="宋体" w:hAnsi="宋体" w:eastAsia="宋体" w:cs="宋体"/>
          <w:color w:val="auto"/>
          <w:kern w:val="2"/>
          <w:sz w:val="24"/>
          <w:szCs w:val="24"/>
          <w:highlight w:val="none"/>
        </w:rPr>
        <w:t>（投标文件中需提供公开发行的产品彩页）</w:t>
      </w:r>
    </w:p>
    <w:p w14:paraId="4ECE233A">
      <w:pPr>
        <w:keepNext w:val="0"/>
        <w:keepLines w:val="0"/>
        <w:pageBreakBefore w:val="0"/>
        <w:widowControl w:val="0"/>
        <w:kinsoku/>
        <w:wordWrap/>
        <w:overflowPunct/>
        <w:topLinePunct w:val="0"/>
        <w:autoSpaceDE/>
        <w:autoSpaceDN/>
        <w:bidi w:val="0"/>
        <w:spacing w:line="460" w:lineRule="exact"/>
        <w:ind w:left="31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5.2.</w:t>
      </w:r>
      <w:r>
        <w:rPr>
          <w:rFonts w:hint="eastAsia" w:ascii="宋体" w:hAnsi="宋体" w:eastAsia="宋体" w:cs="宋体"/>
          <w:b/>
          <w:bCs/>
          <w:color w:val="auto"/>
          <w:kern w:val="2"/>
          <w:sz w:val="24"/>
          <w:szCs w:val="24"/>
          <w:highlight w:val="none"/>
        </w:rPr>
        <w:t xml:space="preserve"> </w:t>
      </w:r>
      <w:r>
        <w:rPr>
          <w:rFonts w:hint="eastAsia" w:ascii="宋体" w:hAnsi="宋体" w:eastAsia="宋体" w:cs="宋体"/>
          <w:bCs/>
          <w:color w:val="auto"/>
          <w:kern w:val="2"/>
          <w:sz w:val="24"/>
          <w:szCs w:val="24"/>
          <w:highlight w:val="none"/>
        </w:rPr>
        <w:t>XYZ三轴闭环扫描器，XY方向90微米，Z方向10微米，低热飘移的水平：0.2nm/Min，要求可实现原子像测试要求。</w:t>
      </w:r>
    </w:p>
    <w:p w14:paraId="1166090B">
      <w:pPr>
        <w:keepNext w:val="0"/>
        <w:keepLines w:val="0"/>
        <w:pageBreakBefore w:val="0"/>
        <w:widowControl w:val="0"/>
        <w:kinsoku/>
        <w:wordWrap/>
        <w:overflowPunct/>
        <w:topLinePunct w:val="0"/>
        <w:autoSpaceDE/>
        <w:autoSpaceDN/>
        <w:bidi w:val="0"/>
        <w:spacing w:line="460" w:lineRule="exact"/>
        <w:ind w:left="89" w:hanging="101" w:hangingChars="42"/>
        <w:rPr>
          <w:rFonts w:hint="eastAsia" w:ascii="宋体" w:hAnsi="宋体" w:eastAsia="宋体" w:cs="宋体"/>
          <w:bCs/>
          <w:color w:val="auto"/>
          <w:kern w:val="2"/>
          <w:sz w:val="24"/>
          <w:szCs w:val="24"/>
          <w:highlight w:val="none"/>
        </w:rPr>
      </w:pPr>
      <w:r>
        <w:rPr>
          <w:rFonts w:hint="eastAsia" w:ascii="宋体" w:hAnsi="宋体" w:eastAsia="宋体" w:cs="宋体"/>
          <w:b/>
          <w:color w:val="auto"/>
          <w:kern w:val="2"/>
          <w:sz w:val="24"/>
          <w:szCs w:val="24"/>
          <w:highlight w:val="none"/>
        </w:rPr>
        <w:t>▲</w:t>
      </w:r>
      <w:r>
        <w:rPr>
          <w:rFonts w:hint="eastAsia" w:ascii="宋体" w:hAnsi="宋体" w:eastAsia="宋体" w:cs="宋体"/>
          <w:bCs/>
          <w:color w:val="auto"/>
          <w:kern w:val="2"/>
          <w:sz w:val="24"/>
          <w:szCs w:val="24"/>
          <w:highlight w:val="none"/>
        </w:rPr>
        <w:t>5.3 要求具备全探针扫描技术的扫描器，扫描过程中由扫描器带动探针进行XYZ三个方向的移动，而样品为完全静止状态，以保证大样品以及液体环境测试的安全和稳定。</w:t>
      </w:r>
      <w:r>
        <w:rPr>
          <w:rFonts w:hint="eastAsia" w:ascii="宋体" w:hAnsi="宋体" w:eastAsia="宋体" w:cs="宋体"/>
          <w:color w:val="auto"/>
          <w:kern w:val="2"/>
          <w:sz w:val="24"/>
          <w:szCs w:val="24"/>
          <w:highlight w:val="none"/>
        </w:rPr>
        <w:t>（投标文件中需提供公开发行的产品彩页）</w:t>
      </w:r>
    </w:p>
    <w:p w14:paraId="68FA416C">
      <w:pPr>
        <w:keepNext w:val="0"/>
        <w:keepLines w:val="0"/>
        <w:pageBreakBefore w:val="0"/>
        <w:widowControl w:val="0"/>
        <w:kinsoku/>
        <w:wordWrap/>
        <w:overflowPunct/>
        <w:topLinePunct w:val="0"/>
        <w:autoSpaceDE/>
        <w:autoSpaceDN/>
        <w:bidi w:val="0"/>
        <w:spacing w:line="460" w:lineRule="exact"/>
        <w:ind w:left="31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5.4. 智能扫描功能（Scan Asyst），自动设定扫描，用户只需要选择扫描速度及扫描范围，系统即可自动调整反馈,无需寻找共振峰,无需调整反馈参数gain值(可直接液体环境成像)</w:t>
      </w:r>
    </w:p>
    <w:p w14:paraId="143E50F6">
      <w:pPr>
        <w:keepNext w:val="0"/>
        <w:keepLines w:val="0"/>
        <w:pageBreakBefore w:val="0"/>
        <w:widowControl w:val="0"/>
        <w:kinsoku/>
        <w:wordWrap/>
        <w:overflowPunct/>
        <w:topLinePunct w:val="0"/>
        <w:autoSpaceDE/>
        <w:autoSpaceDN/>
        <w:bidi w:val="0"/>
        <w:spacing w:line="460" w:lineRule="exact"/>
        <w:ind w:left="89" w:hanging="101" w:hangingChars="42"/>
        <w:rPr>
          <w:rFonts w:hint="eastAsia" w:ascii="宋体" w:hAnsi="宋体" w:eastAsia="宋体" w:cs="宋体"/>
          <w:bCs/>
          <w:color w:val="auto"/>
          <w:kern w:val="2"/>
          <w:sz w:val="24"/>
          <w:szCs w:val="24"/>
          <w:highlight w:val="none"/>
        </w:rPr>
      </w:pPr>
      <w:r>
        <w:rPr>
          <w:rFonts w:hint="eastAsia" w:ascii="宋体" w:hAnsi="宋体" w:eastAsia="宋体" w:cs="宋体"/>
          <w:b/>
          <w:color w:val="auto"/>
          <w:kern w:val="2"/>
          <w:sz w:val="24"/>
          <w:szCs w:val="24"/>
          <w:highlight w:val="none"/>
        </w:rPr>
        <w:t>▲</w:t>
      </w:r>
      <w:r>
        <w:rPr>
          <w:rFonts w:hint="eastAsia" w:ascii="宋体" w:hAnsi="宋体" w:eastAsia="宋体" w:cs="宋体"/>
          <w:bCs/>
          <w:color w:val="auto"/>
          <w:kern w:val="2"/>
          <w:sz w:val="24"/>
          <w:szCs w:val="24"/>
          <w:highlight w:val="none"/>
        </w:rPr>
        <w:t>5.5. 样品台：150mm移动范围全自动样品台(真空吸附样品台)，可程序化控制，样品台可360度旋转。</w:t>
      </w:r>
      <w:r>
        <w:rPr>
          <w:rFonts w:hint="eastAsia" w:ascii="宋体" w:hAnsi="宋体" w:eastAsia="宋体" w:cs="宋体"/>
          <w:color w:val="auto"/>
          <w:kern w:val="2"/>
          <w:sz w:val="24"/>
          <w:szCs w:val="24"/>
          <w:highlight w:val="none"/>
        </w:rPr>
        <w:t>（投标文件中需提供公开发行的产品彩页）</w:t>
      </w:r>
    </w:p>
    <w:p w14:paraId="22D8CF4D">
      <w:pPr>
        <w:keepNext w:val="0"/>
        <w:keepLines w:val="0"/>
        <w:pageBreakBefore w:val="0"/>
        <w:widowControl w:val="0"/>
        <w:kinsoku/>
        <w:wordWrap/>
        <w:overflowPunct/>
        <w:topLinePunct w:val="0"/>
        <w:autoSpaceDE/>
        <w:autoSpaceDN/>
        <w:bidi w:val="0"/>
        <w:spacing w:line="460" w:lineRule="exact"/>
        <w:ind w:left="31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5.6. 八通道实时采集数据</w:t>
      </w:r>
    </w:p>
    <w:p w14:paraId="7C8A6D9C">
      <w:pPr>
        <w:keepNext w:val="0"/>
        <w:keepLines w:val="0"/>
        <w:pageBreakBefore w:val="0"/>
        <w:widowControl w:val="0"/>
        <w:kinsoku/>
        <w:wordWrap/>
        <w:overflowPunct/>
        <w:topLinePunct w:val="0"/>
        <w:autoSpaceDE/>
        <w:autoSpaceDN/>
        <w:bidi w:val="0"/>
        <w:spacing w:line="460" w:lineRule="exact"/>
        <w:ind w:left="31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 xml:space="preserve">5.7. </w:t>
      </w:r>
      <w:r>
        <w:rPr>
          <w:rFonts w:hint="eastAsia" w:ascii="宋体" w:hAnsi="宋体" w:eastAsia="宋体" w:cs="宋体"/>
          <w:color w:val="auto"/>
          <w:kern w:val="2"/>
          <w:sz w:val="24"/>
          <w:szCs w:val="24"/>
          <w:highlight w:val="none"/>
        </w:rPr>
        <w:t>至少</w:t>
      </w:r>
      <w:r>
        <w:rPr>
          <w:rFonts w:hint="eastAsia" w:ascii="宋体" w:hAnsi="宋体" w:eastAsia="宋体" w:cs="宋体"/>
          <w:bCs/>
          <w:color w:val="auto"/>
          <w:kern w:val="2"/>
          <w:sz w:val="24"/>
          <w:szCs w:val="24"/>
          <w:highlight w:val="none"/>
        </w:rPr>
        <w:t>5百万像素数字摄像头,自动缩放及聚焦,光学分辨率优于1.5um。</w:t>
      </w:r>
    </w:p>
    <w:p w14:paraId="12D6DC5D">
      <w:pPr>
        <w:keepNext w:val="0"/>
        <w:keepLines w:val="0"/>
        <w:pageBreakBefore w:val="0"/>
        <w:widowControl w:val="0"/>
        <w:kinsoku/>
        <w:wordWrap/>
        <w:overflowPunct/>
        <w:topLinePunct w:val="0"/>
        <w:autoSpaceDE/>
        <w:autoSpaceDN/>
        <w:bidi w:val="0"/>
        <w:spacing w:line="460" w:lineRule="exact"/>
        <w:ind w:firstLine="241" w:firstLineChars="100"/>
        <w:rPr>
          <w:rFonts w:hint="eastAsia" w:ascii="宋体" w:hAnsi="宋体" w:eastAsia="宋体" w:cs="宋体"/>
          <w:bCs/>
          <w:color w:val="auto"/>
          <w:kern w:val="2"/>
          <w:sz w:val="24"/>
          <w:szCs w:val="24"/>
          <w:highlight w:val="none"/>
        </w:rPr>
      </w:pPr>
      <w:r>
        <w:rPr>
          <w:rFonts w:hint="eastAsia" w:ascii="宋体" w:hAnsi="宋体" w:eastAsia="宋体" w:cs="宋体"/>
          <w:b/>
          <w:color w:val="auto"/>
          <w:kern w:val="2"/>
          <w:sz w:val="24"/>
          <w:szCs w:val="24"/>
          <w:highlight w:val="none"/>
        </w:rPr>
        <w:t xml:space="preserve"> </w:t>
      </w:r>
      <w:r>
        <w:rPr>
          <w:rFonts w:hint="eastAsia" w:ascii="宋体" w:hAnsi="宋体" w:eastAsia="宋体" w:cs="宋体"/>
          <w:bCs/>
          <w:color w:val="auto"/>
          <w:kern w:val="2"/>
          <w:sz w:val="24"/>
          <w:szCs w:val="24"/>
          <w:highlight w:val="none"/>
        </w:rPr>
        <w:t>5.8. 防震：提供防震装置（需要防止低频共振），可实现闪耀光栅原子台阶测试要求。</w:t>
      </w:r>
    </w:p>
    <w:p w14:paraId="4552483E">
      <w:pPr>
        <w:keepNext w:val="0"/>
        <w:keepLines w:val="0"/>
        <w:pageBreakBefore w:val="0"/>
        <w:widowControl w:val="0"/>
        <w:kinsoku/>
        <w:wordWrap/>
        <w:overflowPunct/>
        <w:topLinePunct w:val="0"/>
        <w:autoSpaceDE/>
        <w:autoSpaceDN/>
        <w:bidi w:val="0"/>
        <w:spacing w:line="460" w:lineRule="exact"/>
        <w:ind w:firstLine="723" w:firstLineChars="300"/>
        <w:rPr>
          <w:rFonts w:hint="eastAsia" w:ascii="宋体" w:hAnsi="宋体" w:eastAsia="宋体" w:cs="宋体"/>
          <w:color w:val="auto"/>
          <w:kern w:val="2"/>
          <w:sz w:val="24"/>
          <w:szCs w:val="24"/>
          <w:highlight w:val="none"/>
        </w:rPr>
      </w:pPr>
      <w:r>
        <w:rPr>
          <w:rFonts w:hint="eastAsia" w:ascii="宋体" w:hAnsi="宋体" w:eastAsia="宋体" w:cs="宋体"/>
          <w:b/>
          <w:color w:val="auto"/>
          <w:kern w:val="2"/>
          <w:sz w:val="24"/>
          <w:szCs w:val="24"/>
          <w:highlight w:val="none"/>
        </w:rPr>
        <w:t>▲</w:t>
      </w:r>
      <w:r>
        <w:rPr>
          <w:rFonts w:hint="eastAsia" w:ascii="宋体" w:hAnsi="宋体" w:eastAsia="宋体" w:cs="宋体"/>
          <w:bCs/>
          <w:color w:val="auto"/>
          <w:kern w:val="2"/>
          <w:sz w:val="24"/>
          <w:szCs w:val="24"/>
          <w:highlight w:val="none"/>
        </w:rPr>
        <w:t>5.9、</w:t>
      </w:r>
      <w:r>
        <w:rPr>
          <w:rFonts w:hint="eastAsia" w:ascii="宋体" w:hAnsi="宋体" w:eastAsia="宋体" w:cs="宋体"/>
          <w:color w:val="auto"/>
          <w:kern w:val="2"/>
          <w:sz w:val="24"/>
          <w:szCs w:val="24"/>
          <w:highlight w:val="none"/>
        </w:rPr>
        <w:t>为了保证产品质量，</w:t>
      </w:r>
      <w:r>
        <w:rPr>
          <w:rFonts w:hint="eastAsia" w:ascii="宋体" w:hAnsi="宋体" w:cs="宋体"/>
          <w:bCs/>
          <w:color w:val="auto"/>
          <w:kern w:val="2"/>
          <w:sz w:val="24"/>
          <w:szCs w:val="24"/>
          <w:highlight w:val="none"/>
          <w:lang w:val="en-US" w:eastAsia="zh-CN"/>
        </w:rPr>
        <w:t>投标文件中</w:t>
      </w:r>
      <w:r>
        <w:rPr>
          <w:rFonts w:hint="eastAsia" w:ascii="宋体" w:hAnsi="宋体" w:eastAsia="宋体" w:cs="宋体"/>
          <w:color w:val="auto"/>
          <w:kern w:val="2"/>
          <w:sz w:val="24"/>
          <w:szCs w:val="24"/>
          <w:highlight w:val="none"/>
        </w:rPr>
        <w:t>提供生产厂家针对本项目的授权</w:t>
      </w:r>
      <w:r>
        <w:rPr>
          <w:rFonts w:hint="eastAsia" w:ascii="宋体" w:hAnsi="宋体" w:cs="宋体"/>
          <w:color w:val="auto"/>
          <w:kern w:val="2"/>
          <w:sz w:val="24"/>
          <w:szCs w:val="24"/>
          <w:highlight w:val="none"/>
          <w:lang w:val="en-US" w:eastAsia="zh-CN"/>
        </w:rPr>
        <w:t>书</w:t>
      </w:r>
      <w:r>
        <w:rPr>
          <w:rFonts w:hint="eastAsia" w:ascii="宋体" w:hAnsi="宋体" w:eastAsia="宋体" w:cs="宋体"/>
          <w:color w:val="auto"/>
          <w:kern w:val="2"/>
          <w:sz w:val="24"/>
          <w:szCs w:val="24"/>
          <w:highlight w:val="none"/>
        </w:rPr>
        <w:t>和售后服务</w:t>
      </w:r>
      <w:r>
        <w:rPr>
          <w:rFonts w:hint="eastAsia" w:ascii="宋体" w:hAnsi="宋体" w:cs="宋体"/>
          <w:color w:val="auto"/>
          <w:kern w:val="2"/>
          <w:sz w:val="24"/>
          <w:szCs w:val="24"/>
          <w:highlight w:val="none"/>
          <w:lang w:val="en-US" w:eastAsia="zh-CN"/>
        </w:rPr>
        <w:t>承诺函原件</w:t>
      </w:r>
      <w:r>
        <w:rPr>
          <w:rFonts w:hint="eastAsia" w:ascii="宋体" w:hAnsi="宋体" w:eastAsia="宋体" w:cs="宋体"/>
          <w:color w:val="auto"/>
          <w:kern w:val="2"/>
          <w:sz w:val="24"/>
          <w:szCs w:val="24"/>
          <w:highlight w:val="none"/>
        </w:rPr>
        <w:t>。</w:t>
      </w:r>
    </w:p>
    <w:p w14:paraId="542499A4">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eastAsia="zh-CN"/>
        </w:rPr>
        <w:t>（</w:t>
      </w:r>
      <w:r>
        <w:rPr>
          <w:rFonts w:hint="eastAsia" w:ascii="宋体" w:hAnsi="宋体" w:cs="宋体"/>
          <w:b/>
          <w:bCs/>
          <w:color w:val="auto"/>
          <w:kern w:val="2"/>
          <w:sz w:val="24"/>
          <w:szCs w:val="24"/>
          <w:highlight w:val="none"/>
          <w:lang w:val="en-US" w:eastAsia="zh-CN"/>
        </w:rPr>
        <w:t>四</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rPr>
        <w:t>X射线衍射仪</w:t>
      </w:r>
      <w:r>
        <w:rPr>
          <w:rFonts w:hint="eastAsia" w:ascii="宋体" w:hAnsi="宋体" w:eastAsia="宋体" w:cs="宋体"/>
          <w:b/>
          <w:bCs/>
          <w:color w:val="auto"/>
          <w:kern w:val="2"/>
          <w:sz w:val="24"/>
          <w:szCs w:val="24"/>
          <w:highlight w:val="none"/>
          <w:lang w:val="en-US" w:eastAsia="zh-CN"/>
        </w:rPr>
        <w:t>技术参数要求</w:t>
      </w:r>
    </w:p>
    <w:p w14:paraId="3A7EDFB0">
      <w:pPr>
        <w:keepNext w:val="0"/>
        <w:keepLines w:val="0"/>
        <w:pageBreakBefore w:val="0"/>
        <w:widowControl w:val="0"/>
        <w:kinsoku/>
        <w:wordWrap/>
        <w:overflowPunct/>
        <w:topLinePunct w:val="0"/>
        <w:autoSpaceDE/>
        <w:autoSpaceDN/>
        <w:bidi w:val="0"/>
        <w:snapToGrid w:val="0"/>
        <w:spacing w:line="460" w:lineRule="exac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1、设备名称、数量：</w:t>
      </w:r>
    </w:p>
    <w:p w14:paraId="33BF9F0C">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1.1设备名称：智能多功能X射线衍射仪</w:t>
      </w:r>
    </w:p>
    <w:p w14:paraId="154B769A">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1.2数量：1套</w:t>
      </w:r>
    </w:p>
    <w:p w14:paraId="52136AFE">
      <w:pPr>
        <w:keepNext w:val="0"/>
        <w:keepLines w:val="0"/>
        <w:pageBreakBefore w:val="0"/>
        <w:widowControl w:val="0"/>
        <w:kinsoku/>
        <w:wordWrap/>
        <w:overflowPunct/>
        <w:topLinePunct w:val="0"/>
        <w:autoSpaceDE/>
        <w:autoSpaceDN/>
        <w:bidi w:val="0"/>
        <w:snapToGrid w:val="0"/>
        <w:spacing w:line="460" w:lineRule="exac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2、技术要求：</w:t>
      </w:r>
    </w:p>
    <w:p w14:paraId="275C6882">
      <w:pPr>
        <w:keepNext w:val="0"/>
        <w:keepLines w:val="0"/>
        <w:pageBreakBefore w:val="0"/>
        <w:widowControl w:val="0"/>
        <w:kinsoku/>
        <w:wordWrap/>
        <w:overflowPunct/>
        <w:topLinePunct w:val="0"/>
        <w:autoSpaceDE/>
        <w:autoSpaceDN/>
        <w:bidi w:val="0"/>
        <w:spacing w:before="120" w:line="4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 X射线发生器：</w:t>
      </w:r>
    </w:p>
    <w:p w14:paraId="3FF1B005">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1" w:firstLineChars="15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2.1.1最大额定功率：≥3kW</w:t>
      </w:r>
    </w:p>
    <w:p w14:paraId="30FB3E18">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2.1.2管电压可变范围：20-60kV（1kV步进）</w:t>
      </w:r>
    </w:p>
    <w:p w14:paraId="4EBE046F">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2.1.3管电流可变范围：2-50mA（1mA步进）</w:t>
      </w:r>
    </w:p>
    <w:p w14:paraId="345CF18B">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2.1.4防护罩外任意位置的核辐射剂量率小于1.0μSv/h</w:t>
      </w:r>
    </w:p>
    <w:p w14:paraId="6E19996E">
      <w:pPr>
        <w:keepNext w:val="0"/>
        <w:keepLines w:val="0"/>
        <w:pageBreakBefore w:val="0"/>
        <w:widowControl w:val="0"/>
        <w:kinsoku/>
        <w:wordWrap/>
        <w:overflowPunct/>
        <w:topLinePunct w:val="0"/>
        <w:autoSpaceDE/>
        <w:autoSpaceDN/>
        <w:bidi w:val="0"/>
        <w:spacing w:before="120" w:line="4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 X射线管：</w:t>
      </w:r>
    </w:p>
    <w:p w14:paraId="31614498">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2.2.1靶材：Cu靶一个</w:t>
      </w:r>
    </w:p>
    <w:p w14:paraId="6FFB169F">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额定功率：≥2.2kW</w:t>
      </w:r>
    </w:p>
    <w:p w14:paraId="1294F0A8">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2.2.3灯丝尺寸：≥0.4 x 12mm</w:t>
      </w:r>
    </w:p>
    <w:p w14:paraId="01313061">
      <w:pPr>
        <w:keepNext w:val="0"/>
        <w:keepLines w:val="0"/>
        <w:pageBreakBefore w:val="0"/>
        <w:widowControl w:val="0"/>
        <w:kinsoku/>
        <w:wordWrap/>
        <w:overflowPunct/>
        <w:topLinePunct w:val="0"/>
        <w:autoSpaceDE/>
        <w:autoSpaceDN/>
        <w:bidi w:val="0"/>
        <w:spacing w:before="120" w:line="4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2.3测角仪：</w:t>
      </w:r>
    </w:p>
    <w:p w14:paraId="3613389A">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2.3.1方式：θ-θ型样品水平放置高精度测角仪</w:t>
      </w:r>
    </w:p>
    <w:p w14:paraId="165C3C66">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2.3.2最小步长：0.0001°（θd、θs轴单独）</w:t>
      </w:r>
    </w:p>
    <w:p w14:paraId="4A54819F">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测角仪半径：≥300mm</w:t>
      </w:r>
    </w:p>
    <w:p w14:paraId="019FA935">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可动范围：至少0～160°</w:t>
      </w:r>
      <w:r>
        <w:rPr>
          <w:rFonts w:hint="eastAsia" w:ascii="宋体" w:hAnsi="宋体" w:eastAsia="宋体" w:cs="宋体"/>
          <w:color w:val="auto"/>
          <w:sz w:val="24"/>
          <w:szCs w:val="24"/>
          <w:highlight w:val="none"/>
          <w:lang w:eastAsia="zh-CN"/>
        </w:rPr>
        <w:t>（无碰撞情况下）</w:t>
      </w:r>
    </w:p>
    <w:p w14:paraId="5191FF87">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驱动方式：脉冲马达驱动</w:t>
      </w:r>
    </w:p>
    <w:p w14:paraId="044C4BF4">
      <w:pPr>
        <w:keepNext w:val="0"/>
        <w:keepLines w:val="0"/>
        <w:pageBreakBefore w:val="0"/>
        <w:widowControl w:val="0"/>
        <w:kinsoku/>
        <w:wordWrap/>
        <w:overflowPunct/>
        <w:topLinePunct w:val="0"/>
        <w:autoSpaceDE/>
        <w:autoSpaceDN/>
        <w:bidi w:val="0"/>
        <w:spacing w:before="120" w:line="4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2.4程序式自动可变狭缝</w:t>
      </w:r>
    </w:p>
    <w:p w14:paraId="6E91F083">
      <w:pPr>
        <w:pStyle w:val="525"/>
        <w:keepNext w:val="0"/>
        <w:keepLines w:val="0"/>
        <w:pageBreakBefore w:val="0"/>
        <w:widowControl w:val="0"/>
        <w:tabs>
          <w:tab w:val="left" w:pos="2552"/>
        </w:tabs>
        <w:kinsoku/>
        <w:wordWrap/>
        <w:overflowPunct/>
        <w:topLinePunct w:val="0"/>
        <w:autoSpaceDE/>
        <w:autoSpaceDN/>
        <w:bidi w:val="0"/>
        <w:spacing w:line="460" w:lineRule="exact"/>
        <w:ind w:left="1037" w:leftChars="225" w:hanging="564" w:hangingChars="2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▲2.4.1入射狭缝宽度范围：≥0.03～7mm</w:t>
      </w:r>
      <w:r>
        <w:rPr>
          <w:rFonts w:hint="eastAsia" w:ascii="宋体" w:hAnsi="宋体" w:eastAsia="宋体" w:cs="宋体"/>
          <w:color w:val="auto"/>
          <w:sz w:val="24"/>
          <w:szCs w:val="24"/>
          <w:highlight w:val="none"/>
          <w:lang w:eastAsia="zh-CN"/>
        </w:rPr>
        <w:t>（提供软件截图证明）</w:t>
      </w:r>
    </w:p>
    <w:p w14:paraId="48214DD1">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2.4.2入射索拉狭缝2.5°</w:t>
      </w:r>
    </w:p>
    <w:p w14:paraId="1AB933E4">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2.4.3接收索拉狭缝2.5°</w:t>
      </w:r>
    </w:p>
    <w:p w14:paraId="44534995">
      <w:pPr>
        <w:keepNext w:val="0"/>
        <w:keepLines w:val="0"/>
        <w:pageBreakBefore w:val="0"/>
        <w:widowControl w:val="0"/>
        <w:kinsoku/>
        <w:wordWrap/>
        <w:overflowPunct/>
        <w:topLinePunct w:val="0"/>
        <w:autoSpaceDE/>
        <w:autoSpaceDN/>
        <w:bidi w:val="0"/>
        <w:spacing w:before="120" w:line="4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2.5器件识别和安装：</w:t>
      </w:r>
    </w:p>
    <w:p w14:paraId="2AB9ADC2">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.5.1所有器件具有ID自动识别标识，通过传感器自动识别</w:t>
      </w:r>
    </w:p>
    <w:p w14:paraId="023E69A1">
      <w:pPr>
        <w:keepNext w:val="0"/>
        <w:keepLines w:val="0"/>
        <w:pageBreakBefore w:val="0"/>
        <w:widowControl w:val="0"/>
        <w:kinsoku/>
        <w:wordWrap/>
        <w:overflowPunct/>
        <w:topLinePunct w:val="0"/>
        <w:autoSpaceDE/>
        <w:autoSpaceDN/>
        <w:bidi w:val="0"/>
        <w:spacing w:before="120"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2.6半导体阵列探测器：</w:t>
      </w:r>
    </w:p>
    <w:p w14:paraId="2E2F47F6">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2.6.1探测器一维模式道数：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250</w:t>
      </w:r>
    </w:p>
    <w:p w14:paraId="49F87ABA">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2.6.2道宽：</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75μm</w:t>
      </w:r>
    </w:p>
    <w:p w14:paraId="14B16E2D">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2.6.3每道线性计数：1,000,000 cps 以上</w:t>
      </w:r>
    </w:p>
    <w:p w14:paraId="1F0CFDEA">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lang w:eastAsia="zh-CN"/>
        </w:rPr>
        <w:t>2.6.4探测器活性面积：</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380mm</w:t>
      </w:r>
      <w:r>
        <w:rPr>
          <w:rFonts w:hint="eastAsia" w:ascii="宋体" w:hAnsi="宋体" w:eastAsia="宋体" w:cs="宋体"/>
          <w:color w:val="auto"/>
          <w:sz w:val="24"/>
          <w:szCs w:val="24"/>
          <w:highlight w:val="none"/>
          <w:vertAlign w:val="superscript"/>
          <w:lang w:eastAsia="zh-CN"/>
        </w:rPr>
        <w:t>2</w:t>
      </w:r>
    </w:p>
    <w:p w14:paraId="758C467F">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2.6.5探测功率：约99%（CuKα）</w:t>
      </w:r>
    </w:p>
    <w:p w14:paraId="15C96668">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2.6.6测试模式：包括标准模式和XRF模式</w:t>
      </w:r>
    </w:p>
    <w:p w14:paraId="2399F444">
      <w:pPr>
        <w:keepNext w:val="0"/>
        <w:keepLines w:val="0"/>
        <w:pageBreakBefore w:val="0"/>
        <w:widowControl w:val="0"/>
        <w:kinsoku/>
        <w:wordWrap/>
        <w:overflowPunct/>
        <w:topLinePunct w:val="0"/>
        <w:autoSpaceDE/>
        <w:autoSpaceDN/>
        <w:bidi w:val="0"/>
        <w:spacing w:before="120"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2.7通用Z样品台：</w:t>
      </w:r>
    </w:p>
    <w:p w14:paraId="54D07C37">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2.7.1移动范围：不低于-10～+2mm（最小步长：0.005mm以下）</w:t>
      </w:r>
    </w:p>
    <w:p w14:paraId="340C96EA">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2.7.2附带标准附件头、高度基准样品支撑台</w:t>
      </w:r>
    </w:p>
    <w:p w14:paraId="14539B75">
      <w:pPr>
        <w:keepNext w:val="0"/>
        <w:keepLines w:val="0"/>
        <w:pageBreakBefore w:val="0"/>
        <w:widowControl w:val="0"/>
        <w:kinsoku/>
        <w:wordWrap/>
        <w:overflowPunct/>
        <w:topLinePunct w:val="0"/>
        <w:autoSpaceDE/>
        <w:autoSpaceDN/>
        <w:bidi w:val="0"/>
        <w:spacing w:before="120"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2.8 样品架</w:t>
      </w:r>
    </w:p>
    <w:p w14:paraId="527A1D8C">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2.8.1玻璃样品架0.2mm深，</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40个</w:t>
      </w:r>
    </w:p>
    <w:p w14:paraId="20BE42DF">
      <w:pPr>
        <w:pStyle w:val="525"/>
        <w:keepNext w:val="0"/>
        <w:keepLines w:val="0"/>
        <w:pageBreakBefore w:val="0"/>
        <w:widowControl w:val="0"/>
        <w:tabs>
          <w:tab w:val="left" w:pos="2552"/>
        </w:tabs>
        <w:kinsoku/>
        <w:wordWrap/>
        <w:overflowPunct/>
        <w:topLinePunct w:val="0"/>
        <w:autoSpaceDE/>
        <w:autoSpaceDN/>
        <w:bidi w:val="0"/>
        <w:spacing w:line="460" w:lineRule="exact"/>
        <w:ind w:left="105" w:leftChars="50" w:firstLine="360" w:firstLineChars="15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2.8.2玻璃样品架0.5mm深，</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40个</w:t>
      </w:r>
    </w:p>
    <w:p w14:paraId="3E2BAB51">
      <w:pPr>
        <w:keepNext w:val="0"/>
        <w:keepLines w:val="0"/>
        <w:pageBreakBefore w:val="0"/>
        <w:widowControl w:val="0"/>
        <w:kinsoku/>
        <w:wordWrap/>
        <w:overflowPunct/>
        <w:topLinePunct w:val="0"/>
        <w:autoSpaceDE/>
        <w:autoSpaceDN/>
        <w:bidi w:val="0"/>
        <w:spacing w:before="120" w:line="4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2.9软件：</w:t>
      </w:r>
    </w:p>
    <w:p w14:paraId="1362873B">
      <w:pPr>
        <w:pStyle w:val="525"/>
        <w:keepNext w:val="0"/>
        <w:keepLines w:val="0"/>
        <w:pageBreakBefore w:val="0"/>
        <w:widowControl w:val="0"/>
        <w:tabs>
          <w:tab w:val="left" w:pos="2552"/>
        </w:tabs>
        <w:kinsoku/>
        <w:wordWrap/>
        <w:overflowPunct/>
        <w:topLinePunct w:val="0"/>
        <w:autoSpaceDE/>
        <w:autoSpaceDN/>
        <w:bidi w:val="0"/>
        <w:spacing w:line="460" w:lineRule="exact"/>
        <w:ind w:left="1037" w:leftChars="225" w:hanging="564" w:hangingChars="23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2.9.1仪器通过智能引导软件控制，系统可以自动判断测试时需要更换的组件和测量条件，并自动对光路、样品位置进行调节。</w:t>
      </w:r>
    </w:p>
    <w:p w14:paraId="5A66FF85">
      <w:pPr>
        <w:pStyle w:val="525"/>
        <w:keepNext w:val="0"/>
        <w:keepLines w:val="0"/>
        <w:pageBreakBefore w:val="0"/>
        <w:widowControl w:val="0"/>
        <w:tabs>
          <w:tab w:val="left" w:pos="2552"/>
        </w:tabs>
        <w:kinsoku/>
        <w:wordWrap/>
        <w:overflowPunct/>
        <w:topLinePunct w:val="0"/>
        <w:autoSpaceDE/>
        <w:autoSpaceDN/>
        <w:bidi w:val="0"/>
        <w:spacing w:line="460" w:lineRule="exact"/>
        <w:ind w:left="1037" w:leftChars="225" w:hanging="564" w:hangingChars="23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2.9.2可进行设备控制。数据采集，数据处理，分峰拟合，图形处理软件应能够进行自动物相鉴定及打印结果报告。</w:t>
      </w:r>
    </w:p>
    <w:p w14:paraId="1D9D5110">
      <w:pPr>
        <w:pStyle w:val="525"/>
        <w:keepNext w:val="0"/>
        <w:keepLines w:val="0"/>
        <w:pageBreakBefore w:val="0"/>
        <w:widowControl w:val="0"/>
        <w:tabs>
          <w:tab w:val="left" w:pos="2552"/>
        </w:tabs>
        <w:kinsoku/>
        <w:wordWrap/>
        <w:overflowPunct/>
        <w:topLinePunct w:val="0"/>
        <w:autoSpaceDE/>
        <w:autoSpaceDN/>
        <w:bidi w:val="0"/>
        <w:spacing w:line="460" w:lineRule="exact"/>
        <w:ind w:left="1037" w:leftChars="225" w:hanging="564" w:hangingChars="23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2.9.3最新应用分析软件包括：定性分析、定量分析、晶粒大小测量、晶胞参数测量、结晶化度测量等功能。</w:t>
      </w:r>
    </w:p>
    <w:p w14:paraId="27AD3E55">
      <w:pPr>
        <w:pStyle w:val="525"/>
        <w:keepNext w:val="0"/>
        <w:keepLines w:val="0"/>
        <w:pageBreakBefore w:val="0"/>
        <w:widowControl w:val="0"/>
        <w:tabs>
          <w:tab w:val="left" w:pos="2552"/>
        </w:tabs>
        <w:kinsoku/>
        <w:wordWrap/>
        <w:overflowPunct/>
        <w:topLinePunct w:val="0"/>
        <w:autoSpaceDE/>
        <w:autoSpaceDN/>
        <w:bidi w:val="0"/>
        <w:spacing w:line="460" w:lineRule="exact"/>
        <w:ind w:left="1037" w:leftChars="225" w:hanging="564" w:hangingChars="23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2.9.4控制软件和分析软件为同一个软件。（提供软件截图证明）</w:t>
      </w:r>
    </w:p>
    <w:p w14:paraId="4A3AA188">
      <w:pPr>
        <w:keepNext w:val="0"/>
        <w:keepLines w:val="0"/>
        <w:pageBreakBefore w:val="0"/>
        <w:widowControl w:val="0"/>
        <w:kinsoku/>
        <w:wordWrap/>
        <w:overflowPunct/>
        <w:topLinePunct w:val="0"/>
        <w:autoSpaceDE/>
        <w:autoSpaceDN/>
        <w:bidi w:val="0"/>
        <w:snapToGrid w:val="0"/>
        <w:spacing w:line="460" w:lineRule="exac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3、国内供货部分：</w:t>
      </w:r>
    </w:p>
    <w:p w14:paraId="75ECBEE0">
      <w:pPr>
        <w:keepNext w:val="0"/>
        <w:keepLines w:val="0"/>
        <w:pageBreakBefore w:val="0"/>
        <w:widowControl w:val="0"/>
        <w:kinsoku/>
        <w:wordWrap/>
        <w:overflowPunct/>
        <w:topLinePunct w:val="0"/>
        <w:autoSpaceDE/>
        <w:autoSpaceDN/>
        <w:bidi w:val="0"/>
        <w:spacing w:before="120" w:line="4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水冷系统：</w:t>
      </w:r>
    </w:p>
    <w:p w14:paraId="071C4119">
      <w:pPr>
        <w:pStyle w:val="525"/>
        <w:keepNext w:val="0"/>
        <w:keepLines w:val="0"/>
        <w:pageBreakBefore w:val="0"/>
        <w:widowControl w:val="0"/>
        <w:tabs>
          <w:tab w:val="left" w:pos="2552"/>
        </w:tabs>
        <w:kinsoku/>
        <w:wordWrap/>
        <w:overflowPunct/>
        <w:topLinePunct w:val="0"/>
        <w:autoSpaceDE/>
        <w:autoSpaceDN/>
        <w:bidi w:val="0"/>
        <w:spacing w:line="460" w:lineRule="exact"/>
        <w:ind w:left="1037" w:leftChars="225" w:hanging="564" w:hangingChars="23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.1分体式循环水冷系统，稳定性能好，具有过热保护系统。</w:t>
      </w:r>
    </w:p>
    <w:p w14:paraId="6D390806">
      <w:pPr>
        <w:pStyle w:val="525"/>
        <w:keepNext w:val="0"/>
        <w:keepLines w:val="0"/>
        <w:pageBreakBefore w:val="0"/>
        <w:widowControl w:val="0"/>
        <w:tabs>
          <w:tab w:val="left" w:pos="2552"/>
        </w:tabs>
        <w:kinsoku/>
        <w:wordWrap/>
        <w:overflowPunct/>
        <w:topLinePunct w:val="0"/>
        <w:autoSpaceDE/>
        <w:autoSpaceDN/>
        <w:bidi w:val="0"/>
        <w:spacing w:line="460" w:lineRule="exact"/>
        <w:ind w:left="1037" w:leftChars="225" w:hanging="564" w:hangingChars="23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.2工作要求：连续工作</w:t>
      </w:r>
    </w:p>
    <w:p w14:paraId="4016AA33">
      <w:pPr>
        <w:pStyle w:val="525"/>
        <w:keepNext w:val="0"/>
        <w:keepLines w:val="0"/>
        <w:pageBreakBefore w:val="0"/>
        <w:widowControl w:val="0"/>
        <w:tabs>
          <w:tab w:val="left" w:pos="2552"/>
        </w:tabs>
        <w:kinsoku/>
        <w:wordWrap/>
        <w:overflowPunct/>
        <w:topLinePunct w:val="0"/>
        <w:autoSpaceDE/>
        <w:autoSpaceDN/>
        <w:bidi w:val="0"/>
        <w:spacing w:line="460" w:lineRule="exact"/>
        <w:ind w:left="1037" w:leftChars="225" w:hanging="564" w:hangingChars="23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.3控温精度：优于±1℃</w:t>
      </w:r>
    </w:p>
    <w:p w14:paraId="30BD6FA5">
      <w:pPr>
        <w:pStyle w:val="525"/>
        <w:keepNext w:val="0"/>
        <w:keepLines w:val="0"/>
        <w:pageBreakBefore w:val="0"/>
        <w:widowControl w:val="0"/>
        <w:tabs>
          <w:tab w:val="left" w:pos="2552"/>
        </w:tabs>
        <w:kinsoku/>
        <w:wordWrap/>
        <w:overflowPunct/>
        <w:topLinePunct w:val="0"/>
        <w:autoSpaceDE/>
        <w:autoSpaceDN/>
        <w:bidi w:val="0"/>
        <w:spacing w:line="460" w:lineRule="exact"/>
        <w:ind w:left="1037" w:leftChars="225" w:hanging="564" w:hangingChars="23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.4供水流量：满足发生器工作要求</w:t>
      </w:r>
    </w:p>
    <w:p w14:paraId="2A6FEB06">
      <w:pPr>
        <w:pStyle w:val="525"/>
        <w:keepNext w:val="0"/>
        <w:keepLines w:val="0"/>
        <w:pageBreakBefore w:val="0"/>
        <w:widowControl w:val="0"/>
        <w:tabs>
          <w:tab w:val="left" w:pos="2552"/>
        </w:tabs>
        <w:kinsoku/>
        <w:wordWrap/>
        <w:overflowPunct/>
        <w:topLinePunct w:val="0"/>
        <w:autoSpaceDE/>
        <w:autoSpaceDN/>
        <w:bidi w:val="0"/>
        <w:spacing w:line="460" w:lineRule="exact"/>
        <w:ind w:left="1037" w:leftChars="225" w:hanging="564" w:hangingChars="23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.5水的温度：可调</w:t>
      </w:r>
    </w:p>
    <w:p w14:paraId="2D82609E">
      <w:pPr>
        <w:keepNext w:val="0"/>
        <w:keepLines w:val="0"/>
        <w:pageBreakBefore w:val="0"/>
        <w:widowControl w:val="0"/>
        <w:kinsoku/>
        <w:wordWrap/>
        <w:overflowPunct/>
        <w:topLinePunct w:val="0"/>
        <w:autoSpaceDE/>
        <w:autoSpaceDN/>
        <w:bidi w:val="0"/>
        <w:snapToGrid w:val="0"/>
        <w:spacing w:line="460" w:lineRule="exac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4、工作条件</w:t>
      </w:r>
    </w:p>
    <w:p w14:paraId="68B9115A">
      <w:pPr>
        <w:pStyle w:val="525"/>
        <w:keepNext w:val="0"/>
        <w:keepLines w:val="0"/>
        <w:pageBreakBefore w:val="0"/>
        <w:widowControl w:val="0"/>
        <w:tabs>
          <w:tab w:val="left" w:pos="2552"/>
        </w:tabs>
        <w:kinsoku/>
        <w:wordWrap/>
        <w:overflowPunct/>
        <w:topLinePunct w:val="0"/>
        <w:autoSpaceDE/>
        <w:autoSpaceDN/>
        <w:bidi w:val="0"/>
        <w:spacing w:line="460" w:lineRule="exact"/>
        <w:ind w:left="465"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4.1电源 220V (±10%)，50Hz</w:t>
      </w:r>
    </w:p>
    <w:p w14:paraId="001BAF54">
      <w:pPr>
        <w:pStyle w:val="525"/>
        <w:keepNext w:val="0"/>
        <w:keepLines w:val="0"/>
        <w:pageBreakBefore w:val="0"/>
        <w:widowControl w:val="0"/>
        <w:tabs>
          <w:tab w:val="left" w:pos="2552"/>
        </w:tabs>
        <w:kinsoku/>
        <w:wordWrap/>
        <w:overflowPunct/>
        <w:topLinePunct w:val="0"/>
        <w:autoSpaceDE/>
        <w:autoSpaceDN/>
        <w:bidi w:val="0"/>
        <w:spacing w:line="460" w:lineRule="exact"/>
        <w:ind w:left="465"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4.2环境温度20±5°C</w:t>
      </w:r>
    </w:p>
    <w:p w14:paraId="7CFBC362">
      <w:pPr>
        <w:pStyle w:val="525"/>
        <w:keepNext w:val="0"/>
        <w:keepLines w:val="0"/>
        <w:pageBreakBefore w:val="0"/>
        <w:widowControl w:val="0"/>
        <w:tabs>
          <w:tab w:val="left" w:pos="2552"/>
        </w:tabs>
        <w:kinsoku/>
        <w:wordWrap/>
        <w:overflowPunct/>
        <w:topLinePunct w:val="0"/>
        <w:autoSpaceDE/>
        <w:autoSpaceDN/>
        <w:bidi w:val="0"/>
        <w:spacing w:line="460" w:lineRule="exact"/>
        <w:ind w:left="465"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4.3相对湿度&lt;65%</w:t>
      </w:r>
    </w:p>
    <w:p w14:paraId="73487993">
      <w:pPr>
        <w:pStyle w:val="525"/>
        <w:keepNext w:val="0"/>
        <w:keepLines w:val="0"/>
        <w:pageBreakBefore w:val="0"/>
        <w:widowControl w:val="0"/>
        <w:tabs>
          <w:tab w:val="left" w:pos="2552"/>
        </w:tabs>
        <w:kinsoku/>
        <w:wordWrap/>
        <w:overflowPunct/>
        <w:topLinePunct w:val="0"/>
        <w:autoSpaceDE/>
        <w:autoSpaceDN/>
        <w:bidi w:val="0"/>
        <w:spacing w:line="460" w:lineRule="exact"/>
        <w:ind w:left="465"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4.4连续工作时间：连续操作</w:t>
      </w:r>
    </w:p>
    <w:p w14:paraId="670EB358">
      <w:pPr>
        <w:keepNext w:val="0"/>
        <w:keepLines w:val="0"/>
        <w:pageBreakBefore w:val="0"/>
        <w:widowControl w:val="0"/>
        <w:kinsoku/>
        <w:wordWrap/>
        <w:overflowPunct/>
        <w:topLinePunct w:val="0"/>
        <w:autoSpaceDE/>
        <w:autoSpaceDN/>
        <w:bidi w:val="0"/>
        <w:spacing w:line="460" w:lineRule="exact"/>
        <w:ind w:firstLine="723" w:firstLineChars="300"/>
        <w:rPr>
          <w:rFonts w:hint="eastAsia" w:ascii="宋体" w:hAnsi="宋体" w:eastAsia="宋体" w:cs="宋体"/>
          <w:color w:val="auto"/>
          <w:sz w:val="24"/>
          <w:szCs w:val="24"/>
          <w:highlight w:val="none"/>
          <w:lang w:eastAsia="zh-CN"/>
        </w:rPr>
      </w:pPr>
      <w:r>
        <w:rPr>
          <w:rFonts w:hint="eastAsia" w:ascii="宋体" w:hAnsi="宋体" w:eastAsia="宋体" w:cs="宋体"/>
          <w:b/>
          <w:color w:val="auto"/>
          <w:kern w:val="0"/>
          <w:sz w:val="24"/>
          <w:szCs w:val="24"/>
          <w:highlight w:val="none"/>
        </w:rPr>
        <w:t>▲5、</w:t>
      </w:r>
      <w:r>
        <w:rPr>
          <w:rFonts w:hint="eastAsia" w:ascii="宋体" w:hAnsi="宋体" w:eastAsia="宋体" w:cs="宋体"/>
          <w:color w:val="auto"/>
          <w:kern w:val="2"/>
          <w:sz w:val="24"/>
          <w:szCs w:val="24"/>
          <w:highlight w:val="none"/>
        </w:rPr>
        <w:t>为了保证产品质量，</w:t>
      </w:r>
      <w:r>
        <w:rPr>
          <w:rFonts w:hint="eastAsia" w:ascii="宋体" w:hAnsi="宋体" w:cs="宋体"/>
          <w:bCs/>
          <w:color w:val="auto"/>
          <w:kern w:val="2"/>
          <w:sz w:val="24"/>
          <w:szCs w:val="24"/>
          <w:highlight w:val="none"/>
          <w:lang w:val="en-US" w:eastAsia="zh-CN"/>
        </w:rPr>
        <w:t>投标文件中</w:t>
      </w:r>
      <w:r>
        <w:rPr>
          <w:rFonts w:hint="eastAsia" w:ascii="宋体" w:hAnsi="宋体" w:eastAsia="宋体" w:cs="宋体"/>
          <w:color w:val="auto"/>
          <w:kern w:val="2"/>
          <w:sz w:val="24"/>
          <w:szCs w:val="24"/>
          <w:highlight w:val="none"/>
        </w:rPr>
        <w:t>提供生产厂家针对本项目的授权</w:t>
      </w:r>
      <w:r>
        <w:rPr>
          <w:rFonts w:hint="eastAsia" w:ascii="宋体" w:hAnsi="宋体" w:cs="宋体"/>
          <w:color w:val="auto"/>
          <w:kern w:val="2"/>
          <w:sz w:val="24"/>
          <w:szCs w:val="24"/>
          <w:highlight w:val="none"/>
          <w:lang w:val="en-US" w:eastAsia="zh-CN"/>
        </w:rPr>
        <w:t>书</w:t>
      </w:r>
      <w:r>
        <w:rPr>
          <w:rFonts w:hint="eastAsia" w:ascii="宋体" w:hAnsi="宋体" w:eastAsia="宋体" w:cs="宋体"/>
          <w:color w:val="auto"/>
          <w:kern w:val="2"/>
          <w:sz w:val="24"/>
          <w:szCs w:val="24"/>
          <w:highlight w:val="none"/>
        </w:rPr>
        <w:t>和售后服务</w:t>
      </w:r>
      <w:r>
        <w:rPr>
          <w:rFonts w:hint="eastAsia" w:ascii="宋体" w:hAnsi="宋体" w:cs="宋体"/>
          <w:color w:val="auto"/>
          <w:kern w:val="2"/>
          <w:sz w:val="24"/>
          <w:szCs w:val="24"/>
          <w:highlight w:val="none"/>
          <w:lang w:val="en-US" w:eastAsia="zh-CN"/>
        </w:rPr>
        <w:t>承诺函原件</w:t>
      </w:r>
      <w:r>
        <w:rPr>
          <w:rFonts w:hint="eastAsia" w:ascii="宋体" w:hAnsi="宋体" w:eastAsia="宋体" w:cs="宋体"/>
          <w:color w:val="auto"/>
          <w:kern w:val="2"/>
          <w:sz w:val="24"/>
          <w:szCs w:val="24"/>
          <w:highlight w:val="none"/>
        </w:rPr>
        <w:t>。</w:t>
      </w:r>
    </w:p>
    <w:p w14:paraId="2D0160EB">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eastAsia="zh-CN"/>
        </w:rPr>
        <w:t>（</w:t>
      </w:r>
      <w:r>
        <w:rPr>
          <w:rFonts w:hint="eastAsia" w:ascii="宋体" w:hAnsi="宋体" w:cs="宋体"/>
          <w:b/>
          <w:bCs/>
          <w:color w:val="auto"/>
          <w:kern w:val="2"/>
          <w:sz w:val="24"/>
          <w:szCs w:val="24"/>
          <w:highlight w:val="none"/>
          <w:lang w:val="en-US" w:eastAsia="zh-CN"/>
        </w:rPr>
        <w:t>五</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rPr>
        <w:t>纳米粒度及zeta 电位分析仪</w:t>
      </w:r>
      <w:r>
        <w:rPr>
          <w:rFonts w:hint="eastAsia" w:ascii="宋体" w:hAnsi="宋体" w:eastAsia="宋体" w:cs="宋体"/>
          <w:b/>
          <w:bCs/>
          <w:color w:val="auto"/>
          <w:kern w:val="2"/>
          <w:sz w:val="24"/>
          <w:szCs w:val="24"/>
          <w:highlight w:val="none"/>
          <w:lang w:val="en-US" w:eastAsia="zh-CN"/>
        </w:rPr>
        <w:t>技术参数要求</w:t>
      </w:r>
    </w:p>
    <w:p w14:paraId="249441ED">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lang w:eastAsia="zh-CN"/>
        </w:rPr>
        <w:t>（</w:t>
      </w:r>
      <w:r>
        <w:rPr>
          <w:rFonts w:hint="eastAsia" w:ascii="宋体" w:hAnsi="宋体" w:eastAsia="宋体" w:cs="宋体"/>
          <w:b/>
          <w:color w:val="auto"/>
          <w:kern w:val="2"/>
          <w:sz w:val="24"/>
          <w:szCs w:val="24"/>
          <w:highlight w:val="none"/>
          <w:lang w:val="en-US" w:eastAsia="zh-CN"/>
        </w:rPr>
        <w:t>1</w:t>
      </w:r>
      <w:r>
        <w:rPr>
          <w:rFonts w:hint="eastAsia" w:ascii="宋体" w:hAnsi="宋体" w:eastAsia="宋体" w:cs="宋体"/>
          <w:b/>
          <w:color w:val="auto"/>
          <w:kern w:val="2"/>
          <w:sz w:val="24"/>
          <w:szCs w:val="24"/>
          <w:highlight w:val="none"/>
          <w:lang w:eastAsia="zh-CN"/>
        </w:rPr>
        <w:t>）</w:t>
      </w:r>
      <w:r>
        <w:rPr>
          <w:rFonts w:hint="eastAsia" w:ascii="宋体" w:hAnsi="宋体" w:eastAsia="宋体" w:cs="宋体"/>
          <w:b/>
          <w:color w:val="auto"/>
          <w:kern w:val="2"/>
          <w:sz w:val="24"/>
          <w:szCs w:val="24"/>
          <w:highlight w:val="none"/>
        </w:rPr>
        <w:t>系统</w:t>
      </w:r>
    </w:p>
    <w:p w14:paraId="4EF2DEE8">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▲1.采用高性能He-Ne气体激光器，不采用固体激光器，波长633nm±2nm，最大功率输出&lt;5mW；（投标文件中需提供公开发行的产品彩页）</w:t>
      </w:r>
    </w:p>
    <w:p w14:paraId="5EA51C0A">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2.</w:t>
      </w:r>
      <w:r>
        <w:rPr>
          <w:rFonts w:hint="eastAsia" w:ascii="宋体" w:hAnsi="宋体" w:eastAsia="宋体" w:cs="宋体"/>
          <w:bCs/>
          <w:color w:val="auto"/>
          <w:kern w:val="2"/>
          <w:sz w:val="24"/>
          <w:szCs w:val="24"/>
          <w:highlight w:val="none"/>
        </w:rPr>
        <w:t>激光衰减：在软件界面上应能快速进行设定，可自动选择衰减器，也可手动选择衰减器，衰减器个数应&gt;10个，透射率100%至0.0005%；</w:t>
      </w:r>
    </w:p>
    <w:p w14:paraId="7F04085A">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3</w:t>
      </w:r>
      <w:r>
        <w:rPr>
          <w:rFonts w:hint="eastAsia" w:ascii="宋体" w:hAnsi="宋体" w:eastAsia="宋体" w:cs="宋体"/>
          <w:bCs/>
          <w:color w:val="auto"/>
          <w:kern w:val="2"/>
          <w:sz w:val="24"/>
          <w:szCs w:val="24"/>
          <w:highlight w:val="none"/>
        </w:rPr>
        <w:t>.检测器采用雪崩光电二极管(APD)；</w:t>
      </w:r>
    </w:p>
    <w:p w14:paraId="07180620">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4</w:t>
      </w:r>
      <w:r>
        <w:rPr>
          <w:rFonts w:hint="eastAsia" w:ascii="宋体" w:hAnsi="宋体" w:eastAsia="宋体" w:cs="宋体"/>
          <w:bCs/>
          <w:color w:val="auto"/>
          <w:kern w:val="2"/>
          <w:sz w:val="24"/>
          <w:szCs w:val="24"/>
          <w:highlight w:val="none"/>
        </w:rPr>
        <w:t>.温度控制范围：0℃-115℃；</w:t>
      </w:r>
    </w:p>
    <w:p w14:paraId="68DDFC1D">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cs="宋体"/>
          <w:bCs/>
          <w:color w:val="auto"/>
          <w:kern w:val="2"/>
          <w:sz w:val="24"/>
          <w:szCs w:val="24"/>
          <w:highlight w:val="none"/>
          <w:lang w:val="en-US" w:eastAsia="zh-CN"/>
        </w:rPr>
        <w:t>5</w:t>
      </w:r>
      <w:r>
        <w:rPr>
          <w:rFonts w:hint="eastAsia" w:ascii="宋体" w:hAnsi="宋体" w:eastAsia="宋体" w:cs="宋体"/>
          <w:bCs/>
          <w:color w:val="auto"/>
          <w:kern w:val="2"/>
          <w:sz w:val="24"/>
          <w:szCs w:val="24"/>
          <w:highlight w:val="none"/>
        </w:rPr>
        <w:t xml:space="preserve">.主机具有气体接入端口，在低温测量时，可以通过连接干燥气体控制冷凝； </w:t>
      </w:r>
    </w:p>
    <w:p w14:paraId="04EF1BE6">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bookmarkStart w:id="138" w:name="_Hlk84674634"/>
      <w:r>
        <w:rPr>
          <w:rFonts w:hint="eastAsia" w:ascii="宋体" w:hAnsi="宋体" w:cs="宋体"/>
          <w:bCs/>
          <w:color w:val="auto"/>
          <w:kern w:val="2"/>
          <w:sz w:val="24"/>
          <w:szCs w:val="24"/>
          <w:highlight w:val="none"/>
          <w:lang w:val="en-US" w:eastAsia="zh-CN"/>
        </w:rPr>
        <w:t>6</w:t>
      </w:r>
      <w:r>
        <w:rPr>
          <w:rFonts w:hint="eastAsia" w:ascii="宋体" w:hAnsi="宋体" w:eastAsia="宋体" w:cs="宋体"/>
          <w:bCs/>
          <w:color w:val="auto"/>
          <w:kern w:val="2"/>
          <w:sz w:val="24"/>
          <w:szCs w:val="24"/>
          <w:highlight w:val="none"/>
        </w:rPr>
        <w:t>.配备有荧光滤光片和偏振片，可通过软件操作切换；</w:t>
      </w:r>
    </w:p>
    <w:bookmarkEnd w:id="138"/>
    <w:p w14:paraId="1033DBB1">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lang w:eastAsia="zh-CN"/>
        </w:rPr>
        <w:t>（</w:t>
      </w:r>
      <w:r>
        <w:rPr>
          <w:rFonts w:hint="eastAsia" w:ascii="宋体" w:hAnsi="宋体" w:eastAsia="宋体" w:cs="宋体"/>
          <w:b/>
          <w:color w:val="auto"/>
          <w:kern w:val="2"/>
          <w:sz w:val="24"/>
          <w:szCs w:val="24"/>
          <w:highlight w:val="none"/>
          <w:lang w:val="en-US" w:eastAsia="zh-CN"/>
        </w:rPr>
        <w:t>2</w:t>
      </w:r>
      <w:r>
        <w:rPr>
          <w:rFonts w:hint="eastAsia" w:ascii="宋体" w:hAnsi="宋体" w:eastAsia="宋体" w:cs="宋体"/>
          <w:b/>
          <w:color w:val="auto"/>
          <w:kern w:val="2"/>
          <w:sz w:val="24"/>
          <w:szCs w:val="24"/>
          <w:highlight w:val="none"/>
          <w:lang w:eastAsia="zh-CN"/>
        </w:rPr>
        <w:t>）</w:t>
      </w:r>
      <w:r>
        <w:rPr>
          <w:rFonts w:hint="eastAsia" w:ascii="宋体" w:hAnsi="宋体" w:eastAsia="宋体" w:cs="宋体"/>
          <w:b/>
          <w:color w:val="auto"/>
          <w:kern w:val="2"/>
          <w:sz w:val="24"/>
          <w:szCs w:val="24"/>
          <w:highlight w:val="none"/>
        </w:rPr>
        <w:t>粒度</w:t>
      </w:r>
    </w:p>
    <w:p w14:paraId="172928F5">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1.测量角度采用背向（173°）和前向（13°）；</w:t>
      </w:r>
    </w:p>
    <w:p w14:paraId="3034B4A7">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2.粒度范围：0.3nm-10um；</w:t>
      </w:r>
    </w:p>
    <w:p w14:paraId="7B242207">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3.可自动优化测量位置，也可在0-4.64mm任意固定位置进行测量；</w:t>
      </w:r>
    </w:p>
    <w:p w14:paraId="6F005579">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4.可自动选择测试次数，也可手动选择测试次数，测试次数可在15-90之间选择；</w:t>
      </w:r>
    </w:p>
    <w:p w14:paraId="58463F63">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5.测量时长至少可选择0.839s，1.68s，3.36s，6.71s和13.4s；</w:t>
      </w:r>
    </w:p>
    <w:p w14:paraId="102C53E0">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▲6.软件界面可选择显示稳态数据和瞬时数据；（投标文件中需提供公开发行的产品彩页）</w:t>
      </w:r>
    </w:p>
    <w:p w14:paraId="635EBEBA">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lang w:eastAsia="zh-CN"/>
        </w:rPr>
        <w:t>（</w:t>
      </w:r>
      <w:r>
        <w:rPr>
          <w:rFonts w:hint="eastAsia" w:ascii="宋体" w:hAnsi="宋体" w:eastAsia="宋体" w:cs="宋体"/>
          <w:b/>
          <w:color w:val="auto"/>
          <w:kern w:val="2"/>
          <w:sz w:val="24"/>
          <w:szCs w:val="24"/>
          <w:highlight w:val="none"/>
          <w:lang w:val="en-US" w:eastAsia="zh-CN"/>
        </w:rPr>
        <w:t>3</w:t>
      </w:r>
      <w:r>
        <w:rPr>
          <w:rFonts w:hint="eastAsia" w:ascii="宋体" w:hAnsi="宋体" w:eastAsia="宋体" w:cs="宋体"/>
          <w:b/>
          <w:color w:val="auto"/>
          <w:kern w:val="2"/>
          <w:sz w:val="24"/>
          <w:szCs w:val="24"/>
          <w:highlight w:val="none"/>
          <w:lang w:eastAsia="zh-CN"/>
        </w:rPr>
        <w:t>）</w:t>
      </w:r>
      <w:r>
        <w:rPr>
          <w:rFonts w:hint="eastAsia" w:ascii="宋体" w:hAnsi="宋体" w:eastAsia="宋体" w:cs="宋体"/>
          <w:b/>
          <w:color w:val="auto"/>
          <w:kern w:val="2"/>
          <w:sz w:val="24"/>
          <w:szCs w:val="24"/>
          <w:highlight w:val="none"/>
        </w:rPr>
        <w:t>ZETA电位：</w:t>
      </w:r>
    </w:p>
    <w:p w14:paraId="75AE5BBA">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1.可自动选择测量次数，也可手动选择测量次数，测量次数可在1-30000之间选择；</w:t>
      </w:r>
    </w:p>
    <w:p w14:paraId="12F81567">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2.电压应可在软件界面上选择自动设定，也可选择手动设定，电压范围可在1-110V之间选择；</w:t>
      </w:r>
    </w:p>
    <w:p w14:paraId="23226875">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3.zeta适合检测的粒度范围：3.8nm-100um；</w:t>
      </w:r>
    </w:p>
    <w:p w14:paraId="4412E9E3">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4.zeta电位范围：无有效限制；</w:t>
      </w:r>
    </w:p>
    <w:p w14:paraId="3AC4F1BD">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5.迁移率：无有效限制；</w:t>
      </w:r>
    </w:p>
    <w:p w14:paraId="5D3D493D">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6.采用混合模式测量，即高频电场和低频电场，应在软件界面上显示施加的相位图；</w:t>
      </w:r>
    </w:p>
    <w:p w14:paraId="28C7210C">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▲7.采用恒流模式，避免电极氧化带来的影响，应在软件界面上显示施加的电压和电流图；（投标文件中需提供公开发行的产品彩页）</w:t>
      </w:r>
    </w:p>
    <w:p w14:paraId="0533C2D2">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8.采用可抛弃型折叠毛细管样品池；</w:t>
      </w:r>
    </w:p>
    <w:p w14:paraId="2E7CC87E">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9.可采用扩散障法，避免样品与电极直接接触，最小样品量100μL；（投标文件中需提供公开发行的产品彩页）</w:t>
      </w:r>
    </w:p>
    <w:p w14:paraId="398243FE">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10.电导率范围：0-250mS/cm；</w:t>
      </w:r>
    </w:p>
    <w:p w14:paraId="5E03A4C3">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11.以后可拓展选择自动滴定仪进行Zeta电位的自动化滴定，自动滴定测试应由仪器操作软件直接控制；</w:t>
      </w:r>
    </w:p>
    <w:p w14:paraId="66EDF2B8">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lang w:eastAsia="zh-CN"/>
        </w:rPr>
        <w:t>（</w:t>
      </w:r>
      <w:r>
        <w:rPr>
          <w:rFonts w:hint="eastAsia" w:ascii="宋体" w:hAnsi="宋体" w:eastAsia="宋体" w:cs="宋体"/>
          <w:b/>
          <w:color w:val="auto"/>
          <w:kern w:val="2"/>
          <w:sz w:val="24"/>
          <w:szCs w:val="24"/>
          <w:highlight w:val="none"/>
          <w:lang w:val="en-US" w:eastAsia="zh-CN"/>
        </w:rPr>
        <w:t>4</w:t>
      </w:r>
      <w:r>
        <w:rPr>
          <w:rFonts w:hint="eastAsia" w:ascii="宋体" w:hAnsi="宋体" w:eastAsia="宋体" w:cs="宋体"/>
          <w:b/>
          <w:color w:val="auto"/>
          <w:kern w:val="2"/>
          <w:sz w:val="24"/>
          <w:szCs w:val="24"/>
          <w:highlight w:val="none"/>
          <w:lang w:eastAsia="zh-CN"/>
        </w:rPr>
        <w:t>）</w:t>
      </w:r>
      <w:r>
        <w:rPr>
          <w:rFonts w:hint="eastAsia" w:ascii="宋体" w:hAnsi="宋体" w:eastAsia="宋体" w:cs="宋体"/>
          <w:b/>
          <w:color w:val="auto"/>
          <w:kern w:val="2"/>
          <w:sz w:val="24"/>
          <w:szCs w:val="24"/>
          <w:highlight w:val="none"/>
        </w:rPr>
        <w:t>软件功能</w:t>
      </w:r>
    </w:p>
    <w:p w14:paraId="406567C1">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1.测试方法可一键复制，可进行序列测试；</w:t>
      </w:r>
    </w:p>
    <w:p w14:paraId="39DEB03B">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2.软件界面有质量指示图标，直观显示数据质量的好坏；</w:t>
      </w:r>
    </w:p>
    <w:p w14:paraId="48511B2F">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3.具有数据质量指南功能，在数据质量差时，给出指导意见；（投标文件中需提供公开发行的产品彩页或产品说明书）</w:t>
      </w:r>
    </w:p>
    <w:p w14:paraId="625E293D">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4.测量完成后可自动计算出平均值；</w:t>
      </w:r>
    </w:p>
    <w:p w14:paraId="0A363569">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5.选中多个测试结果时，可以给出标准偏差和相对标准偏差；</w:t>
      </w:r>
    </w:p>
    <w:p w14:paraId="6978D767">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6.具有尺寸显示限制模式，可对尺寸上限和下限进行分别设定；</w:t>
      </w:r>
    </w:p>
    <w:p w14:paraId="62967A1D">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7.测试数据采用数据库方式存储；</w:t>
      </w:r>
    </w:p>
    <w:p w14:paraId="6C2F319F">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lang w:eastAsia="zh-CN"/>
        </w:rPr>
        <w:t>（</w:t>
      </w:r>
      <w:r>
        <w:rPr>
          <w:rFonts w:hint="eastAsia" w:ascii="宋体" w:hAnsi="宋体" w:eastAsia="宋体" w:cs="宋体"/>
          <w:b/>
          <w:color w:val="auto"/>
          <w:kern w:val="2"/>
          <w:sz w:val="24"/>
          <w:szCs w:val="24"/>
          <w:highlight w:val="none"/>
          <w:lang w:val="en-US" w:eastAsia="zh-CN"/>
        </w:rPr>
        <w:t>5</w:t>
      </w:r>
      <w:r>
        <w:rPr>
          <w:rFonts w:hint="eastAsia" w:ascii="宋体" w:hAnsi="宋体" w:eastAsia="宋体" w:cs="宋体"/>
          <w:b/>
          <w:color w:val="auto"/>
          <w:kern w:val="2"/>
          <w:sz w:val="24"/>
          <w:szCs w:val="24"/>
          <w:highlight w:val="none"/>
          <w:lang w:eastAsia="zh-CN"/>
        </w:rPr>
        <w:t>）</w:t>
      </w:r>
      <w:r>
        <w:rPr>
          <w:rFonts w:hint="eastAsia" w:ascii="宋体" w:hAnsi="宋体" w:eastAsia="宋体" w:cs="宋体"/>
          <w:b/>
          <w:color w:val="auto"/>
          <w:kern w:val="2"/>
          <w:sz w:val="24"/>
          <w:szCs w:val="24"/>
          <w:highlight w:val="none"/>
        </w:rPr>
        <w:t>配置要求</w:t>
      </w:r>
    </w:p>
    <w:p w14:paraId="7A0F84C1">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1.主机 1台；</w:t>
      </w:r>
    </w:p>
    <w:p w14:paraId="2DE3D42F">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2.聚苯乙烯粒径池（100个/盒） 1盒；</w:t>
      </w:r>
    </w:p>
    <w:p w14:paraId="5847D636">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3.可抛弃型折叠毛细管样品池（10个/盒） 1盒；</w:t>
      </w:r>
    </w:p>
    <w:p w14:paraId="6E504A37">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4.玻璃样品池 1个；</w:t>
      </w:r>
    </w:p>
    <w:p w14:paraId="3B3BE3E0">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5.电位标样（10ml） 1支；</w:t>
      </w:r>
    </w:p>
    <w:p w14:paraId="28D400DC">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color w:val="auto"/>
          <w:kern w:val="2"/>
          <w:sz w:val="24"/>
          <w:szCs w:val="24"/>
          <w:highlight w:val="none"/>
        </w:rPr>
      </w:pPr>
      <w:r>
        <w:rPr>
          <w:rFonts w:hint="eastAsia" w:ascii="宋体" w:hAnsi="宋体" w:eastAsia="宋体" w:cs="宋体"/>
          <w:bCs/>
          <w:color w:val="auto"/>
          <w:kern w:val="2"/>
          <w:sz w:val="24"/>
          <w:szCs w:val="24"/>
          <w:highlight w:val="none"/>
        </w:rPr>
        <w:t>▲6.为了保证产品质量，</w:t>
      </w:r>
      <w:r>
        <w:rPr>
          <w:rFonts w:hint="eastAsia" w:ascii="宋体" w:hAnsi="宋体" w:cs="宋体"/>
          <w:bCs/>
          <w:color w:val="auto"/>
          <w:kern w:val="2"/>
          <w:sz w:val="24"/>
          <w:szCs w:val="24"/>
          <w:highlight w:val="none"/>
          <w:lang w:val="en-US" w:eastAsia="zh-CN"/>
        </w:rPr>
        <w:t>投标文件中</w:t>
      </w:r>
      <w:r>
        <w:rPr>
          <w:rFonts w:hint="eastAsia" w:ascii="宋体" w:hAnsi="宋体" w:eastAsia="宋体" w:cs="宋体"/>
          <w:color w:val="auto"/>
          <w:kern w:val="2"/>
          <w:sz w:val="24"/>
          <w:szCs w:val="24"/>
          <w:highlight w:val="none"/>
        </w:rPr>
        <w:t>提供生产厂家针对本项目的授权</w:t>
      </w:r>
      <w:r>
        <w:rPr>
          <w:rFonts w:hint="eastAsia" w:ascii="宋体" w:hAnsi="宋体" w:cs="宋体"/>
          <w:color w:val="auto"/>
          <w:kern w:val="2"/>
          <w:sz w:val="24"/>
          <w:szCs w:val="24"/>
          <w:highlight w:val="none"/>
          <w:lang w:val="en-US" w:eastAsia="zh-CN"/>
        </w:rPr>
        <w:t>书</w:t>
      </w:r>
      <w:r>
        <w:rPr>
          <w:rFonts w:hint="eastAsia" w:ascii="宋体" w:hAnsi="宋体" w:eastAsia="宋体" w:cs="宋体"/>
          <w:color w:val="auto"/>
          <w:kern w:val="2"/>
          <w:sz w:val="24"/>
          <w:szCs w:val="24"/>
          <w:highlight w:val="none"/>
        </w:rPr>
        <w:t>和售后服务</w:t>
      </w:r>
      <w:r>
        <w:rPr>
          <w:rFonts w:hint="eastAsia" w:ascii="宋体" w:hAnsi="宋体" w:cs="宋体"/>
          <w:color w:val="auto"/>
          <w:kern w:val="2"/>
          <w:sz w:val="24"/>
          <w:szCs w:val="24"/>
          <w:highlight w:val="none"/>
          <w:lang w:val="en-US" w:eastAsia="zh-CN"/>
        </w:rPr>
        <w:t>承诺函原件</w:t>
      </w:r>
      <w:r>
        <w:rPr>
          <w:rFonts w:hint="eastAsia" w:ascii="宋体" w:hAnsi="宋体" w:eastAsia="宋体" w:cs="宋体"/>
          <w:color w:val="auto"/>
          <w:kern w:val="2"/>
          <w:sz w:val="24"/>
          <w:szCs w:val="24"/>
          <w:highlight w:val="none"/>
        </w:rPr>
        <w:t>。</w:t>
      </w:r>
    </w:p>
    <w:p w14:paraId="2FA7ECFD">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eastAsia="zh-CN"/>
        </w:rPr>
        <w:t>（</w:t>
      </w:r>
      <w:r>
        <w:rPr>
          <w:rFonts w:hint="eastAsia" w:ascii="宋体" w:hAnsi="宋体" w:cs="宋体"/>
          <w:b/>
          <w:bCs/>
          <w:color w:val="auto"/>
          <w:kern w:val="2"/>
          <w:sz w:val="24"/>
          <w:szCs w:val="24"/>
          <w:highlight w:val="none"/>
          <w:lang w:val="en-US" w:eastAsia="zh-CN"/>
        </w:rPr>
        <w:t>六</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rPr>
        <w:t>可控温薄膜拉伸试验机</w:t>
      </w:r>
      <w:r>
        <w:rPr>
          <w:rFonts w:hint="eastAsia" w:ascii="宋体" w:hAnsi="宋体" w:eastAsia="宋体" w:cs="宋体"/>
          <w:b/>
          <w:bCs/>
          <w:color w:val="auto"/>
          <w:kern w:val="2"/>
          <w:sz w:val="24"/>
          <w:szCs w:val="24"/>
          <w:highlight w:val="none"/>
          <w:lang w:val="en-US" w:eastAsia="zh-CN"/>
        </w:rPr>
        <w:t>技术参数要求</w:t>
      </w:r>
    </w:p>
    <w:p w14:paraId="2231B4F7">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机架</w:t>
      </w:r>
    </w:p>
    <w:p w14:paraId="6A23E8C0">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rPr>
        <w:tab/>
      </w:r>
      <w:r>
        <w:rPr>
          <w:rFonts w:hint="eastAsia" w:ascii="宋体" w:hAnsi="宋体" w:eastAsia="宋体" w:cs="宋体"/>
          <w:color w:val="auto"/>
          <w:kern w:val="2"/>
          <w:sz w:val="24"/>
          <w:szCs w:val="24"/>
          <w:highlight w:val="none"/>
        </w:rPr>
        <w:t>双立柱台式机架，最大载荷5 kN，采用高刚性机架结构，实心横梁，机架立柱应具有T型槽便于安装附件；立柱具有固定的测量标尺，以便于设置横梁位置和加载链；具备有两个二级位置限制保障设备运行安全。不接受≥10kN机架挂5kN传感器等改装方案。</w:t>
      </w:r>
    </w:p>
    <w:p w14:paraId="7DC4E91E">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w:t>
      </w:r>
      <w:r>
        <w:rPr>
          <w:rFonts w:hint="eastAsia" w:ascii="宋体" w:hAnsi="宋体" w:eastAsia="宋体" w:cs="宋体"/>
          <w:color w:val="auto"/>
          <w:kern w:val="2"/>
          <w:sz w:val="24"/>
          <w:szCs w:val="24"/>
          <w:highlight w:val="none"/>
        </w:rPr>
        <w:tab/>
      </w:r>
      <w:r>
        <w:rPr>
          <w:rFonts w:hint="eastAsia" w:ascii="宋体" w:hAnsi="宋体" w:eastAsia="宋体" w:cs="宋体"/>
          <w:color w:val="auto"/>
          <w:kern w:val="2"/>
          <w:sz w:val="24"/>
          <w:szCs w:val="24"/>
          <w:highlight w:val="none"/>
        </w:rPr>
        <w:t>速度精度要求：</w:t>
      </w:r>
    </w:p>
    <w:p w14:paraId="55D4B7AC">
      <w:pPr>
        <w:keepNext w:val="0"/>
        <w:keepLines w:val="0"/>
        <w:pageBreakBefore w:val="0"/>
        <w:widowControl w:val="0"/>
        <w:kinsoku/>
        <w:wordWrap/>
        <w:overflowPunct/>
        <w:topLinePunct w:val="0"/>
        <w:autoSpaceDE/>
        <w:autoSpaceDN/>
        <w:bidi w:val="0"/>
        <w:spacing w:line="460" w:lineRule="exact"/>
        <w:ind w:left="0" w:firstLine="240" w:firstLineChars="100"/>
        <w:contextualSpacing/>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2.1机架应具有通过软件定义速度的可变速度点动功能。</w:t>
      </w:r>
    </w:p>
    <w:p w14:paraId="4CC1760C">
      <w:pPr>
        <w:keepNext w:val="0"/>
        <w:keepLines w:val="0"/>
        <w:pageBreakBefore w:val="0"/>
        <w:widowControl w:val="0"/>
        <w:kinsoku/>
        <w:wordWrap/>
        <w:overflowPunct/>
        <w:topLinePunct w:val="0"/>
        <w:autoSpaceDE/>
        <w:autoSpaceDN/>
        <w:bidi w:val="0"/>
        <w:spacing w:line="460" w:lineRule="exact"/>
        <w:ind w:left="0" w:firstLine="240" w:firstLineChars="100"/>
        <w:contextualSpacing/>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2.2测试速度不窄于：0.1-1000mm/min连续可调；</w:t>
      </w:r>
    </w:p>
    <w:p w14:paraId="638FA3FD">
      <w:pPr>
        <w:keepNext w:val="0"/>
        <w:keepLines w:val="0"/>
        <w:pageBreakBefore w:val="0"/>
        <w:widowControl w:val="0"/>
        <w:kinsoku/>
        <w:wordWrap/>
        <w:overflowPunct/>
        <w:topLinePunct w:val="0"/>
        <w:autoSpaceDE/>
        <w:autoSpaceDN/>
        <w:bidi w:val="0"/>
        <w:spacing w:line="460" w:lineRule="exact"/>
        <w:ind w:left="0" w:firstLine="240" w:firstLineChars="100"/>
        <w:contextualSpacing/>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2.3速度精度≤设定速度的+/-0.5%；</w:t>
      </w:r>
    </w:p>
    <w:p w14:paraId="2718C810">
      <w:pPr>
        <w:keepNext w:val="0"/>
        <w:keepLines w:val="0"/>
        <w:pageBreakBefore w:val="0"/>
        <w:widowControl w:val="0"/>
        <w:kinsoku/>
        <w:wordWrap/>
        <w:overflowPunct/>
        <w:topLinePunct w:val="0"/>
        <w:autoSpaceDE/>
        <w:autoSpaceDN/>
        <w:bidi w:val="0"/>
        <w:spacing w:line="460" w:lineRule="exact"/>
        <w:ind w:left="0" w:firstLine="240" w:firstLineChars="100"/>
        <w:contextualSpacing/>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2.4最大横梁返回速度不低于1500mm/min；</w:t>
      </w:r>
    </w:p>
    <w:p w14:paraId="7342B115">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w:t>
      </w:r>
      <w:r>
        <w:rPr>
          <w:rFonts w:hint="eastAsia" w:ascii="宋体" w:hAnsi="宋体" w:eastAsia="宋体" w:cs="宋体"/>
          <w:color w:val="auto"/>
          <w:kern w:val="2"/>
          <w:sz w:val="24"/>
          <w:szCs w:val="24"/>
          <w:highlight w:val="none"/>
        </w:rPr>
        <w:tab/>
      </w:r>
      <w:r>
        <w:rPr>
          <w:rFonts w:hint="eastAsia" w:ascii="宋体" w:hAnsi="宋体" w:eastAsia="宋体" w:cs="宋体"/>
          <w:color w:val="auto"/>
          <w:kern w:val="2"/>
          <w:sz w:val="24"/>
          <w:szCs w:val="24"/>
          <w:highlight w:val="none"/>
        </w:rPr>
        <w:t>位置测量精度：</w:t>
      </w:r>
    </w:p>
    <w:p w14:paraId="77706DCA">
      <w:pPr>
        <w:keepNext w:val="0"/>
        <w:keepLines w:val="0"/>
        <w:pageBreakBefore w:val="0"/>
        <w:widowControl w:val="0"/>
        <w:kinsoku/>
        <w:wordWrap/>
        <w:overflowPunct/>
        <w:topLinePunct w:val="0"/>
        <w:autoSpaceDE/>
        <w:autoSpaceDN/>
        <w:bidi w:val="0"/>
        <w:spacing w:line="460" w:lineRule="exact"/>
        <w:ind w:left="0"/>
        <w:contextualSpacing/>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3.1示值的+/-0.2%以内，或≤+/-0.02mm，取大值；</w:t>
      </w:r>
    </w:p>
    <w:p w14:paraId="2C66B415">
      <w:pPr>
        <w:keepNext w:val="0"/>
        <w:keepLines w:val="0"/>
        <w:pageBreakBefore w:val="0"/>
        <w:widowControl w:val="0"/>
        <w:kinsoku/>
        <w:wordWrap/>
        <w:overflowPunct/>
        <w:topLinePunct w:val="0"/>
        <w:autoSpaceDE/>
        <w:autoSpaceDN/>
        <w:bidi w:val="0"/>
        <w:spacing w:line="460" w:lineRule="exact"/>
        <w:ind w:left="0"/>
        <w:contextualSpacing/>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3.2分辨率≤130nm </w:t>
      </w:r>
    </w:p>
    <w:p w14:paraId="7907660B">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w:t>
      </w:r>
      <w:r>
        <w:rPr>
          <w:rFonts w:hint="eastAsia" w:ascii="宋体" w:hAnsi="宋体" w:eastAsia="宋体" w:cs="宋体"/>
          <w:color w:val="auto"/>
          <w:kern w:val="2"/>
          <w:sz w:val="24"/>
          <w:szCs w:val="24"/>
          <w:highlight w:val="none"/>
        </w:rPr>
        <w:tab/>
      </w:r>
      <w:r>
        <w:rPr>
          <w:rFonts w:hint="eastAsia" w:ascii="宋体" w:hAnsi="宋体" w:eastAsia="宋体" w:cs="宋体"/>
          <w:color w:val="auto"/>
          <w:kern w:val="2"/>
          <w:sz w:val="24"/>
          <w:szCs w:val="24"/>
          <w:highlight w:val="none"/>
        </w:rPr>
        <w:t>配备高性能无刷交流伺服电机，可以保证进行长达10天的循环、松弛或蠕变的试验。</w:t>
      </w:r>
    </w:p>
    <w:p w14:paraId="28960F3A">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▲5.设备配备操作面板，具备解锁、开始、停止、横梁上下移动，横梁自动返回等按键，方便操作。</w:t>
      </w:r>
      <w:r>
        <w:rPr>
          <w:rFonts w:hint="eastAsia" w:ascii="宋体" w:hAnsi="宋体" w:cs="宋体"/>
          <w:color w:val="auto"/>
          <w:kern w:val="2"/>
          <w:sz w:val="24"/>
          <w:szCs w:val="24"/>
          <w:highlight w:val="none"/>
          <w:lang w:val="en-US" w:eastAsia="zh-CN"/>
        </w:rPr>
        <w:t>投</w:t>
      </w:r>
      <w:r>
        <w:rPr>
          <w:rFonts w:hint="eastAsia" w:ascii="宋体" w:hAnsi="宋体" w:eastAsia="宋体" w:cs="宋体"/>
          <w:color w:val="auto"/>
          <w:kern w:val="2"/>
          <w:sz w:val="24"/>
          <w:szCs w:val="24"/>
          <w:highlight w:val="none"/>
        </w:rPr>
        <w:t>标文件中需提供官方公开发行彩页或机器实物照片说明；</w:t>
      </w:r>
    </w:p>
    <w:p w14:paraId="7C49AAB0">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▲6.机架可以给用户提供操作清晰的安全指示，安全指示包括禁用（白色）、设置（蓝色）、警告（黄色）和测试中（红色）等不同状态。</w:t>
      </w:r>
    </w:p>
    <w:p w14:paraId="2D5011C4">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val="en-US" w:eastAsia="zh-CN"/>
        </w:rPr>
        <w:t>投</w:t>
      </w:r>
      <w:r>
        <w:rPr>
          <w:rFonts w:hint="eastAsia" w:ascii="宋体" w:hAnsi="宋体" w:eastAsia="宋体" w:cs="宋体"/>
          <w:color w:val="auto"/>
          <w:kern w:val="2"/>
          <w:sz w:val="24"/>
          <w:szCs w:val="24"/>
          <w:highlight w:val="none"/>
        </w:rPr>
        <w:t>标文件中需提供官方公开发行彩页或机器实物照片说明；</w:t>
      </w:r>
    </w:p>
    <w:p w14:paraId="4DD43401">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 具备碰撞保护功能：横梁移动速度≤600mm/min时发生碰撞，系统将自动停止横梁移动并立即反向制动，防止对设备和试样的损坏，投标时按前述最大速度设定要求夹具对撞、以及向上提升横梁碰撞环境箱顶部内侧佐证碰撞保护功能；</w:t>
      </w:r>
      <w:r>
        <w:rPr>
          <w:rFonts w:hint="eastAsia" w:ascii="宋体" w:hAnsi="宋体" w:cs="宋体"/>
          <w:color w:val="auto"/>
          <w:kern w:val="2"/>
          <w:sz w:val="24"/>
          <w:szCs w:val="24"/>
          <w:highlight w:val="none"/>
          <w:lang w:val="en-US" w:eastAsia="zh-CN"/>
        </w:rPr>
        <w:t>投标</w:t>
      </w:r>
      <w:r>
        <w:rPr>
          <w:rFonts w:hint="eastAsia" w:ascii="宋体" w:hAnsi="宋体" w:eastAsia="宋体" w:cs="宋体"/>
          <w:color w:val="auto"/>
          <w:kern w:val="2"/>
          <w:sz w:val="24"/>
          <w:szCs w:val="24"/>
          <w:highlight w:val="none"/>
        </w:rPr>
        <w:t>文件中需提供官方公开发行样本参数或视频画面以说明</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签订合同前，设备厂家提供设备，并准备各种规格至少包含单丝用5N, 100N以及5000N规格传感器进行实际碰撞验证；验证结果与招标响应一致达到要求后，再行签订合同；</w:t>
      </w:r>
    </w:p>
    <w:p w14:paraId="4BA66844">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数据采集系统</w:t>
      </w:r>
    </w:p>
    <w:p w14:paraId="2CDEE5A2">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▲1.载荷精度：从满程至1/250量程，精度为示值的±0.5％；1/250-1/500量程，精度为示值的±1%。传感器自动识别，并自动校准，并自动设置过载保护。过载性能：150%过载无零点偏移，300%额定载荷无机械损坏。</w:t>
      </w:r>
      <w:r>
        <w:rPr>
          <w:rFonts w:hint="eastAsia" w:ascii="宋体" w:hAnsi="宋体" w:eastAsia="宋体" w:cs="宋体"/>
          <w:color w:val="auto"/>
          <w:kern w:val="2"/>
          <w:sz w:val="24"/>
          <w:szCs w:val="24"/>
          <w:highlight w:val="none"/>
          <w:lang w:val="en-US" w:eastAsia="zh-CN"/>
        </w:rPr>
        <w:t>投</w:t>
      </w:r>
      <w:r>
        <w:rPr>
          <w:rFonts w:hint="eastAsia" w:ascii="宋体" w:hAnsi="宋体" w:eastAsia="宋体" w:cs="宋体"/>
          <w:color w:val="auto"/>
          <w:kern w:val="2"/>
          <w:sz w:val="24"/>
          <w:szCs w:val="24"/>
          <w:highlight w:val="none"/>
        </w:rPr>
        <w:t>标文件中需提供官方公开发行样本参数以说明；</w:t>
      </w:r>
    </w:p>
    <w:p w14:paraId="403BBF69">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w:t>
      </w:r>
      <w:r>
        <w:rPr>
          <w:rFonts w:hint="eastAsia" w:ascii="宋体" w:hAnsi="宋体" w:eastAsia="宋体" w:cs="宋体"/>
          <w:color w:val="auto"/>
          <w:kern w:val="2"/>
          <w:sz w:val="24"/>
          <w:szCs w:val="24"/>
          <w:highlight w:val="none"/>
        </w:rPr>
        <w:tab/>
      </w:r>
      <w:r>
        <w:rPr>
          <w:rFonts w:hint="eastAsia" w:ascii="宋体" w:hAnsi="宋体" w:eastAsia="宋体" w:cs="宋体"/>
          <w:color w:val="auto"/>
          <w:kern w:val="2"/>
          <w:sz w:val="24"/>
          <w:szCs w:val="24"/>
          <w:highlight w:val="none"/>
        </w:rPr>
        <w:t>控制软件应能够可达1,000 Hz的采样速率获取力值、位移和应变通道的数据。采样速率不受变通道数量的影响，在任何测试期间内，可以维持最高采样速率。</w:t>
      </w:r>
    </w:p>
    <w:p w14:paraId="0C1EB6CD">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 为了确保后续维护维修的便捷性，传感器、控制器以及机器必须为同一品牌，不接受拼装机器；</w:t>
      </w:r>
      <w:r>
        <w:rPr>
          <w:rFonts w:hint="eastAsia" w:ascii="宋体" w:hAnsi="宋体" w:eastAsia="宋体" w:cs="宋体"/>
          <w:color w:val="auto"/>
          <w:kern w:val="2"/>
          <w:sz w:val="24"/>
          <w:szCs w:val="24"/>
          <w:highlight w:val="none"/>
          <w:lang w:val="en-US" w:eastAsia="zh-CN"/>
        </w:rPr>
        <w:t>投</w:t>
      </w:r>
      <w:r>
        <w:rPr>
          <w:rFonts w:hint="eastAsia" w:ascii="宋体" w:hAnsi="宋体" w:eastAsia="宋体" w:cs="宋体"/>
          <w:color w:val="auto"/>
          <w:kern w:val="2"/>
          <w:sz w:val="24"/>
          <w:szCs w:val="24"/>
          <w:highlight w:val="none"/>
        </w:rPr>
        <w:t>标文件中需提供传感器、控制器以及机器实物照片以证明；</w:t>
      </w:r>
    </w:p>
    <w:p w14:paraId="6C340F46">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lang w:eastAsia="zh-Hans"/>
        </w:rPr>
      </w:pP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、智能气动控制装置</w:t>
      </w:r>
    </w:p>
    <w:p w14:paraId="6251306B">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系统集成式气动开关装置，配备双踏板脚踏开关，气动夹具控制装置采用分段式气压夹持，系统自动使用低气压预夹持减少夹伤操作人员的风险，试验时自动切换高气压控制测试。</w:t>
      </w:r>
    </w:p>
    <w:p w14:paraId="4A0E7F52">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集成的智能一体化气动控制单元，要求控制器内置主机内部，不允许外挂、外置占用额外空间</w:t>
      </w:r>
      <w:r>
        <w:rPr>
          <w:rFonts w:hint="eastAsia" w:ascii="宋体" w:hAnsi="宋体" w:eastAsia="宋体" w:cs="宋体"/>
          <w:color w:val="auto"/>
          <w:kern w:val="2"/>
          <w:sz w:val="24"/>
          <w:szCs w:val="24"/>
          <w:highlight w:val="none"/>
          <w:lang w:eastAsia="zh-CN"/>
        </w:rPr>
        <w:t>。</w:t>
      </w:r>
    </w:p>
    <w:p w14:paraId="0405A322">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过度拉伸保护功能：测试开始前，在试样达到过度拉伸设定值时，气动夹具自动打开避免试样由于受力过大造成损坏。</w:t>
      </w:r>
      <w:r>
        <w:rPr>
          <w:rFonts w:hint="eastAsia" w:ascii="宋体" w:hAnsi="宋体" w:cs="宋体"/>
          <w:color w:val="auto"/>
          <w:kern w:val="2"/>
          <w:sz w:val="24"/>
          <w:szCs w:val="24"/>
          <w:highlight w:val="none"/>
          <w:lang w:val="en-US" w:eastAsia="zh-CN"/>
        </w:rPr>
        <w:t>投</w:t>
      </w:r>
      <w:r>
        <w:rPr>
          <w:rFonts w:hint="eastAsia" w:ascii="宋体" w:hAnsi="宋体" w:eastAsia="宋体" w:cs="宋体"/>
          <w:color w:val="auto"/>
          <w:kern w:val="2"/>
          <w:sz w:val="24"/>
          <w:szCs w:val="24"/>
          <w:highlight w:val="none"/>
        </w:rPr>
        <w:t>标文件中需提供官方公开发行样本以及关于此功能图片说明</w:t>
      </w:r>
      <w:r>
        <w:rPr>
          <w:rFonts w:hint="eastAsia" w:ascii="宋体" w:hAnsi="宋体" w:eastAsia="宋体" w:cs="宋体"/>
          <w:color w:val="auto"/>
          <w:kern w:val="2"/>
          <w:sz w:val="24"/>
          <w:szCs w:val="24"/>
          <w:highlight w:val="none"/>
          <w:lang w:eastAsia="zh-CN"/>
        </w:rPr>
        <w:t>。</w:t>
      </w:r>
    </w:p>
    <w:p w14:paraId="7595DCD2">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、拉伸夹具</w:t>
      </w:r>
    </w:p>
    <w:p w14:paraId="1EF10047">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最大荷载≥1kN；</w:t>
      </w:r>
    </w:p>
    <w:p w14:paraId="157057FD">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要求气路一进两分双杠杆同步驱动的双面平推结构，确保不同加强片厚度试样能始终夹持在力轴中心线上；</w:t>
      </w:r>
    </w:p>
    <w:p w14:paraId="0E412F1B">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夹具体上设计手拨开关，以便快速打开或关闭夹具；</w:t>
      </w:r>
    </w:p>
    <w:p w14:paraId="729E0230">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夹具体上设计有可调节偏心结构，以便可以开展草料等搭接非对称样品测试；</w:t>
      </w:r>
    </w:p>
    <w:p w14:paraId="5B86A0D6">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夹具体上设计有气流调节阀，用户可以自行调节设定夹面的闭合速度；</w:t>
      </w:r>
    </w:p>
    <w:p w14:paraId="698E1C6A">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val="en-US" w:eastAsia="zh-CN"/>
        </w:rPr>
        <w:t>投</w:t>
      </w:r>
      <w:r>
        <w:rPr>
          <w:rFonts w:hint="eastAsia" w:ascii="宋体" w:hAnsi="宋体" w:eastAsia="宋体" w:cs="宋体"/>
          <w:color w:val="auto"/>
          <w:kern w:val="2"/>
          <w:sz w:val="24"/>
          <w:szCs w:val="24"/>
          <w:highlight w:val="none"/>
        </w:rPr>
        <w:t>标文件中需提供官方公开发行样本照片以说明；</w:t>
      </w:r>
    </w:p>
    <w:p w14:paraId="52D9FC36">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 软件功能要求</w:t>
      </w:r>
    </w:p>
    <w:p w14:paraId="11A8A8E5">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软件支持win11系统，可选中文简体、英文、德国、意大利等多种操作语言，软件的方法符合GB，ASTM，ISO，JIS等不同测试标准，可自定义编辑：拉伸，压缩，弯曲，剥离，摩擦，穿刺，顶破，预循环等试验方法。</w:t>
      </w:r>
    </w:p>
    <w:p w14:paraId="3903C80E">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▲软件具备传感器标定提醒和定期零漂检查功能，实时检查指定时间间隔内可接受的零点漂移误差范围，如果零点漂移检查失败，系统会自动提醒平衡以保证测试精确性。投标文件中需提供软件截图以证明；</w:t>
      </w:r>
    </w:p>
    <w:p w14:paraId="09D1BC3F">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软件可在触控屏上实现多点触控的能力，如通过手指捏放的动作来缩放图形大小，满足工业触摸屏的操作要求。</w:t>
      </w:r>
    </w:p>
    <w:p w14:paraId="15EE1011">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软件允许用户设定一个带提示的试验过程，用户可以根据试验过程中每个步骤自定义各种搭配文本，图片，音频的操作提示，以保证所有操作者正确的测试。</w:t>
      </w:r>
    </w:p>
    <w:p w14:paraId="7DE07799">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▲可以自定义下拉式菜单选项输入，实现选项关联测试参数，大大降低重复输入工作，提高效率。投标文件中需提供软件截图以证明；</w:t>
      </w:r>
    </w:p>
    <w:p w14:paraId="73B7BC40">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▲可实现不同测试方法设置时，预先数字输入试验用气压值，测试时系统自动调用方法测试，气动夹具将自动调节夹持气压，无需手动调节，便于便捷并保持测试一致性。投标文件中需提供软件截图以证明；</w:t>
      </w:r>
    </w:p>
    <w:p w14:paraId="47207AB4">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▲软件测试界面即可实时显示原始数据，而不需要用户使用其他不同的软件来看原始数据表。投标文件中需提供软件截图以证明；</w:t>
      </w:r>
    </w:p>
    <w:p w14:paraId="2F18C016">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-软件包括中、英文和图形显示的完整上下文相关在线帮助。帮助系统会展示你点击帮助时当前操作界面涉及的所有功能解释或算法解析，帮助操作人员快速答疑。</w:t>
      </w:r>
    </w:p>
    <w:p w14:paraId="33F3E02F">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-该软件具备三级用户访问权限管理，并可以分别设置不同操作人员登入权限的有效期以便于实验室管理。长时间试验期间可以锁定软件界面，避免人员离开期间被他人误操作。</w:t>
      </w:r>
    </w:p>
    <w:p w14:paraId="6129E25B">
      <w:pPr>
        <w:keepNext w:val="0"/>
        <w:keepLines w:val="0"/>
        <w:pageBreakBefore w:val="0"/>
        <w:widowControl w:val="0"/>
        <w:kinsoku/>
        <w:wordWrap/>
        <w:overflowPunct/>
        <w:topLinePunct w:val="0"/>
        <w:autoSpaceDE/>
        <w:autoSpaceDN/>
        <w:bidi w:val="0"/>
        <w:spacing w:line="46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、主要配置：</w:t>
      </w:r>
    </w:p>
    <w:p w14:paraId="57E930EB">
      <w:pPr>
        <w:keepNext w:val="0"/>
        <w:keepLines w:val="0"/>
        <w:pageBreakBefore w:val="0"/>
        <w:widowControl w:val="0"/>
        <w:numPr>
          <w:ilvl w:val="0"/>
          <w:numId w:val="3"/>
        </w:numPr>
        <w:kinsoku/>
        <w:wordWrap/>
        <w:overflowPunct/>
        <w:topLinePunct w:val="0"/>
        <w:autoSpaceDE/>
        <w:autoSpaceDN/>
        <w:bidi w:val="0"/>
        <w:spacing w:line="460" w:lineRule="exact"/>
        <w:ind w:left="360" w:hanging="36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5kN试验机主机 一台</w:t>
      </w:r>
    </w:p>
    <w:p w14:paraId="6C46BFEF">
      <w:pPr>
        <w:keepNext w:val="0"/>
        <w:keepLines w:val="0"/>
        <w:pageBreakBefore w:val="0"/>
        <w:widowControl w:val="0"/>
        <w:numPr>
          <w:ilvl w:val="0"/>
          <w:numId w:val="3"/>
        </w:numPr>
        <w:kinsoku/>
        <w:wordWrap/>
        <w:overflowPunct/>
        <w:topLinePunct w:val="0"/>
        <w:autoSpaceDE/>
        <w:autoSpaceDN/>
        <w:bidi w:val="0"/>
        <w:spacing w:line="460" w:lineRule="exact"/>
        <w:ind w:left="360" w:hanging="36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1kN载荷传感器 一套</w:t>
      </w:r>
    </w:p>
    <w:p w14:paraId="20197FE1">
      <w:pPr>
        <w:keepNext w:val="0"/>
        <w:keepLines w:val="0"/>
        <w:pageBreakBefore w:val="0"/>
        <w:widowControl w:val="0"/>
        <w:numPr>
          <w:ilvl w:val="0"/>
          <w:numId w:val="3"/>
        </w:numPr>
        <w:kinsoku/>
        <w:wordWrap/>
        <w:overflowPunct/>
        <w:topLinePunct w:val="0"/>
        <w:autoSpaceDE/>
        <w:autoSpaceDN/>
        <w:bidi w:val="0"/>
        <w:spacing w:line="460" w:lineRule="exact"/>
        <w:ind w:left="360" w:hanging="36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配套软件 一套</w:t>
      </w:r>
    </w:p>
    <w:p w14:paraId="0E548ECF">
      <w:pPr>
        <w:keepNext w:val="0"/>
        <w:keepLines w:val="0"/>
        <w:pageBreakBefore w:val="0"/>
        <w:widowControl w:val="0"/>
        <w:numPr>
          <w:ilvl w:val="0"/>
          <w:numId w:val="3"/>
        </w:numPr>
        <w:kinsoku/>
        <w:wordWrap/>
        <w:overflowPunct/>
        <w:topLinePunct w:val="0"/>
        <w:autoSpaceDE/>
        <w:autoSpaceDN/>
        <w:bidi w:val="0"/>
        <w:spacing w:line="460" w:lineRule="exact"/>
        <w:ind w:left="360" w:hanging="36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1kN气动双面拉伸夹具  一套</w:t>
      </w:r>
    </w:p>
    <w:p w14:paraId="6E17004F">
      <w:pPr>
        <w:keepNext w:val="0"/>
        <w:keepLines w:val="0"/>
        <w:pageBreakBefore w:val="0"/>
        <w:widowControl w:val="0"/>
        <w:numPr>
          <w:ilvl w:val="0"/>
          <w:numId w:val="3"/>
        </w:numPr>
        <w:kinsoku/>
        <w:wordWrap/>
        <w:overflowPunct/>
        <w:topLinePunct w:val="0"/>
        <w:autoSpaceDE/>
        <w:autoSpaceDN/>
        <w:bidi w:val="0"/>
        <w:spacing w:line="460" w:lineRule="exact"/>
        <w:ind w:left="360" w:hanging="36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弯曲试验夹具 一套</w:t>
      </w:r>
    </w:p>
    <w:p w14:paraId="27CF72F4">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w:t>
      </w:r>
      <w:r>
        <w:rPr>
          <w:rFonts w:hint="eastAsia" w:ascii="宋体" w:hAnsi="宋体" w:cs="宋体"/>
          <w:color w:val="auto"/>
          <w:kern w:val="2"/>
          <w:sz w:val="24"/>
          <w:szCs w:val="24"/>
          <w:highlight w:val="none"/>
          <w:lang w:val="en-US" w:eastAsia="zh-CN"/>
        </w:rPr>
        <w:t>7</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、其它：</w:t>
      </w:r>
    </w:p>
    <w:p w14:paraId="6C8E7DC9">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1、签订合同前, 中标厂家在提供一台同型号机型和配置用于各项功能验证；验证结果与招标响应一致达到要求后，再行签订合同；</w:t>
      </w:r>
    </w:p>
    <w:p w14:paraId="1BDDA7B2">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2、为了保证产品质量，</w:t>
      </w:r>
      <w:r>
        <w:rPr>
          <w:rFonts w:hint="eastAsia" w:ascii="宋体" w:hAnsi="宋体" w:cs="宋体"/>
          <w:bCs/>
          <w:color w:val="auto"/>
          <w:kern w:val="2"/>
          <w:sz w:val="24"/>
          <w:szCs w:val="24"/>
          <w:highlight w:val="none"/>
          <w:lang w:val="en-US" w:eastAsia="zh-CN"/>
        </w:rPr>
        <w:t>投标文件中</w:t>
      </w:r>
      <w:r>
        <w:rPr>
          <w:rFonts w:hint="eastAsia" w:ascii="宋体" w:hAnsi="宋体" w:eastAsia="宋体" w:cs="宋体"/>
          <w:color w:val="auto"/>
          <w:kern w:val="2"/>
          <w:sz w:val="24"/>
          <w:szCs w:val="24"/>
          <w:highlight w:val="none"/>
        </w:rPr>
        <w:t>提供生产厂家针对本项目的授权</w:t>
      </w:r>
      <w:r>
        <w:rPr>
          <w:rFonts w:hint="eastAsia" w:ascii="宋体" w:hAnsi="宋体" w:cs="宋体"/>
          <w:color w:val="auto"/>
          <w:kern w:val="2"/>
          <w:sz w:val="24"/>
          <w:szCs w:val="24"/>
          <w:highlight w:val="none"/>
          <w:lang w:val="en-US" w:eastAsia="zh-CN"/>
        </w:rPr>
        <w:t>书</w:t>
      </w:r>
      <w:r>
        <w:rPr>
          <w:rFonts w:hint="eastAsia" w:ascii="宋体" w:hAnsi="宋体" w:eastAsia="宋体" w:cs="宋体"/>
          <w:color w:val="auto"/>
          <w:kern w:val="2"/>
          <w:sz w:val="24"/>
          <w:szCs w:val="24"/>
          <w:highlight w:val="none"/>
        </w:rPr>
        <w:t>和售后服务</w:t>
      </w:r>
      <w:r>
        <w:rPr>
          <w:rFonts w:hint="eastAsia" w:ascii="宋体" w:hAnsi="宋体" w:cs="宋体"/>
          <w:color w:val="auto"/>
          <w:kern w:val="2"/>
          <w:sz w:val="24"/>
          <w:szCs w:val="24"/>
          <w:highlight w:val="none"/>
          <w:lang w:val="en-US" w:eastAsia="zh-CN"/>
        </w:rPr>
        <w:t>承诺函原件</w:t>
      </w:r>
      <w:r>
        <w:rPr>
          <w:rFonts w:hint="eastAsia" w:ascii="宋体" w:hAnsi="宋体" w:eastAsia="宋体" w:cs="宋体"/>
          <w:color w:val="auto"/>
          <w:kern w:val="2"/>
          <w:sz w:val="24"/>
          <w:szCs w:val="24"/>
          <w:highlight w:val="none"/>
        </w:rPr>
        <w:t>。</w:t>
      </w:r>
    </w:p>
    <w:p w14:paraId="544CD05A">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eastAsia="zh-CN"/>
        </w:rPr>
        <w:t>（</w:t>
      </w:r>
      <w:r>
        <w:rPr>
          <w:rFonts w:hint="eastAsia" w:ascii="宋体" w:hAnsi="宋体" w:cs="宋体"/>
          <w:b/>
          <w:bCs/>
          <w:color w:val="auto"/>
          <w:kern w:val="2"/>
          <w:sz w:val="24"/>
          <w:szCs w:val="24"/>
          <w:highlight w:val="none"/>
          <w:lang w:val="en-US" w:eastAsia="zh-CN"/>
        </w:rPr>
        <w:t>七</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rPr>
        <w:t>热重分析仪</w:t>
      </w:r>
      <w:r>
        <w:rPr>
          <w:rFonts w:hint="eastAsia" w:ascii="宋体" w:hAnsi="宋体" w:eastAsia="宋体" w:cs="宋体"/>
          <w:b/>
          <w:bCs/>
          <w:color w:val="auto"/>
          <w:kern w:val="2"/>
          <w:sz w:val="24"/>
          <w:szCs w:val="24"/>
          <w:highlight w:val="none"/>
          <w:lang w:val="en-US" w:eastAsia="zh-CN"/>
        </w:rPr>
        <w:t>技术参数要求</w:t>
      </w:r>
    </w:p>
    <w:p w14:paraId="6B5FA20A">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 xml:space="preserve"> 性能指标</w:t>
      </w:r>
    </w:p>
    <w:p w14:paraId="6B773770">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 温度范围：室温 - 1000 ℃</w:t>
      </w:r>
    </w:p>
    <w:p w14:paraId="11C229CE">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 温度准确度：≤±1℃</w:t>
      </w:r>
    </w:p>
    <w:p w14:paraId="6248A05D">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▲1.3温度精度：≤±0.1℃</w:t>
      </w:r>
    </w:p>
    <w:p w14:paraId="1F3D5537">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▲1.4最大加热速率（瞬时）＞600℃/min；线性加热速率0.1～100℃/min（投标文件中需提供公开发行的产品彩页）</w:t>
      </w:r>
    </w:p>
    <w:p w14:paraId="1B8DB49E">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▲1.5炉子冷却：从1000℃降至 50℃ ＜12分钟（强制空气冷却）</w:t>
      </w:r>
    </w:p>
    <w:p w14:paraId="6A5B69AD">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1.6 称重能力：≥1000 mg </w:t>
      </w:r>
    </w:p>
    <w:p w14:paraId="0CC59698">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1.7 动态秤重范围：0-1000 mg</w:t>
      </w:r>
    </w:p>
    <w:p w14:paraId="7C2063E4">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1.8 分辨率：≤0.1 µg </w:t>
      </w:r>
    </w:p>
    <w:p w14:paraId="6B189274">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1.9 称重精度：≤± 0.01％ </w:t>
      </w:r>
    </w:p>
    <w:p w14:paraId="1D32B8B9">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▲1.10动态基线漂移（室温~1000℃，无基线扣除）：＜25 μg </w:t>
      </w:r>
    </w:p>
    <w:p w14:paraId="1E2671B0">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▲1.11吹扫气方向：水平，避免浮力效应产生</w:t>
      </w:r>
    </w:p>
    <w:p w14:paraId="632AA896">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1.12 样品之间测试时，更换气氛无需重新跑基线</w:t>
      </w:r>
    </w:p>
    <w:p w14:paraId="714F5520">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1.13 自动进样器样品位数：≥一位</w:t>
      </w:r>
    </w:p>
    <w:p w14:paraId="60A415BB">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▲1.14炉体材料和设计：铂铑炉，保证发热体较快的升温速率的同时，增加发热体的寿命，且炉体5年质保。炉体设计：垂直炉体设计，且上样装置：自动进样。</w:t>
      </w:r>
    </w:p>
    <w:p w14:paraId="1864EEF7">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1.15 内置数字式气体质量控制流量计和内置气体自动切换器</w:t>
      </w:r>
      <w:r>
        <w:rPr>
          <w:rFonts w:hint="eastAsia" w:ascii="宋体" w:hAnsi="宋体" w:cs="宋体"/>
          <w:color w:val="auto"/>
          <w:kern w:val="2"/>
          <w:sz w:val="24"/>
          <w:szCs w:val="24"/>
          <w:highlight w:val="none"/>
          <w:lang w:eastAsia="zh-CN"/>
        </w:rPr>
        <w:t>。</w:t>
      </w:r>
    </w:p>
    <w:p w14:paraId="1A528324">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1.16 配自带原厂循环水浴，无需国内额外采购。</w:t>
      </w:r>
    </w:p>
    <w:p w14:paraId="59525E78">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▲1.17、为了保证产品质量，</w:t>
      </w:r>
      <w:r>
        <w:rPr>
          <w:rFonts w:hint="eastAsia" w:ascii="宋体" w:hAnsi="宋体" w:cs="宋体"/>
          <w:bCs/>
          <w:color w:val="auto"/>
          <w:kern w:val="2"/>
          <w:sz w:val="24"/>
          <w:szCs w:val="24"/>
          <w:highlight w:val="none"/>
          <w:lang w:val="en-US" w:eastAsia="zh-CN"/>
        </w:rPr>
        <w:t>投标文件中</w:t>
      </w:r>
      <w:r>
        <w:rPr>
          <w:rFonts w:hint="eastAsia" w:ascii="宋体" w:hAnsi="宋体" w:eastAsia="宋体" w:cs="宋体"/>
          <w:color w:val="auto"/>
          <w:kern w:val="2"/>
          <w:sz w:val="24"/>
          <w:szCs w:val="24"/>
          <w:highlight w:val="none"/>
        </w:rPr>
        <w:t>提供生产厂家针对本项目的授权</w:t>
      </w:r>
      <w:r>
        <w:rPr>
          <w:rFonts w:hint="eastAsia" w:ascii="宋体" w:hAnsi="宋体" w:cs="宋体"/>
          <w:color w:val="auto"/>
          <w:kern w:val="2"/>
          <w:sz w:val="24"/>
          <w:szCs w:val="24"/>
          <w:highlight w:val="none"/>
          <w:lang w:val="en-US" w:eastAsia="zh-CN"/>
        </w:rPr>
        <w:t>书</w:t>
      </w:r>
      <w:r>
        <w:rPr>
          <w:rFonts w:hint="eastAsia" w:ascii="宋体" w:hAnsi="宋体" w:eastAsia="宋体" w:cs="宋体"/>
          <w:color w:val="auto"/>
          <w:kern w:val="2"/>
          <w:sz w:val="24"/>
          <w:szCs w:val="24"/>
          <w:highlight w:val="none"/>
        </w:rPr>
        <w:t>和售后服务</w:t>
      </w:r>
      <w:r>
        <w:rPr>
          <w:rFonts w:hint="eastAsia" w:ascii="宋体" w:hAnsi="宋体" w:cs="宋体"/>
          <w:color w:val="auto"/>
          <w:kern w:val="2"/>
          <w:sz w:val="24"/>
          <w:szCs w:val="24"/>
          <w:highlight w:val="none"/>
          <w:lang w:val="en-US" w:eastAsia="zh-CN"/>
        </w:rPr>
        <w:t>承诺函原件</w:t>
      </w:r>
      <w:r>
        <w:rPr>
          <w:rFonts w:hint="eastAsia" w:ascii="宋体" w:hAnsi="宋体" w:eastAsia="宋体" w:cs="宋体"/>
          <w:color w:val="auto"/>
          <w:kern w:val="2"/>
          <w:sz w:val="24"/>
          <w:szCs w:val="24"/>
          <w:highlight w:val="none"/>
        </w:rPr>
        <w:t>。</w:t>
      </w:r>
    </w:p>
    <w:p w14:paraId="3F3A13EE">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主要配置</w:t>
      </w:r>
    </w:p>
    <w:p w14:paraId="380BF050">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2.1 、主机一台（含加热炉体）；</w:t>
      </w:r>
    </w:p>
    <w:p w14:paraId="357CB64C">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2.2、 温度校正标样一套；</w:t>
      </w:r>
    </w:p>
    <w:p w14:paraId="174DA270">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2.3、重量砝码校正标样一套；</w:t>
      </w:r>
    </w:p>
    <w:p w14:paraId="7414C79A">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2.4、软件4套：具有一键自动分析等软件功能，中英文可切换。至少可以安装在4台电脑上（每套都是完整功能分析软件）。</w:t>
      </w:r>
    </w:p>
    <w:p w14:paraId="3B2F1AE3">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2.5、原装进口循环水浴一台；</w:t>
      </w:r>
    </w:p>
    <w:p w14:paraId="467E296D">
      <w:pPr>
        <w:keepNext w:val="0"/>
        <w:keepLines w:val="0"/>
        <w:pageBreakBefore w:val="0"/>
        <w:widowControl w:val="0"/>
        <w:kinsoku/>
        <w:wordWrap/>
        <w:overflowPunct/>
        <w:topLinePunct w:val="0"/>
        <w:autoSpaceDE/>
        <w:autoSpaceDN/>
        <w:bidi w:val="0"/>
        <w:spacing w:line="46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2.6、内置质量流量计一套；</w:t>
      </w:r>
    </w:p>
    <w:p w14:paraId="2E62E73B">
      <w:pPr>
        <w:keepNext w:val="0"/>
        <w:keepLines w:val="0"/>
        <w:pageBreakBefore w:val="0"/>
        <w:widowControl w:val="0"/>
        <w:kinsoku/>
        <w:wordWrap/>
        <w:overflowPunct/>
        <w:topLinePunct w:val="0"/>
        <w:autoSpaceDE/>
        <w:autoSpaceDN/>
        <w:bidi w:val="0"/>
        <w:spacing w:line="460" w:lineRule="exact"/>
        <w:rPr>
          <w:rFonts w:hint="eastAsia" w:ascii="Calibri" w:hAnsi="Calibri" w:eastAsia="宋体" w:cs="Courier New"/>
          <w:b/>
          <w:bCs/>
          <w:color w:val="auto"/>
          <w:sz w:val="24"/>
          <w:szCs w:val="24"/>
          <w:highlight w:val="none"/>
          <w:lang w:val="en-US" w:eastAsia="zh-CN" w:bidi="ar-SA"/>
        </w:rPr>
      </w:pPr>
      <w:r>
        <w:rPr>
          <w:rFonts w:hint="eastAsia" w:ascii="宋体" w:hAnsi="宋体" w:eastAsia="宋体" w:cs="宋体"/>
          <w:color w:val="auto"/>
          <w:kern w:val="2"/>
          <w:sz w:val="24"/>
          <w:szCs w:val="24"/>
          <w:highlight w:val="none"/>
        </w:rPr>
        <w:t>2.7、铂金盘3个</w:t>
      </w:r>
    </w:p>
    <w:p w14:paraId="50AD3791">
      <w:pPr>
        <w:numPr>
          <w:ilvl w:val="0"/>
          <w:numId w:val="0"/>
        </w:numPr>
        <w:spacing w:line="560" w:lineRule="exact"/>
        <w:ind w:firstLine="480" w:firstLineChars="0"/>
        <w:outlineLvl w:val="1"/>
        <w:rPr>
          <w:rFonts w:hint="eastAsia" w:ascii="Calibri" w:hAnsi="Calibri" w:eastAsia="宋体" w:cs="Courier New"/>
          <w:b/>
          <w:bCs/>
          <w:color w:val="auto"/>
          <w:sz w:val="24"/>
          <w:szCs w:val="24"/>
          <w:highlight w:val="none"/>
          <w:lang w:val="en-US" w:eastAsia="zh-CN" w:bidi="ar-SA"/>
        </w:rPr>
      </w:pPr>
      <w:r>
        <w:rPr>
          <w:rFonts w:hint="eastAsia" w:ascii="Calibri" w:hAnsi="Calibri" w:eastAsia="宋体" w:cs="Courier New"/>
          <w:b/>
          <w:bCs/>
          <w:color w:val="auto"/>
          <w:sz w:val="24"/>
          <w:szCs w:val="24"/>
          <w:highlight w:val="none"/>
          <w:lang w:val="en-US" w:eastAsia="zh-CN" w:bidi="ar-SA"/>
        </w:rPr>
        <w:t>五、项目整体实施要求</w:t>
      </w:r>
    </w:p>
    <w:p w14:paraId="7C956266">
      <w:pPr>
        <w:spacing w:line="520" w:lineRule="exact"/>
        <w:ind w:firstLine="480"/>
        <w:jc w:val="left"/>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1、投标人应在投标文件中提供完备的项目实施方案，包括质量保证方案、现场管理、进度安排方案和突发事件处置方案等。</w:t>
      </w:r>
    </w:p>
    <w:p w14:paraId="6B313385">
      <w:pPr>
        <w:spacing w:line="520" w:lineRule="exact"/>
        <w:ind w:firstLine="480"/>
        <w:jc w:val="left"/>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2、</w:t>
      </w:r>
      <w:r>
        <w:rPr>
          <w:rFonts w:ascii="宋体" w:hAnsi="宋体" w:cs="方正仿宋_GBK"/>
          <w:color w:val="auto"/>
          <w:sz w:val="24"/>
          <w:szCs w:val="24"/>
          <w:highlight w:val="none"/>
        </w:rPr>
        <w:t>质量保障措施</w:t>
      </w:r>
      <w:r>
        <w:rPr>
          <w:rFonts w:hint="eastAsia" w:ascii="宋体" w:hAnsi="宋体" w:cs="方正仿宋_GBK"/>
          <w:color w:val="auto"/>
          <w:sz w:val="24"/>
          <w:szCs w:val="24"/>
          <w:highlight w:val="none"/>
        </w:rPr>
        <w:t>要求</w:t>
      </w:r>
      <w:r>
        <w:rPr>
          <w:rFonts w:ascii="宋体" w:hAnsi="宋体" w:cs="方正仿宋_GBK"/>
          <w:color w:val="auto"/>
          <w:sz w:val="24"/>
          <w:szCs w:val="24"/>
          <w:highlight w:val="none"/>
        </w:rPr>
        <w:t>：投标人应在投标文件中提出详细的</w:t>
      </w:r>
      <w:r>
        <w:rPr>
          <w:rFonts w:hint="eastAsia" w:ascii="宋体" w:hAnsi="宋体" w:cs="方正仿宋_GBK"/>
          <w:color w:val="auto"/>
          <w:sz w:val="24"/>
          <w:szCs w:val="24"/>
          <w:highlight w:val="none"/>
        </w:rPr>
        <w:t>产品生产</w:t>
      </w:r>
      <w:r>
        <w:rPr>
          <w:rFonts w:ascii="宋体" w:hAnsi="宋体" w:cs="方正仿宋_GBK"/>
          <w:color w:val="auto"/>
          <w:sz w:val="24"/>
          <w:szCs w:val="24"/>
          <w:highlight w:val="none"/>
        </w:rPr>
        <w:t>质量管理计划，计划应包含</w:t>
      </w:r>
      <w:r>
        <w:rPr>
          <w:rFonts w:hint="eastAsia" w:ascii="宋体" w:hAnsi="宋体" w:cs="方正仿宋_GBK"/>
          <w:color w:val="auto"/>
          <w:sz w:val="24"/>
          <w:szCs w:val="24"/>
          <w:highlight w:val="none"/>
        </w:rPr>
        <w:t>生产车间安全管理、</w:t>
      </w:r>
      <w:r>
        <w:rPr>
          <w:rFonts w:ascii="宋体" w:hAnsi="宋体" w:cs="方正仿宋_GBK"/>
          <w:color w:val="auto"/>
          <w:sz w:val="24"/>
          <w:szCs w:val="24"/>
          <w:highlight w:val="none"/>
        </w:rPr>
        <w:t>质量控制</w:t>
      </w:r>
      <w:r>
        <w:rPr>
          <w:rFonts w:hint="eastAsia" w:ascii="宋体" w:hAnsi="宋体" w:cs="方正仿宋_GBK"/>
          <w:color w:val="auto"/>
          <w:sz w:val="24"/>
          <w:szCs w:val="24"/>
          <w:highlight w:val="none"/>
        </w:rPr>
        <w:t>措施</w:t>
      </w:r>
      <w:r>
        <w:rPr>
          <w:rFonts w:ascii="宋体" w:hAnsi="宋体" w:cs="方正仿宋_GBK"/>
          <w:color w:val="auto"/>
          <w:sz w:val="24"/>
          <w:szCs w:val="24"/>
          <w:highlight w:val="none"/>
        </w:rPr>
        <w:t>、</w:t>
      </w:r>
      <w:r>
        <w:rPr>
          <w:rFonts w:hint="eastAsia" w:ascii="宋体" w:hAnsi="宋体" w:cs="方正仿宋_GBK"/>
          <w:color w:val="auto"/>
          <w:sz w:val="24"/>
          <w:szCs w:val="24"/>
          <w:highlight w:val="none"/>
        </w:rPr>
        <w:t>出厂</w:t>
      </w:r>
      <w:r>
        <w:rPr>
          <w:rFonts w:ascii="宋体" w:hAnsi="宋体" w:cs="方正仿宋_GBK"/>
          <w:color w:val="auto"/>
          <w:sz w:val="24"/>
          <w:szCs w:val="24"/>
          <w:highlight w:val="none"/>
        </w:rPr>
        <w:t>检验标准</w:t>
      </w:r>
      <w:r>
        <w:rPr>
          <w:rFonts w:hint="eastAsia" w:ascii="宋体" w:hAnsi="宋体" w:cs="方正仿宋_GBK"/>
          <w:color w:val="auto"/>
          <w:sz w:val="24"/>
          <w:szCs w:val="24"/>
          <w:highlight w:val="none"/>
        </w:rPr>
        <w:t>以及</w:t>
      </w:r>
      <w:r>
        <w:rPr>
          <w:rFonts w:ascii="宋体" w:hAnsi="宋体" w:cs="方正仿宋_GBK"/>
          <w:color w:val="auto"/>
          <w:sz w:val="24"/>
          <w:szCs w:val="24"/>
          <w:highlight w:val="none"/>
        </w:rPr>
        <w:t>测试程序。</w:t>
      </w:r>
    </w:p>
    <w:p w14:paraId="2E6531FF">
      <w:pPr>
        <w:spacing w:line="520" w:lineRule="exact"/>
        <w:ind w:firstLine="480"/>
        <w:jc w:val="left"/>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3、</w:t>
      </w:r>
      <w:r>
        <w:rPr>
          <w:rFonts w:ascii="宋体" w:hAnsi="宋体" w:cs="方正仿宋_GBK"/>
          <w:color w:val="auto"/>
          <w:sz w:val="24"/>
          <w:szCs w:val="24"/>
          <w:highlight w:val="none"/>
        </w:rPr>
        <w:t>进度安排</w:t>
      </w:r>
      <w:r>
        <w:rPr>
          <w:rFonts w:hint="eastAsia" w:ascii="宋体" w:hAnsi="宋体" w:cs="方正仿宋_GBK"/>
          <w:color w:val="auto"/>
          <w:sz w:val="24"/>
          <w:szCs w:val="24"/>
          <w:highlight w:val="none"/>
        </w:rPr>
        <w:t>要求</w:t>
      </w:r>
      <w:r>
        <w:rPr>
          <w:rFonts w:ascii="宋体" w:hAnsi="宋体" w:cs="方正仿宋_GBK"/>
          <w:color w:val="auto"/>
          <w:sz w:val="24"/>
          <w:szCs w:val="24"/>
          <w:highlight w:val="none"/>
        </w:rPr>
        <w:t>：投标文件中</w:t>
      </w:r>
      <w:r>
        <w:rPr>
          <w:rFonts w:hint="eastAsia" w:ascii="宋体" w:hAnsi="宋体" w:cs="方正仿宋_GBK"/>
          <w:color w:val="auto"/>
          <w:sz w:val="24"/>
          <w:szCs w:val="24"/>
          <w:highlight w:val="none"/>
        </w:rPr>
        <w:t>需</w:t>
      </w:r>
      <w:r>
        <w:rPr>
          <w:rFonts w:ascii="宋体" w:hAnsi="宋体" w:cs="方正仿宋_GBK"/>
          <w:color w:val="auto"/>
          <w:sz w:val="24"/>
          <w:szCs w:val="24"/>
          <w:highlight w:val="none"/>
        </w:rPr>
        <w:t>包含一份详尽的项目进度计划，有明确的时间节点和进度安排，展示项目各阶段的起止时间、关键</w:t>
      </w:r>
      <w:r>
        <w:rPr>
          <w:rFonts w:hint="eastAsia" w:ascii="宋体" w:hAnsi="宋体" w:cs="方正仿宋_GBK"/>
          <w:color w:val="auto"/>
          <w:sz w:val="24"/>
          <w:szCs w:val="24"/>
          <w:highlight w:val="none"/>
        </w:rPr>
        <w:t>过</w:t>
      </w:r>
      <w:r>
        <w:rPr>
          <w:rFonts w:ascii="宋体" w:hAnsi="宋体" w:cs="方正仿宋_GBK"/>
          <w:color w:val="auto"/>
          <w:sz w:val="24"/>
          <w:szCs w:val="24"/>
          <w:highlight w:val="none"/>
        </w:rPr>
        <w:t>程</w:t>
      </w:r>
      <w:r>
        <w:rPr>
          <w:rFonts w:hint="eastAsia" w:ascii="宋体" w:hAnsi="宋体" w:cs="方正仿宋_GBK"/>
          <w:color w:val="auto"/>
          <w:sz w:val="24"/>
          <w:szCs w:val="24"/>
          <w:highlight w:val="none"/>
        </w:rPr>
        <w:t>等，且要充分考虑暑期暴雨及酷暑影响，避免影响工期</w:t>
      </w:r>
      <w:r>
        <w:rPr>
          <w:rFonts w:ascii="宋体" w:hAnsi="宋体" w:cs="方正仿宋_GBK"/>
          <w:color w:val="auto"/>
          <w:sz w:val="24"/>
          <w:szCs w:val="24"/>
          <w:highlight w:val="none"/>
        </w:rPr>
        <w:t>。</w:t>
      </w:r>
    </w:p>
    <w:p w14:paraId="3E528F9A">
      <w:pPr>
        <w:spacing w:line="520" w:lineRule="exact"/>
        <w:ind w:firstLine="480"/>
        <w:jc w:val="left"/>
        <w:rPr>
          <w:rFonts w:ascii="宋体" w:hAnsi="宋体" w:cs="方正仿宋_GBK"/>
          <w:color w:val="auto"/>
          <w:sz w:val="24"/>
          <w:szCs w:val="24"/>
          <w:highlight w:val="none"/>
        </w:rPr>
      </w:pPr>
      <w:r>
        <w:rPr>
          <w:rFonts w:hint="eastAsia" w:ascii="宋体" w:hAnsi="宋体" w:cs="方正仿宋_GBK"/>
          <w:color w:val="auto"/>
          <w:sz w:val="24"/>
          <w:szCs w:val="24"/>
          <w:highlight w:val="none"/>
        </w:rPr>
        <w:t>4、</w:t>
      </w:r>
      <w:r>
        <w:rPr>
          <w:rFonts w:ascii="宋体" w:hAnsi="宋体" w:cs="方正仿宋_GBK"/>
          <w:color w:val="auto"/>
          <w:sz w:val="24"/>
          <w:szCs w:val="24"/>
          <w:highlight w:val="none"/>
        </w:rPr>
        <w:t>现场管理</w:t>
      </w:r>
      <w:r>
        <w:rPr>
          <w:rFonts w:hint="eastAsia" w:ascii="宋体" w:hAnsi="宋体" w:cs="方正仿宋_GBK"/>
          <w:color w:val="auto"/>
          <w:sz w:val="24"/>
          <w:szCs w:val="24"/>
          <w:highlight w:val="none"/>
        </w:rPr>
        <w:t>要求</w:t>
      </w:r>
      <w:r>
        <w:rPr>
          <w:rFonts w:ascii="宋体" w:hAnsi="宋体" w:cs="方正仿宋_GBK"/>
          <w:color w:val="auto"/>
          <w:sz w:val="24"/>
          <w:szCs w:val="24"/>
          <w:highlight w:val="none"/>
        </w:rPr>
        <w:t>：描述现场管理策略，包括安全</w:t>
      </w:r>
      <w:r>
        <w:rPr>
          <w:rFonts w:hint="eastAsia" w:ascii="宋体" w:hAnsi="宋体" w:cs="方正仿宋_GBK"/>
          <w:color w:val="auto"/>
          <w:sz w:val="24"/>
          <w:szCs w:val="24"/>
          <w:highlight w:val="none"/>
        </w:rPr>
        <w:t>生产措施、</w:t>
      </w:r>
      <w:r>
        <w:rPr>
          <w:rFonts w:ascii="宋体" w:hAnsi="宋体" w:cs="方正仿宋_GBK"/>
          <w:color w:val="auto"/>
          <w:sz w:val="24"/>
          <w:szCs w:val="24"/>
          <w:highlight w:val="none"/>
        </w:rPr>
        <w:t>环境保护措施以及日常</w:t>
      </w:r>
      <w:r>
        <w:rPr>
          <w:rFonts w:hint="eastAsia" w:ascii="宋体" w:hAnsi="宋体" w:cs="方正仿宋_GBK"/>
          <w:color w:val="auto"/>
          <w:sz w:val="24"/>
          <w:szCs w:val="24"/>
          <w:highlight w:val="none"/>
        </w:rPr>
        <w:t>现场管理</w:t>
      </w:r>
      <w:r>
        <w:rPr>
          <w:rFonts w:ascii="宋体" w:hAnsi="宋体" w:cs="方正仿宋_GBK"/>
          <w:color w:val="auto"/>
          <w:sz w:val="24"/>
          <w:szCs w:val="24"/>
          <w:highlight w:val="none"/>
        </w:rPr>
        <w:t>流程等</w:t>
      </w:r>
      <w:r>
        <w:rPr>
          <w:rFonts w:hint="eastAsia" w:ascii="宋体" w:hAnsi="宋体" w:cs="方正仿宋_GBK"/>
          <w:color w:val="auto"/>
          <w:sz w:val="24"/>
          <w:szCs w:val="24"/>
          <w:highlight w:val="none"/>
        </w:rPr>
        <w:t>，以及</w:t>
      </w:r>
      <w:r>
        <w:rPr>
          <w:rFonts w:ascii="宋体" w:hAnsi="宋体" w:cs="方正仿宋_GBK"/>
          <w:color w:val="auto"/>
          <w:sz w:val="24"/>
          <w:szCs w:val="24"/>
          <w:highlight w:val="none"/>
        </w:rPr>
        <w:t>现场安装人员</w:t>
      </w:r>
      <w:r>
        <w:rPr>
          <w:rFonts w:hint="eastAsia" w:ascii="宋体" w:hAnsi="宋体" w:cs="方正仿宋_GBK"/>
          <w:color w:val="auto"/>
          <w:sz w:val="24"/>
          <w:szCs w:val="24"/>
          <w:highlight w:val="none"/>
        </w:rPr>
        <w:t>管理要求，进校施工的人员</w:t>
      </w:r>
      <w:r>
        <w:rPr>
          <w:rFonts w:ascii="宋体" w:hAnsi="宋体" w:cs="方正仿宋_GBK"/>
          <w:color w:val="auto"/>
          <w:sz w:val="24"/>
          <w:szCs w:val="24"/>
          <w:highlight w:val="none"/>
        </w:rPr>
        <w:t>必须严格遵守</w:t>
      </w:r>
      <w:r>
        <w:rPr>
          <w:rFonts w:hint="eastAsia" w:ascii="宋体" w:hAnsi="宋体" w:cs="方正仿宋_GBK"/>
          <w:color w:val="auto"/>
          <w:sz w:val="24"/>
          <w:szCs w:val="24"/>
          <w:highlight w:val="none"/>
        </w:rPr>
        <w:t>学院</w:t>
      </w:r>
      <w:r>
        <w:rPr>
          <w:rFonts w:ascii="宋体" w:hAnsi="宋体" w:cs="方正仿宋_GBK"/>
          <w:color w:val="auto"/>
          <w:sz w:val="24"/>
          <w:szCs w:val="24"/>
          <w:highlight w:val="none"/>
        </w:rPr>
        <w:t>规章制度，自觉接受检查，无证人员一律不得进入安装现场，</w:t>
      </w:r>
      <w:r>
        <w:rPr>
          <w:rFonts w:hint="eastAsia" w:ascii="宋体" w:hAnsi="宋体" w:cs="方正仿宋_GBK"/>
          <w:color w:val="auto"/>
          <w:sz w:val="24"/>
          <w:szCs w:val="24"/>
          <w:highlight w:val="none"/>
        </w:rPr>
        <w:t>在规定的区域施工，</w:t>
      </w:r>
      <w:r>
        <w:rPr>
          <w:rFonts w:ascii="宋体" w:hAnsi="宋体" w:cs="方正仿宋_GBK"/>
          <w:color w:val="auto"/>
          <w:sz w:val="24"/>
          <w:szCs w:val="24"/>
          <w:highlight w:val="none"/>
        </w:rPr>
        <w:t>未经批准不得进入其他区域。</w:t>
      </w:r>
    </w:p>
    <w:p w14:paraId="4D9F6B92">
      <w:pPr>
        <w:spacing w:line="520" w:lineRule="exact"/>
        <w:ind w:firstLine="480"/>
        <w:jc w:val="left"/>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5、突发事件处置要求：投标人应充分考虑履约过程可能遇到的各种突发情况，有针对性的制订预防措施，</w:t>
      </w:r>
      <w:r>
        <w:rPr>
          <w:rFonts w:ascii="宋体" w:hAnsi="宋体" w:cs="方正仿宋_GBK"/>
          <w:color w:val="auto"/>
          <w:sz w:val="24"/>
          <w:szCs w:val="24"/>
          <w:highlight w:val="none"/>
        </w:rPr>
        <w:t>需在投标文件中</w:t>
      </w:r>
      <w:r>
        <w:rPr>
          <w:rFonts w:hint="eastAsia" w:ascii="宋体" w:hAnsi="宋体" w:cs="方正仿宋_GBK"/>
          <w:color w:val="auto"/>
          <w:sz w:val="24"/>
          <w:szCs w:val="24"/>
          <w:highlight w:val="none"/>
        </w:rPr>
        <w:t>进行</w:t>
      </w:r>
      <w:r>
        <w:rPr>
          <w:rFonts w:hint="eastAsia" w:ascii="宋体" w:hAnsi="宋体" w:cs="方正仿宋_GBK"/>
          <w:color w:val="auto"/>
          <w:sz w:val="24"/>
          <w:szCs w:val="24"/>
          <w:highlight w:val="none"/>
          <w:lang w:val="en-US" w:eastAsia="zh-CN"/>
        </w:rPr>
        <w:t>详细</w:t>
      </w:r>
      <w:r>
        <w:rPr>
          <w:rFonts w:hint="eastAsia" w:ascii="宋体" w:hAnsi="宋体" w:cs="方正仿宋_GBK"/>
          <w:color w:val="auto"/>
          <w:sz w:val="24"/>
          <w:szCs w:val="24"/>
          <w:highlight w:val="none"/>
        </w:rPr>
        <w:t>阐述，并</w:t>
      </w:r>
      <w:r>
        <w:rPr>
          <w:rFonts w:ascii="宋体" w:hAnsi="宋体" w:cs="方正仿宋_GBK"/>
          <w:color w:val="auto"/>
          <w:sz w:val="24"/>
          <w:szCs w:val="24"/>
          <w:highlight w:val="none"/>
        </w:rPr>
        <w:t>建立一个明确的沟通框架，包括定期</w:t>
      </w:r>
      <w:r>
        <w:rPr>
          <w:rFonts w:hint="eastAsia" w:ascii="宋体" w:hAnsi="宋体" w:cs="方正仿宋_GBK"/>
          <w:color w:val="auto"/>
          <w:sz w:val="24"/>
          <w:szCs w:val="24"/>
          <w:highlight w:val="none"/>
        </w:rPr>
        <w:t>回访</w:t>
      </w:r>
      <w:r>
        <w:rPr>
          <w:rFonts w:ascii="宋体" w:hAnsi="宋体" w:cs="方正仿宋_GBK"/>
          <w:color w:val="auto"/>
          <w:sz w:val="24"/>
          <w:szCs w:val="24"/>
          <w:highlight w:val="none"/>
        </w:rPr>
        <w:t>、问题解决机制及变更管理流程。</w:t>
      </w:r>
    </w:p>
    <w:p w14:paraId="045EAEFE">
      <w:pPr>
        <w:spacing w:line="520" w:lineRule="exact"/>
        <w:ind w:firstLine="480"/>
        <w:jc w:val="left"/>
        <w:outlineLvl w:val="1"/>
        <w:rPr>
          <w:rFonts w:hint="eastAsia" w:ascii="宋体" w:hAnsi="宋体" w:eastAsia="宋体" w:cs="方正仿宋_GBK"/>
          <w:b/>
          <w:bCs/>
          <w:color w:val="auto"/>
          <w:sz w:val="24"/>
          <w:szCs w:val="24"/>
          <w:highlight w:val="none"/>
          <w:lang w:val="en-US" w:eastAsia="zh-CN"/>
        </w:rPr>
      </w:pPr>
      <w:r>
        <w:rPr>
          <w:rFonts w:hint="eastAsia" w:ascii="宋体" w:hAnsi="宋体" w:eastAsia="宋体" w:cs="方正仿宋_GBK"/>
          <w:b/>
          <w:bCs/>
          <w:color w:val="auto"/>
          <w:sz w:val="24"/>
          <w:szCs w:val="24"/>
          <w:highlight w:val="none"/>
          <w:lang w:val="en-US" w:eastAsia="zh-CN"/>
        </w:rPr>
        <w:t>六、培训要求</w:t>
      </w:r>
    </w:p>
    <w:p w14:paraId="0AD22046">
      <w:pPr>
        <w:spacing w:line="520" w:lineRule="exact"/>
        <w:ind w:firstLine="480"/>
        <w:jc w:val="left"/>
        <w:rPr>
          <w:rFonts w:hint="eastAsia"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lang w:val="en-US" w:eastAsia="zh-CN"/>
        </w:rPr>
        <w:t>根据该项目提供符合采购人情况的培训服务方案。包括培训内容、培训时间、培训地点、培训目标、培训人数、培训方法等。</w:t>
      </w:r>
    </w:p>
    <w:p w14:paraId="6CBE2D64">
      <w:pPr>
        <w:spacing w:line="520" w:lineRule="exact"/>
        <w:ind w:firstLine="480"/>
        <w:jc w:val="left"/>
        <w:rPr>
          <w:rFonts w:hint="eastAsia"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lang w:val="en-US" w:eastAsia="zh-CN"/>
        </w:rPr>
        <w:t>1、要求：人员的操作培训和售后培训以及采购人所需的技术支持。承诺完善、具体合理、服务时间长、有明确、具体可行的培训方案和措施，保证采购人能熟练操作和正常使用、具有技术支持的能力并且有明确、合理、可行的支持方案。</w:t>
      </w:r>
    </w:p>
    <w:p w14:paraId="7EF442B0">
      <w:pPr>
        <w:spacing w:line="520" w:lineRule="exact"/>
        <w:ind w:firstLine="480"/>
        <w:jc w:val="left"/>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2、中标人必须为所有被培训人员提供培训用文字资料和讲义等相关用品。所有的资料必须是中文书写。上述资料的费用包含在投标报价内。</w:t>
      </w:r>
    </w:p>
    <w:p w14:paraId="6F6B8AC0">
      <w:pPr>
        <w:spacing w:line="520" w:lineRule="exact"/>
        <w:ind w:firstLine="480"/>
        <w:jc w:val="left"/>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所有的培训费用包括差旅、食宿、教材、资料等由中标人负责，均计入投标报价中。</w:t>
      </w:r>
    </w:p>
    <w:p w14:paraId="70B14067">
      <w:pPr>
        <w:numPr>
          <w:ilvl w:val="0"/>
          <w:numId w:val="0"/>
        </w:numPr>
        <w:spacing w:line="520" w:lineRule="exact"/>
        <w:ind w:firstLine="48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rPr>
        <w:t>培训地点：由采购人指定。</w:t>
      </w:r>
    </w:p>
    <w:p w14:paraId="03FE504A">
      <w:pPr>
        <w:spacing w:line="520" w:lineRule="exact"/>
        <w:ind w:firstLine="480"/>
        <w:jc w:val="left"/>
        <w:outlineLvl w:val="1"/>
        <w:rPr>
          <w:rFonts w:hint="eastAsia" w:ascii="宋体" w:hAnsi="宋体" w:eastAsia="宋体" w:cs="方正仿宋_GBK"/>
          <w:b/>
          <w:bCs/>
          <w:color w:val="auto"/>
          <w:sz w:val="24"/>
          <w:szCs w:val="24"/>
          <w:highlight w:val="none"/>
          <w:lang w:val="en-US" w:eastAsia="zh-CN"/>
        </w:rPr>
      </w:pPr>
      <w:r>
        <w:rPr>
          <w:rFonts w:hint="eastAsia" w:ascii="宋体" w:hAnsi="宋体" w:cs="方正仿宋_GBK"/>
          <w:b/>
          <w:bCs/>
          <w:color w:val="auto"/>
          <w:sz w:val="24"/>
          <w:szCs w:val="24"/>
          <w:highlight w:val="none"/>
          <w:lang w:val="en-US" w:eastAsia="zh-CN"/>
        </w:rPr>
        <w:t>七</w:t>
      </w:r>
      <w:r>
        <w:rPr>
          <w:rFonts w:hint="eastAsia" w:ascii="宋体" w:hAnsi="宋体" w:eastAsia="宋体" w:cs="方正仿宋_GBK"/>
          <w:b/>
          <w:bCs/>
          <w:color w:val="auto"/>
          <w:sz w:val="24"/>
          <w:szCs w:val="24"/>
          <w:highlight w:val="none"/>
          <w:lang w:val="en-US" w:eastAsia="zh-CN"/>
        </w:rPr>
        <w:t>、售后服务要求</w:t>
      </w:r>
    </w:p>
    <w:p w14:paraId="3C4F739D">
      <w:pPr>
        <w:spacing w:line="560" w:lineRule="exact"/>
        <w:ind w:firstLine="480"/>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1、中标人对所售出的产品实行三包：</w:t>
      </w:r>
      <w:r>
        <w:rPr>
          <w:rFonts w:hint="eastAsia" w:ascii="宋体" w:hAnsi="宋体" w:eastAsia="宋体" w:cs="方正仿宋_GBK"/>
          <w:color w:val="auto"/>
          <w:sz w:val="24"/>
          <w:szCs w:val="24"/>
          <w:highlight w:val="none"/>
          <w:lang w:val="en-US" w:eastAsia="zh-CN"/>
        </w:rPr>
        <w:t>质保期按照厂家提供</w:t>
      </w:r>
      <w:r>
        <w:rPr>
          <w:rFonts w:hint="eastAsia" w:ascii="Times New Roman" w:hAnsi="Times New Roman" w:eastAsia="宋体" w:cs="Times New Roman"/>
          <w:color w:val="auto"/>
          <w:kern w:val="0"/>
          <w:sz w:val="24"/>
          <w:szCs w:val="21"/>
          <w:highlight w:val="none"/>
          <w:lang w:val="en-US" w:eastAsia="zh-CN"/>
        </w:rPr>
        <w:t>的免费保修期年限执行（最低不少于1</w:t>
      </w:r>
      <w:r>
        <w:rPr>
          <w:rFonts w:hint="eastAsia" w:ascii="Times New Roman" w:hAnsi="Times New Roman" w:eastAsia="宋体" w:cs="Times New Roman"/>
          <w:color w:val="auto"/>
          <w:kern w:val="0"/>
          <w:sz w:val="24"/>
          <w:szCs w:val="21"/>
          <w:highlight w:val="none"/>
        </w:rPr>
        <w:t>年</w:t>
      </w:r>
      <w:r>
        <w:rPr>
          <w:rFonts w:hint="eastAsia" w:ascii="Times New Roman" w:hAnsi="Times New Roman" w:eastAsia="宋体" w:cs="Times New Roman"/>
          <w:color w:val="auto"/>
          <w:kern w:val="0"/>
          <w:sz w:val="24"/>
          <w:szCs w:val="21"/>
          <w:highlight w:val="none"/>
          <w:lang w:val="en-US" w:eastAsia="zh-CN"/>
        </w:rPr>
        <w:t>）</w:t>
      </w:r>
      <w:r>
        <w:rPr>
          <w:rFonts w:hint="eastAsia" w:ascii="Times New Roman" w:hAnsi="Times New Roman" w:eastAsia="宋体" w:cs="Times New Roman"/>
          <w:color w:val="auto"/>
          <w:kern w:val="0"/>
          <w:sz w:val="24"/>
          <w:szCs w:val="21"/>
          <w:highlight w:val="none"/>
        </w:rPr>
        <w:t>，自项目验收合格之日起</w:t>
      </w:r>
      <w:r>
        <w:rPr>
          <w:rFonts w:hint="eastAsia" w:ascii="Times New Roman" w:hAnsi="Times New Roman" w:eastAsia="宋体" w:cs="Times New Roman"/>
          <w:color w:val="auto"/>
          <w:kern w:val="0"/>
          <w:sz w:val="24"/>
          <w:szCs w:val="21"/>
          <w:highlight w:val="none"/>
          <w:lang w:eastAsia="zh-CN"/>
        </w:rPr>
        <w:t>，</w:t>
      </w:r>
      <w:r>
        <w:rPr>
          <w:rFonts w:hint="eastAsia" w:ascii="宋体" w:hAnsi="宋体" w:eastAsia="宋体" w:cs="方正仿宋_GBK"/>
          <w:color w:val="auto"/>
          <w:sz w:val="24"/>
          <w:szCs w:val="24"/>
          <w:highlight w:val="none"/>
        </w:rPr>
        <w:t>即产品在正常使用情况下发生质量问题时，供方应按使用方的要求，负责对产品实行包修、包换、包退。</w:t>
      </w:r>
    </w:p>
    <w:p w14:paraId="25FE0C4F">
      <w:pPr>
        <w:spacing w:line="520" w:lineRule="exact"/>
        <w:ind w:firstLine="480"/>
        <w:jc w:val="left"/>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2、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p>
    <w:p w14:paraId="704063F5">
      <w:pPr>
        <w:spacing w:line="520" w:lineRule="exact"/>
        <w:ind w:firstLine="480"/>
        <w:jc w:val="left"/>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3、售后服务期内容，产品发生质量问题，中标人应在接到采购人提出故障通知半小时以内做出响应，24小时内到达现场予以排除故障、修复或更换零部件，或启用替代品。如需更换设备或送修，需在2个工作日内解决，涉及安全方面的问题4小时内解决。相关费用包含在本次投标报价内。 </w:t>
      </w:r>
    </w:p>
    <w:p w14:paraId="182B4339">
      <w:pPr>
        <w:spacing w:line="520" w:lineRule="exact"/>
        <w:ind w:firstLine="480"/>
        <w:jc w:val="left"/>
        <w:outlineLvl w:val="1"/>
        <w:rPr>
          <w:rFonts w:hint="eastAsia" w:ascii="宋体" w:hAnsi="宋体" w:eastAsia="宋体" w:cs="方正仿宋_GBK"/>
          <w:b/>
          <w:bCs/>
          <w:color w:val="auto"/>
          <w:sz w:val="24"/>
          <w:szCs w:val="24"/>
          <w:highlight w:val="none"/>
          <w:lang w:val="en-US" w:eastAsia="zh-CN"/>
        </w:rPr>
      </w:pPr>
      <w:r>
        <w:rPr>
          <w:rFonts w:hint="eastAsia" w:ascii="宋体" w:hAnsi="宋体" w:cs="方正仿宋_GBK"/>
          <w:b/>
          <w:bCs/>
          <w:color w:val="auto"/>
          <w:sz w:val="24"/>
          <w:szCs w:val="24"/>
          <w:highlight w:val="none"/>
          <w:lang w:val="en-US" w:eastAsia="zh-CN"/>
        </w:rPr>
        <w:t>八</w:t>
      </w:r>
      <w:r>
        <w:rPr>
          <w:rFonts w:hint="eastAsia" w:ascii="宋体" w:hAnsi="宋体" w:eastAsia="宋体" w:cs="方正仿宋_GBK"/>
          <w:b/>
          <w:bCs/>
          <w:color w:val="auto"/>
          <w:sz w:val="24"/>
          <w:szCs w:val="24"/>
          <w:highlight w:val="none"/>
          <w:lang w:val="en-US" w:eastAsia="zh-CN"/>
        </w:rPr>
        <w:t>、验收要求</w:t>
      </w:r>
    </w:p>
    <w:p w14:paraId="771C16E2">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1、招标文件、投标文件、厂家货物技术标准说明及有关国家的质量标准规定，均作为验收标准。</w:t>
      </w:r>
    </w:p>
    <w:p w14:paraId="30F1EAC9">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完成后，由采购人组织对中标人的验收。如有需要，采购人有权邀请国家认可的质量检测机构参加验收工作。验收时中标人代表必须在场。验收合格后，中标人凭采购人出具的验收合格书至采购人处根据合同规定办理付款手续。</w:t>
      </w:r>
    </w:p>
    <w:p w14:paraId="2CEB12FC">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3、验收不合格或不符合质量要求，中标人除无条件退货、返工外，还应承担采购人的一切损失。</w:t>
      </w:r>
    </w:p>
    <w:p w14:paraId="594C4B3D">
      <w:pPr>
        <w:widowControl/>
        <w:spacing w:line="480" w:lineRule="exact"/>
        <w:ind w:firstLine="480"/>
        <w:jc w:val="left"/>
        <w:outlineLvl w:val="1"/>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lang w:val="en-US" w:eastAsia="zh-CN"/>
        </w:rPr>
        <w:t>、其他要求</w:t>
      </w:r>
    </w:p>
    <w:p w14:paraId="741D0E7C">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（1）投标人须承担本项目实施过程涉及的全部费用（包括设备、辅材、测试等），项目实施过程必须接受采购人全程跟踪管理。</w:t>
      </w:r>
    </w:p>
    <w:p w14:paraId="1CD15AE4">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所投产品的设计、部署、实施等活动须满足《计算机网络安全管理办法》、《计算机信息系统安全保护条例》、《网络安全法》、《数据安全法》等相关法律法规的要求并承担相应安全责任。如因产品设计缺陷、部署或运维规范问题导致了采购人损失，中标供应商需对此类事件负责并承担由此造成的经济损失，承担的赔付金额不低于损失金额。</w:t>
      </w:r>
    </w:p>
    <w:p w14:paraId="120C3C60">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（3）供货要求</w:t>
      </w:r>
    </w:p>
    <w:p w14:paraId="0B2B4F33">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a、中标人应确保提供的设备和配件的完整性、实用性。</w:t>
      </w:r>
    </w:p>
    <w:p w14:paraId="511E5DFC">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b、交货方式：中标人在采购人指定地点交货，并完成安装、调试。</w:t>
      </w:r>
    </w:p>
    <w:p w14:paraId="0BDDE5B8">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c、交货地点：采购人指定地点，由中标人负责办理运输和装卸等，费用由中标人负责，采购人组织验收，检验不合格或不符合质量要求，中标人除无条件退货、返工外，还应承担采购人由此造成的一切损失。</w:t>
      </w:r>
    </w:p>
    <w:p w14:paraId="30FC80F8">
      <w:pPr>
        <w:widowControl/>
        <w:spacing w:line="480" w:lineRule="exact"/>
        <w:ind w:firstLine="480"/>
        <w:jc w:val="left"/>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w:t>
      </w:r>
      <w:r>
        <w:rPr>
          <w:rFonts w:hint="eastAsia" w:ascii="宋体" w:hAnsi="宋体" w:cs="宋体"/>
          <w:b/>
          <w:bCs/>
          <w:color w:val="auto"/>
          <w:sz w:val="24"/>
          <w:szCs w:val="24"/>
          <w:highlight w:val="none"/>
          <w:lang w:val="en-US" w:eastAsia="zh-CN"/>
        </w:rPr>
        <w:t>商</w:t>
      </w:r>
      <w:r>
        <w:rPr>
          <w:rFonts w:hint="eastAsia" w:ascii="宋体" w:hAnsi="宋体" w:eastAsia="宋体" w:cs="宋体"/>
          <w:b/>
          <w:bCs/>
          <w:color w:val="auto"/>
          <w:sz w:val="24"/>
          <w:szCs w:val="24"/>
          <w:highlight w:val="none"/>
          <w:lang w:val="en-US" w:eastAsia="zh-CN"/>
        </w:rPr>
        <w:t>品包装环保要求</w:t>
      </w:r>
    </w:p>
    <w:p w14:paraId="1DD36810">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1、商品包装层数不得超过 3 层，空隙率不大于40%； </w:t>
      </w:r>
    </w:p>
    <w:p w14:paraId="0F9A1A53">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2、商品包装尽可能使用单一材质的包装材料，如因功能需求必需使用不同材质，不同材质间应便于分离； </w:t>
      </w:r>
    </w:p>
    <w:p w14:paraId="51C9800F">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3、商品包装中铅、汞、镉、六价铬的总含量应不大于100mg/kg； </w:t>
      </w:r>
    </w:p>
    <w:p w14:paraId="3792C689">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4、商品包装印刷使用的油墨中挥发性有机化合物(VOCs) 含量应不大于 5%（以重量计）； </w:t>
      </w:r>
    </w:p>
    <w:p w14:paraId="66F3897C">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5、塑料材质商品包装上呈现的印刷颜色不得超过 6 色； </w:t>
      </w:r>
    </w:p>
    <w:p w14:paraId="7E6EF7A6">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6、纸质商品包装应使用75%以上的可再生纤维原料生产； </w:t>
      </w:r>
    </w:p>
    <w:p w14:paraId="095C2FFA">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7、木质商品包装的原料应来源于可持续性森林。 </w:t>
      </w:r>
    </w:p>
    <w:p w14:paraId="4872124E">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注：检测方法 （1）商品包装中重金属（铅、汞、镉、六价铬）总量的检测按照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p>
    <w:p w14:paraId="36594559">
      <w:pPr>
        <w:widowControl/>
        <w:spacing w:line="480" w:lineRule="exact"/>
        <w:ind w:firstLine="480"/>
        <w:jc w:val="left"/>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w:t>
      </w:r>
      <w:r>
        <w:rPr>
          <w:rFonts w:hint="eastAsia" w:ascii="宋体" w:hAnsi="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val="en-US" w:eastAsia="zh-CN"/>
        </w:rPr>
        <w:t>、快递包装环保要求</w:t>
      </w:r>
    </w:p>
    <w:p w14:paraId="66F89AAF">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1、快递包装中重金属（铅、汞、镉、六价铬）总量应不大于100mg/kg；</w:t>
      </w:r>
    </w:p>
    <w:p w14:paraId="141B90BE">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2、快递包装印刷使用的油墨中不应添加邻苯二甲酸酯，其挥发性有机化合物（VOCs）含量应不大于5%（以重量计）；</w:t>
      </w:r>
    </w:p>
    <w:p w14:paraId="6AA8C45C">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3、快递包装中使用纸基材的包装材料，纸基材中的有机氯的含量应不大于150 mg/kg；</w:t>
      </w:r>
    </w:p>
    <w:p w14:paraId="3D672232">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166C1C38">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5、快递中使用的塑料包装袋不得使用聚氯乙烯作为原料，且原料应为单一材质制成，生物分解率大于60%；</w:t>
      </w:r>
    </w:p>
    <w:p w14:paraId="69D6EAC0">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6、快递中使用的充气类填充物不得使用聚氯乙烯作为原料，且原料为单一材质制成，生物分解率大于60%；</w:t>
      </w:r>
    </w:p>
    <w:p w14:paraId="0116B742">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7、快递中使用的集装袋应为单一材质制成，其重复使用次数应不小于80次；</w:t>
      </w:r>
    </w:p>
    <w:p w14:paraId="1E39780E">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8、快递中应使用幅宽不大于45mm 的生物降解胶带；</w:t>
      </w:r>
    </w:p>
    <w:p w14:paraId="6BC5C474">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9、快递包装中不得使用溶剂型胶粘剂；</w:t>
      </w:r>
    </w:p>
    <w:p w14:paraId="0CFAB166">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10、快递应使用电子面单；</w:t>
      </w:r>
    </w:p>
    <w:p w14:paraId="33EA98DF">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11、直接使用商品包装作为快递包装的商品，其商品包装满足《商品包装政府采购需求标准（试行）》即可；</w:t>
      </w:r>
    </w:p>
    <w:p w14:paraId="35BD5B7A">
      <w:pPr>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12、快递包装产品质量和封装方式应符合相关国家或行业标准技术指标要求。</w:t>
      </w:r>
    </w:p>
    <w:p w14:paraId="56C1A6C7">
      <w:pPr>
        <w:widowControl/>
        <w:spacing w:line="480" w:lineRule="exact"/>
        <w:ind w:firstLine="480"/>
        <w:jc w:val="left"/>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w:t>
      </w:r>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、政府采购中实施本国产品标准及相关政策</w:t>
      </w:r>
    </w:p>
    <w:p w14:paraId="4D5DDB62">
      <w:pPr>
        <w:widowControl/>
        <w:spacing w:line="48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1、本项目对采购本国产品给予政策支持，具体内容见“招标文件-第二章 投标人须知：6.5采购本国产品的支持政策。”</w:t>
      </w:r>
    </w:p>
    <w:p w14:paraId="245E8C3D">
      <w:pPr>
        <w:widowControl/>
        <w:spacing w:line="48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AE07122">
      <w:pPr>
        <w:widowControl/>
        <w:spacing w:line="48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auto"/>
          <w:sz w:val="24"/>
          <w:szCs w:val="24"/>
          <w:highlight w:val="none"/>
          <w:lang w:val="en-US" w:eastAsia="zh-CN"/>
        </w:rPr>
        <w:tab/>
      </w:r>
    </w:p>
    <w:p w14:paraId="3A90BFB9">
      <w:pPr>
        <w:widowControl/>
        <w:spacing w:line="480" w:lineRule="exact"/>
        <w:ind w:firstLine="480"/>
        <w:jc w:val="left"/>
        <w:outlineLvl w:val="1"/>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w:t>
      </w: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、本项目</w:t>
      </w:r>
      <w:r>
        <w:rPr>
          <w:rFonts w:hint="eastAsia" w:ascii="宋体" w:hAnsi="宋体" w:eastAsia="宋体" w:cs="宋体"/>
          <w:b/>
          <w:bCs/>
          <w:color w:val="auto"/>
          <w:sz w:val="24"/>
          <w:szCs w:val="24"/>
          <w:highlight w:val="none"/>
        </w:rPr>
        <w:t>接受进口产品。</w:t>
      </w:r>
      <w:r>
        <w:rPr>
          <w:rFonts w:hint="eastAsia" w:ascii="宋体" w:hAnsi="宋体" w:eastAsia="宋体" w:cs="宋体"/>
          <w:color w:val="auto"/>
          <w:sz w:val="24"/>
          <w:highlight w:val="none"/>
        </w:rPr>
        <w:t>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highlight w:val="none"/>
          <w:lang w:eastAsia="zh-CN"/>
        </w:rPr>
        <w:t>。</w:t>
      </w:r>
    </w:p>
    <w:p w14:paraId="29A23D1D">
      <w:pPr>
        <w:rPr>
          <w:rFonts w:hint="eastAsia" w:ascii="宋体" w:hAnsi="宋体" w:eastAsia="宋体" w:cs="宋体"/>
          <w:color w:val="auto"/>
          <w:sz w:val="32"/>
          <w:szCs w:val="32"/>
          <w:highlight w:val="none"/>
        </w:rPr>
      </w:pPr>
    </w:p>
    <w:p w14:paraId="66B6F2F6">
      <w:pPr>
        <w:ind w:firstLine="640"/>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rPr>
        <w:t>本项目采购需求中</w:t>
      </w:r>
      <w:r>
        <w:rPr>
          <w:rFonts w:hint="eastAsia" w:ascii="宋体" w:hAnsi="宋体" w:eastAsia="宋体" w:cs="宋体"/>
          <w:b/>
          <w:color w:val="auto"/>
          <w:sz w:val="32"/>
          <w:szCs w:val="32"/>
          <w:highlight w:val="none"/>
        </w:rPr>
        <w:t>★</w:t>
      </w:r>
      <w:r>
        <w:rPr>
          <w:rFonts w:hint="eastAsia" w:ascii="宋体" w:hAnsi="宋体" w:eastAsia="宋体" w:cs="宋体"/>
          <w:color w:val="auto"/>
          <w:sz w:val="32"/>
          <w:szCs w:val="32"/>
          <w:highlight w:val="none"/>
        </w:rPr>
        <w:t>项为实质性条款要求，不接受负偏离，否则按无效标处理。</w:t>
      </w:r>
    </w:p>
    <w:p w14:paraId="7E4C2D4F">
      <w:pPr>
        <w:spacing w:line="500" w:lineRule="exact"/>
        <w:jc w:val="center"/>
        <w:outlineLvl w:val="0"/>
        <w:rPr>
          <w:rFonts w:hint="eastAsia" w:ascii="宋体" w:hAnsi="宋体" w:eastAsia="宋体" w:cs="宋体"/>
          <w:b/>
          <w:color w:val="auto"/>
          <w:sz w:val="44"/>
          <w:szCs w:val="44"/>
          <w:highlight w:val="none"/>
        </w:rPr>
      </w:pPr>
      <w:r>
        <w:rPr>
          <w:rFonts w:hint="eastAsia" w:ascii="宋体" w:hAnsi="宋体" w:eastAsia="宋体" w:cs="宋体"/>
          <w:b/>
          <w:color w:val="auto"/>
          <w:sz w:val="32"/>
          <w:szCs w:val="32"/>
          <w:highlight w:val="none"/>
        </w:rPr>
        <w:br w:type="page" w:clear="all"/>
      </w:r>
      <w:bookmarkEnd w:id="130"/>
      <w:bookmarkEnd w:id="131"/>
      <w:bookmarkEnd w:id="132"/>
      <w:bookmarkEnd w:id="133"/>
      <w:bookmarkEnd w:id="134"/>
      <w:bookmarkStart w:id="139" w:name="_Toc81575207"/>
      <w:bookmarkStart w:id="140" w:name="_Toc22853"/>
      <w:bookmarkStart w:id="141" w:name="_Toc12937"/>
      <w:bookmarkStart w:id="142" w:name="_Toc81575170"/>
      <w:bookmarkStart w:id="143" w:name="_Toc9003"/>
      <w:bookmarkStart w:id="144" w:name="_Toc19649"/>
      <w:r>
        <w:rPr>
          <w:rFonts w:hint="eastAsia" w:ascii="宋体" w:hAnsi="宋体" w:eastAsia="宋体" w:cs="宋体"/>
          <w:b/>
          <w:color w:val="auto"/>
          <w:sz w:val="44"/>
          <w:szCs w:val="44"/>
          <w:highlight w:val="none"/>
        </w:rPr>
        <w:t xml:space="preserve">第五章  </w:t>
      </w:r>
      <w:r>
        <w:rPr>
          <w:rFonts w:hint="eastAsia" w:ascii="宋体" w:hAnsi="宋体" w:eastAsia="宋体" w:cs="宋体"/>
          <w:b/>
          <w:color w:val="auto"/>
          <w:sz w:val="44"/>
          <w:highlight w:val="none"/>
        </w:rPr>
        <w:t>合同格式及条款（草案）</w:t>
      </w:r>
    </w:p>
    <w:p w14:paraId="6EAD576A">
      <w:pPr>
        <w:pStyle w:val="508"/>
        <w:rPr>
          <w:rFonts w:hint="eastAsia" w:ascii="宋体" w:hAnsi="宋体" w:eastAsia="宋体" w:cs="宋体"/>
          <w:b/>
          <w:color w:val="auto"/>
          <w:sz w:val="44"/>
          <w:szCs w:val="44"/>
          <w:highlight w:val="none"/>
          <w:lang w:eastAsia="zh-CN"/>
        </w:rPr>
      </w:pPr>
    </w:p>
    <w:p w14:paraId="7687CBC4">
      <w:pPr>
        <w:spacing w:line="500" w:lineRule="exact"/>
        <w:ind w:firstLine="480"/>
        <w:rPr>
          <w:rFonts w:hint="default" w:ascii="Times New Roman" w:hAnsi="Times New Roman"/>
          <w:bCs/>
          <w:caps w:val="0"/>
          <w:color w:val="auto"/>
          <w:kern w:val="2"/>
          <w:sz w:val="24"/>
          <w:szCs w:val="21"/>
          <w:highlight w:val="none"/>
        </w:rPr>
      </w:pPr>
      <w:bookmarkStart w:id="145" w:name="_Toc513029243"/>
      <w:bookmarkStart w:id="146" w:name="_Toc20823315"/>
      <w:bookmarkStart w:id="147" w:name="_Toc16938559"/>
      <w:r>
        <w:rPr>
          <w:rFonts w:hint="eastAsia" w:ascii="Times New Roman" w:hAnsi="Times New Roman"/>
          <w:bCs/>
          <w:caps w:val="0"/>
          <w:color w:val="auto"/>
          <w:kern w:val="2"/>
          <w:sz w:val="24"/>
          <w:szCs w:val="21"/>
          <w:highlight w:val="none"/>
        </w:rPr>
        <w:t>以下为中标后签定本项目合同的通用条款，投标人不得提出实质性的修改。</w:t>
      </w:r>
    </w:p>
    <w:p w14:paraId="0C40D61F">
      <w:pPr>
        <w:spacing w:line="500" w:lineRule="exact"/>
        <w:ind w:firstLine="480"/>
        <w:rPr>
          <w:rFonts w:hint="default" w:ascii="Times New Roman" w:hAnsi="Times New Roman"/>
          <w:bCs/>
          <w:caps w:val="0"/>
          <w:color w:val="auto"/>
          <w:kern w:val="2"/>
          <w:sz w:val="24"/>
          <w:szCs w:val="21"/>
          <w:highlight w:val="none"/>
        </w:rPr>
      </w:pPr>
      <w:r>
        <w:rPr>
          <w:rFonts w:hint="eastAsia" w:ascii="Times New Roman" w:hAnsi="Times New Roman"/>
          <w:bCs/>
          <w:caps w:val="0"/>
          <w:color w:val="auto"/>
          <w:kern w:val="2"/>
          <w:sz w:val="24"/>
          <w:szCs w:val="21"/>
          <w:highlight w:val="none"/>
        </w:rPr>
        <w:t>关于专用条款将由采购人与投标人结合本项目具体情况协商后签订。</w:t>
      </w:r>
      <w:bookmarkEnd w:id="145"/>
      <w:bookmarkEnd w:id="146"/>
      <w:bookmarkEnd w:id="147"/>
    </w:p>
    <w:p w14:paraId="6A3131A8">
      <w:pPr>
        <w:spacing w:before="120" w:beforeLines="0" w:after="120" w:afterLines="0"/>
        <w:jc w:val="center"/>
        <w:outlineLvl w:val="0"/>
        <w:rPr>
          <w:rFonts w:hint="eastAsia" w:ascii="Times New Roman" w:hAnsi="Times New Roman"/>
          <w:b/>
          <w:caps w:val="0"/>
          <w:color w:val="auto"/>
          <w:kern w:val="2"/>
          <w:sz w:val="30"/>
          <w:szCs w:val="21"/>
          <w:highlight w:val="none"/>
        </w:rPr>
      </w:pPr>
      <w:bookmarkStart w:id="148" w:name="_Hlt16619369"/>
      <w:bookmarkEnd w:id="148"/>
      <w:bookmarkStart w:id="149" w:name="_Toc155086567"/>
      <w:r>
        <w:rPr>
          <w:rFonts w:hint="eastAsia" w:ascii="Times New Roman" w:hAnsi="Times New Roman"/>
          <w:b/>
          <w:caps w:val="0"/>
          <w:color w:val="auto"/>
          <w:kern w:val="2"/>
          <w:sz w:val="30"/>
          <w:szCs w:val="21"/>
          <w:highlight w:val="none"/>
        </w:rPr>
        <w:t>政府采购合同（货物）</w:t>
      </w:r>
    </w:p>
    <w:p w14:paraId="5E80C64C">
      <w:pPr>
        <w:spacing w:before="120" w:beforeLines="0" w:after="120" w:afterLines="0"/>
        <w:jc w:val="center"/>
        <w:outlineLvl w:val="0"/>
        <w:rPr>
          <w:rFonts w:hint="default" w:ascii="Times New Roman" w:hAnsi="Times New Roman"/>
          <w:b/>
          <w:bCs/>
          <w:caps w:val="0"/>
          <w:color w:val="auto"/>
          <w:kern w:val="2"/>
          <w:sz w:val="30"/>
          <w:szCs w:val="20"/>
          <w:highlight w:val="none"/>
        </w:rPr>
      </w:pPr>
      <w:r>
        <w:rPr>
          <w:rFonts w:hint="eastAsia" w:ascii="Times New Roman" w:hAnsi="Times New Roman"/>
          <w:b/>
          <w:caps w:val="0"/>
          <w:color w:val="auto"/>
          <w:kern w:val="2"/>
          <w:sz w:val="30"/>
          <w:szCs w:val="21"/>
          <w:highlight w:val="none"/>
        </w:rPr>
        <w:t>（合同编号）</w:t>
      </w:r>
      <w:bookmarkEnd w:id="149"/>
    </w:p>
    <w:p w14:paraId="5214903F">
      <w:pPr>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依照《中华人民共和国政府采购法》及其实施条例、《中华人民共和国民法典（第三编合同）》及其他有关法律、行政法规，遵循平等、自愿、公平和诚实信用的原则，双方就</w:t>
      </w:r>
      <w:r>
        <w:rPr>
          <w:rFonts w:hint="eastAsia" w:ascii="宋体" w:hAnsi="宋体" w:eastAsia="宋体" w:cs="宋体"/>
          <w:color w:val="auto"/>
          <w:kern w:val="2"/>
          <w:sz w:val="24"/>
          <w:szCs w:val="24"/>
          <w:highlight w:val="none"/>
          <w:u w:val="single"/>
        </w:rPr>
        <w:t>项目编号</w:t>
      </w:r>
      <w:r>
        <w:rPr>
          <w:rFonts w:hint="eastAsia" w:ascii="宋体" w:hAnsi="宋体" w:eastAsia="宋体" w:cs="宋体"/>
          <w:color w:val="auto"/>
          <w:kern w:val="2"/>
          <w:sz w:val="24"/>
          <w:szCs w:val="24"/>
          <w:highlight w:val="none"/>
        </w:rPr>
        <w:t>，项目名称：</w:t>
      </w:r>
      <w:r>
        <w:rPr>
          <w:rFonts w:hint="eastAsia" w:ascii="宋体" w:hAnsi="宋体" w:eastAsia="宋体" w:cs="宋体"/>
          <w:color w:val="auto"/>
          <w:kern w:val="2"/>
          <w:sz w:val="24"/>
          <w:szCs w:val="24"/>
          <w:highlight w:val="none"/>
          <w:u w:val="single"/>
        </w:rPr>
        <w:t>宿迁学院显微镜及其他光学跟踪测量仪等设备采购项目</w:t>
      </w:r>
      <w:r>
        <w:rPr>
          <w:rFonts w:hint="eastAsia" w:ascii="宋体" w:hAnsi="宋体" w:eastAsia="宋体" w:cs="宋体"/>
          <w:color w:val="auto"/>
          <w:kern w:val="2"/>
          <w:sz w:val="24"/>
          <w:szCs w:val="24"/>
          <w:highlight w:val="none"/>
        </w:rPr>
        <w:t>相关事项协商一致，达成如下合同条款：</w:t>
      </w:r>
    </w:p>
    <w:p w14:paraId="498CED65">
      <w:pPr>
        <w:spacing w:line="360" w:lineRule="auto"/>
        <w:ind w:firstLine="482"/>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一、乙方向甲方提供总价值为元的标的物（货物）。</w:t>
      </w:r>
    </w:p>
    <w:p w14:paraId="32723E55">
      <w:pPr>
        <w:spacing w:line="360" w:lineRule="auto"/>
        <w:ind w:firstLine="482"/>
        <w:jc w:val="center"/>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主要标的物清单（详细列明）</w:t>
      </w:r>
    </w:p>
    <w:tbl>
      <w:tblPr>
        <w:tblStyle w:val="30"/>
        <w:tblW w:w="0" w:type="auto"/>
        <w:tblInd w:w="91" w:type="dxa"/>
        <w:tblLayout w:type="fixed"/>
        <w:tblCellMar>
          <w:top w:w="0" w:type="dxa"/>
          <w:left w:w="108" w:type="dxa"/>
          <w:bottom w:w="0" w:type="dxa"/>
          <w:right w:w="108" w:type="dxa"/>
        </w:tblCellMar>
      </w:tblPr>
      <w:tblGrid>
        <w:gridCol w:w="1080"/>
        <w:gridCol w:w="3040"/>
        <w:gridCol w:w="1240"/>
        <w:gridCol w:w="1080"/>
        <w:gridCol w:w="1080"/>
        <w:gridCol w:w="1080"/>
      </w:tblGrid>
      <w:tr w14:paraId="3172B135">
        <w:tblPrEx>
          <w:tblCellMar>
            <w:top w:w="0" w:type="dxa"/>
            <w:left w:w="108" w:type="dxa"/>
            <w:bottom w:w="0" w:type="dxa"/>
            <w:right w:w="108" w:type="dxa"/>
          </w:tblCellMar>
        </w:tblPrEx>
        <w:trPr>
          <w:trHeight w:val="570" w:hRule="atLeast"/>
        </w:trPr>
        <w:tc>
          <w:tcPr>
            <w:tcW w:w="1080" w:type="dxa"/>
            <w:tcBorders>
              <w:top w:val="single" w:color="auto" w:sz="4" w:space="0"/>
              <w:left w:val="single" w:color="auto" w:sz="4" w:space="0"/>
              <w:bottom w:val="single" w:color="auto" w:sz="4" w:space="0"/>
              <w:right w:val="single" w:color="auto" w:sz="4" w:space="0"/>
            </w:tcBorders>
            <w:noWrap w:val="0"/>
            <w:vAlign w:val="center"/>
          </w:tcPr>
          <w:p w14:paraId="191BD0B2">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序号</w:t>
            </w:r>
          </w:p>
        </w:tc>
        <w:tc>
          <w:tcPr>
            <w:tcW w:w="3040" w:type="dxa"/>
            <w:tcBorders>
              <w:top w:val="single" w:color="auto" w:sz="4" w:space="0"/>
              <w:left w:val="nil"/>
              <w:bottom w:val="single" w:color="auto" w:sz="4" w:space="0"/>
              <w:right w:val="single" w:color="auto" w:sz="4" w:space="0"/>
            </w:tcBorders>
            <w:noWrap w:val="0"/>
            <w:vAlign w:val="center"/>
          </w:tcPr>
          <w:p w14:paraId="53E2C0EC">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货物名称.品牌.规格.型号</w:t>
            </w:r>
          </w:p>
        </w:tc>
        <w:tc>
          <w:tcPr>
            <w:tcW w:w="1240" w:type="dxa"/>
            <w:tcBorders>
              <w:top w:val="single" w:color="auto" w:sz="4" w:space="0"/>
              <w:left w:val="nil"/>
              <w:bottom w:val="single" w:color="auto" w:sz="4" w:space="0"/>
              <w:right w:val="single" w:color="auto" w:sz="4" w:space="0"/>
            </w:tcBorders>
            <w:noWrap w:val="0"/>
            <w:vAlign w:val="center"/>
          </w:tcPr>
          <w:p w14:paraId="3BFDD868">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单位</w:t>
            </w:r>
          </w:p>
        </w:tc>
        <w:tc>
          <w:tcPr>
            <w:tcW w:w="1080" w:type="dxa"/>
            <w:tcBorders>
              <w:top w:val="single" w:color="auto" w:sz="4" w:space="0"/>
              <w:left w:val="nil"/>
              <w:bottom w:val="single" w:color="auto" w:sz="4" w:space="0"/>
              <w:right w:val="single" w:color="auto" w:sz="4" w:space="0"/>
            </w:tcBorders>
            <w:noWrap w:val="0"/>
            <w:vAlign w:val="center"/>
          </w:tcPr>
          <w:p w14:paraId="7FA4D3D8">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数量</w:t>
            </w:r>
          </w:p>
        </w:tc>
        <w:tc>
          <w:tcPr>
            <w:tcW w:w="1080" w:type="dxa"/>
            <w:tcBorders>
              <w:top w:val="single" w:color="auto" w:sz="4" w:space="0"/>
              <w:left w:val="nil"/>
              <w:bottom w:val="single" w:color="auto" w:sz="4" w:space="0"/>
              <w:right w:val="single" w:color="auto" w:sz="4" w:space="0"/>
            </w:tcBorders>
            <w:noWrap w:val="0"/>
            <w:vAlign w:val="center"/>
          </w:tcPr>
          <w:p w14:paraId="1E41A6DE">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单价（元）</w:t>
            </w:r>
          </w:p>
        </w:tc>
        <w:tc>
          <w:tcPr>
            <w:tcW w:w="1080" w:type="dxa"/>
            <w:tcBorders>
              <w:top w:val="single" w:color="auto" w:sz="4" w:space="0"/>
              <w:left w:val="nil"/>
              <w:bottom w:val="single" w:color="auto" w:sz="4" w:space="0"/>
              <w:right w:val="single" w:color="auto" w:sz="4" w:space="0"/>
            </w:tcBorders>
            <w:noWrap w:val="0"/>
            <w:vAlign w:val="center"/>
          </w:tcPr>
          <w:p w14:paraId="215499A5">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总价（元）</w:t>
            </w:r>
          </w:p>
        </w:tc>
      </w:tr>
      <w:tr w14:paraId="3F7F9B29">
        <w:tblPrEx>
          <w:tblCellMar>
            <w:top w:w="0" w:type="dxa"/>
            <w:left w:w="108" w:type="dxa"/>
            <w:bottom w:w="0" w:type="dxa"/>
            <w:right w:w="108" w:type="dxa"/>
          </w:tblCellMar>
        </w:tblPrEx>
        <w:trPr>
          <w:trHeight w:val="547" w:hRule="atLeast"/>
        </w:trPr>
        <w:tc>
          <w:tcPr>
            <w:tcW w:w="1080" w:type="dxa"/>
            <w:tcBorders>
              <w:top w:val="nil"/>
              <w:left w:val="single" w:color="auto" w:sz="4" w:space="0"/>
              <w:bottom w:val="single" w:color="auto" w:sz="4" w:space="0"/>
              <w:right w:val="single" w:color="auto" w:sz="4" w:space="0"/>
            </w:tcBorders>
            <w:noWrap w:val="0"/>
            <w:vAlign w:val="center"/>
          </w:tcPr>
          <w:p w14:paraId="58F0C07D">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w:t>
            </w:r>
          </w:p>
        </w:tc>
        <w:tc>
          <w:tcPr>
            <w:tcW w:w="3040" w:type="dxa"/>
            <w:tcBorders>
              <w:top w:val="nil"/>
              <w:left w:val="nil"/>
              <w:bottom w:val="single" w:color="auto" w:sz="4" w:space="0"/>
              <w:right w:val="single" w:color="auto" w:sz="4" w:space="0"/>
            </w:tcBorders>
            <w:noWrap w:val="0"/>
            <w:vAlign w:val="center"/>
          </w:tcPr>
          <w:p w14:paraId="7831F00C">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w:t>
            </w:r>
          </w:p>
        </w:tc>
        <w:tc>
          <w:tcPr>
            <w:tcW w:w="1240" w:type="dxa"/>
            <w:tcBorders>
              <w:top w:val="nil"/>
              <w:left w:val="nil"/>
              <w:bottom w:val="single" w:color="auto" w:sz="4" w:space="0"/>
              <w:right w:val="single" w:color="auto" w:sz="4" w:space="0"/>
            </w:tcBorders>
            <w:noWrap w:val="0"/>
            <w:vAlign w:val="center"/>
          </w:tcPr>
          <w:p w14:paraId="707BF737">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w:t>
            </w:r>
          </w:p>
        </w:tc>
        <w:tc>
          <w:tcPr>
            <w:tcW w:w="1080" w:type="dxa"/>
            <w:tcBorders>
              <w:top w:val="nil"/>
              <w:left w:val="nil"/>
              <w:bottom w:val="single" w:color="auto" w:sz="4" w:space="0"/>
              <w:right w:val="single" w:color="auto" w:sz="4" w:space="0"/>
            </w:tcBorders>
            <w:noWrap w:val="0"/>
            <w:vAlign w:val="center"/>
          </w:tcPr>
          <w:p w14:paraId="77E05590">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w:t>
            </w:r>
          </w:p>
        </w:tc>
        <w:tc>
          <w:tcPr>
            <w:tcW w:w="1080" w:type="dxa"/>
            <w:tcBorders>
              <w:top w:val="nil"/>
              <w:left w:val="nil"/>
              <w:bottom w:val="single" w:color="auto" w:sz="4" w:space="0"/>
              <w:right w:val="single" w:color="auto" w:sz="4" w:space="0"/>
            </w:tcBorders>
            <w:noWrap w:val="0"/>
            <w:vAlign w:val="center"/>
          </w:tcPr>
          <w:p w14:paraId="4E8C1575">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w:t>
            </w:r>
          </w:p>
        </w:tc>
        <w:tc>
          <w:tcPr>
            <w:tcW w:w="1080" w:type="dxa"/>
            <w:tcBorders>
              <w:top w:val="nil"/>
              <w:left w:val="nil"/>
              <w:bottom w:val="single" w:color="auto" w:sz="4" w:space="0"/>
              <w:right w:val="single" w:color="auto" w:sz="4" w:space="0"/>
            </w:tcBorders>
            <w:noWrap w:val="0"/>
            <w:vAlign w:val="center"/>
          </w:tcPr>
          <w:p w14:paraId="7B599C2F">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w:t>
            </w:r>
          </w:p>
        </w:tc>
      </w:tr>
      <w:tr w14:paraId="3B55A49B">
        <w:tblPrEx>
          <w:tblCellMar>
            <w:top w:w="0" w:type="dxa"/>
            <w:left w:w="108" w:type="dxa"/>
            <w:bottom w:w="0" w:type="dxa"/>
            <w:right w:w="108" w:type="dxa"/>
          </w:tblCellMar>
        </w:tblPrEx>
        <w:trPr>
          <w:trHeight w:val="540" w:hRule="atLeast"/>
        </w:trPr>
        <w:tc>
          <w:tcPr>
            <w:tcW w:w="1080" w:type="dxa"/>
            <w:tcBorders>
              <w:top w:val="nil"/>
              <w:left w:val="single" w:color="auto" w:sz="4" w:space="0"/>
              <w:bottom w:val="single" w:color="auto" w:sz="4" w:space="0"/>
              <w:right w:val="single" w:color="auto" w:sz="4" w:space="0"/>
            </w:tcBorders>
            <w:noWrap w:val="0"/>
            <w:vAlign w:val="center"/>
          </w:tcPr>
          <w:p w14:paraId="61947E7D">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w:t>
            </w:r>
          </w:p>
        </w:tc>
        <w:tc>
          <w:tcPr>
            <w:tcW w:w="3040" w:type="dxa"/>
            <w:tcBorders>
              <w:top w:val="nil"/>
              <w:left w:val="nil"/>
              <w:bottom w:val="single" w:color="auto" w:sz="4" w:space="0"/>
              <w:right w:val="single" w:color="auto" w:sz="4" w:space="0"/>
            </w:tcBorders>
            <w:noWrap w:val="0"/>
            <w:vAlign w:val="center"/>
          </w:tcPr>
          <w:p w14:paraId="12A857F2">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w:t>
            </w:r>
          </w:p>
        </w:tc>
        <w:tc>
          <w:tcPr>
            <w:tcW w:w="1240" w:type="dxa"/>
            <w:tcBorders>
              <w:top w:val="nil"/>
              <w:left w:val="nil"/>
              <w:bottom w:val="single" w:color="auto" w:sz="4" w:space="0"/>
              <w:right w:val="single" w:color="auto" w:sz="4" w:space="0"/>
            </w:tcBorders>
            <w:noWrap w:val="0"/>
            <w:vAlign w:val="center"/>
          </w:tcPr>
          <w:p w14:paraId="0EF97E1C">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w:t>
            </w:r>
          </w:p>
        </w:tc>
        <w:tc>
          <w:tcPr>
            <w:tcW w:w="1080" w:type="dxa"/>
            <w:tcBorders>
              <w:top w:val="nil"/>
              <w:left w:val="nil"/>
              <w:bottom w:val="single" w:color="auto" w:sz="4" w:space="0"/>
              <w:right w:val="single" w:color="auto" w:sz="4" w:space="0"/>
            </w:tcBorders>
            <w:noWrap w:val="0"/>
            <w:vAlign w:val="center"/>
          </w:tcPr>
          <w:p w14:paraId="20AF8615">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w:t>
            </w:r>
          </w:p>
        </w:tc>
        <w:tc>
          <w:tcPr>
            <w:tcW w:w="1080" w:type="dxa"/>
            <w:tcBorders>
              <w:top w:val="nil"/>
              <w:left w:val="nil"/>
              <w:bottom w:val="single" w:color="auto" w:sz="4" w:space="0"/>
              <w:right w:val="single" w:color="auto" w:sz="4" w:space="0"/>
            </w:tcBorders>
            <w:noWrap w:val="0"/>
            <w:vAlign w:val="center"/>
          </w:tcPr>
          <w:p w14:paraId="121106E0">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w:t>
            </w:r>
          </w:p>
        </w:tc>
        <w:tc>
          <w:tcPr>
            <w:tcW w:w="1080" w:type="dxa"/>
            <w:tcBorders>
              <w:top w:val="nil"/>
              <w:left w:val="nil"/>
              <w:bottom w:val="single" w:color="auto" w:sz="4" w:space="0"/>
              <w:right w:val="single" w:color="auto" w:sz="4" w:space="0"/>
            </w:tcBorders>
            <w:noWrap w:val="0"/>
            <w:vAlign w:val="center"/>
          </w:tcPr>
          <w:p w14:paraId="0684F97A">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w:t>
            </w:r>
          </w:p>
        </w:tc>
      </w:tr>
      <w:tr w14:paraId="465ABDA0">
        <w:tblPrEx>
          <w:tblCellMar>
            <w:top w:w="0" w:type="dxa"/>
            <w:left w:w="108" w:type="dxa"/>
            <w:bottom w:w="0" w:type="dxa"/>
            <w:right w:w="108" w:type="dxa"/>
          </w:tblCellMar>
        </w:tblPrEx>
        <w:trPr>
          <w:trHeight w:val="570" w:hRule="atLeast"/>
        </w:trPr>
        <w:tc>
          <w:tcPr>
            <w:tcW w:w="8600" w:type="dxa"/>
            <w:gridSpan w:val="6"/>
            <w:tcBorders>
              <w:top w:val="single" w:color="auto" w:sz="4" w:space="0"/>
              <w:left w:val="single" w:color="auto" w:sz="4" w:space="0"/>
              <w:bottom w:val="single" w:color="auto" w:sz="4" w:space="0"/>
              <w:right w:val="single" w:color="auto" w:sz="4" w:space="0"/>
            </w:tcBorders>
            <w:noWrap w:val="0"/>
            <w:vAlign w:val="center"/>
          </w:tcPr>
          <w:p w14:paraId="0BAE3481">
            <w:pPr>
              <w:widowControl/>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合计：人民币金额（大写）：                  （￥：       ）</w:t>
            </w:r>
          </w:p>
        </w:tc>
      </w:tr>
    </w:tbl>
    <w:p w14:paraId="48BC363D">
      <w:pPr>
        <w:spacing w:line="360" w:lineRule="auto"/>
        <w:ind w:firstLine="482"/>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二、供货期限、地点</w:t>
      </w:r>
    </w:p>
    <w:p w14:paraId="31543740">
      <w:pPr>
        <w:spacing w:line="56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（一）供货期限：</w:t>
      </w:r>
      <w:r>
        <w:rPr>
          <w:rFonts w:hint="eastAsia" w:ascii="Times New Roman" w:hAnsi="Times New Roman" w:eastAsia="宋体" w:cs="Times New Roman"/>
          <w:color w:val="auto"/>
          <w:kern w:val="0"/>
          <w:sz w:val="24"/>
          <w:highlight w:val="none"/>
        </w:rPr>
        <w:t>采购合同签订后</w:t>
      </w:r>
      <w:r>
        <w:rPr>
          <w:rFonts w:hint="eastAsia" w:eastAsia="宋体" w:cs="Times New Roman"/>
          <w:color w:val="auto"/>
          <w:kern w:val="0"/>
          <w:sz w:val="24"/>
          <w:highlight w:val="none"/>
          <w:lang w:val="en-US" w:eastAsia="zh-CN"/>
        </w:rPr>
        <w:t>6个月</w:t>
      </w:r>
      <w:r>
        <w:rPr>
          <w:rFonts w:hint="eastAsia" w:ascii="Times New Roman" w:hAnsi="Times New Roman" w:eastAsia="宋体" w:cs="Times New Roman"/>
          <w:color w:val="auto"/>
          <w:kern w:val="0"/>
          <w:sz w:val="24"/>
          <w:highlight w:val="none"/>
        </w:rPr>
        <w:t>内</w:t>
      </w:r>
      <w:r>
        <w:rPr>
          <w:rFonts w:hint="eastAsia" w:ascii="Times New Roman" w:hAnsi="Times New Roman" w:eastAsia="宋体" w:cs="Times New Roman"/>
          <w:color w:val="auto"/>
          <w:kern w:val="0"/>
          <w:sz w:val="24"/>
          <w:highlight w:val="none"/>
          <w:lang w:val="en-US" w:eastAsia="zh-CN"/>
        </w:rPr>
        <w:t>所有设备</w:t>
      </w:r>
      <w:r>
        <w:rPr>
          <w:rFonts w:hint="eastAsia" w:ascii="Times New Roman" w:hAnsi="Times New Roman" w:eastAsia="宋体" w:cs="Times New Roman"/>
          <w:color w:val="auto"/>
          <w:kern w:val="0"/>
          <w:sz w:val="24"/>
          <w:highlight w:val="none"/>
        </w:rPr>
        <w:t>安装调试完毕</w:t>
      </w:r>
      <w:r>
        <w:rPr>
          <w:rFonts w:hint="eastAsia" w:eastAsia="宋体" w:cs="Courier New"/>
          <w:color w:val="auto"/>
          <w:sz w:val="24"/>
          <w:szCs w:val="24"/>
          <w:highlight w:val="none"/>
          <w:lang w:val="en-US" w:eastAsia="zh-CN"/>
        </w:rPr>
        <w:t>。</w:t>
      </w:r>
    </w:p>
    <w:p w14:paraId="2BF35ED9">
      <w:pPr>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（二）供货地点：</w:t>
      </w:r>
      <w:r>
        <w:rPr>
          <w:rFonts w:hint="eastAsia" w:ascii="Times New Roman" w:hAnsi="Times New Roman" w:eastAsia="宋体" w:cs="Times New Roman"/>
          <w:color w:val="auto"/>
          <w:kern w:val="0"/>
          <w:sz w:val="24"/>
          <w:szCs w:val="21"/>
          <w:highlight w:val="none"/>
        </w:rPr>
        <w:t>采购人指定地点</w:t>
      </w:r>
      <w:r>
        <w:rPr>
          <w:rFonts w:hint="eastAsia" w:ascii="宋体" w:hAnsi="宋体" w:eastAsia="宋体" w:cs="宋体"/>
          <w:color w:val="auto"/>
          <w:kern w:val="2"/>
          <w:sz w:val="24"/>
          <w:szCs w:val="24"/>
          <w:highlight w:val="none"/>
        </w:rPr>
        <w:t xml:space="preserve"> </w:t>
      </w:r>
    </w:p>
    <w:p w14:paraId="794C7887">
      <w:pPr>
        <w:spacing w:line="360" w:lineRule="auto"/>
        <w:ind w:firstLine="482"/>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三、质量技术标准</w:t>
      </w:r>
    </w:p>
    <w:p w14:paraId="5C4FD25E">
      <w:pPr>
        <w:spacing w:line="560" w:lineRule="exact"/>
        <w:ind w:firstLine="480"/>
        <w:rPr>
          <w:rFonts w:hint="eastAsia" w:ascii="宋体" w:hAnsi="宋体" w:eastAsia="宋体" w:cs="宋体"/>
          <w:color w:val="auto"/>
          <w:kern w:val="2"/>
          <w:sz w:val="24"/>
          <w:szCs w:val="24"/>
          <w:highlight w:val="none"/>
        </w:rPr>
      </w:pPr>
      <w:r>
        <w:rPr>
          <w:rFonts w:hint="eastAsia" w:ascii="Times New Roman" w:hAnsi="Times New Roman" w:eastAsia="宋体" w:cs="Times New Roman"/>
          <w:color w:val="auto"/>
          <w:kern w:val="0"/>
          <w:sz w:val="24"/>
          <w:szCs w:val="21"/>
          <w:highlight w:val="none"/>
        </w:rPr>
        <w:t>质量要求：合格。</w:t>
      </w:r>
      <w:r>
        <w:rPr>
          <w:rFonts w:hint="eastAsia" w:ascii="宋体" w:hAnsi="宋体" w:eastAsia="宋体" w:cs="宋体"/>
          <w:color w:val="auto"/>
          <w:kern w:val="2"/>
          <w:sz w:val="24"/>
          <w:szCs w:val="24"/>
          <w:highlight w:val="none"/>
        </w:rPr>
        <w:t>乙方提供的服务和产品性能及质量有国家标准的应符合国家标准。无国家标准的应符合行业标准或企业标准，并满足采购文件要求，实现</w:t>
      </w:r>
      <w:r>
        <w:rPr>
          <w:rFonts w:hint="eastAsia" w:ascii="宋体" w:hAnsi="宋体" w:cs="宋体"/>
          <w:color w:val="auto"/>
          <w:kern w:val="2"/>
          <w:sz w:val="24"/>
          <w:szCs w:val="24"/>
          <w:highlight w:val="none"/>
          <w:lang w:val="en-US" w:eastAsia="zh-CN"/>
        </w:rPr>
        <w:t>投标</w:t>
      </w:r>
      <w:r>
        <w:rPr>
          <w:rFonts w:hint="eastAsia" w:ascii="宋体" w:hAnsi="宋体" w:eastAsia="宋体" w:cs="宋体"/>
          <w:color w:val="auto"/>
          <w:kern w:val="2"/>
          <w:sz w:val="24"/>
          <w:szCs w:val="24"/>
          <w:highlight w:val="none"/>
        </w:rPr>
        <w:t>文件承诺条款。</w:t>
      </w:r>
    </w:p>
    <w:p w14:paraId="5EBAF44F">
      <w:pPr>
        <w:spacing w:line="360" w:lineRule="auto"/>
        <w:ind w:firstLine="482"/>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四、实施方式及费用</w:t>
      </w:r>
    </w:p>
    <w:p w14:paraId="7BC7433F">
      <w:pPr>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由乙方视情况自定实施方式，费用自负。</w:t>
      </w:r>
    </w:p>
    <w:p w14:paraId="1B816EA8">
      <w:pPr>
        <w:spacing w:line="360" w:lineRule="auto"/>
        <w:ind w:firstLine="482"/>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五、验收</w:t>
      </w:r>
    </w:p>
    <w:p w14:paraId="7BE594A1">
      <w:pPr>
        <w:spacing w:line="560" w:lineRule="exact"/>
        <w:ind w:firstLine="480"/>
        <w:rPr>
          <w:rFonts w:hint="eastAsia" w:ascii="Times New Roman" w:hAnsi="Times New Roman" w:eastAsia="宋体" w:cs="Times New Roman"/>
          <w:color w:val="auto"/>
          <w:kern w:val="0"/>
          <w:sz w:val="24"/>
          <w:szCs w:val="21"/>
          <w:highlight w:val="none"/>
        </w:rPr>
      </w:pPr>
      <w:r>
        <w:rPr>
          <w:rFonts w:hint="eastAsia" w:ascii="Times New Roman" w:hAnsi="Times New Roman" w:eastAsia="宋体" w:cs="Times New Roman"/>
          <w:color w:val="auto"/>
          <w:kern w:val="0"/>
          <w:sz w:val="24"/>
          <w:szCs w:val="21"/>
          <w:highlight w:val="none"/>
        </w:rPr>
        <w:t>（一）乙方货物送达后，</w:t>
      </w:r>
      <w:r>
        <w:rPr>
          <w:rFonts w:hint="eastAsia" w:ascii="Times New Roman" w:hAnsi="Times New Roman" w:cs="Times New Roman"/>
          <w:color w:val="auto"/>
          <w:kern w:val="0"/>
          <w:sz w:val="24"/>
          <w:szCs w:val="21"/>
          <w:highlight w:val="none"/>
          <w:lang w:val="en-US" w:eastAsia="zh-CN"/>
        </w:rPr>
        <w:t>甲方</w:t>
      </w:r>
      <w:r>
        <w:rPr>
          <w:rFonts w:hint="eastAsia" w:ascii="Times New Roman" w:hAnsi="Times New Roman" w:eastAsia="宋体" w:cs="Times New Roman"/>
          <w:color w:val="auto"/>
          <w:kern w:val="0"/>
          <w:sz w:val="24"/>
          <w:szCs w:val="21"/>
          <w:highlight w:val="none"/>
        </w:rPr>
        <w:t>对其数量、品种、规格、运输保存方式等进行检查验收，如不合格应无条件退货或换货。验收时所有物品以现场测量为准（含部分破坏性测量和称重），不接受任何负偏离。产品应符合国家标准，无国家标准的应符合行业标准或企业标准，并满足招标文件要求，实现投标文件承诺条款。为了保证产品质量，所供产品在达到参数的同时，还必须保证甲方能够正常使用。</w:t>
      </w:r>
    </w:p>
    <w:p w14:paraId="25348863">
      <w:pPr>
        <w:spacing w:line="560" w:lineRule="exact"/>
        <w:ind w:firstLine="480"/>
        <w:rPr>
          <w:rFonts w:hint="default" w:ascii="Times New Roman" w:hAnsi="Times New Roman" w:eastAsia="宋体" w:cs="Times New Roman"/>
          <w:color w:val="auto"/>
          <w:kern w:val="0"/>
          <w:sz w:val="24"/>
          <w:szCs w:val="21"/>
          <w:highlight w:val="none"/>
        </w:rPr>
      </w:pPr>
      <w:r>
        <w:rPr>
          <w:rFonts w:hint="eastAsia" w:ascii="宋体" w:hAnsi="宋体" w:eastAsia="宋体" w:cs="宋体"/>
          <w:color w:val="auto"/>
          <w:kern w:val="2"/>
          <w:sz w:val="24"/>
          <w:szCs w:val="24"/>
          <w:highlight w:val="none"/>
        </w:rPr>
        <w:t>（二）</w:t>
      </w:r>
      <w:r>
        <w:rPr>
          <w:rFonts w:hint="eastAsia" w:ascii="Times New Roman" w:hAnsi="Times New Roman" w:eastAsia="宋体" w:cs="Times New Roman"/>
          <w:color w:val="auto"/>
          <w:kern w:val="0"/>
          <w:sz w:val="24"/>
          <w:szCs w:val="21"/>
          <w:highlight w:val="none"/>
        </w:rPr>
        <w:t>若因</w:t>
      </w:r>
      <w:r>
        <w:rPr>
          <w:rFonts w:hint="eastAsia" w:ascii="宋体" w:hAnsi="宋体" w:eastAsia="宋体" w:cs="宋体"/>
          <w:color w:val="auto"/>
          <w:kern w:val="2"/>
          <w:sz w:val="24"/>
          <w:szCs w:val="24"/>
          <w:highlight w:val="none"/>
        </w:rPr>
        <w:t>乙方</w:t>
      </w:r>
      <w:r>
        <w:rPr>
          <w:rFonts w:hint="eastAsia" w:ascii="Times New Roman" w:hAnsi="Times New Roman" w:eastAsia="宋体" w:cs="Times New Roman"/>
          <w:color w:val="auto"/>
          <w:kern w:val="0"/>
          <w:sz w:val="24"/>
          <w:szCs w:val="21"/>
          <w:highlight w:val="none"/>
        </w:rPr>
        <w:t>原因造成无法验收通过的，甲方将拒绝付款，并追究乙方的违约责任。乙方向采购人提交项目验收技术资料以及终验申请单，甲方收到申请后3个工作日内组织终验且验收无问题后签署终验单。</w:t>
      </w:r>
    </w:p>
    <w:p w14:paraId="6F97AA5B">
      <w:pPr>
        <w:spacing w:line="360" w:lineRule="auto"/>
        <w:ind w:firstLine="482"/>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六、付款方式：</w:t>
      </w:r>
    </w:p>
    <w:p w14:paraId="32070B9D">
      <w:pPr>
        <w:spacing w:line="560" w:lineRule="exact"/>
        <w:ind w:firstLine="480"/>
        <w:rPr>
          <w:rFonts w:hint="eastAsia" w:ascii="Times New Roman" w:hAnsi="Times New Roman" w:eastAsia="宋体" w:cs="Times New Roman"/>
          <w:b/>
          <w:bCs/>
          <w:color w:val="auto"/>
          <w:kern w:val="0"/>
          <w:sz w:val="24"/>
          <w:szCs w:val="21"/>
          <w:highlight w:val="none"/>
        </w:rPr>
      </w:pPr>
      <w:r>
        <w:rPr>
          <w:rFonts w:hint="eastAsia" w:ascii="Times New Roman" w:hAnsi="Times New Roman" w:eastAsia="宋体" w:cs="Times New Roman"/>
          <w:color w:val="auto"/>
          <w:kern w:val="0"/>
          <w:sz w:val="24"/>
          <w:szCs w:val="21"/>
          <w:highlight w:val="none"/>
        </w:rPr>
        <w:t>采购合同签订后收到</w:t>
      </w:r>
      <w:r>
        <w:rPr>
          <w:rFonts w:hint="eastAsia" w:ascii="Times New Roman" w:hAnsi="Times New Roman" w:cs="Times New Roman"/>
          <w:color w:val="auto"/>
          <w:kern w:val="0"/>
          <w:sz w:val="24"/>
          <w:szCs w:val="21"/>
          <w:highlight w:val="none"/>
          <w:lang w:val="en-US" w:eastAsia="zh-CN"/>
        </w:rPr>
        <w:t>乙方</w:t>
      </w:r>
      <w:r>
        <w:rPr>
          <w:rFonts w:hint="eastAsia" w:ascii="Times New Roman" w:hAnsi="Times New Roman" w:eastAsia="宋体" w:cs="Times New Roman"/>
          <w:color w:val="auto"/>
          <w:kern w:val="0"/>
          <w:sz w:val="24"/>
          <w:szCs w:val="21"/>
          <w:highlight w:val="none"/>
        </w:rPr>
        <w:t>发票10</w:t>
      </w:r>
      <w:r>
        <w:rPr>
          <w:rFonts w:hint="eastAsia" w:ascii="Times New Roman" w:hAnsi="Times New Roman" w:eastAsia="宋体" w:cs="Times New Roman"/>
          <w:color w:val="auto"/>
          <w:kern w:val="0"/>
          <w:sz w:val="24"/>
          <w:szCs w:val="21"/>
          <w:highlight w:val="none"/>
          <w:lang w:val="en-US" w:eastAsia="zh-CN"/>
        </w:rPr>
        <w:t>个</w:t>
      </w:r>
      <w:r>
        <w:rPr>
          <w:rFonts w:hint="eastAsia" w:ascii="Times New Roman" w:hAnsi="Times New Roman" w:eastAsia="宋体" w:cs="Times New Roman"/>
          <w:color w:val="auto"/>
          <w:kern w:val="0"/>
          <w:sz w:val="24"/>
          <w:szCs w:val="21"/>
          <w:highlight w:val="none"/>
        </w:rPr>
        <w:t>工作日内付合同金额的</w:t>
      </w:r>
      <w:r>
        <w:rPr>
          <w:rFonts w:hint="eastAsia" w:ascii="Times New Roman" w:hAnsi="Times New Roman" w:eastAsia="宋体" w:cs="Times New Roman"/>
          <w:color w:val="auto"/>
          <w:kern w:val="0"/>
          <w:sz w:val="24"/>
          <w:szCs w:val="21"/>
          <w:highlight w:val="none"/>
          <w:lang w:val="en-US" w:eastAsia="zh-CN"/>
        </w:rPr>
        <w:t>3</w:t>
      </w:r>
      <w:r>
        <w:rPr>
          <w:rFonts w:hint="eastAsia" w:ascii="Times New Roman" w:hAnsi="Times New Roman" w:eastAsia="宋体" w:cs="Times New Roman"/>
          <w:color w:val="auto"/>
          <w:kern w:val="0"/>
          <w:sz w:val="24"/>
          <w:szCs w:val="21"/>
          <w:highlight w:val="none"/>
        </w:rPr>
        <w:t>0%</w:t>
      </w:r>
      <w:r>
        <w:rPr>
          <w:rFonts w:hint="eastAsia" w:ascii="Times New Roman" w:hAnsi="Times New Roman" w:eastAsia="宋体" w:cs="Times New Roman"/>
          <w:color w:val="auto"/>
          <w:kern w:val="0"/>
          <w:sz w:val="24"/>
          <w:szCs w:val="21"/>
          <w:highlight w:val="none"/>
          <w:lang w:val="en-US" w:eastAsia="zh-CN"/>
        </w:rPr>
        <w:t>作为</w:t>
      </w:r>
      <w:r>
        <w:rPr>
          <w:rFonts w:hint="eastAsia" w:ascii="Times New Roman" w:hAnsi="Times New Roman" w:eastAsia="宋体" w:cs="Times New Roman"/>
          <w:color w:val="auto"/>
          <w:kern w:val="0"/>
          <w:sz w:val="24"/>
          <w:szCs w:val="21"/>
          <w:highlight w:val="none"/>
        </w:rPr>
        <w:t>预付款；</w:t>
      </w:r>
      <w:r>
        <w:rPr>
          <w:rFonts w:hint="eastAsia" w:ascii="Times New Roman" w:hAnsi="Times New Roman" w:eastAsia="宋体" w:cs="Times New Roman"/>
          <w:b w:val="0"/>
          <w:bCs/>
          <w:caps w:val="0"/>
          <w:color w:val="auto"/>
          <w:kern w:val="2"/>
          <w:sz w:val="24"/>
          <w:szCs w:val="21"/>
          <w:highlight w:val="none"/>
          <w:u w:val="none"/>
          <w:lang w:val="en-US" w:eastAsia="zh-CN"/>
        </w:rPr>
        <w:t>货物完成安装调试经验收合格后付清合同价款。</w:t>
      </w:r>
      <w:r>
        <w:rPr>
          <w:rFonts w:hint="eastAsia" w:ascii="Times New Roman" w:hAnsi="Times New Roman" w:eastAsia="宋体" w:cs="Times New Roman"/>
          <w:color w:val="auto"/>
          <w:kern w:val="0"/>
          <w:sz w:val="24"/>
          <w:szCs w:val="21"/>
          <w:highlight w:val="none"/>
        </w:rPr>
        <w:t>对于满足合同约定支付条件的，自收到发票后10个工作日内将资金支付到合同约定的</w:t>
      </w:r>
      <w:r>
        <w:rPr>
          <w:rFonts w:hint="eastAsia" w:ascii="Times New Roman" w:hAnsi="Times New Roman" w:cs="Times New Roman"/>
          <w:color w:val="auto"/>
          <w:kern w:val="0"/>
          <w:sz w:val="24"/>
          <w:szCs w:val="21"/>
          <w:highlight w:val="none"/>
          <w:lang w:val="en-US" w:eastAsia="zh-CN"/>
        </w:rPr>
        <w:t>乙方</w:t>
      </w:r>
      <w:r>
        <w:rPr>
          <w:rFonts w:hint="eastAsia" w:ascii="Times New Roman" w:hAnsi="Times New Roman" w:eastAsia="宋体" w:cs="Times New Roman"/>
          <w:color w:val="auto"/>
          <w:kern w:val="0"/>
          <w:sz w:val="24"/>
          <w:szCs w:val="21"/>
          <w:highlight w:val="none"/>
        </w:rPr>
        <w:t>账户或</w:t>
      </w:r>
      <w:r>
        <w:rPr>
          <w:rFonts w:hint="eastAsia" w:ascii="宋体" w:hAnsi="宋体" w:cs="方正仿宋_GBK"/>
          <w:color w:val="auto"/>
          <w:sz w:val="24"/>
          <w:szCs w:val="24"/>
          <w:highlight w:val="none"/>
          <w:lang w:val="en-US" w:eastAsia="zh-CN"/>
        </w:rPr>
        <w:t>乙方</w:t>
      </w:r>
      <w:r>
        <w:rPr>
          <w:rFonts w:hint="eastAsia" w:ascii="Times New Roman" w:hAnsi="Times New Roman" w:eastAsia="宋体" w:cs="Times New Roman"/>
          <w:color w:val="auto"/>
          <w:kern w:val="0"/>
          <w:sz w:val="24"/>
          <w:szCs w:val="21"/>
          <w:highlight w:val="none"/>
        </w:rPr>
        <w:t>数字人民币账户。</w:t>
      </w:r>
    </w:p>
    <w:p w14:paraId="48788FE6">
      <w:pPr>
        <w:spacing w:line="560" w:lineRule="exact"/>
        <w:ind w:firstLine="480"/>
        <w:rPr>
          <w:rFonts w:hint="eastAsia" w:ascii="Times New Roman" w:hAnsi="Times New Roman" w:eastAsia="宋体" w:cs="Times New Roman"/>
          <w:color w:val="auto"/>
          <w:kern w:val="0"/>
          <w:sz w:val="24"/>
          <w:szCs w:val="21"/>
          <w:highlight w:val="none"/>
        </w:rPr>
      </w:pPr>
      <w:r>
        <w:rPr>
          <w:rFonts w:hint="eastAsia" w:ascii="Times New Roman" w:hAnsi="Times New Roman" w:eastAsia="宋体" w:cs="Times New Roman"/>
          <w:color w:val="auto"/>
          <w:kern w:val="0"/>
          <w:sz w:val="24"/>
          <w:szCs w:val="21"/>
          <w:highlight w:val="none"/>
        </w:rPr>
        <w:t>注：数字人民币为合同价款支付的一种方式。在签订合同时，</w:t>
      </w:r>
      <w:r>
        <w:rPr>
          <w:rFonts w:hint="eastAsia" w:ascii="宋体" w:hAnsi="宋体" w:cs="方正仿宋_GBK"/>
          <w:color w:val="auto"/>
          <w:sz w:val="24"/>
          <w:szCs w:val="24"/>
          <w:highlight w:val="none"/>
          <w:lang w:val="en-US" w:eastAsia="zh-CN"/>
        </w:rPr>
        <w:t>乙方</w:t>
      </w:r>
      <w:r>
        <w:rPr>
          <w:rFonts w:hint="eastAsia" w:ascii="Times New Roman" w:hAnsi="Times New Roman" w:eastAsia="宋体" w:cs="Times New Roman"/>
          <w:color w:val="auto"/>
          <w:kern w:val="0"/>
          <w:sz w:val="24"/>
          <w:szCs w:val="21"/>
          <w:highlight w:val="none"/>
        </w:rPr>
        <w:t>明确表示无需预付款或者主动要求降低预付款比例的金额，</w:t>
      </w:r>
      <w:r>
        <w:rPr>
          <w:rFonts w:hint="eastAsia" w:ascii="Times New Roman" w:hAnsi="Times New Roman" w:cs="Times New Roman"/>
          <w:color w:val="auto"/>
          <w:kern w:val="0"/>
          <w:sz w:val="24"/>
          <w:szCs w:val="21"/>
          <w:highlight w:val="none"/>
          <w:lang w:val="en-US" w:eastAsia="zh-CN"/>
        </w:rPr>
        <w:t>甲方</w:t>
      </w:r>
      <w:r>
        <w:rPr>
          <w:rFonts w:hint="eastAsia" w:ascii="Times New Roman" w:hAnsi="Times New Roman" w:eastAsia="宋体" w:cs="Times New Roman"/>
          <w:color w:val="auto"/>
          <w:kern w:val="0"/>
          <w:sz w:val="24"/>
          <w:szCs w:val="21"/>
          <w:highlight w:val="none"/>
        </w:rPr>
        <w:t>可不适用预付款规定。</w:t>
      </w:r>
    </w:p>
    <w:p w14:paraId="6DC5A6BE">
      <w:pPr>
        <w:spacing w:line="360" w:lineRule="auto"/>
        <w:ind w:firstLine="480"/>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七、售后服务</w:t>
      </w:r>
    </w:p>
    <w:p w14:paraId="78B38CFF">
      <w:pPr>
        <w:spacing w:line="560" w:lineRule="exact"/>
        <w:ind w:firstLine="480"/>
        <w:rPr>
          <w:rFonts w:hint="eastAsia" w:ascii="宋体" w:hAnsi="宋体" w:eastAsia="宋体" w:cs="方正仿宋_GBK"/>
          <w:color w:val="auto"/>
          <w:sz w:val="24"/>
          <w:szCs w:val="24"/>
          <w:highlight w:val="none"/>
        </w:rPr>
      </w:pPr>
      <w:r>
        <w:rPr>
          <w:rFonts w:hint="eastAsia" w:ascii="宋体" w:hAnsi="宋体" w:cs="方正仿宋_GBK"/>
          <w:color w:val="auto"/>
          <w:sz w:val="24"/>
          <w:szCs w:val="24"/>
          <w:highlight w:val="none"/>
          <w:lang w:eastAsia="zh-CN"/>
        </w:rPr>
        <w:t>（</w:t>
      </w:r>
      <w:r>
        <w:rPr>
          <w:rFonts w:hint="eastAsia" w:ascii="宋体" w:hAnsi="宋体" w:cs="方正仿宋_GBK"/>
          <w:color w:val="auto"/>
          <w:sz w:val="24"/>
          <w:szCs w:val="24"/>
          <w:highlight w:val="none"/>
          <w:lang w:val="en-US" w:eastAsia="zh-CN"/>
        </w:rPr>
        <w:t>一</w:t>
      </w:r>
      <w:r>
        <w:rPr>
          <w:rFonts w:hint="eastAsia" w:ascii="宋体" w:hAnsi="宋体" w:cs="方正仿宋_GBK"/>
          <w:color w:val="auto"/>
          <w:sz w:val="24"/>
          <w:szCs w:val="24"/>
          <w:highlight w:val="none"/>
          <w:lang w:eastAsia="zh-CN"/>
        </w:rPr>
        <w:t>）</w:t>
      </w:r>
      <w:r>
        <w:rPr>
          <w:rFonts w:hint="eastAsia" w:ascii="宋体" w:hAnsi="宋体" w:cs="方正仿宋_GBK"/>
          <w:color w:val="auto"/>
          <w:sz w:val="24"/>
          <w:szCs w:val="24"/>
          <w:highlight w:val="none"/>
          <w:lang w:val="en-US" w:eastAsia="zh-CN"/>
        </w:rPr>
        <w:t>乙方</w:t>
      </w:r>
      <w:r>
        <w:rPr>
          <w:rFonts w:hint="eastAsia" w:ascii="宋体" w:hAnsi="宋体" w:eastAsia="宋体" w:cs="方正仿宋_GBK"/>
          <w:color w:val="auto"/>
          <w:sz w:val="24"/>
          <w:szCs w:val="24"/>
          <w:highlight w:val="none"/>
        </w:rPr>
        <w:t>对所售出的产品实行三包：</w:t>
      </w:r>
      <w:r>
        <w:rPr>
          <w:rFonts w:hint="eastAsia" w:ascii="宋体" w:hAnsi="宋体" w:eastAsia="宋体" w:cs="方正仿宋_GBK"/>
          <w:color w:val="auto"/>
          <w:sz w:val="24"/>
          <w:szCs w:val="24"/>
          <w:highlight w:val="none"/>
          <w:lang w:val="en-US" w:eastAsia="zh-CN"/>
        </w:rPr>
        <w:t>质保期按照厂家提供</w:t>
      </w:r>
      <w:r>
        <w:rPr>
          <w:rFonts w:hint="eastAsia" w:ascii="Times New Roman" w:hAnsi="Times New Roman" w:eastAsia="宋体" w:cs="Times New Roman"/>
          <w:color w:val="auto"/>
          <w:kern w:val="0"/>
          <w:sz w:val="24"/>
          <w:szCs w:val="21"/>
          <w:highlight w:val="none"/>
          <w:lang w:val="en-US" w:eastAsia="zh-CN"/>
        </w:rPr>
        <w:t>的免费保修期年限执行（最低不少于1</w:t>
      </w:r>
      <w:r>
        <w:rPr>
          <w:rFonts w:hint="eastAsia" w:ascii="Times New Roman" w:hAnsi="Times New Roman" w:eastAsia="宋体" w:cs="Times New Roman"/>
          <w:color w:val="auto"/>
          <w:kern w:val="0"/>
          <w:sz w:val="24"/>
          <w:szCs w:val="21"/>
          <w:highlight w:val="none"/>
        </w:rPr>
        <w:t>年</w:t>
      </w:r>
      <w:r>
        <w:rPr>
          <w:rFonts w:hint="eastAsia" w:ascii="Times New Roman" w:hAnsi="Times New Roman" w:eastAsia="宋体" w:cs="Times New Roman"/>
          <w:color w:val="auto"/>
          <w:kern w:val="0"/>
          <w:sz w:val="24"/>
          <w:szCs w:val="21"/>
          <w:highlight w:val="none"/>
          <w:lang w:val="en-US" w:eastAsia="zh-CN"/>
        </w:rPr>
        <w:t>）</w:t>
      </w:r>
      <w:r>
        <w:rPr>
          <w:rFonts w:hint="eastAsia" w:ascii="Times New Roman" w:hAnsi="Times New Roman" w:eastAsia="宋体" w:cs="Times New Roman"/>
          <w:color w:val="auto"/>
          <w:kern w:val="0"/>
          <w:sz w:val="24"/>
          <w:szCs w:val="21"/>
          <w:highlight w:val="none"/>
        </w:rPr>
        <w:t>，自项目验收合格之日起</w:t>
      </w:r>
      <w:r>
        <w:rPr>
          <w:rFonts w:hint="eastAsia" w:ascii="Times New Roman" w:hAnsi="Times New Roman" w:eastAsia="宋体" w:cs="Times New Roman"/>
          <w:color w:val="auto"/>
          <w:kern w:val="0"/>
          <w:sz w:val="24"/>
          <w:szCs w:val="21"/>
          <w:highlight w:val="none"/>
          <w:lang w:eastAsia="zh-CN"/>
        </w:rPr>
        <w:t>，</w:t>
      </w:r>
      <w:r>
        <w:rPr>
          <w:rFonts w:hint="eastAsia" w:ascii="宋体" w:hAnsi="宋体" w:eastAsia="宋体" w:cs="方正仿宋_GBK"/>
          <w:color w:val="auto"/>
          <w:sz w:val="24"/>
          <w:szCs w:val="24"/>
          <w:highlight w:val="none"/>
        </w:rPr>
        <w:t>即产品在正常使用情况下发生质量问题时，</w:t>
      </w:r>
      <w:r>
        <w:rPr>
          <w:rFonts w:hint="eastAsia" w:ascii="宋体" w:hAnsi="宋体" w:cs="方正仿宋_GBK"/>
          <w:color w:val="auto"/>
          <w:sz w:val="24"/>
          <w:szCs w:val="24"/>
          <w:highlight w:val="none"/>
          <w:lang w:val="en-US" w:eastAsia="zh-CN"/>
        </w:rPr>
        <w:t>乙方</w:t>
      </w:r>
      <w:r>
        <w:rPr>
          <w:rFonts w:hint="eastAsia" w:ascii="宋体" w:hAnsi="宋体" w:eastAsia="宋体" w:cs="方正仿宋_GBK"/>
          <w:color w:val="auto"/>
          <w:sz w:val="24"/>
          <w:szCs w:val="24"/>
          <w:highlight w:val="none"/>
        </w:rPr>
        <w:t>应按</w:t>
      </w:r>
      <w:r>
        <w:rPr>
          <w:rFonts w:hint="eastAsia" w:ascii="宋体" w:hAnsi="宋体" w:cs="方正仿宋_GBK"/>
          <w:color w:val="auto"/>
          <w:sz w:val="24"/>
          <w:szCs w:val="24"/>
          <w:highlight w:val="none"/>
          <w:lang w:val="en-US" w:eastAsia="zh-CN"/>
        </w:rPr>
        <w:t>甲</w:t>
      </w:r>
      <w:r>
        <w:rPr>
          <w:rFonts w:hint="eastAsia" w:ascii="宋体" w:hAnsi="宋体" w:eastAsia="宋体" w:cs="方正仿宋_GBK"/>
          <w:color w:val="auto"/>
          <w:sz w:val="24"/>
          <w:szCs w:val="24"/>
          <w:highlight w:val="none"/>
        </w:rPr>
        <w:t>方的要求，负责对产品实行包修、包换、包退。</w:t>
      </w:r>
    </w:p>
    <w:p w14:paraId="475D6D16">
      <w:pPr>
        <w:spacing w:line="520" w:lineRule="exact"/>
        <w:ind w:firstLine="480"/>
        <w:jc w:val="left"/>
        <w:rPr>
          <w:rFonts w:hint="eastAsia" w:ascii="宋体" w:hAnsi="宋体" w:eastAsia="宋体" w:cs="方正仿宋_GBK"/>
          <w:color w:val="auto"/>
          <w:sz w:val="24"/>
          <w:szCs w:val="24"/>
          <w:highlight w:val="none"/>
        </w:rPr>
      </w:pPr>
      <w:r>
        <w:rPr>
          <w:rFonts w:hint="eastAsia" w:ascii="宋体" w:hAnsi="宋体" w:cs="方正仿宋_GBK"/>
          <w:color w:val="auto"/>
          <w:sz w:val="24"/>
          <w:szCs w:val="24"/>
          <w:highlight w:val="none"/>
          <w:lang w:eastAsia="zh-CN"/>
        </w:rPr>
        <w:t>（</w:t>
      </w:r>
      <w:r>
        <w:rPr>
          <w:rFonts w:hint="eastAsia" w:ascii="宋体" w:hAnsi="宋体" w:cs="方正仿宋_GBK"/>
          <w:color w:val="auto"/>
          <w:sz w:val="24"/>
          <w:szCs w:val="24"/>
          <w:highlight w:val="none"/>
          <w:lang w:val="en-US" w:eastAsia="zh-CN"/>
        </w:rPr>
        <w:t>二</w:t>
      </w:r>
      <w:r>
        <w:rPr>
          <w:rFonts w:hint="eastAsia" w:ascii="宋体" w:hAnsi="宋体" w:cs="方正仿宋_GBK"/>
          <w:color w:val="auto"/>
          <w:sz w:val="24"/>
          <w:szCs w:val="24"/>
          <w:highlight w:val="none"/>
          <w:lang w:eastAsia="zh-CN"/>
        </w:rPr>
        <w:t>）</w:t>
      </w:r>
      <w:r>
        <w:rPr>
          <w:rFonts w:hint="eastAsia" w:ascii="宋体" w:hAnsi="宋体" w:cs="方正仿宋_GBK"/>
          <w:color w:val="auto"/>
          <w:sz w:val="24"/>
          <w:szCs w:val="24"/>
          <w:highlight w:val="none"/>
          <w:lang w:val="en-US" w:eastAsia="zh-CN"/>
        </w:rPr>
        <w:t>乙方</w:t>
      </w:r>
      <w:r>
        <w:rPr>
          <w:rFonts w:hint="eastAsia" w:ascii="宋体" w:hAnsi="宋体" w:eastAsia="宋体" w:cs="方正仿宋_GBK"/>
          <w:color w:val="auto"/>
          <w:sz w:val="24"/>
          <w:szCs w:val="24"/>
          <w:highlight w:val="none"/>
        </w:rPr>
        <w:t>对由于产品设计、工艺、材料、配套件的缺陷而造成的任何产品质量问题或故障负责。在质量保证期内，</w:t>
      </w:r>
      <w:r>
        <w:rPr>
          <w:rFonts w:hint="eastAsia" w:ascii="宋体" w:hAnsi="宋体" w:cs="方正仿宋_GBK"/>
          <w:color w:val="auto"/>
          <w:sz w:val="24"/>
          <w:szCs w:val="24"/>
          <w:highlight w:val="none"/>
          <w:lang w:val="en-US" w:eastAsia="zh-CN"/>
        </w:rPr>
        <w:t>乙方</w:t>
      </w:r>
      <w:r>
        <w:rPr>
          <w:rFonts w:hint="eastAsia" w:ascii="宋体" w:hAnsi="宋体" w:eastAsia="宋体" w:cs="方正仿宋_GBK"/>
          <w:color w:val="auto"/>
          <w:sz w:val="24"/>
          <w:szCs w:val="24"/>
          <w:highlight w:val="none"/>
        </w:rPr>
        <w:t>负责修理和替换不合格的部件并承担费用，包括部件调换的运输费用。在质量保证期内，更换后的部件或零件质量保证期为更换之日起顺延12个月。</w:t>
      </w:r>
    </w:p>
    <w:p w14:paraId="6D9C2D0E">
      <w:pPr>
        <w:spacing w:line="520" w:lineRule="exact"/>
        <w:ind w:firstLine="480"/>
        <w:jc w:val="left"/>
        <w:rPr>
          <w:rFonts w:hint="eastAsia" w:ascii="宋体" w:hAnsi="宋体" w:eastAsia="宋体" w:cs="方正仿宋_GBK"/>
          <w:color w:val="auto"/>
          <w:sz w:val="24"/>
          <w:szCs w:val="24"/>
          <w:highlight w:val="none"/>
        </w:rPr>
      </w:pPr>
      <w:r>
        <w:rPr>
          <w:rFonts w:hint="eastAsia" w:ascii="宋体" w:hAnsi="宋体" w:cs="方正仿宋_GBK"/>
          <w:color w:val="auto"/>
          <w:sz w:val="24"/>
          <w:szCs w:val="24"/>
          <w:highlight w:val="none"/>
          <w:lang w:eastAsia="zh-CN"/>
        </w:rPr>
        <w:t>（</w:t>
      </w:r>
      <w:r>
        <w:rPr>
          <w:rFonts w:hint="eastAsia" w:ascii="宋体" w:hAnsi="宋体" w:cs="方正仿宋_GBK"/>
          <w:color w:val="auto"/>
          <w:sz w:val="24"/>
          <w:szCs w:val="24"/>
          <w:highlight w:val="none"/>
          <w:lang w:val="en-US" w:eastAsia="zh-CN"/>
        </w:rPr>
        <w:t>三</w:t>
      </w:r>
      <w:r>
        <w:rPr>
          <w:rFonts w:hint="eastAsia" w:ascii="宋体" w:hAnsi="宋体" w:cs="方正仿宋_GBK"/>
          <w:color w:val="auto"/>
          <w:sz w:val="24"/>
          <w:szCs w:val="24"/>
          <w:highlight w:val="none"/>
          <w:lang w:eastAsia="zh-CN"/>
        </w:rPr>
        <w:t>）</w:t>
      </w:r>
      <w:r>
        <w:rPr>
          <w:rFonts w:hint="eastAsia" w:ascii="宋体" w:hAnsi="宋体" w:eastAsia="宋体" w:cs="方正仿宋_GBK"/>
          <w:color w:val="auto"/>
          <w:sz w:val="24"/>
          <w:szCs w:val="24"/>
          <w:highlight w:val="none"/>
        </w:rPr>
        <w:t>售后服务期内容，产品发生质量问题，</w:t>
      </w:r>
      <w:r>
        <w:rPr>
          <w:rFonts w:hint="eastAsia" w:ascii="宋体" w:hAnsi="宋体" w:cs="方正仿宋_GBK"/>
          <w:color w:val="auto"/>
          <w:sz w:val="24"/>
          <w:szCs w:val="24"/>
          <w:highlight w:val="none"/>
          <w:lang w:val="en-US" w:eastAsia="zh-CN"/>
        </w:rPr>
        <w:t>乙方</w:t>
      </w:r>
      <w:r>
        <w:rPr>
          <w:rFonts w:hint="eastAsia" w:ascii="宋体" w:hAnsi="宋体" w:eastAsia="宋体" w:cs="方正仿宋_GBK"/>
          <w:color w:val="auto"/>
          <w:sz w:val="24"/>
          <w:szCs w:val="24"/>
          <w:highlight w:val="none"/>
        </w:rPr>
        <w:t xml:space="preserve">应在接到采购人提出故障通知半小时以内做出响应，24小时内到达现场予以排除故障、修复或更换零部件，或启用替代品。如需更换设备或送修，需在2个工作日内解决，涉及安全方面的问题4小时内解决。相关费用包含在本次投标报价内。 </w:t>
      </w:r>
    </w:p>
    <w:p w14:paraId="2E6C400C">
      <w:pPr>
        <w:spacing w:line="360" w:lineRule="auto"/>
        <w:ind w:firstLine="482"/>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八、违约条款</w:t>
      </w:r>
    </w:p>
    <w:p w14:paraId="7275D99D">
      <w:pPr>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zh-CN"/>
        </w:rPr>
        <w:t>（一）</w:t>
      </w:r>
      <w:r>
        <w:rPr>
          <w:rFonts w:hint="eastAsia" w:ascii="宋体" w:hAnsi="宋体" w:eastAsia="宋体" w:cs="宋体"/>
          <w:color w:val="auto"/>
          <w:kern w:val="2"/>
          <w:sz w:val="24"/>
          <w:szCs w:val="24"/>
          <w:highlight w:val="none"/>
        </w:rPr>
        <w:t>乙方不按期完成合同约定的内容，应向甲方支付违约金，除甲方或不可抗力造成原因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以给甲方造成的实际损失为准。损失一旦达到误期货物或服务合同价的5%，甲方有权强制解除合同。</w:t>
      </w:r>
    </w:p>
    <w:p w14:paraId="05EBB5D2">
      <w:pPr>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w:t>
      </w:r>
      <w:r>
        <w:rPr>
          <w:rFonts w:hint="eastAsia" w:ascii="宋体" w:hAnsi="宋体" w:cs="宋体"/>
          <w:color w:val="auto"/>
          <w:kern w:val="2"/>
          <w:sz w:val="24"/>
          <w:szCs w:val="24"/>
          <w:highlight w:val="none"/>
          <w:lang w:val="en-US" w:eastAsia="zh-CN"/>
        </w:rPr>
        <w:t>二</w:t>
      </w:r>
      <w:r>
        <w:rPr>
          <w:rFonts w:hint="eastAsia" w:ascii="宋体" w:hAnsi="宋体" w:eastAsia="宋体" w:cs="宋体"/>
          <w:color w:val="auto"/>
          <w:kern w:val="2"/>
          <w:sz w:val="24"/>
          <w:szCs w:val="24"/>
          <w:highlight w:val="none"/>
        </w:rPr>
        <w:t xml:space="preserve">）乙方所供产品品种、型号、规格、花色、质量不符合规定的，由其负责包换或包修，并承担修理、调换或退货而支付的实际费用。 </w:t>
      </w:r>
    </w:p>
    <w:p w14:paraId="28AFA94E">
      <w:pPr>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w:t>
      </w:r>
      <w:r>
        <w:rPr>
          <w:rFonts w:hint="eastAsia" w:ascii="宋体" w:hAnsi="宋体" w:cs="宋体"/>
          <w:color w:val="auto"/>
          <w:kern w:val="2"/>
          <w:sz w:val="24"/>
          <w:szCs w:val="24"/>
          <w:highlight w:val="none"/>
          <w:lang w:val="en-US" w:eastAsia="zh-CN"/>
        </w:rPr>
        <w:t>三</w:t>
      </w:r>
      <w:r>
        <w:rPr>
          <w:rFonts w:hint="eastAsia" w:ascii="宋体" w:hAnsi="宋体" w:eastAsia="宋体" w:cs="宋体"/>
          <w:color w:val="auto"/>
          <w:kern w:val="2"/>
          <w:sz w:val="24"/>
          <w:szCs w:val="24"/>
          <w:highlight w:val="none"/>
        </w:rPr>
        <w:t>）非因甲方原因，乙方不履行本合同规定的义务，致使工作延误，甲方有权要求其强制履行或解除合同，并要求乙方等额赔偿由此造成的一切损失。</w:t>
      </w:r>
    </w:p>
    <w:p w14:paraId="4A3DC034">
      <w:pPr>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w:t>
      </w:r>
      <w:r>
        <w:rPr>
          <w:rFonts w:hint="eastAsia" w:ascii="宋体" w:hAnsi="宋体" w:cs="宋体"/>
          <w:color w:val="auto"/>
          <w:kern w:val="2"/>
          <w:sz w:val="24"/>
          <w:szCs w:val="24"/>
          <w:highlight w:val="none"/>
          <w:lang w:val="en-US" w:eastAsia="zh-CN"/>
        </w:rPr>
        <w:t>四</w:t>
      </w:r>
      <w:r>
        <w:rPr>
          <w:rFonts w:hint="eastAsia" w:ascii="宋体" w:hAnsi="宋体" w:eastAsia="宋体" w:cs="宋体"/>
          <w:color w:val="auto"/>
          <w:kern w:val="2"/>
          <w:sz w:val="24"/>
          <w:szCs w:val="24"/>
          <w:highlight w:val="none"/>
        </w:rPr>
        <w:t>）本项目不得转让分包，如有发生，无条件清理退场，所造成的一切损失由乙方负责。</w:t>
      </w:r>
    </w:p>
    <w:p w14:paraId="13FD2B04">
      <w:pPr>
        <w:spacing w:line="360" w:lineRule="auto"/>
        <w:ind w:firstLine="482"/>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九、知识产权</w:t>
      </w:r>
    </w:p>
    <w:p w14:paraId="23C54218">
      <w:pPr>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乙方应保证甲方免除并承担由于甲方在其本国使用该项目时而引起第三方提出的侵犯专利权、知识产权或设计权的起诉、行动、行政程序索赔、请求等以及甲方为此而产生的损失和损害、费用和支出（包括律师费）。</w:t>
      </w:r>
    </w:p>
    <w:p w14:paraId="216D3461">
      <w:pPr>
        <w:spacing w:line="360" w:lineRule="auto"/>
        <w:ind w:firstLine="482"/>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十、合同生效</w:t>
      </w:r>
    </w:p>
    <w:p w14:paraId="4BA98119">
      <w:pPr>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本合同经甲方、乙方签字盖章后生效，合同签订的内容不能超出采购文件和</w:t>
      </w:r>
      <w:r>
        <w:rPr>
          <w:rFonts w:hint="eastAsia" w:ascii="宋体" w:hAnsi="宋体" w:cs="宋体"/>
          <w:color w:val="auto"/>
          <w:kern w:val="2"/>
          <w:sz w:val="24"/>
          <w:szCs w:val="24"/>
          <w:highlight w:val="none"/>
          <w:lang w:val="en-US" w:eastAsia="zh-CN"/>
        </w:rPr>
        <w:t>投标</w:t>
      </w:r>
      <w:r>
        <w:rPr>
          <w:rFonts w:hint="eastAsia" w:ascii="宋体" w:hAnsi="宋体" w:eastAsia="宋体" w:cs="宋体"/>
          <w:color w:val="auto"/>
          <w:kern w:val="2"/>
          <w:sz w:val="24"/>
          <w:szCs w:val="24"/>
          <w:highlight w:val="none"/>
        </w:rPr>
        <w:t>文件的实质性内容。</w:t>
      </w:r>
    </w:p>
    <w:p w14:paraId="583EBD5E">
      <w:pPr>
        <w:spacing w:line="360" w:lineRule="auto"/>
        <w:ind w:firstLine="482"/>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十一、合同的组成部分</w:t>
      </w:r>
    </w:p>
    <w:p w14:paraId="41EDCE93">
      <w:pPr>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本合同条款、</w:t>
      </w:r>
      <w:r>
        <w:rPr>
          <w:rFonts w:hint="eastAsia" w:ascii="宋体" w:hAnsi="宋体" w:cs="宋体"/>
          <w:color w:val="auto"/>
          <w:kern w:val="2"/>
          <w:sz w:val="24"/>
          <w:szCs w:val="24"/>
          <w:highlight w:val="none"/>
          <w:lang w:val="en-US" w:eastAsia="zh-CN"/>
        </w:rPr>
        <w:t>中标</w:t>
      </w:r>
      <w:r>
        <w:rPr>
          <w:rFonts w:hint="eastAsia" w:ascii="宋体" w:hAnsi="宋体" w:eastAsia="宋体" w:cs="宋体"/>
          <w:color w:val="auto"/>
          <w:kern w:val="2"/>
          <w:sz w:val="24"/>
          <w:szCs w:val="24"/>
          <w:highlight w:val="none"/>
        </w:rPr>
        <w:t>通知书、采购文件、</w:t>
      </w:r>
      <w:r>
        <w:rPr>
          <w:rFonts w:hint="eastAsia" w:ascii="宋体" w:hAnsi="宋体" w:cs="宋体"/>
          <w:color w:val="auto"/>
          <w:kern w:val="2"/>
          <w:sz w:val="24"/>
          <w:szCs w:val="24"/>
          <w:highlight w:val="none"/>
          <w:lang w:val="en-US" w:eastAsia="zh-CN"/>
        </w:rPr>
        <w:t>投标</w:t>
      </w:r>
      <w:r>
        <w:rPr>
          <w:rFonts w:hint="eastAsia" w:ascii="宋体" w:hAnsi="宋体" w:eastAsia="宋体" w:cs="宋体"/>
          <w:color w:val="auto"/>
          <w:kern w:val="2"/>
          <w:sz w:val="24"/>
          <w:szCs w:val="24"/>
          <w:highlight w:val="none"/>
        </w:rPr>
        <w:t>文件及</w:t>
      </w:r>
      <w:r>
        <w:rPr>
          <w:rFonts w:hint="eastAsia" w:ascii="宋体" w:hAnsi="宋体" w:cs="宋体"/>
          <w:color w:val="auto"/>
          <w:kern w:val="2"/>
          <w:sz w:val="24"/>
          <w:szCs w:val="24"/>
          <w:highlight w:val="none"/>
          <w:lang w:val="en-US" w:eastAsia="zh-CN"/>
        </w:rPr>
        <w:t>乙方</w:t>
      </w:r>
      <w:r>
        <w:rPr>
          <w:rFonts w:hint="eastAsia" w:ascii="宋体" w:hAnsi="宋体" w:eastAsia="宋体" w:cs="宋体"/>
          <w:color w:val="auto"/>
          <w:kern w:val="2"/>
          <w:sz w:val="24"/>
          <w:szCs w:val="24"/>
          <w:highlight w:val="none"/>
        </w:rPr>
        <w:t xml:space="preserve">在报价时的书面承诺等构成合同的组成部分。 </w:t>
      </w:r>
    </w:p>
    <w:p w14:paraId="5F62BCA7">
      <w:pPr>
        <w:spacing w:line="360" w:lineRule="auto"/>
        <w:ind w:firstLine="482"/>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十二、合同份数</w:t>
      </w:r>
    </w:p>
    <w:p w14:paraId="0AF31A3D">
      <w:pPr>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本合同一式</w:t>
      </w:r>
      <w:r>
        <w:rPr>
          <w:rFonts w:hint="eastAsia" w:ascii="宋体" w:hAnsi="宋体" w:cs="宋体"/>
          <w:color w:val="auto"/>
          <w:kern w:val="2"/>
          <w:sz w:val="24"/>
          <w:szCs w:val="24"/>
          <w:highlight w:val="none"/>
          <w:lang w:val="en-US" w:eastAsia="zh-CN"/>
        </w:rPr>
        <w:t>捌</w:t>
      </w:r>
      <w:r>
        <w:rPr>
          <w:rFonts w:hint="eastAsia" w:ascii="宋体" w:hAnsi="宋体" w:eastAsia="宋体" w:cs="宋体"/>
          <w:color w:val="auto"/>
          <w:kern w:val="2"/>
          <w:sz w:val="24"/>
          <w:szCs w:val="24"/>
          <w:highlight w:val="none"/>
        </w:rPr>
        <w:t>份，以中文书写，甲方</w:t>
      </w:r>
      <w:r>
        <w:rPr>
          <w:rFonts w:hint="eastAsia" w:ascii="宋体" w:hAnsi="宋体" w:cs="宋体"/>
          <w:color w:val="auto"/>
          <w:kern w:val="2"/>
          <w:sz w:val="24"/>
          <w:szCs w:val="24"/>
          <w:highlight w:val="none"/>
          <w:lang w:val="en-US" w:eastAsia="zh-CN"/>
        </w:rPr>
        <w:t>陆</w:t>
      </w:r>
      <w:r>
        <w:rPr>
          <w:rFonts w:hint="eastAsia" w:ascii="宋体" w:hAnsi="宋体" w:eastAsia="宋体" w:cs="宋体"/>
          <w:color w:val="auto"/>
          <w:kern w:val="2"/>
          <w:sz w:val="24"/>
          <w:szCs w:val="24"/>
          <w:highlight w:val="none"/>
        </w:rPr>
        <w:t>份、乙方执贰份。</w:t>
      </w:r>
    </w:p>
    <w:p w14:paraId="76E50A33">
      <w:pPr>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b/>
          <w:color w:val="auto"/>
          <w:kern w:val="2"/>
          <w:sz w:val="24"/>
          <w:szCs w:val="24"/>
          <w:highlight w:val="none"/>
        </w:rPr>
        <w:t>十三、本合同一切未尽事宜，按民法典有关规定执行，无相关规定的，由甲乙双方协商解决。</w:t>
      </w:r>
    </w:p>
    <w:p w14:paraId="31F5D4E3">
      <w:pPr>
        <w:spacing w:line="360" w:lineRule="auto"/>
        <w:ind w:firstLine="482"/>
        <w:rPr>
          <w:rFonts w:hint="eastAsia" w:ascii="宋体" w:hAnsi="宋体" w:eastAsia="宋体" w:cs="宋体"/>
          <w:b/>
          <w:color w:val="auto"/>
          <w:kern w:val="2"/>
          <w:sz w:val="24"/>
          <w:szCs w:val="24"/>
          <w:highlight w:val="none"/>
        </w:rPr>
      </w:pPr>
      <w:r>
        <w:rPr>
          <w:rFonts w:hint="eastAsia" w:ascii="宋体" w:hAnsi="宋体" w:cs="宋体"/>
          <w:b/>
          <w:color w:val="auto"/>
          <w:kern w:val="2"/>
          <w:sz w:val="24"/>
          <w:szCs w:val="24"/>
          <w:highlight w:val="none"/>
          <w:lang w:val="en-US" w:eastAsia="zh-CN"/>
        </w:rPr>
        <w:t>十四</w:t>
      </w:r>
      <w:r>
        <w:rPr>
          <w:rFonts w:hint="eastAsia" w:ascii="宋体" w:hAnsi="宋体" w:eastAsia="宋体" w:cs="宋体"/>
          <w:b/>
          <w:color w:val="auto"/>
          <w:kern w:val="2"/>
          <w:sz w:val="24"/>
          <w:szCs w:val="24"/>
          <w:highlight w:val="none"/>
        </w:rPr>
        <w:t>、不可抗力</w:t>
      </w:r>
    </w:p>
    <w:p w14:paraId="604961ED">
      <w:pPr>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p>
    <w:p w14:paraId="0C47EC71">
      <w:pPr>
        <w:spacing w:line="360" w:lineRule="auto"/>
        <w:ind w:firstLine="482"/>
        <w:rPr>
          <w:rFonts w:hint="eastAsia" w:ascii="宋体" w:hAnsi="宋体" w:eastAsia="宋体" w:cs="宋体"/>
          <w:b/>
          <w:color w:val="auto"/>
          <w:kern w:val="2"/>
          <w:sz w:val="24"/>
          <w:szCs w:val="24"/>
          <w:highlight w:val="none"/>
        </w:rPr>
      </w:pPr>
      <w:r>
        <w:rPr>
          <w:rFonts w:hint="eastAsia" w:ascii="宋体" w:hAnsi="宋体" w:cs="宋体"/>
          <w:b/>
          <w:color w:val="auto"/>
          <w:kern w:val="2"/>
          <w:sz w:val="24"/>
          <w:szCs w:val="24"/>
          <w:highlight w:val="none"/>
          <w:lang w:val="en-US" w:eastAsia="zh-CN"/>
        </w:rPr>
        <w:t>十五</w:t>
      </w:r>
      <w:r>
        <w:rPr>
          <w:rFonts w:hint="eastAsia" w:ascii="宋体" w:hAnsi="宋体" w:eastAsia="宋体" w:cs="宋体"/>
          <w:b/>
          <w:color w:val="auto"/>
          <w:kern w:val="2"/>
          <w:sz w:val="24"/>
          <w:szCs w:val="24"/>
          <w:highlight w:val="none"/>
        </w:rPr>
        <w:t>、税费</w:t>
      </w:r>
    </w:p>
    <w:p w14:paraId="393E3ADE">
      <w:pPr>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中国政府根据现行税法规定对甲方征收的与本合同有关的一切税费由甲方负担；规定对乙方征收的与本合同有关的一切税费由乙方负担。</w:t>
      </w:r>
    </w:p>
    <w:p w14:paraId="7AB52747">
      <w:pPr>
        <w:spacing w:line="360" w:lineRule="auto"/>
        <w:ind w:firstLine="482"/>
        <w:rPr>
          <w:rFonts w:hint="eastAsia" w:ascii="宋体" w:hAnsi="宋体" w:eastAsia="宋体" w:cs="宋体"/>
          <w:b/>
          <w:color w:val="auto"/>
          <w:kern w:val="2"/>
          <w:sz w:val="24"/>
          <w:szCs w:val="24"/>
          <w:highlight w:val="none"/>
        </w:rPr>
      </w:pPr>
      <w:r>
        <w:rPr>
          <w:rFonts w:hint="eastAsia" w:ascii="宋体" w:hAnsi="宋体" w:cs="宋体"/>
          <w:b/>
          <w:color w:val="auto"/>
          <w:kern w:val="2"/>
          <w:sz w:val="24"/>
          <w:szCs w:val="24"/>
          <w:highlight w:val="none"/>
          <w:lang w:val="en-US" w:eastAsia="zh-CN"/>
        </w:rPr>
        <w:t>十六</w:t>
      </w:r>
      <w:r>
        <w:rPr>
          <w:rFonts w:hint="eastAsia" w:ascii="宋体" w:hAnsi="宋体" w:eastAsia="宋体" w:cs="宋体"/>
          <w:b/>
          <w:color w:val="auto"/>
          <w:kern w:val="2"/>
          <w:sz w:val="24"/>
          <w:szCs w:val="24"/>
          <w:highlight w:val="none"/>
        </w:rPr>
        <w:t>、合同争议</w:t>
      </w:r>
    </w:p>
    <w:p w14:paraId="3DFCAA0A">
      <w:pPr>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合同在履行过程中发生争议时，甲乙双方应及时协商解决，如果协商仍得不到解决，任何一方均可向甲方所在地人民法院提起诉讼，本合同履行中因一方违约产生的额外费用，包括但不限于诉讼费、律师费、保全费、保险费等均由违约方负担。双方在本合同落款处签字盖章确认的地址及联系方式既为双方因合同履行而送达相关文书的地址，也视为将来发生诉讼时，审判机关向当事人送达法律文书的送达地址。</w:t>
      </w:r>
    </w:p>
    <w:p w14:paraId="30908D77">
      <w:pPr>
        <w:widowControl w:val="0"/>
        <w:spacing w:line="520" w:lineRule="exact"/>
        <w:ind w:firstLine="482" w:firstLineChars="200"/>
        <w:jc w:val="both"/>
        <w:rPr>
          <w:rFonts w:hint="eastAsia" w:ascii="宋体" w:hAnsi="宋体" w:eastAsia="宋体" w:cs="宋体"/>
          <w:b/>
          <w:color w:val="auto"/>
          <w:kern w:val="2"/>
          <w:sz w:val="24"/>
          <w:szCs w:val="24"/>
          <w:highlight w:val="none"/>
          <w:lang w:val="en-US" w:eastAsia="zh-CN" w:bidi="ar-SA"/>
        </w:rPr>
      </w:pPr>
      <w:r>
        <w:rPr>
          <w:rFonts w:hint="eastAsia" w:ascii="宋体" w:hAnsi="宋体" w:cs="宋体"/>
          <w:b/>
          <w:color w:val="auto"/>
          <w:kern w:val="2"/>
          <w:sz w:val="24"/>
          <w:szCs w:val="24"/>
          <w:highlight w:val="none"/>
          <w:lang w:val="en-US" w:eastAsia="zh-CN" w:bidi="ar-SA"/>
        </w:rPr>
        <w:t>十七</w:t>
      </w:r>
      <w:r>
        <w:rPr>
          <w:rFonts w:hint="eastAsia" w:ascii="宋体" w:hAnsi="宋体" w:eastAsia="宋体" w:cs="宋体"/>
          <w:b/>
          <w:color w:val="auto"/>
          <w:kern w:val="2"/>
          <w:sz w:val="24"/>
          <w:szCs w:val="24"/>
          <w:highlight w:val="none"/>
          <w:lang w:val="en-US" w:eastAsia="zh-CN" w:bidi="ar-SA"/>
        </w:rPr>
        <w:t>、安全条款</w:t>
      </w:r>
    </w:p>
    <w:p w14:paraId="724A10A3">
      <w:pPr>
        <w:widowControl w:val="0"/>
        <w:spacing w:line="52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在合同期内乙方拟派所有服务人员的人身安全、财产安全由乙方负责并承担一切责任，与甲方无关且甲方无需承担任何责任。</w:t>
      </w:r>
    </w:p>
    <w:p w14:paraId="11F526BF">
      <w:pPr>
        <w:spacing w:line="360" w:lineRule="auto"/>
        <w:ind w:firstLine="482"/>
        <w:rPr>
          <w:rFonts w:hint="eastAsia" w:ascii="宋体" w:hAnsi="宋体" w:eastAsia="宋体" w:cs="宋体"/>
          <w:b/>
          <w:color w:val="auto"/>
          <w:kern w:val="2"/>
          <w:sz w:val="24"/>
          <w:szCs w:val="24"/>
          <w:highlight w:val="none"/>
        </w:rPr>
      </w:pPr>
      <w:r>
        <w:rPr>
          <w:rFonts w:hint="eastAsia" w:ascii="宋体" w:hAnsi="宋体" w:cs="宋体"/>
          <w:b/>
          <w:color w:val="auto"/>
          <w:kern w:val="2"/>
          <w:sz w:val="24"/>
          <w:szCs w:val="24"/>
          <w:highlight w:val="none"/>
          <w:lang w:val="en-US" w:eastAsia="zh-CN"/>
        </w:rPr>
        <w:t>十八</w:t>
      </w:r>
      <w:r>
        <w:rPr>
          <w:rFonts w:hint="eastAsia" w:ascii="宋体" w:hAnsi="宋体" w:eastAsia="宋体" w:cs="宋体"/>
          <w:b/>
          <w:color w:val="auto"/>
          <w:kern w:val="2"/>
          <w:sz w:val="24"/>
          <w:szCs w:val="24"/>
          <w:highlight w:val="none"/>
        </w:rPr>
        <w:t>、适用法律</w:t>
      </w:r>
    </w:p>
    <w:p w14:paraId="385B1C21">
      <w:pPr>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本合同应按照中华人民共和国的现行法律进行解释。</w:t>
      </w:r>
    </w:p>
    <w:p w14:paraId="07C8FE87">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甲方：（盖章）                        乙方：  （盖章）      </w:t>
      </w:r>
    </w:p>
    <w:p w14:paraId="61AF476A">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地址：                               地址：</w:t>
      </w:r>
    </w:p>
    <w:p w14:paraId="42AAA9F3">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法定（授权）代表人：                 法定（授权）代表人：</w:t>
      </w:r>
    </w:p>
    <w:p w14:paraId="486F2034">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联系人：                             联系人：</w:t>
      </w:r>
    </w:p>
    <w:p w14:paraId="26366A61">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联系电话：                           联系电话：</w:t>
      </w:r>
    </w:p>
    <w:p w14:paraId="5793DEA7">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202</w:t>
      </w:r>
      <w:r>
        <w:rPr>
          <w:rFonts w:hint="eastAsia" w:ascii="宋体" w:hAnsi="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年    月   日                    202</w:t>
      </w:r>
      <w:r>
        <w:rPr>
          <w:rFonts w:hint="eastAsia" w:ascii="宋体" w:hAnsi="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年   月   日</w:t>
      </w:r>
    </w:p>
    <w:p w14:paraId="3C518117">
      <w:pPr>
        <w:keepNext/>
        <w:keepLines/>
        <w:pageBreakBefore/>
        <w:jc w:val="center"/>
        <w:outlineLvl w:val="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第六章  投标文件格式</w:t>
      </w:r>
      <w:bookmarkEnd w:id="139"/>
      <w:bookmarkEnd w:id="140"/>
      <w:bookmarkEnd w:id="141"/>
      <w:bookmarkEnd w:id="142"/>
      <w:bookmarkEnd w:id="143"/>
      <w:bookmarkEnd w:id="144"/>
    </w:p>
    <w:p w14:paraId="509883CA">
      <w:pPr>
        <w:rPr>
          <w:rFonts w:hint="eastAsia" w:ascii="宋体" w:hAnsi="宋体" w:eastAsia="宋体" w:cs="宋体"/>
          <w:color w:val="auto"/>
          <w:highlight w:val="none"/>
        </w:rPr>
      </w:pPr>
      <w:bookmarkStart w:id="150" w:name="EB819316f773b24a75aef829f9b72900c0"/>
    </w:p>
    <w:p w14:paraId="596632AD">
      <w:pPr>
        <w:rPr>
          <w:rFonts w:hint="eastAsia" w:ascii="宋体" w:hAnsi="宋体" w:eastAsia="宋体" w:cs="宋体"/>
          <w:b/>
          <w:color w:val="auto"/>
          <w:sz w:val="72"/>
          <w:highlight w:val="none"/>
        </w:rPr>
      </w:pPr>
      <w:bookmarkStart w:id="151" w:name="_Toc15716"/>
    </w:p>
    <w:p w14:paraId="7334EA54">
      <w:pPr>
        <w:rPr>
          <w:rFonts w:hint="eastAsia" w:ascii="宋体" w:hAnsi="宋体" w:eastAsia="宋体" w:cs="宋体"/>
          <w:b/>
          <w:color w:val="auto"/>
          <w:sz w:val="72"/>
          <w:highlight w:val="none"/>
        </w:rPr>
      </w:pPr>
    </w:p>
    <w:p w14:paraId="33A03CE6">
      <w:pPr>
        <w:rPr>
          <w:rFonts w:hint="eastAsia" w:ascii="宋体" w:hAnsi="宋体" w:eastAsia="宋体" w:cs="宋体"/>
          <w:b/>
          <w:color w:val="auto"/>
          <w:sz w:val="72"/>
          <w:highlight w:val="none"/>
        </w:rPr>
      </w:pPr>
    </w:p>
    <w:p w14:paraId="428EE021">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投  标  文  件</w:t>
      </w:r>
    </w:p>
    <w:p w14:paraId="39DCFD82">
      <w:pPr>
        <w:jc w:val="center"/>
        <w:rPr>
          <w:rFonts w:hint="eastAsia" w:ascii="宋体" w:hAnsi="宋体" w:eastAsia="宋体" w:cs="宋体"/>
          <w:b/>
          <w:color w:val="auto"/>
          <w:sz w:val="72"/>
          <w:highlight w:val="none"/>
        </w:rPr>
      </w:pPr>
    </w:p>
    <w:p w14:paraId="4E5D8A33">
      <w:pPr>
        <w:jc w:val="center"/>
        <w:rPr>
          <w:rFonts w:hint="eastAsia" w:ascii="宋体" w:hAnsi="宋体" w:eastAsia="宋体" w:cs="宋体"/>
          <w:b/>
          <w:color w:val="auto"/>
          <w:sz w:val="72"/>
          <w:highlight w:val="none"/>
        </w:rPr>
      </w:pPr>
    </w:p>
    <w:p w14:paraId="42912E4F">
      <w:pPr>
        <w:jc w:val="center"/>
        <w:rPr>
          <w:rFonts w:hint="eastAsia" w:ascii="宋体" w:hAnsi="宋体" w:eastAsia="宋体" w:cs="宋体"/>
          <w:b/>
          <w:color w:val="auto"/>
          <w:sz w:val="72"/>
          <w:highlight w:val="none"/>
        </w:rPr>
      </w:pPr>
    </w:p>
    <w:p w14:paraId="0E288CE4">
      <w:pPr>
        <w:jc w:val="center"/>
        <w:rPr>
          <w:rFonts w:hint="eastAsia" w:ascii="宋体" w:hAnsi="宋体" w:eastAsia="宋体" w:cs="宋体"/>
          <w:b/>
          <w:color w:val="auto"/>
          <w:sz w:val="72"/>
          <w:highlight w:val="none"/>
        </w:rPr>
      </w:pPr>
    </w:p>
    <w:p w14:paraId="6A7BF392">
      <w:pPr>
        <w:jc w:val="center"/>
        <w:rPr>
          <w:rFonts w:hint="eastAsia" w:ascii="宋体" w:hAnsi="宋体" w:eastAsia="宋体" w:cs="宋体"/>
          <w:b/>
          <w:color w:val="auto"/>
          <w:sz w:val="72"/>
          <w:highlight w:val="none"/>
        </w:rPr>
      </w:pPr>
    </w:p>
    <w:p w14:paraId="27D955B4">
      <w:pPr>
        <w:jc w:val="center"/>
        <w:rPr>
          <w:rFonts w:hint="eastAsia" w:ascii="宋体" w:hAnsi="宋体" w:eastAsia="宋体" w:cs="宋体"/>
          <w:b/>
          <w:color w:val="auto"/>
          <w:sz w:val="36"/>
          <w:highlight w:val="none"/>
        </w:rPr>
      </w:pPr>
    </w:p>
    <w:p w14:paraId="631656CC">
      <w:pPr>
        <w:jc w:val="center"/>
        <w:rPr>
          <w:rFonts w:hint="eastAsia" w:ascii="宋体" w:hAnsi="宋体" w:eastAsia="宋体" w:cs="宋体"/>
          <w:b/>
          <w:color w:val="auto"/>
          <w:sz w:val="36"/>
          <w:highlight w:val="none"/>
        </w:rPr>
      </w:pPr>
    </w:p>
    <w:p w14:paraId="52075D58">
      <w:pPr>
        <w:jc w:val="center"/>
        <w:rPr>
          <w:rFonts w:hint="eastAsia" w:ascii="宋体" w:hAnsi="宋体" w:eastAsia="宋体" w:cs="宋体"/>
          <w:b/>
          <w:color w:val="auto"/>
          <w:sz w:val="36"/>
          <w:highlight w:val="none"/>
        </w:rPr>
      </w:pPr>
    </w:p>
    <w:p w14:paraId="622DDAE1">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名 称：</w:t>
      </w:r>
      <w:r>
        <w:rPr>
          <w:rFonts w:hint="eastAsia" w:ascii="宋体" w:hAnsi="宋体" w:eastAsia="宋体" w:cs="宋体"/>
          <w:b/>
          <w:color w:val="auto"/>
          <w:sz w:val="36"/>
          <w:highlight w:val="none"/>
          <w:u w:val="single"/>
        </w:rPr>
        <w:t xml:space="preserve">               </w:t>
      </w:r>
    </w:p>
    <w:p w14:paraId="799D9BE3">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项 目 编 号：</w:t>
      </w:r>
      <w:r>
        <w:rPr>
          <w:rFonts w:hint="eastAsia" w:ascii="宋体" w:hAnsi="宋体" w:eastAsia="宋体" w:cs="宋体"/>
          <w:b/>
          <w:color w:val="auto"/>
          <w:sz w:val="36"/>
          <w:highlight w:val="none"/>
          <w:u w:val="single"/>
        </w:rPr>
        <w:t xml:space="preserve">               </w:t>
      </w:r>
    </w:p>
    <w:p w14:paraId="229649AA">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（盖CA电子公章）</w:t>
      </w:r>
    </w:p>
    <w:p w14:paraId="342915F6">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bookmarkEnd w:id="151"/>
    </w:p>
    <w:p w14:paraId="4F90E6F9">
      <w:pPr>
        <w:pStyle w:val="323"/>
        <w:rPr>
          <w:rFonts w:hint="eastAsia" w:ascii="宋体" w:hAnsi="宋体" w:eastAsia="宋体" w:cs="宋体"/>
          <w:color w:val="auto"/>
          <w:highlight w:val="none"/>
        </w:rPr>
      </w:pPr>
    </w:p>
    <w:p w14:paraId="70AC7113">
      <w:pPr>
        <w:pStyle w:val="323"/>
        <w:rPr>
          <w:rFonts w:hint="eastAsia" w:ascii="宋体" w:hAnsi="宋体" w:eastAsia="宋体" w:cs="宋体"/>
          <w:color w:val="auto"/>
          <w:highlight w:val="none"/>
        </w:rPr>
      </w:pPr>
    </w:p>
    <w:p w14:paraId="3BBF74C6">
      <w:pPr>
        <w:pStyle w:val="323"/>
        <w:rPr>
          <w:rFonts w:hint="eastAsia" w:ascii="宋体" w:hAnsi="宋体" w:eastAsia="宋体" w:cs="宋体"/>
          <w:color w:val="auto"/>
          <w:highlight w:val="none"/>
        </w:rPr>
      </w:pPr>
    </w:p>
    <w:p w14:paraId="09501157">
      <w:pPr>
        <w:pStyle w:val="323"/>
        <w:rPr>
          <w:rFonts w:hint="eastAsia" w:ascii="宋体" w:hAnsi="宋体" w:eastAsia="宋体" w:cs="宋体"/>
          <w:color w:val="auto"/>
          <w:highlight w:val="none"/>
        </w:rPr>
      </w:pPr>
    </w:p>
    <w:p w14:paraId="5BEA319D">
      <w:pPr>
        <w:pStyle w:val="323"/>
        <w:rPr>
          <w:rFonts w:hint="eastAsia" w:ascii="宋体" w:hAnsi="宋体" w:eastAsia="宋体" w:cs="宋体"/>
          <w:color w:val="auto"/>
          <w:highlight w:val="none"/>
        </w:rPr>
      </w:pPr>
    </w:p>
    <w:p w14:paraId="171906D0">
      <w:pPr>
        <w:pStyle w:val="323"/>
        <w:rPr>
          <w:rFonts w:hint="eastAsia" w:ascii="宋体" w:hAnsi="宋体" w:eastAsia="宋体" w:cs="宋体"/>
          <w:color w:val="auto"/>
          <w:highlight w:val="none"/>
        </w:rPr>
      </w:pPr>
    </w:p>
    <w:bookmarkEnd w:id="150"/>
    <w:p w14:paraId="47C6F87D">
      <w:pPr>
        <w:pStyle w:val="323"/>
        <w:rPr>
          <w:rFonts w:hint="eastAsia" w:ascii="宋体" w:hAnsi="宋体" w:eastAsia="宋体" w:cs="宋体"/>
          <w:color w:val="auto"/>
          <w:highlight w:val="none"/>
        </w:rPr>
      </w:pPr>
    </w:p>
    <w:p w14:paraId="1B952E9A">
      <w:pPr>
        <w:pStyle w:val="323"/>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投标文件目录</w:t>
      </w:r>
    </w:p>
    <w:p w14:paraId="5D1D3EF2">
      <w:pPr>
        <w:pStyle w:val="323"/>
        <w:spacing w:line="360" w:lineRule="auto"/>
        <w:rPr>
          <w:rFonts w:hint="eastAsia" w:ascii="宋体" w:hAnsi="宋体" w:eastAsia="宋体" w:cs="宋体"/>
          <w:color w:val="auto"/>
          <w:sz w:val="28"/>
          <w:szCs w:val="28"/>
          <w:highlight w:val="none"/>
        </w:rPr>
      </w:pPr>
    </w:p>
    <w:p w14:paraId="3467B412">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一、投标函</w:t>
      </w:r>
    </w:p>
    <w:p w14:paraId="78E5C370">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二、法人授权书</w:t>
      </w:r>
    </w:p>
    <w:p w14:paraId="09A18BEC">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三、开标一览表</w:t>
      </w:r>
    </w:p>
    <w:p w14:paraId="4BDABDA5">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四、投标分项报价表</w:t>
      </w:r>
    </w:p>
    <w:p w14:paraId="3001FA56">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五、中小企业声明函</w:t>
      </w:r>
    </w:p>
    <w:p w14:paraId="311BD327">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六、技术响应偏离表（技术参数响应）</w:t>
      </w:r>
    </w:p>
    <w:p w14:paraId="013D9A9A">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七、项目组人员</w:t>
      </w:r>
    </w:p>
    <w:p w14:paraId="5BE197E7">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八、企业业绩</w:t>
      </w:r>
    </w:p>
    <w:p w14:paraId="21C831B7">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九、投标所需其他材料</w:t>
      </w:r>
    </w:p>
    <w:p w14:paraId="5E224D4E">
      <w:pPr>
        <w:rPr>
          <w:rFonts w:hint="eastAsia" w:ascii="宋体" w:hAnsi="宋体" w:eastAsia="宋体" w:cs="宋体"/>
          <w:color w:val="auto"/>
          <w:highlight w:val="none"/>
        </w:rPr>
      </w:pPr>
      <w:bookmarkStart w:id="152" w:name="_Toc20577"/>
      <w:bookmarkStart w:id="153" w:name="_Toc26005"/>
    </w:p>
    <w:p w14:paraId="1FB34435">
      <w:pPr>
        <w:rPr>
          <w:rFonts w:hint="eastAsia" w:ascii="宋体" w:hAnsi="宋体" w:eastAsia="宋体" w:cs="宋体"/>
          <w:color w:val="auto"/>
          <w:highlight w:val="none"/>
        </w:rPr>
      </w:pPr>
    </w:p>
    <w:p w14:paraId="1169A153">
      <w:pPr>
        <w:rPr>
          <w:rFonts w:hint="eastAsia" w:ascii="宋体" w:hAnsi="宋体" w:eastAsia="宋体" w:cs="宋体"/>
          <w:color w:val="auto"/>
          <w:highlight w:val="none"/>
        </w:rPr>
      </w:pPr>
    </w:p>
    <w:p w14:paraId="71081273">
      <w:pPr>
        <w:rPr>
          <w:rFonts w:hint="eastAsia" w:ascii="宋体" w:hAnsi="宋体" w:eastAsia="宋体" w:cs="宋体"/>
          <w:color w:val="auto"/>
          <w:highlight w:val="none"/>
        </w:rPr>
      </w:pPr>
    </w:p>
    <w:p w14:paraId="4A5367E3">
      <w:pPr>
        <w:rPr>
          <w:rFonts w:hint="eastAsia" w:ascii="宋体" w:hAnsi="宋体" w:eastAsia="宋体" w:cs="宋体"/>
          <w:color w:val="auto"/>
          <w:highlight w:val="none"/>
        </w:rPr>
      </w:pPr>
    </w:p>
    <w:p w14:paraId="580D1F4D">
      <w:pPr>
        <w:rPr>
          <w:rFonts w:hint="eastAsia" w:ascii="宋体" w:hAnsi="宋体" w:eastAsia="宋体" w:cs="宋体"/>
          <w:color w:val="auto"/>
          <w:highlight w:val="none"/>
        </w:rPr>
      </w:pPr>
    </w:p>
    <w:p w14:paraId="010784D5">
      <w:pPr>
        <w:rPr>
          <w:rFonts w:hint="eastAsia" w:ascii="宋体" w:hAnsi="宋体" w:eastAsia="宋体" w:cs="宋体"/>
          <w:color w:val="auto"/>
          <w:highlight w:val="none"/>
        </w:rPr>
      </w:pPr>
    </w:p>
    <w:p w14:paraId="0832C3C6">
      <w:pPr>
        <w:rPr>
          <w:rFonts w:hint="eastAsia" w:ascii="宋体" w:hAnsi="宋体" w:eastAsia="宋体" w:cs="宋体"/>
          <w:color w:val="auto"/>
          <w:highlight w:val="none"/>
        </w:rPr>
      </w:pPr>
    </w:p>
    <w:p w14:paraId="2F7FA04B">
      <w:pPr>
        <w:rPr>
          <w:rFonts w:hint="eastAsia" w:ascii="宋体" w:hAnsi="宋体" w:eastAsia="宋体" w:cs="宋体"/>
          <w:color w:val="auto"/>
          <w:highlight w:val="none"/>
        </w:rPr>
      </w:pPr>
    </w:p>
    <w:p w14:paraId="67F16544">
      <w:pPr>
        <w:rPr>
          <w:rFonts w:hint="eastAsia" w:ascii="宋体" w:hAnsi="宋体" w:eastAsia="宋体" w:cs="宋体"/>
          <w:color w:val="auto"/>
          <w:highlight w:val="none"/>
        </w:rPr>
      </w:pPr>
    </w:p>
    <w:p w14:paraId="6E61F59C">
      <w:pPr>
        <w:rPr>
          <w:rFonts w:hint="eastAsia" w:ascii="宋体" w:hAnsi="宋体" w:eastAsia="宋体" w:cs="宋体"/>
          <w:color w:val="auto"/>
          <w:highlight w:val="none"/>
        </w:rPr>
      </w:pPr>
    </w:p>
    <w:p w14:paraId="45B0A25C">
      <w:pPr>
        <w:rPr>
          <w:rFonts w:hint="eastAsia" w:ascii="宋体" w:hAnsi="宋体" w:eastAsia="宋体" w:cs="宋体"/>
          <w:color w:val="auto"/>
          <w:highlight w:val="none"/>
        </w:rPr>
      </w:pPr>
    </w:p>
    <w:p w14:paraId="32E64ECC">
      <w:pPr>
        <w:rPr>
          <w:rFonts w:hint="eastAsia" w:ascii="宋体" w:hAnsi="宋体" w:eastAsia="宋体" w:cs="宋体"/>
          <w:color w:val="auto"/>
          <w:highlight w:val="none"/>
        </w:rPr>
      </w:pPr>
    </w:p>
    <w:p w14:paraId="3D0097DA">
      <w:pPr>
        <w:rPr>
          <w:rFonts w:hint="eastAsia" w:ascii="宋体" w:hAnsi="宋体" w:eastAsia="宋体" w:cs="宋体"/>
          <w:color w:val="auto"/>
          <w:highlight w:val="none"/>
        </w:rPr>
      </w:pPr>
    </w:p>
    <w:p w14:paraId="7120C36B">
      <w:pPr>
        <w:rPr>
          <w:rFonts w:hint="eastAsia" w:ascii="宋体" w:hAnsi="宋体" w:eastAsia="宋体" w:cs="宋体"/>
          <w:color w:val="auto"/>
          <w:highlight w:val="none"/>
        </w:rPr>
      </w:pPr>
    </w:p>
    <w:p w14:paraId="6ECD1192">
      <w:pPr>
        <w:rPr>
          <w:rFonts w:hint="eastAsia" w:ascii="宋体" w:hAnsi="宋体" w:eastAsia="宋体" w:cs="宋体"/>
          <w:color w:val="auto"/>
          <w:highlight w:val="none"/>
        </w:rPr>
      </w:pPr>
    </w:p>
    <w:p w14:paraId="5CAB3B00">
      <w:pPr>
        <w:rPr>
          <w:rFonts w:hint="eastAsia" w:ascii="宋体" w:hAnsi="宋体" w:eastAsia="宋体" w:cs="宋体"/>
          <w:color w:val="auto"/>
          <w:highlight w:val="none"/>
        </w:rPr>
      </w:pPr>
    </w:p>
    <w:p w14:paraId="15409647">
      <w:pPr>
        <w:rPr>
          <w:rFonts w:hint="eastAsia" w:ascii="宋体" w:hAnsi="宋体" w:eastAsia="宋体" w:cs="宋体"/>
          <w:color w:val="auto"/>
          <w:highlight w:val="none"/>
        </w:rPr>
      </w:pPr>
    </w:p>
    <w:p w14:paraId="1CB1448D">
      <w:pPr>
        <w:rPr>
          <w:rFonts w:hint="eastAsia" w:ascii="宋体" w:hAnsi="宋体" w:eastAsia="宋体" w:cs="宋体"/>
          <w:color w:val="auto"/>
          <w:highlight w:val="none"/>
        </w:rPr>
      </w:pPr>
    </w:p>
    <w:p w14:paraId="1C53E3FE">
      <w:pPr>
        <w:pStyle w:val="370"/>
        <w:spacing w:after="160" w:line="278" w:lineRule="auto"/>
        <w:outlineLvl w:val="1"/>
        <w:rPr>
          <w:rFonts w:hint="eastAsia" w:ascii="宋体" w:hAnsi="宋体" w:eastAsia="宋体" w:cs="宋体"/>
          <w:bCs/>
          <w:color w:val="auto"/>
          <w:szCs w:val="32"/>
          <w:highlight w:val="none"/>
        </w:rPr>
      </w:pPr>
      <w:bookmarkStart w:id="154" w:name="_Toc8978"/>
      <w:r>
        <w:rPr>
          <w:rFonts w:hint="eastAsia" w:ascii="宋体" w:hAnsi="宋体" w:eastAsia="宋体" w:cs="宋体"/>
          <w:b w:val="0"/>
          <w:bCs/>
          <w:color w:val="auto"/>
          <w:highlight w:val="none"/>
        </w:rPr>
        <w:br w:type="page" w:clear="all"/>
      </w:r>
      <w:r>
        <w:rPr>
          <w:rFonts w:hint="eastAsia" w:ascii="宋体" w:hAnsi="宋体" w:eastAsia="宋体" w:cs="宋体"/>
          <w:bCs/>
          <w:color w:val="auto"/>
          <w:szCs w:val="32"/>
          <w:highlight w:val="none"/>
        </w:rPr>
        <w:t>一、投标函</w:t>
      </w:r>
      <w:bookmarkEnd w:id="152"/>
      <w:bookmarkEnd w:id="153"/>
      <w:bookmarkEnd w:id="154"/>
    </w:p>
    <w:p w14:paraId="47793462">
      <w:pPr>
        <w:pStyle w:val="334"/>
        <w:jc w:val="center"/>
        <w:rPr>
          <w:rFonts w:hint="eastAsia" w:ascii="宋体" w:hAnsi="宋体" w:eastAsia="宋体" w:cs="宋体"/>
          <w:bCs/>
          <w:color w:val="auto"/>
          <w:sz w:val="32"/>
          <w:szCs w:val="32"/>
          <w:highlight w:val="none"/>
        </w:rPr>
      </w:pPr>
    </w:p>
    <w:p w14:paraId="74D60810">
      <w:pPr>
        <w:pStyle w:val="334"/>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投标函</w:t>
      </w:r>
    </w:p>
    <w:p w14:paraId="6EC1B07C">
      <w:pPr>
        <w:pStyle w:val="334"/>
        <w:spacing w:line="500" w:lineRule="exact"/>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single"/>
          <w:lang w:eastAsia="zh-CN"/>
        </w:rPr>
        <w:t>宿迁学院</w:t>
      </w:r>
      <w:r>
        <w:rPr>
          <w:rFonts w:hint="eastAsia" w:ascii="宋体" w:hAnsi="宋体" w:eastAsia="宋体" w:cs="宋体"/>
          <w:color w:val="auto"/>
          <w:sz w:val="24"/>
          <w:szCs w:val="24"/>
          <w:highlight w:val="none"/>
          <w:u w:val="none"/>
        </w:rPr>
        <w:t>：</w:t>
      </w:r>
    </w:p>
    <w:p w14:paraId="30C18279">
      <w:pPr>
        <w:pStyle w:val="334"/>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根据已收到的项目编号为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宿迁学院显微镜及其他光学跟踪测量仪等设备采购项目</w:t>
      </w:r>
      <w:r>
        <w:rPr>
          <w:rFonts w:hint="eastAsia" w:ascii="宋体" w:hAnsi="宋体" w:eastAsia="宋体" w:cs="宋体"/>
          <w:color w:val="auto"/>
          <w:sz w:val="24"/>
          <w:szCs w:val="24"/>
          <w:highlight w:val="none"/>
        </w:rPr>
        <w:t>的招标文件，我方在参加本项目招投标活动中，特作出如下承诺：</w:t>
      </w:r>
    </w:p>
    <w:p w14:paraId="204498AA">
      <w:pPr>
        <w:pStyle w:val="334"/>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一、我方</w:t>
      </w:r>
      <w:r>
        <w:rPr>
          <w:rFonts w:hint="eastAsia" w:ascii="宋体" w:hAnsi="宋体" w:eastAsia="宋体" w:cs="宋体"/>
          <w:color w:val="auto"/>
          <w:sz w:val="24"/>
          <w:highlight w:val="none"/>
        </w:rPr>
        <w:t>具备《中华人民共和国政府采购法》第二十二条第一款规定的6项条件；</w:t>
      </w:r>
    </w:p>
    <w:p w14:paraId="4DAB33BA">
      <w:pPr>
        <w:pStyle w:val="334"/>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7B950FB8">
      <w:pPr>
        <w:pStyle w:val="334"/>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三、我方按招标文件要求提交投标文件，响应招标文件规定的投标有效期；</w:t>
      </w:r>
    </w:p>
    <w:p w14:paraId="5548768E">
      <w:pPr>
        <w:pStyle w:val="334"/>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四、如果我方的投标文件被接受，我方将按《中华人民共和国民法典（第三编合同）》及其他有关法律、法规的规定，按期、按质、按量交付采购单位，全面做到履约守信；</w:t>
      </w:r>
    </w:p>
    <w:p w14:paraId="1BCB11B1">
      <w:pPr>
        <w:pStyle w:val="334"/>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五、我方若违背本声明及承诺约定，经查实，自愿接受采购人及相关主管部门相应的规定处理，并依法承担相应的法律责任。</w:t>
      </w:r>
    </w:p>
    <w:p w14:paraId="413549AE">
      <w:pPr>
        <w:pStyle w:val="334"/>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六、我方同意采购人、采购代理机构将本函上网公开。</w:t>
      </w:r>
    </w:p>
    <w:p w14:paraId="5651EBFD">
      <w:pPr>
        <w:pStyle w:val="334"/>
        <w:spacing w:line="500" w:lineRule="exact"/>
        <w:ind w:firstLine="480"/>
        <w:jc w:val="left"/>
        <w:rPr>
          <w:rFonts w:hint="eastAsia" w:ascii="宋体" w:hAnsi="宋体" w:eastAsia="宋体" w:cs="宋体"/>
          <w:color w:val="auto"/>
          <w:sz w:val="24"/>
          <w:szCs w:val="24"/>
          <w:highlight w:val="none"/>
        </w:rPr>
      </w:pPr>
    </w:p>
    <w:p w14:paraId="21C21AF9">
      <w:pPr>
        <w:pStyle w:val="334"/>
        <w:spacing w:line="500" w:lineRule="exact"/>
        <w:jc w:val="left"/>
        <w:rPr>
          <w:rFonts w:hint="eastAsia" w:ascii="宋体" w:hAnsi="宋体" w:eastAsia="宋体" w:cs="宋体"/>
          <w:color w:val="auto"/>
          <w:sz w:val="24"/>
          <w:szCs w:val="24"/>
          <w:highlight w:val="none"/>
        </w:rPr>
      </w:pPr>
    </w:p>
    <w:p w14:paraId="2662FED7">
      <w:pPr>
        <w:pStyle w:val="334"/>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（盖CA电子公章）</w:t>
      </w:r>
    </w:p>
    <w:p w14:paraId="5D0262C3">
      <w:pPr>
        <w:pStyle w:val="334"/>
        <w:ind w:firstLine="480"/>
        <w:rPr>
          <w:rFonts w:hint="eastAsia" w:ascii="宋体" w:hAnsi="宋体" w:eastAsia="宋体" w:cs="宋体"/>
          <w:color w:val="auto"/>
          <w:sz w:val="24"/>
          <w:szCs w:val="24"/>
          <w:highlight w:val="none"/>
        </w:rPr>
      </w:pPr>
    </w:p>
    <w:p w14:paraId="18832BD4">
      <w:pPr>
        <w:pStyle w:val="334"/>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日期：    年    月   日</w:t>
      </w:r>
    </w:p>
    <w:p w14:paraId="73068ED2">
      <w:pPr>
        <w:rPr>
          <w:rFonts w:hint="eastAsia" w:ascii="宋体" w:hAnsi="宋体" w:eastAsia="宋体" w:cs="宋体"/>
          <w:color w:val="auto"/>
          <w:highlight w:val="none"/>
        </w:rPr>
      </w:pPr>
    </w:p>
    <w:p w14:paraId="3CC5DDE8">
      <w:pPr>
        <w:rPr>
          <w:rFonts w:hint="eastAsia" w:ascii="宋体" w:hAnsi="宋体" w:eastAsia="宋体" w:cs="宋体"/>
          <w:color w:val="auto"/>
          <w:highlight w:val="none"/>
        </w:rPr>
      </w:pPr>
    </w:p>
    <w:p w14:paraId="192D4AD3">
      <w:pPr>
        <w:rPr>
          <w:rFonts w:hint="eastAsia" w:ascii="宋体" w:hAnsi="宋体" w:eastAsia="宋体" w:cs="宋体"/>
          <w:color w:val="auto"/>
          <w:highlight w:val="none"/>
        </w:rPr>
      </w:pPr>
    </w:p>
    <w:p w14:paraId="0B9E27DB">
      <w:pPr>
        <w:pStyle w:val="334"/>
        <w:outlineLvl w:val="9"/>
        <w:rPr>
          <w:rFonts w:hint="eastAsia" w:ascii="宋体" w:hAnsi="宋体" w:eastAsia="宋体" w:cs="宋体"/>
          <w:bCs/>
          <w:color w:val="auto"/>
          <w:sz w:val="32"/>
          <w:szCs w:val="32"/>
          <w:highlight w:val="none"/>
        </w:rPr>
      </w:pPr>
      <w:bookmarkStart w:id="155" w:name="_Toc3680"/>
      <w:bookmarkStart w:id="156" w:name="_Toc29506"/>
      <w:bookmarkStart w:id="157" w:name="_Toc27409"/>
    </w:p>
    <w:p w14:paraId="21FFD790">
      <w:pPr>
        <w:pStyle w:val="334"/>
        <w:outlineLvl w:val="9"/>
        <w:rPr>
          <w:rFonts w:hint="eastAsia" w:ascii="宋体" w:hAnsi="宋体" w:eastAsia="宋体" w:cs="宋体"/>
          <w:bCs/>
          <w:color w:val="auto"/>
          <w:sz w:val="32"/>
          <w:szCs w:val="32"/>
          <w:highlight w:val="none"/>
        </w:rPr>
      </w:pPr>
    </w:p>
    <w:p w14:paraId="293C318E">
      <w:pPr>
        <w:pStyle w:val="334"/>
        <w:outlineLvl w:val="9"/>
        <w:rPr>
          <w:rFonts w:hint="eastAsia" w:ascii="宋体" w:hAnsi="宋体" w:eastAsia="宋体" w:cs="宋体"/>
          <w:bCs/>
          <w:color w:val="auto"/>
          <w:sz w:val="32"/>
          <w:szCs w:val="32"/>
          <w:highlight w:val="none"/>
        </w:rPr>
      </w:pPr>
    </w:p>
    <w:p w14:paraId="5ACB3B51">
      <w:pPr>
        <w:pStyle w:val="334"/>
        <w:outlineLvl w:val="9"/>
        <w:rPr>
          <w:rFonts w:hint="eastAsia" w:ascii="宋体" w:hAnsi="宋体" w:eastAsia="宋体" w:cs="宋体"/>
          <w:bCs/>
          <w:color w:val="auto"/>
          <w:sz w:val="32"/>
          <w:szCs w:val="24"/>
          <w:highlight w:val="none"/>
        </w:rPr>
      </w:pPr>
    </w:p>
    <w:p w14:paraId="3347C503">
      <w:pPr>
        <w:outlineLvl w:val="9"/>
        <w:rPr>
          <w:rFonts w:hint="eastAsia" w:ascii="宋体" w:hAnsi="宋体" w:eastAsia="宋体" w:cs="宋体"/>
          <w:color w:val="auto"/>
          <w:highlight w:val="none"/>
        </w:rPr>
      </w:pPr>
    </w:p>
    <w:p w14:paraId="3EE2446B">
      <w:pPr>
        <w:outlineLvl w:val="9"/>
        <w:rPr>
          <w:rFonts w:hint="eastAsia" w:ascii="宋体" w:hAnsi="宋体" w:eastAsia="宋体" w:cs="宋体"/>
          <w:color w:val="auto"/>
          <w:highlight w:val="none"/>
        </w:rPr>
      </w:pPr>
    </w:p>
    <w:p w14:paraId="7EDF7996">
      <w:pPr>
        <w:pStyle w:val="370"/>
        <w:spacing w:after="160" w:line="278" w:lineRule="auto"/>
        <w:outlineLvl w:val="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二、</w:t>
      </w:r>
      <w:bookmarkEnd w:id="155"/>
      <w:bookmarkEnd w:id="156"/>
      <w:r>
        <w:rPr>
          <w:rFonts w:hint="eastAsia" w:ascii="宋体" w:hAnsi="宋体" w:eastAsia="宋体" w:cs="宋体"/>
          <w:bCs/>
          <w:color w:val="auto"/>
          <w:szCs w:val="32"/>
          <w:highlight w:val="none"/>
        </w:rPr>
        <w:t>法人授权书</w:t>
      </w:r>
      <w:bookmarkEnd w:id="157"/>
    </w:p>
    <w:p w14:paraId="05F8171E">
      <w:pPr>
        <w:pStyle w:val="334"/>
        <w:jc w:val="center"/>
        <w:rPr>
          <w:rFonts w:hint="eastAsia" w:ascii="宋体" w:hAnsi="宋体" w:eastAsia="宋体" w:cs="宋体"/>
          <w:bCs/>
          <w:color w:val="auto"/>
          <w:sz w:val="32"/>
          <w:szCs w:val="32"/>
          <w:highlight w:val="none"/>
        </w:rPr>
      </w:pPr>
      <w:bookmarkStart w:id="158" w:name="OLE_LINK6"/>
      <w:r>
        <w:rPr>
          <w:rFonts w:hint="eastAsia" w:ascii="宋体" w:hAnsi="宋体" w:eastAsia="宋体" w:cs="宋体"/>
          <w:bCs/>
          <w:color w:val="auto"/>
          <w:sz w:val="32"/>
          <w:szCs w:val="32"/>
          <w:highlight w:val="none"/>
        </w:rPr>
        <w:t>法人授权书</w:t>
      </w:r>
    </w:p>
    <w:bookmarkEnd w:id="158"/>
    <w:p w14:paraId="16A9F9F8">
      <w:pPr>
        <w:pStyle w:val="456"/>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本授权书声明：____________（投标人名称）授权________________（被授权人的姓名）为我方就</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号</w:t>
      </w:r>
      <w:r>
        <w:rPr>
          <w:rFonts w:hint="eastAsia" w:ascii="宋体" w:hAnsi="宋体" w:eastAsia="宋体" w:cs="宋体"/>
          <w:color w:val="auto"/>
          <w:sz w:val="24"/>
          <w:szCs w:val="24"/>
          <w:highlight w:val="none"/>
          <w:u w:val="single"/>
        </w:rPr>
        <w:t>宿迁学院显微镜及其他光学跟踪测量仪等设备采购项目</w:t>
      </w:r>
      <w:r>
        <w:rPr>
          <w:rFonts w:hint="eastAsia" w:ascii="宋体" w:hAnsi="宋体" w:eastAsia="宋体" w:cs="宋体"/>
          <w:color w:val="auto"/>
          <w:sz w:val="24"/>
          <w:szCs w:val="24"/>
          <w:highlight w:val="none"/>
        </w:rPr>
        <w:t>采购活动的合法代理人，以本单位名义全权处理一切与该项目采购有关的事务。</w:t>
      </w:r>
    </w:p>
    <w:p w14:paraId="2BC22822">
      <w:pPr>
        <w:pStyle w:val="456"/>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本授权书于______年____月____日起生效，特此声明。</w:t>
      </w:r>
    </w:p>
    <w:p w14:paraId="6F6DE909">
      <w:pPr>
        <w:pStyle w:val="456"/>
        <w:spacing w:line="480" w:lineRule="exact"/>
        <w:ind w:firstLine="482"/>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被授权人身份证号码：</w:t>
      </w:r>
      <w:r>
        <w:rPr>
          <w:rFonts w:hint="eastAsia" w:ascii="宋体" w:hAnsi="宋体" w:eastAsia="宋体" w:cs="宋体"/>
          <w:color w:val="auto"/>
          <w:sz w:val="24"/>
          <w:szCs w:val="24"/>
          <w:highlight w:val="none"/>
          <w:u w:val="single"/>
        </w:rPr>
        <w:t xml:space="preserve">                             </w:t>
      </w:r>
    </w:p>
    <w:p w14:paraId="162EEE49">
      <w:pPr>
        <w:pStyle w:val="456"/>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被授权人联系电话：（手机）</w:t>
      </w:r>
      <w:r>
        <w:rPr>
          <w:rFonts w:hint="eastAsia" w:ascii="宋体" w:hAnsi="宋体" w:eastAsia="宋体" w:cs="宋体"/>
          <w:color w:val="auto"/>
          <w:sz w:val="24"/>
          <w:szCs w:val="24"/>
          <w:highlight w:val="none"/>
          <w:u w:val="single"/>
        </w:rPr>
        <w:t xml:space="preserve">                          </w:t>
      </w:r>
    </w:p>
    <w:p w14:paraId="4120F230">
      <w:pPr>
        <w:pStyle w:val="456"/>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w:t>
      </w:r>
      <w:r>
        <w:rPr>
          <w:rFonts w:hint="eastAsia" w:ascii="宋体" w:hAnsi="宋体" w:eastAsia="宋体" w:cs="宋体"/>
          <w:color w:val="auto"/>
          <w:sz w:val="24"/>
          <w:szCs w:val="24"/>
          <w:highlight w:val="none"/>
          <w:u w:val="single"/>
        </w:rPr>
        <w:t>（盖CA电子公章）</w:t>
      </w:r>
    </w:p>
    <w:p w14:paraId="299E1BF3">
      <w:pPr>
        <w:pStyle w:val="456"/>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u w:val="single"/>
        </w:rPr>
        <w:t xml:space="preserve">                                         </w:t>
      </w:r>
    </w:p>
    <w:p w14:paraId="5AC4F20A">
      <w:pPr>
        <w:pStyle w:val="456"/>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bookmarkStart w:id="159" w:name="_Hlt26671380"/>
      <w:bookmarkEnd w:id="159"/>
      <w:bookmarkStart w:id="160" w:name="_Hlt26955070"/>
      <w:bookmarkEnd w:id="160"/>
      <w:bookmarkStart w:id="161" w:name="_格式3__银行出具的资信证明"/>
      <w:bookmarkEnd w:id="161"/>
      <w:r>
        <w:rPr>
          <w:rFonts w:hint="eastAsia" w:ascii="宋体" w:hAnsi="宋体" w:eastAsia="宋体" w:cs="宋体"/>
          <w:color w:val="auto"/>
          <w:sz w:val="24"/>
          <w:szCs w:val="24"/>
          <w:highlight w:val="none"/>
          <w:u w:val="single"/>
        </w:rPr>
        <w:t xml:space="preserve">                                         </w:t>
      </w:r>
    </w:p>
    <w:p w14:paraId="60F8CF40">
      <w:pPr>
        <w:pStyle w:val="334"/>
        <w:jc w:val="center"/>
        <w:rPr>
          <w:rFonts w:hint="eastAsia" w:ascii="宋体" w:hAnsi="宋体" w:eastAsia="宋体" w:cs="宋体"/>
          <w:b/>
          <w:bCs/>
          <w:color w:val="auto"/>
          <w:highlight w:val="none"/>
        </w:rPr>
      </w:pPr>
      <w:r>
        <w:rPr>
          <w:rFonts w:hint="eastAsia" w:ascii="宋体" w:hAnsi="宋体" w:eastAsia="宋体" w:cs="宋体"/>
          <w:color w:val="auto"/>
          <w:sz w:val="24"/>
          <w:highlight w:val="none"/>
        </w:rPr>
        <w:br w:type="page" w:clear="all"/>
      </w:r>
      <w:bookmarkStart w:id="162" w:name="_Toc30543"/>
      <w:bookmarkStart w:id="163" w:name="_Toc27199"/>
      <w:bookmarkStart w:id="164" w:name="_Toc13550"/>
    </w:p>
    <w:p w14:paraId="34DE2906">
      <w:pPr>
        <w:pStyle w:val="370"/>
        <w:spacing w:after="160" w:line="278" w:lineRule="auto"/>
        <w:outlineLvl w:val="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三、开标一览表</w:t>
      </w:r>
      <w:bookmarkEnd w:id="162"/>
      <w:bookmarkEnd w:id="163"/>
      <w:bookmarkEnd w:id="164"/>
    </w:p>
    <w:p w14:paraId="575823AA">
      <w:pPr>
        <w:pStyle w:val="340"/>
        <w:rPr>
          <w:rFonts w:hint="eastAsia" w:ascii="宋体" w:hAnsi="宋体" w:eastAsia="宋体" w:cs="宋体"/>
          <w:color w:val="auto"/>
          <w:highlight w:val="none"/>
        </w:rPr>
      </w:pPr>
    </w:p>
    <w:p w14:paraId="7C365E02">
      <w:pPr>
        <w:pStyle w:val="340"/>
        <w:rPr>
          <w:rFonts w:hint="eastAsia" w:ascii="宋体" w:hAnsi="宋体" w:eastAsia="宋体" w:cs="宋体"/>
          <w:color w:val="auto"/>
          <w:highlight w:val="none"/>
        </w:rPr>
      </w:pPr>
      <w:r>
        <w:rPr>
          <w:rFonts w:hint="eastAsia" w:ascii="宋体" w:hAnsi="宋体" w:eastAsia="宋体" w:cs="宋体"/>
          <w:color w:val="auto"/>
          <w:highlight w:val="none"/>
        </w:rPr>
        <w:t>投标人全称(CA公章) ：投标人名称</w:t>
      </w:r>
    </w:p>
    <w:p w14:paraId="6252DC97">
      <w:pPr>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采购项目编号：</w:t>
      </w:r>
    </w:p>
    <w:p w14:paraId="4605C6C3">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采购项目名称：</w:t>
      </w:r>
      <w:r>
        <w:rPr>
          <w:rFonts w:hint="eastAsia" w:ascii="宋体" w:hAnsi="宋体" w:eastAsia="宋体" w:cs="宋体"/>
          <w:color w:val="auto"/>
          <w:sz w:val="24"/>
          <w:szCs w:val="24"/>
          <w:highlight w:val="none"/>
          <w:u w:val="single"/>
        </w:rPr>
        <w:t>宿迁学院显微镜及其他光学跟踪测量仪等设备采购项目</w:t>
      </w:r>
    </w:p>
    <w:p w14:paraId="455F9D46">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分包名称：</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14:paraId="04C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00" w:type="dxa"/>
          </w:tcPr>
          <w:p w14:paraId="5B0662A4">
            <w:pPr>
              <w:spacing w:after="0" w:line="5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标题</w:t>
            </w:r>
          </w:p>
        </w:tc>
        <w:tc>
          <w:tcPr>
            <w:tcW w:w="4700" w:type="dxa"/>
          </w:tcPr>
          <w:p w14:paraId="603CF6E5">
            <w:pPr>
              <w:spacing w:after="0" w:line="5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内容</w:t>
            </w:r>
          </w:p>
        </w:tc>
      </w:tr>
      <w:tr w14:paraId="17AEC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0" w:type="dxa"/>
          </w:tcPr>
          <w:p w14:paraId="15DBA2B1">
            <w:pPr>
              <w:spacing w:after="0" w:line="5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投标总报价</w:t>
            </w:r>
          </w:p>
        </w:tc>
        <w:tc>
          <w:tcPr>
            <w:tcW w:w="4700" w:type="dxa"/>
          </w:tcPr>
          <w:p w14:paraId="0742755B">
            <w:pPr>
              <w:spacing w:after="0" w:line="500" w:lineRule="exact"/>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元</w:t>
            </w:r>
          </w:p>
        </w:tc>
      </w:tr>
    </w:tbl>
    <w:p w14:paraId="08487B1A">
      <w:pPr>
        <w:rPr>
          <w:rFonts w:hint="eastAsia" w:ascii="宋体" w:hAnsi="宋体" w:eastAsia="宋体" w:cs="宋体"/>
          <w:color w:val="auto"/>
          <w:highlight w:val="none"/>
        </w:rPr>
      </w:pPr>
    </w:p>
    <w:p w14:paraId="2DCED19A">
      <w:pPr>
        <w:rPr>
          <w:rFonts w:hint="eastAsia" w:ascii="宋体" w:hAnsi="宋体" w:eastAsia="宋体" w:cs="宋体"/>
          <w:color w:val="auto"/>
          <w:highlight w:val="none"/>
        </w:rPr>
      </w:pPr>
    </w:p>
    <w:p w14:paraId="226445DD">
      <w:pP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                                            </w:t>
      </w:r>
      <w:bookmarkStart w:id="165" w:name="_Toc12113"/>
      <w:r>
        <w:rPr>
          <w:rFonts w:hint="eastAsia" w:ascii="宋体" w:hAnsi="宋体" w:eastAsia="宋体" w:cs="宋体"/>
          <w:color w:val="auto"/>
          <w:sz w:val="24"/>
          <w:highlight w:val="none"/>
        </w:rPr>
        <w:t>日期：     年     月     日</w:t>
      </w:r>
      <w:bookmarkEnd w:id="165"/>
    </w:p>
    <w:p w14:paraId="4735203F">
      <w:pPr>
        <w:pStyle w:val="340"/>
        <w:jc w:val="center"/>
        <w:rPr>
          <w:rFonts w:hint="eastAsia" w:ascii="宋体" w:hAnsi="宋体" w:eastAsia="宋体" w:cs="宋体"/>
          <w:b/>
          <w:bCs/>
          <w:color w:val="auto"/>
          <w:highlight w:val="none"/>
        </w:rPr>
      </w:pPr>
      <w:r>
        <w:rPr>
          <w:rFonts w:hint="eastAsia" w:ascii="宋体" w:hAnsi="宋体" w:eastAsia="宋体" w:cs="宋体"/>
          <w:color w:val="auto"/>
          <w:highlight w:val="none"/>
        </w:rPr>
        <w:br w:type="page" w:clear="all"/>
      </w:r>
      <w:bookmarkStart w:id="166" w:name="_Toc956"/>
      <w:bookmarkStart w:id="167" w:name="_Toc26543"/>
      <w:bookmarkStart w:id="168" w:name="_Toc12614"/>
    </w:p>
    <w:p w14:paraId="4151F5C3">
      <w:pPr>
        <w:pStyle w:val="370"/>
        <w:spacing w:after="160" w:line="278" w:lineRule="auto"/>
        <w:outlineLvl w:val="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四、</w:t>
      </w:r>
      <w:bookmarkEnd w:id="166"/>
      <w:bookmarkEnd w:id="167"/>
      <w:r>
        <w:rPr>
          <w:rFonts w:hint="eastAsia" w:ascii="宋体" w:hAnsi="宋体" w:eastAsia="宋体" w:cs="宋体"/>
          <w:bCs/>
          <w:color w:val="auto"/>
          <w:szCs w:val="32"/>
          <w:highlight w:val="none"/>
        </w:rPr>
        <w:t>投标分项报价表</w:t>
      </w:r>
      <w:bookmarkEnd w:id="168"/>
    </w:p>
    <w:p w14:paraId="0C0CD33D">
      <w:pPr>
        <w:pStyle w:val="343"/>
        <w:rPr>
          <w:rFonts w:hint="eastAsia" w:ascii="宋体" w:hAnsi="宋体" w:eastAsia="宋体" w:cs="宋体"/>
          <w:color w:val="auto"/>
          <w:sz w:val="24"/>
          <w:highlight w:val="none"/>
        </w:rPr>
      </w:pPr>
    </w:p>
    <w:tbl>
      <w:tblPr>
        <w:tblStyle w:val="30"/>
        <w:tblW w:w="926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5DC10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00" w:type="dxa"/>
            <w:noWrap w:val="0"/>
            <w:vAlign w:val="top"/>
          </w:tcPr>
          <w:p w14:paraId="2136073F">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728" w:type="dxa"/>
            <w:noWrap w:val="0"/>
            <w:vAlign w:val="center"/>
          </w:tcPr>
          <w:p w14:paraId="5E577AEB">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28" w:type="dxa"/>
            <w:noWrap w:val="0"/>
            <w:vAlign w:val="center"/>
          </w:tcPr>
          <w:p w14:paraId="6647A15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938" w:type="dxa"/>
            <w:noWrap w:val="0"/>
            <w:vAlign w:val="center"/>
          </w:tcPr>
          <w:p w14:paraId="593DED5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80" w:type="dxa"/>
            <w:noWrap w:val="0"/>
            <w:vAlign w:val="center"/>
          </w:tcPr>
          <w:p w14:paraId="34FF53A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106" w:type="dxa"/>
            <w:noWrap w:val="0"/>
            <w:vAlign w:val="center"/>
          </w:tcPr>
          <w:p w14:paraId="026C608E">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385" w:type="dxa"/>
            <w:noWrap w:val="0"/>
            <w:vAlign w:val="center"/>
          </w:tcPr>
          <w:p w14:paraId="1192794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924" w:type="dxa"/>
            <w:noWrap w:val="0"/>
            <w:vAlign w:val="center"/>
          </w:tcPr>
          <w:p w14:paraId="2FFE33FE">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008" w:type="dxa"/>
            <w:noWrap w:val="0"/>
            <w:vAlign w:val="center"/>
          </w:tcPr>
          <w:p w14:paraId="6156365A">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966" w:type="dxa"/>
            <w:noWrap w:val="0"/>
            <w:vAlign w:val="center"/>
          </w:tcPr>
          <w:p w14:paraId="42FA0518">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r>
      <w:tr w14:paraId="14DE8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00" w:type="dxa"/>
            <w:noWrap w:val="0"/>
            <w:vAlign w:val="center"/>
          </w:tcPr>
          <w:p w14:paraId="6855CE54">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28" w:type="dxa"/>
            <w:noWrap w:val="0"/>
            <w:vAlign w:val="center"/>
          </w:tcPr>
          <w:p w14:paraId="6EA4EDE9">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w:t>
            </w:r>
          </w:p>
          <w:p w14:paraId="656B01CF">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728" w:type="dxa"/>
            <w:noWrap w:val="0"/>
            <w:vAlign w:val="center"/>
          </w:tcPr>
          <w:p w14:paraId="5EFA50E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938" w:type="dxa"/>
            <w:noWrap w:val="0"/>
            <w:vAlign w:val="center"/>
          </w:tcPr>
          <w:p w14:paraId="7A414D9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w:t>
            </w:r>
          </w:p>
          <w:p w14:paraId="25DB4971">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w:t>
            </w:r>
          </w:p>
        </w:tc>
        <w:tc>
          <w:tcPr>
            <w:tcW w:w="980" w:type="dxa"/>
            <w:noWrap w:val="0"/>
            <w:vAlign w:val="center"/>
          </w:tcPr>
          <w:p w14:paraId="744F57E5">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制造商名称</w:t>
            </w:r>
          </w:p>
        </w:tc>
        <w:tc>
          <w:tcPr>
            <w:tcW w:w="1106" w:type="dxa"/>
            <w:noWrap w:val="0"/>
            <w:vAlign w:val="center"/>
          </w:tcPr>
          <w:p w14:paraId="331D0E05">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1385" w:type="dxa"/>
            <w:noWrap w:val="0"/>
            <w:vAlign w:val="center"/>
          </w:tcPr>
          <w:p w14:paraId="5059958C">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交付期</w:t>
            </w:r>
          </w:p>
        </w:tc>
        <w:tc>
          <w:tcPr>
            <w:tcW w:w="924" w:type="dxa"/>
            <w:noWrap w:val="0"/>
            <w:vAlign w:val="center"/>
          </w:tcPr>
          <w:p w14:paraId="7EA82ADC">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008" w:type="dxa"/>
            <w:noWrap w:val="0"/>
            <w:vAlign w:val="center"/>
          </w:tcPr>
          <w:p w14:paraId="7CB66B93">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177DB61A">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966" w:type="dxa"/>
            <w:noWrap w:val="0"/>
            <w:vAlign w:val="center"/>
          </w:tcPr>
          <w:p w14:paraId="1D07B264">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049D5DCB">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p>
        </w:tc>
      </w:tr>
      <w:tr w14:paraId="64A2B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00" w:type="dxa"/>
            <w:noWrap w:val="0"/>
            <w:vAlign w:val="center"/>
          </w:tcPr>
          <w:p w14:paraId="548C5AA1">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28" w:type="dxa"/>
            <w:noWrap w:val="0"/>
            <w:vAlign w:val="center"/>
          </w:tcPr>
          <w:p w14:paraId="09A76281">
            <w:pPr>
              <w:spacing w:line="0" w:lineRule="atLeast"/>
              <w:jc w:val="center"/>
              <w:rPr>
                <w:rFonts w:hint="eastAsia" w:ascii="宋体" w:hAnsi="宋体" w:eastAsia="宋体" w:cs="宋体"/>
                <w:color w:val="auto"/>
                <w:sz w:val="24"/>
                <w:szCs w:val="24"/>
                <w:highlight w:val="none"/>
              </w:rPr>
            </w:pPr>
          </w:p>
        </w:tc>
        <w:tc>
          <w:tcPr>
            <w:tcW w:w="728" w:type="dxa"/>
            <w:noWrap w:val="0"/>
            <w:vAlign w:val="center"/>
          </w:tcPr>
          <w:p w14:paraId="45E0E042">
            <w:pPr>
              <w:spacing w:line="0" w:lineRule="atLeast"/>
              <w:jc w:val="center"/>
              <w:rPr>
                <w:rFonts w:hint="eastAsia" w:ascii="宋体" w:hAnsi="宋体" w:eastAsia="宋体" w:cs="宋体"/>
                <w:color w:val="auto"/>
                <w:sz w:val="24"/>
                <w:szCs w:val="24"/>
                <w:highlight w:val="none"/>
              </w:rPr>
            </w:pPr>
          </w:p>
        </w:tc>
        <w:tc>
          <w:tcPr>
            <w:tcW w:w="938" w:type="dxa"/>
            <w:noWrap w:val="0"/>
            <w:vAlign w:val="center"/>
          </w:tcPr>
          <w:p w14:paraId="3A3BE0AD">
            <w:pPr>
              <w:spacing w:line="0" w:lineRule="atLeast"/>
              <w:jc w:val="center"/>
              <w:rPr>
                <w:rFonts w:hint="eastAsia" w:ascii="宋体" w:hAnsi="宋体" w:eastAsia="宋体" w:cs="宋体"/>
                <w:color w:val="auto"/>
                <w:sz w:val="24"/>
                <w:szCs w:val="24"/>
                <w:highlight w:val="none"/>
              </w:rPr>
            </w:pPr>
          </w:p>
        </w:tc>
        <w:tc>
          <w:tcPr>
            <w:tcW w:w="980" w:type="dxa"/>
            <w:noWrap w:val="0"/>
            <w:vAlign w:val="center"/>
          </w:tcPr>
          <w:p w14:paraId="66254525">
            <w:pPr>
              <w:spacing w:line="0" w:lineRule="atLeast"/>
              <w:jc w:val="center"/>
              <w:rPr>
                <w:rFonts w:hint="eastAsia" w:ascii="宋体" w:hAnsi="宋体" w:eastAsia="宋体" w:cs="宋体"/>
                <w:color w:val="auto"/>
                <w:sz w:val="24"/>
                <w:szCs w:val="24"/>
                <w:highlight w:val="none"/>
              </w:rPr>
            </w:pPr>
          </w:p>
        </w:tc>
        <w:tc>
          <w:tcPr>
            <w:tcW w:w="1106" w:type="dxa"/>
            <w:noWrap w:val="0"/>
            <w:vAlign w:val="top"/>
          </w:tcPr>
          <w:p w14:paraId="4191FDF4">
            <w:pPr>
              <w:spacing w:line="0" w:lineRule="atLeast"/>
              <w:jc w:val="center"/>
              <w:rPr>
                <w:rFonts w:hint="eastAsia" w:ascii="宋体" w:hAnsi="宋体" w:eastAsia="宋体" w:cs="宋体"/>
                <w:color w:val="auto"/>
                <w:sz w:val="24"/>
                <w:szCs w:val="24"/>
                <w:highlight w:val="none"/>
              </w:rPr>
            </w:pPr>
          </w:p>
        </w:tc>
        <w:tc>
          <w:tcPr>
            <w:tcW w:w="1385" w:type="dxa"/>
            <w:noWrap w:val="0"/>
            <w:vAlign w:val="center"/>
          </w:tcPr>
          <w:p w14:paraId="1F7DCE94">
            <w:pPr>
              <w:spacing w:line="0" w:lineRule="atLeast"/>
              <w:jc w:val="center"/>
              <w:rPr>
                <w:rFonts w:hint="eastAsia" w:ascii="宋体" w:hAnsi="宋体" w:eastAsia="宋体" w:cs="宋体"/>
                <w:color w:val="auto"/>
                <w:sz w:val="24"/>
                <w:szCs w:val="24"/>
                <w:highlight w:val="none"/>
                <w:u w:val="single"/>
              </w:rPr>
            </w:pPr>
          </w:p>
        </w:tc>
        <w:tc>
          <w:tcPr>
            <w:tcW w:w="924" w:type="dxa"/>
            <w:noWrap w:val="0"/>
            <w:vAlign w:val="center"/>
          </w:tcPr>
          <w:p w14:paraId="1049FA6A">
            <w:pPr>
              <w:spacing w:line="0" w:lineRule="atLeast"/>
              <w:jc w:val="center"/>
              <w:rPr>
                <w:rFonts w:hint="eastAsia" w:ascii="宋体" w:hAnsi="宋体" w:eastAsia="宋体" w:cs="宋体"/>
                <w:color w:val="auto"/>
                <w:sz w:val="24"/>
                <w:szCs w:val="24"/>
                <w:highlight w:val="none"/>
              </w:rPr>
            </w:pPr>
          </w:p>
        </w:tc>
        <w:tc>
          <w:tcPr>
            <w:tcW w:w="1008" w:type="dxa"/>
            <w:noWrap w:val="0"/>
            <w:vAlign w:val="center"/>
          </w:tcPr>
          <w:p w14:paraId="284D8CD8">
            <w:pPr>
              <w:spacing w:line="0" w:lineRule="atLeast"/>
              <w:jc w:val="center"/>
              <w:rPr>
                <w:rFonts w:hint="eastAsia" w:ascii="宋体" w:hAnsi="宋体" w:eastAsia="宋体" w:cs="宋体"/>
                <w:color w:val="auto"/>
                <w:sz w:val="24"/>
                <w:szCs w:val="24"/>
                <w:highlight w:val="none"/>
              </w:rPr>
            </w:pPr>
          </w:p>
        </w:tc>
        <w:tc>
          <w:tcPr>
            <w:tcW w:w="966" w:type="dxa"/>
            <w:noWrap w:val="0"/>
            <w:vAlign w:val="center"/>
          </w:tcPr>
          <w:p w14:paraId="4E62EFCE">
            <w:pPr>
              <w:spacing w:line="0" w:lineRule="atLeast"/>
              <w:jc w:val="center"/>
              <w:rPr>
                <w:rFonts w:hint="eastAsia" w:ascii="宋体" w:hAnsi="宋体" w:eastAsia="宋体" w:cs="宋体"/>
                <w:color w:val="auto"/>
                <w:sz w:val="24"/>
                <w:szCs w:val="24"/>
                <w:highlight w:val="none"/>
              </w:rPr>
            </w:pPr>
          </w:p>
        </w:tc>
      </w:tr>
      <w:tr w14:paraId="47917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500" w:type="dxa"/>
            <w:noWrap w:val="0"/>
            <w:vAlign w:val="center"/>
          </w:tcPr>
          <w:p w14:paraId="526F3E83">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28" w:type="dxa"/>
            <w:noWrap w:val="0"/>
            <w:vAlign w:val="center"/>
          </w:tcPr>
          <w:p w14:paraId="18DA4166">
            <w:pPr>
              <w:spacing w:line="0" w:lineRule="atLeast"/>
              <w:jc w:val="center"/>
              <w:rPr>
                <w:rFonts w:hint="eastAsia" w:ascii="宋体" w:hAnsi="宋体" w:eastAsia="宋体" w:cs="宋体"/>
                <w:color w:val="auto"/>
                <w:sz w:val="24"/>
                <w:szCs w:val="24"/>
                <w:highlight w:val="none"/>
              </w:rPr>
            </w:pPr>
          </w:p>
        </w:tc>
        <w:tc>
          <w:tcPr>
            <w:tcW w:w="728" w:type="dxa"/>
            <w:noWrap w:val="0"/>
            <w:vAlign w:val="center"/>
          </w:tcPr>
          <w:p w14:paraId="6C8A0509">
            <w:pPr>
              <w:spacing w:line="0" w:lineRule="atLeast"/>
              <w:jc w:val="center"/>
              <w:rPr>
                <w:rFonts w:hint="eastAsia" w:ascii="宋体" w:hAnsi="宋体" w:eastAsia="宋体" w:cs="宋体"/>
                <w:color w:val="auto"/>
                <w:sz w:val="24"/>
                <w:szCs w:val="24"/>
                <w:highlight w:val="none"/>
              </w:rPr>
            </w:pPr>
          </w:p>
        </w:tc>
        <w:tc>
          <w:tcPr>
            <w:tcW w:w="938" w:type="dxa"/>
            <w:noWrap w:val="0"/>
            <w:vAlign w:val="center"/>
          </w:tcPr>
          <w:p w14:paraId="35D279BE">
            <w:pPr>
              <w:spacing w:line="0" w:lineRule="atLeast"/>
              <w:jc w:val="center"/>
              <w:rPr>
                <w:rFonts w:hint="eastAsia" w:ascii="宋体" w:hAnsi="宋体" w:eastAsia="宋体" w:cs="宋体"/>
                <w:color w:val="auto"/>
                <w:sz w:val="24"/>
                <w:szCs w:val="24"/>
                <w:highlight w:val="none"/>
              </w:rPr>
            </w:pPr>
          </w:p>
        </w:tc>
        <w:tc>
          <w:tcPr>
            <w:tcW w:w="980" w:type="dxa"/>
            <w:noWrap w:val="0"/>
            <w:vAlign w:val="center"/>
          </w:tcPr>
          <w:p w14:paraId="595A7530">
            <w:pPr>
              <w:spacing w:line="0" w:lineRule="atLeast"/>
              <w:jc w:val="center"/>
              <w:rPr>
                <w:rFonts w:hint="eastAsia" w:ascii="宋体" w:hAnsi="宋体" w:eastAsia="宋体" w:cs="宋体"/>
                <w:color w:val="auto"/>
                <w:sz w:val="24"/>
                <w:szCs w:val="24"/>
                <w:highlight w:val="none"/>
              </w:rPr>
            </w:pPr>
          </w:p>
        </w:tc>
        <w:tc>
          <w:tcPr>
            <w:tcW w:w="1106" w:type="dxa"/>
            <w:noWrap w:val="0"/>
            <w:vAlign w:val="top"/>
          </w:tcPr>
          <w:p w14:paraId="168EA0D5">
            <w:pPr>
              <w:spacing w:line="0" w:lineRule="atLeast"/>
              <w:jc w:val="center"/>
              <w:rPr>
                <w:rFonts w:hint="eastAsia" w:ascii="宋体" w:hAnsi="宋体" w:eastAsia="宋体" w:cs="宋体"/>
                <w:color w:val="auto"/>
                <w:sz w:val="24"/>
                <w:szCs w:val="24"/>
                <w:highlight w:val="none"/>
              </w:rPr>
            </w:pPr>
          </w:p>
        </w:tc>
        <w:tc>
          <w:tcPr>
            <w:tcW w:w="1385" w:type="dxa"/>
            <w:noWrap w:val="0"/>
            <w:vAlign w:val="center"/>
          </w:tcPr>
          <w:p w14:paraId="5BD3344A">
            <w:pPr>
              <w:spacing w:line="0" w:lineRule="atLeast"/>
              <w:jc w:val="center"/>
              <w:rPr>
                <w:rFonts w:hint="eastAsia" w:ascii="宋体" w:hAnsi="宋体" w:eastAsia="宋体" w:cs="宋体"/>
                <w:color w:val="auto"/>
                <w:sz w:val="24"/>
                <w:szCs w:val="24"/>
                <w:highlight w:val="none"/>
              </w:rPr>
            </w:pPr>
          </w:p>
        </w:tc>
        <w:tc>
          <w:tcPr>
            <w:tcW w:w="924" w:type="dxa"/>
            <w:noWrap w:val="0"/>
            <w:vAlign w:val="center"/>
          </w:tcPr>
          <w:p w14:paraId="5290A05A">
            <w:pPr>
              <w:spacing w:line="0" w:lineRule="atLeast"/>
              <w:jc w:val="center"/>
              <w:rPr>
                <w:rFonts w:hint="eastAsia" w:ascii="宋体" w:hAnsi="宋体" w:eastAsia="宋体" w:cs="宋体"/>
                <w:color w:val="auto"/>
                <w:sz w:val="24"/>
                <w:szCs w:val="24"/>
                <w:highlight w:val="none"/>
              </w:rPr>
            </w:pPr>
          </w:p>
        </w:tc>
        <w:tc>
          <w:tcPr>
            <w:tcW w:w="1008" w:type="dxa"/>
            <w:noWrap w:val="0"/>
            <w:vAlign w:val="center"/>
          </w:tcPr>
          <w:p w14:paraId="5AB9B518">
            <w:pPr>
              <w:spacing w:line="0" w:lineRule="atLeast"/>
              <w:jc w:val="center"/>
              <w:rPr>
                <w:rFonts w:hint="eastAsia" w:ascii="宋体" w:hAnsi="宋体" w:eastAsia="宋体" w:cs="宋体"/>
                <w:color w:val="auto"/>
                <w:sz w:val="24"/>
                <w:szCs w:val="24"/>
                <w:highlight w:val="none"/>
              </w:rPr>
            </w:pPr>
          </w:p>
        </w:tc>
        <w:tc>
          <w:tcPr>
            <w:tcW w:w="966" w:type="dxa"/>
            <w:noWrap w:val="0"/>
            <w:vAlign w:val="center"/>
          </w:tcPr>
          <w:p w14:paraId="2ED8416F">
            <w:pPr>
              <w:spacing w:line="0" w:lineRule="atLeast"/>
              <w:jc w:val="center"/>
              <w:rPr>
                <w:rFonts w:hint="eastAsia" w:ascii="宋体" w:hAnsi="宋体" w:eastAsia="宋体" w:cs="宋体"/>
                <w:color w:val="auto"/>
                <w:sz w:val="24"/>
                <w:szCs w:val="24"/>
                <w:highlight w:val="none"/>
              </w:rPr>
            </w:pPr>
          </w:p>
        </w:tc>
      </w:tr>
      <w:tr w14:paraId="23810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00" w:type="dxa"/>
            <w:noWrap w:val="0"/>
            <w:vAlign w:val="center"/>
          </w:tcPr>
          <w:p w14:paraId="5B6BC520">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728" w:type="dxa"/>
            <w:noWrap w:val="0"/>
            <w:vAlign w:val="center"/>
          </w:tcPr>
          <w:p w14:paraId="07B1B1D3">
            <w:pPr>
              <w:spacing w:line="0" w:lineRule="atLeast"/>
              <w:jc w:val="center"/>
              <w:rPr>
                <w:rFonts w:hint="eastAsia" w:ascii="宋体" w:hAnsi="宋体" w:eastAsia="宋体" w:cs="宋体"/>
                <w:color w:val="auto"/>
                <w:sz w:val="24"/>
                <w:szCs w:val="24"/>
                <w:highlight w:val="none"/>
              </w:rPr>
            </w:pPr>
          </w:p>
        </w:tc>
        <w:tc>
          <w:tcPr>
            <w:tcW w:w="728" w:type="dxa"/>
            <w:noWrap w:val="0"/>
            <w:vAlign w:val="center"/>
          </w:tcPr>
          <w:p w14:paraId="2C40EA1C">
            <w:pPr>
              <w:spacing w:line="0" w:lineRule="atLeast"/>
              <w:jc w:val="center"/>
              <w:rPr>
                <w:rFonts w:hint="eastAsia" w:ascii="宋体" w:hAnsi="宋体" w:eastAsia="宋体" w:cs="宋体"/>
                <w:color w:val="auto"/>
                <w:sz w:val="24"/>
                <w:szCs w:val="24"/>
                <w:highlight w:val="none"/>
              </w:rPr>
            </w:pPr>
          </w:p>
        </w:tc>
        <w:tc>
          <w:tcPr>
            <w:tcW w:w="938" w:type="dxa"/>
            <w:noWrap w:val="0"/>
            <w:vAlign w:val="center"/>
          </w:tcPr>
          <w:p w14:paraId="13881882">
            <w:pPr>
              <w:spacing w:line="0" w:lineRule="atLeast"/>
              <w:jc w:val="center"/>
              <w:rPr>
                <w:rFonts w:hint="eastAsia" w:ascii="宋体" w:hAnsi="宋体" w:eastAsia="宋体" w:cs="宋体"/>
                <w:color w:val="auto"/>
                <w:sz w:val="24"/>
                <w:szCs w:val="24"/>
                <w:highlight w:val="none"/>
              </w:rPr>
            </w:pPr>
          </w:p>
        </w:tc>
        <w:tc>
          <w:tcPr>
            <w:tcW w:w="980" w:type="dxa"/>
            <w:noWrap w:val="0"/>
            <w:vAlign w:val="center"/>
          </w:tcPr>
          <w:p w14:paraId="2D901231">
            <w:pPr>
              <w:spacing w:line="0" w:lineRule="atLeast"/>
              <w:jc w:val="center"/>
              <w:rPr>
                <w:rFonts w:hint="eastAsia" w:ascii="宋体" w:hAnsi="宋体" w:eastAsia="宋体" w:cs="宋体"/>
                <w:color w:val="auto"/>
                <w:sz w:val="24"/>
                <w:szCs w:val="24"/>
                <w:highlight w:val="none"/>
              </w:rPr>
            </w:pPr>
          </w:p>
        </w:tc>
        <w:tc>
          <w:tcPr>
            <w:tcW w:w="1106" w:type="dxa"/>
            <w:noWrap w:val="0"/>
            <w:vAlign w:val="top"/>
          </w:tcPr>
          <w:p w14:paraId="6C67A8F4">
            <w:pPr>
              <w:spacing w:line="0" w:lineRule="atLeast"/>
              <w:jc w:val="center"/>
              <w:rPr>
                <w:rFonts w:hint="eastAsia" w:ascii="宋体" w:hAnsi="宋体" w:eastAsia="宋体" w:cs="宋体"/>
                <w:color w:val="auto"/>
                <w:sz w:val="24"/>
                <w:szCs w:val="24"/>
                <w:highlight w:val="none"/>
              </w:rPr>
            </w:pPr>
          </w:p>
        </w:tc>
        <w:tc>
          <w:tcPr>
            <w:tcW w:w="1385" w:type="dxa"/>
            <w:noWrap w:val="0"/>
            <w:vAlign w:val="center"/>
          </w:tcPr>
          <w:p w14:paraId="606F7033">
            <w:pPr>
              <w:spacing w:line="0" w:lineRule="atLeast"/>
              <w:jc w:val="center"/>
              <w:rPr>
                <w:rFonts w:hint="eastAsia" w:ascii="宋体" w:hAnsi="宋体" w:eastAsia="宋体" w:cs="宋体"/>
                <w:color w:val="auto"/>
                <w:sz w:val="24"/>
                <w:szCs w:val="24"/>
                <w:highlight w:val="none"/>
              </w:rPr>
            </w:pPr>
          </w:p>
        </w:tc>
        <w:tc>
          <w:tcPr>
            <w:tcW w:w="924" w:type="dxa"/>
            <w:noWrap w:val="0"/>
            <w:vAlign w:val="center"/>
          </w:tcPr>
          <w:p w14:paraId="196C7D00">
            <w:pPr>
              <w:spacing w:line="0" w:lineRule="atLeast"/>
              <w:jc w:val="center"/>
              <w:rPr>
                <w:rFonts w:hint="eastAsia" w:ascii="宋体" w:hAnsi="宋体" w:eastAsia="宋体" w:cs="宋体"/>
                <w:color w:val="auto"/>
                <w:sz w:val="24"/>
                <w:szCs w:val="24"/>
                <w:highlight w:val="none"/>
              </w:rPr>
            </w:pPr>
          </w:p>
        </w:tc>
        <w:tc>
          <w:tcPr>
            <w:tcW w:w="1008" w:type="dxa"/>
            <w:noWrap w:val="0"/>
            <w:vAlign w:val="center"/>
          </w:tcPr>
          <w:p w14:paraId="21F36D65">
            <w:pPr>
              <w:spacing w:line="0" w:lineRule="atLeast"/>
              <w:jc w:val="center"/>
              <w:rPr>
                <w:rFonts w:hint="eastAsia" w:ascii="宋体" w:hAnsi="宋体" w:eastAsia="宋体" w:cs="宋体"/>
                <w:color w:val="auto"/>
                <w:sz w:val="24"/>
                <w:szCs w:val="24"/>
                <w:highlight w:val="none"/>
              </w:rPr>
            </w:pPr>
          </w:p>
        </w:tc>
        <w:tc>
          <w:tcPr>
            <w:tcW w:w="966" w:type="dxa"/>
            <w:noWrap w:val="0"/>
            <w:vAlign w:val="center"/>
          </w:tcPr>
          <w:p w14:paraId="54D60A94">
            <w:pPr>
              <w:spacing w:line="0" w:lineRule="atLeast"/>
              <w:jc w:val="center"/>
              <w:rPr>
                <w:rFonts w:hint="eastAsia" w:ascii="宋体" w:hAnsi="宋体" w:eastAsia="宋体" w:cs="宋体"/>
                <w:color w:val="auto"/>
                <w:sz w:val="24"/>
                <w:szCs w:val="24"/>
                <w:highlight w:val="none"/>
              </w:rPr>
            </w:pPr>
          </w:p>
        </w:tc>
      </w:tr>
      <w:tr w14:paraId="407D5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43563353">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728" w:type="dxa"/>
            <w:noWrap w:val="0"/>
            <w:vAlign w:val="center"/>
          </w:tcPr>
          <w:p w14:paraId="64DEE351">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728" w:type="dxa"/>
            <w:noWrap w:val="0"/>
            <w:vAlign w:val="center"/>
          </w:tcPr>
          <w:p w14:paraId="0C49EB37">
            <w:pPr>
              <w:spacing w:line="0" w:lineRule="atLeast"/>
              <w:jc w:val="center"/>
              <w:rPr>
                <w:rFonts w:hint="eastAsia" w:ascii="宋体" w:hAnsi="宋体" w:eastAsia="宋体" w:cs="宋体"/>
                <w:color w:val="auto"/>
                <w:sz w:val="24"/>
                <w:szCs w:val="24"/>
                <w:highlight w:val="none"/>
              </w:rPr>
            </w:pPr>
          </w:p>
        </w:tc>
        <w:tc>
          <w:tcPr>
            <w:tcW w:w="938" w:type="dxa"/>
            <w:noWrap w:val="0"/>
            <w:vAlign w:val="center"/>
          </w:tcPr>
          <w:p w14:paraId="68707DEA">
            <w:pPr>
              <w:spacing w:line="0" w:lineRule="atLeast"/>
              <w:jc w:val="center"/>
              <w:rPr>
                <w:rFonts w:hint="eastAsia" w:ascii="宋体" w:hAnsi="宋体" w:eastAsia="宋体" w:cs="宋体"/>
                <w:color w:val="auto"/>
                <w:sz w:val="24"/>
                <w:szCs w:val="24"/>
                <w:highlight w:val="none"/>
              </w:rPr>
            </w:pPr>
          </w:p>
        </w:tc>
        <w:tc>
          <w:tcPr>
            <w:tcW w:w="980" w:type="dxa"/>
            <w:noWrap w:val="0"/>
            <w:vAlign w:val="center"/>
          </w:tcPr>
          <w:p w14:paraId="39E06404">
            <w:pPr>
              <w:spacing w:line="0" w:lineRule="atLeast"/>
              <w:jc w:val="center"/>
              <w:rPr>
                <w:rFonts w:hint="eastAsia" w:ascii="宋体" w:hAnsi="宋体" w:eastAsia="宋体" w:cs="宋体"/>
                <w:color w:val="auto"/>
                <w:sz w:val="24"/>
                <w:szCs w:val="24"/>
                <w:highlight w:val="none"/>
              </w:rPr>
            </w:pPr>
          </w:p>
        </w:tc>
        <w:tc>
          <w:tcPr>
            <w:tcW w:w="1106" w:type="dxa"/>
            <w:noWrap w:val="0"/>
            <w:vAlign w:val="top"/>
          </w:tcPr>
          <w:p w14:paraId="3D2B3518">
            <w:pPr>
              <w:spacing w:line="0" w:lineRule="atLeast"/>
              <w:jc w:val="center"/>
              <w:rPr>
                <w:rFonts w:hint="eastAsia" w:ascii="宋体" w:hAnsi="宋体" w:eastAsia="宋体" w:cs="宋体"/>
                <w:color w:val="auto"/>
                <w:sz w:val="24"/>
                <w:szCs w:val="24"/>
                <w:highlight w:val="none"/>
              </w:rPr>
            </w:pPr>
          </w:p>
        </w:tc>
        <w:tc>
          <w:tcPr>
            <w:tcW w:w="1385" w:type="dxa"/>
            <w:noWrap w:val="0"/>
            <w:vAlign w:val="center"/>
          </w:tcPr>
          <w:p w14:paraId="09BC744B">
            <w:pPr>
              <w:spacing w:line="0" w:lineRule="atLeast"/>
              <w:jc w:val="center"/>
              <w:rPr>
                <w:rFonts w:hint="eastAsia" w:ascii="宋体" w:hAnsi="宋体" w:eastAsia="宋体" w:cs="宋体"/>
                <w:color w:val="auto"/>
                <w:sz w:val="24"/>
                <w:szCs w:val="24"/>
                <w:highlight w:val="none"/>
              </w:rPr>
            </w:pPr>
          </w:p>
        </w:tc>
        <w:tc>
          <w:tcPr>
            <w:tcW w:w="924" w:type="dxa"/>
            <w:noWrap w:val="0"/>
            <w:vAlign w:val="center"/>
          </w:tcPr>
          <w:p w14:paraId="0B118C70">
            <w:pPr>
              <w:spacing w:line="0" w:lineRule="atLeast"/>
              <w:jc w:val="center"/>
              <w:rPr>
                <w:rFonts w:hint="eastAsia" w:ascii="宋体" w:hAnsi="宋体" w:eastAsia="宋体" w:cs="宋体"/>
                <w:color w:val="auto"/>
                <w:sz w:val="24"/>
                <w:szCs w:val="24"/>
                <w:highlight w:val="none"/>
              </w:rPr>
            </w:pPr>
          </w:p>
        </w:tc>
        <w:tc>
          <w:tcPr>
            <w:tcW w:w="1008" w:type="dxa"/>
            <w:noWrap w:val="0"/>
            <w:vAlign w:val="center"/>
          </w:tcPr>
          <w:p w14:paraId="1B2860F2">
            <w:pPr>
              <w:spacing w:line="0" w:lineRule="atLeast"/>
              <w:jc w:val="center"/>
              <w:rPr>
                <w:rFonts w:hint="eastAsia" w:ascii="宋体" w:hAnsi="宋体" w:eastAsia="宋体" w:cs="宋体"/>
                <w:color w:val="auto"/>
                <w:sz w:val="24"/>
                <w:szCs w:val="24"/>
                <w:highlight w:val="none"/>
              </w:rPr>
            </w:pPr>
          </w:p>
        </w:tc>
        <w:tc>
          <w:tcPr>
            <w:tcW w:w="966" w:type="dxa"/>
            <w:noWrap w:val="0"/>
            <w:vAlign w:val="center"/>
          </w:tcPr>
          <w:p w14:paraId="6798BD80">
            <w:pPr>
              <w:spacing w:line="0" w:lineRule="atLeast"/>
              <w:jc w:val="center"/>
              <w:rPr>
                <w:rFonts w:hint="eastAsia" w:ascii="宋体" w:hAnsi="宋体" w:eastAsia="宋体" w:cs="宋体"/>
                <w:color w:val="auto"/>
                <w:sz w:val="24"/>
                <w:szCs w:val="24"/>
                <w:highlight w:val="none"/>
              </w:rPr>
            </w:pPr>
          </w:p>
        </w:tc>
      </w:tr>
      <w:tr w14:paraId="1BE7B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500" w:type="dxa"/>
            <w:noWrap w:val="0"/>
            <w:vAlign w:val="top"/>
          </w:tcPr>
          <w:p w14:paraId="5FCA3A01">
            <w:pPr>
              <w:jc w:val="center"/>
              <w:rPr>
                <w:rFonts w:hint="eastAsia" w:ascii="宋体" w:hAnsi="宋体" w:eastAsia="宋体" w:cs="宋体"/>
                <w:color w:val="auto"/>
                <w:sz w:val="24"/>
                <w:szCs w:val="24"/>
                <w:highlight w:val="none"/>
              </w:rPr>
            </w:pPr>
          </w:p>
        </w:tc>
        <w:tc>
          <w:tcPr>
            <w:tcW w:w="7797" w:type="dxa"/>
            <w:gridSpan w:val="8"/>
            <w:noWrap w:val="0"/>
            <w:vAlign w:val="center"/>
          </w:tcPr>
          <w:p w14:paraId="521D8FDD">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投标总报价（人民币：元）</w:t>
            </w:r>
          </w:p>
        </w:tc>
        <w:tc>
          <w:tcPr>
            <w:tcW w:w="966" w:type="dxa"/>
            <w:noWrap w:val="0"/>
            <w:vAlign w:val="top"/>
          </w:tcPr>
          <w:p w14:paraId="626C7B6A">
            <w:pPr>
              <w:rPr>
                <w:rFonts w:hint="eastAsia" w:ascii="宋体" w:hAnsi="宋体" w:eastAsia="宋体" w:cs="宋体"/>
                <w:color w:val="auto"/>
                <w:sz w:val="24"/>
                <w:szCs w:val="24"/>
                <w:highlight w:val="none"/>
              </w:rPr>
            </w:pPr>
          </w:p>
        </w:tc>
      </w:tr>
      <w:tr w14:paraId="6167F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4" w:hRule="atLeast"/>
        </w:trPr>
        <w:tc>
          <w:tcPr>
            <w:tcW w:w="9263" w:type="dxa"/>
            <w:gridSpan w:val="10"/>
            <w:noWrap w:val="0"/>
            <w:vAlign w:val="top"/>
          </w:tcPr>
          <w:p w14:paraId="7D1F3BF7">
            <w:pPr>
              <w:rPr>
                <w:rFonts w:hint="eastAsia" w:ascii="宋体" w:hAnsi="宋体"/>
                <w:b/>
                <w:bCs/>
                <w:color w:val="auto"/>
                <w:sz w:val="24"/>
                <w:szCs w:val="32"/>
                <w:highlight w:val="none"/>
              </w:rPr>
            </w:pPr>
            <w:r>
              <w:rPr>
                <w:rFonts w:hint="eastAsia" w:ascii="宋体" w:hAnsi="宋体" w:eastAsia="宋体" w:cs="宋体"/>
                <w:color w:val="auto"/>
                <w:sz w:val="24"/>
                <w:szCs w:val="24"/>
                <w:highlight w:val="none"/>
                <w:lang w:val="en-US" w:eastAsia="zh-CN" w:bidi="ar-SA"/>
              </w:rPr>
              <w:t>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bidi="ar-SA"/>
              </w:rPr>
              <w:t>***</w:t>
            </w:r>
            <w:r>
              <w:rPr>
                <w:rFonts w:hint="eastAsia" w:ascii="宋体" w:hAnsi="宋体" w:eastAsia="宋体" w:cs="宋体"/>
                <w:color w:val="auto"/>
                <w:sz w:val="24"/>
                <w:szCs w:val="24"/>
                <w:highlight w:val="none"/>
                <w:lang w:val="en-US" w:eastAsia="zh-CN" w:bidi="ar-SA"/>
              </w:rPr>
              <w:t>%。</w:t>
            </w:r>
          </w:p>
        </w:tc>
      </w:tr>
    </w:tbl>
    <w:p w14:paraId="4C055D9C">
      <w:pPr>
        <w:pStyle w:val="395"/>
        <w:spacing w:line="360" w:lineRule="auto"/>
        <w:ind w:firstLine="480"/>
        <w:rPr>
          <w:rFonts w:hint="eastAsia" w:ascii="宋体" w:hAnsi="宋体" w:eastAsia="宋体" w:cs="宋体"/>
          <w:i/>
          <w:iCs/>
          <w:color w:val="auto"/>
          <w:szCs w:val="21"/>
          <w:highlight w:val="none"/>
        </w:rPr>
      </w:pPr>
    </w:p>
    <w:p w14:paraId="36D1148D">
      <w:pPr>
        <w:spacing w:line="0" w:lineRule="atLeas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0A829DA3">
      <w:pPr>
        <w:spacing w:line="0" w:lineRule="atLeas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2.“投标分项报价表”中“投标总报价”数额应当与“开标一览表”中“投标总报价”数额一致。</w:t>
      </w:r>
    </w:p>
    <w:p w14:paraId="6BBF734F">
      <w:pPr>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3.本采购包中含有多种产品时，供应商未填写本采购包中提供的符合本国产品标准的产品成本之和占该采购包提供的全部产品成本之和的比例数值的，或比例数值低于80%的，将不享受本国产品价格评审优惠。</w:t>
      </w:r>
    </w:p>
    <w:p w14:paraId="63520EF9">
      <w:pPr>
        <w:pStyle w:val="350"/>
        <w:outlineLvl w:val="9"/>
        <w:rPr>
          <w:rFonts w:hint="eastAsia" w:ascii="宋体" w:hAnsi="宋体" w:eastAsia="宋体" w:cs="宋体"/>
          <w:b/>
          <w:bCs/>
          <w:color w:val="auto"/>
          <w:sz w:val="24"/>
          <w:szCs w:val="24"/>
          <w:highlight w:val="none"/>
        </w:rPr>
      </w:pPr>
    </w:p>
    <w:p w14:paraId="4B1B5E8D">
      <w:pPr>
        <w:spacing w:line="0" w:lineRule="atLeast"/>
        <w:outlineLvl w:val="9"/>
        <w:rPr>
          <w:rFonts w:hint="eastAsia" w:ascii="宋体" w:hAnsi="宋体" w:eastAsia="宋体" w:cs="宋体"/>
          <w:color w:val="auto"/>
          <w:sz w:val="24"/>
          <w:szCs w:val="24"/>
          <w:highlight w:val="none"/>
        </w:rPr>
      </w:pPr>
    </w:p>
    <w:p w14:paraId="357FF40F">
      <w:pPr>
        <w:pStyle w:val="395"/>
        <w:spacing w:line="360" w:lineRule="auto"/>
        <w:outlineLvl w:val="9"/>
        <w:rPr>
          <w:rFonts w:hint="eastAsia" w:ascii="宋体" w:hAnsi="宋体" w:eastAsia="宋体" w:cs="宋体"/>
          <w:color w:val="auto"/>
          <w:highlight w:val="none"/>
        </w:rPr>
      </w:pPr>
    </w:p>
    <w:p w14:paraId="31B6E447">
      <w:pPr>
        <w:pStyle w:val="395"/>
        <w:spacing w:line="360" w:lineRule="auto"/>
        <w:outlineLvl w:val="9"/>
        <w:rPr>
          <w:rFonts w:hint="eastAsia" w:ascii="宋体" w:hAnsi="宋体" w:eastAsia="宋体" w:cs="宋体"/>
          <w:color w:val="auto"/>
          <w:highlight w:val="none"/>
        </w:rPr>
      </w:pPr>
    </w:p>
    <w:p w14:paraId="56F224D6">
      <w:pPr>
        <w:pStyle w:val="395"/>
        <w:spacing w:line="360" w:lineRule="auto"/>
        <w:outlineLvl w:val="9"/>
        <w:rPr>
          <w:rFonts w:hint="eastAsia" w:ascii="宋体" w:hAnsi="宋体" w:eastAsia="宋体" w:cs="宋体"/>
          <w:color w:val="auto"/>
          <w:highlight w:val="none"/>
        </w:rPr>
      </w:pPr>
    </w:p>
    <w:p w14:paraId="5B6B1E58">
      <w:pPr>
        <w:pStyle w:val="395"/>
        <w:spacing w:line="360" w:lineRule="auto"/>
        <w:outlineLvl w:val="9"/>
        <w:rPr>
          <w:rFonts w:hint="eastAsia" w:ascii="宋体" w:hAnsi="宋体" w:eastAsia="宋体" w:cs="宋体"/>
          <w:color w:val="auto"/>
          <w:highlight w:val="none"/>
        </w:rPr>
      </w:pPr>
    </w:p>
    <w:p w14:paraId="7353DCC7">
      <w:pPr>
        <w:pStyle w:val="395"/>
        <w:spacing w:line="360" w:lineRule="auto"/>
        <w:outlineLvl w:val="9"/>
        <w:rPr>
          <w:rFonts w:hint="eastAsia" w:ascii="宋体" w:hAnsi="宋体" w:eastAsia="宋体" w:cs="宋体"/>
          <w:color w:val="auto"/>
          <w:highlight w:val="none"/>
        </w:rPr>
      </w:pPr>
    </w:p>
    <w:p w14:paraId="47BB6249">
      <w:pPr>
        <w:pStyle w:val="395"/>
        <w:spacing w:line="360" w:lineRule="auto"/>
        <w:outlineLvl w:val="9"/>
        <w:rPr>
          <w:rFonts w:hint="eastAsia" w:ascii="宋体" w:hAnsi="宋体" w:eastAsia="宋体" w:cs="宋体"/>
          <w:color w:val="auto"/>
          <w:highlight w:val="none"/>
        </w:rPr>
      </w:pPr>
    </w:p>
    <w:p w14:paraId="0BAAAE8B">
      <w:pPr>
        <w:pStyle w:val="395"/>
        <w:spacing w:line="360" w:lineRule="auto"/>
        <w:outlineLvl w:val="9"/>
        <w:rPr>
          <w:rFonts w:hint="eastAsia" w:ascii="宋体" w:hAnsi="宋体" w:eastAsia="宋体" w:cs="宋体"/>
          <w:color w:val="auto"/>
          <w:highlight w:val="none"/>
        </w:rPr>
      </w:pPr>
    </w:p>
    <w:p w14:paraId="6D642372">
      <w:pPr>
        <w:pStyle w:val="395"/>
        <w:spacing w:line="360" w:lineRule="auto"/>
        <w:rPr>
          <w:rFonts w:hint="eastAsia" w:ascii="宋体" w:hAnsi="宋体" w:eastAsia="宋体" w:cs="宋体"/>
          <w:color w:val="auto"/>
          <w:highlight w:val="none"/>
        </w:rPr>
      </w:pPr>
    </w:p>
    <w:p w14:paraId="53F6B14D">
      <w:pPr>
        <w:pStyle w:val="395"/>
        <w:spacing w:line="360" w:lineRule="auto"/>
        <w:rPr>
          <w:rFonts w:hint="eastAsia" w:ascii="宋体" w:hAnsi="宋体" w:eastAsia="宋体" w:cs="宋体"/>
          <w:color w:val="auto"/>
          <w:highlight w:val="none"/>
        </w:rPr>
      </w:pPr>
    </w:p>
    <w:p w14:paraId="7EE005F2">
      <w:pPr>
        <w:pStyle w:val="370"/>
        <w:spacing w:after="160" w:line="278" w:lineRule="auto"/>
        <w:outlineLvl w:val="1"/>
        <w:rPr>
          <w:rFonts w:hint="eastAsia" w:ascii="宋体" w:hAnsi="宋体" w:eastAsia="宋体" w:cs="宋体"/>
          <w:bCs/>
          <w:color w:val="auto"/>
          <w:szCs w:val="32"/>
          <w:highlight w:val="none"/>
        </w:rPr>
      </w:pPr>
      <w:bookmarkStart w:id="169" w:name="_Toc2747"/>
      <w:bookmarkStart w:id="170" w:name="_Toc21129"/>
      <w:bookmarkStart w:id="171" w:name="_Toc17418"/>
      <w:r>
        <w:rPr>
          <w:rFonts w:hint="eastAsia" w:ascii="宋体" w:hAnsi="宋体" w:eastAsia="宋体" w:cs="宋体"/>
          <w:bCs/>
          <w:color w:val="auto"/>
          <w:szCs w:val="32"/>
          <w:highlight w:val="none"/>
        </w:rPr>
        <w:t>五、中小企业或残疾人福利性单位声明函</w:t>
      </w:r>
      <w:bookmarkEnd w:id="169"/>
      <w:bookmarkEnd w:id="170"/>
      <w:bookmarkEnd w:id="171"/>
    </w:p>
    <w:p w14:paraId="50D3548A">
      <w:pPr>
        <w:pStyle w:val="334"/>
        <w:jc w:val="center"/>
        <w:rPr>
          <w:rFonts w:hint="eastAsia" w:ascii="宋体" w:hAnsi="宋体" w:eastAsia="宋体" w:cs="宋体"/>
          <w:bCs/>
          <w:color w:val="auto"/>
          <w:sz w:val="32"/>
          <w:szCs w:val="32"/>
          <w:highlight w:val="none"/>
        </w:rPr>
      </w:pPr>
    </w:p>
    <w:p w14:paraId="49508D46">
      <w:pPr>
        <w:widowControl w:val="0"/>
        <w:bidi w:val="0"/>
        <w:jc w:val="center"/>
        <w:rPr>
          <w:rStyle w:val="32"/>
          <w:rFonts w:ascii="Times New Roman" w:hAnsi="Times New Roman" w:eastAsia="宋体" w:cs="Times New Roman"/>
          <w:b/>
          <w:caps w:val="0"/>
          <w:color w:val="auto"/>
          <w:kern w:val="2"/>
          <w:sz w:val="36"/>
          <w:szCs w:val="36"/>
          <w:highlight w:val="none"/>
          <w:lang w:val="en-US" w:eastAsia="zh-CN" w:bidi="ar-SA"/>
        </w:rPr>
      </w:pPr>
      <w:r>
        <w:rPr>
          <w:rStyle w:val="32"/>
          <w:rFonts w:hint="eastAsia" w:ascii="Times New Roman" w:hAnsi="Times New Roman" w:eastAsia="宋体" w:cs="Times New Roman"/>
          <w:b/>
          <w:caps w:val="0"/>
          <w:color w:val="auto"/>
          <w:kern w:val="2"/>
          <w:sz w:val="36"/>
          <w:szCs w:val="36"/>
          <w:highlight w:val="none"/>
          <w:lang w:val="en-US" w:eastAsia="zh-CN" w:bidi="ar-SA"/>
        </w:rPr>
        <w:t>中小（微）企业声明函（货物）</w:t>
      </w:r>
    </w:p>
    <w:p w14:paraId="35240363">
      <w:pPr>
        <w:widowControl w:val="0"/>
        <w:bidi w:val="0"/>
        <w:jc w:val="left"/>
        <w:rPr>
          <w:rStyle w:val="32"/>
          <w:rFonts w:ascii="Times New Roman" w:hAnsi="Times New Roman" w:eastAsia="宋体" w:cs="Times New Roman"/>
          <w:b/>
          <w:caps w:val="0"/>
          <w:color w:val="auto"/>
          <w:kern w:val="2"/>
          <w:sz w:val="32"/>
          <w:szCs w:val="32"/>
          <w:highlight w:val="none"/>
          <w:lang w:val="en-US" w:eastAsia="zh-CN" w:bidi="ar-SA"/>
        </w:rPr>
      </w:pPr>
    </w:p>
    <w:p w14:paraId="09697832">
      <w:pPr>
        <w:widowControl w:val="0"/>
        <w:bidi w:val="0"/>
        <w:spacing w:line="500" w:lineRule="exact"/>
        <w:ind w:firstLine="480" w:firstLineChars="200"/>
        <w:jc w:val="left"/>
        <w:rPr>
          <w:rStyle w:val="32"/>
          <w:rFonts w:hint="eastAsia" w:ascii="Times New Roman" w:hAnsi="Times New Roman" w:eastAsia="宋体" w:cs="宋体"/>
          <w:caps w:val="0"/>
          <w:color w:val="auto"/>
          <w:kern w:val="2"/>
          <w:sz w:val="24"/>
          <w:szCs w:val="24"/>
          <w:highlight w:val="none"/>
          <w:lang w:val="en-US" w:eastAsia="zh-CN" w:bidi="ar-SA"/>
        </w:rPr>
      </w:pPr>
      <w:r>
        <w:rPr>
          <w:rStyle w:val="32"/>
          <w:rFonts w:hint="eastAsia" w:ascii="Times New Roman" w:hAnsi="Times New Roman" w:eastAsia="宋体" w:cs="宋体"/>
          <w:caps w:val="0"/>
          <w:color w:val="auto"/>
          <w:kern w:val="2"/>
          <w:sz w:val="24"/>
          <w:szCs w:val="24"/>
          <w:highlight w:val="none"/>
          <w:lang w:val="en-US" w:eastAsia="zh-CN" w:bidi="ar-SA"/>
        </w:rPr>
        <w:t>本公司（联合体）郑重声明，根据《政府采购促进中小企业发展管理办法》（财库〔2020〕46号）的规定，本公司（联合体）参加</w:t>
      </w:r>
      <w:r>
        <w:rPr>
          <w:rStyle w:val="32"/>
          <w:rFonts w:hint="eastAsia" w:ascii="Times New Roman" w:hAnsi="Times New Roman" w:eastAsia="宋体" w:cs="宋体"/>
          <w:caps w:val="0"/>
          <w:color w:val="auto"/>
          <w:kern w:val="2"/>
          <w:sz w:val="24"/>
          <w:szCs w:val="24"/>
          <w:highlight w:val="none"/>
          <w:u w:val="single"/>
          <w:lang w:val="en-US" w:eastAsia="zh-CN" w:bidi="ar-SA"/>
        </w:rPr>
        <w:t xml:space="preserve"> 单位名称  </w:t>
      </w:r>
      <w:r>
        <w:rPr>
          <w:rStyle w:val="32"/>
          <w:rFonts w:hint="eastAsia" w:ascii="Times New Roman" w:hAnsi="Times New Roman" w:eastAsia="宋体" w:cs="宋体"/>
          <w:caps w:val="0"/>
          <w:color w:val="auto"/>
          <w:kern w:val="2"/>
          <w:sz w:val="24"/>
          <w:szCs w:val="24"/>
          <w:highlight w:val="none"/>
          <w:lang w:val="en-US" w:eastAsia="zh-CN" w:bidi="ar-SA"/>
        </w:rPr>
        <w:t>的（</w:t>
      </w:r>
      <w:r>
        <w:rPr>
          <w:rStyle w:val="32"/>
          <w:rFonts w:hint="eastAsia" w:ascii="Times New Roman" w:hAnsi="Times New Roman" w:eastAsia="宋体" w:cs="宋体"/>
          <w:caps w:val="0"/>
          <w:color w:val="auto"/>
          <w:kern w:val="2"/>
          <w:sz w:val="24"/>
          <w:szCs w:val="24"/>
          <w:highlight w:val="none"/>
          <w:u w:val="single"/>
          <w:lang w:val="en-US" w:eastAsia="zh-CN" w:bidi="ar-SA"/>
        </w:rPr>
        <w:t>项目名称）</w:t>
      </w:r>
      <w:r>
        <w:rPr>
          <w:rStyle w:val="32"/>
          <w:rFonts w:hint="eastAsia" w:ascii="Times New Roman" w:hAnsi="Times New Roman" w:eastAsia="宋体" w:cs="宋体"/>
          <w:caps w:val="0"/>
          <w:color w:val="auto"/>
          <w:kern w:val="2"/>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p>
    <w:p w14:paraId="3C686CF1">
      <w:pPr>
        <w:widowControl w:val="0"/>
        <w:bidi w:val="0"/>
        <w:spacing w:line="500" w:lineRule="exact"/>
        <w:ind w:firstLine="480" w:firstLineChars="200"/>
        <w:jc w:val="left"/>
        <w:rPr>
          <w:rStyle w:val="32"/>
          <w:rFonts w:hint="eastAsia" w:ascii="Times New Roman" w:hAnsi="Times New Roman" w:eastAsia="宋体" w:cs="宋体"/>
          <w:caps w:val="0"/>
          <w:color w:val="auto"/>
          <w:kern w:val="2"/>
          <w:sz w:val="24"/>
          <w:szCs w:val="24"/>
          <w:highlight w:val="none"/>
          <w:u w:val="single"/>
          <w:lang w:val="en-US" w:eastAsia="zh-CN" w:bidi="ar-SA"/>
        </w:rPr>
      </w:pPr>
      <w:r>
        <w:rPr>
          <w:rStyle w:val="32"/>
          <w:rFonts w:hint="eastAsia" w:ascii="Times New Roman" w:hAnsi="Times New Roman" w:eastAsia="宋体" w:cs="宋体"/>
          <w:caps w:val="0"/>
          <w:color w:val="auto"/>
          <w:kern w:val="2"/>
          <w:sz w:val="24"/>
          <w:szCs w:val="24"/>
          <w:highlight w:val="none"/>
          <w:lang w:val="en-US" w:eastAsia="zh-CN" w:bidi="ar-SA"/>
        </w:rPr>
        <w:t xml:space="preserve">1. </w:t>
      </w:r>
      <w:r>
        <w:rPr>
          <w:rStyle w:val="32"/>
          <w:rFonts w:hint="eastAsia" w:ascii="Times New Roman" w:hAnsi="Times New Roman" w:eastAsia="宋体" w:cs="宋体"/>
          <w:caps w:val="0"/>
          <w:color w:val="auto"/>
          <w:kern w:val="2"/>
          <w:sz w:val="24"/>
          <w:szCs w:val="24"/>
          <w:highlight w:val="none"/>
          <w:u w:val="single"/>
          <w:lang w:val="en-US" w:eastAsia="zh-CN" w:bidi="ar-SA"/>
        </w:rPr>
        <w:t xml:space="preserve">标的名称          </w:t>
      </w:r>
      <w:r>
        <w:rPr>
          <w:rStyle w:val="32"/>
          <w:rFonts w:hint="eastAsia" w:ascii="Times New Roman" w:hAnsi="Times New Roman" w:eastAsia="宋体" w:cs="宋体"/>
          <w:caps w:val="0"/>
          <w:color w:val="auto"/>
          <w:kern w:val="2"/>
          <w:sz w:val="24"/>
          <w:szCs w:val="24"/>
          <w:highlight w:val="none"/>
          <w:lang w:val="en-US" w:eastAsia="zh-CN" w:bidi="ar-SA"/>
        </w:rPr>
        <w:t>，属于（</w:t>
      </w:r>
      <w:r>
        <w:rPr>
          <w:rStyle w:val="32"/>
          <w:rFonts w:hint="eastAsia" w:ascii="Times New Roman" w:hAnsi="Times New Roman" w:eastAsia="宋体" w:cs="宋体"/>
          <w:i/>
          <w:caps w:val="0"/>
          <w:color w:val="auto"/>
          <w:kern w:val="2"/>
          <w:sz w:val="24"/>
          <w:szCs w:val="24"/>
          <w:highlight w:val="none"/>
          <w:u w:val="single"/>
          <w:lang w:val="en-US" w:eastAsia="zh-CN" w:bidi="ar-SA"/>
        </w:rPr>
        <w:t>采购文件中明确的所属行业）</w:t>
      </w:r>
      <w:r>
        <w:rPr>
          <w:rStyle w:val="32"/>
          <w:rFonts w:hint="eastAsia" w:ascii="Times New Roman" w:hAnsi="Times New Roman" w:eastAsia="宋体" w:cs="宋体"/>
          <w:caps w:val="0"/>
          <w:color w:val="auto"/>
          <w:kern w:val="2"/>
          <w:sz w:val="24"/>
          <w:szCs w:val="24"/>
          <w:highlight w:val="none"/>
          <w:u w:val="single"/>
          <w:lang w:val="en-US" w:eastAsia="zh-CN" w:bidi="ar-SA"/>
        </w:rPr>
        <w:t>行业</w:t>
      </w:r>
      <w:r>
        <w:rPr>
          <w:rStyle w:val="32"/>
          <w:rFonts w:hint="eastAsia" w:ascii="Times New Roman" w:hAnsi="Times New Roman" w:eastAsia="宋体" w:cs="宋体"/>
          <w:caps w:val="0"/>
          <w:color w:val="auto"/>
          <w:kern w:val="2"/>
          <w:sz w:val="24"/>
          <w:szCs w:val="24"/>
          <w:highlight w:val="none"/>
          <w:lang w:val="en-US" w:eastAsia="zh-CN" w:bidi="ar-SA"/>
        </w:rPr>
        <w:t>；制造商为</w:t>
      </w:r>
      <w:r>
        <w:rPr>
          <w:rStyle w:val="32"/>
          <w:rFonts w:hint="eastAsia" w:ascii="Times New Roman" w:hAnsi="Times New Roman" w:eastAsia="宋体" w:cs="宋体"/>
          <w:caps w:val="0"/>
          <w:color w:val="auto"/>
          <w:kern w:val="2"/>
          <w:sz w:val="24"/>
          <w:szCs w:val="24"/>
          <w:highlight w:val="none"/>
          <w:u w:val="single"/>
          <w:lang w:val="en-US" w:eastAsia="zh-CN" w:bidi="ar-SA"/>
        </w:rPr>
        <w:t>（企业名称）</w:t>
      </w:r>
      <w:r>
        <w:rPr>
          <w:rStyle w:val="32"/>
          <w:rFonts w:hint="eastAsia" w:ascii="Times New Roman" w:hAnsi="Times New Roman" w:eastAsia="宋体" w:cs="宋体"/>
          <w:caps w:val="0"/>
          <w:color w:val="auto"/>
          <w:kern w:val="2"/>
          <w:sz w:val="24"/>
          <w:szCs w:val="24"/>
          <w:highlight w:val="none"/>
          <w:lang w:val="en-US" w:eastAsia="zh-CN" w:bidi="ar-SA"/>
        </w:rPr>
        <w:t>，从业人员</w:t>
      </w:r>
      <w:r>
        <w:rPr>
          <w:rStyle w:val="32"/>
          <w:rFonts w:hint="eastAsia" w:ascii="Times New Roman" w:hAnsi="Times New Roman" w:eastAsia="宋体" w:cs="宋体"/>
          <w:caps w:val="0"/>
          <w:color w:val="auto"/>
          <w:kern w:val="2"/>
          <w:sz w:val="24"/>
          <w:szCs w:val="24"/>
          <w:highlight w:val="none"/>
          <w:u w:val="single"/>
          <w:lang w:val="en-US" w:eastAsia="zh-CN" w:bidi="ar-SA"/>
        </w:rPr>
        <w:t xml:space="preserve">   </w:t>
      </w:r>
      <w:r>
        <w:rPr>
          <w:rStyle w:val="32"/>
          <w:rFonts w:hint="eastAsia" w:ascii="Times New Roman" w:hAnsi="Times New Roman" w:eastAsia="宋体" w:cs="宋体"/>
          <w:caps w:val="0"/>
          <w:color w:val="auto"/>
          <w:kern w:val="2"/>
          <w:sz w:val="24"/>
          <w:szCs w:val="24"/>
          <w:highlight w:val="none"/>
          <w:lang w:val="en-US" w:eastAsia="zh-CN" w:bidi="ar-SA"/>
        </w:rPr>
        <w:t xml:space="preserve">人，营业收入为 </w:t>
      </w:r>
      <w:r>
        <w:rPr>
          <w:rStyle w:val="32"/>
          <w:rFonts w:hint="eastAsia" w:ascii="Times New Roman" w:hAnsi="Times New Roman" w:eastAsia="宋体" w:cs="宋体"/>
          <w:caps w:val="0"/>
          <w:color w:val="auto"/>
          <w:kern w:val="2"/>
          <w:sz w:val="24"/>
          <w:szCs w:val="24"/>
          <w:highlight w:val="none"/>
          <w:u w:val="single"/>
          <w:lang w:val="en-US" w:eastAsia="zh-CN" w:bidi="ar-SA"/>
        </w:rPr>
        <w:t xml:space="preserve">   </w:t>
      </w:r>
      <w:r>
        <w:rPr>
          <w:rStyle w:val="32"/>
          <w:rFonts w:hint="eastAsia" w:ascii="Times New Roman" w:hAnsi="Times New Roman" w:eastAsia="宋体" w:cs="宋体"/>
          <w:caps w:val="0"/>
          <w:color w:val="auto"/>
          <w:kern w:val="2"/>
          <w:sz w:val="24"/>
          <w:szCs w:val="24"/>
          <w:highlight w:val="none"/>
          <w:lang w:val="en-US" w:eastAsia="zh-CN" w:bidi="ar-SA"/>
        </w:rPr>
        <w:t>万元，资产总额为</w:t>
      </w:r>
      <w:r>
        <w:rPr>
          <w:rStyle w:val="32"/>
          <w:rFonts w:hint="eastAsia" w:ascii="Times New Roman" w:hAnsi="Times New Roman" w:eastAsia="宋体" w:cs="宋体"/>
          <w:caps w:val="0"/>
          <w:color w:val="auto"/>
          <w:kern w:val="2"/>
          <w:sz w:val="24"/>
          <w:szCs w:val="24"/>
          <w:highlight w:val="none"/>
          <w:u w:val="single"/>
          <w:lang w:val="en-US" w:eastAsia="zh-CN" w:bidi="ar-SA"/>
        </w:rPr>
        <w:t xml:space="preserve">  </w:t>
      </w:r>
      <w:r>
        <w:rPr>
          <w:rStyle w:val="32"/>
          <w:rFonts w:hint="eastAsia" w:ascii="Times New Roman" w:hAnsi="Times New Roman" w:eastAsia="宋体" w:cs="宋体"/>
          <w:caps w:val="0"/>
          <w:color w:val="auto"/>
          <w:kern w:val="2"/>
          <w:sz w:val="24"/>
          <w:szCs w:val="24"/>
          <w:highlight w:val="none"/>
          <w:lang w:val="en-US" w:eastAsia="zh-CN" w:bidi="ar-SA"/>
        </w:rPr>
        <w:t>万元</w:t>
      </w:r>
      <w:r>
        <w:rPr>
          <w:rStyle w:val="32"/>
          <w:rFonts w:hint="eastAsia" w:ascii="Times New Roman" w:hAnsi="Times New Roman" w:eastAsia="宋体" w:cs="宋体"/>
          <w:caps w:val="0"/>
          <w:color w:val="auto"/>
          <w:kern w:val="2"/>
          <w:sz w:val="24"/>
          <w:szCs w:val="24"/>
          <w:highlight w:val="none"/>
          <w:vertAlign w:val="superscript"/>
          <w:lang w:val="en-US" w:eastAsia="zh-CN" w:bidi="ar-SA"/>
        </w:rPr>
        <w:t>1</w:t>
      </w:r>
      <w:r>
        <w:rPr>
          <w:rStyle w:val="32"/>
          <w:rFonts w:hint="eastAsia" w:ascii="Times New Roman" w:hAnsi="Times New Roman" w:eastAsia="宋体" w:cs="宋体"/>
          <w:caps w:val="0"/>
          <w:color w:val="auto"/>
          <w:kern w:val="2"/>
          <w:sz w:val="24"/>
          <w:szCs w:val="24"/>
          <w:highlight w:val="none"/>
          <w:lang w:val="en-US" w:eastAsia="zh-CN" w:bidi="ar-SA"/>
        </w:rPr>
        <w:t>，属于</w:t>
      </w:r>
      <w:r>
        <w:rPr>
          <w:rStyle w:val="32"/>
          <w:rFonts w:hint="eastAsia" w:ascii="Times New Roman" w:hAnsi="Times New Roman" w:eastAsia="宋体" w:cs="宋体"/>
          <w:caps w:val="0"/>
          <w:color w:val="auto"/>
          <w:kern w:val="2"/>
          <w:sz w:val="24"/>
          <w:szCs w:val="24"/>
          <w:highlight w:val="none"/>
          <w:u w:val="single"/>
          <w:lang w:val="en-US" w:eastAsia="zh-CN" w:bidi="ar-SA"/>
        </w:rPr>
        <w:t>（中型企业、小型企业、微型企业）；</w:t>
      </w:r>
    </w:p>
    <w:p w14:paraId="7E6D464F">
      <w:pPr>
        <w:widowControl w:val="0"/>
        <w:bidi w:val="0"/>
        <w:spacing w:line="500" w:lineRule="exact"/>
        <w:ind w:firstLine="480" w:firstLineChars="200"/>
        <w:jc w:val="left"/>
        <w:rPr>
          <w:rStyle w:val="32"/>
          <w:rFonts w:hint="eastAsia" w:ascii="Times New Roman" w:hAnsi="Times New Roman" w:eastAsia="宋体" w:cs="宋体"/>
          <w:caps w:val="0"/>
          <w:color w:val="auto"/>
          <w:kern w:val="2"/>
          <w:sz w:val="24"/>
          <w:szCs w:val="24"/>
          <w:highlight w:val="none"/>
          <w:u w:val="single"/>
          <w:lang w:val="en-US" w:eastAsia="zh-CN" w:bidi="ar-SA"/>
        </w:rPr>
      </w:pPr>
      <w:r>
        <w:rPr>
          <w:rStyle w:val="32"/>
          <w:rFonts w:hint="eastAsia" w:ascii="Times New Roman" w:hAnsi="Times New Roman" w:eastAsia="宋体" w:cs="宋体"/>
          <w:caps w:val="0"/>
          <w:color w:val="auto"/>
          <w:kern w:val="2"/>
          <w:sz w:val="24"/>
          <w:szCs w:val="24"/>
          <w:highlight w:val="none"/>
          <w:lang w:val="en-US" w:eastAsia="zh-CN" w:bidi="ar-SA"/>
        </w:rPr>
        <w:t xml:space="preserve">2. </w:t>
      </w:r>
      <w:r>
        <w:rPr>
          <w:rStyle w:val="32"/>
          <w:rFonts w:hint="eastAsia" w:ascii="Times New Roman" w:hAnsi="Times New Roman" w:eastAsia="宋体" w:cs="宋体"/>
          <w:caps w:val="0"/>
          <w:color w:val="auto"/>
          <w:kern w:val="2"/>
          <w:sz w:val="24"/>
          <w:szCs w:val="24"/>
          <w:highlight w:val="none"/>
          <w:u w:val="single"/>
          <w:lang w:val="en-US" w:eastAsia="zh-CN" w:bidi="ar-SA"/>
        </w:rPr>
        <w:t xml:space="preserve">标的名称          </w:t>
      </w:r>
      <w:r>
        <w:rPr>
          <w:rStyle w:val="32"/>
          <w:rFonts w:hint="eastAsia" w:ascii="Times New Roman" w:hAnsi="Times New Roman" w:eastAsia="宋体" w:cs="宋体"/>
          <w:caps w:val="0"/>
          <w:color w:val="auto"/>
          <w:kern w:val="2"/>
          <w:sz w:val="24"/>
          <w:szCs w:val="24"/>
          <w:highlight w:val="none"/>
          <w:lang w:val="en-US" w:eastAsia="zh-CN" w:bidi="ar-SA"/>
        </w:rPr>
        <w:t>，属于（</w:t>
      </w:r>
      <w:r>
        <w:rPr>
          <w:rStyle w:val="32"/>
          <w:rFonts w:hint="eastAsia" w:ascii="Times New Roman" w:hAnsi="Times New Roman" w:eastAsia="宋体" w:cs="宋体"/>
          <w:i/>
          <w:caps w:val="0"/>
          <w:color w:val="auto"/>
          <w:kern w:val="2"/>
          <w:sz w:val="24"/>
          <w:szCs w:val="24"/>
          <w:highlight w:val="none"/>
          <w:u w:val="single"/>
          <w:lang w:val="en-US" w:eastAsia="zh-CN" w:bidi="ar-SA"/>
        </w:rPr>
        <w:t>采购文件中明确的所属行业）</w:t>
      </w:r>
      <w:r>
        <w:rPr>
          <w:rStyle w:val="32"/>
          <w:rFonts w:hint="eastAsia" w:ascii="Times New Roman" w:hAnsi="Times New Roman" w:eastAsia="宋体" w:cs="宋体"/>
          <w:caps w:val="0"/>
          <w:color w:val="auto"/>
          <w:kern w:val="2"/>
          <w:sz w:val="24"/>
          <w:szCs w:val="24"/>
          <w:highlight w:val="none"/>
          <w:u w:val="single"/>
          <w:lang w:val="en-US" w:eastAsia="zh-CN" w:bidi="ar-SA"/>
        </w:rPr>
        <w:t>行业</w:t>
      </w:r>
      <w:r>
        <w:rPr>
          <w:rStyle w:val="32"/>
          <w:rFonts w:hint="eastAsia" w:ascii="Times New Roman" w:hAnsi="Times New Roman" w:eastAsia="宋体" w:cs="宋体"/>
          <w:caps w:val="0"/>
          <w:color w:val="auto"/>
          <w:kern w:val="2"/>
          <w:sz w:val="24"/>
          <w:szCs w:val="24"/>
          <w:highlight w:val="none"/>
          <w:lang w:val="en-US" w:eastAsia="zh-CN" w:bidi="ar-SA"/>
        </w:rPr>
        <w:t>；制造商为</w:t>
      </w:r>
      <w:r>
        <w:rPr>
          <w:rStyle w:val="32"/>
          <w:rFonts w:hint="eastAsia" w:ascii="Times New Roman" w:hAnsi="Times New Roman" w:eastAsia="宋体" w:cs="宋体"/>
          <w:caps w:val="0"/>
          <w:color w:val="auto"/>
          <w:kern w:val="2"/>
          <w:sz w:val="24"/>
          <w:szCs w:val="24"/>
          <w:highlight w:val="none"/>
          <w:u w:val="single"/>
          <w:lang w:val="en-US" w:eastAsia="zh-CN" w:bidi="ar-SA"/>
        </w:rPr>
        <w:t xml:space="preserve">（企业名称）        </w:t>
      </w:r>
      <w:r>
        <w:rPr>
          <w:rStyle w:val="32"/>
          <w:rFonts w:hint="eastAsia" w:ascii="Times New Roman" w:hAnsi="Times New Roman" w:eastAsia="宋体" w:cs="宋体"/>
          <w:caps w:val="0"/>
          <w:color w:val="auto"/>
          <w:kern w:val="2"/>
          <w:sz w:val="24"/>
          <w:szCs w:val="24"/>
          <w:highlight w:val="none"/>
          <w:lang w:val="en-US" w:eastAsia="zh-CN" w:bidi="ar-SA"/>
        </w:rPr>
        <w:t>，从业人员</w:t>
      </w:r>
      <w:r>
        <w:rPr>
          <w:rStyle w:val="32"/>
          <w:rFonts w:hint="eastAsia" w:ascii="Times New Roman" w:hAnsi="Times New Roman" w:eastAsia="宋体" w:cs="宋体"/>
          <w:caps w:val="0"/>
          <w:color w:val="auto"/>
          <w:kern w:val="2"/>
          <w:sz w:val="24"/>
          <w:szCs w:val="24"/>
          <w:highlight w:val="none"/>
          <w:u w:val="single"/>
          <w:lang w:val="en-US" w:eastAsia="zh-CN" w:bidi="ar-SA"/>
        </w:rPr>
        <w:t xml:space="preserve">   </w:t>
      </w:r>
      <w:r>
        <w:rPr>
          <w:rStyle w:val="32"/>
          <w:rFonts w:hint="eastAsia" w:ascii="Times New Roman" w:hAnsi="Times New Roman" w:eastAsia="宋体" w:cs="宋体"/>
          <w:caps w:val="0"/>
          <w:color w:val="auto"/>
          <w:kern w:val="2"/>
          <w:sz w:val="24"/>
          <w:szCs w:val="24"/>
          <w:highlight w:val="none"/>
          <w:lang w:val="en-US" w:eastAsia="zh-CN" w:bidi="ar-SA"/>
        </w:rPr>
        <w:t xml:space="preserve">人，营业收入为 </w:t>
      </w:r>
      <w:r>
        <w:rPr>
          <w:rStyle w:val="32"/>
          <w:rFonts w:hint="eastAsia" w:ascii="Times New Roman" w:hAnsi="Times New Roman" w:eastAsia="宋体" w:cs="宋体"/>
          <w:caps w:val="0"/>
          <w:color w:val="auto"/>
          <w:kern w:val="2"/>
          <w:sz w:val="24"/>
          <w:szCs w:val="24"/>
          <w:highlight w:val="none"/>
          <w:u w:val="single"/>
          <w:lang w:val="en-US" w:eastAsia="zh-CN" w:bidi="ar-SA"/>
        </w:rPr>
        <w:t xml:space="preserve">       </w:t>
      </w:r>
      <w:r>
        <w:rPr>
          <w:rStyle w:val="32"/>
          <w:rFonts w:hint="eastAsia" w:ascii="Times New Roman" w:hAnsi="Times New Roman" w:eastAsia="宋体" w:cs="宋体"/>
          <w:caps w:val="0"/>
          <w:color w:val="auto"/>
          <w:kern w:val="2"/>
          <w:sz w:val="24"/>
          <w:szCs w:val="24"/>
          <w:highlight w:val="none"/>
          <w:lang w:val="en-US" w:eastAsia="zh-CN" w:bidi="ar-SA"/>
        </w:rPr>
        <w:t>万元，资产总额为</w:t>
      </w:r>
      <w:r>
        <w:rPr>
          <w:rStyle w:val="32"/>
          <w:rFonts w:hint="eastAsia" w:ascii="Times New Roman" w:hAnsi="Times New Roman" w:eastAsia="宋体" w:cs="宋体"/>
          <w:caps w:val="0"/>
          <w:color w:val="auto"/>
          <w:kern w:val="2"/>
          <w:sz w:val="24"/>
          <w:szCs w:val="24"/>
          <w:highlight w:val="none"/>
          <w:u w:val="single"/>
          <w:lang w:val="en-US" w:eastAsia="zh-CN" w:bidi="ar-SA"/>
        </w:rPr>
        <w:t xml:space="preserve">        </w:t>
      </w:r>
      <w:r>
        <w:rPr>
          <w:rStyle w:val="32"/>
          <w:rFonts w:hint="eastAsia" w:ascii="Times New Roman" w:hAnsi="Times New Roman" w:eastAsia="宋体" w:cs="宋体"/>
          <w:caps w:val="0"/>
          <w:color w:val="auto"/>
          <w:kern w:val="2"/>
          <w:sz w:val="24"/>
          <w:szCs w:val="24"/>
          <w:highlight w:val="none"/>
          <w:lang w:val="en-US" w:eastAsia="zh-CN" w:bidi="ar-SA"/>
        </w:rPr>
        <w:t>万元，属于</w:t>
      </w:r>
      <w:r>
        <w:rPr>
          <w:rStyle w:val="32"/>
          <w:rFonts w:hint="eastAsia" w:ascii="Times New Roman" w:hAnsi="Times New Roman" w:eastAsia="宋体" w:cs="宋体"/>
          <w:caps w:val="0"/>
          <w:color w:val="auto"/>
          <w:kern w:val="2"/>
          <w:sz w:val="24"/>
          <w:szCs w:val="24"/>
          <w:highlight w:val="none"/>
          <w:u w:val="single"/>
          <w:lang w:val="en-US" w:eastAsia="zh-CN" w:bidi="ar-SA"/>
        </w:rPr>
        <w:t>（中型企业、小型企业、微型企业）；</w:t>
      </w:r>
    </w:p>
    <w:p w14:paraId="59049D57">
      <w:pPr>
        <w:widowControl w:val="0"/>
        <w:bidi w:val="0"/>
        <w:spacing w:line="500" w:lineRule="exact"/>
        <w:ind w:firstLine="480" w:firstLineChars="200"/>
        <w:jc w:val="left"/>
        <w:rPr>
          <w:rStyle w:val="32"/>
          <w:rFonts w:hint="eastAsia" w:ascii="Times New Roman" w:hAnsi="Times New Roman" w:eastAsia="宋体" w:cs="宋体"/>
          <w:caps w:val="0"/>
          <w:color w:val="auto"/>
          <w:kern w:val="2"/>
          <w:sz w:val="24"/>
          <w:szCs w:val="24"/>
          <w:highlight w:val="none"/>
          <w:lang w:val="en-US" w:eastAsia="zh-CN" w:bidi="ar-SA"/>
        </w:rPr>
      </w:pPr>
      <w:r>
        <w:rPr>
          <w:rStyle w:val="32"/>
          <w:rFonts w:hint="eastAsia" w:ascii="Times New Roman" w:hAnsi="Times New Roman" w:eastAsia="宋体" w:cs="宋体"/>
          <w:caps w:val="0"/>
          <w:color w:val="auto"/>
          <w:kern w:val="2"/>
          <w:sz w:val="24"/>
          <w:szCs w:val="24"/>
          <w:highlight w:val="none"/>
          <w:lang w:val="en-US" w:eastAsia="zh-CN" w:bidi="ar-SA"/>
        </w:rPr>
        <w:t>……</w:t>
      </w:r>
    </w:p>
    <w:p w14:paraId="5DD83C92">
      <w:pPr>
        <w:widowControl w:val="0"/>
        <w:bidi w:val="0"/>
        <w:spacing w:line="500" w:lineRule="exact"/>
        <w:ind w:firstLine="480" w:firstLineChars="200"/>
        <w:jc w:val="left"/>
        <w:rPr>
          <w:rStyle w:val="32"/>
          <w:rFonts w:hint="eastAsia" w:ascii="Times New Roman" w:hAnsi="Times New Roman" w:eastAsia="宋体" w:cs="宋体"/>
          <w:caps w:val="0"/>
          <w:color w:val="auto"/>
          <w:kern w:val="2"/>
          <w:sz w:val="24"/>
          <w:szCs w:val="24"/>
          <w:highlight w:val="none"/>
          <w:lang w:val="en-US" w:eastAsia="zh-CN" w:bidi="ar-SA"/>
        </w:rPr>
      </w:pPr>
      <w:r>
        <w:rPr>
          <w:rStyle w:val="32"/>
          <w:rFonts w:hint="eastAsia" w:ascii="Times New Roman" w:hAnsi="Times New Roman" w:eastAsia="宋体" w:cs="宋体"/>
          <w:caps w:val="0"/>
          <w:color w:val="auto"/>
          <w:kern w:val="2"/>
          <w:sz w:val="24"/>
          <w:szCs w:val="24"/>
          <w:highlight w:val="none"/>
          <w:lang w:val="en-US" w:eastAsia="zh-CN" w:bidi="ar-SA"/>
        </w:rPr>
        <w:t>以上企业，不属于大企业的分支机构，不存在控股股东为大企业的情形，也不存在与大企业的负责人为同一人的情形。</w:t>
      </w:r>
    </w:p>
    <w:p w14:paraId="717834C5">
      <w:pPr>
        <w:widowControl w:val="0"/>
        <w:bidi w:val="0"/>
        <w:spacing w:line="500" w:lineRule="exact"/>
        <w:ind w:firstLine="480" w:firstLineChars="200"/>
        <w:jc w:val="left"/>
        <w:rPr>
          <w:rStyle w:val="32"/>
          <w:rFonts w:hint="eastAsia" w:ascii="Times New Roman" w:hAnsi="Times New Roman" w:eastAsia="宋体" w:cs="宋体"/>
          <w:caps w:val="0"/>
          <w:color w:val="auto"/>
          <w:kern w:val="2"/>
          <w:sz w:val="24"/>
          <w:szCs w:val="24"/>
          <w:highlight w:val="none"/>
          <w:lang w:val="en-US" w:eastAsia="zh-CN" w:bidi="ar-SA"/>
        </w:rPr>
      </w:pPr>
      <w:r>
        <w:rPr>
          <w:rStyle w:val="32"/>
          <w:rFonts w:hint="eastAsia" w:ascii="Times New Roman" w:hAnsi="Times New Roman" w:eastAsia="宋体" w:cs="宋体"/>
          <w:caps w:val="0"/>
          <w:color w:val="auto"/>
          <w:kern w:val="2"/>
          <w:sz w:val="24"/>
          <w:szCs w:val="24"/>
          <w:highlight w:val="none"/>
          <w:lang w:val="en-US" w:eastAsia="zh-CN" w:bidi="ar-SA"/>
        </w:rPr>
        <w:t>本企业对上述声明内容的真实性负责。如有虚假，将依法承担相应责任。</w:t>
      </w:r>
    </w:p>
    <w:p w14:paraId="1600DC92">
      <w:pPr>
        <w:keepNext w:val="0"/>
        <w:keepLines w:val="0"/>
        <w:pageBreakBefore w:val="0"/>
        <w:widowControl w:val="0"/>
        <w:spacing w:line="360" w:lineRule="auto"/>
        <w:ind w:right="720"/>
        <w:rPr>
          <w:rFonts w:hint="eastAsia" w:ascii="Times New Roman" w:hAnsi="Times New Roman" w:cs="Times New Roman"/>
          <w:caps w:val="0"/>
          <w:color w:val="auto"/>
          <w:kern w:val="2"/>
          <w:sz w:val="24"/>
          <w:szCs w:val="24"/>
          <w:highlight w:val="none"/>
        </w:rPr>
      </w:pPr>
    </w:p>
    <w:p w14:paraId="166371BC">
      <w:pPr>
        <w:keepNext w:val="0"/>
        <w:keepLines w:val="0"/>
        <w:pageBreakBefore w:val="0"/>
        <w:widowControl w:val="0"/>
        <w:spacing w:line="360" w:lineRule="auto"/>
        <w:ind w:right="180" w:firstLine="360"/>
        <w:jc w:val="right"/>
        <w:rPr>
          <w:rFonts w:hint="eastAsia" w:ascii="Times New Roman" w:hAnsi="Times New Roman" w:cs="Times New Roman"/>
          <w:caps w:val="0"/>
          <w:color w:val="auto"/>
          <w:kern w:val="2"/>
          <w:sz w:val="24"/>
          <w:szCs w:val="24"/>
          <w:highlight w:val="none"/>
        </w:rPr>
      </w:pPr>
      <w:r>
        <w:rPr>
          <w:rFonts w:hint="eastAsia" w:ascii="Times New Roman" w:hAnsi="Times New Roman" w:cs="Times New Roman"/>
          <w:caps w:val="0"/>
          <w:color w:val="auto"/>
          <w:kern w:val="2"/>
          <w:sz w:val="24"/>
          <w:szCs w:val="24"/>
          <w:highlight w:val="none"/>
        </w:rPr>
        <w:t>企业名称</w:t>
      </w:r>
      <w:r>
        <w:rPr>
          <w:rFonts w:hint="eastAsia" w:ascii="Times New Roman" w:hAnsi="Times New Roman" w:cs="Times New Roman"/>
          <w:caps w:val="0"/>
          <w:color w:val="auto"/>
          <w:kern w:val="2"/>
          <w:sz w:val="24"/>
          <w:szCs w:val="24"/>
          <w:highlight w:val="none"/>
          <w:lang w:eastAsia="zh-CN"/>
        </w:rPr>
        <w:t>：</w:t>
      </w:r>
      <w:r>
        <w:rPr>
          <w:rFonts w:hint="eastAsia" w:ascii="Times New Roman" w:hAnsi="Times New Roman" w:cs="Times New Roman"/>
          <w:caps w:val="0"/>
          <w:color w:val="auto"/>
          <w:kern w:val="2"/>
          <w:sz w:val="24"/>
          <w:szCs w:val="24"/>
          <w:highlight w:val="none"/>
        </w:rPr>
        <w:t>（加盖CA电子公章）</w:t>
      </w:r>
    </w:p>
    <w:p w14:paraId="37BA7AF9">
      <w:pPr>
        <w:keepNext w:val="0"/>
        <w:keepLines w:val="0"/>
        <w:pageBreakBefore w:val="0"/>
        <w:widowControl w:val="0"/>
        <w:spacing w:line="360" w:lineRule="auto"/>
        <w:ind w:firstLine="5760"/>
        <w:rPr>
          <w:rFonts w:hint="eastAsia" w:ascii="Times New Roman" w:hAnsi="Times New Roman" w:cs="Times New Roman"/>
          <w:caps w:val="0"/>
          <w:color w:val="auto"/>
          <w:kern w:val="2"/>
          <w:sz w:val="24"/>
          <w:szCs w:val="24"/>
          <w:highlight w:val="none"/>
        </w:rPr>
      </w:pPr>
      <w:r>
        <w:rPr>
          <w:rFonts w:hint="eastAsia" w:ascii="Times New Roman" w:hAnsi="Times New Roman" w:cs="Times New Roman"/>
          <w:caps w:val="0"/>
          <w:color w:val="auto"/>
          <w:kern w:val="2"/>
          <w:sz w:val="24"/>
          <w:szCs w:val="24"/>
          <w:highlight w:val="none"/>
        </w:rPr>
        <w:t>日  期：</w:t>
      </w:r>
      <w:r>
        <w:rPr>
          <w:rFonts w:hint="eastAsia" w:ascii="Times New Roman" w:hAnsi="Times New Roman" w:eastAsia="宋体" w:cs="Times New Roman"/>
          <w:caps w:val="0"/>
          <w:color w:val="auto"/>
          <w:kern w:val="2"/>
          <w:sz w:val="24"/>
          <w:szCs w:val="24"/>
          <w:highlight w:val="none"/>
          <w:u w:val="single"/>
        </w:rPr>
        <w:t xml:space="preserve">       </w:t>
      </w:r>
      <w:r>
        <w:rPr>
          <w:rFonts w:hint="eastAsia" w:ascii="Times New Roman" w:hAnsi="Times New Roman" w:cs="Times New Roman"/>
          <w:caps w:val="0"/>
          <w:color w:val="auto"/>
          <w:kern w:val="2"/>
          <w:sz w:val="24"/>
          <w:szCs w:val="24"/>
          <w:highlight w:val="none"/>
        </w:rPr>
        <w:t>年___月___日</w:t>
      </w:r>
    </w:p>
    <w:p w14:paraId="5A8DFC7D">
      <w:pPr>
        <w:widowControl w:val="0"/>
        <w:bidi w:val="0"/>
        <w:spacing w:line="560" w:lineRule="exact"/>
        <w:ind w:firstLine="360" w:firstLineChars="200"/>
        <w:jc w:val="both"/>
        <w:rPr>
          <w:rStyle w:val="32"/>
          <w:rFonts w:ascii="Times New Roman" w:hAnsi="Times New Roman" w:eastAsia="宋体" w:cs="Times New Roman"/>
          <w:caps w:val="0"/>
          <w:color w:val="auto"/>
          <w:kern w:val="2"/>
          <w:sz w:val="18"/>
          <w:szCs w:val="18"/>
          <w:highlight w:val="none"/>
          <w:lang w:val="en-US" w:eastAsia="zh-CN" w:bidi="ar-SA"/>
        </w:rPr>
      </w:pPr>
      <w:r>
        <w:rPr>
          <w:rStyle w:val="32"/>
          <w:rFonts w:hint="eastAsia" w:ascii="Times New Roman" w:hAnsi="Times New Roman" w:eastAsia="宋体" w:cs="Times New Roman"/>
          <w:caps w:val="0"/>
          <w:color w:val="auto"/>
          <w:kern w:val="2"/>
          <w:sz w:val="18"/>
          <w:szCs w:val="18"/>
          <w:highlight w:val="none"/>
          <w:vertAlign w:val="superscript"/>
          <w:lang w:val="en-US" w:eastAsia="zh-CN" w:bidi="ar-SA"/>
        </w:rPr>
        <w:t>1</w:t>
      </w:r>
      <w:r>
        <w:rPr>
          <w:rStyle w:val="32"/>
          <w:rFonts w:hint="eastAsia" w:ascii="Times New Roman" w:hAnsi="Times New Roman" w:eastAsia="宋体" w:cs="Times New Roman"/>
          <w:caps w:val="0"/>
          <w:color w:val="auto"/>
          <w:kern w:val="2"/>
          <w:sz w:val="18"/>
          <w:szCs w:val="18"/>
          <w:highlight w:val="none"/>
          <w:lang w:val="en-US" w:eastAsia="zh-CN" w:bidi="ar-SA"/>
        </w:rPr>
        <w:t>从业人员、营业收入、资产总额填报上一年数据，无上一年数据的新成立企业可不填报。</w:t>
      </w:r>
    </w:p>
    <w:p w14:paraId="10C8EFF9">
      <w:pPr>
        <w:spacing w:line="460" w:lineRule="exact"/>
        <w:jc w:val="both"/>
        <w:rPr>
          <w:rFonts w:hint="eastAsia" w:ascii="Times New Roman" w:hAnsi="Times New Roman" w:eastAsia="黑体" w:cs="Times New Roman"/>
          <w:i w:val="0"/>
          <w:iCs/>
          <w:caps w:val="0"/>
          <w:color w:val="auto"/>
          <w:kern w:val="2"/>
          <w:sz w:val="32"/>
          <w:szCs w:val="32"/>
          <w:highlight w:val="none"/>
          <w:u w:val="none"/>
          <w:lang w:val="en-US" w:eastAsia="zh-CN"/>
        </w:rPr>
      </w:pPr>
      <w:r>
        <w:rPr>
          <w:rFonts w:hint="default" w:ascii="Times New Roman" w:hAnsi="Times New Roman" w:eastAsia="黑体" w:cs="Times New Roman"/>
          <w:b/>
          <w:caps w:val="0"/>
          <w:color w:val="auto"/>
          <w:kern w:val="2"/>
          <w:sz w:val="32"/>
          <w:szCs w:val="32"/>
          <w:highlight w:val="none"/>
        </w:rPr>
        <w:br w:type="page" w:clear="all"/>
      </w:r>
    </w:p>
    <w:p w14:paraId="15FA24CD">
      <w:pPr>
        <w:widowControl w:val="0"/>
        <w:bidi w:val="0"/>
        <w:spacing w:before="151" w:beforeLines="0" w:after="151" w:afterLines="0" w:line="600" w:lineRule="exact"/>
        <w:jc w:val="center"/>
        <w:rPr>
          <w:rStyle w:val="32"/>
          <w:rFonts w:ascii="Times New Roman" w:hAnsi="Times New Roman" w:eastAsia="宋体" w:cs="Times New Roman"/>
          <w:b/>
          <w:bCs/>
          <w:caps w:val="0"/>
          <w:color w:val="auto"/>
          <w:kern w:val="2"/>
          <w:sz w:val="32"/>
          <w:szCs w:val="32"/>
          <w:highlight w:val="none"/>
          <w:lang w:val="en-US" w:eastAsia="zh-CN" w:bidi="ar-SA"/>
        </w:rPr>
      </w:pPr>
      <w:r>
        <w:rPr>
          <w:rStyle w:val="32"/>
          <w:rFonts w:hint="eastAsia" w:ascii="Times New Roman" w:hAnsi="Times New Roman" w:eastAsia="宋体" w:cs="Times New Roman"/>
          <w:b/>
          <w:bCs/>
          <w:caps w:val="0"/>
          <w:color w:val="auto"/>
          <w:kern w:val="2"/>
          <w:sz w:val="32"/>
          <w:szCs w:val="32"/>
          <w:highlight w:val="none"/>
          <w:lang w:val="en-US" w:eastAsia="zh-CN" w:bidi="ar-SA"/>
        </w:rPr>
        <w:t>残疾人福利性单位声明函</w:t>
      </w:r>
    </w:p>
    <w:p w14:paraId="3E98F603">
      <w:pPr>
        <w:widowControl w:val="0"/>
        <w:bidi w:val="0"/>
        <w:spacing w:line="588" w:lineRule="exact"/>
        <w:jc w:val="both"/>
        <w:rPr>
          <w:rStyle w:val="32"/>
          <w:rFonts w:ascii="Times New Roman" w:hAnsi="Times New Roman" w:eastAsia="仿宋_GB2312" w:cs="Times New Roman"/>
          <w:b/>
          <w:caps w:val="0"/>
          <w:color w:val="auto"/>
          <w:spacing w:val="6"/>
          <w:kern w:val="2"/>
          <w:sz w:val="30"/>
          <w:szCs w:val="30"/>
          <w:highlight w:val="none"/>
          <w:lang w:val="en-US" w:eastAsia="zh-CN" w:bidi="ar-SA"/>
        </w:rPr>
      </w:pPr>
    </w:p>
    <w:p w14:paraId="65364327">
      <w:pPr>
        <w:keepNext w:val="0"/>
        <w:keepLines w:val="0"/>
        <w:pageBreakBefore w:val="0"/>
        <w:widowControl w:val="0"/>
        <w:spacing w:line="360" w:lineRule="auto"/>
        <w:ind w:firstLine="480"/>
        <w:rPr>
          <w:rFonts w:hint="eastAsia" w:ascii="Times New Roman" w:hAnsi="Times New Roman" w:eastAsia="宋体" w:cs="Times New Roman"/>
          <w:caps w:val="0"/>
          <w:color w:val="auto"/>
          <w:kern w:val="2"/>
          <w:sz w:val="24"/>
          <w:szCs w:val="21"/>
          <w:highlight w:val="none"/>
          <w:lang w:val="en-US" w:eastAsia="zh-CN"/>
        </w:rPr>
      </w:pPr>
      <w:r>
        <w:rPr>
          <w:rFonts w:hint="eastAsia" w:ascii="Times New Roman" w:hAnsi="Times New Roman" w:eastAsia="宋体" w:cs="Times New Roman"/>
          <w:caps w:val="0"/>
          <w:color w:val="auto"/>
          <w:kern w:val="2"/>
          <w:sz w:val="24"/>
          <w:szCs w:val="21"/>
          <w:highlight w:val="none"/>
          <w:lang w:val="en-US" w:eastAsia="zh-CN"/>
        </w:rPr>
        <w:t>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auto"/>
          <w:kern w:val="2"/>
          <w:sz w:val="24"/>
          <w:szCs w:val="21"/>
          <w:highlight w:val="none"/>
          <w:u w:val="single"/>
          <w:lang w:val="en-US" w:eastAsia="zh-CN"/>
        </w:rPr>
        <w:t xml:space="preserve">          </w:t>
      </w:r>
      <w:r>
        <w:rPr>
          <w:rFonts w:hint="eastAsia" w:ascii="Times New Roman" w:hAnsi="Times New Roman" w:eastAsia="宋体" w:cs="Times New Roman"/>
          <w:caps w:val="0"/>
          <w:color w:val="auto"/>
          <w:kern w:val="2"/>
          <w:sz w:val="24"/>
          <w:szCs w:val="21"/>
          <w:highlight w:val="none"/>
          <w:lang w:val="en-US" w:eastAsia="zh-CN"/>
        </w:rPr>
        <w:t>的</w:t>
      </w:r>
      <w:r>
        <w:rPr>
          <w:rFonts w:hint="eastAsia" w:ascii="Times New Roman" w:hAnsi="Times New Roman" w:eastAsia="宋体" w:cs="Times New Roman"/>
          <w:caps w:val="0"/>
          <w:color w:val="auto"/>
          <w:kern w:val="2"/>
          <w:sz w:val="24"/>
          <w:szCs w:val="21"/>
          <w:highlight w:val="none"/>
          <w:u w:val="single"/>
          <w:lang w:val="en-US" w:eastAsia="zh-CN"/>
        </w:rPr>
        <w:t xml:space="preserve">                  </w:t>
      </w:r>
      <w:r>
        <w:rPr>
          <w:rFonts w:hint="eastAsia" w:ascii="Times New Roman" w:hAnsi="Times New Roman" w:eastAsia="宋体" w:cs="Times New Roman"/>
          <w:caps w:val="0"/>
          <w:color w:val="auto"/>
          <w:kern w:val="2"/>
          <w:sz w:val="24"/>
          <w:szCs w:val="21"/>
          <w:highlight w:val="none"/>
          <w:lang w:val="en-US" w:eastAsia="zh-CN"/>
        </w:rPr>
        <w:t>项目采购活动提供本单位制造的货物（由本单位承担工程/提供服务），或者提供其他残疾人福利性单位制造的货物（不包括使用非残疾人福利性单位注册商标的货物）。</w:t>
      </w:r>
    </w:p>
    <w:p w14:paraId="75A3DD09">
      <w:pPr>
        <w:keepNext w:val="0"/>
        <w:keepLines w:val="0"/>
        <w:pageBreakBefore w:val="0"/>
        <w:widowControl w:val="0"/>
        <w:spacing w:line="360" w:lineRule="auto"/>
        <w:ind w:firstLine="480"/>
        <w:rPr>
          <w:rFonts w:hint="eastAsia" w:ascii="Times New Roman" w:hAnsi="Times New Roman" w:eastAsia="宋体" w:cs="Times New Roman"/>
          <w:caps w:val="0"/>
          <w:color w:val="auto"/>
          <w:kern w:val="2"/>
          <w:sz w:val="24"/>
          <w:szCs w:val="21"/>
          <w:highlight w:val="none"/>
        </w:rPr>
      </w:pPr>
      <w:r>
        <w:rPr>
          <w:rFonts w:hint="eastAsia" w:ascii="Times New Roman" w:hAnsi="Times New Roman" w:eastAsia="宋体" w:cs="Times New Roman"/>
          <w:caps w:val="0"/>
          <w:color w:val="auto"/>
          <w:kern w:val="2"/>
          <w:sz w:val="24"/>
          <w:szCs w:val="21"/>
          <w:highlight w:val="none"/>
        </w:rPr>
        <w:t>本单位对上述声明的真实性负责。如有虚假，将依法承担相应责任。</w:t>
      </w:r>
    </w:p>
    <w:p w14:paraId="7609C6B1">
      <w:pPr>
        <w:keepNext w:val="0"/>
        <w:keepLines w:val="0"/>
        <w:pageBreakBefore w:val="0"/>
        <w:widowControl w:val="0"/>
        <w:spacing w:line="360" w:lineRule="auto"/>
        <w:ind w:firstLine="480"/>
        <w:rPr>
          <w:rFonts w:hint="eastAsia" w:ascii="Times New Roman" w:hAnsi="Times New Roman" w:cs="Times New Roman"/>
          <w:caps w:val="0"/>
          <w:color w:val="auto"/>
          <w:kern w:val="2"/>
          <w:sz w:val="24"/>
          <w:szCs w:val="21"/>
          <w:highlight w:val="none"/>
        </w:rPr>
      </w:pPr>
    </w:p>
    <w:p w14:paraId="09862FDA">
      <w:pPr>
        <w:keepNext w:val="0"/>
        <w:keepLines w:val="0"/>
        <w:pageBreakBefore w:val="0"/>
        <w:widowControl w:val="0"/>
        <w:spacing w:line="360" w:lineRule="auto"/>
        <w:ind w:firstLine="480"/>
        <w:rPr>
          <w:rFonts w:hint="default" w:ascii="Times New Roman" w:hAnsi="Times New Roman" w:cs="Times New Roman"/>
          <w:caps w:val="0"/>
          <w:color w:val="auto"/>
          <w:kern w:val="2"/>
          <w:sz w:val="24"/>
          <w:szCs w:val="21"/>
          <w:highlight w:val="none"/>
        </w:rPr>
      </w:pPr>
      <w:r>
        <w:rPr>
          <w:rFonts w:hint="eastAsia" w:ascii="Times New Roman" w:hAnsi="Times New Roman" w:cs="Times New Roman"/>
          <w:caps w:val="0"/>
          <w:color w:val="auto"/>
          <w:kern w:val="2"/>
          <w:sz w:val="24"/>
          <w:szCs w:val="21"/>
          <w:highlight w:val="none"/>
        </w:rPr>
        <w:t>（备注：1、</w:t>
      </w:r>
      <w:r>
        <w:rPr>
          <w:rFonts w:hint="eastAsia" w:ascii="Times New Roman" w:hAnsi="Times New Roman" w:cs="Times New Roman"/>
          <w:caps w:val="0"/>
          <w:color w:val="auto"/>
          <w:kern w:val="2"/>
          <w:sz w:val="24"/>
          <w:szCs w:val="21"/>
          <w:highlight w:val="none"/>
          <w:lang w:eastAsia="zh-CN"/>
        </w:rPr>
        <w:t>投标人</w:t>
      </w:r>
      <w:r>
        <w:rPr>
          <w:rFonts w:hint="eastAsia" w:ascii="Times New Roman" w:hAnsi="Times New Roman" w:cs="Times New Roman"/>
          <w:caps w:val="0"/>
          <w:color w:val="auto"/>
          <w:kern w:val="2"/>
          <w:sz w:val="24"/>
          <w:szCs w:val="21"/>
          <w:highlight w:val="none"/>
        </w:rPr>
        <w:t>如不提供此声明函，价格将不做相应扣除。2、中标人为残疾人福利单位的，此声明函将随中标结果同时公告，接受社会监督</w:t>
      </w:r>
      <w:r>
        <w:rPr>
          <w:rFonts w:hint="eastAsia" w:ascii="Times New Roman" w:hAnsi="Times New Roman" w:cs="Times New Roman"/>
          <w:caps w:val="0"/>
          <w:color w:val="auto"/>
          <w:kern w:val="2"/>
          <w:sz w:val="24"/>
          <w:szCs w:val="21"/>
          <w:highlight w:val="none"/>
          <w:lang w:eastAsia="zh-CN"/>
        </w:rPr>
        <w:t>。</w:t>
      </w:r>
      <w:r>
        <w:rPr>
          <w:rFonts w:hint="eastAsia" w:ascii="Times New Roman" w:hAnsi="Times New Roman" w:cs="Times New Roman"/>
          <w:caps w:val="0"/>
          <w:color w:val="auto"/>
          <w:kern w:val="2"/>
          <w:sz w:val="24"/>
          <w:szCs w:val="21"/>
          <w:highlight w:val="none"/>
        </w:rPr>
        <w:t>）</w:t>
      </w:r>
    </w:p>
    <w:p w14:paraId="2EB06494">
      <w:pPr>
        <w:keepNext w:val="0"/>
        <w:keepLines w:val="0"/>
        <w:pageBreakBefore w:val="0"/>
        <w:widowControl w:val="0"/>
        <w:spacing w:line="360" w:lineRule="auto"/>
        <w:ind w:firstLine="624"/>
        <w:rPr>
          <w:rFonts w:hint="default" w:ascii="Times New Roman" w:hAnsi="Times New Roman" w:eastAsia="仿宋_GB2312" w:cs="Times New Roman"/>
          <w:caps w:val="0"/>
          <w:color w:val="auto"/>
          <w:spacing w:val="6"/>
          <w:kern w:val="2"/>
          <w:sz w:val="30"/>
          <w:szCs w:val="30"/>
          <w:highlight w:val="none"/>
        </w:rPr>
      </w:pPr>
    </w:p>
    <w:p w14:paraId="6BD89363">
      <w:pPr>
        <w:keepNext w:val="0"/>
        <w:keepLines w:val="0"/>
        <w:pageBreakBefore w:val="0"/>
        <w:widowControl w:val="0"/>
        <w:spacing w:line="360" w:lineRule="auto"/>
        <w:ind w:left="120"/>
        <w:jc w:val="both"/>
        <w:rPr>
          <w:rFonts w:ascii="Times New Roman" w:hAnsi="Times New Roman" w:eastAsia="宋体" w:cs="宋体"/>
          <w:caps w:val="0"/>
          <w:color w:val="auto"/>
          <w:kern w:val="2"/>
          <w:sz w:val="21"/>
          <w:szCs w:val="21"/>
          <w:highlight w:val="none"/>
          <w:lang w:val="zh-CN" w:eastAsia="zh-CN" w:bidi="zh-CN"/>
        </w:rPr>
      </w:pPr>
    </w:p>
    <w:p w14:paraId="7D2C96BF">
      <w:pPr>
        <w:keepNext w:val="0"/>
        <w:keepLines w:val="0"/>
        <w:pageBreakBefore w:val="0"/>
        <w:widowControl w:val="0"/>
        <w:spacing w:line="360" w:lineRule="auto"/>
        <w:ind w:right="180" w:firstLine="360"/>
        <w:jc w:val="right"/>
        <w:rPr>
          <w:rFonts w:hint="eastAsia" w:ascii="Times New Roman" w:hAnsi="Times New Roman" w:cs="Times New Roman"/>
          <w:caps w:val="0"/>
          <w:color w:val="auto"/>
          <w:kern w:val="2"/>
          <w:sz w:val="24"/>
          <w:szCs w:val="24"/>
          <w:highlight w:val="none"/>
        </w:rPr>
      </w:pPr>
      <w:r>
        <w:rPr>
          <w:rFonts w:hint="eastAsia" w:ascii="Times New Roman" w:hAnsi="Times New Roman" w:cs="Times New Roman"/>
          <w:caps w:val="0"/>
          <w:color w:val="auto"/>
          <w:kern w:val="2"/>
          <w:sz w:val="24"/>
          <w:szCs w:val="24"/>
          <w:highlight w:val="none"/>
        </w:rPr>
        <w:t>企业名称</w:t>
      </w:r>
      <w:r>
        <w:rPr>
          <w:rFonts w:hint="eastAsia" w:ascii="Times New Roman" w:hAnsi="Times New Roman" w:cs="Times New Roman"/>
          <w:caps w:val="0"/>
          <w:color w:val="auto"/>
          <w:kern w:val="2"/>
          <w:sz w:val="24"/>
          <w:szCs w:val="24"/>
          <w:highlight w:val="none"/>
          <w:lang w:eastAsia="zh-CN"/>
        </w:rPr>
        <w:t>：</w:t>
      </w:r>
      <w:r>
        <w:rPr>
          <w:rFonts w:hint="eastAsia" w:ascii="Times New Roman" w:hAnsi="Times New Roman" w:cs="Times New Roman"/>
          <w:caps w:val="0"/>
          <w:color w:val="auto"/>
          <w:kern w:val="2"/>
          <w:sz w:val="24"/>
          <w:szCs w:val="24"/>
          <w:highlight w:val="none"/>
        </w:rPr>
        <w:t>（加盖CA电子公章）</w:t>
      </w:r>
    </w:p>
    <w:p w14:paraId="650A8148">
      <w:pPr>
        <w:keepNext w:val="0"/>
        <w:keepLines w:val="0"/>
        <w:pageBreakBefore w:val="0"/>
        <w:widowControl w:val="0"/>
        <w:spacing w:line="360" w:lineRule="auto"/>
        <w:ind w:firstLine="5760"/>
        <w:rPr>
          <w:rFonts w:hint="eastAsia" w:ascii="Times New Roman" w:hAnsi="Times New Roman" w:cs="Times New Roman"/>
          <w:caps w:val="0"/>
          <w:color w:val="auto"/>
          <w:kern w:val="2"/>
          <w:sz w:val="24"/>
          <w:szCs w:val="24"/>
          <w:highlight w:val="none"/>
        </w:rPr>
      </w:pPr>
      <w:r>
        <w:rPr>
          <w:rFonts w:hint="eastAsia" w:ascii="Times New Roman" w:hAnsi="Times New Roman" w:cs="Times New Roman"/>
          <w:caps w:val="0"/>
          <w:color w:val="auto"/>
          <w:kern w:val="2"/>
          <w:sz w:val="24"/>
          <w:szCs w:val="24"/>
          <w:highlight w:val="none"/>
        </w:rPr>
        <w:t>日  期：</w:t>
      </w:r>
      <w:r>
        <w:rPr>
          <w:rFonts w:hint="eastAsia" w:ascii="Times New Roman" w:hAnsi="Times New Roman" w:eastAsia="宋体" w:cs="Times New Roman"/>
          <w:caps w:val="0"/>
          <w:color w:val="auto"/>
          <w:kern w:val="2"/>
          <w:sz w:val="24"/>
          <w:szCs w:val="24"/>
          <w:highlight w:val="none"/>
          <w:u w:val="single"/>
        </w:rPr>
        <w:t xml:space="preserve">       </w:t>
      </w:r>
      <w:r>
        <w:rPr>
          <w:rFonts w:hint="eastAsia" w:ascii="Times New Roman" w:hAnsi="Times New Roman" w:cs="Times New Roman"/>
          <w:caps w:val="0"/>
          <w:color w:val="auto"/>
          <w:kern w:val="2"/>
          <w:sz w:val="24"/>
          <w:szCs w:val="24"/>
          <w:highlight w:val="none"/>
        </w:rPr>
        <w:t>年___月___日</w:t>
      </w:r>
    </w:p>
    <w:p w14:paraId="10A545E7">
      <w:pPr>
        <w:pStyle w:val="352"/>
        <w:spacing w:line="480" w:lineRule="exact"/>
        <w:ind w:firstLine="442"/>
        <w:rPr>
          <w:rFonts w:hint="eastAsia" w:ascii="宋体" w:hAnsi="宋体" w:eastAsia="宋体" w:cs="宋体"/>
          <w:color w:val="auto"/>
          <w:sz w:val="24"/>
          <w:szCs w:val="24"/>
          <w:highlight w:val="none"/>
        </w:rPr>
      </w:pPr>
    </w:p>
    <w:p w14:paraId="0C0BD344">
      <w:pPr>
        <w:pStyle w:val="352"/>
        <w:spacing w:line="480" w:lineRule="exact"/>
        <w:ind w:firstLine="442"/>
        <w:rPr>
          <w:rFonts w:hint="eastAsia" w:ascii="宋体" w:hAnsi="宋体" w:eastAsia="宋体" w:cs="宋体"/>
          <w:color w:val="auto"/>
          <w:sz w:val="24"/>
          <w:szCs w:val="24"/>
          <w:highlight w:val="none"/>
        </w:rPr>
      </w:pPr>
    </w:p>
    <w:p w14:paraId="02957C9E">
      <w:pPr>
        <w:pStyle w:val="352"/>
        <w:spacing w:line="480" w:lineRule="exact"/>
        <w:ind w:firstLine="442"/>
        <w:rPr>
          <w:rFonts w:hint="eastAsia" w:ascii="宋体" w:hAnsi="宋体" w:eastAsia="宋体" w:cs="宋体"/>
          <w:color w:val="auto"/>
          <w:sz w:val="24"/>
          <w:szCs w:val="24"/>
          <w:highlight w:val="none"/>
        </w:rPr>
      </w:pPr>
    </w:p>
    <w:p w14:paraId="0F594FA9">
      <w:pPr>
        <w:pStyle w:val="370"/>
        <w:spacing w:after="160" w:line="278" w:lineRule="auto"/>
        <w:outlineLvl w:val="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br w:type="page" w:clear="all"/>
      </w:r>
      <w:r>
        <w:rPr>
          <w:rFonts w:hint="eastAsia" w:ascii="宋体" w:hAnsi="宋体" w:eastAsia="宋体" w:cs="宋体"/>
          <w:bCs/>
          <w:color w:val="auto"/>
          <w:szCs w:val="32"/>
          <w:highlight w:val="none"/>
        </w:rPr>
        <w:t>六、技术响应偏离表</w:t>
      </w:r>
    </w:p>
    <w:p w14:paraId="00847E8A">
      <w:pPr>
        <w:pStyle w:val="357"/>
        <w:jc w:val="center"/>
        <w:rPr>
          <w:rFonts w:hint="eastAsia" w:ascii="宋体" w:hAnsi="宋体" w:eastAsia="宋体" w:cs="宋体"/>
          <w:b/>
          <w:bCs/>
          <w:color w:val="auto"/>
          <w:sz w:val="24"/>
          <w:szCs w:val="28"/>
          <w:highlight w:val="none"/>
        </w:rPr>
      </w:pPr>
    </w:p>
    <w:tbl>
      <w:tblPr>
        <w:tblStyle w:val="30"/>
        <w:tblW w:w="90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53"/>
        <w:gridCol w:w="2606"/>
        <w:gridCol w:w="3393"/>
      </w:tblGrid>
      <w:tr w14:paraId="35136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624488E5">
            <w:pPr>
              <w:pStyle w:val="357"/>
              <w:widowControl/>
              <w:spacing w:before="100"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招标文件内容</w:t>
            </w: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39329CD4">
            <w:pPr>
              <w:pStyle w:val="357"/>
              <w:widowControl/>
              <w:spacing w:before="100"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投标文件内容</w:t>
            </w: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51FF4621">
            <w:pPr>
              <w:pStyle w:val="357"/>
              <w:widowControl/>
              <w:spacing w:before="100" w:beforeAutospacing="1" w:line="32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偏离内容及说明</w:t>
            </w:r>
          </w:p>
          <w:p w14:paraId="640321AA">
            <w:pPr>
              <w:pStyle w:val="357"/>
              <w:widowControl/>
              <w:spacing w:before="100" w:beforeAutospacing="1" w:line="320" w:lineRule="exact"/>
              <w:jc w:val="center"/>
              <w:rPr>
                <w:rFonts w:hint="eastAsia" w:ascii="宋体" w:hAnsi="宋体" w:eastAsia="宋体" w:cs="宋体"/>
                <w:color w:val="auto"/>
                <w:sz w:val="28"/>
                <w:szCs w:val="28"/>
                <w:highlight w:val="none"/>
              </w:rPr>
            </w:pPr>
            <w:r>
              <w:rPr>
                <w:rFonts w:hint="eastAsia" w:ascii="宋体" w:hAnsi="宋体" w:eastAsia="宋体" w:cs="宋体"/>
                <w:b/>
                <w:color w:val="auto"/>
                <w:sz w:val="24"/>
                <w:szCs w:val="24"/>
                <w:highlight w:val="none"/>
              </w:rPr>
              <w:t>（正偏离、负偏离、无偏离）</w:t>
            </w:r>
          </w:p>
        </w:tc>
      </w:tr>
      <w:tr w14:paraId="3D492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6C59A2D4">
            <w:pPr>
              <w:pStyle w:val="357"/>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5CF10105">
            <w:pPr>
              <w:pStyle w:val="357"/>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28B3457E">
            <w:pPr>
              <w:pStyle w:val="357"/>
              <w:spacing w:line="560" w:lineRule="exact"/>
              <w:jc w:val="center"/>
              <w:rPr>
                <w:rFonts w:hint="eastAsia" w:ascii="宋体" w:hAnsi="宋体" w:eastAsia="宋体" w:cs="宋体"/>
                <w:color w:val="auto"/>
                <w:sz w:val="24"/>
                <w:highlight w:val="none"/>
              </w:rPr>
            </w:pPr>
          </w:p>
        </w:tc>
      </w:tr>
      <w:tr w14:paraId="37757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6050187F">
            <w:pPr>
              <w:pStyle w:val="357"/>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7949FEA4">
            <w:pPr>
              <w:pStyle w:val="357"/>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43895EB7">
            <w:pPr>
              <w:pStyle w:val="357"/>
              <w:spacing w:line="560" w:lineRule="exact"/>
              <w:jc w:val="center"/>
              <w:rPr>
                <w:rFonts w:hint="eastAsia" w:ascii="宋体" w:hAnsi="宋体" w:eastAsia="宋体" w:cs="宋体"/>
                <w:color w:val="auto"/>
                <w:sz w:val="24"/>
                <w:highlight w:val="none"/>
              </w:rPr>
            </w:pPr>
          </w:p>
        </w:tc>
      </w:tr>
      <w:tr w14:paraId="57A04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7D7065B1">
            <w:pPr>
              <w:pStyle w:val="357"/>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29944871">
            <w:pPr>
              <w:pStyle w:val="357"/>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311D3505">
            <w:pPr>
              <w:pStyle w:val="357"/>
              <w:spacing w:line="560" w:lineRule="exact"/>
              <w:jc w:val="center"/>
              <w:rPr>
                <w:rFonts w:hint="eastAsia" w:ascii="宋体" w:hAnsi="宋体" w:eastAsia="宋体" w:cs="宋体"/>
                <w:color w:val="auto"/>
                <w:sz w:val="24"/>
                <w:highlight w:val="none"/>
              </w:rPr>
            </w:pPr>
          </w:p>
        </w:tc>
      </w:tr>
      <w:tr w14:paraId="6333E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4534793E">
            <w:pPr>
              <w:pStyle w:val="357"/>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728487B4">
            <w:pPr>
              <w:pStyle w:val="357"/>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58E93EA1">
            <w:pPr>
              <w:pStyle w:val="357"/>
              <w:spacing w:line="560" w:lineRule="exact"/>
              <w:jc w:val="center"/>
              <w:rPr>
                <w:rFonts w:hint="eastAsia" w:ascii="宋体" w:hAnsi="宋体" w:eastAsia="宋体" w:cs="宋体"/>
                <w:color w:val="auto"/>
                <w:sz w:val="24"/>
                <w:highlight w:val="none"/>
              </w:rPr>
            </w:pPr>
          </w:p>
        </w:tc>
      </w:tr>
      <w:tr w14:paraId="37A9E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2D50E109">
            <w:pPr>
              <w:pStyle w:val="357"/>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0EA6FB0E">
            <w:pPr>
              <w:pStyle w:val="357"/>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7D6D53D7">
            <w:pPr>
              <w:pStyle w:val="357"/>
              <w:spacing w:line="560" w:lineRule="exact"/>
              <w:jc w:val="center"/>
              <w:rPr>
                <w:rFonts w:hint="eastAsia" w:ascii="宋体" w:hAnsi="宋体" w:eastAsia="宋体" w:cs="宋体"/>
                <w:color w:val="auto"/>
                <w:sz w:val="24"/>
                <w:highlight w:val="none"/>
              </w:rPr>
            </w:pPr>
          </w:p>
        </w:tc>
      </w:tr>
      <w:tr w14:paraId="5D784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252F287A">
            <w:pPr>
              <w:pStyle w:val="357"/>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22B958E7">
            <w:pPr>
              <w:pStyle w:val="357"/>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7377576A">
            <w:pPr>
              <w:pStyle w:val="357"/>
              <w:spacing w:line="560" w:lineRule="exact"/>
              <w:jc w:val="center"/>
              <w:rPr>
                <w:rFonts w:hint="eastAsia" w:ascii="宋体" w:hAnsi="宋体" w:eastAsia="宋体" w:cs="宋体"/>
                <w:color w:val="auto"/>
                <w:sz w:val="24"/>
                <w:highlight w:val="none"/>
              </w:rPr>
            </w:pPr>
          </w:p>
        </w:tc>
      </w:tr>
      <w:tr w14:paraId="3F12F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794C176E">
            <w:pPr>
              <w:pStyle w:val="357"/>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4895DDB5">
            <w:pPr>
              <w:pStyle w:val="357"/>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472EED44">
            <w:pPr>
              <w:pStyle w:val="357"/>
              <w:spacing w:line="560" w:lineRule="exact"/>
              <w:jc w:val="center"/>
              <w:rPr>
                <w:rFonts w:hint="eastAsia" w:ascii="宋体" w:hAnsi="宋体" w:eastAsia="宋体" w:cs="宋体"/>
                <w:color w:val="auto"/>
                <w:sz w:val="24"/>
                <w:highlight w:val="none"/>
              </w:rPr>
            </w:pPr>
          </w:p>
        </w:tc>
      </w:tr>
      <w:tr w14:paraId="599B5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7C6A7F1F">
            <w:pPr>
              <w:pStyle w:val="357"/>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454F295E">
            <w:pPr>
              <w:pStyle w:val="357"/>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19CE9665">
            <w:pPr>
              <w:pStyle w:val="357"/>
              <w:spacing w:line="560" w:lineRule="exact"/>
              <w:jc w:val="center"/>
              <w:rPr>
                <w:rFonts w:hint="eastAsia" w:ascii="宋体" w:hAnsi="宋体" w:eastAsia="宋体" w:cs="宋体"/>
                <w:color w:val="auto"/>
                <w:sz w:val="24"/>
                <w:highlight w:val="none"/>
              </w:rPr>
            </w:pPr>
          </w:p>
        </w:tc>
      </w:tr>
      <w:tr w14:paraId="28175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4890747D">
            <w:pPr>
              <w:pStyle w:val="357"/>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2B173FA0">
            <w:pPr>
              <w:pStyle w:val="357"/>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231B7AD7">
            <w:pPr>
              <w:pStyle w:val="357"/>
              <w:spacing w:line="560" w:lineRule="exact"/>
              <w:jc w:val="center"/>
              <w:rPr>
                <w:rFonts w:hint="eastAsia" w:ascii="宋体" w:hAnsi="宋体" w:eastAsia="宋体" w:cs="宋体"/>
                <w:color w:val="auto"/>
                <w:sz w:val="24"/>
                <w:highlight w:val="none"/>
              </w:rPr>
            </w:pPr>
          </w:p>
        </w:tc>
      </w:tr>
      <w:tr w14:paraId="543CD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3" w:type="dxa"/>
            <w:tcBorders>
              <w:top w:val="single" w:color="000000" w:sz="4" w:space="0"/>
              <w:left w:val="single" w:color="000000" w:sz="4" w:space="0"/>
              <w:bottom w:val="single" w:color="000000" w:sz="4" w:space="0"/>
              <w:right w:val="single" w:color="000000" w:sz="4" w:space="0"/>
            </w:tcBorders>
            <w:noWrap w:val="0"/>
            <w:vAlign w:val="center"/>
          </w:tcPr>
          <w:p w14:paraId="5F2FE073">
            <w:pPr>
              <w:pStyle w:val="357"/>
              <w:spacing w:line="560" w:lineRule="exact"/>
              <w:jc w:val="center"/>
              <w:rPr>
                <w:rFonts w:hint="eastAsia" w:ascii="宋体" w:hAnsi="宋体" w:eastAsia="宋体" w:cs="宋体"/>
                <w:color w:val="auto"/>
                <w:sz w:val="24"/>
                <w:highlight w:val="none"/>
              </w:rPr>
            </w:pPr>
          </w:p>
        </w:tc>
        <w:tc>
          <w:tcPr>
            <w:tcW w:w="2606" w:type="dxa"/>
            <w:tcBorders>
              <w:top w:val="single" w:color="000000" w:sz="4" w:space="0"/>
              <w:left w:val="single" w:color="000000" w:sz="4" w:space="0"/>
              <w:bottom w:val="single" w:color="000000" w:sz="4" w:space="0"/>
              <w:right w:val="single" w:color="000000" w:sz="4" w:space="0"/>
            </w:tcBorders>
            <w:noWrap w:val="0"/>
            <w:vAlign w:val="center"/>
          </w:tcPr>
          <w:p w14:paraId="7D11ECF6">
            <w:pPr>
              <w:pStyle w:val="357"/>
              <w:spacing w:line="560" w:lineRule="exact"/>
              <w:jc w:val="center"/>
              <w:rPr>
                <w:rFonts w:hint="eastAsia" w:ascii="宋体" w:hAnsi="宋体" w:eastAsia="宋体" w:cs="宋体"/>
                <w:color w:val="auto"/>
                <w:sz w:val="24"/>
                <w:highlight w:val="none"/>
              </w:rPr>
            </w:pPr>
          </w:p>
        </w:tc>
        <w:tc>
          <w:tcPr>
            <w:tcW w:w="3393" w:type="dxa"/>
            <w:tcBorders>
              <w:top w:val="single" w:color="000000" w:sz="4" w:space="0"/>
              <w:left w:val="single" w:color="000000" w:sz="4" w:space="0"/>
              <w:bottom w:val="single" w:color="000000" w:sz="4" w:space="0"/>
              <w:right w:val="single" w:color="000000" w:sz="4" w:space="0"/>
            </w:tcBorders>
            <w:noWrap w:val="0"/>
            <w:vAlign w:val="center"/>
          </w:tcPr>
          <w:p w14:paraId="30F8B0C6">
            <w:pPr>
              <w:pStyle w:val="357"/>
              <w:spacing w:line="560" w:lineRule="exact"/>
              <w:jc w:val="center"/>
              <w:rPr>
                <w:rFonts w:hint="eastAsia" w:ascii="宋体" w:hAnsi="宋体" w:eastAsia="宋体" w:cs="宋体"/>
                <w:color w:val="auto"/>
                <w:sz w:val="24"/>
                <w:highlight w:val="none"/>
              </w:rPr>
            </w:pPr>
          </w:p>
        </w:tc>
      </w:tr>
    </w:tbl>
    <w:p w14:paraId="3B5CFD78">
      <w:pPr>
        <w:pStyle w:val="357"/>
        <w:spacing w:line="560" w:lineRule="exact"/>
        <w:jc w:val="right"/>
        <w:rPr>
          <w:rFonts w:hint="eastAsia" w:ascii="宋体" w:hAnsi="宋体" w:eastAsia="宋体" w:cs="宋体"/>
          <w:color w:val="auto"/>
          <w:sz w:val="28"/>
          <w:szCs w:val="28"/>
          <w:highlight w:val="none"/>
          <w:u w:val="single"/>
        </w:rPr>
      </w:pPr>
      <w:r>
        <w:rPr>
          <w:rFonts w:hint="eastAsia" w:ascii="宋体" w:hAnsi="宋体" w:eastAsia="宋体" w:cs="宋体"/>
          <w:color w:val="auto"/>
          <w:sz w:val="24"/>
          <w:highlight w:val="none"/>
        </w:rPr>
        <w:t>单位名称：</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盖CA电子公章</w:t>
      </w:r>
      <w:r>
        <w:rPr>
          <w:rFonts w:hint="eastAsia" w:ascii="宋体" w:hAnsi="宋体" w:eastAsia="宋体" w:cs="宋体"/>
          <w:color w:val="auto"/>
          <w:sz w:val="24"/>
          <w:highlight w:val="none"/>
        </w:rPr>
        <w:t>）</w:t>
      </w:r>
    </w:p>
    <w:p w14:paraId="5F3EAF9C">
      <w:pPr>
        <w:pStyle w:val="358"/>
        <w:rPr>
          <w:rFonts w:hint="eastAsia" w:ascii="宋体" w:hAnsi="宋体" w:eastAsia="宋体" w:cs="宋体"/>
          <w:b/>
          <w:bCs/>
          <w:color w:val="auto"/>
          <w:highlight w:val="none"/>
        </w:rPr>
      </w:pPr>
    </w:p>
    <w:p w14:paraId="2A42C47C">
      <w:pPr>
        <w:pStyle w:val="509"/>
        <w:widowControl w:val="0"/>
        <w:spacing w:before="0" w:beforeAutospacing="0" w:after="0" w:afterAutospacing="0" w:line="400" w:lineRule="exact"/>
        <w:ind w:firstLine="482"/>
        <w:jc w:val="both"/>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备注：1.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宋体" w:hAnsi="宋体" w:eastAsia="宋体" w:cs="宋体"/>
          <w:b/>
          <w:bCs/>
          <w:color w:val="auto"/>
          <w:sz w:val="24"/>
          <w:szCs w:val="22"/>
          <w:highlight w:val="none"/>
          <w:lang w:val="en-US" w:eastAsia="zh-CN" w:bidi="ar-SA"/>
        </w:rPr>
        <w:t>作无效响应处理。</w:t>
      </w:r>
    </w:p>
    <w:p w14:paraId="0CFDAA97">
      <w:pPr>
        <w:pStyle w:val="509"/>
        <w:widowControl w:val="0"/>
        <w:spacing w:before="0" w:beforeAutospacing="0" w:after="0" w:afterAutospacing="0" w:line="400" w:lineRule="exact"/>
        <w:ind w:firstLine="480"/>
        <w:jc w:val="both"/>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2.对采购需求的其它非实质性要求，投标人按所投产品情况在此表中详细列出偏离情况（包括正偏离、负偏离、无偏离）并说明理由；未在响应偏离表中列明偏离情况的对应项按负偏离进行扣分处理。</w:t>
      </w:r>
    </w:p>
    <w:p w14:paraId="5C0D6601">
      <w:pPr>
        <w:pStyle w:val="358"/>
        <w:rPr>
          <w:rFonts w:hint="eastAsia" w:ascii="宋体" w:hAnsi="宋体" w:eastAsia="宋体" w:cs="宋体"/>
          <w:b/>
          <w:bCs/>
          <w:color w:val="auto"/>
          <w:highlight w:val="none"/>
        </w:rPr>
      </w:pPr>
    </w:p>
    <w:p w14:paraId="4B718682">
      <w:pPr>
        <w:rPr>
          <w:rFonts w:hint="eastAsia" w:ascii="宋体" w:hAnsi="宋体" w:eastAsia="宋体" w:cs="宋体"/>
          <w:b/>
          <w:bCs/>
          <w:color w:val="auto"/>
          <w:sz w:val="24"/>
          <w:szCs w:val="28"/>
          <w:highlight w:val="none"/>
        </w:rPr>
      </w:pPr>
    </w:p>
    <w:p w14:paraId="155EA5A3">
      <w:pPr>
        <w:rPr>
          <w:rFonts w:hint="eastAsia" w:ascii="宋体" w:hAnsi="宋体" w:eastAsia="宋体" w:cs="宋体"/>
          <w:b/>
          <w:bCs/>
          <w:color w:val="auto"/>
          <w:sz w:val="24"/>
          <w:szCs w:val="28"/>
          <w:highlight w:val="none"/>
        </w:rPr>
      </w:pPr>
    </w:p>
    <w:p w14:paraId="74584184">
      <w:pPr>
        <w:rPr>
          <w:rFonts w:hint="eastAsia" w:ascii="宋体" w:hAnsi="宋体" w:eastAsia="宋体" w:cs="宋体"/>
          <w:color w:val="auto"/>
          <w:highlight w:val="none"/>
        </w:rPr>
      </w:pPr>
    </w:p>
    <w:p w14:paraId="7DD2D71F">
      <w:pPr>
        <w:pStyle w:val="357"/>
        <w:rPr>
          <w:rFonts w:hint="eastAsia" w:ascii="宋体" w:hAnsi="宋体" w:eastAsia="宋体" w:cs="宋体"/>
          <w:color w:val="auto"/>
          <w:highlight w:val="none"/>
        </w:rPr>
      </w:pPr>
    </w:p>
    <w:p w14:paraId="565E1D87">
      <w:pPr>
        <w:pStyle w:val="370"/>
        <w:ind w:left="210"/>
        <w:outlineLvl w:val="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lang w:val="en-US" w:eastAsia="zh-CN"/>
        </w:rPr>
        <w:t>七</w:t>
      </w:r>
      <w:r>
        <w:rPr>
          <w:rFonts w:hint="eastAsia" w:ascii="宋体" w:hAnsi="宋体" w:eastAsia="宋体" w:cs="宋体"/>
          <w:bCs/>
          <w:color w:val="auto"/>
          <w:szCs w:val="32"/>
          <w:highlight w:val="none"/>
        </w:rPr>
        <w:t>、项目组人员</w:t>
      </w:r>
    </w:p>
    <w:tbl>
      <w:tblPr>
        <w:tblStyle w:val="30"/>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3E564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79E3459">
            <w:pPr>
              <w:pStyle w:val="442"/>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姓名</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7512342">
            <w:pPr>
              <w:pStyle w:val="442"/>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职务</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18C3593">
            <w:pPr>
              <w:pStyle w:val="442"/>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学历</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5656F9F">
            <w:pPr>
              <w:pStyle w:val="442"/>
              <w:widowControl/>
              <w:spacing w:beforeAutospacing="1" w:line="560" w:lineRule="exact"/>
              <w:ind w:firstLine="280"/>
              <w:rPr>
                <w:rFonts w:hint="eastAsia" w:ascii="宋体" w:hAnsi="宋体" w:cs="仿宋"/>
                <w:color w:val="auto"/>
                <w:sz w:val="28"/>
                <w:szCs w:val="28"/>
                <w:highlight w:val="none"/>
              </w:rPr>
            </w:pPr>
            <w:r>
              <w:rPr>
                <w:rFonts w:hint="eastAsia" w:ascii="宋体" w:hAnsi="宋体" w:cs="仿宋"/>
                <w:color w:val="auto"/>
                <w:sz w:val="28"/>
                <w:szCs w:val="28"/>
                <w:highlight w:val="none"/>
              </w:rPr>
              <w:t>身份证号</w:t>
            </w: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5C1447EB">
            <w:pPr>
              <w:pStyle w:val="442"/>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相关证书</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78EF5F5B">
            <w:pPr>
              <w:pStyle w:val="442"/>
              <w:widowControl/>
              <w:spacing w:beforeAutospacing="1"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备注</w:t>
            </w:r>
          </w:p>
        </w:tc>
      </w:tr>
      <w:tr w14:paraId="0C290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EFD4C7C">
            <w:pPr>
              <w:pStyle w:val="442"/>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B1A05ED">
            <w:pPr>
              <w:pStyle w:val="502"/>
              <w:jc w:val="center"/>
              <w:rPr>
                <w:rFonts w:hint="default"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项目负责人</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422658E">
            <w:pPr>
              <w:pStyle w:val="442"/>
              <w:widowControl/>
              <w:spacing w:line="560" w:lineRule="exact"/>
              <w:ind w:firstLine="560"/>
              <w:jc w:val="center"/>
              <w:rPr>
                <w:rFonts w:hint="eastAsia" w:ascii="宋体" w:hAnsi="宋体" w:eastAsia="宋体" w:cs="仿宋"/>
                <w:color w:val="auto"/>
                <w:sz w:val="28"/>
                <w:szCs w:val="28"/>
                <w:highlight w:val="none"/>
                <w:lang w:val="en-US" w:eastAsia="zh-CN" w:bidi="ar-SA"/>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1483A4D">
            <w:pPr>
              <w:pStyle w:val="442"/>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046D4875">
            <w:pPr>
              <w:pStyle w:val="442"/>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50485E6">
            <w:pPr>
              <w:pStyle w:val="442"/>
              <w:widowControl/>
              <w:spacing w:line="560" w:lineRule="exact"/>
              <w:ind w:firstLine="560"/>
              <w:jc w:val="center"/>
              <w:rPr>
                <w:rFonts w:hint="eastAsia" w:ascii="仿宋" w:hAnsi="仿宋" w:eastAsia="仿宋" w:cs="仿宋"/>
                <w:color w:val="auto"/>
                <w:sz w:val="28"/>
                <w:szCs w:val="28"/>
                <w:highlight w:val="none"/>
              </w:rPr>
            </w:pPr>
          </w:p>
        </w:tc>
      </w:tr>
      <w:tr w14:paraId="3FADD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95D2003">
            <w:pPr>
              <w:pStyle w:val="442"/>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4FC35CE">
            <w:pPr>
              <w:pStyle w:val="428"/>
              <w:jc w:val="center"/>
              <w:rPr>
                <w:rFonts w:hint="eastAsia" w:ascii="仿宋" w:hAnsi="仿宋" w:eastAsia="仿宋" w:cs="仿宋"/>
                <w:color w:val="auto"/>
                <w:sz w:val="20"/>
                <w:szCs w:val="20"/>
                <w:highlight w:val="none"/>
              </w:rPr>
            </w:pPr>
            <w:r>
              <w:rPr>
                <w:rFonts w:hint="eastAsia" w:ascii="宋体" w:hAnsi="宋体" w:eastAsia="宋体" w:cs="宋体"/>
                <w:color w:val="auto"/>
                <w:sz w:val="28"/>
                <w:szCs w:val="28"/>
                <w:highlight w:val="none"/>
                <w:lang w:bidi="ar"/>
              </w:rPr>
              <w:t>......</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9C18E9B">
            <w:pPr>
              <w:pStyle w:val="442"/>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69A4C29">
            <w:pPr>
              <w:pStyle w:val="442"/>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8AB5ED2">
            <w:pPr>
              <w:pStyle w:val="442"/>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510523C">
            <w:pPr>
              <w:pStyle w:val="442"/>
              <w:widowControl/>
              <w:spacing w:line="560" w:lineRule="exact"/>
              <w:ind w:firstLine="560"/>
              <w:jc w:val="center"/>
              <w:rPr>
                <w:rFonts w:hint="eastAsia" w:ascii="仿宋" w:hAnsi="仿宋" w:eastAsia="仿宋" w:cs="仿宋"/>
                <w:color w:val="auto"/>
                <w:sz w:val="28"/>
                <w:szCs w:val="28"/>
                <w:highlight w:val="none"/>
              </w:rPr>
            </w:pPr>
          </w:p>
        </w:tc>
      </w:tr>
      <w:tr w14:paraId="1CAE6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97ACF4C">
            <w:pPr>
              <w:pStyle w:val="442"/>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CB431B0">
            <w:pPr>
              <w:pStyle w:val="428"/>
              <w:ind w:firstLine="280" w:firstLineChars="0"/>
              <w:rPr>
                <w:rFonts w:hint="eastAsia" w:ascii="仿宋" w:hAnsi="仿宋" w:eastAsia="仿宋" w:cs="仿宋"/>
                <w:color w:val="auto"/>
                <w:sz w:val="20"/>
                <w:szCs w:val="20"/>
                <w:highlight w:val="none"/>
              </w:rPr>
            </w:pPr>
            <w:r>
              <w:rPr>
                <w:rFonts w:hint="eastAsia" w:ascii="宋体" w:hAnsi="宋体" w:eastAsia="宋体" w:cs="宋体"/>
                <w:color w:val="auto"/>
                <w:sz w:val="28"/>
                <w:szCs w:val="28"/>
                <w:highlight w:val="none"/>
                <w:lang w:bidi="ar"/>
              </w:rPr>
              <w:t>......</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AC5BD1F">
            <w:pPr>
              <w:pStyle w:val="442"/>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946BEC0">
            <w:pPr>
              <w:pStyle w:val="442"/>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5E3E8243">
            <w:pPr>
              <w:pStyle w:val="442"/>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E04BE4F">
            <w:pPr>
              <w:pStyle w:val="442"/>
              <w:widowControl/>
              <w:spacing w:line="560" w:lineRule="exact"/>
              <w:ind w:firstLine="560"/>
              <w:jc w:val="center"/>
              <w:rPr>
                <w:rFonts w:hint="eastAsia" w:ascii="仿宋" w:hAnsi="仿宋" w:eastAsia="仿宋" w:cs="仿宋"/>
                <w:color w:val="auto"/>
                <w:sz w:val="28"/>
                <w:szCs w:val="28"/>
                <w:highlight w:val="none"/>
              </w:rPr>
            </w:pPr>
          </w:p>
        </w:tc>
      </w:tr>
      <w:tr w14:paraId="383AB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402F8CC">
            <w:pPr>
              <w:pStyle w:val="442"/>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91ACD63">
            <w:pPr>
              <w:pStyle w:val="502"/>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B089C94">
            <w:pPr>
              <w:pStyle w:val="442"/>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C0149DE">
            <w:pPr>
              <w:pStyle w:val="442"/>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3FC9186">
            <w:pPr>
              <w:pStyle w:val="442"/>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4B4E58C">
            <w:pPr>
              <w:pStyle w:val="442"/>
              <w:widowControl/>
              <w:spacing w:line="560" w:lineRule="exact"/>
              <w:ind w:firstLine="560"/>
              <w:jc w:val="center"/>
              <w:rPr>
                <w:rFonts w:hint="eastAsia" w:ascii="仿宋" w:hAnsi="仿宋" w:eastAsia="仿宋" w:cs="仿宋"/>
                <w:color w:val="auto"/>
                <w:sz w:val="28"/>
                <w:szCs w:val="28"/>
                <w:highlight w:val="none"/>
              </w:rPr>
            </w:pPr>
          </w:p>
        </w:tc>
      </w:tr>
      <w:tr w14:paraId="7BB28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E9CF218">
            <w:pPr>
              <w:pStyle w:val="442"/>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160F98F">
            <w:pPr>
              <w:pStyle w:val="502"/>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7BF3F3D">
            <w:pPr>
              <w:pStyle w:val="442"/>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4C49B94">
            <w:pPr>
              <w:pStyle w:val="442"/>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158B4B75">
            <w:pPr>
              <w:pStyle w:val="442"/>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EF02059">
            <w:pPr>
              <w:pStyle w:val="442"/>
              <w:widowControl/>
              <w:spacing w:line="560" w:lineRule="exact"/>
              <w:ind w:firstLine="560"/>
              <w:jc w:val="center"/>
              <w:rPr>
                <w:rFonts w:hint="eastAsia" w:ascii="仿宋" w:hAnsi="仿宋" w:eastAsia="仿宋" w:cs="仿宋"/>
                <w:color w:val="auto"/>
                <w:sz w:val="28"/>
                <w:szCs w:val="28"/>
                <w:highlight w:val="none"/>
              </w:rPr>
            </w:pPr>
          </w:p>
        </w:tc>
      </w:tr>
      <w:tr w14:paraId="6FF13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A734806">
            <w:pPr>
              <w:pStyle w:val="442"/>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618B417">
            <w:pPr>
              <w:pStyle w:val="502"/>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9C1C72C">
            <w:pPr>
              <w:pStyle w:val="442"/>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B8E6B0C">
            <w:pPr>
              <w:pStyle w:val="442"/>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1696BC7D">
            <w:pPr>
              <w:pStyle w:val="442"/>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7D886DB7">
            <w:pPr>
              <w:pStyle w:val="442"/>
              <w:widowControl/>
              <w:spacing w:line="560" w:lineRule="exact"/>
              <w:ind w:firstLine="560"/>
              <w:jc w:val="center"/>
              <w:rPr>
                <w:rFonts w:hint="eastAsia" w:ascii="仿宋" w:hAnsi="仿宋" w:eastAsia="仿宋" w:cs="仿宋"/>
                <w:color w:val="auto"/>
                <w:sz w:val="28"/>
                <w:szCs w:val="28"/>
                <w:highlight w:val="none"/>
              </w:rPr>
            </w:pPr>
          </w:p>
        </w:tc>
      </w:tr>
      <w:tr w14:paraId="368D5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96DE9BE">
            <w:pPr>
              <w:pStyle w:val="442"/>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AB3A11A">
            <w:pPr>
              <w:pStyle w:val="502"/>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B425C2F">
            <w:pPr>
              <w:pStyle w:val="442"/>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B38506F">
            <w:pPr>
              <w:pStyle w:val="442"/>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0176C3F">
            <w:pPr>
              <w:pStyle w:val="442"/>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37E6169">
            <w:pPr>
              <w:pStyle w:val="442"/>
              <w:widowControl/>
              <w:spacing w:line="560" w:lineRule="exact"/>
              <w:ind w:firstLine="560"/>
              <w:jc w:val="center"/>
              <w:rPr>
                <w:rFonts w:hint="eastAsia" w:ascii="仿宋" w:hAnsi="仿宋" w:eastAsia="仿宋" w:cs="仿宋"/>
                <w:color w:val="auto"/>
                <w:sz w:val="28"/>
                <w:szCs w:val="28"/>
                <w:highlight w:val="none"/>
              </w:rPr>
            </w:pPr>
          </w:p>
        </w:tc>
      </w:tr>
      <w:tr w14:paraId="4F1E1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623BFCA">
            <w:pPr>
              <w:pStyle w:val="442"/>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BACD3BC">
            <w:pPr>
              <w:pStyle w:val="502"/>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754E0C0">
            <w:pPr>
              <w:pStyle w:val="442"/>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0ABB1DC">
            <w:pPr>
              <w:pStyle w:val="442"/>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AF83546">
            <w:pPr>
              <w:pStyle w:val="442"/>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B6FD430">
            <w:pPr>
              <w:pStyle w:val="442"/>
              <w:widowControl/>
              <w:spacing w:line="560" w:lineRule="exact"/>
              <w:ind w:firstLine="560"/>
              <w:jc w:val="center"/>
              <w:rPr>
                <w:rFonts w:hint="eastAsia" w:ascii="仿宋" w:hAnsi="仿宋" w:eastAsia="仿宋" w:cs="仿宋"/>
                <w:color w:val="auto"/>
                <w:sz w:val="28"/>
                <w:szCs w:val="28"/>
                <w:highlight w:val="none"/>
              </w:rPr>
            </w:pPr>
          </w:p>
        </w:tc>
      </w:tr>
    </w:tbl>
    <w:p w14:paraId="4C6F5B69">
      <w:pPr>
        <w:spacing w:line="480" w:lineRule="exact"/>
        <w:ind w:firstLine="210"/>
        <w:rPr>
          <w:rFonts w:hint="eastAsia" w:ascii="Times New Roman" w:hAnsi="Times New Roman" w:cs="宋体"/>
          <w:color w:val="auto"/>
          <w:sz w:val="24"/>
          <w:szCs w:val="20"/>
          <w:highlight w:val="none"/>
        </w:rPr>
      </w:pPr>
      <w:r>
        <w:rPr>
          <w:rFonts w:hint="eastAsia" w:ascii="Times New Roman" w:hAnsi="Times New Roman" w:cs="宋体"/>
          <w:color w:val="auto"/>
          <w:sz w:val="24"/>
          <w:szCs w:val="20"/>
          <w:highlight w:val="none"/>
        </w:rPr>
        <w:t>注：如投标人中标，项目组成员按本表承诺人员操作，不得随意更换。按采购文件要求附相关人员证书。</w:t>
      </w:r>
      <w:bookmarkStart w:id="172" w:name="_格式2__法定代表人授权书"/>
      <w:bookmarkEnd w:id="172"/>
    </w:p>
    <w:p w14:paraId="11E2717C">
      <w:pPr>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br w:type="page"/>
      </w:r>
    </w:p>
    <w:p w14:paraId="5EA81140">
      <w:pPr>
        <w:pStyle w:val="370"/>
        <w:ind w:left="210"/>
        <w:outlineLvl w:val="1"/>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lang w:val="en-US" w:eastAsia="zh-CN"/>
        </w:rPr>
        <w:t>八</w:t>
      </w:r>
      <w:r>
        <w:rPr>
          <w:rFonts w:hint="eastAsia" w:ascii="宋体" w:hAnsi="宋体" w:eastAsia="宋体" w:cs="宋体"/>
          <w:bCs/>
          <w:color w:val="auto"/>
          <w:szCs w:val="32"/>
          <w:highlight w:val="none"/>
        </w:rPr>
        <w:t>、企业业绩</w:t>
      </w:r>
    </w:p>
    <w:p w14:paraId="020D97FF">
      <w:pPr>
        <w:pStyle w:val="378"/>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投标人承担类似项目业绩一览表</w:t>
      </w:r>
    </w:p>
    <w:tbl>
      <w:tblPr>
        <w:tblStyle w:val="3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044C1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68272821">
            <w:pPr>
              <w:pStyle w:val="379"/>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3827" w:type="dxa"/>
            <w:noWrap w:val="0"/>
            <w:vAlign w:val="center"/>
          </w:tcPr>
          <w:p w14:paraId="49787689">
            <w:pPr>
              <w:pStyle w:val="379"/>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2433" w:type="dxa"/>
            <w:noWrap w:val="0"/>
            <w:vAlign w:val="center"/>
          </w:tcPr>
          <w:p w14:paraId="02A8378A">
            <w:pPr>
              <w:pStyle w:val="379"/>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采购单位</w:t>
            </w:r>
          </w:p>
        </w:tc>
        <w:tc>
          <w:tcPr>
            <w:tcW w:w="1395" w:type="dxa"/>
            <w:noWrap w:val="0"/>
            <w:vAlign w:val="center"/>
          </w:tcPr>
          <w:p w14:paraId="049A7167">
            <w:pPr>
              <w:pStyle w:val="379"/>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项目主要服务内容</w:t>
            </w:r>
          </w:p>
        </w:tc>
      </w:tr>
      <w:tr w14:paraId="79BBC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4C39BFA4">
            <w:pPr>
              <w:pStyle w:val="379"/>
              <w:spacing w:line="560" w:lineRule="exact"/>
              <w:jc w:val="center"/>
              <w:rPr>
                <w:rFonts w:hint="eastAsia" w:ascii="宋体" w:hAnsi="宋体" w:eastAsia="宋体" w:cs="宋体"/>
                <w:color w:val="auto"/>
                <w:sz w:val="28"/>
                <w:highlight w:val="none"/>
              </w:rPr>
            </w:pPr>
          </w:p>
        </w:tc>
        <w:tc>
          <w:tcPr>
            <w:tcW w:w="3827" w:type="dxa"/>
            <w:noWrap w:val="0"/>
            <w:vAlign w:val="center"/>
          </w:tcPr>
          <w:p w14:paraId="3E2D85D6">
            <w:pPr>
              <w:pStyle w:val="379"/>
              <w:spacing w:line="560" w:lineRule="exact"/>
              <w:jc w:val="center"/>
              <w:rPr>
                <w:rFonts w:hint="eastAsia" w:ascii="宋体" w:hAnsi="宋体" w:eastAsia="宋体" w:cs="宋体"/>
                <w:color w:val="auto"/>
                <w:sz w:val="28"/>
                <w:highlight w:val="none"/>
              </w:rPr>
            </w:pPr>
          </w:p>
        </w:tc>
        <w:tc>
          <w:tcPr>
            <w:tcW w:w="2433" w:type="dxa"/>
            <w:noWrap w:val="0"/>
            <w:vAlign w:val="center"/>
          </w:tcPr>
          <w:p w14:paraId="4E39BE0F">
            <w:pPr>
              <w:pStyle w:val="379"/>
              <w:spacing w:line="560" w:lineRule="exact"/>
              <w:jc w:val="center"/>
              <w:rPr>
                <w:rFonts w:hint="eastAsia" w:ascii="宋体" w:hAnsi="宋体" w:eastAsia="宋体" w:cs="宋体"/>
                <w:color w:val="auto"/>
                <w:sz w:val="28"/>
                <w:highlight w:val="none"/>
              </w:rPr>
            </w:pPr>
          </w:p>
        </w:tc>
        <w:tc>
          <w:tcPr>
            <w:tcW w:w="1395" w:type="dxa"/>
            <w:noWrap w:val="0"/>
            <w:vAlign w:val="center"/>
          </w:tcPr>
          <w:p w14:paraId="5AAA7FBA">
            <w:pPr>
              <w:pStyle w:val="379"/>
              <w:spacing w:line="560" w:lineRule="exact"/>
              <w:jc w:val="center"/>
              <w:rPr>
                <w:rFonts w:hint="eastAsia" w:ascii="宋体" w:hAnsi="宋体" w:eastAsia="宋体" w:cs="宋体"/>
                <w:color w:val="auto"/>
                <w:sz w:val="28"/>
                <w:highlight w:val="none"/>
              </w:rPr>
            </w:pPr>
          </w:p>
        </w:tc>
      </w:tr>
      <w:tr w14:paraId="69323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5DBF996E">
            <w:pPr>
              <w:pStyle w:val="379"/>
              <w:spacing w:line="560" w:lineRule="exact"/>
              <w:jc w:val="center"/>
              <w:rPr>
                <w:rFonts w:hint="eastAsia" w:ascii="宋体" w:hAnsi="宋体" w:eastAsia="宋体" w:cs="宋体"/>
                <w:color w:val="auto"/>
                <w:sz w:val="28"/>
                <w:highlight w:val="none"/>
              </w:rPr>
            </w:pPr>
          </w:p>
        </w:tc>
        <w:tc>
          <w:tcPr>
            <w:tcW w:w="3827" w:type="dxa"/>
            <w:noWrap w:val="0"/>
            <w:vAlign w:val="center"/>
          </w:tcPr>
          <w:p w14:paraId="5C3FB8A5">
            <w:pPr>
              <w:pStyle w:val="379"/>
              <w:spacing w:line="560" w:lineRule="exact"/>
              <w:jc w:val="center"/>
              <w:rPr>
                <w:rFonts w:hint="eastAsia" w:ascii="宋体" w:hAnsi="宋体" w:eastAsia="宋体" w:cs="宋体"/>
                <w:color w:val="auto"/>
                <w:sz w:val="28"/>
                <w:highlight w:val="none"/>
              </w:rPr>
            </w:pPr>
          </w:p>
        </w:tc>
        <w:tc>
          <w:tcPr>
            <w:tcW w:w="2433" w:type="dxa"/>
            <w:noWrap w:val="0"/>
            <w:vAlign w:val="center"/>
          </w:tcPr>
          <w:p w14:paraId="5C593FEF">
            <w:pPr>
              <w:pStyle w:val="379"/>
              <w:spacing w:line="560" w:lineRule="exact"/>
              <w:jc w:val="center"/>
              <w:rPr>
                <w:rFonts w:hint="eastAsia" w:ascii="宋体" w:hAnsi="宋体" w:eastAsia="宋体" w:cs="宋体"/>
                <w:color w:val="auto"/>
                <w:sz w:val="28"/>
                <w:highlight w:val="none"/>
              </w:rPr>
            </w:pPr>
          </w:p>
        </w:tc>
        <w:tc>
          <w:tcPr>
            <w:tcW w:w="1395" w:type="dxa"/>
            <w:noWrap w:val="0"/>
            <w:vAlign w:val="center"/>
          </w:tcPr>
          <w:p w14:paraId="7CD57531">
            <w:pPr>
              <w:pStyle w:val="379"/>
              <w:spacing w:line="560" w:lineRule="exact"/>
              <w:jc w:val="center"/>
              <w:rPr>
                <w:rFonts w:hint="eastAsia" w:ascii="宋体" w:hAnsi="宋体" w:eastAsia="宋体" w:cs="宋体"/>
                <w:color w:val="auto"/>
                <w:sz w:val="28"/>
                <w:highlight w:val="none"/>
              </w:rPr>
            </w:pPr>
          </w:p>
        </w:tc>
      </w:tr>
      <w:tr w14:paraId="167FE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6A775437">
            <w:pPr>
              <w:pStyle w:val="379"/>
              <w:spacing w:line="560" w:lineRule="exact"/>
              <w:jc w:val="center"/>
              <w:rPr>
                <w:rFonts w:hint="eastAsia" w:ascii="宋体" w:hAnsi="宋体" w:eastAsia="宋体" w:cs="宋体"/>
                <w:color w:val="auto"/>
                <w:sz w:val="28"/>
                <w:highlight w:val="none"/>
              </w:rPr>
            </w:pPr>
          </w:p>
        </w:tc>
        <w:tc>
          <w:tcPr>
            <w:tcW w:w="3827" w:type="dxa"/>
            <w:noWrap w:val="0"/>
            <w:vAlign w:val="center"/>
          </w:tcPr>
          <w:p w14:paraId="43538DD7">
            <w:pPr>
              <w:pStyle w:val="379"/>
              <w:spacing w:line="560" w:lineRule="exact"/>
              <w:jc w:val="center"/>
              <w:rPr>
                <w:rFonts w:hint="eastAsia" w:ascii="宋体" w:hAnsi="宋体" w:eastAsia="宋体" w:cs="宋体"/>
                <w:color w:val="auto"/>
                <w:sz w:val="28"/>
                <w:highlight w:val="none"/>
              </w:rPr>
            </w:pPr>
          </w:p>
        </w:tc>
        <w:tc>
          <w:tcPr>
            <w:tcW w:w="2433" w:type="dxa"/>
            <w:noWrap w:val="0"/>
            <w:vAlign w:val="center"/>
          </w:tcPr>
          <w:p w14:paraId="7FCFE453">
            <w:pPr>
              <w:pStyle w:val="379"/>
              <w:spacing w:line="560" w:lineRule="exact"/>
              <w:jc w:val="center"/>
              <w:rPr>
                <w:rFonts w:hint="eastAsia" w:ascii="宋体" w:hAnsi="宋体" w:eastAsia="宋体" w:cs="宋体"/>
                <w:color w:val="auto"/>
                <w:sz w:val="28"/>
                <w:highlight w:val="none"/>
              </w:rPr>
            </w:pPr>
          </w:p>
        </w:tc>
        <w:tc>
          <w:tcPr>
            <w:tcW w:w="1395" w:type="dxa"/>
            <w:noWrap w:val="0"/>
            <w:vAlign w:val="center"/>
          </w:tcPr>
          <w:p w14:paraId="130F9391">
            <w:pPr>
              <w:pStyle w:val="379"/>
              <w:spacing w:line="560" w:lineRule="exact"/>
              <w:jc w:val="center"/>
              <w:rPr>
                <w:rFonts w:hint="eastAsia" w:ascii="宋体" w:hAnsi="宋体" w:eastAsia="宋体" w:cs="宋体"/>
                <w:color w:val="auto"/>
                <w:sz w:val="28"/>
                <w:highlight w:val="none"/>
              </w:rPr>
            </w:pPr>
          </w:p>
        </w:tc>
      </w:tr>
      <w:tr w14:paraId="36E79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50067E09">
            <w:pPr>
              <w:pStyle w:val="379"/>
              <w:spacing w:line="560" w:lineRule="exact"/>
              <w:jc w:val="center"/>
              <w:rPr>
                <w:rFonts w:hint="eastAsia" w:ascii="宋体" w:hAnsi="宋体" w:eastAsia="宋体" w:cs="宋体"/>
                <w:color w:val="auto"/>
                <w:sz w:val="28"/>
                <w:highlight w:val="none"/>
              </w:rPr>
            </w:pPr>
          </w:p>
        </w:tc>
        <w:tc>
          <w:tcPr>
            <w:tcW w:w="3827" w:type="dxa"/>
            <w:noWrap w:val="0"/>
            <w:vAlign w:val="center"/>
          </w:tcPr>
          <w:p w14:paraId="574414AD">
            <w:pPr>
              <w:pStyle w:val="379"/>
              <w:spacing w:line="560" w:lineRule="exact"/>
              <w:jc w:val="center"/>
              <w:rPr>
                <w:rFonts w:hint="eastAsia" w:ascii="宋体" w:hAnsi="宋体" w:eastAsia="宋体" w:cs="宋体"/>
                <w:color w:val="auto"/>
                <w:sz w:val="28"/>
                <w:highlight w:val="none"/>
              </w:rPr>
            </w:pPr>
          </w:p>
        </w:tc>
        <w:tc>
          <w:tcPr>
            <w:tcW w:w="2433" w:type="dxa"/>
            <w:noWrap w:val="0"/>
            <w:vAlign w:val="center"/>
          </w:tcPr>
          <w:p w14:paraId="4F6547C9">
            <w:pPr>
              <w:pStyle w:val="379"/>
              <w:spacing w:line="560" w:lineRule="exact"/>
              <w:jc w:val="center"/>
              <w:rPr>
                <w:rFonts w:hint="eastAsia" w:ascii="宋体" w:hAnsi="宋体" w:eastAsia="宋体" w:cs="宋体"/>
                <w:color w:val="auto"/>
                <w:sz w:val="28"/>
                <w:highlight w:val="none"/>
              </w:rPr>
            </w:pPr>
          </w:p>
        </w:tc>
        <w:tc>
          <w:tcPr>
            <w:tcW w:w="1395" w:type="dxa"/>
            <w:noWrap w:val="0"/>
            <w:vAlign w:val="center"/>
          </w:tcPr>
          <w:p w14:paraId="215A3736">
            <w:pPr>
              <w:pStyle w:val="379"/>
              <w:spacing w:line="560" w:lineRule="exact"/>
              <w:jc w:val="center"/>
              <w:rPr>
                <w:rFonts w:hint="eastAsia" w:ascii="宋体" w:hAnsi="宋体" w:eastAsia="宋体" w:cs="宋体"/>
                <w:color w:val="auto"/>
                <w:sz w:val="28"/>
                <w:highlight w:val="none"/>
              </w:rPr>
            </w:pPr>
          </w:p>
        </w:tc>
      </w:tr>
    </w:tbl>
    <w:p w14:paraId="3A9DBCFF">
      <w:pPr>
        <w:pStyle w:val="378"/>
        <w:ind w:firstLine="241" w:firstLineChars="1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w:t>
      </w:r>
      <w:r>
        <w:rPr>
          <w:rFonts w:hint="eastAsia" w:ascii="宋体" w:hAnsi="宋体" w:eastAsia="宋体" w:cs="宋体"/>
          <w:bCs/>
          <w:color w:val="auto"/>
          <w:sz w:val="24"/>
          <w:szCs w:val="24"/>
          <w:highlight w:val="none"/>
        </w:rPr>
        <w:t>涉及评分标准的“企业业绩”在本表中填报，相关证明材料附后。</w:t>
      </w:r>
    </w:p>
    <w:p w14:paraId="1531281F">
      <w:pPr>
        <w:pStyle w:val="378"/>
        <w:jc w:val="center"/>
        <w:rPr>
          <w:rFonts w:hint="eastAsia" w:ascii="宋体" w:hAnsi="宋体" w:eastAsia="宋体" w:cs="宋体"/>
          <w:color w:val="auto"/>
          <w:highlight w:val="none"/>
        </w:rPr>
      </w:pPr>
      <w:r>
        <w:rPr>
          <w:rFonts w:hint="eastAsia" w:ascii="宋体" w:hAnsi="宋体" w:eastAsia="宋体" w:cs="宋体"/>
          <w:b/>
          <w:color w:val="auto"/>
          <w:sz w:val="24"/>
          <w:highlight w:val="none"/>
        </w:rPr>
        <w:br w:type="page" w:clear="all"/>
      </w:r>
    </w:p>
    <w:p w14:paraId="2C891AC4">
      <w:pPr>
        <w:pStyle w:val="370"/>
        <w:ind w:left="210"/>
        <w:outlineLvl w:val="1"/>
        <w:rPr>
          <w:rFonts w:hint="eastAsia" w:ascii="宋体" w:hAnsi="宋体" w:eastAsia="宋体" w:cs="宋体"/>
          <w:color w:val="auto"/>
          <w:highlight w:val="none"/>
        </w:rPr>
      </w:pPr>
      <w:r>
        <w:rPr>
          <w:rFonts w:hint="eastAsia" w:ascii="宋体" w:hAnsi="宋体" w:eastAsia="宋体" w:cs="宋体"/>
          <w:bCs/>
          <w:color w:val="auto"/>
          <w:szCs w:val="32"/>
          <w:highlight w:val="none"/>
          <w:lang w:val="en-US" w:eastAsia="zh-CN"/>
        </w:rPr>
        <w:t>九</w:t>
      </w:r>
      <w:r>
        <w:rPr>
          <w:rFonts w:hint="eastAsia" w:ascii="宋体" w:hAnsi="宋体" w:eastAsia="宋体" w:cs="宋体"/>
          <w:bCs/>
          <w:color w:val="auto"/>
          <w:szCs w:val="32"/>
          <w:highlight w:val="none"/>
        </w:rPr>
        <w:t>、投标所需其他材料</w:t>
      </w:r>
    </w:p>
    <w:p w14:paraId="5F52AC20">
      <w:pPr>
        <w:spacing w:line="48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请在此文档中增加投标所需其他相关内容（包括评分办法、采购需求中涉及的证件证明及其它投标人认为有必要提供的资料），如没有请将此空文档上传。</w:t>
      </w:r>
    </w:p>
    <w:p w14:paraId="476FD625">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D54E30B">
      <w:pPr>
        <w:pStyle w:val="370"/>
        <w:ind w:left="210"/>
        <w:outlineLvl w:val="1"/>
        <w:rPr>
          <w:rFonts w:hint="eastAsia" w:ascii="宋体" w:hAnsi="宋体" w:eastAsia="宋体" w:cs="宋体"/>
          <w:bCs/>
          <w:color w:val="auto"/>
          <w:szCs w:val="32"/>
          <w:highlight w:val="none"/>
          <w:lang w:val="en-US" w:eastAsia="zh-CN"/>
        </w:rPr>
      </w:pPr>
      <w:r>
        <w:rPr>
          <w:rFonts w:hint="eastAsia" w:ascii="宋体" w:hAnsi="宋体" w:eastAsia="宋体" w:cs="宋体"/>
          <w:bCs/>
          <w:color w:val="auto"/>
          <w:szCs w:val="32"/>
          <w:highlight w:val="none"/>
          <w:lang w:val="en-US" w:eastAsia="zh-CN"/>
        </w:rPr>
        <w:t xml:space="preserve">十、关于符合本国产品标准的声明函 </w:t>
      </w:r>
    </w:p>
    <w:p w14:paraId="58EAA58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关于符合本国产品标准的声明函</w:t>
      </w:r>
    </w:p>
    <w:p w14:paraId="10738DE5">
      <w:pPr>
        <w:keepNext w:val="0"/>
        <w:keepLines w:val="0"/>
        <w:pageBreakBefore w:val="0"/>
        <w:widowControl/>
        <w:kinsoku/>
        <w:wordWrap/>
        <w:overflowPunct/>
        <w:topLinePunct w:val="0"/>
        <w:autoSpaceDE/>
        <w:autoSpaceDN/>
        <w:bidi w:val="0"/>
        <w:adjustRightInd/>
        <w:snapToGrid/>
        <w:spacing w:line="440" w:lineRule="exac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1178A1E">
      <w:pPr>
        <w:keepNext w:val="0"/>
        <w:keepLines w:val="0"/>
        <w:pageBreakBefore w:val="0"/>
        <w:widowControl/>
        <w:numPr>
          <w:ilvl w:val="0"/>
          <w:numId w:val="0"/>
        </w:numPr>
        <w:kinsoku/>
        <w:wordWrap/>
        <w:overflowPunct/>
        <w:topLinePunct w:val="0"/>
        <w:autoSpaceDE/>
        <w:autoSpaceDN/>
        <w:bidi w:val="0"/>
        <w:adjustRightInd/>
        <w:snapToGrid/>
        <w:spacing w:before="30" w:after="30" w:line="440" w:lineRule="exact"/>
        <w:ind w:firstLine="420" w:firstLineChars="0"/>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fill="FFFFFF"/>
          <w:lang w:val="en-US" w:eastAsia="zh-CN" w:bidi="ar-SA"/>
        </w:rPr>
        <w:t>1.</w:t>
      </w:r>
      <w:r>
        <w:rPr>
          <w:rFonts w:hint="eastAsia" w:ascii="宋体" w:hAnsi="宋体" w:eastAsia="宋体" w:cs="宋体"/>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vertAlign w:val="superscript"/>
        </w:rPr>
        <w:t>1</w:t>
      </w:r>
      <w:r>
        <w:rPr>
          <w:rFonts w:hint="eastAsia" w:ascii="宋体" w:hAnsi="宋体" w:eastAsia="宋体" w:cs="宋体"/>
          <w:color w:val="auto"/>
          <w:sz w:val="24"/>
          <w:szCs w:val="24"/>
          <w:highlight w:val="none"/>
          <w:shd w:val="clear" w:color="auto" w:fill="FFFFFF"/>
        </w:rPr>
        <w:t>，生产厂为</w:t>
      </w:r>
      <w:r>
        <w:rPr>
          <w:rFonts w:hint="eastAsia" w:ascii="宋体" w:hAnsi="宋体" w:eastAsia="宋体" w:cs="宋体"/>
          <w:color w:val="auto"/>
          <w:sz w:val="24"/>
          <w:szCs w:val="24"/>
          <w:highlight w:val="none"/>
          <w:u w:val="single"/>
          <w:shd w:val="clear" w:color="auto" w:fill="FFFFFF"/>
        </w:rPr>
        <w:t>（厂名）</w:t>
      </w:r>
      <w:r>
        <w:rPr>
          <w:rFonts w:hint="eastAsia" w:ascii="宋体" w:hAnsi="宋体" w:eastAsia="宋体" w:cs="宋体"/>
          <w:color w:val="auto"/>
          <w:sz w:val="24"/>
          <w:szCs w:val="24"/>
          <w:highlight w:val="none"/>
          <w:shd w:val="clear" w:color="auto" w:fill="FFFFFF"/>
          <w:vertAlign w:val="superscript"/>
        </w:rPr>
        <w:t>2</w:t>
      </w:r>
      <w:r>
        <w:rPr>
          <w:rFonts w:hint="eastAsia" w:ascii="宋体" w:hAnsi="宋体" w:eastAsia="宋体" w:cs="宋体"/>
          <w:color w:val="auto"/>
          <w:sz w:val="24"/>
          <w:szCs w:val="24"/>
          <w:highlight w:val="none"/>
          <w:shd w:val="clear" w:color="auto" w:fill="FFFFFF"/>
        </w:rPr>
        <w:t>，厂址为</w:t>
      </w:r>
      <w:r>
        <w:rPr>
          <w:rFonts w:hint="eastAsia" w:ascii="宋体" w:hAnsi="宋体" w:eastAsia="宋体" w:cs="宋体"/>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3</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4</w:t>
      </w:r>
      <w:r>
        <w:rPr>
          <w:rFonts w:hint="eastAsia" w:ascii="宋体" w:hAnsi="宋体" w:eastAsia="宋体" w:cs="宋体"/>
          <w:color w:val="auto"/>
          <w:sz w:val="24"/>
          <w:szCs w:val="24"/>
          <w:highlight w:val="none"/>
          <w:shd w:val="clear" w:color="auto" w:fill="FFFFFF"/>
        </w:rPr>
        <w:t>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5</w:t>
      </w:r>
      <w:r>
        <w:rPr>
          <w:rFonts w:hint="eastAsia" w:ascii="宋体" w:hAnsi="宋体" w:eastAsia="宋体" w:cs="宋体"/>
          <w:color w:val="auto"/>
          <w:sz w:val="24"/>
          <w:szCs w:val="24"/>
          <w:highlight w:val="none"/>
          <w:shd w:val="clear" w:color="auto" w:fill="FFFFFF"/>
        </w:rPr>
        <w:t>在中国境内完成。</w:t>
      </w:r>
    </w:p>
    <w:p w14:paraId="19148EA0">
      <w:pPr>
        <w:keepNext w:val="0"/>
        <w:keepLines w:val="0"/>
        <w:pageBreakBefore w:val="0"/>
        <w:widowControl/>
        <w:kinsoku/>
        <w:wordWrap/>
        <w:overflowPunct/>
        <w:topLinePunct w:val="0"/>
        <w:autoSpaceDE/>
        <w:autoSpaceDN/>
        <w:bidi w:val="0"/>
        <w:adjustRightInd/>
        <w:snapToGrid/>
        <w:spacing w:before="30" w:after="30" w:line="440" w:lineRule="exac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w:t>
      </w:r>
      <w:r>
        <w:rPr>
          <w:rFonts w:hint="eastAsia" w:ascii="宋体" w:hAnsi="宋体" w:eastAsia="宋体" w:cs="宋体"/>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，生产厂为</w:t>
      </w:r>
      <w:r>
        <w:rPr>
          <w:rFonts w:hint="eastAsia" w:ascii="宋体" w:hAnsi="宋体" w:eastAsia="宋体" w:cs="宋体"/>
          <w:color w:val="auto"/>
          <w:sz w:val="24"/>
          <w:szCs w:val="24"/>
          <w:highlight w:val="none"/>
          <w:u w:val="single"/>
          <w:shd w:val="clear" w:color="auto" w:fill="FFFFFF"/>
        </w:rPr>
        <w:t>（厂名）</w:t>
      </w:r>
      <w:r>
        <w:rPr>
          <w:rFonts w:hint="eastAsia" w:ascii="宋体" w:hAnsi="宋体" w:eastAsia="宋体" w:cs="宋体"/>
          <w:color w:val="auto"/>
          <w:sz w:val="24"/>
          <w:szCs w:val="24"/>
          <w:highlight w:val="none"/>
          <w:shd w:val="clear" w:color="auto" w:fill="FFFFFF"/>
        </w:rPr>
        <w:t>，厂址为</w:t>
      </w:r>
      <w:r>
        <w:rPr>
          <w:rFonts w:hint="eastAsia" w:ascii="宋体" w:hAnsi="宋体" w:eastAsia="宋体" w:cs="宋体"/>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在中国境内完成。</w:t>
      </w:r>
    </w:p>
    <w:p w14:paraId="7C9ABC26">
      <w:pPr>
        <w:keepNext w:val="0"/>
        <w:keepLines w:val="0"/>
        <w:pageBreakBefore w:val="0"/>
        <w:widowControl/>
        <w:kinsoku/>
        <w:wordWrap/>
        <w:overflowPunct/>
        <w:topLinePunct w:val="0"/>
        <w:autoSpaceDE/>
        <w:autoSpaceDN/>
        <w:bidi w:val="0"/>
        <w:adjustRightInd/>
        <w:snapToGrid/>
        <w:spacing w:before="30" w:after="30" w:line="440" w:lineRule="exac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w:t>
      </w:r>
    </w:p>
    <w:p w14:paraId="7E978346">
      <w:pPr>
        <w:keepNext w:val="0"/>
        <w:keepLines w:val="0"/>
        <w:pageBreakBefore w:val="0"/>
        <w:widowControl/>
        <w:kinsoku/>
        <w:wordWrap/>
        <w:overflowPunct/>
        <w:topLinePunct w:val="0"/>
        <w:autoSpaceDE/>
        <w:autoSpaceDN/>
        <w:bidi w:val="0"/>
        <w:adjustRightInd/>
        <w:snapToGrid/>
        <w:spacing w:before="30" w:after="30" w:line="440" w:lineRule="exac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459E6397">
      <w:pPr>
        <w:keepNext w:val="0"/>
        <w:keepLines w:val="0"/>
        <w:pageBreakBefore w:val="0"/>
        <w:widowControl/>
        <w:kinsoku/>
        <w:wordWrap/>
        <w:overflowPunct/>
        <w:topLinePunct w:val="0"/>
        <w:autoSpaceDE/>
        <w:autoSpaceDN/>
        <w:bidi w:val="0"/>
        <w:adjustRightInd/>
        <w:snapToGrid/>
        <w:spacing w:before="30" w:after="30"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CA3F490">
      <w:pPr>
        <w:keepNext w:val="0"/>
        <w:keepLines w:val="0"/>
        <w:pageBreakBefore w:val="0"/>
        <w:widowControl/>
        <w:kinsoku/>
        <w:wordWrap/>
        <w:overflowPunct/>
        <w:topLinePunct w:val="0"/>
        <w:autoSpaceDE/>
        <w:autoSpaceDN/>
        <w:bidi w:val="0"/>
        <w:adjustRightInd/>
        <w:snapToGrid/>
        <w:spacing w:before="30" w:after="30" w:line="440" w:lineRule="exact"/>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公司（单位）名称（加盖CA电子公章）：         </w:t>
      </w:r>
    </w:p>
    <w:p w14:paraId="082ED6DE">
      <w:pPr>
        <w:keepNext w:val="0"/>
        <w:keepLines w:val="0"/>
        <w:pageBreakBefore w:val="0"/>
        <w:widowControl/>
        <w:kinsoku/>
        <w:wordWrap/>
        <w:overflowPunct/>
        <w:topLinePunct w:val="0"/>
        <w:autoSpaceDE/>
        <w:autoSpaceDN/>
        <w:bidi w:val="0"/>
        <w:adjustRightInd/>
        <w:snapToGrid/>
        <w:spacing w:before="30" w:after="30" w:line="440" w:lineRule="exact"/>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p>
    <w:p w14:paraId="48736B6A">
      <w:pPr>
        <w:keepNext w:val="0"/>
        <w:keepLines w:val="0"/>
        <w:pageBreakBefore w:val="0"/>
        <w:widowControl/>
        <w:kinsoku/>
        <w:wordWrap/>
        <w:overflowPunct/>
        <w:topLinePunct w:val="0"/>
        <w:autoSpaceDE/>
        <w:autoSpaceDN/>
        <w:bidi w:val="0"/>
        <w:adjustRightInd/>
        <w:snapToGrid/>
        <w:spacing w:before="30" w:after="30" w:line="440" w:lineRule="exact"/>
        <w:jc w:val="left"/>
        <w:textAlignment w:val="auto"/>
        <w:rPr>
          <w:rFonts w:hint="eastAsia" w:ascii="宋体" w:hAnsi="宋体" w:eastAsia="宋体" w:cs="宋体"/>
          <w:color w:val="auto"/>
          <w:sz w:val="24"/>
          <w:szCs w:val="24"/>
          <w:highlight w:val="none"/>
          <w:shd w:val="clear" w:color="auto" w:fill="FFFFFF"/>
        </w:rPr>
      </w:pPr>
    </w:p>
    <w:p w14:paraId="7EA16FCA">
      <w:pPr>
        <w:keepNext w:val="0"/>
        <w:keepLines w:val="0"/>
        <w:pageBreakBefore w:val="0"/>
        <w:widowControl/>
        <w:kinsoku/>
        <w:wordWrap/>
        <w:overflowPunct/>
        <w:topLinePunct w:val="0"/>
        <w:autoSpaceDE/>
        <w:autoSpaceDN/>
        <w:bidi w:val="0"/>
        <w:adjustRightInd/>
        <w:snapToGrid/>
        <w:spacing w:before="30" w:after="30"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14:paraId="3531F7FA">
      <w:pPr>
        <w:keepNext w:val="0"/>
        <w:keepLines w:val="0"/>
        <w:pageBreakBefore w:val="0"/>
        <w:widowControl/>
        <w:kinsoku/>
        <w:wordWrap/>
        <w:overflowPunct/>
        <w:topLinePunct w:val="0"/>
        <w:autoSpaceDE/>
        <w:autoSpaceDN/>
        <w:bidi w:val="0"/>
        <w:adjustRightInd/>
        <w:snapToGrid/>
        <w:spacing w:before="30" w:after="30"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20F94C7D">
      <w:pPr>
        <w:keepNext w:val="0"/>
        <w:keepLines w:val="0"/>
        <w:pageBreakBefore w:val="0"/>
        <w:widowControl/>
        <w:kinsoku/>
        <w:wordWrap/>
        <w:overflowPunct/>
        <w:topLinePunct w:val="0"/>
        <w:autoSpaceDE/>
        <w:autoSpaceDN/>
        <w:bidi w:val="0"/>
        <w:adjustRightInd/>
        <w:snapToGrid/>
        <w:spacing w:before="30" w:after="30"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143314BC">
      <w:pPr>
        <w:keepNext w:val="0"/>
        <w:keepLines w:val="0"/>
        <w:pageBreakBefore w:val="0"/>
        <w:widowControl/>
        <w:kinsoku/>
        <w:wordWrap/>
        <w:overflowPunct/>
        <w:topLinePunct w:val="0"/>
        <w:autoSpaceDE/>
        <w:autoSpaceDN/>
        <w:bidi w:val="0"/>
        <w:adjustRightInd/>
        <w:snapToGrid/>
        <w:spacing w:before="30" w:after="30"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4.该产品的关键组件要求实施前，“关键组件”栏可不填，下同。</w:t>
      </w:r>
    </w:p>
    <w:p w14:paraId="3939239D">
      <w:pPr>
        <w:keepNext w:val="0"/>
        <w:keepLines w:val="0"/>
        <w:pageBreakBefore w:val="0"/>
        <w:widowControl/>
        <w:kinsoku/>
        <w:wordWrap/>
        <w:overflowPunct/>
        <w:topLinePunct w:val="0"/>
        <w:autoSpaceDE/>
        <w:autoSpaceDN/>
        <w:bidi w:val="0"/>
        <w:adjustRightInd/>
        <w:snapToGrid/>
        <w:spacing w:before="30" w:after="30"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5.该产品的关键工序要求实施前，“关键工序”栏可不填，下同。</w:t>
      </w:r>
    </w:p>
    <w:p w14:paraId="4AE21C2E">
      <w:pPr>
        <w:keepNext w:val="0"/>
        <w:keepLines w:val="0"/>
        <w:pageBreakBefore w:val="0"/>
        <w:widowControl/>
        <w:kinsoku/>
        <w:wordWrap/>
        <w:overflowPunct/>
        <w:topLinePunct w:val="0"/>
        <w:autoSpaceDE/>
        <w:autoSpaceDN/>
        <w:bidi w:val="0"/>
        <w:adjustRightInd/>
        <w:snapToGrid/>
        <w:spacing w:before="30" w:after="30"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”的地方无需填写。</w:t>
      </w:r>
    </w:p>
    <w:p w14:paraId="6C3679E0">
      <w:pPr>
        <w:keepNext w:val="0"/>
        <w:keepLines w:val="0"/>
        <w:pageBreakBefore w:val="0"/>
        <w:widowControl/>
        <w:kinsoku/>
        <w:wordWrap/>
        <w:overflowPunct/>
        <w:topLinePunct w:val="0"/>
        <w:autoSpaceDE/>
        <w:autoSpaceDN/>
        <w:bidi w:val="0"/>
        <w:adjustRightInd/>
        <w:snapToGrid/>
        <w:spacing w:before="30" w:after="30" w:line="440" w:lineRule="exact"/>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7.请供应商如实填写，如填写有误，将承担一切不利后果。</w:t>
      </w:r>
    </w:p>
    <w:p w14:paraId="799F8B7E">
      <w:pPr>
        <w:keepNext w:val="0"/>
        <w:keepLines w:val="0"/>
        <w:pageBreakBefore w:val="0"/>
        <w:widowControl/>
        <w:kinsoku/>
        <w:wordWrap/>
        <w:overflowPunct/>
        <w:topLinePunct w:val="0"/>
        <w:autoSpaceDE/>
        <w:autoSpaceDN/>
        <w:bidi w:val="0"/>
        <w:adjustRightInd/>
        <w:snapToGrid/>
        <w:spacing w:before="30" w:after="30" w:line="440" w:lineRule="exact"/>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8.供应商提供虚假《声明函》、虚假证明文件谋取中标的，依照《中华人民共和国政府采购法》等法律法规规定追究相应责任。</w:t>
      </w:r>
    </w:p>
    <w:p w14:paraId="6320921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4FB7FED4">
      <w:pPr>
        <w:spacing w:line="480" w:lineRule="exact"/>
        <w:ind w:firstLine="420"/>
        <w:rPr>
          <w:rFonts w:hint="eastAsia" w:ascii="宋体" w:hAnsi="宋体" w:eastAsia="宋体" w:cs="宋体"/>
          <w:color w:val="auto"/>
          <w:highlight w:val="none"/>
        </w:rPr>
      </w:pPr>
    </w:p>
    <w:p w14:paraId="0A3A5528">
      <w:pPr>
        <w:pStyle w:val="352"/>
        <w:spacing w:line="480" w:lineRule="exact"/>
        <w:rPr>
          <w:rFonts w:hint="eastAsia" w:ascii="宋体" w:hAnsi="宋体" w:eastAsia="宋体" w:cs="宋体"/>
          <w:color w:val="auto"/>
          <w:sz w:val="24"/>
          <w:szCs w:val="24"/>
          <w:highlight w:val="none"/>
        </w:rPr>
      </w:pPr>
    </w:p>
    <w:sectPr>
      <w:footerReference r:id="rId7" w:type="default"/>
      <w:type w:val="continuous"/>
      <w:pgSz w:w="11906" w:h="16838"/>
      <w:pgMar w:top="1440" w:right="1304" w:bottom="1440" w:left="1418" w:header="851" w:footer="992"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auto"/>
    <w:pitch w:val="default"/>
    <w:sig w:usb0="FFFFFFFF" w:usb1="E9FFFFFF"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方正魏碑_GBK">
    <w:altName w:val="Noto Sans SC"/>
    <w:panose1 w:val="020B0503020202020204"/>
    <w:charset w:val="00"/>
    <w:family w:val="auto"/>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方正仿宋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D0439">
    <w:pPr>
      <w:pStyle w:val="95"/>
      <w:jc w:val="center"/>
    </w:pPr>
  </w:p>
  <w:p w14:paraId="21920EC7">
    <w:pPr>
      <w:pStyle w:val="9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CBD0F">
    <w:pPr>
      <w:pStyle w:val="9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E525C24">
                          <w:pPr>
                            <w:pStyle w:val="95"/>
                          </w:pPr>
                          <w:r>
                            <w:fldChar w:fldCharType="begin"/>
                          </w:r>
                          <w:r>
                            <w:instrText xml:space="preserve"> PAGE  \* MERGEFORMAT </w:instrText>
                          </w:r>
                          <w:r>
                            <w:fldChar w:fldCharType="separate"/>
                          </w:r>
                          <w:r>
                            <w:t>1</w:t>
                          </w:r>
                          <w:r>
                            <w:fldChar w:fldCharType="end"/>
                          </w:r>
                        </w:p>
                        <w:p w14:paraId="76892F5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E525C24">
                    <w:pPr>
                      <w:pStyle w:val="95"/>
                    </w:pPr>
                    <w:r>
                      <w:fldChar w:fldCharType="begin"/>
                    </w:r>
                    <w:r>
                      <w:instrText xml:space="preserve"> PAGE  \* MERGEFORMAT </w:instrText>
                    </w:r>
                    <w:r>
                      <w:fldChar w:fldCharType="separate"/>
                    </w:r>
                    <w:r>
                      <w:t>1</w:t>
                    </w:r>
                    <w:r>
                      <w:fldChar w:fldCharType="end"/>
                    </w:r>
                  </w:p>
                  <w:p w14:paraId="76892F54"/>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7C6C1">
    <w:pPr>
      <w:pStyle w:val="95"/>
      <w:jc w:val="center"/>
    </w:pPr>
  </w:p>
  <w:p w14:paraId="0DB01B0B">
    <w:pPr>
      <w:pStyle w:val="9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C301A">
    <w:pPr>
      <w:pStyle w:val="95"/>
      <w:jc w:val="center"/>
    </w:pPr>
    <w:r>
      <w:rPr>
        <w:sz w:val="18"/>
      </w:rPr>
      <w:pict>
        <v:shape id="_x0000_s4097" o:spid="_x0000_s409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00A26F0B">
                <w:pPr>
                  <w:pStyle w:val="18"/>
                </w:pPr>
                <w:r>
                  <w:fldChar w:fldCharType="begin"/>
                </w:r>
                <w:r>
                  <w:instrText xml:space="preserve"> PAGE  \* MERGEFORMAT </w:instrText>
                </w:r>
                <w:r>
                  <w:fldChar w:fldCharType="separate"/>
                </w:r>
                <w:r>
                  <w:t>3</w:t>
                </w:r>
                <w:r>
                  <w:fldChar w:fldCharType="end"/>
                </w:r>
              </w:p>
            </w:txbxContent>
          </v:textbox>
        </v:shape>
      </w:pict>
    </w:r>
  </w:p>
  <w:p w14:paraId="1067F62B">
    <w:pPr>
      <w:pStyle w:val="9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AC7A1">
    <w:pPr>
      <w:pStyle w:val="97"/>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
      <w:pStyle w:val="465"/>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1"/>
      <w:numFmt w:val="decimal"/>
      <w:pStyle w:val="450"/>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4DF13BB"/>
    <w:multiLevelType w:val="multilevel"/>
    <w:tmpl w:val="04DF13BB"/>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A0E98"/>
    <w:rsid w:val="01910A08"/>
    <w:rsid w:val="01FA65AD"/>
    <w:rsid w:val="027D50E8"/>
    <w:rsid w:val="027F4D04"/>
    <w:rsid w:val="04907589"/>
    <w:rsid w:val="04D37861"/>
    <w:rsid w:val="052267A6"/>
    <w:rsid w:val="054162A1"/>
    <w:rsid w:val="061F772E"/>
    <w:rsid w:val="08AB6853"/>
    <w:rsid w:val="08AC25CB"/>
    <w:rsid w:val="09DE4A06"/>
    <w:rsid w:val="0A207E53"/>
    <w:rsid w:val="0B350E1F"/>
    <w:rsid w:val="0B6C26DF"/>
    <w:rsid w:val="0C093387"/>
    <w:rsid w:val="0D8E6743"/>
    <w:rsid w:val="0DED5218"/>
    <w:rsid w:val="0EAA135B"/>
    <w:rsid w:val="0FC26956"/>
    <w:rsid w:val="0FDE5334"/>
    <w:rsid w:val="101C0036"/>
    <w:rsid w:val="10482BD9"/>
    <w:rsid w:val="10BE10ED"/>
    <w:rsid w:val="10EC23E2"/>
    <w:rsid w:val="12BF4B6F"/>
    <w:rsid w:val="12EF469C"/>
    <w:rsid w:val="13781A27"/>
    <w:rsid w:val="13FA68E0"/>
    <w:rsid w:val="147A17CF"/>
    <w:rsid w:val="14E12169"/>
    <w:rsid w:val="14FE7D0A"/>
    <w:rsid w:val="15211216"/>
    <w:rsid w:val="154871D8"/>
    <w:rsid w:val="15A00DC2"/>
    <w:rsid w:val="16FE46C2"/>
    <w:rsid w:val="182B01B9"/>
    <w:rsid w:val="188D7D23"/>
    <w:rsid w:val="1A361CF4"/>
    <w:rsid w:val="1B15245C"/>
    <w:rsid w:val="1CBD3DFD"/>
    <w:rsid w:val="1EAA4A5F"/>
    <w:rsid w:val="1EB15DEE"/>
    <w:rsid w:val="1EBD4792"/>
    <w:rsid w:val="1F3C1B5B"/>
    <w:rsid w:val="1F591E6D"/>
    <w:rsid w:val="1F7F7C9A"/>
    <w:rsid w:val="20146634"/>
    <w:rsid w:val="202A5E57"/>
    <w:rsid w:val="202C71EE"/>
    <w:rsid w:val="20D109C9"/>
    <w:rsid w:val="21933ED0"/>
    <w:rsid w:val="21985F80"/>
    <w:rsid w:val="22274D44"/>
    <w:rsid w:val="2262127F"/>
    <w:rsid w:val="22B36BFD"/>
    <w:rsid w:val="237F295E"/>
    <w:rsid w:val="238C1C1B"/>
    <w:rsid w:val="249D7540"/>
    <w:rsid w:val="24C4337B"/>
    <w:rsid w:val="26812549"/>
    <w:rsid w:val="26A3037C"/>
    <w:rsid w:val="26DB434F"/>
    <w:rsid w:val="26DB60FD"/>
    <w:rsid w:val="26EA00EF"/>
    <w:rsid w:val="27497940"/>
    <w:rsid w:val="27840BC4"/>
    <w:rsid w:val="289E3886"/>
    <w:rsid w:val="29AC55DD"/>
    <w:rsid w:val="2A5F7E8B"/>
    <w:rsid w:val="2AB41A61"/>
    <w:rsid w:val="2AE17A5A"/>
    <w:rsid w:val="2B2D0431"/>
    <w:rsid w:val="2BCF6C22"/>
    <w:rsid w:val="2BE9306B"/>
    <w:rsid w:val="2C241196"/>
    <w:rsid w:val="2CBC252D"/>
    <w:rsid w:val="2D6A01DB"/>
    <w:rsid w:val="2DF95907"/>
    <w:rsid w:val="2E2E046F"/>
    <w:rsid w:val="2EAE1BEB"/>
    <w:rsid w:val="2F656EAC"/>
    <w:rsid w:val="2FAD0853"/>
    <w:rsid w:val="304D1595"/>
    <w:rsid w:val="30896BCA"/>
    <w:rsid w:val="31320090"/>
    <w:rsid w:val="320C1861"/>
    <w:rsid w:val="32164E4C"/>
    <w:rsid w:val="32635E3A"/>
    <w:rsid w:val="32CE722D"/>
    <w:rsid w:val="32F430D0"/>
    <w:rsid w:val="33070EE0"/>
    <w:rsid w:val="34D0301A"/>
    <w:rsid w:val="352217D7"/>
    <w:rsid w:val="35D73F34"/>
    <w:rsid w:val="36B27AA9"/>
    <w:rsid w:val="36FF1994"/>
    <w:rsid w:val="388E6B5B"/>
    <w:rsid w:val="38DF5330"/>
    <w:rsid w:val="39070FD4"/>
    <w:rsid w:val="39906D7F"/>
    <w:rsid w:val="3A016750"/>
    <w:rsid w:val="3A093EB7"/>
    <w:rsid w:val="3A173499"/>
    <w:rsid w:val="3A995C5C"/>
    <w:rsid w:val="3AAB598F"/>
    <w:rsid w:val="3AD02ADA"/>
    <w:rsid w:val="3BD55FF6"/>
    <w:rsid w:val="3C1001A0"/>
    <w:rsid w:val="3CC01BC6"/>
    <w:rsid w:val="3CE1643B"/>
    <w:rsid w:val="3D5D11C3"/>
    <w:rsid w:val="3D600CB3"/>
    <w:rsid w:val="3E4E3201"/>
    <w:rsid w:val="3EBC460F"/>
    <w:rsid w:val="3EDF3E59"/>
    <w:rsid w:val="3EFB5137"/>
    <w:rsid w:val="3F367F1D"/>
    <w:rsid w:val="3F7C02F1"/>
    <w:rsid w:val="3F88218E"/>
    <w:rsid w:val="3FEC3D46"/>
    <w:rsid w:val="405014B2"/>
    <w:rsid w:val="41A340B9"/>
    <w:rsid w:val="422C1AAB"/>
    <w:rsid w:val="422F6EA6"/>
    <w:rsid w:val="42334119"/>
    <w:rsid w:val="424E1A22"/>
    <w:rsid w:val="426E3E72"/>
    <w:rsid w:val="42F12FA3"/>
    <w:rsid w:val="43E21F24"/>
    <w:rsid w:val="4439400C"/>
    <w:rsid w:val="443F1A3D"/>
    <w:rsid w:val="447D65EE"/>
    <w:rsid w:val="448B4867"/>
    <w:rsid w:val="451505D5"/>
    <w:rsid w:val="452138B1"/>
    <w:rsid w:val="46753A21"/>
    <w:rsid w:val="472E1928"/>
    <w:rsid w:val="47637B42"/>
    <w:rsid w:val="480E5EDB"/>
    <w:rsid w:val="48C73CA3"/>
    <w:rsid w:val="49317B68"/>
    <w:rsid w:val="4933371F"/>
    <w:rsid w:val="49871824"/>
    <w:rsid w:val="49E301DA"/>
    <w:rsid w:val="4ADA150B"/>
    <w:rsid w:val="4B8200F2"/>
    <w:rsid w:val="4BB87F0C"/>
    <w:rsid w:val="4C826DA5"/>
    <w:rsid w:val="4D067D1F"/>
    <w:rsid w:val="4D2E2B7B"/>
    <w:rsid w:val="4D907392"/>
    <w:rsid w:val="4E3E294A"/>
    <w:rsid w:val="4E477C04"/>
    <w:rsid w:val="4F242AF6"/>
    <w:rsid w:val="4F3501F1"/>
    <w:rsid w:val="4FCC21D8"/>
    <w:rsid w:val="50577CF3"/>
    <w:rsid w:val="50960CE7"/>
    <w:rsid w:val="516D3DB3"/>
    <w:rsid w:val="52F932E4"/>
    <w:rsid w:val="530B1EF5"/>
    <w:rsid w:val="530D6D8F"/>
    <w:rsid w:val="534C3D5B"/>
    <w:rsid w:val="53C75190"/>
    <w:rsid w:val="54EF499E"/>
    <w:rsid w:val="55852E44"/>
    <w:rsid w:val="55AA6B17"/>
    <w:rsid w:val="561843C9"/>
    <w:rsid w:val="564F162D"/>
    <w:rsid w:val="57A05B02"/>
    <w:rsid w:val="58E762A5"/>
    <w:rsid w:val="58F509F1"/>
    <w:rsid w:val="594C6FBE"/>
    <w:rsid w:val="59786124"/>
    <w:rsid w:val="59DD74BB"/>
    <w:rsid w:val="59E55F0A"/>
    <w:rsid w:val="59F842F5"/>
    <w:rsid w:val="59FB6D28"/>
    <w:rsid w:val="5A5A4FB0"/>
    <w:rsid w:val="5A7C285B"/>
    <w:rsid w:val="5B9404C9"/>
    <w:rsid w:val="5B942EF1"/>
    <w:rsid w:val="5BFB10EA"/>
    <w:rsid w:val="5C2207E1"/>
    <w:rsid w:val="5CE46DB3"/>
    <w:rsid w:val="5CE729A6"/>
    <w:rsid w:val="5D447CF3"/>
    <w:rsid w:val="5D8440F2"/>
    <w:rsid w:val="5DD52DB9"/>
    <w:rsid w:val="5DF603AA"/>
    <w:rsid w:val="5E8C14B0"/>
    <w:rsid w:val="5E9F11E3"/>
    <w:rsid w:val="5F066A42"/>
    <w:rsid w:val="5F630463"/>
    <w:rsid w:val="5FC03B07"/>
    <w:rsid w:val="5FFF6400"/>
    <w:rsid w:val="60AE6835"/>
    <w:rsid w:val="6185600B"/>
    <w:rsid w:val="61BD7BD2"/>
    <w:rsid w:val="629F348B"/>
    <w:rsid w:val="63602A11"/>
    <w:rsid w:val="641452B1"/>
    <w:rsid w:val="65156226"/>
    <w:rsid w:val="653C3BDE"/>
    <w:rsid w:val="65736F26"/>
    <w:rsid w:val="65F30CB6"/>
    <w:rsid w:val="667404D2"/>
    <w:rsid w:val="66B43C9A"/>
    <w:rsid w:val="68993147"/>
    <w:rsid w:val="697D4817"/>
    <w:rsid w:val="69FB6AF5"/>
    <w:rsid w:val="69FE1BA8"/>
    <w:rsid w:val="6A327690"/>
    <w:rsid w:val="6A405A5A"/>
    <w:rsid w:val="6A737BEE"/>
    <w:rsid w:val="6A745C1A"/>
    <w:rsid w:val="6A7554EE"/>
    <w:rsid w:val="6AC67AF8"/>
    <w:rsid w:val="6AD1435B"/>
    <w:rsid w:val="6B105217"/>
    <w:rsid w:val="6C6A310A"/>
    <w:rsid w:val="6C9748DB"/>
    <w:rsid w:val="6CD91220"/>
    <w:rsid w:val="6D7E46BA"/>
    <w:rsid w:val="6D877A12"/>
    <w:rsid w:val="6E156A89"/>
    <w:rsid w:val="6E71421E"/>
    <w:rsid w:val="6E9F250F"/>
    <w:rsid w:val="6F2319BD"/>
    <w:rsid w:val="701F03D6"/>
    <w:rsid w:val="70E138DD"/>
    <w:rsid w:val="71BC3766"/>
    <w:rsid w:val="72D336FA"/>
    <w:rsid w:val="73C92407"/>
    <w:rsid w:val="755D4D06"/>
    <w:rsid w:val="75643DB2"/>
    <w:rsid w:val="75662603"/>
    <w:rsid w:val="75C31A02"/>
    <w:rsid w:val="771A18D8"/>
    <w:rsid w:val="77B532E4"/>
    <w:rsid w:val="77C84CFD"/>
    <w:rsid w:val="78683004"/>
    <w:rsid w:val="794F06AD"/>
    <w:rsid w:val="79554E68"/>
    <w:rsid w:val="79766ADB"/>
    <w:rsid w:val="7BBF0CBF"/>
    <w:rsid w:val="7C1A7CA3"/>
    <w:rsid w:val="7D0E5A5A"/>
    <w:rsid w:val="7D5B4A17"/>
    <w:rsid w:val="7DCA74A7"/>
    <w:rsid w:val="7DDB16B4"/>
    <w:rsid w:val="7DDF73F6"/>
    <w:rsid w:val="7DF54524"/>
    <w:rsid w:val="7EC860DC"/>
    <w:rsid w:val="7F45709B"/>
    <w:rsid w:val="7F7E095C"/>
    <w:rsid w:val="7FD665D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24"/>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rFonts w:ascii="宋体"/>
      <w:color w:val="000000"/>
      <w:sz w:val="24"/>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semiHidden/>
    <w:unhideWhenUsed/>
    <w:qFormat/>
    <w:uiPriority w:val="99"/>
    <w:pPr>
      <w:spacing w:after="0" w:line="240" w:lineRule="auto"/>
    </w:pPr>
    <w:rPr>
      <w:sz w:val="20"/>
    </w:rPr>
  </w:style>
  <w:style w:type="paragraph" w:styleId="18">
    <w:name w:val="footer"/>
    <w:basedOn w:val="1"/>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qFormat/>
    <w:uiPriority w:val="11"/>
    <w:pPr>
      <w:spacing w:before="200" w:after="200"/>
    </w:pPr>
    <w:rPr>
      <w:sz w:val="24"/>
      <w:szCs w:val="24"/>
    </w:rPr>
  </w:style>
  <w:style w:type="paragraph" w:styleId="23">
    <w:name w:val="footnote text"/>
    <w:basedOn w:val="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semiHidden/>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FollowedHyperlink"/>
    <w:basedOn w:val="32"/>
    <w:semiHidden/>
    <w:unhideWhenUsed/>
    <w:qFormat/>
    <w:uiPriority w:val="99"/>
    <w:rPr>
      <w:color w:val="333333"/>
      <w:u w:val="none"/>
    </w:rPr>
  </w:style>
  <w:style w:type="character" w:styleId="35">
    <w:name w:val="Hyperlink"/>
    <w:unhideWhenUsed/>
    <w:qFormat/>
    <w:uiPriority w:val="99"/>
    <w:rPr>
      <w:color w:val="0000FF" w:themeColor="hyperlink"/>
      <w:u w:val="single"/>
    </w:rPr>
  </w:style>
  <w:style w:type="character" w:styleId="36">
    <w:name w:val="footnote reference"/>
    <w:unhideWhenUsed/>
    <w:qFormat/>
    <w:uiPriority w:val="99"/>
    <w:rPr>
      <w:vertAlign w:val="superscript"/>
    </w:rPr>
  </w:style>
  <w:style w:type="paragraph" w:styleId="37">
    <w:name w:val="List Paragraph"/>
    <w:basedOn w:val="1"/>
    <w:qFormat/>
    <w:uiPriority w:val="34"/>
    <w:pPr>
      <w:ind w:left="720"/>
      <w:contextualSpacing/>
    </w:pPr>
  </w:style>
  <w:style w:type="paragraph" w:styleId="38">
    <w:name w:val="No Spacing"/>
    <w:qFormat/>
    <w:uiPriority w:val="1"/>
    <w:pPr>
      <w:spacing w:before="0" w:after="0" w:line="240" w:lineRule="auto"/>
    </w:pPr>
    <w:rPr>
      <w:rFonts w:hint="default" w:ascii="Times New Roman" w:hAnsi="Times New Roman" w:eastAsia="宋体" w:cs="Times New Roman"/>
    </w:rPr>
  </w:style>
  <w:style w:type="paragraph" w:styleId="39">
    <w:name w:val="Quote"/>
    <w:basedOn w:val="1"/>
    <w:next w:val="1"/>
    <w:qFormat/>
    <w:uiPriority w:val="29"/>
    <w:pPr>
      <w:ind w:left="720" w:right="720"/>
    </w:pPr>
    <w:rPr>
      <w:i/>
    </w:rPr>
  </w:style>
  <w:style w:type="paragraph" w:styleId="40">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41">
    <w:name w:val="标题 11"/>
    <w:basedOn w:val="1"/>
    <w:next w:val="1"/>
    <w:link w:val="57"/>
    <w:qFormat/>
    <w:uiPriority w:val="0"/>
    <w:pPr>
      <w:keepNext/>
      <w:keepLines/>
      <w:spacing w:before="480" w:after="200"/>
      <w:outlineLvl w:val="0"/>
    </w:pPr>
    <w:rPr>
      <w:rFonts w:ascii="Arial" w:hAnsi="Arial" w:eastAsia="Arial" w:cs="Arial"/>
      <w:sz w:val="40"/>
      <w:szCs w:val="40"/>
    </w:rPr>
  </w:style>
  <w:style w:type="paragraph" w:customStyle="1" w:styleId="42">
    <w:name w:val="标题 2111"/>
    <w:basedOn w:val="1"/>
    <w:next w:val="1"/>
    <w:link w:val="58"/>
    <w:qFormat/>
    <w:uiPriority w:val="0"/>
    <w:pPr>
      <w:keepNext/>
      <w:keepLines/>
      <w:spacing w:before="260" w:after="260" w:line="413" w:lineRule="auto"/>
      <w:outlineLvl w:val="1"/>
    </w:pPr>
    <w:rPr>
      <w:rFonts w:ascii="Arial" w:hAnsi="Arial" w:eastAsia="黑体"/>
      <w:b/>
      <w:sz w:val="32"/>
      <w:szCs w:val="20"/>
    </w:rPr>
  </w:style>
  <w:style w:type="paragraph" w:customStyle="1" w:styleId="43">
    <w:name w:val="标题 311"/>
    <w:basedOn w:val="44"/>
    <w:next w:val="45"/>
    <w:link w:val="59"/>
    <w:qFormat/>
    <w:uiPriority w:val="0"/>
    <w:pPr>
      <w:keepNext/>
      <w:keepLines/>
      <w:spacing w:before="320" w:after="200"/>
      <w:outlineLvl w:val="2"/>
    </w:pPr>
    <w:rPr>
      <w:rFonts w:ascii="Arial" w:hAnsi="Arial" w:eastAsia="Arial" w:cs="Arial"/>
      <w:sz w:val="30"/>
      <w:szCs w:val="30"/>
    </w:rPr>
  </w:style>
  <w:style w:type="paragraph" w:customStyle="1" w:styleId="44">
    <w:name w:val="Normal1"/>
    <w:next w:val="43"/>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45">
    <w:name w:val="Normal_19"/>
    <w:next w:val="46"/>
    <w:qFormat/>
    <w:uiPriority w:val="99"/>
    <w:rPr>
      <w:rFonts w:hint="default" w:ascii="黑体" w:hAnsi="黑体" w:eastAsia="黑体" w:cs="黑体"/>
      <w:b/>
      <w:sz w:val="32"/>
      <w:szCs w:val="24"/>
      <w:lang w:val="en-US" w:eastAsia="zh-CN" w:bidi="ar-SA"/>
    </w:rPr>
  </w:style>
  <w:style w:type="paragraph" w:customStyle="1" w:styleId="46">
    <w:name w:val="Normal111"/>
    <w:next w:val="47"/>
    <w:qFormat/>
    <w:uiPriority w:val="99"/>
    <w:pPr>
      <w:widowControl w:val="0"/>
      <w:jc w:val="both"/>
    </w:pPr>
    <w:rPr>
      <w:rFonts w:hint="default" w:ascii="Times New Roman" w:hAnsi="Times New Roman" w:eastAsia="宋体" w:cs="Times New Roman"/>
      <w:szCs w:val="21"/>
      <w:lang w:val="en-US" w:eastAsia="zh-CN" w:bidi="ar-SA"/>
    </w:rPr>
  </w:style>
  <w:style w:type="paragraph" w:customStyle="1" w:styleId="47">
    <w:name w:val="Body Text First Indent1"/>
    <w:basedOn w:val="48"/>
    <w:unhideWhenUsed/>
    <w:qFormat/>
    <w:uiPriority w:val="0"/>
    <w:pPr>
      <w:ind w:firstLine="420"/>
    </w:pPr>
  </w:style>
  <w:style w:type="paragraph" w:customStyle="1" w:styleId="48">
    <w:name w:val="Body Text1"/>
    <w:basedOn w:val="46"/>
    <w:unhideWhenUsed/>
    <w:qFormat/>
    <w:uiPriority w:val="99"/>
    <w:pPr>
      <w:spacing w:after="120"/>
    </w:pPr>
  </w:style>
  <w:style w:type="paragraph" w:customStyle="1" w:styleId="49">
    <w:name w:val="标题 4111"/>
    <w:basedOn w:val="1"/>
    <w:next w:val="1"/>
    <w:link w:val="60"/>
    <w:qFormat/>
    <w:uiPriority w:val="0"/>
    <w:pPr>
      <w:keepNext/>
      <w:jc w:val="center"/>
      <w:outlineLvl w:val="3"/>
    </w:pPr>
    <w:rPr>
      <w:rFonts w:eastAsia="新宋体"/>
      <w:sz w:val="30"/>
      <w:szCs w:val="21"/>
    </w:rPr>
  </w:style>
  <w:style w:type="paragraph" w:customStyle="1" w:styleId="50">
    <w:name w:val="标题 51"/>
    <w:basedOn w:val="1"/>
    <w:next w:val="1"/>
    <w:link w:val="61"/>
    <w:qFormat/>
    <w:uiPriority w:val="0"/>
    <w:pPr>
      <w:keepNext/>
      <w:keepLines/>
      <w:spacing w:before="320" w:after="200"/>
      <w:outlineLvl w:val="4"/>
    </w:pPr>
    <w:rPr>
      <w:rFonts w:ascii="Arial" w:hAnsi="Arial" w:eastAsia="Arial" w:cs="Arial"/>
      <w:b/>
      <w:bCs/>
      <w:sz w:val="24"/>
      <w:szCs w:val="24"/>
    </w:rPr>
  </w:style>
  <w:style w:type="paragraph" w:customStyle="1" w:styleId="51">
    <w:name w:val="标题 61"/>
    <w:basedOn w:val="1"/>
    <w:next w:val="1"/>
    <w:link w:val="62"/>
    <w:qFormat/>
    <w:uiPriority w:val="0"/>
    <w:pPr>
      <w:keepNext/>
      <w:keepLines/>
      <w:spacing w:before="320" w:after="200"/>
      <w:outlineLvl w:val="5"/>
    </w:pPr>
    <w:rPr>
      <w:rFonts w:ascii="Arial" w:hAnsi="Arial" w:eastAsia="Arial" w:cs="Arial"/>
      <w:b/>
      <w:bCs/>
      <w:sz w:val="22"/>
    </w:rPr>
  </w:style>
  <w:style w:type="paragraph" w:customStyle="1" w:styleId="52">
    <w:name w:val="标题 71"/>
    <w:basedOn w:val="1"/>
    <w:next w:val="1"/>
    <w:link w:val="63"/>
    <w:qFormat/>
    <w:uiPriority w:val="99"/>
    <w:pPr>
      <w:keepNext/>
      <w:keepLines/>
      <w:spacing w:before="320" w:after="200"/>
      <w:outlineLvl w:val="6"/>
    </w:pPr>
    <w:rPr>
      <w:rFonts w:ascii="Arial" w:hAnsi="Arial" w:eastAsia="Arial" w:cs="Arial"/>
      <w:b/>
      <w:bCs/>
      <w:i/>
      <w:iCs/>
      <w:sz w:val="22"/>
    </w:rPr>
  </w:style>
  <w:style w:type="paragraph" w:customStyle="1" w:styleId="53">
    <w:name w:val="标题 81"/>
    <w:basedOn w:val="1"/>
    <w:next w:val="1"/>
    <w:link w:val="64"/>
    <w:qFormat/>
    <w:uiPriority w:val="99"/>
    <w:pPr>
      <w:keepNext/>
      <w:keepLines/>
      <w:spacing w:before="320" w:after="200"/>
      <w:outlineLvl w:val="7"/>
    </w:pPr>
    <w:rPr>
      <w:rFonts w:ascii="Arial" w:hAnsi="Arial" w:eastAsia="Arial" w:cs="Arial"/>
      <w:i/>
      <w:iCs/>
      <w:sz w:val="22"/>
    </w:rPr>
  </w:style>
  <w:style w:type="paragraph" w:customStyle="1" w:styleId="54">
    <w:name w:val="标题 91"/>
    <w:basedOn w:val="1"/>
    <w:next w:val="1"/>
    <w:link w:val="65"/>
    <w:qFormat/>
    <w:uiPriority w:val="99"/>
    <w:pPr>
      <w:keepNext/>
      <w:keepLines/>
      <w:spacing w:before="320" w:after="200"/>
      <w:outlineLvl w:val="8"/>
    </w:pPr>
    <w:rPr>
      <w:rFonts w:ascii="Arial" w:hAnsi="Arial" w:eastAsia="Arial" w:cs="Arial"/>
      <w:i/>
      <w:iCs/>
      <w:szCs w:val="21"/>
    </w:rPr>
  </w:style>
  <w:style w:type="character" w:customStyle="1" w:styleId="55">
    <w:name w:val="默认段落字体1"/>
    <w:link w:val="1"/>
    <w:unhideWhenUsed/>
    <w:qFormat/>
    <w:uiPriority w:val="1"/>
  </w:style>
  <w:style w:type="table" w:customStyle="1" w:styleId="56">
    <w:name w:val="普通表格1"/>
    <w:unhideWhenUsed/>
    <w:qFormat/>
    <w:uiPriority w:val="99"/>
  </w:style>
  <w:style w:type="character" w:customStyle="1" w:styleId="57">
    <w:name w:val="标题 1 Char"/>
    <w:link w:val="41"/>
    <w:qFormat/>
    <w:uiPriority w:val="0"/>
    <w:rPr>
      <w:rFonts w:ascii="Arial" w:hAnsi="Arial" w:eastAsia="Arial" w:cs="Arial"/>
      <w:sz w:val="40"/>
      <w:szCs w:val="40"/>
    </w:rPr>
  </w:style>
  <w:style w:type="character" w:customStyle="1" w:styleId="58">
    <w:name w:val="标题 2 Char"/>
    <w:link w:val="42"/>
    <w:qFormat/>
    <w:uiPriority w:val="0"/>
    <w:rPr>
      <w:rFonts w:ascii="Arial" w:hAnsi="Arial" w:eastAsia="Arial" w:cs="Arial"/>
      <w:sz w:val="34"/>
    </w:rPr>
  </w:style>
  <w:style w:type="character" w:customStyle="1" w:styleId="59">
    <w:name w:val="标题 3 Char"/>
    <w:link w:val="43"/>
    <w:qFormat/>
    <w:uiPriority w:val="0"/>
    <w:rPr>
      <w:rFonts w:ascii="Arial" w:hAnsi="Arial" w:eastAsia="Arial" w:cs="Arial"/>
      <w:sz w:val="30"/>
      <w:szCs w:val="30"/>
    </w:rPr>
  </w:style>
  <w:style w:type="character" w:customStyle="1" w:styleId="60">
    <w:name w:val="标题 4 Char"/>
    <w:link w:val="49"/>
    <w:qFormat/>
    <w:uiPriority w:val="0"/>
    <w:rPr>
      <w:rFonts w:ascii="Arial" w:hAnsi="Arial" w:eastAsia="Arial" w:cs="Arial"/>
      <w:b/>
      <w:bCs/>
      <w:sz w:val="26"/>
      <w:szCs w:val="26"/>
    </w:rPr>
  </w:style>
  <w:style w:type="character" w:customStyle="1" w:styleId="61">
    <w:name w:val="标题 5 Char"/>
    <w:link w:val="50"/>
    <w:qFormat/>
    <w:uiPriority w:val="0"/>
    <w:rPr>
      <w:rFonts w:ascii="Arial" w:hAnsi="Arial" w:eastAsia="Arial" w:cs="Arial"/>
      <w:b/>
      <w:bCs/>
      <w:sz w:val="24"/>
      <w:szCs w:val="24"/>
    </w:rPr>
  </w:style>
  <w:style w:type="character" w:customStyle="1" w:styleId="62">
    <w:name w:val="标题 6 Char"/>
    <w:link w:val="51"/>
    <w:qFormat/>
    <w:uiPriority w:val="0"/>
    <w:rPr>
      <w:rFonts w:ascii="Arial" w:hAnsi="Arial" w:eastAsia="Arial" w:cs="Arial"/>
      <w:b/>
      <w:bCs/>
      <w:sz w:val="22"/>
      <w:szCs w:val="22"/>
    </w:rPr>
  </w:style>
  <w:style w:type="character" w:customStyle="1" w:styleId="63">
    <w:name w:val="标题 7 Char"/>
    <w:link w:val="52"/>
    <w:qFormat/>
    <w:uiPriority w:val="99"/>
    <w:rPr>
      <w:rFonts w:ascii="Arial" w:hAnsi="Arial" w:eastAsia="Arial" w:cs="Arial"/>
      <w:b/>
      <w:bCs/>
      <w:i/>
      <w:iCs/>
      <w:sz w:val="22"/>
      <w:szCs w:val="22"/>
    </w:rPr>
  </w:style>
  <w:style w:type="character" w:customStyle="1" w:styleId="64">
    <w:name w:val="标题 8 Char"/>
    <w:link w:val="53"/>
    <w:qFormat/>
    <w:uiPriority w:val="99"/>
    <w:rPr>
      <w:rFonts w:ascii="Arial" w:hAnsi="Arial" w:eastAsia="Arial" w:cs="Arial"/>
      <w:i/>
      <w:iCs/>
      <w:sz w:val="22"/>
      <w:szCs w:val="22"/>
    </w:rPr>
  </w:style>
  <w:style w:type="character" w:customStyle="1" w:styleId="65">
    <w:name w:val="标题 9 Char"/>
    <w:link w:val="54"/>
    <w:qFormat/>
    <w:uiPriority w:val="99"/>
    <w:rPr>
      <w:rFonts w:ascii="Arial" w:hAnsi="Arial" w:eastAsia="Arial" w:cs="Arial"/>
      <w:i/>
      <w:iCs/>
      <w:sz w:val="21"/>
      <w:szCs w:val="21"/>
    </w:rPr>
  </w:style>
  <w:style w:type="paragraph" w:customStyle="1" w:styleId="66">
    <w:name w:val="列表 31"/>
    <w:basedOn w:val="1"/>
    <w:qFormat/>
    <w:uiPriority w:val="99"/>
    <w:pPr>
      <w:ind w:left="100" w:hanging="200"/>
    </w:pPr>
    <w:rPr>
      <w:rFonts w:ascii="Times New Roman" w:hAnsi="Times New Roman"/>
      <w:szCs w:val="21"/>
    </w:rPr>
  </w:style>
  <w:style w:type="paragraph" w:customStyle="1" w:styleId="67">
    <w:name w:val="目录 71"/>
    <w:basedOn w:val="1"/>
    <w:next w:val="1"/>
    <w:unhideWhenUsed/>
    <w:qFormat/>
    <w:uiPriority w:val="99"/>
    <w:pPr>
      <w:spacing w:after="57"/>
      <w:ind w:left="1701"/>
    </w:pPr>
  </w:style>
  <w:style w:type="paragraph" w:customStyle="1" w:styleId="68">
    <w:name w:val="正文缩进11"/>
    <w:basedOn w:val="1"/>
    <w:link w:val="69"/>
    <w:qFormat/>
    <w:uiPriority w:val="99"/>
    <w:pPr>
      <w:ind w:firstLine="420"/>
    </w:pPr>
    <w:rPr>
      <w:rFonts w:ascii="宋体"/>
      <w:color w:val="000000"/>
      <w:sz w:val="24"/>
      <w:szCs w:val="20"/>
    </w:rPr>
  </w:style>
  <w:style w:type="character" w:customStyle="1" w:styleId="69">
    <w:name w:val="正文缩进 Char"/>
    <w:link w:val="68"/>
    <w:qFormat/>
    <w:uiPriority w:val="99"/>
    <w:rPr>
      <w:rFonts w:ascii="宋体" w:hAnsi="Calibri"/>
      <w:color w:val="000000"/>
      <w:sz w:val="24"/>
    </w:rPr>
  </w:style>
  <w:style w:type="paragraph" w:customStyle="1" w:styleId="70">
    <w:name w:val="题注1"/>
    <w:basedOn w:val="1"/>
    <w:next w:val="1"/>
    <w:qFormat/>
    <w:uiPriority w:val="35"/>
    <w:pPr>
      <w:spacing w:line="276" w:lineRule="auto"/>
    </w:pPr>
    <w:rPr>
      <w:b/>
      <w:bCs/>
      <w:color w:val="5B9BD5"/>
      <w:sz w:val="18"/>
      <w:szCs w:val="18"/>
    </w:rPr>
  </w:style>
  <w:style w:type="paragraph" w:customStyle="1" w:styleId="71">
    <w:name w:val="文档结构图1"/>
    <w:basedOn w:val="1"/>
    <w:link w:val="72"/>
    <w:semiHidden/>
    <w:qFormat/>
    <w:uiPriority w:val="99"/>
    <w:pPr>
      <w:shd w:val="clear" w:color="auto" w:fill="000080"/>
    </w:pPr>
    <w:rPr>
      <w:rFonts w:ascii="Times New Roman" w:hAnsi="Times New Roman"/>
      <w:szCs w:val="21"/>
    </w:rPr>
  </w:style>
  <w:style w:type="character" w:customStyle="1" w:styleId="72">
    <w:name w:val="文档结构图 Char"/>
    <w:link w:val="71"/>
    <w:semiHidden/>
    <w:qFormat/>
    <w:uiPriority w:val="99"/>
    <w:rPr>
      <w:sz w:val="21"/>
      <w:szCs w:val="21"/>
      <w:shd w:val="clear" w:color="auto" w:fill="000080"/>
    </w:rPr>
  </w:style>
  <w:style w:type="paragraph" w:customStyle="1" w:styleId="73">
    <w:name w:val="批注文字1"/>
    <w:basedOn w:val="1"/>
    <w:link w:val="74"/>
    <w:semiHidden/>
    <w:qFormat/>
    <w:uiPriority w:val="99"/>
    <w:pPr>
      <w:jc w:val="left"/>
    </w:pPr>
    <w:rPr>
      <w:rFonts w:ascii="Times New Roman" w:hAnsi="Times New Roman"/>
      <w:szCs w:val="21"/>
    </w:rPr>
  </w:style>
  <w:style w:type="character" w:customStyle="1" w:styleId="74">
    <w:name w:val="批注文字 Char"/>
    <w:link w:val="73"/>
    <w:semiHidden/>
    <w:qFormat/>
    <w:uiPriority w:val="99"/>
    <w:rPr>
      <w:sz w:val="21"/>
      <w:szCs w:val="21"/>
    </w:rPr>
  </w:style>
  <w:style w:type="paragraph" w:customStyle="1" w:styleId="75">
    <w:name w:val="正文文本 31"/>
    <w:basedOn w:val="1"/>
    <w:link w:val="76"/>
    <w:qFormat/>
    <w:uiPriority w:val="99"/>
    <w:rPr>
      <w:rFonts w:ascii="仿宋_GB2312" w:hAnsi="Arial" w:eastAsia="仿宋_GB2312"/>
      <w:sz w:val="32"/>
      <w:szCs w:val="32"/>
    </w:rPr>
  </w:style>
  <w:style w:type="character" w:customStyle="1" w:styleId="76">
    <w:name w:val="正文文本 3 Char"/>
    <w:link w:val="75"/>
    <w:qFormat/>
    <w:uiPriority w:val="99"/>
    <w:rPr>
      <w:rFonts w:ascii="仿宋_GB2312" w:hAnsi="Arial" w:eastAsia="仿宋_GB2312"/>
      <w:sz w:val="32"/>
      <w:szCs w:val="32"/>
    </w:rPr>
  </w:style>
  <w:style w:type="paragraph" w:customStyle="1" w:styleId="77">
    <w:name w:val="正文文本111"/>
    <w:basedOn w:val="1"/>
    <w:link w:val="78"/>
    <w:semiHidden/>
    <w:qFormat/>
    <w:uiPriority w:val="99"/>
    <w:rPr>
      <w:rFonts w:ascii="仿宋" w:hAnsi="仿宋" w:eastAsia="仿宋" w:cs="仿宋"/>
      <w:sz w:val="32"/>
      <w:szCs w:val="32"/>
      <w:lang w:val="en-US" w:eastAsia="en-US" w:bidi="ar-SA"/>
    </w:rPr>
  </w:style>
  <w:style w:type="character" w:customStyle="1" w:styleId="78">
    <w:name w:val="正文文本 Char"/>
    <w:link w:val="77"/>
    <w:semiHidden/>
    <w:qFormat/>
    <w:uiPriority w:val="99"/>
    <w:rPr>
      <w:rFonts w:ascii="仿宋" w:hAnsi="仿宋" w:eastAsia="仿宋" w:cs="仿宋"/>
      <w:sz w:val="32"/>
      <w:szCs w:val="32"/>
      <w:lang w:eastAsia="en-US"/>
    </w:rPr>
  </w:style>
  <w:style w:type="paragraph" w:customStyle="1" w:styleId="79">
    <w:name w:val="正文文本缩进11"/>
    <w:basedOn w:val="1"/>
    <w:link w:val="80"/>
    <w:qFormat/>
    <w:uiPriority w:val="99"/>
    <w:pPr>
      <w:ind w:firstLine="225"/>
    </w:pPr>
    <w:rPr>
      <w:rFonts w:ascii="仿宋_GB2312" w:eastAsia="仿宋_GB2312"/>
      <w:sz w:val="32"/>
    </w:rPr>
  </w:style>
  <w:style w:type="character" w:customStyle="1" w:styleId="80">
    <w:name w:val="正文文本缩进 Char"/>
    <w:link w:val="79"/>
    <w:qFormat/>
    <w:uiPriority w:val="99"/>
    <w:rPr>
      <w:rFonts w:ascii="仿宋_GB2312" w:hAnsi="Calibri" w:eastAsia="仿宋_GB2312"/>
      <w:sz w:val="32"/>
      <w:szCs w:val="22"/>
    </w:rPr>
  </w:style>
  <w:style w:type="paragraph" w:customStyle="1" w:styleId="81">
    <w:name w:val="列表 21"/>
    <w:basedOn w:val="1"/>
    <w:qFormat/>
    <w:uiPriority w:val="99"/>
    <w:pPr>
      <w:ind w:left="100" w:hanging="200"/>
    </w:pPr>
    <w:rPr>
      <w:rFonts w:ascii="Times New Roman" w:hAnsi="Times New Roman"/>
      <w:szCs w:val="21"/>
    </w:rPr>
  </w:style>
  <w:style w:type="paragraph" w:customStyle="1" w:styleId="82">
    <w:name w:val="目录 51"/>
    <w:basedOn w:val="1"/>
    <w:next w:val="1"/>
    <w:unhideWhenUsed/>
    <w:qFormat/>
    <w:uiPriority w:val="99"/>
    <w:pPr>
      <w:spacing w:after="57"/>
      <w:ind w:left="1134"/>
    </w:pPr>
  </w:style>
  <w:style w:type="paragraph" w:customStyle="1" w:styleId="83">
    <w:name w:val="目录 31"/>
    <w:basedOn w:val="1"/>
    <w:next w:val="1"/>
    <w:unhideWhenUsed/>
    <w:qFormat/>
    <w:uiPriority w:val="99"/>
    <w:pPr>
      <w:spacing w:after="57"/>
      <w:ind w:left="567"/>
    </w:pPr>
  </w:style>
  <w:style w:type="paragraph" w:customStyle="1" w:styleId="84">
    <w:name w:val="纯文本111"/>
    <w:basedOn w:val="1"/>
    <w:link w:val="85"/>
    <w:qFormat/>
    <w:uiPriority w:val="99"/>
    <w:rPr>
      <w:rFonts w:ascii="宋体" w:hAnsi="Courier New" w:cs="Courier New"/>
      <w:szCs w:val="21"/>
    </w:rPr>
  </w:style>
  <w:style w:type="character" w:customStyle="1" w:styleId="85">
    <w:name w:val="纯文本 Char"/>
    <w:link w:val="84"/>
    <w:qFormat/>
    <w:uiPriority w:val="99"/>
    <w:rPr>
      <w:rFonts w:ascii="宋体" w:hAnsi="Courier New" w:cs="Courier New"/>
      <w:sz w:val="21"/>
      <w:szCs w:val="21"/>
    </w:rPr>
  </w:style>
  <w:style w:type="paragraph" w:customStyle="1" w:styleId="86">
    <w:name w:val="目录 81"/>
    <w:basedOn w:val="1"/>
    <w:next w:val="1"/>
    <w:unhideWhenUsed/>
    <w:qFormat/>
    <w:uiPriority w:val="99"/>
    <w:pPr>
      <w:spacing w:after="57"/>
      <w:ind w:left="1984"/>
    </w:pPr>
  </w:style>
  <w:style w:type="paragraph" w:customStyle="1" w:styleId="87">
    <w:name w:val="日期1"/>
    <w:basedOn w:val="1"/>
    <w:next w:val="1"/>
    <w:link w:val="88"/>
    <w:qFormat/>
    <w:uiPriority w:val="99"/>
    <w:rPr>
      <w:rFonts w:ascii="Times New Roman" w:hAnsi="Times New Roman"/>
      <w:sz w:val="24"/>
      <w:szCs w:val="24"/>
    </w:rPr>
  </w:style>
  <w:style w:type="character" w:customStyle="1" w:styleId="88">
    <w:name w:val="日期 Char"/>
    <w:link w:val="87"/>
    <w:qFormat/>
    <w:uiPriority w:val="99"/>
    <w:rPr>
      <w:sz w:val="24"/>
      <w:szCs w:val="24"/>
    </w:rPr>
  </w:style>
  <w:style w:type="paragraph" w:customStyle="1" w:styleId="89">
    <w:name w:val="正文文本缩进 21"/>
    <w:basedOn w:val="1"/>
    <w:link w:val="90"/>
    <w:qFormat/>
    <w:uiPriority w:val="99"/>
    <w:pPr>
      <w:ind w:left="630" w:firstLine="645"/>
    </w:pPr>
    <w:rPr>
      <w:rFonts w:ascii="Arial" w:hAnsi="Arial" w:eastAsia="仿宋_GB2312" w:cs="Arial"/>
      <w:sz w:val="32"/>
      <w:szCs w:val="32"/>
    </w:rPr>
  </w:style>
  <w:style w:type="character" w:customStyle="1" w:styleId="90">
    <w:name w:val="正文文本缩进 2 Char"/>
    <w:link w:val="89"/>
    <w:qFormat/>
    <w:uiPriority w:val="99"/>
    <w:rPr>
      <w:rFonts w:ascii="Arial" w:hAnsi="Arial" w:eastAsia="仿宋_GB2312" w:cs="Arial"/>
      <w:sz w:val="32"/>
      <w:szCs w:val="32"/>
    </w:rPr>
  </w:style>
  <w:style w:type="paragraph" w:customStyle="1" w:styleId="91">
    <w:name w:val="尾注文本1"/>
    <w:basedOn w:val="1"/>
    <w:link w:val="92"/>
    <w:unhideWhenUsed/>
    <w:qFormat/>
    <w:uiPriority w:val="99"/>
    <w:rPr>
      <w:sz w:val="20"/>
    </w:rPr>
  </w:style>
  <w:style w:type="character" w:customStyle="1" w:styleId="92">
    <w:name w:val="尾注文本 Char"/>
    <w:link w:val="91"/>
    <w:qFormat/>
    <w:uiPriority w:val="99"/>
    <w:rPr>
      <w:sz w:val="20"/>
    </w:rPr>
  </w:style>
  <w:style w:type="paragraph" w:customStyle="1" w:styleId="93">
    <w:name w:val="批注框文本1"/>
    <w:basedOn w:val="1"/>
    <w:link w:val="94"/>
    <w:qFormat/>
    <w:uiPriority w:val="99"/>
    <w:rPr>
      <w:rFonts w:ascii="Times New Roman" w:hAnsi="Times New Roman"/>
      <w:sz w:val="18"/>
      <w:szCs w:val="18"/>
    </w:rPr>
  </w:style>
  <w:style w:type="character" w:customStyle="1" w:styleId="94">
    <w:name w:val="批注框文本 Char"/>
    <w:link w:val="93"/>
    <w:qFormat/>
    <w:uiPriority w:val="99"/>
    <w:rPr>
      <w:sz w:val="18"/>
      <w:szCs w:val="18"/>
    </w:rPr>
  </w:style>
  <w:style w:type="paragraph" w:customStyle="1" w:styleId="95">
    <w:name w:val="页脚111"/>
    <w:basedOn w:val="1"/>
    <w:link w:val="96"/>
    <w:qFormat/>
    <w:uiPriority w:val="99"/>
    <w:pPr>
      <w:tabs>
        <w:tab w:val="center" w:pos="4153"/>
        <w:tab w:val="right" w:pos="8306"/>
      </w:tabs>
      <w:jc w:val="left"/>
    </w:pPr>
    <w:rPr>
      <w:sz w:val="18"/>
      <w:szCs w:val="18"/>
    </w:rPr>
  </w:style>
  <w:style w:type="character" w:customStyle="1" w:styleId="96">
    <w:name w:val="页脚 Char"/>
    <w:link w:val="95"/>
    <w:qFormat/>
    <w:uiPriority w:val="99"/>
  </w:style>
  <w:style w:type="paragraph" w:customStyle="1" w:styleId="97">
    <w:name w:val="页眉1"/>
    <w:basedOn w:val="1"/>
    <w:link w:val="98"/>
    <w:qFormat/>
    <w:uiPriority w:val="99"/>
    <w:pPr>
      <w:tabs>
        <w:tab w:val="center" w:pos="4153"/>
        <w:tab w:val="right" w:pos="8306"/>
      </w:tabs>
      <w:jc w:val="center"/>
    </w:pPr>
    <w:rPr>
      <w:sz w:val="18"/>
      <w:szCs w:val="18"/>
    </w:rPr>
  </w:style>
  <w:style w:type="character" w:customStyle="1" w:styleId="98">
    <w:name w:val="页眉 Char"/>
    <w:link w:val="97"/>
    <w:qFormat/>
    <w:uiPriority w:val="99"/>
    <w:rPr>
      <w:rFonts w:ascii="Calibri" w:hAnsi="Calibri"/>
      <w:sz w:val="18"/>
      <w:szCs w:val="18"/>
    </w:rPr>
  </w:style>
  <w:style w:type="paragraph" w:customStyle="1" w:styleId="99">
    <w:name w:val="目录 11"/>
    <w:basedOn w:val="1"/>
    <w:next w:val="1"/>
    <w:qFormat/>
    <w:uiPriority w:val="99"/>
    <w:pPr>
      <w:spacing w:before="120" w:after="120"/>
      <w:jc w:val="left"/>
    </w:pPr>
    <w:rPr>
      <w:rFonts w:cs="Calibri"/>
      <w:b/>
      <w:bCs/>
      <w:caps/>
      <w:sz w:val="20"/>
      <w:szCs w:val="20"/>
    </w:rPr>
  </w:style>
  <w:style w:type="paragraph" w:customStyle="1" w:styleId="100">
    <w:name w:val="目录 41"/>
    <w:basedOn w:val="1"/>
    <w:next w:val="1"/>
    <w:unhideWhenUsed/>
    <w:qFormat/>
    <w:uiPriority w:val="99"/>
    <w:pPr>
      <w:spacing w:after="57"/>
      <w:ind w:left="850"/>
    </w:pPr>
  </w:style>
  <w:style w:type="paragraph" w:customStyle="1" w:styleId="101">
    <w:name w:val="副标题1"/>
    <w:basedOn w:val="1"/>
    <w:next w:val="1"/>
    <w:link w:val="102"/>
    <w:qFormat/>
    <w:uiPriority w:val="11"/>
    <w:pPr>
      <w:spacing w:before="200" w:after="200"/>
    </w:pPr>
    <w:rPr>
      <w:sz w:val="24"/>
      <w:szCs w:val="24"/>
    </w:rPr>
  </w:style>
  <w:style w:type="character" w:customStyle="1" w:styleId="102">
    <w:name w:val="副标题 Char"/>
    <w:link w:val="101"/>
    <w:qFormat/>
    <w:uiPriority w:val="11"/>
    <w:rPr>
      <w:sz w:val="24"/>
      <w:szCs w:val="24"/>
    </w:rPr>
  </w:style>
  <w:style w:type="paragraph" w:customStyle="1" w:styleId="103">
    <w:name w:val="列表1"/>
    <w:basedOn w:val="1"/>
    <w:qFormat/>
    <w:uiPriority w:val="99"/>
    <w:pPr>
      <w:ind w:left="200" w:hanging="200"/>
    </w:pPr>
    <w:rPr>
      <w:rFonts w:ascii="Times New Roman" w:hAnsi="Times New Roman"/>
      <w:szCs w:val="21"/>
    </w:rPr>
  </w:style>
  <w:style w:type="paragraph" w:customStyle="1" w:styleId="104">
    <w:name w:val="脚注文本11"/>
    <w:basedOn w:val="1"/>
    <w:link w:val="105"/>
    <w:unhideWhenUsed/>
    <w:qFormat/>
    <w:uiPriority w:val="99"/>
    <w:pPr>
      <w:spacing w:after="40"/>
    </w:pPr>
    <w:rPr>
      <w:sz w:val="18"/>
    </w:rPr>
  </w:style>
  <w:style w:type="character" w:customStyle="1" w:styleId="105">
    <w:name w:val="脚注文本 Char"/>
    <w:link w:val="104"/>
    <w:qFormat/>
    <w:uiPriority w:val="99"/>
    <w:rPr>
      <w:sz w:val="18"/>
    </w:rPr>
  </w:style>
  <w:style w:type="paragraph" w:customStyle="1" w:styleId="106">
    <w:name w:val="目录 61"/>
    <w:basedOn w:val="1"/>
    <w:next w:val="1"/>
    <w:unhideWhenUsed/>
    <w:qFormat/>
    <w:uiPriority w:val="99"/>
    <w:pPr>
      <w:spacing w:after="57"/>
      <w:ind w:left="1417"/>
    </w:pPr>
  </w:style>
  <w:style w:type="paragraph" w:customStyle="1" w:styleId="107">
    <w:name w:val="正文文本缩进 31"/>
    <w:basedOn w:val="1"/>
    <w:link w:val="108"/>
    <w:qFormat/>
    <w:uiPriority w:val="99"/>
    <w:pPr>
      <w:ind w:left="645" w:firstLine="645"/>
    </w:pPr>
    <w:rPr>
      <w:rFonts w:ascii="Arial" w:hAnsi="Arial" w:eastAsia="仿宋_GB2312" w:cs="Arial"/>
      <w:color w:val="FFFF00"/>
      <w:sz w:val="32"/>
      <w:szCs w:val="32"/>
    </w:rPr>
  </w:style>
  <w:style w:type="character" w:customStyle="1" w:styleId="108">
    <w:name w:val="正文文本缩进 3 Char"/>
    <w:link w:val="107"/>
    <w:qFormat/>
    <w:uiPriority w:val="99"/>
    <w:rPr>
      <w:rFonts w:ascii="Arial" w:hAnsi="Arial" w:eastAsia="仿宋_GB2312" w:cs="Arial"/>
      <w:color w:val="FFFF00"/>
      <w:sz w:val="32"/>
      <w:szCs w:val="32"/>
    </w:rPr>
  </w:style>
  <w:style w:type="paragraph" w:customStyle="1" w:styleId="109">
    <w:name w:val="图表目录1"/>
    <w:basedOn w:val="1"/>
    <w:next w:val="1"/>
    <w:unhideWhenUsed/>
    <w:qFormat/>
    <w:uiPriority w:val="99"/>
  </w:style>
  <w:style w:type="paragraph" w:customStyle="1" w:styleId="110">
    <w:name w:val="目录 21"/>
    <w:basedOn w:val="1"/>
    <w:next w:val="1"/>
    <w:qFormat/>
    <w:uiPriority w:val="99"/>
    <w:pPr>
      <w:ind w:left="210"/>
      <w:jc w:val="left"/>
    </w:pPr>
    <w:rPr>
      <w:rFonts w:cs="Calibri"/>
      <w:smallCaps/>
      <w:sz w:val="20"/>
      <w:szCs w:val="20"/>
    </w:rPr>
  </w:style>
  <w:style w:type="paragraph" w:customStyle="1" w:styleId="111">
    <w:name w:val="目录 91"/>
    <w:basedOn w:val="1"/>
    <w:next w:val="1"/>
    <w:unhideWhenUsed/>
    <w:qFormat/>
    <w:uiPriority w:val="99"/>
    <w:pPr>
      <w:spacing w:after="57"/>
      <w:ind w:left="2268"/>
    </w:pPr>
  </w:style>
  <w:style w:type="paragraph" w:customStyle="1" w:styleId="112">
    <w:name w:val="正文文本 21"/>
    <w:basedOn w:val="1"/>
    <w:link w:val="113"/>
    <w:qFormat/>
    <w:uiPriority w:val="99"/>
    <w:pPr>
      <w:widowControl/>
      <w:jc w:val="center"/>
    </w:pPr>
    <w:rPr>
      <w:rFonts w:ascii="楷体_GB2312" w:hAnsi="Times New Roman" w:eastAsia="楷体_GB2312"/>
      <w:sz w:val="28"/>
      <w:szCs w:val="28"/>
    </w:rPr>
  </w:style>
  <w:style w:type="character" w:customStyle="1" w:styleId="113">
    <w:name w:val="正文文本 2 Char"/>
    <w:link w:val="112"/>
    <w:qFormat/>
    <w:uiPriority w:val="99"/>
    <w:rPr>
      <w:rFonts w:ascii="楷体_GB2312" w:eastAsia="楷体_GB2312"/>
      <w:sz w:val="28"/>
      <w:szCs w:val="28"/>
    </w:rPr>
  </w:style>
  <w:style w:type="paragraph" w:customStyle="1" w:styleId="114">
    <w:name w:val="HTML 预设格式1"/>
    <w:basedOn w:val="1"/>
    <w:link w:val="11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15">
    <w:name w:val="HTML 预设格式 Char"/>
    <w:link w:val="114"/>
    <w:qFormat/>
    <w:uiPriority w:val="99"/>
    <w:rPr>
      <w:rFonts w:ascii="宋体" w:hAnsi="宋体"/>
      <w:sz w:val="24"/>
      <w:szCs w:val="24"/>
    </w:rPr>
  </w:style>
  <w:style w:type="paragraph" w:customStyle="1" w:styleId="116">
    <w:name w:val="普通(网站)1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17">
    <w:name w:val="索引 11"/>
    <w:basedOn w:val="1"/>
    <w:next w:val="1"/>
    <w:semiHidden/>
    <w:qFormat/>
    <w:uiPriority w:val="99"/>
    <w:pPr>
      <w:spacing w:line="240" w:lineRule="atLeast"/>
    </w:pPr>
    <w:rPr>
      <w:rFonts w:ascii="Times New Roman" w:hAnsi="Times New Roman"/>
      <w:b/>
      <w:bCs/>
      <w:szCs w:val="21"/>
    </w:rPr>
  </w:style>
  <w:style w:type="paragraph" w:customStyle="1" w:styleId="118">
    <w:name w:val="标题11"/>
    <w:basedOn w:val="1"/>
    <w:next w:val="1"/>
    <w:link w:val="119"/>
    <w:qFormat/>
    <w:uiPriority w:val="10"/>
    <w:pPr>
      <w:spacing w:before="300" w:after="200"/>
      <w:contextualSpacing/>
    </w:pPr>
    <w:rPr>
      <w:sz w:val="48"/>
      <w:szCs w:val="48"/>
    </w:rPr>
  </w:style>
  <w:style w:type="character" w:customStyle="1" w:styleId="119">
    <w:name w:val="标题 Char"/>
    <w:link w:val="118"/>
    <w:qFormat/>
    <w:uiPriority w:val="10"/>
    <w:rPr>
      <w:sz w:val="48"/>
      <w:szCs w:val="48"/>
    </w:rPr>
  </w:style>
  <w:style w:type="paragraph" w:customStyle="1" w:styleId="120">
    <w:name w:val="批注主题1"/>
    <w:basedOn w:val="73"/>
    <w:next w:val="73"/>
    <w:link w:val="121"/>
    <w:semiHidden/>
    <w:qFormat/>
    <w:uiPriority w:val="99"/>
    <w:rPr>
      <w:b/>
      <w:bCs/>
    </w:rPr>
  </w:style>
  <w:style w:type="character" w:customStyle="1" w:styleId="121">
    <w:name w:val="批注主题 Char"/>
    <w:link w:val="120"/>
    <w:semiHidden/>
    <w:qFormat/>
    <w:uiPriority w:val="99"/>
    <w:rPr>
      <w:b/>
      <w:bCs/>
      <w:sz w:val="21"/>
      <w:szCs w:val="21"/>
    </w:rPr>
  </w:style>
  <w:style w:type="paragraph" w:customStyle="1" w:styleId="122">
    <w:name w:val="正文首行缩进 211"/>
    <w:basedOn w:val="79"/>
    <w:link w:val="123"/>
    <w:qFormat/>
    <w:uiPriority w:val="99"/>
    <w:pPr>
      <w:spacing w:line="360" w:lineRule="auto"/>
      <w:ind w:firstLine="420"/>
    </w:pPr>
    <w:rPr>
      <w:rFonts w:ascii="宋体" w:hAnsi="宋体" w:eastAsia="宋体"/>
      <w:sz w:val="21"/>
      <w:szCs w:val="20"/>
    </w:rPr>
  </w:style>
  <w:style w:type="character" w:customStyle="1" w:styleId="123">
    <w:name w:val="正文首行缩进 2 Char"/>
    <w:link w:val="122"/>
    <w:qFormat/>
    <w:uiPriority w:val="99"/>
    <w:rPr>
      <w:rFonts w:ascii="宋体" w:hAnsi="宋体" w:eastAsia="仿宋_GB2312"/>
      <w:sz w:val="21"/>
      <w:szCs w:val="22"/>
    </w:rPr>
  </w:style>
  <w:style w:type="table" w:customStyle="1" w:styleId="124">
    <w:name w:val="网格型1"/>
    <w:basedOn w:val="56"/>
    <w:qFormat/>
    <w:uiPriority w:val="39"/>
    <w:pPr>
      <w:widowControl w:val="0"/>
      <w:jc w:val="both"/>
    </w:pPr>
  </w:style>
  <w:style w:type="character" w:customStyle="1" w:styleId="125">
    <w:name w:val="要点1"/>
    <w:link w:val="1"/>
    <w:qFormat/>
    <w:uiPriority w:val="0"/>
    <w:rPr>
      <w:b/>
      <w:bCs/>
    </w:rPr>
  </w:style>
  <w:style w:type="character" w:customStyle="1" w:styleId="126">
    <w:name w:val="尾注引用1"/>
    <w:link w:val="1"/>
    <w:unhideWhenUsed/>
    <w:qFormat/>
    <w:uiPriority w:val="99"/>
    <w:rPr>
      <w:vertAlign w:val="superscript"/>
    </w:rPr>
  </w:style>
  <w:style w:type="character" w:customStyle="1" w:styleId="127">
    <w:name w:val="页码11"/>
    <w:link w:val="1"/>
    <w:qFormat/>
    <w:uiPriority w:val="0"/>
  </w:style>
  <w:style w:type="character" w:customStyle="1" w:styleId="128">
    <w:name w:val="访问过的超链接"/>
    <w:link w:val="1"/>
    <w:qFormat/>
    <w:uiPriority w:val="0"/>
    <w:rPr>
      <w:color w:val="800080"/>
      <w:u w:val="single"/>
    </w:rPr>
  </w:style>
  <w:style w:type="character" w:customStyle="1" w:styleId="129">
    <w:name w:val="超链接1"/>
    <w:link w:val="1"/>
    <w:qFormat/>
    <w:uiPriority w:val="0"/>
    <w:rPr>
      <w:color w:val="0000FF"/>
      <w:u w:val="single"/>
    </w:rPr>
  </w:style>
  <w:style w:type="character" w:customStyle="1" w:styleId="130">
    <w:name w:val="批注引用1"/>
    <w:link w:val="1"/>
    <w:semiHidden/>
    <w:qFormat/>
    <w:uiPriority w:val="0"/>
    <w:rPr>
      <w:sz w:val="21"/>
      <w:szCs w:val="21"/>
    </w:rPr>
  </w:style>
  <w:style w:type="character" w:customStyle="1" w:styleId="131">
    <w:name w:val="脚注引用1"/>
    <w:link w:val="1"/>
    <w:unhideWhenUsed/>
    <w:qFormat/>
    <w:uiPriority w:val="99"/>
    <w:rPr>
      <w:vertAlign w:val="superscript"/>
    </w:rPr>
  </w:style>
  <w:style w:type="paragraph" w:customStyle="1" w:styleId="132">
    <w:name w:val="正文首行缩进 21"/>
    <w:basedOn w:val="133"/>
    <w:next w:val="1"/>
    <w:qFormat/>
    <w:uiPriority w:val="99"/>
    <w:pPr>
      <w:spacing w:line="360" w:lineRule="auto"/>
      <w:ind w:firstLine="420"/>
    </w:pPr>
    <w:rPr>
      <w:rFonts w:ascii="宋体" w:hAnsi="宋体" w:eastAsia="宋体"/>
      <w:sz w:val="21"/>
      <w:szCs w:val="20"/>
    </w:rPr>
  </w:style>
  <w:style w:type="paragraph" w:customStyle="1" w:styleId="133">
    <w:name w:val="正文文本缩进1"/>
    <w:basedOn w:val="1"/>
    <w:next w:val="134"/>
    <w:qFormat/>
    <w:uiPriority w:val="99"/>
    <w:pPr>
      <w:ind w:firstLine="645"/>
    </w:pPr>
    <w:rPr>
      <w:rFonts w:ascii="楷体_GB2312" w:eastAsia="楷体_GB2312"/>
      <w:sz w:val="32"/>
      <w:szCs w:val="32"/>
    </w:rPr>
  </w:style>
  <w:style w:type="paragraph" w:customStyle="1" w:styleId="134">
    <w:name w:val="寄信人地址1"/>
    <w:basedOn w:val="1"/>
    <w:qFormat/>
    <w:uiPriority w:val="99"/>
    <w:rPr>
      <w:rFonts w:ascii="Arial" w:hAnsi="Arial"/>
    </w:rPr>
  </w:style>
  <w:style w:type="paragraph" w:customStyle="1" w:styleId="135">
    <w:name w:val="标题 41"/>
    <w:basedOn w:val="136"/>
    <w:next w:val="1"/>
    <w:qFormat/>
    <w:uiPriority w:val="99"/>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36">
    <w:name w:val="Normal_20"/>
    <w:next w:val="137"/>
    <w:qFormat/>
    <w:uiPriority w:val="99"/>
    <w:rPr>
      <w:rFonts w:hint="default" w:ascii="黑体" w:hAnsi="黑体" w:eastAsia="黑体" w:cs="黑体"/>
      <w:b/>
      <w:sz w:val="32"/>
      <w:szCs w:val="24"/>
      <w:lang w:val="en-US" w:eastAsia="zh-CN" w:bidi="ar-SA"/>
    </w:rPr>
  </w:style>
  <w:style w:type="paragraph" w:customStyle="1" w:styleId="137">
    <w:name w:val="Body Text First Indent_2"/>
    <w:basedOn w:val="136"/>
    <w:qFormat/>
    <w:uiPriority w:val="99"/>
    <w:pPr>
      <w:spacing w:after="120"/>
      <w:ind w:firstLine="100"/>
    </w:pPr>
  </w:style>
  <w:style w:type="paragraph" w:customStyle="1" w:styleId="138">
    <w:name w:val="脚注文本1"/>
    <w:basedOn w:val="1"/>
    <w:qFormat/>
    <w:uiPriority w:val="99"/>
    <w:pPr>
      <w:jc w:val="left"/>
    </w:pPr>
    <w:rPr>
      <w:rFonts w:eastAsia="Times New Roman"/>
      <w:sz w:val="18"/>
      <w:szCs w:val="24"/>
    </w:rPr>
  </w:style>
  <w:style w:type="table" w:customStyle="1" w:styleId="139">
    <w:name w:val="Plain Table 1"/>
    <w:basedOn w:val="56"/>
    <w:qFormat/>
    <w:uiPriority w:val="59"/>
    <w:pPr>
      <w:spacing w:after="0" w:line="240" w:lineRule="auto"/>
    </w:pPr>
  </w:style>
  <w:style w:type="table" w:customStyle="1" w:styleId="140">
    <w:name w:val="Plain Table 2"/>
    <w:basedOn w:val="56"/>
    <w:qFormat/>
    <w:uiPriority w:val="59"/>
    <w:pPr>
      <w:spacing w:after="0" w:line="240" w:lineRule="auto"/>
    </w:pPr>
  </w:style>
  <w:style w:type="table" w:customStyle="1" w:styleId="141">
    <w:name w:val="Plain Table 3"/>
    <w:basedOn w:val="56"/>
    <w:qFormat/>
    <w:uiPriority w:val="99"/>
    <w:pPr>
      <w:spacing w:after="0" w:line="240" w:lineRule="auto"/>
    </w:pPr>
  </w:style>
  <w:style w:type="table" w:customStyle="1" w:styleId="142">
    <w:name w:val="Plain Table 4"/>
    <w:basedOn w:val="56"/>
    <w:qFormat/>
    <w:uiPriority w:val="99"/>
    <w:pPr>
      <w:spacing w:after="0" w:line="240" w:lineRule="auto"/>
    </w:pPr>
  </w:style>
  <w:style w:type="table" w:customStyle="1" w:styleId="143">
    <w:name w:val="Plain Table 5"/>
    <w:basedOn w:val="56"/>
    <w:qFormat/>
    <w:uiPriority w:val="99"/>
    <w:pPr>
      <w:spacing w:after="0" w:line="240" w:lineRule="auto"/>
    </w:pPr>
  </w:style>
  <w:style w:type="table" w:customStyle="1" w:styleId="144">
    <w:name w:val="Grid Table 1 Light"/>
    <w:basedOn w:val="56"/>
    <w:qFormat/>
    <w:uiPriority w:val="99"/>
    <w:pPr>
      <w:spacing w:after="0" w:line="240" w:lineRule="auto"/>
    </w:pPr>
  </w:style>
  <w:style w:type="table" w:customStyle="1" w:styleId="145">
    <w:name w:val="Grid Table 2"/>
    <w:basedOn w:val="56"/>
    <w:qFormat/>
    <w:uiPriority w:val="99"/>
    <w:pPr>
      <w:spacing w:after="0" w:line="240" w:lineRule="auto"/>
    </w:pPr>
  </w:style>
  <w:style w:type="table" w:customStyle="1" w:styleId="146">
    <w:name w:val="Grid Table 3"/>
    <w:basedOn w:val="56"/>
    <w:qFormat/>
    <w:uiPriority w:val="99"/>
    <w:pPr>
      <w:spacing w:after="0" w:line="240" w:lineRule="auto"/>
    </w:pPr>
  </w:style>
  <w:style w:type="table" w:customStyle="1" w:styleId="147">
    <w:name w:val="Grid Table 4"/>
    <w:basedOn w:val="56"/>
    <w:qFormat/>
    <w:uiPriority w:val="59"/>
    <w:pPr>
      <w:spacing w:after="0" w:line="240" w:lineRule="auto"/>
    </w:pPr>
  </w:style>
  <w:style w:type="table" w:customStyle="1" w:styleId="148">
    <w:name w:val="Grid Table 5 Dark"/>
    <w:basedOn w:val="56"/>
    <w:qFormat/>
    <w:uiPriority w:val="99"/>
    <w:pPr>
      <w:spacing w:after="0" w:line="240" w:lineRule="auto"/>
    </w:pPr>
  </w:style>
  <w:style w:type="table" w:customStyle="1" w:styleId="149">
    <w:name w:val="Grid Table 6 Colorful"/>
    <w:basedOn w:val="56"/>
    <w:qFormat/>
    <w:uiPriority w:val="99"/>
    <w:pPr>
      <w:spacing w:after="0" w:line="240" w:lineRule="auto"/>
    </w:pPr>
  </w:style>
  <w:style w:type="table" w:customStyle="1" w:styleId="150">
    <w:name w:val="Grid Table 7 Colorful"/>
    <w:basedOn w:val="56"/>
    <w:qFormat/>
    <w:uiPriority w:val="99"/>
    <w:pPr>
      <w:spacing w:after="0" w:line="240" w:lineRule="auto"/>
    </w:pPr>
  </w:style>
  <w:style w:type="table" w:customStyle="1" w:styleId="151">
    <w:name w:val="List Table 1 Light"/>
    <w:basedOn w:val="56"/>
    <w:qFormat/>
    <w:uiPriority w:val="99"/>
    <w:pPr>
      <w:spacing w:after="0" w:line="240" w:lineRule="auto"/>
    </w:pPr>
  </w:style>
  <w:style w:type="table" w:customStyle="1" w:styleId="152">
    <w:name w:val="List Table 2"/>
    <w:basedOn w:val="56"/>
    <w:qFormat/>
    <w:uiPriority w:val="99"/>
    <w:pPr>
      <w:spacing w:after="0" w:line="240" w:lineRule="auto"/>
    </w:pPr>
  </w:style>
  <w:style w:type="table" w:customStyle="1" w:styleId="153">
    <w:name w:val="List Table 3"/>
    <w:basedOn w:val="56"/>
    <w:qFormat/>
    <w:uiPriority w:val="99"/>
    <w:pPr>
      <w:spacing w:after="0" w:line="240" w:lineRule="auto"/>
    </w:pPr>
  </w:style>
  <w:style w:type="table" w:customStyle="1" w:styleId="154">
    <w:name w:val="List Table 4"/>
    <w:basedOn w:val="56"/>
    <w:qFormat/>
    <w:uiPriority w:val="99"/>
    <w:pPr>
      <w:spacing w:after="0" w:line="240" w:lineRule="auto"/>
    </w:pPr>
  </w:style>
  <w:style w:type="table" w:customStyle="1" w:styleId="155">
    <w:name w:val="List Table 5 Dark"/>
    <w:basedOn w:val="56"/>
    <w:qFormat/>
    <w:uiPriority w:val="99"/>
    <w:pPr>
      <w:spacing w:after="0" w:line="240" w:lineRule="auto"/>
    </w:pPr>
  </w:style>
  <w:style w:type="table" w:customStyle="1" w:styleId="156">
    <w:name w:val="List Table 6 Colorful"/>
    <w:basedOn w:val="56"/>
    <w:qFormat/>
    <w:uiPriority w:val="99"/>
    <w:pPr>
      <w:spacing w:after="0" w:line="240" w:lineRule="auto"/>
    </w:pPr>
  </w:style>
  <w:style w:type="table" w:customStyle="1" w:styleId="157">
    <w:name w:val="List Table 7 Colorful"/>
    <w:basedOn w:val="56"/>
    <w:qFormat/>
    <w:uiPriority w:val="99"/>
    <w:pPr>
      <w:spacing w:after="0" w:line="240" w:lineRule="auto"/>
    </w:pPr>
  </w:style>
  <w:style w:type="paragraph" w:customStyle="1" w:styleId="158">
    <w:name w:val="TOC Heading"/>
    <w:unhideWhenUsed/>
    <w:qFormat/>
    <w:uiPriority w:val="39"/>
    <w:rPr>
      <w:rFonts w:hint="default" w:ascii="Times New Roman" w:hAnsi="Times New Roman" w:eastAsia="宋体" w:cs="Times New Roman"/>
      <w:lang w:val="en-US" w:eastAsia="zh-CN" w:bidi="ar-SA"/>
    </w:rPr>
  </w:style>
  <w:style w:type="table" w:customStyle="1" w:styleId="159">
    <w:name w:val="无格式表格 11"/>
    <w:basedOn w:val="56"/>
    <w:qFormat/>
    <w:uiPriority w:val="59"/>
  </w:style>
  <w:style w:type="table" w:customStyle="1" w:styleId="160">
    <w:name w:val="无格式表格 21"/>
    <w:basedOn w:val="56"/>
    <w:qFormat/>
    <w:uiPriority w:val="59"/>
  </w:style>
  <w:style w:type="table" w:customStyle="1" w:styleId="161">
    <w:name w:val="无格式表格 31"/>
    <w:basedOn w:val="56"/>
    <w:qFormat/>
    <w:uiPriority w:val="99"/>
  </w:style>
  <w:style w:type="table" w:customStyle="1" w:styleId="162">
    <w:name w:val="无格式表格 41"/>
    <w:basedOn w:val="56"/>
    <w:qFormat/>
    <w:uiPriority w:val="99"/>
  </w:style>
  <w:style w:type="table" w:customStyle="1" w:styleId="163">
    <w:name w:val="无格式表格 51"/>
    <w:basedOn w:val="56"/>
    <w:qFormat/>
    <w:uiPriority w:val="99"/>
  </w:style>
  <w:style w:type="table" w:customStyle="1" w:styleId="164">
    <w:name w:val="网格表 1 浅色1"/>
    <w:basedOn w:val="56"/>
    <w:qFormat/>
    <w:uiPriority w:val="99"/>
  </w:style>
  <w:style w:type="table" w:customStyle="1" w:styleId="165">
    <w:name w:val="网格表 21"/>
    <w:basedOn w:val="56"/>
    <w:qFormat/>
    <w:uiPriority w:val="99"/>
  </w:style>
  <w:style w:type="table" w:customStyle="1" w:styleId="166">
    <w:name w:val="网格表 31"/>
    <w:basedOn w:val="56"/>
    <w:qFormat/>
    <w:uiPriority w:val="99"/>
  </w:style>
  <w:style w:type="table" w:customStyle="1" w:styleId="167">
    <w:name w:val="网格表 41"/>
    <w:basedOn w:val="56"/>
    <w:qFormat/>
    <w:uiPriority w:val="59"/>
  </w:style>
  <w:style w:type="table" w:customStyle="1" w:styleId="168">
    <w:name w:val="网格表 5 深色1"/>
    <w:basedOn w:val="56"/>
    <w:qFormat/>
    <w:uiPriority w:val="99"/>
  </w:style>
  <w:style w:type="table" w:customStyle="1" w:styleId="169">
    <w:name w:val="网格表 6 彩色1"/>
    <w:basedOn w:val="56"/>
    <w:qFormat/>
    <w:uiPriority w:val="99"/>
  </w:style>
  <w:style w:type="table" w:customStyle="1" w:styleId="170">
    <w:name w:val="网格表 7 彩色1"/>
    <w:basedOn w:val="56"/>
    <w:qFormat/>
    <w:uiPriority w:val="99"/>
  </w:style>
  <w:style w:type="table" w:customStyle="1" w:styleId="171">
    <w:name w:val="清单表 1 浅色1"/>
    <w:basedOn w:val="56"/>
    <w:qFormat/>
    <w:uiPriority w:val="99"/>
  </w:style>
  <w:style w:type="table" w:customStyle="1" w:styleId="172">
    <w:name w:val="清单表 21"/>
    <w:basedOn w:val="56"/>
    <w:qFormat/>
    <w:uiPriority w:val="99"/>
  </w:style>
  <w:style w:type="table" w:customStyle="1" w:styleId="173">
    <w:name w:val="清单表 31"/>
    <w:basedOn w:val="56"/>
    <w:qFormat/>
    <w:uiPriority w:val="99"/>
  </w:style>
  <w:style w:type="table" w:customStyle="1" w:styleId="174">
    <w:name w:val="清单表 41"/>
    <w:basedOn w:val="56"/>
    <w:qFormat/>
    <w:uiPriority w:val="99"/>
  </w:style>
  <w:style w:type="table" w:customStyle="1" w:styleId="175">
    <w:name w:val="清单表 5 深色1"/>
    <w:basedOn w:val="56"/>
    <w:qFormat/>
    <w:uiPriority w:val="99"/>
  </w:style>
  <w:style w:type="table" w:customStyle="1" w:styleId="176">
    <w:name w:val="清单表 6 彩色1"/>
    <w:basedOn w:val="56"/>
    <w:qFormat/>
    <w:uiPriority w:val="99"/>
  </w:style>
  <w:style w:type="table" w:customStyle="1" w:styleId="177">
    <w:name w:val="清单表 7 彩色1"/>
    <w:basedOn w:val="56"/>
    <w:qFormat/>
    <w:uiPriority w:val="99"/>
  </w:style>
  <w:style w:type="paragraph" w:customStyle="1" w:styleId="178">
    <w:name w:val="TOC 标题1"/>
    <w:unhideWhenUsed/>
    <w:qFormat/>
    <w:uiPriority w:val="39"/>
    <w:rPr>
      <w:rFonts w:hint="default" w:ascii="Times New Roman" w:hAnsi="Times New Roman" w:eastAsia="宋体" w:cs="Times New Roman"/>
      <w:lang w:val="en-US" w:eastAsia="zh-CN" w:bidi="ar-SA"/>
    </w:rPr>
  </w:style>
  <w:style w:type="paragraph" w:customStyle="1" w:styleId="179">
    <w:name w:val="Normal_21"/>
    <w:basedOn w:val="180"/>
    <w:next w:val="180"/>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180">
    <w:name w:val="正文_16"/>
    <w:next w:val="181"/>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181">
    <w:name w:val="正文首行缩进 2_0"/>
    <w:basedOn w:val="182"/>
    <w:qFormat/>
    <w:uiPriority w:val="99"/>
    <w:pPr>
      <w:spacing w:after="120"/>
      <w:ind w:left="200" w:firstLine="200"/>
    </w:pPr>
    <w:rPr>
      <w:rFonts w:ascii="Times New Roman" w:hAnsi="Times New Roman"/>
      <w:sz w:val="24"/>
      <w:szCs w:val="24"/>
    </w:rPr>
  </w:style>
  <w:style w:type="paragraph" w:customStyle="1" w:styleId="182">
    <w:name w:val="正文文本缩进_0"/>
    <w:basedOn w:val="183"/>
    <w:qFormat/>
    <w:uiPriority w:val="0"/>
    <w:pPr>
      <w:ind w:firstLine="225"/>
    </w:pPr>
    <w:rPr>
      <w:rFonts w:ascii="仿宋_GB2312" w:eastAsia="仿宋_GB2312"/>
      <w:sz w:val="32"/>
    </w:rPr>
  </w:style>
  <w:style w:type="paragraph" w:customStyle="1" w:styleId="183">
    <w:name w:val="正文_2"/>
    <w:next w:val="182"/>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184">
    <w:name w:val="正文_17"/>
    <w:next w:val="185"/>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185">
    <w:name w:val="标题 4_1"/>
    <w:basedOn w:val="184"/>
    <w:next w:val="184"/>
    <w:qFormat/>
    <w:uiPriority w:val="99"/>
    <w:pPr>
      <w:keepNext/>
      <w:keepLines/>
      <w:tabs>
        <w:tab w:val="left" w:pos="1134"/>
        <w:tab w:val="right" w:pos="7371"/>
      </w:tabs>
      <w:spacing w:line="360" w:lineRule="auto"/>
      <w:outlineLvl w:val="3"/>
    </w:pPr>
    <w:rPr>
      <w:rFonts w:ascii="宋体"/>
      <w:color w:val="800000"/>
      <w:sz w:val="28"/>
      <w:szCs w:val="20"/>
    </w:rPr>
  </w:style>
  <w:style w:type="character" w:customStyle="1" w:styleId="186">
    <w:name w:val="Heading 1 Char"/>
    <w:link w:val="1"/>
    <w:qFormat/>
    <w:uiPriority w:val="9"/>
    <w:rPr>
      <w:rFonts w:ascii="Arial" w:hAnsi="Arial" w:eastAsia="Arial" w:cs="Arial"/>
      <w:sz w:val="40"/>
      <w:szCs w:val="40"/>
    </w:rPr>
  </w:style>
  <w:style w:type="character" w:customStyle="1" w:styleId="187">
    <w:name w:val="Heading 2 Char"/>
    <w:link w:val="1"/>
    <w:qFormat/>
    <w:uiPriority w:val="9"/>
    <w:rPr>
      <w:rFonts w:ascii="Arial" w:hAnsi="Arial" w:eastAsia="Arial" w:cs="Arial"/>
      <w:sz w:val="34"/>
    </w:rPr>
  </w:style>
  <w:style w:type="character" w:customStyle="1" w:styleId="188">
    <w:name w:val="Heading 3 Char"/>
    <w:link w:val="1"/>
    <w:qFormat/>
    <w:uiPriority w:val="9"/>
    <w:rPr>
      <w:rFonts w:ascii="Arial" w:hAnsi="Arial" w:eastAsia="Arial" w:cs="Arial"/>
      <w:sz w:val="30"/>
      <w:szCs w:val="30"/>
    </w:rPr>
  </w:style>
  <w:style w:type="character" w:customStyle="1" w:styleId="189">
    <w:name w:val="Heading 4 Char"/>
    <w:link w:val="1"/>
    <w:qFormat/>
    <w:uiPriority w:val="9"/>
    <w:rPr>
      <w:rFonts w:ascii="Arial" w:hAnsi="Arial" w:eastAsia="Arial" w:cs="Arial"/>
      <w:b/>
      <w:bCs/>
      <w:sz w:val="26"/>
      <w:szCs w:val="26"/>
    </w:rPr>
  </w:style>
  <w:style w:type="character" w:customStyle="1" w:styleId="190">
    <w:name w:val="Heading 5 Char"/>
    <w:link w:val="1"/>
    <w:qFormat/>
    <w:uiPriority w:val="9"/>
    <w:rPr>
      <w:rFonts w:ascii="Arial" w:hAnsi="Arial" w:eastAsia="Arial" w:cs="Arial"/>
      <w:b/>
      <w:bCs/>
      <w:sz w:val="24"/>
      <w:szCs w:val="24"/>
    </w:rPr>
  </w:style>
  <w:style w:type="character" w:customStyle="1" w:styleId="191">
    <w:name w:val="Heading 6 Char"/>
    <w:link w:val="1"/>
    <w:qFormat/>
    <w:uiPriority w:val="9"/>
    <w:rPr>
      <w:rFonts w:ascii="Arial" w:hAnsi="Arial" w:eastAsia="Arial" w:cs="Arial"/>
      <w:b/>
      <w:bCs/>
      <w:sz w:val="22"/>
      <w:szCs w:val="22"/>
    </w:rPr>
  </w:style>
  <w:style w:type="character" w:customStyle="1" w:styleId="192">
    <w:name w:val="Heading 7 Char"/>
    <w:link w:val="1"/>
    <w:qFormat/>
    <w:uiPriority w:val="9"/>
    <w:rPr>
      <w:rFonts w:ascii="Arial" w:hAnsi="Arial" w:eastAsia="Arial" w:cs="Arial"/>
      <w:b/>
      <w:bCs/>
      <w:i/>
      <w:iCs/>
      <w:sz w:val="22"/>
      <w:szCs w:val="22"/>
    </w:rPr>
  </w:style>
  <w:style w:type="character" w:customStyle="1" w:styleId="193">
    <w:name w:val="Heading 8 Char"/>
    <w:link w:val="1"/>
    <w:qFormat/>
    <w:uiPriority w:val="9"/>
    <w:rPr>
      <w:rFonts w:ascii="Arial" w:hAnsi="Arial" w:eastAsia="Arial" w:cs="Arial"/>
      <w:i/>
      <w:iCs/>
      <w:sz w:val="22"/>
      <w:szCs w:val="22"/>
    </w:rPr>
  </w:style>
  <w:style w:type="character" w:customStyle="1" w:styleId="194">
    <w:name w:val="Heading 9 Char"/>
    <w:link w:val="1"/>
    <w:qFormat/>
    <w:uiPriority w:val="9"/>
    <w:rPr>
      <w:rFonts w:ascii="Arial" w:hAnsi="Arial" w:eastAsia="Arial" w:cs="Arial"/>
      <w:i/>
      <w:iCs/>
      <w:sz w:val="21"/>
      <w:szCs w:val="21"/>
    </w:rPr>
  </w:style>
  <w:style w:type="character" w:customStyle="1" w:styleId="195">
    <w:name w:val="Title Char"/>
    <w:link w:val="1"/>
    <w:qFormat/>
    <w:uiPriority w:val="10"/>
    <w:rPr>
      <w:sz w:val="48"/>
      <w:szCs w:val="48"/>
    </w:rPr>
  </w:style>
  <w:style w:type="character" w:customStyle="1" w:styleId="196">
    <w:name w:val="Subtitle Char"/>
    <w:link w:val="1"/>
    <w:qFormat/>
    <w:uiPriority w:val="11"/>
    <w:rPr>
      <w:sz w:val="24"/>
      <w:szCs w:val="24"/>
    </w:rPr>
  </w:style>
  <w:style w:type="character" w:customStyle="1" w:styleId="197">
    <w:name w:val="Quote Char"/>
    <w:link w:val="1"/>
    <w:qFormat/>
    <w:uiPriority w:val="29"/>
    <w:rPr>
      <w:i/>
    </w:rPr>
  </w:style>
  <w:style w:type="character" w:customStyle="1" w:styleId="198">
    <w:name w:val="Intense Quote Char"/>
    <w:link w:val="1"/>
    <w:qFormat/>
    <w:uiPriority w:val="30"/>
    <w:rPr>
      <w:i/>
    </w:rPr>
  </w:style>
  <w:style w:type="character" w:customStyle="1" w:styleId="199">
    <w:name w:val="Caption Char"/>
    <w:link w:val="1"/>
    <w:qFormat/>
    <w:uiPriority w:val="99"/>
  </w:style>
  <w:style w:type="character" w:customStyle="1" w:styleId="200">
    <w:name w:val="Footnote Text Char"/>
    <w:link w:val="1"/>
    <w:qFormat/>
    <w:uiPriority w:val="99"/>
    <w:rPr>
      <w:sz w:val="18"/>
    </w:rPr>
  </w:style>
  <w:style w:type="character" w:customStyle="1" w:styleId="201">
    <w:name w:val="Endnote Text Char"/>
    <w:link w:val="1"/>
    <w:qFormat/>
    <w:uiPriority w:val="99"/>
    <w:rPr>
      <w:sz w:val="20"/>
    </w:rPr>
  </w:style>
  <w:style w:type="paragraph" w:customStyle="1" w:styleId="202">
    <w:name w:val="列出段落"/>
    <w:basedOn w:val="1"/>
    <w:qFormat/>
    <w:uiPriority w:val="99"/>
    <w:pPr>
      <w:ind w:left="720"/>
      <w:contextualSpacing/>
    </w:pPr>
  </w:style>
  <w:style w:type="paragraph" w:customStyle="1" w:styleId="203">
    <w:name w:val="无间隔"/>
    <w:qFormat/>
    <w:uiPriority w:val="99"/>
    <w:rPr>
      <w:rFonts w:hint="default" w:ascii="Times New Roman" w:hAnsi="Times New Roman" w:eastAsia="宋体" w:cs="Times New Roman"/>
      <w:lang w:val="en-US" w:eastAsia="zh-CN" w:bidi="ar-SA"/>
    </w:rPr>
  </w:style>
  <w:style w:type="paragraph" w:customStyle="1" w:styleId="204">
    <w:name w:val="引用"/>
    <w:basedOn w:val="1"/>
    <w:next w:val="1"/>
    <w:link w:val="205"/>
    <w:qFormat/>
    <w:uiPriority w:val="29"/>
    <w:pPr>
      <w:ind w:left="720" w:right="720"/>
    </w:pPr>
    <w:rPr>
      <w:i/>
    </w:rPr>
  </w:style>
  <w:style w:type="character" w:customStyle="1" w:styleId="205">
    <w:name w:val="引用 Char"/>
    <w:link w:val="204"/>
    <w:qFormat/>
    <w:uiPriority w:val="29"/>
    <w:rPr>
      <w:i/>
    </w:rPr>
  </w:style>
  <w:style w:type="paragraph" w:customStyle="1" w:styleId="206">
    <w:name w:val="明显引用"/>
    <w:basedOn w:val="1"/>
    <w:next w:val="1"/>
    <w:link w:val="20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07">
    <w:name w:val="明显引用 Char"/>
    <w:link w:val="206"/>
    <w:qFormat/>
    <w:uiPriority w:val="30"/>
    <w:rPr>
      <w:i/>
    </w:rPr>
  </w:style>
  <w:style w:type="character" w:customStyle="1" w:styleId="208">
    <w:name w:val="Header Char"/>
    <w:link w:val="1"/>
    <w:qFormat/>
    <w:uiPriority w:val="99"/>
  </w:style>
  <w:style w:type="character" w:customStyle="1" w:styleId="209">
    <w:name w:val="Footer Char"/>
    <w:link w:val="1"/>
    <w:qFormat/>
    <w:uiPriority w:val="99"/>
  </w:style>
  <w:style w:type="table" w:customStyle="1" w:styleId="210">
    <w:name w:val="Table Grid Light"/>
    <w:basedOn w:val="56"/>
    <w:qFormat/>
    <w:uiPriority w:val="59"/>
  </w:style>
  <w:style w:type="table" w:customStyle="1" w:styleId="211">
    <w:name w:val="Grid Table 1 Light - Accent 1"/>
    <w:basedOn w:val="56"/>
    <w:qFormat/>
    <w:uiPriority w:val="99"/>
  </w:style>
  <w:style w:type="table" w:customStyle="1" w:styleId="212">
    <w:name w:val="Grid Table 1 Light - Accent 2"/>
    <w:basedOn w:val="56"/>
    <w:qFormat/>
    <w:uiPriority w:val="99"/>
  </w:style>
  <w:style w:type="table" w:customStyle="1" w:styleId="213">
    <w:name w:val="Grid Table 1 Light - Accent 3"/>
    <w:basedOn w:val="56"/>
    <w:qFormat/>
    <w:uiPriority w:val="99"/>
  </w:style>
  <w:style w:type="table" w:customStyle="1" w:styleId="214">
    <w:name w:val="Grid Table 1 Light - Accent 4"/>
    <w:basedOn w:val="56"/>
    <w:qFormat/>
    <w:uiPriority w:val="99"/>
  </w:style>
  <w:style w:type="table" w:customStyle="1" w:styleId="215">
    <w:name w:val="Grid Table 1 Light - Accent 5"/>
    <w:basedOn w:val="56"/>
    <w:qFormat/>
    <w:uiPriority w:val="99"/>
  </w:style>
  <w:style w:type="table" w:customStyle="1" w:styleId="216">
    <w:name w:val="Grid Table 1 Light - Accent 6"/>
    <w:basedOn w:val="56"/>
    <w:qFormat/>
    <w:uiPriority w:val="99"/>
  </w:style>
  <w:style w:type="table" w:customStyle="1" w:styleId="217">
    <w:name w:val="Grid Table 2 - Accent 1"/>
    <w:basedOn w:val="56"/>
    <w:qFormat/>
    <w:uiPriority w:val="99"/>
  </w:style>
  <w:style w:type="table" w:customStyle="1" w:styleId="218">
    <w:name w:val="Grid Table 2 - Accent 2"/>
    <w:basedOn w:val="56"/>
    <w:qFormat/>
    <w:uiPriority w:val="99"/>
  </w:style>
  <w:style w:type="table" w:customStyle="1" w:styleId="219">
    <w:name w:val="Grid Table 2 - Accent 3"/>
    <w:basedOn w:val="56"/>
    <w:qFormat/>
    <w:uiPriority w:val="99"/>
  </w:style>
  <w:style w:type="table" w:customStyle="1" w:styleId="220">
    <w:name w:val="Grid Table 2 - Accent 4"/>
    <w:basedOn w:val="56"/>
    <w:qFormat/>
    <w:uiPriority w:val="99"/>
  </w:style>
  <w:style w:type="table" w:customStyle="1" w:styleId="221">
    <w:name w:val="Grid Table 2 - Accent 5"/>
    <w:basedOn w:val="56"/>
    <w:qFormat/>
    <w:uiPriority w:val="99"/>
  </w:style>
  <w:style w:type="table" w:customStyle="1" w:styleId="222">
    <w:name w:val="Grid Table 2 - Accent 6"/>
    <w:basedOn w:val="56"/>
    <w:qFormat/>
    <w:uiPriority w:val="99"/>
  </w:style>
  <w:style w:type="table" w:customStyle="1" w:styleId="223">
    <w:name w:val="Grid Table 3 - Accent 1"/>
    <w:basedOn w:val="56"/>
    <w:qFormat/>
    <w:uiPriority w:val="99"/>
  </w:style>
  <w:style w:type="table" w:customStyle="1" w:styleId="224">
    <w:name w:val="Grid Table 3 - Accent 2"/>
    <w:basedOn w:val="56"/>
    <w:qFormat/>
    <w:uiPriority w:val="99"/>
  </w:style>
  <w:style w:type="table" w:customStyle="1" w:styleId="225">
    <w:name w:val="Grid Table 3 - Accent 3"/>
    <w:basedOn w:val="56"/>
    <w:qFormat/>
    <w:uiPriority w:val="99"/>
  </w:style>
  <w:style w:type="table" w:customStyle="1" w:styleId="226">
    <w:name w:val="Grid Table 3 - Accent 4"/>
    <w:basedOn w:val="56"/>
    <w:qFormat/>
    <w:uiPriority w:val="99"/>
  </w:style>
  <w:style w:type="table" w:customStyle="1" w:styleId="227">
    <w:name w:val="Grid Table 3 - Accent 5"/>
    <w:basedOn w:val="56"/>
    <w:qFormat/>
    <w:uiPriority w:val="99"/>
  </w:style>
  <w:style w:type="table" w:customStyle="1" w:styleId="228">
    <w:name w:val="Grid Table 3 - Accent 6"/>
    <w:basedOn w:val="56"/>
    <w:qFormat/>
    <w:uiPriority w:val="99"/>
  </w:style>
  <w:style w:type="table" w:customStyle="1" w:styleId="229">
    <w:name w:val="Grid Table 4 - Accent 1"/>
    <w:basedOn w:val="56"/>
    <w:qFormat/>
    <w:uiPriority w:val="59"/>
  </w:style>
  <w:style w:type="table" w:customStyle="1" w:styleId="230">
    <w:name w:val="Grid Table 4 - Accent 2"/>
    <w:basedOn w:val="56"/>
    <w:qFormat/>
    <w:uiPriority w:val="59"/>
  </w:style>
  <w:style w:type="table" w:customStyle="1" w:styleId="231">
    <w:name w:val="Grid Table 4 - Accent 3"/>
    <w:basedOn w:val="56"/>
    <w:qFormat/>
    <w:uiPriority w:val="59"/>
  </w:style>
  <w:style w:type="table" w:customStyle="1" w:styleId="232">
    <w:name w:val="Grid Table 4 - Accent 4"/>
    <w:basedOn w:val="56"/>
    <w:qFormat/>
    <w:uiPriority w:val="59"/>
  </w:style>
  <w:style w:type="table" w:customStyle="1" w:styleId="233">
    <w:name w:val="Grid Table 4 - Accent 5"/>
    <w:basedOn w:val="56"/>
    <w:qFormat/>
    <w:uiPriority w:val="59"/>
  </w:style>
  <w:style w:type="table" w:customStyle="1" w:styleId="234">
    <w:name w:val="Grid Table 4 - Accent 6"/>
    <w:basedOn w:val="56"/>
    <w:qFormat/>
    <w:uiPriority w:val="59"/>
  </w:style>
  <w:style w:type="table" w:customStyle="1" w:styleId="235">
    <w:name w:val="Grid Table 5 Dark- Accent 1"/>
    <w:basedOn w:val="56"/>
    <w:qFormat/>
    <w:uiPriority w:val="99"/>
  </w:style>
  <w:style w:type="table" w:customStyle="1" w:styleId="236">
    <w:name w:val="Grid Table 5 Dark - Accent 2"/>
    <w:basedOn w:val="56"/>
    <w:qFormat/>
    <w:uiPriority w:val="99"/>
  </w:style>
  <w:style w:type="table" w:customStyle="1" w:styleId="237">
    <w:name w:val="Grid Table 5 Dark - Accent 3"/>
    <w:basedOn w:val="56"/>
    <w:qFormat/>
    <w:uiPriority w:val="99"/>
  </w:style>
  <w:style w:type="table" w:customStyle="1" w:styleId="238">
    <w:name w:val="Grid Table 5 Dark- Accent 4"/>
    <w:basedOn w:val="56"/>
    <w:qFormat/>
    <w:uiPriority w:val="99"/>
  </w:style>
  <w:style w:type="table" w:customStyle="1" w:styleId="239">
    <w:name w:val="Grid Table 5 Dark - Accent 5"/>
    <w:basedOn w:val="56"/>
    <w:qFormat/>
    <w:uiPriority w:val="99"/>
  </w:style>
  <w:style w:type="table" w:customStyle="1" w:styleId="240">
    <w:name w:val="Grid Table 5 Dark - Accent 6"/>
    <w:basedOn w:val="56"/>
    <w:qFormat/>
    <w:uiPriority w:val="99"/>
  </w:style>
  <w:style w:type="table" w:customStyle="1" w:styleId="241">
    <w:name w:val="Grid Table 6 Colorful - Accent 1"/>
    <w:basedOn w:val="56"/>
    <w:qFormat/>
    <w:uiPriority w:val="99"/>
  </w:style>
  <w:style w:type="table" w:customStyle="1" w:styleId="242">
    <w:name w:val="Grid Table 6 Colorful - Accent 2"/>
    <w:basedOn w:val="56"/>
    <w:qFormat/>
    <w:uiPriority w:val="99"/>
  </w:style>
  <w:style w:type="table" w:customStyle="1" w:styleId="243">
    <w:name w:val="Grid Table 6 Colorful - Accent 3"/>
    <w:basedOn w:val="56"/>
    <w:qFormat/>
    <w:uiPriority w:val="99"/>
  </w:style>
  <w:style w:type="table" w:customStyle="1" w:styleId="244">
    <w:name w:val="Grid Table 6 Colorful - Accent 4"/>
    <w:basedOn w:val="56"/>
    <w:qFormat/>
    <w:uiPriority w:val="99"/>
  </w:style>
  <w:style w:type="table" w:customStyle="1" w:styleId="245">
    <w:name w:val="Grid Table 6 Colorful - Accent 5"/>
    <w:basedOn w:val="56"/>
    <w:qFormat/>
    <w:uiPriority w:val="99"/>
  </w:style>
  <w:style w:type="table" w:customStyle="1" w:styleId="246">
    <w:name w:val="Grid Table 6 Colorful - Accent 6"/>
    <w:basedOn w:val="56"/>
    <w:qFormat/>
    <w:uiPriority w:val="99"/>
  </w:style>
  <w:style w:type="table" w:customStyle="1" w:styleId="247">
    <w:name w:val="Grid Table 7 Colorful - Accent 1"/>
    <w:basedOn w:val="56"/>
    <w:qFormat/>
    <w:uiPriority w:val="99"/>
  </w:style>
  <w:style w:type="table" w:customStyle="1" w:styleId="248">
    <w:name w:val="Grid Table 7 Colorful - Accent 2"/>
    <w:basedOn w:val="56"/>
    <w:qFormat/>
    <w:uiPriority w:val="99"/>
  </w:style>
  <w:style w:type="table" w:customStyle="1" w:styleId="249">
    <w:name w:val="Grid Table 7 Colorful - Accent 3"/>
    <w:basedOn w:val="56"/>
    <w:qFormat/>
    <w:uiPriority w:val="99"/>
  </w:style>
  <w:style w:type="table" w:customStyle="1" w:styleId="250">
    <w:name w:val="Grid Table 7 Colorful - Accent 4"/>
    <w:basedOn w:val="56"/>
    <w:qFormat/>
    <w:uiPriority w:val="99"/>
  </w:style>
  <w:style w:type="table" w:customStyle="1" w:styleId="251">
    <w:name w:val="Grid Table 7 Colorful - Accent 5"/>
    <w:basedOn w:val="56"/>
    <w:qFormat/>
    <w:uiPriority w:val="99"/>
  </w:style>
  <w:style w:type="table" w:customStyle="1" w:styleId="252">
    <w:name w:val="Grid Table 7 Colorful - Accent 6"/>
    <w:basedOn w:val="56"/>
    <w:qFormat/>
    <w:uiPriority w:val="99"/>
  </w:style>
  <w:style w:type="table" w:customStyle="1" w:styleId="253">
    <w:name w:val="List Table 1 Light - Accent 1"/>
    <w:basedOn w:val="56"/>
    <w:qFormat/>
    <w:uiPriority w:val="99"/>
  </w:style>
  <w:style w:type="table" w:customStyle="1" w:styleId="254">
    <w:name w:val="List Table 1 Light - Accent 2"/>
    <w:basedOn w:val="56"/>
    <w:qFormat/>
    <w:uiPriority w:val="99"/>
  </w:style>
  <w:style w:type="table" w:customStyle="1" w:styleId="255">
    <w:name w:val="List Table 1 Light - Accent 3"/>
    <w:basedOn w:val="56"/>
    <w:qFormat/>
    <w:uiPriority w:val="99"/>
  </w:style>
  <w:style w:type="table" w:customStyle="1" w:styleId="256">
    <w:name w:val="List Table 1 Light - Accent 4"/>
    <w:basedOn w:val="56"/>
    <w:qFormat/>
    <w:uiPriority w:val="99"/>
  </w:style>
  <w:style w:type="table" w:customStyle="1" w:styleId="257">
    <w:name w:val="List Table 1 Light - Accent 5"/>
    <w:basedOn w:val="56"/>
    <w:qFormat/>
    <w:uiPriority w:val="99"/>
  </w:style>
  <w:style w:type="table" w:customStyle="1" w:styleId="258">
    <w:name w:val="List Table 1 Light - Accent 6"/>
    <w:basedOn w:val="56"/>
    <w:qFormat/>
    <w:uiPriority w:val="99"/>
  </w:style>
  <w:style w:type="table" w:customStyle="1" w:styleId="259">
    <w:name w:val="List Table 2 - Accent 1"/>
    <w:basedOn w:val="56"/>
    <w:qFormat/>
    <w:uiPriority w:val="99"/>
  </w:style>
  <w:style w:type="table" w:customStyle="1" w:styleId="260">
    <w:name w:val="List Table 2 - Accent 2"/>
    <w:basedOn w:val="56"/>
    <w:qFormat/>
    <w:uiPriority w:val="99"/>
  </w:style>
  <w:style w:type="table" w:customStyle="1" w:styleId="261">
    <w:name w:val="List Table 2 - Accent 3"/>
    <w:basedOn w:val="56"/>
    <w:qFormat/>
    <w:uiPriority w:val="99"/>
  </w:style>
  <w:style w:type="table" w:customStyle="1" w:styleId="262">
    <w:name w:val="List Table 2 - Accent 4"/>
    <w:basedOn w:val="56"/>
    <w:qFormat/>
    <w:uiPriority w:val="99"/>
  </w:style>
  <w:style w:type="table" w:customStyle="1" w:styleId="263">
    <w:name w:val="List Table 2 - Accent 5"/>
    <w:basedOn w:val="56"/>
    <w:qFormat/>
    <w:uiPriority w:val="99"/>
  </w:style>
  <w:style w:type="table" w:customStyle="1" w:styleId="264">
    <w:name w:val="List Table 2 - Accent 6"/>
    <w:basedOn w:val="56"/>
    <w:qFormat/>
    <w:uiPriority w:val="99"/>
  </w:style>
  <w:style w:type="table" w:customStyle="1" w:styleId="265">
    <w:name w:val="List Table 3 - Accent 1"/>
    <w:basedOn w:val="56"/>
    <w:qFormat/>
    <w:uiPriority w:val="99"/>
  </w:style>
  <w:style w:type="table" w:customStyle="1" w:styleId="266">
    <w:name w:val="List Table 3 - Accent 2"/>
    <w:basedOn w:val="56"/>
    <w:qFormat/>
    <w:uiPriority w:val="99"/>
  </w:style>
  <w:style w:type="table" w:customStyle="1" w:styleId="267">
    <w:name w:val="List Table 3 - Accent 3"/>
    <w:basedOn w:val="56"/>
    <w:qFormat/>
    <w:uiPriority w:val="99"/>
  </w:style>
  <w:style w:type="table" w:customStyle="1" w:styleId="268">
    <w:name w:val="List Table 3 - Accent 4"/>
    <w:basedOn w:val="56"/>
    <w:qFormat/>
    <w:uiPriority w:val="99"/>
  </w:style>
  <w:style w:type="table" w:customStyle="1" w:styleId="269">
    <w:name w:val="List Table 3 - Accent 5"/>
    <w:basedOn w:val="56"/>
    <w:qFormat/>
    <w:uiPriority w:val="99"/>
  </w:style>
  <w:style w:type="table" w:customStyle="1" w:styleId="270">
    <w:name w:val="List Table 3 - Accent 6"/>
    <w:basedOn w:val="56"/>
    <w:qFormat/>
    <w:uiPriority w:val="99"/>
  </w:style>
  <w:style w:type="table" w:customStyle="1" w:styleId="271">
    <w:name w:val="List Table 4 - Accent 1"/>
    <w:basedOn w:val="56"/>
    <w:qFormat/>
    <w:uiPriority w:val="99"/>
  </w:style>
  <w:style w:type="table" w:customStyle="1" w:styleId="272">
    <w:name w:val="List Table 4 - Accent 2"/>
    <w:basedOn w:val="56"/>
    <w:qFormat/>
    <w:uiPriority w:val="99"/>
  </w:style>
  <w:style w:type="table" w:customStyle="1" w:styleId="273">
    <w:name w:val="List Table 4 - Accent 3"/>
    <w:basedOn w:val="56"/>
    <w:qFormat/>
    <w:uiPriority w:val="99"/>
  </w:style>
  <w:style w:type="table" w:customStyle="1" w:styleId="274">
    <w:name w:val="List Table 4 - Accent 4"/>
    <w:basedOn w:val="56"/>
    <w:qFormat/>
    <w:uiPriority w:val="99"/>
  </w:style>
  <w:style w:type="table" w:customStyle="1" w:styleId="275">
    <w:name w:val="List Table 4 - Accent 5"/>
    <w:basedOn w:val="56"/>
    <w:qFormat/>
    <w:uiPriority w:val="99"/>
  </w:style>
  <w:style w:type="table" w:customStyle="1" w:styleId="276">
    <w:name w:val="List Table 4 - Accent 6"/>
    <w:basedOn w:val="56"/>
    <w:qFormat/>
    <w:uiPriority w:val="99"/>
  </w:style>
  <w:style w:type="table" w:customStyle="1" w:styleId="277">
    <w:name w:val="List Table 5 Dark - Accent 1"/>
    <w:basedOn w:val="56"/>
    <w:qFormat/>
    <w:uiPriority w:val="99"/>
  </w:style>
  <w:style w:type="table" w:customStyle="1" w:styleId="278">
    <w:name w:val="List Table 5 Dark - Accent 2"/>
    <w:basedOn w:val="56"/>
    <w:qFormat/>
    <w:uiPriority w:val="99"/>
  </w:style>
  <w:style w:type="table" w:customStyle="1" w:styleId="279">
    <w:name w:val="List Table 5 Dark - Accent 3"/>
    <w:basedOn w:val="56"/>
    <w:qFormat/>
    <w:uiPriority w:val="99"/>
  </w:style>
  <w:style w:type="table" w:customStyle="1" w:styleId="280">
    <w:name w:val="List Table 5 Dark - Accent 4"/>
    <w:basedOn w:val="56"/>
    <w:qFormat/>
    <w:uiPriority w:val="99"/>
  </w:style>
  <w:style w:type="table" w:customStyle="1" w:styleId="281">
    <w:name w:val="List Table 5 Dark - Accent 5"/>
    <w:basedOn w:val="56"/>
    <w:qFormat/>
    <w:uiPriority w:val="99"/>
  </w:style>
  <w:style w:type="table" w:customStyle="1" w:styleId="282">
    <w:name w:val="List Table 5 Dark - Accent 6"/>
    <w:basedOn w:val="56"/>
    <w:qFormat/>
    <w:uiPriority w:val="99"/>
  </w:style>
  <w:style w:type="table" w:customStyle="1" w:styleId="283">
    <w:name w:val="List Table 6 Colorful - Accent 1"/>
    <w:basedOn w:val="56"/>
    <w:qFormat/>
    <w:uiPriority w:val="99"/>
  </w:style>
  <w:style w:type="table" w:customStyle="1" w:styleId="284">
    <w:name w:val="List Table 6 Colorful - Accent 2"/>
    <w:basedOn w:val="56"/>
    <w:qFormat/>
    <w:uiPriority w:val="99"/>
  </w:style>
  <w:style w:type="table" w:customStyle="1" w:styleId="285">
    <w:name w:val="List Table 6 Colorful - Accent 3"/>
    <w:basedOn w:val="56"/>
    <w:qFormat/>
    <w:uiPriority w:val="99"/>
  </w:style>
  <w:style w:type="table" w:customStyle="1" w:styleId="286">
    <w:name w:val="List Table 6 Colorful - Accent 4"/>
    <w:basedOn w:val="56"/>
    <w:qFormat/>
    <w:uiPriority w:val="99"/>
  </w:style>
  <w:style w:type="table" w:customStyle="1" w:styleId="287">
    <w:name w:val="List Table 6 Colorful - Accent 5"/>
    <w:basedOn w:val="56"/>
    <w:qFormat/>
    <w:uiPriority w:val="99"/>
  </w:style>
  <w:style w:type="table" w:customStyle="1" w:styleId="288">
    <w:name w:val="List Table 6 Colorful - Accent 6"/>
    <w:basedOn w:val="56"/>
    <w:qFormat/>
    <w:uiPriority w:val="99"/>
  </w:style>
  <w:style w:type="table" w:customStyle="1" w:styleId="289">
    <w:name w:val="List Table 7 Colorful - Accent 1"/>
    <w:basedOn w:val="56"/>
    <w:qFormat/>
    <w:uiPriority w:val="99"/>
  </w:style>
  <w:style w:type="table" w:customStyle="1" w:styleId="290">
    <w:name w:val="List Table 7 Colorful - Accent 2"/>
    <w:basedOn w:val="56"/>
    <w:qFormat/>
    <w:uiPriority w:val="99"/>
  </w:style>
  <w:style w:type="table" w:customStyle="1" w:styleId="291">
    <w:name w:val="List Table 7 Colorful - Accent 3"/>
    <w:basedOn w:val="56"/>
    <w:qFormat/>
    <w:uiPriority w:val="99"/>
  </w:style>
  <w:style w:type="table" w:customStyle="1" w:styleId="292">
    <w:name w:val="List Table 7 Colorful - Accent 4"/>
    <w:basedOn w:val="56"/>
    <w:qFormat/>
    <w:uiPriority w:val="99"/>
  </w:style>
  <w:style w:type="table" w:customStyle="1" w:styleId="293">
    <w:name w:val="List Table 7 Colorful - Accent 5"/>
    <w:basedOn w:val="56"/>
    <w:qFormat/>
    <w:uiPriority w:val="99"/>
  </w:style>
  <w:style w:type="table" w:customStyle="1" w:styleId="294">
    <w:name w:val="List Table 7 Colorful - Accent 6"/>
    <w:basedOn w:val="56"/>
    <w:qFormat/>
    <w:uiPriority w:val="99"/>
  </w:style>
  <w:style w:type="table" w:customStyle="1" w:styleId="295">
    <w:name w:val="Lined - Accent"/>
    <w:basedOn w:val="56"/>
    <w:qFormat/>
    <w:uiPriority w:val="99"/>
    <w:rPr>
      <w:color w:val="404040"/>
    </w:rPr>
  </w:style>
  <w:style w:type="table" w:customStyle="1" w:styleId="296">
    <w:name w:val="Lined - Accent 1"/>
    <w:basedOn w:val="56"/>
    <w:qFormat/>
    <w:uiPriority w:val="99"/>
    <w:rPr>
      <w:color w:val="404040"/>
    </w:rPr>
  </w:style>
  <w:style w:type="table" w:customStyle="1" w:styleId="297">
    <w:name w:val="Lined - Accent 2"/>
    <w:basedOn w:val="56"/>
    <w:qFormat/>
    <w:uiPriority w:val="99"/>
    <w:rPr>
      <w:color w:val="404040"/>
    </w:rPr>
  </w:style>
  <w:style w:type="table" w:customStyle="1" w:styleId="298">
    <w:name w:val="Lined - Accent 3"/>
    <w:basedOn w:val="56"/>
    <w:qFormat/>
    <w:uiPriority w:val="99"/>
    <w:rPr>
      <w:color w:val="404040"/>
    </w:rPr>
  </w:style>
  <w:style w:type="table" w:customStyle="1" w:styleId="299">
    <w:name w:val="Lined - Accent 4"/>
    <w:basedOn w:val="56"/>
    <w:qFormat/>
    <w:uiPriority w:val="99"/>
    <w:rPr>
      <w:color w:val="404040"/>
    </w:rPr>
  </w:style>
  <w:style w:type="table" w:customStyle="1" w:styleId="300">
    <w:name w:val="Lined - Accent 5"/>
    <w:basedOn w:val="56"/>
    <w:qFormat/>
    <w:uiPriority w:val="99"/>
    <w:rPr>
      <w:color w:val="404040"/>
    </w:rPr>
  </w:style>
  <w:style w:type="table" w:customStyle="1" w:styleId="301">
    <w:name w:val="Lined - Accent 6"/>
    <w:basedOn w:val="56"/>
    <w:qFormat/>
    <w:uiPriority w:val="99"/>
    <w:rPr>
      <w:color w:val="404040"/>
    </w:rPr>
  </w:style>
  <w:style w:type="table" w:customStyle="1" w:styleId="302">
    <w:name w:val="Bordered &amp; Lined - Accent"/>
    <w:basedOn w:val="56"/>
    <w:qFormat/>
    <w:uiPriority w:val="99"/>
    <w:rPr>
      <w:color w:val="404040"/>
    </w:rPr>
  </w:style>
  <w:style w:type="table" w:customStyle="1" w:styleId="303">
    <w:name w:val="Bordered &amp; Lined - Accent 1"/>
    <w:basedOn w:val="56"/>
    <w:qFormat/>
    <w:uiPriority w:val="99"/>
    <w:rPr>
      <w:color w:val="404040"/>
    </w:rPr>
  </w:style>
  <w:style w:type="table" w:customStyle="1" w:styleId="304">
    <w:name w:val="Bordered &amp; Lined - Accent 2"/>
    <w:basedOn w:val="56"/>
    <w:qFormat/>
    <w:uiPriority w:val="99"/>
    <w:rPr>
      <w:color w:val="404040"/>
    </w:rPr>
  </w:style>
  <w:style w:type="table" w:customStyle="1" w:styleId="305">
    <w:name w:val="Bordered &amp; Lined - Accent 3"/>
    <w:basedOn w:val="56"/>
    <w:qFormat/>
    <w:uiPriority w:val="99"/>
    <w:rPr>
      <w:color w:val="404040"/>
    </w:rPr>
  </w:style>
  <w:style w:type="table" w:customStyle="1" w:styleId="306">
    <w:name w:val="Bordered &amp; Lined - Accent 4"/>
    <w:basedOn w:val="56"/>
    <w:qFormat/>
    <w:uiPriority w:val="99"/>
    <w:rPr>
      <w:color w:val="404040"/>
    </w:rPr>
  </w:style>
  <w:style w:type="table" w:customStyle="1" w:styleId="307">
    <w:name w:val="Bordered &amp; Lined - Accent 5"/>
    <w:basedOn w:val="56"/>
    <w:qFormat/>
    <w:uiPriority w:val="99"/>
    <w:rPr>
      <w:color w:val="404040"/>
    </w:rPr>
  </w:style>
  <w:style w:type="table" w:customStyle="1" w:styleId="308">
    <w:name w:val="Bordered &amp; Lined - Accent 6"/>
    <w:basedOn w:val="56"/>
    <w:qFormat/>
    <w:uiPriority w:val="99"/>
    <w:rPr>
      <w:color w:val="404040"/>
    </w:rPr>
  </w:style>
  <w:style w:type="table" w:customStyle="1" w:styleId="309">
    <w:name w:val="Bordered"/>
    <w:basedOn w:val="56"/>
    <w:qFormat/>
    <w:uiPriority w:val="99"/>
  </w:style>
  <w:style w:type="table" w:customStyle="1" w:styleId="310">
    <w:name w:val="Bordered - Accent 1"/>
    <w:basedOn w:val="56"/>
    <w:qFormat/>
    <w:uiPriority w:val="99"/>
  </w:style>
  <w:style w:type="table" w:customStyle="1" w:styleId="311">
    <w:name w:val="Bordered - Accent 2"/>
    <w:basedOn w:val="56"/>
    <w:qFormat/>
    <w:uiPriority w:val="99"/>
  </w:style>
  <w:style w:type="table" w:customStyle="1" w:styleId="312">
    <w:name w:val="Bordered - Accent 3"/>
    <w:basedOn w:val="56"/>
    <w:qFormat/>
    <w:uiPriority w:val="99"/>
  </w:style>
  <w:style w:type="table" w:customStyle="1" w:styleId="313">
    <w:name w:val="Bordered - Accent 4"/>
    <w:basedOn w:val="56"/>
    <w:qFormat/>
    <w:uiPriority w:val="99"/>
  </w:style>
  <w:style w:type="table" w:customStyle="1" w:styleId="314">
    <w:name w:val="Bordered - Accent 5"/>
    <w:basedOn w:val="56"/>
    <w:qFormat/>
    <w:uiPriority w:val="99"/>
  </w:style>
  <w:style w:type="table" w:customStyle="1" w:styleId="315">
    <w:name w:val="Bordered - Accent 6"/>
    <w:basedOn w:val="56"/>
    <w:qFormat/>
    <w:uiPriority w:val="99"/>
  </w:style>
  <w:style w:type="paragraph" w:customStyle="1" w:styleId="316">
    <w:name w:val="TOC 标题11"/>
    <w:unhideWhenUsed/>
    <w:qFormat/>
    <w:uiPriority w:val="39"/>
    <w:rPr>
      <w:rFonts w:hint="default" w:ascii="Times New Roman" w:hAnsi="Times New Roman" w:eastAsia="宋体" w:cs="Times New Roman"/>
      <w:lang w:val="en-US" w:eastAsia="zh-CN" w:bidi="ar-SA"/>
    </w:rPr>
  </w:style>
  <w:style w:type="paragraph" w:customStyle="1" w:styleId="317">
    <w:name w:val="Normal_0"/>
    <w:qFormat/>
    <w:uiPriority w:val="99"/>
    <w:rPr>
      <w:rFonts w:hint="default" w:ascii="黑体" w:hAnsi="黑体" w:eastAsia="黑体" w:cs="Times New Roman"/>
      <w:b/>
      <w:sz w:val="32"/>
      <w:szCs w:val="24"/>
      <w:lang w:val="en-US" w:eastAsia="zh-CN" w:bidi="ar-SA"/>
    </w:rPr>
  </w:style>
  <w:style w:type="paragraph" w:customStyle="1" w:styleId="318">
    <w:name w:val="正文1"/>
    <w:next w:val="47"/>
    <w:qFormat/>
    <w:uiPriority w:val="99"/>
    <w:rPr>
      <w:rFonts w:hint="default" w:ascii="Times New Roman" w:hAnsi="Times New Roman" w:eastAsia="Times New Roman" w:cs="Times New Roman"/>
      <w:sz w:val="24"/>
      <w:szCs w:val="24"/>
      <w:lang w:val="en-US" w:eastAsia="zh-CN" w:bidi="ar-SA"/>
    </w:rPr>
  </w:style>
  <w:style w:type="paragraph" w:customStyle="1" w:styleId="319">
    <w:name w:val="Normal_0_3"/>
    <w:qFormat/>
    <w:uiPriority w:val="99"/>
    <w:rPr>
      <w:rFonts w:hint="default" w:ascii="黑体" w:hAnsi="黑体" w:eastAsia="黑体" w:cs="黑体"/>
      <w:b/>
      <w:sz w:val="32"/>
      <w:szCs w:val="24"/>
      <w:lang w:val="en-US" w:eastAsia="zh-CN" w:bidi="ar-SA"/>
    </w:rPr>
  </w:style>
  <w:style w:type="paragraph" w:customStyle="1" w:styleId="320">
    <w:name w:val="Normal_0_2"/>
    <w:next w:val="321"/>
    <w:qFormat/>
    <w:uiPriority w:val="99"/>
    <w:rPr>
      <w:rFonts w:hint="default" w:ascii="黑体" w:hAnsi="黑体" w:eastAsia="黑体" w:cs="黑体"/>
      <w:b/>
      <w:sz w:val="32"/>
      <w:szCs w:val="24"/>
      <w:lang w:val="en-US" w:eastAsia="zh-CN" w:bidi="ar-SA"/>
    </w:rPr>
  </w:style>
  <w:style w:type="paragraph" w:customStyle="1" w:styleId="321">
    <w:name w:val="Body Text First Indent_1"/>
    <w:basedOn w:val="322"/>
    <w:unhideWhenUsed/>
    <w:qFormat/>
    <w:uiPriority w:val="99"/>
    <w:pPr>
      <w:spacing w:after="120"/>
      <w:ind w:firstLine="420"/>
    </w:pPr>
    <w:rPr>
      <w:rFonts w:eastAsia="Times New Roman"/>
      <w:sz w:val="20"/>
    </w:rPr>
  </w:style>
  <w:style w:type="paragraph" w:customStyle="1" w:styleId="322">
    <w:name w:val="Normal11"/>
    <w:next w:val="47"/>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323">
    <w:name w:val="Normal_1_2"/>
    <w:qFormat/>
    <w:uiPriority w:val="99"/>
    <w:rPr>
      <w:rFonts w:hint="default" w:ascii="Times New Roman" w:hAnsi="Times New Roman" w:eastAsia="Times New Roman" w:cs="Times New Roman"/>
      <w:sz w:val="24"/>
      <w:szCs w:val="24"/>
      <w:lang w:val="en-US" w:eastAsia="zh-CN" w:bidi="ar-SA"/>
    </w:rPr>
  </w:style>
  <w:style w:type="paragraph" w:customStyle="1" w:styleId="324">
    <w:name w:val="Normal_0_1"/>
    <w:next w:val="325"/>
    <w:qFormat/>
    <w:uiPriority w:val="99"/>
    <w:rPr>
      <w:rFonts w:hint="default" w:ascii="黑体" w:hAnsi="黑体" w:eastAsia="黑体" w:cs="黑体"/>
      <w:b/>
      <w:sz w:val="32"/>
      <w:szCs w:val="24"/>
      <w:lang w:val="en-US" w:eastAsia="zh-CN" w:bidi="ar-SA"/>
    </w:rPr>
  </w:style>
  <w:style w:type="paragraph" w:customStyle="1" w:styleId="325">
    <w:name w:val="Body Text First Indent_0"/>
    <w:basedOn w:val="326"/>
    <w:unhideWhenUsed/>
    <w:qFormat/>
    <w:uiPriority w:val="0"/>
    <w:pPr>
      <w:spacing w:after="120"/>
      <w:ind w:firstLine="420"/>
    </w:pPr>
    <w:rPr>
      <w:rFonts w:eastAsia="Times New Roman"/>
    </w:rPr>
  </w:style>
  <w:style w:type="paragraph" w:customStyle="1" w:styleId="326">
    <w:name w:val="正文3"/>
    <w:next w:val="327"/>
    <w:qFormat/>
    <w:uiPriority w:val="99"/>
    <w:rPr>
      <w:rFonts w:hint="default" w:ascii="Times New Roman" w:hAnsi="Times New Roman" w:eastAsia="Times New Roman" w:cs="Times New Roman"/>
      <w:sz w:val="24"/>
      <w:szCs w:val="24"/>
      <w:lang w:val="en-US" w:eastAsia="zh-CN" w:bidi="ar-SA"/>
    </w:rPr>
  </w:style>
  <w:style w:type="paragraph" w:customStyle="1" w:styleId="327">
    <w:name w:val="正文首行缩进3"/>
    <w:basedOn w:val="318"/>
    <w:unhideWhenUsed/>
    <w:qFormat/>
    <w:uiPriority w:val="99"/>
    <w:pPr>
      <w:spacing w:after="120"/>
      <w:ind w:firstLine="420"/>
    </w:pPr>
    <w:rPr>
      <w:sz w:val="20"/>
    </w:rPr>
  </w:style>
  <w:style w:type="paragraph" w:customStyle="1" w:styleId="328">
    <w:name w:val="Normal_1_1"/>
    <w:qFormat/>
    <w:uiPriority w:val="99"/>
    <w:rPr>
      <w:rFonts w:hint="default" w:ascii="黑体" w:hAnsi="黑体" w:eastAsia="黑体" w:cs="黑体"/>
      <w:b/>
      <w:sz w:val="32"/>
      <w:szCs w:val="24"/>
      <w:lang w:val="en-US" w:eastAsia="zh-CN" w:bidi="ar-SA"/>
    </w:rPr>
  </w:style>
  <w:style w:type="paragraph" w:customStyle="1" w:styleId="329">
    <w:name w:val="正文_0_1"/>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30">
    <w:name w:val="正文_1_1"/>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31">
    <w:name w:val="Normal_2_0"/>
    <w:qFormat/>
    <w:uiPriority w:val="99"/>
    <w:rPr>
      <w:rFonts w:hint="default" w:ascii="黑体" w:hAnsi="黑体" w:eastAsia="黑体" w:cs="黑体"/>
      <w:b/>
      <w:sz w:val="32"/>
      <w:szCs w:val="24"/>
      <w:lang w:val="en-US" w:eastAsia="zh-CN" w:bidi="ar-SA"/>
    </w:rPr>
  </w:style>
  <w:style w:type="paragraph" w:customStyle="1" w:styleId="332">
    <w:name w:val="Normal_3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33">
    <w:name w:val="Normal_4_0"/>
    <w:qFormat/>
    <w:uiPriority w:val="0"/>
    <w:rPr>
      <w:rFonts w:hint="default" w:ascii="黑体" w:hAnsi="黑体" w:eastAsia="黑体" w:cs="黑体"/>
      <w:b/>
      <w:sz w:val="32"/>
      <w:szCs w:val="24"/>
      <w:lang w:val="en-US" w:eastAsia="zh-CN" w:bidi="ar-SA"/>
    </w:rPr>
  </w:style>
  <w:style w:type="paragraph" w:customStyle="1" w:styleId="334">
    <w:name w:val="Normal_5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35">
    <w:name w:val="Normal_6_0"/>
    <w:qFormat/>
    <w:uiPriority w:val="99"/>
    <w:rPr>
      <w:rFonts w:hint="default" w:ascii="黑体" w:hAnsi="黑体" w:eastAsia="黑体" w:cs="黑体"/>
      <w:b/>
      <w:sz w:val="32"/>
      <w:szCs w:val="24"/>
      <w:lang w:val="en-US" w:eastAsia="zh-CN" w:bidi="ar-SA"/>
    </w:rPr>
  </w:style>
  <w:style w:type="paragraph" w:customStyle="1" w:styleId="336">
    <w:name w:val="正文_1_0_0"/>
    <w:qFormat/>
    <w:uiPriority w:val="99"/>
    <w:pPr>
      <w:widowControl w:val="0"/>
      <w:jc w:val="both"/>
    </w:pPr>
    <w:rPr>
      <w:rFonts w:hint="default" w:ascii="Times New Roman" w:hAnsi="Times New Roman" w:eastAsia="宋体" w:cs="Times New Roman"/>
      <w:sz w:val="21"/>
      <w:lang w:val="en-US" w:eastAsia="zh-CN" w:bidi="ar-SA"/>
    </w:rPr>
  </w:style>
  <w:style w:type="paragraph" w:customStyle="1" w:styleId="337">
    <w:name w:val="正文_0_0_0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38">
    <w:name w:val="正文_1_0_0_0"/>
    <w:qFormat/>
    <w:uiPriority w:val="99"/>
    <w:pPr>
      <w:widowControl w:val="0"/>
      <w:jc w:val="both"/>
    </w:pPr>
    <w:rPr>
      <w:rFonts w:hint="default" w:ascii="Times New Roman" w:hAnsi="Times New Roman" w:eastAsia="宋体" w:cs="Times New Roman"/>
      <w:sz w:val="21"/>
      <w:lang w:val="en-US" w:eastAsia="zh-CN" w:bidi="ar-SA"/>
    </w:rPr>
  </w:style>
  <w:style w:type="paragraph" w:customStyle="1" w:styleId="339">
    <w:name w:val="Normal_7_0"/>
    <w:qFormat/>
    <w:uiPriority w:val="99"/>
    <w:rPr>
      <w:rFonts w:hint="default" w:ascii="黑体" w:hAnsi="黑体" w:eastAsia="黑体" w:cs="黑体"/>
      <w:b/>
      <w:sz w:val="32"/>
      <w:szCs w:val="24"/>
      <w:lang w:val="en-US" w:eastAsia="zh-CN" w:bidi="ar-SA"/>
    </w:rPr>
  </w:style>
  <w:style w:type="paragraph" w:customStyle="1" w:styleId="340">
    <w:name w:val="Normal_8_0"/>
    <w:qFormat/>
    <w:uiPriority w:val="99"/>
    <w:rPr>
      <w:rFonts w:hint="default" w:ascii="Times New Roman" w:hAnsi="Times New Roman" w:eastAsia="Times New Roman" w:cs="Times New Roman"/>
      <w:sz w:val="24"/>
      <w:szCs w:val="24"/>
      <w:lang w:val="en-US" w:eastAsia="zh-CN" w:bidi="ar-SA"/>
    </w:rPr>
  </w:style>
  <w:style w:type="paragraph" w:customStyle="1" w:styleId="341">
    <w:name w:val="Normal_9_0"/>
    <w:qFormat/>
    <w:uiPriority w:val="99"/>
    <w:rPr>
      <w:rFonts w:hint="default" w:ascii="Times New Roman" w:hAnsi="Times New Roman" w:eastAsia="Times New Roman" w:cs="Times New Roman"/>
      <w:sz w:val="24"/>
      <w:szCs w:val="24"/>
      <w:lang w:val="en-US" w:eastAsia="zh-CN" w:bidi="ar-SA"/>
    </w:rPr>
  </w:style>
  <w:style w:type="paragraph" w:customStyle="1" w:styleId="342">
    <w:name w:val="Normal_10_0"/>
    <w:qFormat/>
    <w:uiPriority w:val="99"/>
    <w:rPr>
      <w:rFonts w:hint="default" w:ascii="黑体" w:hAnsi="黑体" w:eastAsia="黑体" w:cs="黑体"/>
      <w:b/>
      <w:sz w:val="32"/>
      <w:szCs w:val="24"/>
      <w:lang w:val="en-US" w:eastAsia="zh-CN" w:bidi="ar-SA"/>
    </w:rPr>
  </w:style>
  <w:style w:type="paragraph" w:customStyle="1" w:styleId="343">
    <w:name w:val="正文_3"/>
    <w:next w:val="34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4">
    <w:name w:val="段_1"/>
    <w:next w:val="343"/>
    <w:qFormat/>
    <w:uiPriority w:val="0"/>
    <w:pPr>
      <w:tabs>
        <w:tab w:val="center" w:pos="4201"/>
        <w:tab w:val="right" w:leader="dot" w:pos="9298"/>
      </w:tabs>
      <w:ind w:firstLine="420"/>
      <w:jc w:val="both"/>
    </w:pPr>
    <w:rPr>
      <w:rFonts w:hint="default" w:ascii="Calibri Light" w:hAnsi="Wingdings" w:eastAsia="宋体" w:cs="Times New Roman"/>
      <w:sz w:val="21"/>
      <w:lang w:val="en-US" w:eastAsia="zh-CN" w:bidi="ar-SA"/>
    </w:rPr>
  </w:style>
  <w:style w:type="paragraph" w:customStyle="1" w:styleId="345">
    <w:name w:val="正文首行缩进 2_1"/>
    <w:basedOn w:val="346"/>
    <w:next w:val="347"/>
    <w:qFormat/>
    <w:uiPriority w:val="0"/>
    <w:pPr>
      <w:spacing w:after="120"/>
      <w:ind w:left="200" w:firstLine="200"/>
    </w:pPr>
    <w:rPr>
      <w:rFonts w:ascii="Times New Roman"/>
      <w:szCs w:val="24"/>
    </w:rPr>
  </w:style>
  <w:style w:type="paragraph" w:customStyle="1" w:styleId="346">
    <w:name w:val="正文文本缩进_1"/>
    <w:basedOn w:val="180"/>
    <w:next w:val="345"/>
    <w:qFormat/>
    <w:uiPriority w:val="0"/>
    <w:pPr>
      <w:ind w:firstLine="225"/>
    </w:pPr>
    <w:rPr>
      <w:rFonts w:ascii="仿宋_GB2312" w:eastAsia="仿宋_GB2312"/>
      <w:sz w:val="32"/>
    </w:rPr>
  </w:style>
  <w:style w:type="paragraph" w:customStyle="1" w:styleId="347">
    <w:name w:val="xl53_0"/>
    <w:next w:val="343"/>
    <w:qFormat/>
    <w:uiPriority w:val="99"/>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348">
    <w:name w:val="正文_18"/>
    <w:next w:val="346"/>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49">
    <w:name w:val="正文_4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50">
    <w:name w:val="Normal_11_0"/>
    <w:qFormat/>
    <w:uiPriority w:val="0"/>
    <w:rPr>
      <w:rFonts w:hint="default" w:ascii="黑体" w:hAnsi="黑体" w:eastAsia="黑体" w:cs="黑体"/>
      <w:b/>
      <w:sz w:val="32"/>
      <w:szCs w:val="24"/>
      <w:lang w:val="en-US" w:eastAsia="zh-CN" w:bidi="ar-SA"/>
    </w:rPr>
  </w:style>
  <w:style w:type="paragraph" w:customStyle="1" w:styleId="351">
    <w:name w:val="Normal_12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52">
    <w:name w:val="正文_9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53">
    <w:name w:val="正文_8_1"/>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54">
    <w:name w:val="正文_1_0_0_0_0"/>
    <w:qFormat/>
    <w:uiPriority w:val="99"/>
    <w:pPr>
      <w:widowControl w:val="0"/>
      <w:jc w:val="both"/>
    </w:pPr>
    <w:rPr>
      <w:rFonts w:hint="default" w:ascii="Times New Roman" w:hAnsi="Times New Roman" w:eastAsia="宋体" w:cs="Times New Roman"/>
      <w:sz w:val="21"/>
      <w:lang w:val="en-US" w:eastAsia="zh-CN" w:bidi="ar-SA"/>
    </w:rPr>
  </w:style>
  <w:style w:type="paragraph" w:customStyle="1" w:styleId="355">
    <w:name w:val="列出段落_2"/>
    <w:basedOn w:val="353"/>
    <w:qFormat/>
    <w:uiPriority w:val="34"/>
    <w:pPr>
      <w:ind w:firstLine="420"/>
    </w:pPr>
  </w:style>
  <w:style w:type="paragraph" w:customStyle="1" w:styleId="356">
    <w:name w:val="Normal_13_0"/>
    <w:qFormat/>
    <w:uiPriority w:val="99"/>
    <w:rPr>
      <w:rFonts w:hint="default" w:ascii="黑体" w:hAnsi="黑体" w:eastAsia="黑体" w:cs="黑体"/>
      <w:b/>
      <w:sz w:val="32"/>
      <w:szCs w:val="24"/>
      <w:lang w:val="en-US" w:eastAsia="zh-CN" w:bidi="ar-SA"/>
    </w:rPr>
  </w:style>
  <w:style w:type="paragraph" w:customStyle="1" w:styleId="357">
    <w:name w:val="正文_7_1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58">
    <w:name w:val="纯文本_0_0"/>
    <w:basedOn w:val="357"/>
    <w:link w:val="359"/>
    <w:unhideWhenUsed/>
    <w:qFormat/>
    <w:uiPriority w:val="0"/>
    <w:rPr>
      <w:rFonts w:ascii="宋体" w:hAnsi="Courier New"/>
      <w:szCs w:val="21"/>
    </w:rPr>
  </w:style>
  <w:style w:type="character" w:customStyle="1" w:styleId="359">
    <w:name w:val="纯文本 Char_0_0"/>
    <w:link w:val="358"/>
    <w:qFormat/>
    <w:uiPriority w:val="0"/>
    <w:rPr>
      <w:rFonts w:ascii="宋体" w:hAnsi="Courier New"/>
      <w:sz w:val="21"/>
      <w:szCs w:val="21"/>
    </w:rPr>
  </w:style>
  <w:style w:type="paragraph" w:customStyle="1" w:styleId="360">
    <w:name w:val="正文_8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61">
    <w:name w:val="Normal_14_0"/>
    <w:qFormat/>
    <w:uiPriority w:val="99"/>
    <w:rPr>
      <w:rFonts w:hint="default" w:ascii="黑体" w:hAnsi="黑体" w:eastAsia="黑体" w:cs="黑体"/>
      <w:b/>
      <w:sz w:val="32"/>
      <w:szCs w:val="24"/>
      <w:lang w:val="en-US" w:eastAsia="zh-CN" w:bidi="ar-SA"/>
    </w:rPr>
  </w:style>
  <w:style w:type="paragraph" w:customStyle="1" w:styleId="362">
    <w:name w:val="正文_6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63">
    <w:name w:val="Normal_15_0"/>
    <w:qFormat/>
    <w:uiPriority w:val="99"/>
    <w:rPr>
      <w:rFonts w:hint="default" w:ascii="黑体" w:hAnsi="黑体" w:eastAsia="黑体" w:cs="黑体"/>
      <w:b/>
      <w:sz w:val="32"/>
      <w:szCs w:val="24"/>
      <w:lang w:val="en-US" w:eastAsia="zh-CN" w:bidi="ar-SA"/>
    </w:rPr>
  </w:style>
  <w:style w:type="paragraph" w:customStyle="1" w:styleId="364">
    <w:name w:val="正文_7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65">
    <w:name w:val="正文_9_1"/>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66">
    <w:name w:val="Normal_16_0"/>
    <w:qFormat/>
    <w:uiPriority w:val="0"/>
    <w:rPr>
      <w:rFonts w:hint="default" w:ascii="黑体" w:hAnsi="黑体" w:eastAsia="黑体" w:cs="黑体"/>
      <w:b/>
      <w:sz w:val="32"/>
      <w:szCs w:val="24"/>
      <w:lang w:val="en-US" w:eastAsia="zh-CN" w:bidi="ar-SA"/>
    </w:rPr>
  </w:style>
  <w:style w:type="paragraph" w:customStyle="1" w:styleId="367">
    <w:name w:val="正文_10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68">
    <w:name w:val="Normal_17_0"/>
    <w:qFormat/>
    <w:uiPriority w:val="99"/>
    <w:rPr>
      <w:rFonts w:hint="default" w:ascii="黑体" w:hAnsi="黑体" w:eastAsia="黑体" w:cs="黑体"/>
      <w:b/>
      <w:sz w:val="32"/>
      <w:szCs w:val="24"/>
      <w:lang w:val="en-US" w:eastAsia="zh-CN" w:bidi="ar-SA"/>
    </w:rPr>
  </w:style>
  <w:style w:type="paragraph" w:customStyle="1" w:styleId="369">
    <w:name w:val="正文_10_0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70">
    <w:name w:val="Normal_18_0"/>
    <w:qFormat/>
    <w:uiPriority w:val="99"/>
    <w:rPr>
      <w:rFonts w:hint="default" w:ascii="黑体" w:hAnsi="黑体" w:eastAsia="黑体" w:cs="黑体"/>
      <w:b/>
      <w:sz w:val="32"/>
      <w:szCs w:val="24"/>
      <w:lang w:val="en-US" w:eastAsia="zh-CN" w:bidi="ar-SA"/>
    </w:rPr>
  </w:style>
  <w:style w:type="paragraph" w:customStyle="1" w:styleId="371">
    <w:name w:val="正文_12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72">
    <w:name w:val="正文_9_1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73">
    <w:name w:val="Normal_14_0_0"/>
    <w:qFormat/>
    <w:uiPriority w:val="99"/>
    <w:rPr>
      <w:rFonts w:hint="default" w:ascii="黑体" w:hAnsi="黑体" w:eastAsia="黑体" w:cs="Times New Roman"/>
      <w:b/>
      <w:sz w:val="32"/>
      <w:szCs w:val="24"/>
      <w:lang w:val="en-US" w:eastAsia="zh-CN" w:bidi="ar-SA"/>
    </w:rPr>
  </w:style>
  <w:style w:type="paragraph" w:customStyle="1" w:styleId="374">
    <w:name w:val="正文_12_0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75">
    <w:name w:val="正文_12_0_0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76">
    <w:name w:val="正文_13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77">
    <w:name w:val="正文_13_0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78">
    <w:name w:val="正文_14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79">
    <w:name w:val="正文_14_0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80">
    <w:name w:val="Normal Indent_0"/>
    <w:basedOn w:val="136"/>
    <w:qFormat/>
    <w:uiPriority w:val="99"/>
    <w:pPr>
      <w:ind w:firstLine="420"/>
    </w:pPr>
    <w:rPr>
      <w:rFonts w:ascii="宋体" w:eastAsia="Times New Roman"/>
      <w:color w:val="000000"/>
      <w:sz w:val="24"/>
      <w:szCs w:val="20"/>
    </w:rPr>
  </w:style>
  <w:style w:type="paragraph" w:customStyle="1" w:styleId="381">
    <w:name w:val="Heading 3_0"/>
    <w:basedOn w:val="136"/>
    <w:next w:val="136"/>
    <w:qFormat/>
    <w:uiPriority w:val="99"/>
    <w:pPr>
      <w:keepNext/>
      <w:keepLines/>
      <w:spacing w:before="260" w:after="260" w:line="413" w:lineRule="auto"/>
      <w:outlineLvl w:val="2"/>
    </w:pPr>
    <w:rPr>
      <w:rFonts w:ascii="Times New Roman" w:hAnsi="Times New Roman" w:eastAsia="Times New Roman"/>
      <w:szCs w:val="20"/>
    </w:rPr>
  </w:style>
  <w:style w:type="paragraph" w:customStyle="1" w:styleId="382">
    <w:name w:val="正文_15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83">
    <w:name w:val="正文2"/>
    <w:basedOn w:val="1"/>
    <w:qFormat/>
    <w:uiPriority w:val="99"/>
    <w:pPr>
      <w:spacing w:before="156" w:line="360" w:lineRule="auto"/>
      <w:ind w:firstLine="510"/>
    </w:pPr>
    <w:rPr>
      <w:sz w:val="24"/>
      <w:szCs w:val="20"/>
    </w:rPr>
  </w:style>
  <w:style w:type="paragraph" w:customStyle="1" w:styleId="384">
    <w:name w:val="Default"/>
    <w:qFormat/>
    <w:uiPriority w:val="99"/>
    <w:pPr>
      <w:widowControl w:val="0"/>
    </w:pPr>
    <w:rPr>
      <w:rFonts w:hint="default" w:ascii="宋体" w:hAnsi="Times New Roman" w:eastAsia="宋体" w:cs="宋体"/>
      <w:color w:val="000000"/>
      <w:sz w:val="24"/>
      <w:szCs w:val="24"/>
      <w:lang w:val="en-US" w:eastAsia="zh-CN" w:bidi="ar-SA"/>
    </w:rPr>
  </w:style>
  <w:style w:type="paragraph" w:customStyle="1" w:styleId="385">
    <w:name w:val="正文_0_2_0"/>
    <w:qFormat/>
    <w:uiPriority w:val="99"/>
    <w:pPr>
      <w:widowControl w:val="0"/>
      <w:jc w:val="both"/>
    </w:pPr>
    <w:rPr>
      <w:rFonts w:hint="default" w:ascii="Times New Roman" w:hAnsi="Times New Roman" w:eastAsia="宋体" w:cs="Times New Roman"/>
      <w:szCs w:val="24"/>
      <w:lang w:val="en-US" w:eastAsia="zh-CN" w:bidi="ar-SA"/>
    </w:rPr>
  </w:style>
  <w:style w:type="paragraph" w:customStyle="1" w:styleId="386">
    <w:name w:val="Normal_19_1_0"/>
    <w:next w:val="387"/>
    <w:qFormat/>
    <w:uiPriority w:val="99"/>
    <w:pPr>
      <w:widowControl w:val="0"/>
      <w:jc w:val="both"/>
    </w:pPr>
    <w:rPr>
      <w:rFonts w:hint="default" w:ascii="Calibri" w:hAnsi="Calibri" w:eastAsia="宋体" w:cs="Times New Roman"/>
      <w:szCs w:val="24"/>
      <w:lang w:val="en-US" w:eastAsia="zh-CN" w:bidi="ar-SA"/>
    </w:rPr>
  </w:style>
  <w:style w:type="paragraph" w:customStyle="1" w:styleId="387">
    <w:name w:val="正文_16_0"/>
    <w:basedOn w:val="348"/>
    <w:next w:val="345"/>
    <w:qFormat/>
    <w:uiPriority w:val="99"/>
    <w:rPr>
      <w:rFonts w:ascii="Times New Roman" w:hAnsi="Times New Roman"/>
    </w:rPr>
  </w:style>
  <w:style w:type="paragraph" w:customStyle="1" w:styleId="388">
    <w:name w:val="Normal_19_0"/>
    <w:basedOn w:val="44"/>
    <w:next w:val="389"/>
    <w:qFormat/>
    <w:uiPriority w:val="99"/>
    <w:rPr>
      <w:szCs w:val="24"/>
    </w:rPr>
  </w:style>
  <w:style w:type="paragraph" w:customStyle="1" w:styleId="389">
    <w:name w:val="Body Text First Indent_1_0"/>
    <w:basedOn w:val="388"/>
    <w:qFormat/>
    <w:uiPriority w:val="99"/>
    <w:pPr>
      <w:spacing w:after="120"/>
      <w:ind w:firstLine="100"/>
    </w:pPr>
  </w:style>
  <w:style w:type="paragraph" w:customStyle="1" w:styleId="390">
    <w:name w:val="Body Text_0"/>
    <w:basedOn w:val="388"/>
    <w:qFormat/>
    <w:uiPriority w:val="99"/>
    <w:pPr>
      <w:spacing w:line="60" w:lineRule="auto"/>
    </w:pPr>
    <w:rPr>
      <w:rFonts w:ascii="仿宋_GB2312" w:eastAsia="仿宋_GB2312"/>
      <w:sz w:val="32"/>
    </w:rPr>
  </w:style>
  <w:style w:type="paragraph" w:customStyle="1" w:styleId="391">
    <w:name w:val="Normal_19_1"/>
    <w:next w:val="136"/>
    <w:qFormat/>
    <w:uiPriority w:val="99"/>
    <w:pPr>
      <w:widowControl w:val="0"/>
      <w:jc w:val="both"/>
    </w:pPr>
    <w:rPr>
      <w:rFonts w:hint="default" w:ascii="Calibri" w:hAnsi="Calibri" w:eastAsia="宋体" w:cs="Times New Roman"/>
      <w:szCs w:val="24"/>
      <w:lang w:val="en-US" w:eastAsia="zh-CN" w:bidi="ar-SA"/>
    </w:rPr>
  </w:style>
  <w:style w:type="paragraph" w:customStyle="1" w:styleId="392">
    <w:name w:val="正文_6_0_0"/>
    <w:qFormat/>
    <w:uiPriority w:val="99"/>
    <w:pPr>
      <w:widowControl w:val="0"/>
      <w:jc w:val="both"/>
    </w:pPr>
    <w:rPr>
      <w:rFonts w:hint="default" w:ascii="Calibri" w:hAnsi="Calibri" w:eastAsia="宋体" w:cs="Times New Roman"/>
      <w:lang w:val="en-US" w:eastAsia="zh-CN" w:bidi="ar-SA"/>
    </w:rPr>
  </w:style>
  <w:style w:type="paragraph" w:customStyle="1" w:styleId="393">
    <w:name w:val="正文_7_1"/>
    <w:qFormat/>
    <w:uiPriority w:val="99"/>
    <w:pPr>
      <w:widowControl w:val="0"/>
      <w:jc w:val="both"/>
    </w:pPr>
    <w:rPr>
      <w:rFonts w:hint="default" w:ascii="Calibri" w:hAnsi="Calibri" w:eastAsia="宋体" w:cs="Times New Roman"/>
      <w:lang w:val="en-US" w:eastAsia="zh-CN" w:bidi="ar-SA"/>
    </w:rPr>
  </w:style>
  <w:style w:type="paragraph" w:customStyle="1" w:styleId="394">
    <w:name w:val="正文1_1"/>
    <w:basedOn w:val="340"/>
    <w:qFormat/>
    <w:uiPriority w:val="99"/>
    <w:pPr>
      <w:widowControl w:val="0"/>
      <w:jc w:val="both"/>
    </w:pPr>
    <w:rPr>
      <w:sz w:val="20"/>
      <w:szCs w:val="20"/>
    </w:rPr>
  </w:style>
  <w:style w:type="paragraph" w:customStyle="1" w:styleId="395">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396">
    <w:name w:val="Normal_8_0_0_0"/>
    <w:qFormat/>
    <w:uiPriority w:val="99"/>
    <w:pPr>
      <w:widowControl w:val="0"/>
      <w:jc w:val="both"/>
    </w:pPr>
    <w:rPr>
      <w:rFonts w:hint="default" w:ascii="Calibri" w:hAnsi="Calibri" w:eastAsia="宋体" w:cs="Times New Roman"/>
      <w:lang w:val="en-US" w:eastAsia="zh-CN" w:bidi="ar-SA"/>
    </w:rPr>
  </w:style>
  <w:style w:type="paragraph" w:customStyle="1" w:styleId="397">
    <w:name w:val="Normal_16_1"/>
    <w:qFormat/>
    <w:uiPriority w:val="99"/>
    <w:rPr>
      <w:rFonts w:hint="default" w:ascii="黑体" w:hAnsi="黑体" w:eastAsia="黑体" w:cs="Times New Roman"/>
      <w:b/>
      <w:sz w:val="32"/>
      <w:szCs w:val="24"/>
      <w:lang w:val="en-US" w:eastAsia="zh-CN" w:bidi="ar-SA"/>
    </w:rPr>
  </w:style>
  <w:style w:type="paragraph" w:customStyle="1" w:styleId="398">
    <w:name w:val="Normal_19_0_1"/>
    <w:qFormat/>
    <w:uiPriority w:val="0"/>
    <w:rPr>
      <w:rFonts w:hint="default" w:ascii="Tahoma" w:hAnsi="Tahoma" w:eastAsia="微软雅黑" w:cs="Times New Roman"/>
      <w:lang w:val="en-US" w:eastAsia="zh-CN" w:bidi="ar-SA"/>
    </w:rPr>
  </w:style>
  <w:style w:type="paragraph" w:customStyle="1" w:styleId="399">
    <w:name w:val="Normal_16_0_0"/>
    <w:qFormat/>
    <w:uiPriority w:val="0"/>
    <w:pPr>
      <w:widowControl w:val="0"/>
      <w:jc w:val="both"/>
    </w:pPr>
    <w:rPr>
      <w:rFonts w:hint="default" w:ascii="Calibri" w:hAnsi="Calibri" w:eastAsia="宋体" w:cs="Times New Roman"/>
      <w:lang w:val="en-US" w:eastAsia="zh-CN" w:bidi="ar-SA"/>
    </w:rPr>
  </w:style>
  <w:style w:type="paragraph" w:customStyle="1" w:styleId="400">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401">
    <w:name w:val="Normal_17_0_0"/>
    <w:qFormat/>
    <w:uiPriority w:val="99"/>
    <w:rPr>
      <w:rFonts w:hint="default" w:ascii="黑体" w:hAnsi="黑体" w:eastAsia="黑体" w:cs="Times New Roman"/>
      <w:b/>
      <w:sz w:val="32"/>
      <w:szCs w:val="24"/>
      <w:lang w:val="en-US" w:eastAsia="zh-CN" w:bidi="ar-SA"/>
    </w:rPr>
  </w:style>
  <w:style w:type="paragraph" w:customStyle="1" w:styleId="402">
    <w:name w:val="Normal_19_0_1_0"/>
    <w:qFormat/>
    <w:uiPriority w:val="99"/>
    <w:rPr>
      <w:rFonts w:hint="default" w:ascii="Tahoma" w:hAnsi="Tahoma" w:eastAsia="微软雅黑" w:cs="Times New Roman"/>
      <w:lang w:val="en-US" w:eastAsia="zh-CN" w:bidi="ar-SA"/>
    </w:rPr>
  </w:style>
  <w:style w:type="paragraph" w:customStyle="1" w:styleId="403">
    <w:name w:val="Normal_19_3"/>
    <w:next w:val="404"/>
    <w:qFormat/>
    <w:uiPriority w:val="99"/>
    <w:pPr>
      <w:widowControl w:val="0"/>
      <w:jc w:val="both"/>
    </w:pPr>
    <w:rPr>
      <w:rFonts w:hint="default" w:ascii="Calibri" w:hAnsi="Calibri" w:eastAsia="Times New Roman" w:cs="Times New Roman"/>
      <w:szCs w:val="24"/>
      <w:lang w:val="en-US" w:eastAsia="zh-CN" w:bidi="ar-SA"/>
    </w:rPr>
  </w:style>
  <w:style w:type="paragraph" w:customStyle="1" w:styleId="404">
    <w:name w:val="正文_17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405">
    <w:name w:val="Normal_22_0_0"/>
    <w:qFormat/>
    <w:uiPriority w:val="99"/>
    <w:pPr>
      <w:widowControl w:val="0"/>
      <w:jc w:val="both"/>
    </w:pPr>
    <w:rPr>
      <w:rFonts w:hint="default" w:ascii="Calibri" w:hAnsi="Calibri" w:eastAsia="宋体" w:cs="Times New Roman"/>
      <w:szCs w:val="24"/>
      <w:lang w:val="en-US" w:eastAsia="zh-CN" w:bidi="ar-SA"/>
    </w:rPr>
  </w:style>
  <w:style w:type="character" w:customStyle="1" w:styleId="406">
    <w:name w:val="custom-tag-placeholder-class"/>
    <w:link w:val="1"/>
    <w:qFormat/>
    <w:uiPriority w:val="0"/>
  </w:style>
  <w:style w:type="paragraph" w:customStyle="1" w:styleId="407">
    <w:name w:val="Normal_19_0_0"/>
    <w:basedOn w:val="136"/>
    <w:next w:val="408"/>
    <w:qFormat/>
    <w:uiPriority w:val="99"/>
    <w:rPr>
      <w:rFonts w:ascii="Calibri" w:hAnsi="Calibri" w:eastAsia="Times New Roman"/>
      <w:sz w:val="24"/>
    </w:rPr>
  </w:style>
  <w:style w:type="paragraph" w:customStyle="1" w:styleId="408">
    <w:name w:val="Body Text First Indent_1_0_0"/>
    <w:basedOn w:val="407"/>
    <w:qFormat/>
    <w:uiPriority w:val="99"/>
    <w:pPr>
      <w:spacing w:after="120"/>
      <w:ind w:firstLine="100"/>
    </w:pPr>
    <w:rPr>
      <w:rFonts w:eastAsia="Times New Roman"/>
    </w:rPr>
  </w:style>
  <w:style w:type="paragraph" w:customStyle="1" w:styleId="409">
    <w:name w:val="正文首行缩进1"/>
    <w:basedOn w:val="410"/>
    <w:qFormat/>
    <w:uiPriority w:val="99"/>
    <w:pPr>
      <w:spacing w:after="120" w:line="240" w:lineRule="auto"/>
      <w:ind w:firstLine="100"/>
    </w:pPr>
    <w:rPr>
      <w:rFonts w:ascii="Times New Roman" w:hAnsi="Times New Roman" w:eastAsia="宋体"/>
      <w:sz w:val="21"/>
    </w:rPr>
  </w:style>
  <w:style w:type="paragraph" w:customStyle="1" w:styleId="410">
    <w:name w:val="正文文本1"/>
    <w:basedOn w:val="1"/>
    <w:qFormat/>
    <w:uiPriority w:val="99"/>
    <w:pPr>
      <w:spacing w:line="60" w:lineRule="auto"/>
    </w:pPr>
    <w:rPr>
      <w:rFonts w:ascii="仿宋_GB2312" w:eastAsia="仿宋_GB2312"/>
      <w:sz w:val="32"/>
    </w:rPr>
  </w:style>
  <w:style w:type="paragraph" w:customStyle="1" w:styleId="411">
    <w:name w:val="正文_2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412">
    <w:name w:val="List Paragraph_0"/>
    <w:basedOn w:val="183"/>
    <w:qFormat/>
    <w:uiPriority w:val="99"/>
    <w:pPr>
      <w:ind w:firstLine="420"/>
    </w:pPr>
  </w:style>
  <w:style w:type="paragraph" w:customStyle="1" w:styleId="413">
    <w:name w:val="纯文本_1"/>
    <w:basedOn w:val="411"/>
    <w:qFormat/>
    <w:uiPriority w:val="99"/>
    <w:rPr>
      <w:rFonts w:ascii="宋体" w:hAnsi="Times New Roman"/>
      <w:sz w:val="20"/>
      <w:szCs w:val="21"/>
    </w:rPr>
  </w:style>
  <w:style w:type="paragraph" w:customStyle="1" w:styleId="414">
    <w:name w:val="正文_16_0_0"/>
    <w:next w:val="415"/>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415">
    <w:name w:val="正文1_0"/>
    <w:basedOn w:val="411"/>
    <w:qFormat/>
    <w:uiPriority w:val="99"/>
    <w:pPr>
      <w:widowControl/>
      <w:spacing w:line="360" w:lineRule="auto"/>
      <w:ind w:left="357" w:firstLine="420"/>
      <w:jc w:val="left"/>
    </w:pPr>
    <w:rPr>
      <w:rFonts w:cs="Arial"/>
      <w:szCs w:val="20"/>
    </w:rPr>
  </w:style>
  <w:style w:type="paragraph" w:customStyle="1" w:styleId="416">
    <w:name w:val="正文_11_0"/>
    <w:basedOn w:val="184"/>
    <w:qFormat/>
    <w:uiPriority w:val="99"/>
    <w:rPr>
      <w:rFonts w:ascii="Calibri" w:hAnsi="Calibri"/>
      <w:szCs w:val="20"/>
    </w:rPr>
  </w:style>
  <w:style w:type="paragraph" w:customStyle="1" w:styleId="417">
    <w:name w:val="Normal_19_0_0_0"/>
    <w:basedOn w:val="44"/>
    <w:qFormat/>
    <w:uiPriority w:val="99"/>
    <w:rPr>
      <w:rFonts w:cs="黑体"/>
      <w:szCs w:val="24"/>
    </w:rPr>
  </w:style>
  <w:style w:type="paragraph" w:customStyle="1" w:styleId="418">
    <w:name w:val="无间隔1"/>
    <w:basedOn w:val="326"/>
    <w:qFormat/>
    <w:uiPriority w:val="99"/>
    <w:rPr>
      <w:rFonts w:ascii="Calibri" w:hAnsi="Calibri" w:cs="Calibri"/>
    </w:rPr>
  </w:style>
  <w:style w:type="paragraph" w:customStyle="1" w:styleId="419">
    <w:name w:val="标题 31"/>
    <w:basedOn w:val="326"/>
    <w:next w:val="326"/>
    <w:qFormat/>
    <w:uiPriority w:val="99"/>
    <w:pPr>
      <w:keepNext/>
      <w:keepLines/>
      <w:spacing w:before="260" w:after="260" w:line="413" w:lineRule="auto"/>
      <w:outlineLvl w:val="2"/>
    </w:pPr>
    <w:rPr>
      <w:b/>
      <w:sz w:val="32"/>
      <w:szCs w:val="20"/>
    </w:rPr>
  </w:style>
  <w:style w:type="character" w:customStyle="1" w:styleId="420">
    <w:name w:val="标题 2 Char_0"/>
    <w:link w:val="421"/>
    <w:qFormat/>
    <w:uiPriority w:val="0"/>
    <w:rPr>
      <w:rFonts w:ascii="Arial" w:hAnsi="Arial" w:eastAsia="黑体"/>
      <w:b/>
      <w:sz w:val="32"/>
      <w:szCs w:val="22"/>
    </w:rPr>
  </w:style>
  <w:style w:type="paragraph" w:customStyle="1" w:styleId="421">
    <w:name w:val="标题 21"/>
    <w:basedOn w:val="45"/>
    <w:next w:val="1"/>
    <w:link w:val="420"/>
    <w:unhideWhenUsed/>
    <w:qFormat/>
    <w:uiPriority w:val="0"/>
    <w:pPr>
      <w:keepNext/>
      <w:keepLines/>
      <w:spacing w:before="260" w:after="260" w:line="413" w:lineRule="auto"/>
      <w:outlineLvl w:val="1"/>
    </w:pPr>
    <w:rPr>
      <w:rFonts w:ascii="Arial" w:hAnsi="Arial"/>
      <w:szCs w:val="22"/>
    </w:rPr>
  </w:style>
  <w:style w:type="paragraph" w:customStyle="1" w:styleId="422">
    <w:name w:val="Normal_19_1_0_0"/>
    <w:next w:val="423"/>
    <w:qFormat/>
    <w:uiPriority w:val="99"/>
    <w:pPr>
      <w:widowControl w:val="0"/>
      <w:jc w:val="both"/>
    </w:pPr>
    <w:rPr>
      <w:rFonts w:hint="default" w:ascii="Calibri" w:hAnsi="Calibri" w:eastAsia="宋体" w:cs="Times New Roman"/>
      <w:sz w:val="21"/>
      <w:szCs w:val="24"/>
      <w:lang w:val="en-US" w:eastAsia="zh-CN" w:bidi="ar-SA"/>
    </w:rPr>
  </w:style>
  <w:style w:type="paragraph" w:customStyle="1" w:styleId="423">
    <w:name w:val="正文_16_0_1"/>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424">
    <w:name w:val="正文1_0_0"/>
    <w:basedOn w:val="45"/>
    <w:qFormat/>
    <w:uiPriority w:val="99"/>
    <w:pPr>
      <w:spacing w:line="360" w:lineRule="auto"/>
      <w:ind w:left="357" w:firstLine="420"/>
    </w:pPr>
    <w:rPr>
      <w:rFonts w:eastAsia="Times New Roman" w:cs="Arial"/>
    </w:rPr>
  </w:style>
  <w:style w:type="paragraph" w:customStyle="1" w:styleId="425">
    <w:name w:val="普通正文"/>
    <w:basedOn w:val="1"/>
    <w:qFormat/>
    <w:uiPriority w:val="0"/>
    <w:pPr>
      <w:spacing w:before="120" w:after="120" w:line="360" w:lineRule="auto"/>
      <w:ind w:firstLine="480"/>
      <w:jc w:val="left"/>
    </w:pPr>
    <w:rPr>
      <w:rFonts w:ascii="Arial" w:hAnsi="Arial"/>
      <w:sz w:val="24"/>
      <w:szCs w:val="24"/>
    </w:rPr>
  </w:style>
  <w:style w:type="paragraph" w:customStyle="1" w:styleId="426">
    <w:name w:val="正文空2字"/>
    <w:basedOn w:val="427"/>
    <w:qFormat/>
    <w:uiPriority w:val="99"/>
    <w:pPr>
      <w:widowControl w:val="0"/>
      <w:spacing w:line="560" w:lineRule="exact"/>
      <w:ind w:firstLine="640"/>
    </w:pPr>
    <w:rPr>
      <w:rFonts w:ascii="仿宋_GB2312" w:hAnsi="仿宋_GB2312" w:cs="仿宋_GB2312"/>
      <w:lang w:val="zh-TW"/>
    </w:rPr>
  </w:style>
  <w:style w:type="paragraph" w:customStyle="1" w:styleId="427">
    <w:name w:val="左对齐正文"/>
    <w:qFormat/>
    <w:uiPriority w:val="99"/>
    <w:rPr>
      <w:rFonts w:hint="default" w:ascii="Calibri" w:hAnsi="Calibri" w:eastAsia="仿宋_GB2312" w:cs="Calibri"/>
      <w:sz w:val="32"/>
      <w:szCs w:val="32"/>
      <w:lang w:val="en-US" w:eastAsia="zh-CN" w:bidi="ar-SA"/>
    </w:rPr>
  </w:style>
  <w:style w:type="paragraph" w:customStyle="1" w:styleId="428">
    <w:name w:val="普通(网站)1"/>
    <w:basedOn w:val="1"/>
    <w:qFormat/>
    <w:uiPriority w:val="99"/>
    <w:rPr>
      <w:sz w:val="24"/>
    </w:rPr>
  </w:style>
  <w:style w:type="character" w:customStyle="1" w:styleId="429">
    <w:name w:val="16"/>
    <w:link w:val="1"/>
    <w:qFormat/>
    <w:uiPriority w:val="0"/>
    <w:rPr>
      <w:rFonts w:ascii="Times New Roman" w:hAnsi="Times New Roman"/>
      <w:sz w:val="21"/>
      <w:szCs w:val="21"/>
      <w:lang w:val="en-US" w:eastAsia="zh-CN" w:bidi="ar-SA"/>
    </w:rPr>
  </w:style>
  <w:style w:type="paragraph" w:customStyle="1" w:styleId="430">
    <w:name w:val="正文文本_0"/>
    <w:basedOn w:val="183"/>
    <w:next w:val="431"/>
    <w:qFormat/>
    <w:uiPriority w:val="99"/>
    <w:pPr>
      <w:spacing w:line="60" w:lineRule="auto"/>
    </w:pPr>
    <w:rPr>
      <w:rFonts w:ascii="仿宋_GB2312" w:eastAsia="仿宋_GB2312"/>
      <w:sz w:val="32"/>
    </w:rPr>
  </w:style>
  <w:style w:type="paragraph" w:customStyle="1" w:styleId="431">
    <w:name w:val="正文缩进_1"/>
    <w:basedOn w:val="183"/>
    <w:next w:val="183"/>
    <w:qFormat/>
    <w:uiPriority w:val="99"/>
    <w:pPr>
      <w:ind w:firstLine="420"/>
    </w:pPr>
    <w:rPr>
      <w:rFonts w:ascii="宋体"/>
      <w:color w:val="000000"/>
      <w:sz w:val="24"/>
      <w:szCs w:val="20"/>
    </w:rPr>
  </w:style>
  <w:style w:type="paragraph" w:customStyle="1" w:styleId="432">
    <w:name w:val="Table Paragraph"/>
    <w:basedOn w:val="136"/>
    <w:qFormat/>
    <w:uiPriority w:val="1"/>
    <w:rPr>
      <w:rFonts w:ascii="宋体" w:hAnsi="宋体" w:cs="宋体"/>
      <w:sz w:val="22"/>
      <w:lang w:val="zh-CN" w:bidi="zh-CN"/>
    </w:rPr>
  </w:style>
  <w:style w:type="paragraph" w:customStyle="1" w:styleId="433">
    <w:name w:val="Normal_19_2"/>
    <w:basedOn w:val="434"/>
    <w:qFormat/>
    <w:uiPriority w:val="99"/>
    <w:rPr>
      <w:rFonts w:ascii="Times New Roman" w:hAnsi="Times New Roman"/>
      <w:szCs w:val="21"/>
    </w:rPr>
  </w:style>
  <w:style w:type="paragraph" w:customStyle="1" w:styleId="434">
    <w:name w:val="正文_3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435">
    <w:name w:val="正文文本2"/>
    <w:basedOn w:val="179"/>
    <w:qFormat/>
    <w:uiPriority w:val="99"/>
    <w:pPr>
      <w:spacing w:line="60" w:lineRule="auto"/>
    </w:pPr>
    <w:rPr>
      <w:rFonts w:ascii="仿宋_GB2312" w:eastAsia="仿宋_GB2312"/>
      <w:sz w:val="32"/>
      <w:szCs w:val="22"/>
    </w:rPr>
  </w:style>
  <w:style w:type="paragraph" w:customStyle="1" w:styleId="436">
    <w:name w:val="Normal_19_2_0"/>
    <w:basedOn w:val="437"/>
    <w:qFormat/>
    <w:uiPriority w:val="99"/>
    <w:rPr>
      <w:rFonts w:ascii="Times New Roman" w:hAnsi="Times New Roman"/>
      <w:szCs w:val="21"/>
    </w:rPr>
  </w:style>
  <w:style w:type="paragraph" w:customStyle="1" w:styleId="437">
    <w:name w:val="正文_3_1"/>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438">
    <w:name w:val="正文缩进1"/>
    <w:basedOn w:val="1"/>
    <w:qFormat/>
    <w:uiPriority w:val="99"/>
    <w:pPr>
      <w:ind w:firstLine="420"/>
      <w:jc w:val="left"/>
    </w:pPr>
    <w:rPr>
      <w:rFonts w:ascii="宋体" w:hAnsi="Calibri" w:eastAsia="宋体" w:cs="Times New Roman"/>
      <w:sz w:val="24"/>
    </w:rPr>
  </w:style>
  <w:style w:type="paragraph" w:customStyle="1" w:styleId="439">
    <w:name w:val="纯文本1"/>
    <w:basedOn w:val="180"/>
    <w:qFormat/>
    <w:uiPriority w:val="99"/>
    <w:rPr>
      <w:rFonts w:ascii="宋体" w:hAnsi="Courier New" w:eastAsia="宋体" w:cs="Times New Roman"/>
    </w:rPr>
  </w:style>
  <w:style w:type="paragraph" w:customStyle="1" w:styleId="440">
    <w:name w:val="Normal_21_0"/>
    <w:next w:val="441"/>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441">
    <w:name w:val="Heading 1_0"/>
    <w:basedOn w:val="440"/>
    <w:next w:val="440"/>
    <w:qFormat/>
    <w:uiPriority w:val="99"/>
    <w:pPr>
      <w:keepNext/>
      <w:keepLines/>
      <w:spacing w:before="240" w:after="120" w:line="300" w:lineRule="auto"/>
      <w:jc w:val="center"/>
      <w:outlineLvl w:val="0"/>
    </w:pPr>
    <w:rPr>
      <w:rFonts w:ascii="宋体"/>
      <w:b/>
      <w:sz w:val="32"/>
      <w:szCs w:val="20"/>
    </w:rPr>
  </w:style>
  <w:style w:type="paragraph" w:customStyle="1" w:styleId="442">
    <w:name w:val="正文_12_0_0_0_0"/>
    <w:qFormat/>
    <w:uiPriority w:val="99"/>
    <w:pPr>
      <w:widowControl w:val="0"/>
      <w:jc w:val="both"/>
    </w:pPr>
    <w:rPr>
      <w:rFonts w:hint="default" w:ascii="Times New Roman" w:hAnsi="Times New Roman" w:eastAsia="宋体" w:cs="Times New Roman"/>
      <w:sz w:val="21"/>
      <w:szCs w:val="24"/>
      <w:lang w:val="en-US" w:eastAsia="zh-CN" w:bidi="ar-SA"/>
    </w:rPr>
  </w:style>
  <w:style w:type="character" w:customStyle="1" w:styleId="443">
    <w:name w:val="正文文本 字符"/>
    <w:link w:val="1"/>
    <w:qFormat/>
    <w:uiPriority w:val="0"/>
    <w:rPr>
      <w:rFonts w:ascii="楷体_GB2312" w:hAnsi="Arial" w:eastAsia="楷体_GB2312" w:cs="Times New Roman"/>
      <w:sz w:val="28"/>
      <w:szCs w:val="28"/>
    </w:rPr>
  </w:style>
  <w:style w:type="character" w:customStyle="1" w:styleId="444">
    <w:name w:val="正文文本缩进 字符"/>
    <w:link w:val="1"/>
    <w:qFormat/>
    <w:uiPriority w:val="0"/>
    <w:rPr>
      <w:rFonts w:ascii="楷体_GB2312" w:hAnsi="Times New Roman" w:eastAsia="楷体_GB2312" w:cs="Times New Roman"/>
      <w:sz w:val="32"/>
      <w:szCs w:val="32"/>
    </w:rPr>
  </w:style>
  <w:style w:type="character" w:customStyle="1" w:styleId="445">
    <w:name w:val="正文文本 字符1"/>
    <w:link w:val="1"/>
    <w:qFormat/>
    <w:uiPriority w:val="0"/>
    <w:rPr>
      <w:rFonts w:ascii="Calibri" w:hAnsi="Calibri"/>
      <w:sz w:val="28"/>
      <w:szCs w:val="24"/>
    </w:rPr>
  </w:style>
  <w:style w:type="character" w:customStyle="1" w:styleId="446">
    <w:name w:val="正文文本首行缩进 字符"/>
    <w:link w:val="1"/>
    <w:qFormat/>
    <w:uiPriority w:val="0"/>
    <w:rPr>
      <w:rFonts w:ascii="仿宋_GB2312" w:hAnsi="Calibri" w:eastAsia="仿宋_GB2312"/>
      <w:sz w:val="30"/>
      <w:szCs w:val="30"/>
    </w:rPr>
  </w:style>
  <w:style w:type="paragraph" w:customStyle="1" w:styleId="447">
    <w:name w:val="索引 41"/>
    <w:basedOn w:val="1"/>
    <w:next w:val="1"/>
    <w:semiHidden/>
    <w:qFormat/>
    <w:uiPriority w:val="99"/>
    <w:pPr>
      <w:ind w:left="1260"/>
    </w:pPr>
    <w:rPr>
      <w:rFonts w:eastAsia="Calibri" w:cs="宋体"/>
      <w:sz w:val="20"/>
      <w:szCs w:val="21"/>
      <w:lang w:val="zh-CN"/>
    </w:rPr>
  </w:style>
  <w:style w:type="character" w:customStyle="1" w:styleId="448">
    <w:name w:val="font5 Char"/>
    <w:link w:val="1"/>
    <w:qFormat/>
    <w:uiPriority w:val="0"/>
    <w:rPr>
      <w:rFonts w:ascii="宋体" w:hAnsi="宋体" w:eastAsia="宋体"/>
      <w:sz w:val="28"/>
      <w:szCs w:val="28"/>
      <w:lang w:val="en-US" w:eastAsia="zh-CN" w:bidi="ar-SA"/>
    </w:rPr>
  </w:style>
  <w:style w:type="character" w:customStyle="1" w:styleId="449">
    <w:name w:val="二级目录 Char"/>
    <w:link w:val="450"/>
    <w:qFormat/>
    <w:uiPriority w:val="0"/>
    <w:rPr>
      <w:b/>
      <w:sz w:val="30"/>
      <w:szCs w:val="28"/>
    </w:rPr>
  </w:style>
  <w:style w:type="paragraph" w:customStyle="1" w:styleId="450">
    <w:name w:val="二级目录"/>
    <w:next w:val="1"/>
    <w:link w:val="449"/>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451">
    <w:name w:val="列出段落 Char"/>
    <w:link w:val="452"/>
    <w:qFormat/>
    <w:uiPriority w:val="0"/>
    <w:rPr>
      <w:rFonts w:ascii="Calibri" w:hAnsi="Calibri"/>
      <w:sz w:val="24"/>
      <w:szCs w:val="24"/>
      <w:lang w:eastAsia="en-US" w:bidi="en-US"/>
    </w:rPr>
  </w:style>
  <w:style w:type="paragraph" w:customStyle="1" w:styleId="452">
    <w:name w:val="列出段落1"/>
    <w:basedOn w:val="1"/>
    <w:link w:val="451"/>
    <w:qFormat/>
    <w:uiPriority w:val="0"/>
    <w:pPr>
      <w:widowControl/>
      <w:ind w:left="720"/>
      <w:contextualSpacing/>
      <w:jc w:val="left"/>
    </w:pPr>
    <w:rPr>
      <w:sz w:val="24"/>
      <w:szCs w:val="24"/>
      <w:lang w:eastAsia="en-US" w:bidi="en-US"/>
    </w:rPr>
  </w:style>
  <w:style w:type="paragraph" w:customStyle="1" w:styleId="453">
    <w:name w:val="Body Text(ch)"/>
    <w:basedOn w:val="1"/>
    <w:qFormat/>
    <w:uiPriority w:val="99"/>
    <w:pPr>
      <w:spacing w:after="120"/>
    </w:pPr>
    <w:rPr>
      <w:rFonts w:ascii="宋体" w:hAnsi="Arial"/>
      <w:bCs/>
      <w:iCs/>
      <w:szCs w:val="24"/>
    </w:rPr>
  </w:style>
  <w:style w:type="paragraph" w:customStyle="1" w:styleId="454">
    <w:name w:val="xl2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55">
    <w:name w:val="xl2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56">
    <w:name w:val="Char"/>
    <w:basedOn w:val="1"/>
    <w:qFormat/>
    <w:uiPriority w:val="99"/>
    <w:pPr>
      <w:tabs>
        <w:tab w:val="left" w:pos="360"/>
      </w:tabs>
      <w:ind w:firstLine="200"/>
    </w:pPr>
    <w:rPr>
      <w:rFonts w:ascii="Times New Roman" w:hAnsi="Times New Roman"/>
      <w:sz w:val="28"/>
      <w:szCs w:val="30"/>
    </w:rPr>
  </w:style>
  <w:style w:type="paragraph" w:customStyle="1" w:styleId="457">
    <w:name w:val="Char1"/>
    <w:basedOn w:val="71"/>
    <w:qFormat/>
    <w:uiPriority w:val="99"/>
    <w:rPr>
      <w:rFonts w:ascii="Tahoma" w:hAnsi="Tahoma"/>
      <w:sz w:val="24"/>
      <w:szCs w:val="24"/>
    </w:rPr>
  </w:style>
  <w:style w:type="paragraph" w:customStyle="1" w:styleId="458">
    <w:name w:val="table_lines"/>
    <w:basedOn w:val="1"/>
    <w:qFormat/>
    <w:uiPriority w:val="99"/>
    <w:pPr>
      <w:widowControl/>
      <w:jc w:val="left"/>
    </w:pPr>
    <w:rPr>
      <w:rFonts w:ascii="Times New Roman" w:hAnsi="Times New Roman"/>
      <w:sz w:val="20"/>
      <w:szCs w:val="20"/>
      <w:lang w:val="de-DE" w:eastAsia="de-DE"/>
    </w:rPr>
  </w:style>
  <w:style w:type="paragraph" w:customStyle="1" w:styleId="459">
    <w:name w:val="附录1"/>
    <w:qFormat/>
    <w:uiPriority w:val="99"/>
    <w:p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460">
    <w:name w:val="font7"/>
    <w:basedOn w:val="1"/>
    <w:qFormat/>
    <w:uiPriority w:val="99"/>
    <w:pPr>
      <w:widowControl/>
      <w:spacing w:before="100" w:beforeAutospacing="1" w:after="100" w:afterAutospacing="1"/>
      <w:jc w:val="left"/>
    </w:pPr>
    <w:rPr>
      <w:rFonts w:hint="eastAsia" w:ascii="宋体" w:hAnsi="宋体"/>
      <w:sz w:val="18"/>
      <w:szCs w:val="18"/>
    </w:rPr>
  </w:style>
  <w:style w:type="paragraph" w:customStyle="1" w:styleId="461">
    <w:name w:val="Char Char Char Char"/>
    <w:basedOn w:val="71"/>
    <w:qFormat/>
    <w:uiPriority w:val="99"/>
    <w:pPr>
      <w:spacing w:line="360" w:lineRule="auto"/>
    </w:pPr>
    <w:rPr>
      <w:rFonts w:ascii="Tahoma" w:hAnsi="Tahoma"/>
      <w:sz w:val="24"/>
      <w:szCs w:val="24"/>
    </w:rPr>
  </w:style>
  <w:style w:type="paragraph" w:customStyle="1" w:styleId="462">
    <w:name w:val="4"/>
    <w:basedOn w:val="1"/>
    <w:next w:val="107"/>
    <w:qFormat/>
    <w:uiPriority w:val="99"/>
    <w:pPr>
      <w:spacing w:line="360" w:lineRule="auto"/>
      <w:ind w:firstLine="420"/>
    </w:pPr>
    <w:rPr>
      <w:rFonts w:ascii="Times New Roman" w:hAnsi="Times New Roman"/>
      <w:color w:val="FF0000"/>
      <w:sz w:val="24"/>
      <w:szCs w:val="24"/>
    </w:rPr>
  </w:style>
  <w:style w:type="paragraph" w:customStyle="1" w:styleId="463">
    <w:name w:val="普通 (Web)"/>
    <w:basedOn w:val="1"/>
    <w:qFormat/>
    <w:uiPriority w:val="99"/>
    <w:pPr>
      <w:widowControl/>
      <w:spacing w:before="100" w:beforeAutospacing="1" w:after="100" w:afterAutospacing="1"/>
      <w:jc w:val="left"/>
    </w:pPr>
    <w:rPr>
      <w:rFonts w:ascii="宋体" w:hAnsi="宋体"/>
      <w:sz w:val="24"/>
      <w:szCs w:val="24"/>
    </w:rPr>
  </w:style>
  <w:style w:type="paragraph" w:customStyle="1" w:styleId="464">
    <w:name w:val="Char Char Char Char Char Char Char Char Char Char"/>
    <w:basedOn w:val="1"/>
    <w:qFormat/>
    <w:uiPriority w:val="99"/>
    <w:pPr>
      <w:spacing w:line="360" w:lineRule="auto"/>
    </w:pPr>
    <w:rPr>
      <w:rFonts w:ascii="Times New Roman" w:hAnsi="Times New Roman"/>
      <w:sz w:val="24"/>
      <w:szCs w:val="20"/>
    </w:rPr>
  </w:style>
  <w:style w:type="paragraph" w:customStyle="1" w:styleId="465">
    <w:name w:val="样式1"/>
    <w:basedOn w:val="1"/>
    <w:qFormat/>
    <w:uiPriority w:val="99"/>
    <w:pPr>
      <w:numPr>
        <w:ilvl w:val="0"/>
        <w:numId w:val="2"/>
      </w:numPr>
      <w:tabs>
        <w:tab w:val="left" w:pos="709"/>
      </w:tabs>
    </w:pPr>
    <w:rPr>
      <w:rFonts w:ascii="宋体" w:hAnsi="宋体"/>
      <w:szCs w:val="21"/>
    </w:rPr>
  </w:style>
  <w:style w:type="paragraph" w:customStyle="1" w:styleId="466">
    <w:name w:val="font6"/>
    <w:basedOn w:val="1"/>
    <w:qFormat/>
    <w:uiPriority w:val="99"/>
    <w:pPr>
      <w:widowControl/>
      <w:spacing w:before="100" w:beforeAutospacing="1" w:after="100" w:afterAutospacing="1"/>
      <w:jc w:val="left"/>
    </w:pPr>
    <w:rPr>
      <w:rFonts w:hint="eastAsia" w:ascii="宋体" w:hAnsi="宋体"/>
      <w:sz w:val="28"/>
      <w:szCs w:val="28"/>
      <w:u w:val="single"/>
    </w:rPr>
  </w:style>
  <w:style w:type="paragraph" w:customStyle="1" w:styleId="467">
    <w:name w:val="xl25"/>
    <w:basedOn w:val="1"/>
    <w:qFormat/>
    <w:uiPriority w:val="99"/>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68">
    <w:name w:val="图标"/>
    <w:basedOn w:val="1"/>
    <w:next w:val="1"/>
    <w:qFormat/>
    <w:uiPriority w:val="99"/>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69">
    <w:name w:val="标题3"/>
    <w:basedOn w:val="1"/>
    <w:next w:val="1"/>
    <w:qFormat/>
    <w:uiPriority w:val="99"/>
    <w:pPr>
      <w:spacing w:line="590" w:lineRule="atLeast"/>
      <w:ind w:firstLine="624"/>
    </w:pPr>
    <w:rPr>
      <w:rFonts w:ascii="方正黑体_GBK" w:hAnsi="Times New Roman" w:eastAsia="方正黑体_GBK"/>
      <w:sz w:val="32"/>
      <w:szCs w:val="32"/>
    </w:rPr>
  </w:style>
  <w:style w:type="paragraph" w:customStyle="1" w:styleId="470">
    <w:name w:val="xl24"/>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71">
    <w:name w:val="xl29"/>
    <w:basedOn w:val="1"/>
    <w:qFormat/>
    <w:uiPriority w:val="99"/>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2">
    <w:name w:val="Char Char Char Char Char Char Char Char"/>
    <w:basedOn w:val="1"/>
    <w:qFormat/>
    <w:uiPriority w:val="99"/>
    <w:pPr>
      <w:widowControl/>
      <w:spacing w:after="160" w:line="240" w:lineRule="exact"/>
      <w:jc w:val="left"/>
    </w:pPr>
    <w:rPr>
      <w:rFonts w:ascii="Verdana" w:hAnsi="Verdana"/>
      <w:sz w:val="20"/>
      <w:szCs w:val="20"/>
      <w:lang w:eastAsia="en-US"/>
    </w:rPr>
  </w:style>
  <w:style w:type="paragraph" w:customStyle="1" w:styleId="473">
    <w:name w:val="xl28"/>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4">
    <w:name w:val="Char Char Char Char Char Char Char Char1"/>
    <w:basedOn w:val="1"/>
    <w:qFormat/>
    <w:uiPriority w:val="99"/>
    <w:pPr>
      <w:widowControl/>
      <w:spacing w:after="160" w:line="240" w:lineRule="exact"/>
      <w:jc w:val="left"/>
    </w:pPr>
    <w:rPr>
      <w:rFonts w:ascii="Verdana" w:hAnsi="Verdana"/>
      <w:sz w:val="20"/>
      <w:szCs w:val="20"/>
      <w:lang w:eastAsia="en-US"/>
    </w:rPr>
  </w:style>
  <w:style w:type="paragraph" w:customStyle="1" w:styleId="475">
    <w:name w:val="xl30"/>
    <w:basedOn w:val="1"/>
    <w:qFormat/>
    <w:uiPriority w:val="99"/>
    <w:pPr>
      <w:widowControl/>
      <w:spacing w:before="100" w:beforeAutospacing="1" w:after="100" w:afterAutospacing="1"/>
      <w:jc w:val="center"/>
    </w:pPr>
    <w:rPr>
      <w:rFonts w:ascii="宋体" w:hAnsi="宋体"/>
      <w:b/>
      <w:bCs/>
      <w:sz w:val="36"/>
      <w:szCs w:val="36"/>
    </w:rPr>
  </w:style>
  <w:style w:type="paragraph" w:customStyle="1" w:styleId="476">
    <w:name w:val="Char Char Char Char1"/>
    <w:basedOn w:val="71"/>
    <w:qFormat/>
    <w:uiPriority w:val="99"/>
    <w:pPr>
      <w:spacing w:line="360" w:lineRule="auto"/>
    </w:pPr>
    <w:rPr>
      <w:rFonts w:ascii="Tahoma" w:hAnsi="Tahoma"/>
      <w:sz w:val="24"/>
      <w:szCs w:val="24"/>
    </w:rPr>
  </w:style>
  <w:style w:type="paragraph" w:customStyle="1" w:styleId="477">
    <w:name w:val="table_1stline"/>
    <w:basedOn w:val="1"/>
    <w:qFormat/>
    <w:uiPriority w:val="99"/>
    <w:pPr>
      <w:widowControl/>
      <w:spacing w:before="120"/>
      <w:jc w:val="left"/>
    </w:pPr>
    <w:rPr>
      <w:rFonts w:ascii="Times New Roman" w:hAnsi="Times New Roman"/>
      <w:bCs/>
      <w:sz w:val="20"/>
      <w:szCs w:val="20"/>
      <w:lang w:val="de-DE" w:eastAsia="de-DE"/>
    </w:rPr>
  </w:style>
  <w:style w:type="paragraph" w:customStyle="1" w:styleId="478">
    <w:name w:val="font5"/>
    <w:basedOn w:val="1"/>
    <w:qFormat/>
    <w:uiPriority w:val="99"/>
    <w:pPr>
      <w:widowControl/>
      <w:spacing w:before="100" w:beforeAutospacing="1" w:after="100" w:afterAutospacing="1"/>
      <w:jc w:val="left"/>
    </w:pPr>
    <w:rPr>
      <w:rFonts w:hint="eastAsia" w:ascii="宋体" w:hAnsi="宋体"/>
      <w:sz w:val="28"/>
      <w:szCs w:val="28"/>
    </w:rPr>
  </w:style>
  <w:style w:type="paragraph" w:customStyle="1" w:styleId="479">
    <w:name w:val="标题1"/>
    <w:basedOn w:val="1"/>
    <w:next w:val="1"/>
    <w:qFormat/>
    <w:uiPriority w:val="99"/>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80">
    <w:name w:val="修订1"/>
    <w:semiHidden/>
    <w:qFormat/>
    <w:uiPriority w:val="99"/>
    <w:rPr>
      <w:rFonts w:hint="default" w:ascii="Times New Roman" w:hAnsi="Times New Roman" w:eastAsia="宋体" w:cs="Times New Roman"/>
      <w:sz w:val="21"/>
      <w:szCs w:val="21"/>
      <w:lang w:val="en-US" w:eastAsia="zh-CN" w:bidi="ar-SA"/>
    </w:rPr>
  </w:style>
  <w:style w:type="table" w:customStyle="1" w:styleId="481">
    <w:name w:val="Table Normal"/>
    <w:qFormat/>
    <w:uiPriority w:val="0"/>
    <w:rPr>
      <w:lang w:val="en-US" w:eastAsia="zh-CN" w:bidi="ar-SA"/>
    </w:rPr>
  </w:style>
  <w:style w:type="paragraph" w:customStyle="1" w:styleId="482">
    <w:name w:val="正文文本12"/>
    <w:basedOn w:val="1"/>
    <w:qFormat/>
    <w:uiPriority w:val="1"/>
    <w:pPr>
      <w:ind w:left="120"/>
    </w:pPr>
    <w:rPr>
      <w:rFonts w:ascii="宋体" w:hAnsi="宋体" w:cs="宋体"/>
      <w:szCs w:val="21"/>
      <w:lang w:val="zh-CN" w:bidi="zh-CN"/>
    </w:rPr>
  </w:style>
  <w:style w:type="paragraph" w:customStyle="1" w:styleId="483">
    <w:name w:val="首行缩进"/>
    <w:basedOn w:val="1"/>
    <w:qFormat/>
    <w:uiPriority w:val="99"/>
    <w:pPr>
      <w:ind w:firstLine="480"/>
    </w:pPr>
    <w:rPr>
      <w:rFonts w:ascii="Times New Roman" w:hAnsi="Times New Roman"/>
      <w:szCs w:val="21"/>
      <w:lang w:val="zh-CN"/>
    </w:rPr>
  </w:style>
  <w:style w:type="paragraph" w:customStyle="1" w:styleId="484">
    <w:name w:val="部分1"/>
    <w:basedOn w:val="1"/>
    <w:qFormat/>
    <w:uiPriority w:val="99"/>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85">
    <w:name w:val="15"/>
    <w:link w:val="1"/>
    <w:qFormat/>
    <w:uiPriority w:val="0"/>
    <w:rPr>
      <w:rFonts w:ascii="Times New Roman" w:hAnsi="Times New Roman" w:cs="Times New Roman"/>
    </w:rPr>
  </w:style>
  <w:style w:type="paragraph" w:customStyle="1" w:styleId="486">
    <w:name w:val="正文文本缩进 2_0"/>
    <w:basedOn w:val="183"/>
    <w:qFormat/>
    <w:uiPriority w:val="99"/>
    <w:pPr>
      <w:spacing w:line="540" w:lineRule="exact"/>
      <w:ind w:firstLine="720"/>
      <w:jc w:val="left"/>
    </w:pPr>
    <w:rPr>
      <w:rFonts w:ascii="仿宋_GB2312" w:hAnsi="仿宋_GB2312" w:cs="宋体"/>
      <w:sz w:val="32"/>
      <w:szCs w:val="32"/>
    </w:rPr>
  </w:style>
  <w:style w:type="character" w:customStyle="1" w:styleId="487">
    <w:name w:val="10"/>
    <w:link w:val="1"/>
    <w:qFormat/>
    <w:uiPriority w:val="0"/>
    <w:rPr>
      <w:rFonts w:ascii="Times New Roman" w:hAnsi="Times New Roman" w:cs="Times New Roman"/>
    </w:rPr>
  </w:style>
  <w:style w:type="paragraph" w:customStyle="1" w:styleId="488">
    <w:name w:val="正文_16_1"/>
    <w:basedOn w:val="1"/>
    <w:qFormat/>
    <w:uiPriority w:val="99"/>
    <w:rPr>
      <w:rFonts w:ascii="Times New Roman" w:hAnsi="Times New Roman"/>
      <w:szCs w:val="21"/>
    </w:rPr>
  </w:style>
  <w:style w:type="paragraph" w:customStyle="1" w:styleId="489">
    <w:name w:val="页脚1"/>
    <w:basedOn w:val="1"/>
    <w:qFormat/>
    <w:uiPriority w:val="99"/>
    <w:pPr>
      <w:tabs>
        <w:tab w:val="center" w:pos="4153"/>
        <w:tab w:val="right" w:pos="8306"/>
      </w:tabs>
      <w:jc w:val="left"/>
    </w:pPr>
    <w:rPr>
      <w:sz w:val="18"/>
      <w:szCs w:val="18"/>
    </w:rPr>
  </w:style>
  <w:style w:type="character" w:customStyle="1" w:styleId="490">
    <w:name w:val="页码1"/>
    <w:link w:val="1"/>
    <w:qFormat/>
    <w:uiPriority w:val="0"/>
  </w:style>
  <w:style w:type="paragraph" w:customStyle="1" w:styleId="491">
    <w:name w:val="*正文"/>
    <w:basedOn w:val="68"/>
    <w:qFormat/>
    <w:uiPriority w:val="0"/>
    <w:pPr>
      <w:ind w:firstLine="200"/>
    </w:pPr>
    <w:rPr>
      <w:rFonts w:ascii="宋体" w:hAnsi="宋体"/>
      <w:color w:val="000000"/>
      <w:sz w:val="24"/>
      <w:szCs w:val="24"/>
    </w:rPr>
  </w:style>
  <w:style w:type="paragraph" w:customStyle="1" w:styleId="492">
    <w:name w:val="*正文_0"/>
    <w:basedOn w:val="493"/>
    <w:qFormat/>
    <w:uiPriority w:val="0"/>
    <w:pPr>
      <w:spacing w:line="360" w:lineRule="auto"/>
      <w:ind w:firstLine="200"/>
    </w:pPr>
    <w:rPr>
      <w:rFonts w:ascii="宋体" w:hAnsi="宋体" w:eastAsia="Arial" w:cs="Arial"/>
      <w:color w:val="000000"/>
      <w:sz w:val="24"/>
    </w:rPr>
  </w:style>
  <w:style w:type="paragraph" w:customStyle="1" w:styleId="493">
    <w:name w:val="正文缩进_2"/>
    <w:basedOn w:val="343"/>
    <w:unhideWhenUsed/>
    <w:qFormat/>
    <w:uiPriority w:val="99"/>
    <w:pPr>
      <w:widowControl/>
      <w:ind w:firstLine="420"/>
      <w:jc w:val="left"/>
    </w:pPr>
    <w:rPr>
      <w:rFonts w:ascii="Times New Roman" w:hAnsi="Times New Roman"/>
      <w:sz w:val="20"/>
      <w:szCs w:val="24"/>
    </w:rPr>
  </w:style>
  <w:style w:type="paragraph" w:customStyle="1" w:styleId="494">
    <w:name w:val="*正文_0_0"/>
    <w:basedOn w:val="343"/>
    <w:qFormat/>
    <w:uiPriority w:val="99"/>
    <w:pPr>
      <w:widowControl/>
      <w:spacing w:line="360" w:lineRule="auto"/>
      <w:ind w:firstLine="200"/>
      <w:jc w:val="left"/>
    </w:pPr>
    <w:rPr>
      <w:rFonts w:ascii="宋体" w:hAnsi="宋体" w:eastAsia="Arial" w:cs="Arial"/>
      <w:color w:val="000000"/>
      <w:sz w:val="24"/>
      <w:szCs w:val="24"/>
    </w:rPr>
  </w:style>
  <w:style w:type="paragraph" w:customStyle="1" w:styleId="495">
    <w:name w:val="无间隔1_0_0"/>
    <w:basedOn w:val="343"/>
    <w:qFormat/>
    <w:uiPriority w:val="99"/>
    <w:rPr>
      <w:rFonts w:ascii="Times New Roman" w:hAnsi="Times New Roman"/>
      <w:szCs w:val="21"/>
    </w:rPr>
  </w:style>
  <w:style w:type="paragraph" w:customStyle="1" w:styleId="496">
    <w:name w:val="正文_0_2"/>
    <w:qFormat/>
    <w:uiPriority w:val="99"/>
    <w:pPr>
      <w:widowControl w:val="0"/>
      <w:jc w:val="both"/>
    </w:pPr>
    <w:rPr>
      <w:rFonts w:hint="default" w:ascii="Times New Roman" w:hAnsi="Times New Roman" w:eastAsia="宋体" w:cs="Times New Roman"/>
      <w:szCs w:val="24"/>
      <w:lang w:val="en-US" w:eastAsia="zh-CN" w:bidi="ar-SA"/>
    </w:rPr>
  </w:style>
  <w:style w:type="paragraph" w:customStyle="1" w:styleId="497">
    <w:name w:val="标题 4_0"/>
    <w:basedOn w:val="498"/>
    <w:next w:val="498"/>
    <w:unhideWhenUsed/>
    <w:qFormat/>
    <w:uiPriority w:val="9"/>
    <w:pPr>
      <w:keepNext/>
      <w:keepLines/>
      <w:spacing w:before="280" w:after="290" w:line="372" w:lineRule="auto"/>
      <w:outlineLvl w:val="3"/>
    </w:pPr>
    <w:rPr>
      <w:rFonts w:ascii="Arial" w:hAnsi="Arial" w:eastAsia="黑体"/>
      <w:b/>
      <w:sz w:val="28"/>
    </w:rPr>
  </w:style>
  <w:style w:type="paragraph" w:customStyle="1" w:styleId="498">
    <w:name w:val="正文4"/>
    <w:qFormat/>
    <w:uiPriority w:val="99"/>
    <w:pPr>
      <w:widowControl w:val="0"/>
      <w:jc w:val="both"/>
    </w:pPr>
    <w:rPr>
      <w:rFonts w:hint="default" w:ascii="Calibri" w:hAnsi="Calibri" w:eastAsia="宋体" w:cs="Times New Roman"/>
      <w:lang w:val="en-US" w:eastAsia="zh-CN" w:bidi="ar-SA"/>
    </w:rPr>
  </w:style>
  <w:style w:type="paragraph" w:customStyle="1" w:styleId="499">
    <w:name w:val="正文_3_0_0"/>
    <w:qFormat/>
    <w:uiPriority w:val="99"/>
    <w:pPr>
      <w:widowControl w:val="0"/>
      <w:jc w:val="both"/>
    </w:pPr>
    <w:rPr>
      <w:rFonts w:hint="default" w:ascii="Times New Roman" w:hAnsi="Times New Roman" w:eastAsia="宋体" w:cs="Times New Roman"/>
      <w:lang w:val="en-US" w:eastAsia="zh-CN" w:bidi="ar-SA"/>
    </w:rPr>
  </w:style>
  <w:style w:type="paragraph" w:customStyle="1" w:styleId="500">
    <w:name w:val="p17_0_0"/>
    <w:basedOn w:val="388"/>
    <w:qFormat/>
    <w:uiPriority w:val="99"/>
    <w:pPr>
      <w:widowControl/>
      <w:spacing w:before="100" w:beforeAutospacing="1" w:after="100" w:afterAutospacing="1"/>
      <w:jc w:val="left"/>
    </w:pPr>
    <w:rPr>
      <w:rFonts w:ascii="宋体" w:hAnsi="宋体" w:eastAsia="Times New Roman" w:cs="宋体"/>
      <w:sz w:val="24"/>
      <w:szCs w:val="24"/>
    </w:rPr>
  </w:style>
  <w:style w:type="paragraph" w:customStyle="1" w:styleId="501">
    <w:name w:val="p17_0"/>
    <w:basedOn w:val="45"/>
    <w:qFormat/>
    <w:uiPriority w:val="99"/>
    <w:pPr>
      <w:widowControl/>
      <w:spacing w:before="100" w:beforeAutospacing="1" w:after="100" w:afterAutospacing="1"/>
      <w:jc w:val="left"/>
    </w:pPr>
    <w:rPr>
      <w:rFonts w:ascii="宋体" w:hAnsi="宋体" w:eastAsia="Times New Roman" w:cs="宋体"/>
      <w:sz w:val="24"/>
      <w:szCs w:val="24"/>
    </w:rPr>
  </w:style>
  <w:style w:type="paragraph" w:customStyle="1" w:styleId="502">
    <w:name w:val="普通(网站)11"/>
    <w:basedOn w:val="1"/>
    <w:qFormat/>
    <w:uiPriority w:val="99"/>
    <w:rPr>
      <w:sz w:val="24"/>
    </w:rPr>
  </w:style>
  <w:style w:type="paragraph" w:customStyle="1" w:styleId="503">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504">
    <w:name w:val="标题 211"/>
    <w:basedOn w:val="1"/>
    <w:next w:val="1"/>
    <w:link w:val="516"/>
    <w:qFormat/>
    <w:uiPriority w:val="9"/>
    <w:pPr>
      <w:keepNext/>
      <w:keepLines/>
      <w:spacing w:before="260" w:after="260" w:line="413" w:lineRule="auto"/>
      <w:outlineLvl w:val="1"/>
    </w:pPr>
    <w:rPr>
      <w:rFonts w:ascii="Arial" w:hAnsi="Arial" w:eastAsia="黑体"/>
      <w:b/>
      <w:sz w:val="32"/>
      <w:szCs w:val="20"/>
    </w:rPr>
  </w:style>
  <w:style w:type="paragraph" w:customStyle="1" w:styleId="505">
    <w:name w:val="标题 312"/>
    <w:basedOn w:val="1"/>
    <w:next w:val="1"/>
    <w:qFormat/>
    <w:uiPriority w:val="99"/>
    <w:pPr>
      <w:keepNext/>
      <w:keepLines/>
      <w:spacing w:before="320" w:after="200"/>
      <w:outlineLvl w:val="2"/>
    </w:pPr>
    <w:rPr>
      <w:rFonts w:ascii="Arial" w:hAnsi="Arial" w:eastAsia="Arial" w:cs="Arial"/>
      <w:sz w:val="30"/>
      <w:szCs w:val="30"/>
    </w:rPr>
  </w:style>
  <w:style w:type="paragraph" w:customStyle="1" w:styleId="506">
    <w:name w:val="标题 411"/>
    <w:basedOn w:val="1"/>
    <w:next w:val="1"/>
    <w:qFormat/>
    <w:uiPriority w:val="99"/>
    <w:pPr>
      <w:keepNext/>
      <w:jc w:val="center"/>
      <w:outlineLvl w:val="3"/>
    </w:pPr>
    <w:rPr>
      <w:rFonts w:eastAsia="新宋体"/>
      <w:sz w:val="30"/>
      <w:szCs w:val="21"/>
    </w:rPr>
  </w:style>
  <w:style w:type="paragraph" w:customStyle="1" w:styleId="507">
    <w:name w:val="正文文本4"/>
    <w:basedOn w:val="1"/>
    <w:qFormat/>
    <w:uiPriority w:val="99"/>
    <w:pPr>
      <w:spacing w:line="60" w:lineRule="auto"/>
    </w:pPr>
    <w:rPr>
      <w:rFonts w:ascii="仿宋_GB2312" w:hAnsi="Times New Roman" w:eastAsia="仿宋_GB2312"/>
      <w:sz w:val="32"/>
    </w:rPr>
  </w:style>
  <w:style w:type="paragraph" w:customStyle="1" w:styleId="508">
    <w:name w:val="正文文本11"/>
    <w:basedOn w:val="1"/>
    <w:link w:val="517"/>
    <w:qFormat/>
    <w:uiPriority w:val="99"/>
    <w:rPr>
      <w:rFonts w:ascii="仿宋" w:hAnsi="仿宋" w:eastAsia="仿宋" w:cs="仿宋"/>
      <w:sz w:val="32"/>
      <w:szCs w:val="32"/>
      <w:lang w:eastAsia="en-US"/>
    </w:rPr>
  </w:style>
  <w:style w:type="paragraph" w:customStyle="1" w:styleId="509">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510">
    <w:name w:val="List Continue 2_0"/>
    <w:basedOn w:val="45"/>
    <w:next w:val="45"/>
    <w:qFormat/>
    <w:uiPriority w:val="99"/>
    <w:pPr>
      <w:widowControl w:val="0"/>
      <w:spacing w:after="120"/>
      <w:ind w:left="840"/>
      <w:jc w:val="both"/>
    </w:pPr>
    <w:rPr>
      <w:rFonts w:ascii="Calibri" w:hAnsi="Calibri" w:eastAsia="宋体" w:cs="Times New Roman"/>
      <w:b w:val="0"/>
      <w:sz w:val="21"/>
      <w:szCs w:val="22"/>
    </w:rPr>
  </w:style>
  <w:style w:type="paragraph" w:customStyle="1" w:styleId="511">
    <w:name w:val="标书正文"/>
    <w:basedOn w:val="1"/>
    <w:qFormat/>
    <w:uiPriority w:val="0"/>
    <w:rPr>
      <w:lang w:val="zh-CN"/>
    </w:rPr>
  </w:style>
  <w:style w:type="paragraph" w:customStyle="1" w:styleId="512">
    <w:name w:val="页脚112"/>
    <w:basedOn w:val="1"/>
    <w:qFormat/>
    <w:uiPriority w:val="99"/>
    <w:pPr>
      <w:tabs>
        <w:tab w:val="center" w:pos="4153"/>
        <w:tab w:val="right" w:pos="8306"/>
      </w:tabs>
      <w:jc w:val="left"/>
    </w:pPr>
    <w:rPr>
      <w:sz w:val="18"/>
      <w:szCs w:val="18"/>
    </w:rPr>
  </w:style>
  <w:style w:type="paragraph" w:customStyle="1" w:styleId="513">
    <w:name w:val="页脚11"/>
    <w:basedOn w:val="1"/>
    <w:link w:val="514"/>
    <w:qFormat/>
    <w:uiPriority w:val="99"/>
    <w:pPr>
      <w:tabs>
        <w:tab w:val="center" w:pos="4153"/>
        <w:tab w:val="right" w:pos="8306"/>
      </w:tabs>
      <w:jc w:val="left"/>
    </w:pPr>
    <w:rPr>
      <w:sz w:val="18"/>
      <w:szCs w:val="18"/>
    </w:rPr>
  </w:style>
  <w:style w:type="character" w:customStyle="1" w:styleId="514">
    <w:name w:val="页脚 字符"/>
    <w:link w:val="513"/>
    <w:qFormat/>
    <w:uiPriority w:val="99"/>
    <w:rPr>
      <w:rFonts w:ascii="Calibri" w:hAnsi="Calibri"/>
      <w:sz w:val="18"/>
      <w:szCs w:val="18"/>
    </w:rPr>
  </w:style>
  <w:style w:type="paragraph" w:customStyle="1" w:styleId="515">
    <w:name w:val="无间隔1_0"/>
    <w:basedOn w:val="1"/>
    <w:qFormat/>
    <w:uiPriority w:val="0"/>
    <w:rPr>
      <w:rFonts w:ascii="Times New Roman" w:hAnsi="Times New Roman"/>
      <w:sz w:val="24"/>
      <w:szCs w:val="24"/>
    </w:rPr>
  </w:style>
  <w:style w:type="character" w:customStyle="1" w:styleId="516">
    <w:name w:val="标题 2 字符"/>
    <w:link w:val="504"/>
    <w:qFormat/>
    <w:uiPriority w:val="9"/>
    <w:rPr>
      <w:rFonts w:ascii="Arial" w:hAnsi="Arial" w:eastAsia="黑体"/>
      <w:b/>
      <w:sz w:val="32"/>
    </w:rPr>
  </w:style>
  <w:style w:type="character" w:customStyle="1" w:styleId="517">
    <w:name w:val="正文文本 字符2"/>
    <w:link w:val="508"/>
    <w:qFormat/>
    <w:uiPriority w:val="99"/>
    <w:rPr>
      <w:rFonts w:ascii="仿宋" w:hAnsi="仿宋" w:eastAsia="仿宋" w:cs="仿宋"/>
      <w:sz w:val="32"/>
      <w:szCs w:val="32"/>
      <w:lang w:eastAsia="en-US"/>
    </w:rPr>
  </w:style>
  <w:style w:type="paragraph" w:customStyle="1" w:styleId="518">
    <w:name w:val="纯文本11"/>
    <w:basedOn w:val="1"/>
    <w:link w:val="519"/>
    <w:qFormat/>
    <w:uiPriority w:val="0"/>
    <w:rPr>
      <w:rFonts w:ascii="宋体" w:hAnsi="Courier New" w:cs="Courier New"/>
      <w:szCs w:val="21"/>
    </w:rPr>
  </w:style>
  <w:style w:type="character" w:customStyle="1" w:styleId="519">
    <w:name w:val="纯文本 字符"/>
    <w:link w:val="518"/>
    <w:qFormat/>
    <w:uiPriority w:val="0"/>
    <w:rPr>
      <w:rFonts w:ascii="宋体" w:hAnsi="Courier New" w:cs="Courier New"/>
      <w:sz w:val="21"/>
      <w:szCs w:val="21"/>
    </w:rPr>
  </w:style>
  <w:style w:type="paragraph" w:customStyle="1" w:styleId="520">
    <w:name w:val="正文缩进1_0"/>
    <w:qFormat/>
    <w:uiPriority w:val="0"/>
    <w:pPr>
      <w:widowControl w:val="0"/>
      <w:ind w:firstLine="420"/>
      <w:jc w:val="left"/>
    </w:pPr>
    <w:rPr>
      <w:rFonts w:hint="default" w:ascii="宋体" w:hAnsi="Calibri" w:eastAsia="宋体" w:cs="Times New Roman"/>
      <w:sz w:val="24"/>
      <w:szCs w:val="22"/>
      <w:lang w:val="en-US" w:eastAsia="zh-CN" w:bidi="ar-SA"/>
    </w:rPr>
  </w:style>
  <w:style w:type="paragraph" w:customStyle="1" w:styleId="521">
    <w:name w:val="Normal_20_0"/>
    <w:next w:val="522"/>
    <w:qFormat/>
    <w:uiPriority w:val="0"/>
    <w:pPr>
      <w:widowControl w:val="0"/>
      <w:jc w:val="both"/>
    </w:pPr>
    <w:rPr>
      <w:rFonts w:hint="default" w:ascii="Calibri" w:hAnsi="Calibri" w:eastAsia="宋体" w:cs="宋体"/>
      <w:lang w:val="en-US" w:eastAsia="zh-CN" w:bidi="ar-SA"/>
    </w:rPr>
  </w:style>
  <w:style w:type="paragraph" w:customStyle="1" w:styleId="522">
    <w:name w:val="Plain Text_0"/>
    <w:unhideWhenUsed/>
    <w:qFormat/>
    <w:uiPriority w:val="99"/>
    <w:pPr>
      <w:widowControl w:val="0"/>
      <w:jc w:val="both"/>
    </w:pPr>
    <w:rPr>
      <w:rFonts w:hint="default" w:ascii="宋体" w:hAnsi="Courier New" w:eastAsia="宋体" w:cs="Courier New"/>
      <w:lang w:val="en-US" w:eastAsia="zh-CN" w:bidi="ar-SA"/>
    </w:rPr>
  </w:style>
  <w:style w:type="paragraph" w:customStyle="1" w:styleId="523">
    <w:name w:val="正文缩进1_0_0"/>
    <w:qFormat/>
    <w:uiPriority w:val="0"/>
    <w:pPr>
      <w:widowControl w:val="0"/>
      <w:ind w:firstLine="420"/>
      <w:jc w:val="left"/>
    </w:pPr>
    <w:rPr>
      <w:rFonts w:hint="default" w:ascii="宋体" w:hAnsi="Calibri" w:eastAsia="宋体" w:cs="Times New Roman"/>
      <w:sz w:val="24"/>
      <w:szCs w:val="22"/>
      <w:lang w:val="en-US" w:eastAsia="zh-CN" w:bidi="ar-SA"/>
    </w:rPr>
  </w:style>
  <w:style w:type="character" w:customStyle="1" w:styleId="524">
    <w:name w:val="强调1"/>
    <w:link w:val="1"/>
    <w:qFormat/>
    <w:uiPriority w:val="0"/>
    <w:rPr>
      <w:i/>
    </w:rPr>
  </w:style>
  <w:style w:type="paragraph" w:customStyle="1" w:styleId="525">
    <w:name w:val="h 1.1(1)"/>
    <w:qFormat/>
    <w:uiPriority w:val="0"/>
    <w:pPr>
      <w:widowControl w:val="0"/>
      <w:tabs>
        <w:tab w:val="right" w:pos="839"/>
        <w:tab w:val="left" w:pos="1021"/>
      </w:tabs>
      <w:adjustRightInd w:val="0"/>
      <w:spacing w:line="326" w:lineRule="atLeast"/>
      <w:ind w:left="1021" w:hanging="1021"/>
      <w:jc w:val="both"/>
      <w:textAlignment w:val="baseline"/>
    </w:pPr>
    <w:rPr>
      <w:rFonts w:ascii="Times New Roman" w:hAnsi="Times New Roman" w:eastAsia="MS Mincho" w:cs="Times New Roman"/>
      <w:kern w:val="0"/>
      <w:sz w:val="19"/>
      <w:szCs w:val="20"/>
      <w:lang w:val="en-US" w:eastAsia="ja-JP" w:bidi="ar-SA"/>
    </w:rPr>
  </w:style>
  <w:style w:type="character" w:customStyle="1" w:styleId="526">
    <w:name w:val="active16"/>
    <w:basedOn w:val="32"/>
    <w:qFormat/>
    <w:uiPriority w:val="0"/>
    <w:rPr>
      <w:color w:val="FFFFFF"/>
      <w:bdr w:val="single" w:color="0F5BB9" w:sz="6" w:space="0"/>
      <w:shd w:val="clear" w:fill="0F5BB9"/>
    </w:rPr>
  </w:style>
  <w:style w:type="character" w:customStyle="1" w:styleId="527">
    <w:name w:val="active"/>
    <w:basedOn w:val="32"/>
    <w:qFormat/>
    <w:uiPriority w:val="0"/>
    <w:rPr>
      <w:color w:val="FFFFFF"/>
      <w:bdr w:val="single" w:color="0F5BB9" w:sz="6" w:space="0"/>
      <w:shd w:val="clear" w:fill="0F5BB9"/>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57</Pages>
  <Words>10676</Words>
  <Characters>11346</Characters>
  <TotalTime>3</TotalTime>
  <ScaleCrop>false</ScaleCrop>
  <LinksUpToDate>false</LinksUpToDate>
  <CharactersWithSpaces>11428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宿迁政府采购.晗然</dc:creator>
  <cp:lastModifiedBy>静</cp:lastModifiedBy>
  <dcterms:modified xsi:type="dcterms:W3CDTF">2026-03-30T09:16:43Z</dcterms:modified>
  <cp:revision>1094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eyJoZGlkIjoiODZkYzAxNDBhNTFlOTk0OWZiN2Q0NjcxOGRlZjM3NDAiLCJ1c2VySWQiOiI5NDA4NzQzOTQifQ==</vt:lpwstr>
  </property>
  <property fmtid="{D5CDD505-2E9C-101B-9397-08002B2CF9AE}" pid="3" name="KSOProductBuildVer">
    <vt:lpwstr>2052-12.1.0.25225</vt:lpwstr>
  </property>
  <property fmtid="{D5CDD505-2E9C-101B-9397-08002B2CF9AE}" pid="4" name="ICV">
    <vt:lpwstr>EC87FD59FE7C41B49A42943033F7D965_12</vt:lpwstr>
  </property>
</Properties>
</file>