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2"/>
        <w:ind w:firstLine="0"/>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南京鼓楼医院 </w:t>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江北院区轨道物流系统维保</w:t>
      </w:r>
      <w:r>
        <w:rPr>
          <w:rFonts w:hint="eastAsia" w:ascii="宋体" w:hAnsi="宋体" w:cs="宋体"/>
          <w:b/>
          <w:bCs/>
          <w:color w:val="auto"/>
          <w:sz w:val="72"/>
          <w:szCs w:val="72"/>
          <w:highlight w:val="none"/>
        </w:rPr>
        <w:t xml:space="preserve"> </w:t>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JSZC-320100-SMDG-G2026-0025</w:t>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0pt;height:22.8pt;mso-wrap-distance-left:0.0pt;mso-wrap-distance-top:0.0pt;mso-wrap-distance-right:0.0pt;mso-wrap-distance-bottom:0.0pt;" filled="f" stroked="f">
            <v:path textboxrect="0,0,0,0"/>
            <v:imagedata r:id="rId20" o:title=""/>
          </v:shape>
          <o:OLEObject DrawAspect="Content" r:id="rId21" ObjectID="_1525044" ProgID="PBrush" ShapeID="_x0000_i4" Type="Embed"/>
        </w:objec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lang w:val="en-US" w:eastAsia="zh-CN"/>
        </w:rPr>
        <w:t xml:space="preserve">2026</w:t>
      </w:r>
      <w:r>
        <w:rPr>
          <w:rFonts w:hint="eastAsia" w:ascii="宋体" w:hAnsi="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03</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hint="default" w:ascii="Arial" w:hAnsi="Arial"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 xml:space="preserve">采购需求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pStyle w:val="1141"/>
        <w:spacing w:line="480" w:lineRule="auto"/>
        <w:tabs>
          <w:tab w:val="right" w:pos="9638" w:leader="dot"/>
        </w:tabs>
        <w:rPr>
          <w:color w:val="auto"/>
          <w:highlight w:val="none"/>
        </w:rPr>
      </w:pPr>
      <w:r>
        <w:rPr>
          <w:color w:val="auto"/>
          <w:highlight w:val="none"/>
        </w:rPr>
      </w:r>
      <w:r/>
    </w:p>
    <w:p>
      <w:pPr>
        <w:pStyle w:val="1128"/>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141"/>
        <w:spacing w:line="480" w:lineRule="auto"/>
        <w:tabs>
          <w:tab w:val="right" w:pos="9638" w:leader="dot"/>
        </w:tabs>
        <w:rPr>
          <w:color w:val="auto"/>
          <w:highlight w:val="none"/>
        </w:rPr>
      </w:pPr>
      <w:r>
        <w:rPr>
          <w:color w:val="auto"/>
          <w:highlight w:val="none"/>
        </w:rPr>
      </w:r>
      <w:r/>
    </w:p>
    <w:p>
      <w:pPr>
        <w:pStyle w:val="1128"/>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144"/>
        <w:ind w:right="420" w:firstLine="321"/>
        <w:jc w:val="center"/>
        <w:spacing w:line="360" w:lineRule="auto"/>
        <w:rPr>
          <w:color w:val="auto"/>
          <w:szCs w:val="24"/>
          <w:highlight w:val="none"/>
        </w:rPr>
      </w:pPr>
      <w:r>
        <w:rPr>
          <w:rFonts w:hint="eastAsia" w:ascii="黑体" w:hAnsi="宋体" w:eastAsia="黑体"/>
          <w:color w:val="auto"/>
          <w:sz w:val="32"/>
          <w:szCs w:val="32"/>
          <w:highlight w:val="none"/>
        </w:rPr>
        <w:t xml:space="preserve">第一章   投标邀请</w:t>
      </w:r>
      <w:r/>
    </w:p>
    <w:p>
      <w:pPr>
        <w:ind w:right="-159" w:firstLine="420"/>
        <w:spacing w:line="400" w:lineRule="exact"/>
        <w:rPr>
          <w:color w:val="auto"/>
          <w:highlight w:val="none"/>
        </w:rPr>
      </w:pPr>
      <w:r>
        <w:rPr>
          <w:color w:val="auto"/>
          <w:highlight w:val="none"/>
        </w:rPr>
      </w:r>
      <w:r/>
    </w:p>
    <w:p>
      <w:pPr>
        <w:pStyle w:val="1149"/>
        <w:ind w:firstLine="420"/>
        <w:spacing w:before="0" w:beforeAutospacing="0" w:after="0" w:afterAutospacing="0" w:line="48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苏美达国际技术贸易有限公司</w:t>
      </w:r>
      <w:r>
        <w:rPr>
          <w:rFonts w:ascii="Arial" w:hAnsi="Arial" w:eastAsia="宋体" w:cs="Arial"/>
          <w:color w:val="auto"/>
          <w:sz w:val="21"/>
          <w:szCs w:val="21"/>
          <w:highlight w:val="none"/>
        </w:rPr>
        <w:t xml:space="preserve">受</w:t>
      </w:r>
      <w:r>
        <w:rPr>
          <w:rFonts w:hint="eastAsia" w:ascii="Arial" w:hAnsi="Arial" w:eastAsia="宋体" w:cs="Arial"/>
          <w:color w:val="auto"/>
          <w:sz w:val="21"/>
          <w:szCs w:val="21"/>
          <w:highlight w:val="none"/>
        </w:rPr>
        <w:t xml:space="preserve">南京鼓楼医院</w:t>
      </w:r>
      <w:r>
        <w:rPr>
          <w:rFonts w:ascii="Arial" w:hAnsi="Arial" w:eastAsia="宋体" w:cs="Arial"/>
          <w:color w:val="auto"/>
          <w:sz w:val="21"/>
          <w:szCs w:val="21"/>
          <w:highlight w:val="none"/>
        </w:rPr>
        <w:t xml:space="preserve">委托，就</w:t>
      </w:r>
      <w:r>
        <w:rPr>
          <w:rFonts w:hint="eastAsia" w:ascii="Arial" w:hAnsi="Arial" w:eastAsia="宋体" w:cs="Arial"/>
          <w:color w:val="auto"/>
          <w:sz w:val="21"/>
          <w:szCs w:val="21"/>
          <w:highlight w:val="none"/>
          <w:lang w:eastAsia="zh-CN"/>
        </w:rPr>
        <w:t xml:space="preserve">江北院区轨道物流系统维保</w:t>
      </w:r>
      <w:r>
        <w:rPr>
          <w:rFonts w:ascii="Arial" w:hAnsi="Arial" w:eastAsia="宋体" w:cs="Arial"/>
          <w:color w:val="auto"/>
          <w:sz w:val="21"/>
          <w:szCs w:val="21"/>
          <w:highlight w:val="none"/>
        </w:rPr>
        <w:t xml:space="preserve">进行公开招标，现欢迎符合相关条件的</w:t>
      </w:r>
      <w:r>
        <w:rPr>
          <w:rFonts w:hint="eastAsia" w:ascii="Arial" w:hAnsi="Arial" w:eastAsia="宋体" w:cs="Arial"/>
          <w:color w:val="auto"/>
          <w:sz w:val="21"/>
          <w:szCs w:val="21"/>
          <w:highlight w:val="none"/>
        </w:rPr>
        <w:t xml:space="preserve">供应商</w:t>
      </w:r>
      <w:r>
        <w:rPr>
          <w:rFonts w:ascii="Arial" w:hAnsi="Arial" w:eastAsia="宋体" w:cs="Arial"/>
          <w:color w:val="auto"/>
          <w:sz w:val="21"/>
          <w:szCs w:val="21"/>
          <w:highlight w:val="none"/>
        </w:rPr>
        <w:t xml:space="preserve">参加投标。</w:t>
      </w:r>
      <w:r/>
    </w:p>
    <w:p>
      <w:pPr>
        <w:spacing w:line="480" w:lineRule="auto"/>
        <w:rPr>
          <w:b/>
          <w:bCs/>
          <w:color w:val="auto"/>
          <w:highlight w:val="none"/>
        </w:rPr>
      </w:pPr>
      <w:r/>
      <w:bookmarkStart w:id="0" w:name="_Toc35393790"/>
      <w:r/>
      <w:bookmarkStart w:id="1" w:name="_Toc28359002"/>
      <w:r/>
      <w:bookmarkStart w:id="2" w:name="_Toc28359079"/>
      <w:r/>
      <w:bookmarkStart w:id="3" w:name="_Toc35393621"/>
      <w:r>
        <w:rPr>
          <w:rFonts w:hint="eastAsia"/>
          <w:b/>
          <w:bCs/>
          <w:color w:val="auto"/>
          <w:highlight w:val="none"/>
        </w:rPr>
        <w:t xml:space="preserve">一、项目基本情况</w:t>
      </w:r>
      <w:bookmarkEnd w:id="0"/>
      <w:r/>
      <w:bookmarkEnd w:id="1"/>
      <w:r/>
      <w:bookmarkEnd w:id="2"/>
      <w:r/>
      <w:bookmarkEnd w:id="3"/>
      <w:r>
        <w:rPr>
          <w:rFonts w:hint="eastAsia"/>
          <w:b/>
          <w:bCs/>
          <w:color w:val="auto"/>
          <w:highlight w:val="none"/>
        </w:rPr>
        <w:t xml:space="preserve">及采购需求</w:t>
      </w:r>
      <w:r/>
    </w:p>
    <w:p>
      <w:pPr>
        <w:spacing w:line="48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JSZC-320100-SMDG-G2026-0025</w:t>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项目名称：南京鼓楼医院</w:t>
      </w:r>
      <w:r>
        <w:rPr>
          <w:rFonts w:hint="eastAsia" w:ascii="Arial" w:hAnsi="Arial" w:cs="Arial"/>
          <w:color w:val="auto"/>
          <w:szCs w:val="21"/>
          <w:highlight w:val="none"/>
          <w:lang w:eastAsia="zh-CN"/>
        </w:rPr>
        <w:t xml:space="preserve">江北院区轨道物流系统维保</w:t>
      </w:r>
      <w:r>
        <w:rPr>
          <w:rFonts w:hint="eastAsia" w:ascii="Arial" w:hAnsi="Arial" w:cs="Arial"/>
          <w:color w:val="auto"/>
          <w:szCs w:val="21"/>
          <w:highlight w:val="none"/>
        </w:rPr>
        <w:t xml:space="preserve">项目</w:t>
      </w:r>
      <w:r/>
    </w:p>
    <w:p>
      <w:pPr>
        <w:spacing w:line="480" w:lineRule="auto"/>
        <w:rPr>
          <w:rFonts w:hint="default" w:ascii="Arial" w:hAnsi="Arial" w:eastAsia="宋体" w:cs="Arial"/>
          <w:color w:val="auto"/>
          <w:szCs w:val="21"/>
          <w:highlight w:val="none"/>
          <w:lang w:val="en-US" w:eastAsia="zh-CN"/>
        </w:rPr>
      </w:pPr>
      <w:r>
        <w:rPr>
          <w:rFonts w:hint="eastAsia" w:ascii="Arial" w:hAnsi="Arial" w:cs="Arial"/>
          <w:color w:val="auto"/>
          <w:szCs w:val="21"/>
          <w:highlight w:val="none"/>
        </w:rPr>
        <w:t xml:space="preserve">采购预算：RMB</w:t>
      </w:r>
      <w:r>
        <w:rPr>
          <w:rFonts w:hint="eastAsia" w:ascii="Arial" w:hAnsi="Arial" w:cs="Arial"/>
          <w:color w:val="auto"/>
          <w:szCs w:val="21"/>
          <w:highlight w:val="none"/>
          <w:lang w:val="en-US" w:eastAsia="zh-CN"/>
        </w:rPr>
        <w:t xml:space="preserve">65</w:t>
      </w:r>
      <w:r>
        <w:rPr>
          <w:rFonts w:hint="eastAsia" w:ascii="Arial" w:hAnsi="Arial" w:cs="Arial"/>
          <w:color w:val="auto"/>
          <w:szCs w:val="21"/>
          <w:highlight w:val="none"/>
        </w:rPr>
        <w:t xml:space="preserve">万元</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（人民币</w:t>
      </w:r>
      <w:r>
        <w:rPr>
          <w:rFonts w:hint="eastAsia" w:ascii="Arial" w:hAnsi="Arial" w:cs="Arial"/>
          <w:color w:val="auto"/>
          <w:szCs w:val="21"/>
          <w:highlight w:val="none"/>
          <w:lang w:val="en-US" w:eastAsia="zh-CN"/>
        </w:rPr>
        <w:t xml:space="preserve">陆拾伍</w:t>
      </w:r>
      <w:r>
        <w:rPr>
          <w:rFonts w:hint="eastAsia" w:ascii="Arial" w:hAnsi="Arial" w:cs="Arial"/>
          <w:color w:val="auto"/>
          <w:szCs w:val="21"/>
          <w:highlight w:val="none"/>
        </w:rPr>
        <w:t xml:space="preserve">万元整</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w:t>
      </w:r>
      <w:r>
        <w:rPr>
          <w:rFonts w:hint="eastAsia"/>
          <w:highlight w:val="none"/>
          <w:lang w:eastAsia="zh-CN"/>
        </w:rPr>
        <w:t xml:space="preserve">、</w:t>
      </w:r>
      <w:r>
        <w:rPr>
          <w:rFonts w:hint="eastAsia"/>
          <w:highlight w:val="none"/>
          <w:lang w:val="en-US" w:eastAsia="zh-CN"/>
        </w:rPr>
        <w:t xml:space="preserve">RMB195万元/三年（人民币壹佰陆拾伍万元整/三年）</w:t>
      </w:r>
      <w:r/>
    </w:p>
    <w:p>
      <w:pPr>
        <w:spacing w:line="480" w:lineRule="auto"/>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最高限价：</w:t>
      </w:r>
      <w:r>
        <w:rPr>
          <w:rFonts w:hint="eastAsia" w:ascii="Arial" w:hAnsi="Arial" w:cs="Arial"/>
          <w:color w:val="auto"/>
          <w:szCs w:val="21"/>
          <w:highlight w:val="none"/>
        </w:rPr>
        <w:t xml:space="preserve">RMB</w:t>
      </w:r>
      <w:r>
        <w:rPr>
          <w:rFonts w:hint="eastAsia" w:ascii="Arial" w:hAnsi="Arial" w:cs="Arial"/>
          <w:color w:val="auto"/>
          <w:szCs w:val="21"/>
          <w:highlight w:val="none"/>
          <w:lang w:val="en-US" w:eastAsia="zh-CN"/>
        </w:rPr>
        <w:t xml:space="preserve">65</w:t>
      </w:r>
      <w:r>
        <w:rPr>
          <w:rFonts w:hint="eastAsia" w:ascii="Arial" w:hAnsi="Arial" w:cs="Arial"/>
          <w:color w:val="auto"/>
          <w:szCs w:val="21"/>
          <w:highlight w:val="none"/>
        </w:rPr>
        <w:t xml:space="preserve">万元</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（人民币</w:t>
      </w:r>
      <w:r>
        <w:rPr>
          <w:rFonts w:hint="eastAsia" w:ascii="Arial" w:hAnsi="Arial" w:cs="Arial"/>
          <w:color w:val="auto"/>
          <w:szCs w:val="21"/>
          <w:highlight w:val="none"/>
          <w:lang w:val="en-US" w:eastAsia="zh-CN"/>
        </w:rPr>
        <w:t xml:space="preserve">陆拾伍</w:t>
      </w:r>
      <w:r>
        <w:rPr>
          <w:rFonts w:hint="eastAsia" w:ascii="Arial" w:hAnsi="Arial" w:cs="Arial"/>
          <w:color w:val="auto"/>
          <w:szCs w:val="21"/>
          <w:highlight w:val="none"/>
        </w:rPr>
        <w:t xml:space="preserve">万元整</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w:t>
      </w:r>
      <w:r>
        <w:rPr>
          <w:rFonts w:hint="eastAsia"/>
          <w:highlight w:val="none"/>
          <w:lang w:eastAsia="zh-CN"/>
        </w:rPr>
        <w:t xml:space="preserve">、</w:t>
      </w:r>
      <w:r>
        <w:rPr>
          <w:rFonts w:hint="eastAsia"/>
          <w:highlight w:val="none"/>
          <w:lang w:val="en-US" w:eastAsia="zh-CN"/>
        </w:rPr>
        <w:t xml:space="preserve">RMB195万元/三年（人民币壹佰陆拾伍万元整/三年）</w:t>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本项目所属行业：其他未列明行业</w:t>
      </w:r>
      <w:r/>
    </w:p>
    <w:p>
      <w:pPr>
        <w:spacing w:line="480" w:lineRule="auto"/>
        <w:rPr>
          <w:rFonts w:hint="eastAsia" w:ascii="Arial" w:hAnsi="Arial" w:cs="Arial"/>
          <w:color w:val="auto"/>
          <w:szCs w:val="21"/>
          <w:highlight w:val="none"/>
        </w:rPr>
      </w:pPr>
      <w:r>
        <w:rPr>
          <w:rFonts w:hint="eastAsia" w:ascii="Arial" w:hAnsi="Arial" w:cs="Arial"/>
          <w:b/>
          <w:bCs/>
          <w:color w:val="auto"/>
          <w:szCs w:val="21"/>
          <w:highlight w:val="none"/>
        </w:rPr>
        <w:t xml:space="preserve">合同履行期限：</w:t>
      </w:r>
      <w:r>
        <w:rPr>
          <w:rFonts w:hint="eastAsia" w:ascii="Arial" w:hAnsi="Arial" w:cs="Arial"/>
          <w:color w:val="auto"/>
          <w:szCs w:val="21"/>
          <w:highlight w:val="none"/>
        </w:rPr>
        <w:t xml:space="preserve">自合同签订生效之日起3年。</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本项目不接受联合体投标。</w:t>
      </w:r>
      <w:r/>
    </w:p>
    <w:p>
      <w:pPr>
        <w:spacing w:line="480" w:lineRule="auto"/>
        <w:rPr>
          <w:b/>
          <w:bCs/>
          <w:color w:val="auto"/>
          <w:highlight w:val="none"/>
        </w:rPr>
      </w:pPr>
      <w:r>
        <w:rPr>
          <w:rFonts w:hint="eastAsia"/>
          <w:b/>
          <w:bCs/>
          <w:color w:val="auto"/>
          <w:highlight w:val="none"/>
        </w:rPr>
        <w:t xml:space="preserve">二、申请人的资格要求：</w:t>
      </w:r>
      <w:r/>
    </w:p>
    <w:p>
      <w:pPr>
        <w:spacing w:line="480" w:lineRule="auto"/>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w:t>
      </w:r>
      <w:r/>
    </w:p>
    <w:p>
      <w:pPr>
        <w:spacing w:line="480" w:lineRule="auto"/>
        <w:rPr>
          <w:rFonts w:hint="eastAsia" w:ascii="宋体" w:hAnsi="宋体"/>
          <w:color w:val="auto"/>
          <w:highlight w:val="none"/>
        </w:rPr>
      </w:pPr>
      <w:r>
        <w:rPr>
          <w:rFonts w:hint="eastAsia" w:ascii="宋体" w:hAnsi="宋体"/>
          <w:color w:val="auto"/>
          <w:highlight w:val="none"/>
        </w:rPr>
        <w:t xml:space="preserve">1.1具有独立承担民事责任的能力。投标人提供在有效经营期内的营业执照、法人授权书（法人直接参与投标的可不提供）、法人身份证扫描件、投标人代表身份证扫描件；</w:t>
      </w:r>
      <w:r/>
    </w:p>
    <w:p>
      <w:pPr>
        <w:spacing w:line="480" w:lineRule="auto"/>
        <w:rPr>
          <w:rFonts w:hint="eastAsia" w:ascii="宋体" w:hAnsi="宋体"/>
          <w:color w:val="auto"/>
          <w:highlight w:val="none"/>
        </w:rPr>
      </w:pPr>
      <w:r>
        <w:rPr>
          <w:rFonts w:hint="eastAsia" w:ascii="宋体" w:hAnsi="宋体"/>
          <w:color w:val="auto"/>
          <w:highlight w:val="none"/>
        </w:rPr>
        <w:t xml:space="preserve">1.2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r/>
    </w:p>
    <w:p>
      <w:pPr>
        <w:spacing w:line="480" w:lineRule="auto"/>
        <w:rPr>
          <w:rFonts w:hint="eastAsia" w:ascii="宋体" w:hAnsi="宋体"/>
          <w:color w:val="auto"/>
          <w:highlight w:val="none"/>
        </w:rPr>
      </w:pPr>
      <w:r>
        <w:rPr>
          <w:rFonts w:hint="eastAsia" w:ascii="宋体" w:hAnsi="宋体"/>
          <w:color w:val="auto"/>
          <w:highlight w:val="none"/>
        </w:rPr>
        <w:t xml:space="preserve">其中不适用信用承诺的情形：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1）供应商被列入严重失信主体名单；</w:t>
      </w:r>
      <w:r/>
    </w:p>
    <w:p>
      <w:pPr>
        <w:spacing w:line="480" w:lineRule="auto"/>
        <w:rPr>
          <w:rFonts w:hint="eastAsia" w:ascii="宋体" w:hAnsi="宋体"/>
          <w:color w:val="auto"/>
          <w:highlight w:val="none"/>
        </w:rPr>
      </w:pPr>
      <w:r>
        <w:rPr>
          <w:rFonts w:hint="eastAsia" w:ascii="宋体" w:hAnsi="宋体"/>
          <w:color w:val="auto"/>
          <w:highlight w:val="none"/>
        </w:rPr>
        <w:t xml:space="preserve">2）被相关监督部门作出行政处罚且尚处在处罚有效期内；</w:t>
      </w:r>
      <w:r/>
    </w:p>
    <w:p>
      <w:pPr>
        <w:spacing w:line="480" w:lineRule="auto"/>
        <w:rPr>
          <w:rFonts w:hint="eastAsia" w:ascii="宋体" w:hAnsi="宋体"/>
          <w:color w:val="auto"/>
          <w:highlight w:val="none"/>
        </w:rPr>
      </w:pPr>
      <w:r>
        <w:rPr>
          <w:rFonts w:hint="eastAsia" w:ascii="宋体" w:hAnsi="宋体"/>
          <w:color w:val="auto"/>
          <w:highlight w:val="none"/>
        </w:rPr>
        <w:t xml:space="preserve">3）其他法律、行政法规规定的不适用信用承诺的情形。</w:t>
      </w:r>
      <w:r/>
    </w:p>
    <w:p>
      <w:pPr>
        <w:spacing w:line="480" w:lineRule="auto"/>
        <w:rPr>
          <w:rFonts w:hint="eastAsia" w:ascii="宋体" w:hAnsi="宋体"/>
          <w:color w:val="auto"/>
          <w:highlight w:val="none"/>
        </w:rPr>
      </w:pPr>
      <w:r>
        <w:rPr>
          <w:rFonts w:hint="eastAsia" w:ascii="宋体" w:hAnsi="宋体"/>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r/>
    </w:p>
    <w:p>
      <w:pPr>
        <w:spacing w:line="480" w:lineRule="auto"/>
        <w:rPr>
          <w:rFonts w:hint="eastAsia" w:ascii="宋体" w:hAnsi="宋体"/>
          <w:color w:val="auto"/>
          <w:highlight w:val="none"/>
        </w:rPr>
      </w:pPr>
      <w:r>
        <w:rPr>
          <w:rFonts w:hint="eastAsia" w:ascii="宋体" w:hAnsi="宋体"/>
          <w:color w:val="auto"/>
          <w:highlight w:val="none"/>
        </w:rPr>
        <w:t xml:space="preserve">1.3具有履行合同所必需的设备和专业技术能力。投标人提供具备履行合同所必需的设备和专业技术能力的书面声明（由供应商根据项目需求提供材料）； </w:t>
      </w:r>
      <w:r/>
    </w:p>
    <w:p>
      <w:pPr>
        <w:spacing w:line="480" w:lineRule="auto"/>
        <w:rPr>
          <w:rFonts w:hint="eastAsia" w:ascii="宋体" w:hAnsi="宋体"/>
          <w:color w:val="auto"/>
          <w:highlight w:val="none"/>
        </w:rPr>
      </w:pPr>
      <w:r>
        <w:rPr>
          <w:rFonts w:hint="eastAsia" w:ascii="宋体" w:hAnsi="宋体"/>
          <w:color w:val="auto"/>
          <w:highlight w:val="none"/>
        </w:rPr>
        <w:t xml:space="preserve">1.4有依法缴纳税收和社会保障资金的良好记录。投标人提供提交投标文件截止时间前六个月内至少一个月依法缴纳税收及缴纳社会保障资金的证明材料。投标人依法享受缓缴、免缴的，提供证明材料；</w:t>
      </w:r>
      <w:r/>
    </w:p>
    <w:p>
      <w:pPr>
        <w:spacing w:line="480" w:lineRule="auto"/>
        <w:rPr>
          <w:rFonts w:hint="eastAsia" w:ascii="宋体" w:hAnsi="宋体"/>
          <w:color w:val="auto"/>
          <w:highlight w:val="none"/>
        </w:rPr>
      </w:pPr>
      <w:r>
        <w:rPr>
          <w:rFonts w:hint="eastAsia" w:ascii="宋体" w:hAnsi="宋体"/>
          <w:color w:val="auto"/>
          <w:highlight w:val="none"/>
        </w:rPr>
        <w:t xml:space="preserve">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spacing w:line="360" w:lineRule="auto"/>
        <w:rPr>
          <w:rFonts w:hint="eastAsia" w:ascii="宋体" w:hAnsi="宋体"/>
          <w:b/>
          <w:bCs/>
          <w:color w:val="auto"/>
          <w:highlight w:val="none"/>
        </w:rPr>
      </w:pPr>
      <w:r>
        <w:rPr>
          <w:rFonts w:hint="eastAsia" w:ascii="宋体" w:hAnsi="宋体"/>
          <w:color w:val="auto"/>
          <w:highlight w:val="none"/>
        </w:rPr>
        <w:t xml:space="preserve">1.6法律、行政法规规定的其他条件。</w:t>
      </w:r>
      <w:r/>
    </w:p>
    <w:p>
      <w:pPr>
        <w:spacing w:line="360" w:lineRule="auto"/>
        <w:rPr>
          <w:rFonts w:hint="eastAsia" w:ascii="宋体" w:hAnsi="宋体"/>
          <w:color w:val="auto"/>
          <w:highlight w:val="none"/>
        </w:rPr>
      </w:pPr>
      <w:r>
        <w:rPr>
          <w:rFonts w:hint="eastAsia" w:ascii="宋体" w:hAnsi="宋体"/>
          <w:b/>
          <w:bCs/>
          <w:color w:val="auto"/>
          <w:highlight w:val="none"/>
        </w:rPr>
        <w:t xml:space="preserve">2、落实政府采购政策需满足的资格要求：</w:t>
      </w:r>
      <w:r>
        <w:rPr>
          <w:rFonts w:hint="eastAsia" w:ascii="宋体" w:hAnsi="宋体"/>
          <w:color w:val="auto"/>
          <w:highlight w:val="none"/>
        </w:rPr>
        <w:t xml:space="preserve">本项目不专门面向中小微企业或监狱</w:t>
      </w:r>
      <w:bookmarkStart w:id="124" w:name="_GoBack"/>
      <w:r/>
      <w:bookmarkEnd w:id="124"/>
      <w:r>
        <w:rPr>
          <w:rFonts w:hint="eastAsia" w:ascii="宋体" w:hAnsi="宋体"/>
          <w:color w:val="auto"/>
          <w:highlight w:val="none"/>
        </w:rPr>
        <w:t xml:space="preserve">企业或残疾人福利性单位采购。 </w:t>
      </w:r>
      <w:r/>
    </w:p>
    <w:p>
      <w:pPr>
        <w:spacing w:line="480" w:lineRule="auto"/>
        <w:rPr>
          <w:rFonts w:hint="eastAsia" w:ascii="宋体" w:hAnsi="宋体" w:eastAsia="宋体"/>
          <w:color w:val="auto"/>
          <w:highlight w:val="none"/>
          <w:lang w:val="en-US" w:eastAsia="zh-CN"/>
        </w:rPr>
      </w:pPr>
      <w:r>
        <w:rPr>
          <w:rFonts w:hint="eastAsia" w:ascii="宋体" w:hAnsi="宋体"/>
          <w:color w:val="auto"/>
          <w:highlight w:val="none"/>
        </w:rPr>
        <w:t xml:space="preserve">3、本项目的特定资格要求：</w:t>
      </w:r>
      <w:bookmarkStart w:id="4" w:name="_Toc35393623"/>
      <w:r/>
      <w:bookmarkStart w:id="5" w:name="_Toc35393792"/>
      <w:r>
        <w:rPr>
          <w:rFonts w:hint="eastAsia" w:ascii="宋体" w:hAnsi="宋体"/>
          <w:color w:val="auto"/>
          <w:highlight w:val="none"/>
          <w:lang w:val="en-US" w:eastAsia="zh-CN"/>
        </w:rPr>
        <w:t xml:space="preserve">无</w:t>
      </w:r>
      <w:r/>
    </w:p>
    <w:p>
      <w:pPr>
        <w:spacing w:line="480" w:lineRule="auto"/>
        <w:rPr>
          <w:rFonts w:hint="eastAsia" w:ascii="宋体" w:hAnsi="宋体"/>
          <w:color w:val="auto"/>
          <w:highlight w:val="none"/>
        </w:rPr>
      </w:pPr>
      <w:r>
        <w:rPr>
          <w:rFonts w:hint="eastAsia" w:ascii="宋体" w:hAnsi="宋体"/>
          <w:color w:val="auto"/>
          <w:highlight w:val="none"/>
        </w:rPr>
        <w:t xml:space="preserve">4、拒绝下述供应商参加本次采购活动的情形：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spacing w:line="480" w:lineRule="auto"/>
        <w:rPr>
          <w:rFonts w:hint="eastAsia"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（2）凡为采购项目提供整体设计、规范编制或者项目管理、监理、检测等服务的供应商，不得再参加本项目的采购活动；</w:t>
      </w:r>
      <w:r/>
    </w:p>
    <w:p>
      <w:pPr>
        <w:spacing w:line="480" w:lineRule="auto"/>
        <w:rPr>
          <w:rFonts w:hint="eastAsia" w:eastAsia="宋体"/>
          <w:color w:val="auto"/>
          <w:highlight w:val="none"/>
          <w:lang w:eastAsia="zh-CN"/>
        </w:rPr>
      </w:pPr>
      <w:r>
        <w:rPr>
          <w:rFonts w:hint="eastAsia"/>
          <w:color w:val="auto"/>
          <w:highlight w:val="none"/>
        </w:rPr>
        <w:t xml:space="preserve">（3）被“信用中国”（</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color w:val="auto"/>
          <w:highlight w:val="none"/>
        </w:rPr>
        <w:t xml:space="preserve">www.creditchina.gov.cn</w:t>
      </w:r>
      <w:r>
        <w:rPr>
          <w:color w:val="auto"/>
          <w:highlight w:val="none"/>
        </w:rPr>
        <w:fldChar w:fldCharType="end"/>
      </w:r>
      <w:r>
        <w:rPr>
          <w:rFonts w:hint="eastAsia"/>
          <w:color w:val="auto"/>
          <w:highlight w:val="none"/>
        </w:rPr>
        <w:t xml:space="preserve">）、中国政府采购网（</w:t>
      </w:r>
      <w:r>
        <w:rPr>
          <w:color w:val="auto"/>
          <w:highlight w:val="none"/>
        </w:rPr>
        <w:fldChar w:fldCharType="begin"/>
      </w:r>
      <w:r>
        <w:rPr>
          <w:color w:val="auto"/>
          <w:highlight w:val="none"/>
        </w:rPr>
        <w:instrText xml:space="preserve">HYPERLINK "http://www.ccgp.gov.cn/"</w:instrText>
      </w:r>
      <w:r>
        <w:rPr>
          <w:color w:val="auto"/>
          <w:highlight w:val="none"/>
        </w:rPr>
        <w:fldChar w:fldCharType="separate"/>
      </w:r>
      <w:r>
        <w:rPr>
          <w:rFonts w:hint="eastAsia"/>
          <w:color w:val="auto"/>
          <w:highlight w:val="none"/>
        </w:rPr>
        <w:t xml:space="preserve">www.ccgp.gov.cn</w:t>
      </w:r>
      <w:r>
        <w:rPr>
          <w:color w:val="auto"/>
          <w:highlight w:val="none"/>
        </w:rPr>
        <w:fldChar w:fldCharType="end"/>
      </w:r>
      <w:r>
        <w:rPr>
          <w:rFonts w:hint="eastAsia"/>
          <w:color w:val="auto"/>
          <w:highlight w:val="none"/>
        </w:rPr>
        <w:t xml:space="preserve">）列入失信被执行人、重大税收违法案件当事人名单、政府采购严重违法失信行为记录名单</w:t>
      </w:r>
      <w:r>
        <w:rPr>
          <w:rFonts w:hint="eastAsia"/>
          <w:color w:val="auto"/>
          <w:highlight w:val="none"/>
          <w:lang w:eastAsia="zh-CN"/>
        </w:rPr>
        <w:t xml:space="preserve">。</w:t>
      </w:r>
      <w:bookmarkEnd w:id="4"/>
      <w:r/>
      <w:bookmarkEnd w:id="5"/>
      <w:r/>
      <w:r/>
    </w:p>
    <w:p>
      <w:pPr>
        <w:pStyle w:val="1112"/>
        <w:ind w:firstLine="0"/>
        <w:spacing w:line="480" w:lineRule="auto"/>
        <w:rPr>
          <w:bCs/>
          <w:color w:val="auto"/>
          <w:sz w:val="21"/>
          <w:highlight w:val="none"/>
        </w:rPr>
      </w:pPr>
      <w:r/>
      <w:bookmarkStart w:id="6" w:name="_Toc35393794"/>
      <w:r/>
      <w:bookmarkStart w:id="7" w:name="_Toc28359084"/>
      <w:r/>
      <w:bookmarkStart w:id="8" w:name="_Toc35393625"/>
      <w:r/>
      <w:bookmarkStart w:id="9" w:name="_Toc28359007"/>
      <w:r>
        <w:rPr>
          <w:rFonts w:hint="eastAsia"/>
          <w:bCs/>
          <w:color w:val="auto"/>
          <w:sz w:val="21"/>
          <w:highlight w:val="none"/>
        </w:rPr>
        <w:t xml:space="preserve">三、获取招标文件</w:t>
      </w:r>
      <w:r/>
    </w:p>
    <w:p>
      <w:pPr>
        <w:pStyle w:val="1154"/>
        <w:ind w:firstLine="0"/>
        <w:spacing w:line="480" w:lineRule="auto"/>
        <w:rPr>
          <w:rFonts w:hint="eastAsia" w:ascii="宋体" w:hAnsi="宋体"/>
          <w:color w:val="auto"/>
          <w:sz w:val="21"/>
          <w:szCs w:val="20"/>
          <w:highlight w:val="none"/>
        </w:rPr>
      </w:pPr>
      <w:r/>
      <w:bookmarkStart w:id="10" w:name="_Toc28359082"/>
      <w:r/>
      <w:bookmarkStart w:id="11" w:name="_Toc28359005"/>
      <w:r/>
      <w:bookmarkStart w:id="12" w:name="_Toc35393793"/>
      <w:r/>
      <w:bookmarkStart w:id="13" w:name="_Toc35393624"/>
      <w:r>
        <w:rPr>
          <w:rFonts w:hint="eastAsia" w:ascii="宋体" w:hAnsi="宋体"/>
          <w:color w:val="auto"/>
          <w:sz w:val="21"/>
          <w:szCs w:val="20"/>
          <w:highlight w:val="none"/>
        </w:rPr>
        <w:t xml:space="preserve">1、获取时间：自招标文件公告发布之日起5个工作日</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2、地点：网上注册登记成功后系统内免费下载</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3、获取方式：本项目采用网上注册登记方式。</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3.1潜在供应商访问电子招标响应交易平台的网络地址和方法：</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54"/>
        <w:ind w:firstLine="0"/>
        <w:jc w:val="left"/>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3.2潜在供应商访问“苏采云”系统的网络地址和方法：“苏采云”系统的网址：http://jszfcg.jsczt.cn/。</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3.3“CA数字证书”的获取：</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3.4采购文件（后缀名为“.kedt”）、供应商操作手册及政府采购客户端工具可通过“苏采云”系统--已报名项目--报名详情页面内相应链接进行下载。</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3.5招标代理机构（采购代理机构）将数据电文形式的采购文件加载至“苏采云”系统，供潜在供应商下载或者查阅。</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480" w:lineRule="auto"/>
        <w:rPr>
          <w:b/>
          <w:bCs/>
          <w:color w:val="auto"/>
          <w:highlight w:val="none"/>
        </w:rPr>
      </w:pPr>
      <w:r>
        <w:rPr>
          <w:rFonts w:hint="eastAsia"/>
          <w:b/>
          <w:bCs/>
          <w:color w:val="auto"/>
          <w:highlight w:val="none"/>
        </w:rPr>
        <w:t xml:space="preserve">四、投标</w:t>
      </w:r>
      <w:bookmarkEnd w:id="10"/>
      <w:r/>
      <w:bookmarkEnd w:id="11"/>
      <w:r>
        <w:rPr>
          <w:rFonts w:hint="eastAsia"/>
          <w:b/>
          <w:bCs/>
          <w:color w:val="auto"/>
          <w:highlight w:val="none"/>
        </w:rPr>
        <w:t xml:space="preserve">截止时间、开标时间和地点</w:t>
      </w:r>
      <w:bookmarkEnd w:id="12"/>
      <w:r/>
      <w:bookmarkEnd w:id="13"/>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1、投标截止时间：2026年</w:t>
      </w:r>
      <w:r>
        <w:rPr>
          <w:rFonts w:hint="eastAsia" w:ascii="宋体" w:hAnsi="宋体"/>
          <w:color w:val="auto"/>
          <w:sz w:val="21"/>
          <w:szCs w:val="20"/>
          <w:highlight w:val="none"/>
          <w:lang w:val="en-US" w:eastAsia="zh-CN"/>
        </w:rPr>
        <w:t xml:space="preserve">4月23日</w:t>
      </w:r>
      <w:r>
        <w:rPr>
          <w:rFonts w:hint="eastAsia" w:ascii="宋体" w:hAnsi="宋体"/>
          <w:color w:val="auto"/>
          <w:sz w:val="21"/>
          <w:szCs w:val="20"/>
          <w:highlight w:val="none"/>
        </w:rPr>
        <w:t xml:space="preserve">上午9：30（北京时间）</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2、开标时间：2026年</w:t>
      </w:r>
      <w:r>
        <w:rPr>
          <w:rFonts w:hint="eastAsia" w:ascii="宋体" w:hAnsi="宋体"/>
          <w:color w:val="auto"/>
          <w:sz w:val="21"/>
          <w:szCs w:val="20"/>
          <w:highlight w:val="none"/>
          <w:lang w:val="en-US" w:eastAsia="zh-CN"/>
        </w:rPr>
        <w:t xml:space="preserve">4月23日</w:t>
      </w:r>
      <w:r>
        <w:rPr>
          <w:rFonts w:hint="eastAsia" w:ascii="宋体" w:hAnsi="宋体"/>
          <w:color w:val="auto"/>
          <w:sz w:val="21"/>
          <w:szCs w:val="20"/>
          <w:highlight w:val="none"/>
        </w:rPr>
        <w:t xml:space="preserve">上午9：30（北京时间）</w:t>
      </w:r>
      <w:r/>
    </w:p>
    <w:p>
      <w:pPr>
        <w:pStyle w:val="115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3、开标地点：“苏采云”系统（网址： http://jszfcg.jsczt.cn/）“开标大厅”，点击“苏采云”进入系统“开标大厅”。</w:t>
      </w:r>
      <w:r/>
    </w:p>
    <w:p>
      <w:pPr>
        <w:spacing w:line="480" w:lineRule="auto"/>
        <w:rPr>
          <w:color w:val="auto"/>
          <w:highlight w:val="none"/>
        </w:rPr>
      </w:pPr>
      <w:r>
        <w:rPr>
          <w:rFonts w:hint="eastAsia"/>
          <w:color w:val="auto"/>
          <w:highlight w:val="none"/>
        </w:rPr>
        <w:t xml:space="preserve">注：各供应商请关注开标大厅交流区，在开标结束后，请勿离开开标大厅。</w:t>
      </w:r>
      <w:r/>
    </w:p>
    <w:p>
      <w:pPr>
        <w:spacing w:line="480" w:lineRule="auto"/>
        <w:rPr>
          <w:color w:val="auto"/>
          <w:highlight w:val="none"/>
        </w:rPr>
      </w:pPr>
      <w:r>
        <w:rPr>
          <w:rFonts w:hint="eastAsia"/>
          <w:color w:val="auto"/>
          <w:highlight w:val="none"/>
        </w:rPr>
        <w:t xml:space="preserve">4、投标文件的解密：开标当天各供应商及时登录不见面开标大厅，响应文件递交截止时间后，采购人将在系统内公布投标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480" w:lineRule="auto"/>
        <w:rPr>
          <w:b/>
          <w:bCs/>
          <w:color w:val="auto"/>
          <w:highlight w:val="none"/>
        </w:rPr>
      </w:pPr>
      <w:r>
        <w:rPr>
          <w:rFonts w:hint="eastAsia"/>
          <w:b/>
          <w:bCs/>
          <w:color w:val="auto"/>
          <w:highlight w:val="none"/>
        </w:rPr>
        <w:t xml:space="preserve">五、公告期限</w:t>
      </w:r>
      <w:bookmarkEnd w:id="6"/>
      <w:r/>
      <w:bookmarkEnd w:id="7"/>
      <w:r/>
      <w:bookmarkEnd w:id="8"/>
      <w:r/>
      <w:bookmarkEnd w:id="9"/>
      <w:r/>
      <w:r/>
    </w:p>
    <w:p>
      <w:pPr>
        <w:spacing w:line="480" w:lineRule="auto"/>
        <w:rPr>
          <w:color w:val="auto"/>
          <w:highlight w:val="none"/>
        </w:rPr>
      </w:pPr>
      <w:r>
        <w:rPr>
          <w:rFonts w:hint="eastAsia"/>
          <w:color w:val="auto"/>
          <w:highlight w:val="none"/>
        </w:rPr>
        <w:t xml:space="preserve">自本公告发布之日起5个工作日。</w:t>
      </w:r>
      <w:r/>
    </w:p>
    <w:p>
      <w:pPr>
        <w:numPr>
          <w:ilvl w:val="0"/>
          <w:numId w:val="2"/>
        </w:numPr>
        <w:spacing w:line="480" w:lineRule="auto"/>
        <w:rPr>
          <w:b/>
          <w:bCs/>
          <w:color w:val="auto"/>
          <w:highlight w:val="none"/>
        </w:rPr>
      </w:pPr>
      <w:r/>
      <w:bookmarkStart w:id="14" w:name="_Toc35393795"/>
      <w:r/>
      <w:bookmarkStart w:id="15" w:name="_Toc35393626"/>
      <w:r>
        <w:rPr>
          <w:rFonts w:hint="eastAsia"/>
          <w:b/>
          <w:bCs/>
          <w:color w:val="auto"/>
          <w:highlight w:val="none"/>
        </w:rPr>
        <w:t xml:space="preserve">其他补充事宜</w:t>
      </w:r>
      <w:bookmarkEnd w:id="14"/>
      <w:r/>
      <w:bookmarkEnd w:id="15"/>
      <w:r/>
      <w:r/>
    </w:p>
    <w:p>
      <w:pPr>
        <w:pStyle w:val="1112"/>
        <w:ind w:firstLine="0"/>
        <w:spacing w:line="480" w:lineRule="auto"/>
        <w:rPr>
          <w:rFonts w:hint="eastAsia" w:ascii="宋体" w:hAnsi="宋体" w:cs="宋体"/>
          <w:b w:val="0"/>
          <w:color w:val="auto"/>
          <w:sz w:val="21"/>
          <w:highlight w:val="none"/>
        </w:rPr>
      </w:pPr>
      <w:r>
        <w:rPr>
          <w:rFonts w:hint="eastAsia" w:ascii="宋体" w:hAnsi="宋体" w:cs="宋体"/>
          <w:b w:val="0"/>
          <w:color w:val="auto"/>
          <w:sz w:val="21"/>
          <w:highlight w:val="none"/>
        </w:rPr>
        <w:t xml:space="preserve">1、本项目公告媒体：江苏政府采购网（http://www.ccgp-jiangsu.gov.cn/）、南京公共采购信息网（https://njgc.jfh.com/）</w:t>
      </w:r>
      <w:r/>
    </w:p>
    <w:p>
      <w:pPr>
        <w:spacing w:line="480" w:lineRule="auto"/>
        <w:rPr>
          <w:bCs/>
          <w:color w:val="auto"/>
          <w:highlight w:val="none"/>
        </w:rPr>
      </w:pPr>
      <w:r>
        <w:rPr>
          <w:rFonts w:hint="eastAsia"/>
          <w:bCs/>
          <w:color w:val="auto"/>
          <w:highlight w:val="none"/>
          <w:lang w:val="en-US" w:eastAsia="zh-CN"/>
        </w:rPr>
        <w:t xml:space="preserve">2</w:t>
      </w:r>
      <w:r>
        <w:rPr>
          <w:rFonts w:hint="eastAsia"/>
          <w:bCs/>
          <w:color w:val="auto"/>
          <w:highlight w:val="none"/>
        </w:rPr>
        <w:t xml:space="preserve">、供应商诚信档案管理</w:t>
      </w:r>
      <w:r/>
    </w:p>
    <w:p>
      <w:pPr>
        <w:spacing w:line="480" w:lineRule="auto"/>
        <w:rPr>
          <w:color w:val="auto"/>
          <w:highlight w:val="none"/>
        </w:rPr>
      </w:pPr>
      <w:r>
        <w:rPr>
          <w:rFonts w:hint="eastAsia"/>
          <w:color w:val="auto"/>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spacing w:line="480" w:lineRule="auto"/>
        <w:rPr>
          <w:color w:val="auto"/>
          <w:highlight w:val="none"/>
        </w:rPr>
      </w:pPr>
      <w:r>
        <w:rPr>
          <w:rFonts w:hint="eastAsia"/>
          <w:color w:val="auto"/>
          <w:highlight w:val="none"/>
        </w:rPr>
        <w:t xml:space="preserve">供应商申请网上注册的，应当按以下程序进行：</w:t>
      </w:r>
      <w:r/>
    </w:p>
    <w:p>
      <w:pPr>
        <w:spacing w:line="480" w:lineRule="auto"/>
        <w:rPr>
          <w:color w:val="auto"/>
          <w:highlight w:val="none"/>
        </w:rPr>
      </w:pPr>
      <w:r>
        <w:rPr>
          <w:rFonts w:hint="eastAsia"/>
          <w:color w:val="auto"/>
          <w:highlight w:val="none"/>
        </w:rPr>
        <w:t xml:space="preserve">（1）登陆“南京公共采购信息网”（https://njgc.jfh.com）网站，点击“政府采购供应商诚信档案”图标，在弹出的用户登录界面，点击“新用户注册”；</w:t>
      </w:r>
      <w:r/>
    </w:p>
    <w:p>
      <w:pPr>
        <w:spacing w:line="480" w:lineRule="auto"/>
        <w:rPr>
          <w:color w:val="auto"/>
          <w:highlight w:val="none"/>
        </w:rPr>
      </w:pPr>
      <w:r>
        <w:rPr>
          <w:rFonts w:hint="eastAsia"/>
          <w:color w:val="auto"/>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480" w:lineRule="auto"/>
        <w:rPr>
          <w:color w:val="auto"/>
          <w:highlight w:val="none"/>
        </w:rPr>
      </w:pPr>
      <w:r>
        <w:rPr>
          <w:rFonts w:hint="eastAsia"/>
          <w:color w:val="auto"/>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olor w:val="auto"/>
          <w:szCs w:val="21"/>
          <w:highlight w:val="none"/>
        </w:rPr>
        <w:t xml:space="preserve">，如未提供，投标被否决。</w:t>
      </w:r>
      <w:r/>
    </w:p>
    <w:p>
      <w:pPr>
        <w:spacing w:line="480" w:lineRule="auto"/>
        <w:rPr>
          <w:color w:val="auto"/>
          <w:highlight w:val="none"/>
        </w:rPr>
      </w:pPr>
      <w:r>
        <w:rPr>
          <w:rFonts w:hint="eastAsia"/>
          <w:color w:val="auto"/>
          <w:highlight w:val="none"/>
          <w:lang w:val="en-US" w:eastAsia="zh-CN"/>
        </w:rPr>
        <w:t xml:space="preserve">3</w:t>
      </w:r>
      <w:r>
        <w:rPr>
          <w:color w:val="auto"/>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480" w:lineRule="auto"/>
        <w:rPr>
          <w:color w:val="auto"/>
          <w:highlight w:val="none"/>
        </w:rPr>
      </w:pPr>
      <w:r>
        <w:rPr>
          <w:rFonts w:hint="eastAsia"/>
          <w:color w:val="auto"/>
          <w:highlight w:val="none"/>
          <w:lang w:val="en-US" w:eastAsia="zh-CN"/>
        </w:rPr>
        <w:t xml:space="preserve">4</w:t>
      </w:r>
      <w:r>
        <w:rPr>
          <w:color w:val="auto"/>
          <w:highlight w:val="none"/>
        </w:rPr>
        <w:t xml:space="preserve">、</w:t>
      </w:r>
      <w:r>
        <w:rPr>
          <w:rFonts w:hint="eastAsia"/>
          <w:color w:val="auto"/>
          <w:highlight w:val="none"/>
        </w:rPr>
        <w:t xml:space="preserve">有关本次招标的事项若存在变动或修改，敬请及时关注在“江苏政府采购网”、“南京公共采购信息网”发布的更正公告。</w:t>
      </w:r>
      <w:r/>
    </w:p>
    <w:p>
      <w:pPr>
        <w:spacing w:line="480" w:lineRule="auto"/>
        <w:rPr>
          <w:b/>
          <w:bCs/>
          <w:color w:val="auto"/>
          <w:highlight w:val="none"/>
        </w:rPr>
      </w:pPr>
      <w:r/>
      <w:bookmarkStart w:id="16" w:name="_Toc28359085"/>
      <w:r/>
      <w:bookmarkStart w:id="17" w:name="_Toc28359008"/>
      <w:r/>
      <w:bookmarkStart w:id="18" w:name="_Toc35393796"/>
      <w:r/>
      <w:bookmarkStart w:id="19" w:name="_Toc35393627"/>
      <w:r>
        <w:rPr>
          <w:rFonts w:hint="eastAsia"/>
          <w:b/>
          <w:bCs/>
          <w:color w:val="auto"/>
          <w:highlight w:val="none"/>
        </w:rPr>
        <w:t xml:space="preserve">七、对本次招标提出询问，请按以下方式联系</w:t>
      </w:r>
      <w:bookmarkEnd w:id="16"/>
      <w:r/>
      <w:bookmarkEnd w:id="17"/>
      <w:r/>
      <w:bookmarkEnd w:id="18"/>
      <w:r/>
      <w:bookmarkEnd w:id="19"/>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称：南京鼓楼医院　　　　　　　　　　　</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地址：南京市鼓楼区中山路321号　</w:t>
      </w:r>
      <w:r/>
    </w:p>
    <w:p>
      <w:pPr>
        <w:spacing w:line="480" w:lineRule="auto"/>
        <w:rPr>
          <w:rFonts w:hint="eastAsia" w:ascii="宋体" w:hAnsi="宋体" w:cs="宋体"/>
          <w:color w:val="auto"/>
          <w:szCs w:val="21"/>
          <w:highlight w:val="none"/>
        </w:rPr>
      </w:pPr>
      <w:r/>
      <w:bookmarkStart w:id="20" w:name="_Toc28359009"/>
      <w:r/>
      <w:bookmarkStart w:id="21" w:name="_Toc28359086"/>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鲁老师 </w:t>
      </w:r>
      <w:r>
        <w:rPr>
          <w:rFonts w:hint="eastAsia" w:ascii="宋体" w:hAnsi="宋体" w:cs="宋体"/>
          <w:color w:val="auto"/>
          <w:szCs w:val="21"/>
          <w:highlight w:val="none"/>
        </w:rPr>
        <w:t xml:space="preserve"> </w:t>
      </w:r>
      <w:r/>
    </w:p>
    <w:p>
      <w:pPr>
        <w:spacing w:line="48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025-83105762</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0"/>
      <w:r/>
      <w:bookmarkEnd w:id="21"/>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址：南京市长江路198号苏美达大厦9F</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bookmarkStart w:id="22" w:name="_Toc28359087"/>
      <w:r/>
      <w:bookmarkStart w:id="23" w:name="_Toc28359010"/>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22"/>
      <w:r/>
      <w:bookmarkEnd w:id="23"/>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Style w:val="1162"/>
          <w:rFonts w:hint="eastAsia" w:ascii="宋体" w:hAnsi="宋体" w:cs="宋体"/>
          <w:color w:val="auto"/>
          <w:sz w:val="21"/>
          <w:szCs w:val="21"/>
          <w:highlight w:val="none"/>
          <w:lang w:eastAsia="zh-CN"/>
        </w:rPr>
        <w:t xml:space="preserve">dms@sumec.com.cn</w:t>
      </w:r>
      <w:r>
        <w:rPr>
          <w:rStyle w:val="1162"/>
          <w:rFonts w:hint="eastAsia" w:ascii="宋体" w:hAnsi="宋体" w:cs="宋体"/>
          <w:color w:val="auto"/>
          <w:sz w:val="21"/>
          <w:szCs w:val="21"/>
          <w:highlight w:val="none"/>
        </w:rPr>
        <w:fldChar w:fldCharType="end"/>
      </w:r>
      <w:r/>
    </w:p>
    <w:p>
      <w:pPr>
        <w:rPr>
          <w:rFonts w:eastAsia="仿宋_GB2312"/>
          <w:color w:val="auto"/>
          <w:highlight w:val="none"/>
        </w:rPr>
      </w:pPr>
      <w:r>
        <w:rPr>
          <w:rFonts w:eastAsia="仿宋_GB2312"/>
          <w:color w:val="auto"/>
          <w:highlight w:val="none"/>
        </w:rPr>
      </w:r>
      <w:r/>
    </w:p>
    <w:p>
      <w:pPr>
        <w:jc w:val="right"/>
        <w:rPr>
          <w:rFonts w:eastAsia="仿宋_GB2312"/>
          <w:color w:val="auto"/>
          <w:highlight w:val="none"/>
        </w:rPr>
      </w:pPr>
      <w:r>
        <w:rPr>
          <w:rFonts w:eastAsia="仿宋_GB2312"/>
          <w:color w:val="auto"/>
          <w:highlight w:val="none"/>
        </w:rPr>
      </w:r>
      <w:r/>
    </w:p>
    <w:p>
      <w:pPr>
        <w:pStyle w:val="932"/>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32"/>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32"/>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440" w:lineRule="exact"/>
        <w:rPr>
          <w:rFonts w:ascii="Arial" w:hAnsi="Arial" w:eastAsia="黑体" w:cs="Arial"/>
          <w:b/>
          <w:color w:val="auto"/>
          <w:sz w:val="28"/>
          <w:szCs w:val="28"/>
          <w:highlight w:val="none"/>
        </w:rPr>
        <w:outlineLvl w:val="0"/>
      </w:pPr>
      <w:r/>
      <w:bookmarkStart w:id="24" w:name="_Toc28996"/>
      <w:r/>
      <w:bookmarkStart w:id="25" w:name="_Toc16975"/>
      <w:r>
        <w:rPr>
          <w:rFonts w:ascii="Arial" w:hAnsi="Arial" w:eastAsia="黑体" w:cs="Arial"/>
          <w:b/>
          <w:color w:val="auto"/>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9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1</w:t>
            </w:r>
            <w:r/>
          </w:p>
        </w:tc>
        <w:tc>
          <w:tcPr>
            <w:tcW w:w="8928" w:type="dxa"/>
            <w:vAlign w:val="center"/>
            <w:textDirection w:val="lrTb"/>
            <w:noWrap w:val="false"/>
          </w:tcPr>
          <w:p>
            <w:pPr>
              <w:pStyle w:val="1149"/>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采购人</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南京鼓楼医院 </w:t>
            </w:r>
            <w:r/>
          </w:p>
          <w:p>
            <w:pPr>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联系人：</w:t>
            </w:r>
            <w:r>
              <w:rPr>
                <w:rFonts w:hint="eastAsia" w:ascii="Arial" w:hAnsi="Arial" w:cs="Arial"/>
                <w:color w:val="auto"/>
                <w:sz w:val="21"/>
                <w:szCs w:val="21"/>
                <w:highlight w:val="none"/>
                <w:lang w:val="en-US" w:eastAsia="zh-CN"/>
              </w:rPr>
              <w:t xml:space="preserve">鲁老师</w:t>
            </w:r>
            <w:r>
              <w:rPr>
                <w:rFonts w:hint="eastAsia" w:ascii="Arial" w:hAnsi="Arial" w:eastAsia="宋体" w:cs="Arial"/>
                <w:color w:val="auto"/>
                <w:sz w:val="21"/>
                <w:szCs w:val="21"/>
                <w:highlight w:val="none"/>
              </w:rPr>
              <w:t xml:space="preserve">  </w:t>
            </w:r>
            <w:r/>
          </w:p>
          <w:p>
            <w:pPr>
              <w:spacing w:line="360" w:lineRule="auto"/>
              <w:rPr>
                <w:rFonts w:hint="default" w:ascii="Arial" w:hAnsi="Arial" w:eastAsia="宋体" w:cs="Arial"/>
                <w:color w:val="auto"/>
                <w:sz w:val="21"/>
                <w:szCs w:val="21"/>
                <w:highlight w:val="none"/>
                <w:lang w:val="en-US"/>
              </w:rPr>
            </w:pPr>
            <w:r>
              <w:rPr>
                <w:rFonts w:hint="eastAsia" w:ascii="Arial" w:hAnsi="Arial" w:eastAsia="宋体" w:cs="Arial"/>
                <w:color w:val="auto"/>
                <w:sz w:val="21"/>
                <w:szCs w:val="21"/>
                <w:highlight w:val="none"/>
              </w:rPr>
              <w:t xml:space="preserve">联系方式：</w:t>
            </w:r>
            <w:r>
              <w:rPr>
                <w:rFonts w:hint="eastAsia" w:ascii="Arial" w:hAnsi="Arial" w:cs="Arial"/>
                <w:color w:val="auto"/>
                <w:sz w:val="21"/>
                <w:szCs w:val="21"/>
                <w:highlight w:val="none"/>
                <w:lang w:val="en-US" w:eastAsia="zh-CN"/>
              </w:rPr>
              <w:t xml:space="preserve">025-83105762</w:t>
            </w:r>
            <w:r/>
          </w:p>
          <w:p>
            <w:pPr>
              <w:spacing w:line="360" w:lineRule="auto"/>
              <w:rPr>
                <w:rFonts w:ascii="Arial" w:hAnsi="Arial" w:cs="Arial"/>
                <w:b/>
                <w:color w:val="auto"/>
                <w:sz w:val="24"/>
                <w:highlight w:val="none"/>
              </w:rPr>
            </w:pPr>
            <w:r>
              <w:rPr>
                <w:rFonts w:ascii="Arial" w:hAnsi="Arial" w:cs="Arial"/>
                <w:color w:val="auto"/>
                <w:szCs w:val="21"/>
                <w:highlight w:val="none"/>
              </w:rPr>
              <w:t xml:space="preserve">地址：</w:t>
            </w:r>
            <w:r>
              <w:rPr>
                <w:rFonts w:hint="eastAsia" w:ascii="宋体" w:hAnsi="宋体" w:cs="宋体"/>
                <w:color w:val="auto"/>
                <w:szCs w:val="21"/>
                <w:highlight w:val="none"/>
              </w:rPr>
              <w:t xml:space="preserve">南京市鼓楼区中山路321号</w:t>
            </w:r>
            <w:r>
              <w:rPr>
                <w:rFonts w:hint="eastAsia" w:ascii="Arial" w:hAnsi="Arial" w:cs="Arial"/>
                <w:color w:val="auto"/>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pStyle w:val="1149"/>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采购代理机构</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苏美达国际技术贸易有限公司</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联系人：</w:t>
            </w:r>
            <w:r>
              <w:rPr>
                <w:rFonts w:hint="eastAsia" w:ascii="Arial" w:hAnsi="Arial" w:cs="Arial"/>
                <w:color w:val="auto"/>
                <w:szCs w:val="21"/>
                <w:highlight w:val="none"/>
                <w:lang w:eastAsia="zh-CN"/>
              </w:rPr>
              <w:t xml:space="preserve">邓梦诗</w:t>
            </w:r>
            <w:r>
              <w:rPr>
                <w:rFonts w:ascii="Arial" w:hAnsi="Arial" w:cs="Arial"/>
                <w:color w:val="auto"/>
                <w:szCs w:val="21"/>
                <w:highlight w:val="none"/>
              </w:rPr>
              <w:t xml:space="preserve">   </w:t>
            </w:r>
            <w:r/>
          </w:p>
          <w:p>
            <w:pPr>
              <w:spacing w:line="360" w:lineRule="auto"/>
              <w:rPr>
                <w:rFonts w:hint="eastAsia" w:ascii="Arial" w:hAnsi="Arial" w:eastAsia="宋体" w:cs="Arial"/>
                <w:color w:val="auto"/>
                <w:szCs w:val="21"/>
                <w:highlight w:val="none"/>
                <w:lang w:eastAsia="zh-CN"/>
              </w:rPr>
            </w:pPr>
            <w:r>
              <w:rPr>
                <w:rFonts w:ascii="Arial" w:hAnsi="Arial" w:cs="Arial"/>
                <w:color w:val="auto"/>
                <w:szCs w:val="21"/>
                <w:highlight w:val="none"/>
              </w:rPr>
              <w:t xml:space="preserve">联系电话：</w:t>
            </w:r>
            <w:r>
              <w:rPr>
                <w:rFonts w:hint="eastAsia" w:ascii="Arial" w:hAnsi="Arial" w:cs="Arial"/>
                <w:color w:val="auto"/>
                <w:szCs w:val="21"/>
                <w:highlight w:val="none"/>
              </w:rPr>
              <w:t xml:space="preserve">025-</w:t>
            </w:r>
            <w:r>
              <w:rPr>
                <w:rFonts w:hint="eastAsia" w:ascii="Arial" w:hAnsi="Arial" w:cs="Arial"/>
                <w:color w:val="auto"/>
                <w:szCs w:val="21"/>
                <w:highlight w:val="none"/>
                <w:lang w:eastAsia="zh-CN"/>
              </w:rPr>
              <w:t xml:space="preserve">84531619</w:t>
            </w:r>
            <w:r/>
          </w:p>
          <w:p>
            <w:pPr>
              <w:pStyle w:val="1149"/>
              <w:spacing w:before="0" w:beforeAutospacing="0" w:after="0" w:afterAutospacing="0" w:line="440" w:lineRule="exact"/>
              <w:rPr>
                <w:rFonts w:ascii="Arial" w:hAnsi="Arial" w:eastAsia="宋体" w:cs="Arial"/>
                <w:color w:val="auto"/>
                <w:szCs w:val="21"/>
                <w:highlight w:val="none"/>
              </w:rPr>
            </w:pPr>
            <w:r>
              <w:rPr>
                <w:rFonts w:ascii="Arial" w:hAnsi="Arial" w:eastAsia="宋体" w:cs="Arial"/>
                <w:color w:val="auto"/>
                <w:sz w:val="21"/>
                <w:szCs w:val="21"/>
                <w:highlight w:val="none"/>
              </w:rPr>
              <w:t xml:space="preserve">联系地址：南京市长江路198号</w:t>
            </w:r>
            <w:r>
              <w:rPr>
                <w:rFonts w:hint="eastAsia" w:ascii="Arial" w:hAnsi="Arial" w:eastAsia="宋体" w:cs="Arial"/>
                <w:color w:val="auto"/>
                <w:sz w:val="21"/>
                <w:szCs w:val="21"/>
                <w:highlight w:val="none"/>
              </w:rPr>
              <w:t xml:space="preserve">9F</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项目名称：南京鼓楼医院</w:t>
            </w:r>
            <w:r>
              <w:rPr>
                <w:rFonts w:hint="eastAsia" w:ascii="Arial" w:hAnsi="Arial" w:cs="Arial"/>
                <w:color w:val="auto"/>
                <w:szCs w:val="21"/>
                <w:highlight w:val="none"/>
                <w:lang w:eastAsia="zh-CN"/>
              </w:rPr>
              <w:t xml:space="preserve">江北院区轨道物流系统维保</w:t>
            </w:r>
            <w:r>
              <w:rPr>
                <w:rFonts w:hint="eastAsia" w:ascii="Arial" w:hAnsi="Arial" w:cs="Arial"/>
                <w:color w:val="auto"/>
                <w:szCs w:val="21"/>
                <w:highlight w:val="none"/>
              </w:rPr>
              <w:t xml:space="preserve">项目 </w:t>
            </w:r>
            <w:r>
              <w:rPr>
                <w:rFonts w:ascii="Arial" w:hAnsi="Arial" w:cs="Arial"/>
                <w:color w:val="auto"/>
                <w:szCs w:val="21"/>
                <w:highlight w:val="none"/>
              </w:rPr>
              <w:t xml:space="preserve"> </w:t>
            </w:r>
            <w:r/>
          </w:p>
          <w:p>
            <w:pPr>
              <w:spacing w:line="440" w:lineRule="exact"/>
              <w:shd w:val="clear" w:color="auto" w:fill="ffffff"/>
              <w:widowControl/>
              <w:rPr>
                <w:rFonts w:hint="eastAsia" w:ascii="Arial" w:hAnsi="Arial" w:eastAsia="宋体" w:cs="Arial"/>
                <w:b/>
                <w:color w:val="auto"/>
                <w:szCs w:val="21"/>
                <w:highlight w:val="none"/>
                <w:lang w:eastAsia="zh-CN"/>
              </w:rPr>
            </w:pPr>
            <w:r>
              <w:rPr>
                <w:rFonts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JSZC-320100-SMDG-G2026-0025</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4月23日</w:t>
            </w:r>
            <w:r>
              <w:rPr>
                <w:rFonts w:hint="eastAsia" w:ascii="宋体" w:hAnsi="宋体"/>
                <w:color w:val="auto"/>
                <w:highlight w:val="none"/>
              </w:rPr>
              <w:t xml:space="preserve">上午9：30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4月23日</w:t>
            </w:r>
            <w:r>
              <w:rPr>
                <w:rFonts w:hint="eastAsia" w:ascii="宋体" w:hAnsi="宋体"/>
                <w:color w:val="auto"/>
                <w:highlight w:val="none"/>
              </w:rPr>
              <w:t xml:space="preserve">上午9：30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地点：</w:t>
            </w:r>
            <w:r>
              <w:rPr>
                <w:rFonts w:hint="eastAsia" w:ascii="Arial" w:hAnsi="Arial" w:cs="Arial"/>
                <w:color w:val="auto"/>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spacing w:line="440" w:lineRule="exact"/>
              <w:rPr>
                <w:rFonts w:ascii="Arial" w:hAnsi="Arial" w:cs="Arial"/>
                <w:b/>
                <w:bCs/>
                <w:color w:val="auto"/>
                <w:szCs w:val="21"/>
                <w:highlight w:val="none"/>
              </w:rPr>
            </w:pPr>
            <w:r>
              <w:rPr>
                <w:rFonts w:ascii="Arial" w:hAnsi="Arial" w:cs="Arial"/>
                <w:b/>
                <w:bCs/>
                <w:color w:val="auto"/>
                <w:szCs w:val="21"/>
                <w:highlight w:val="none"/>
              </w:rPr>
              <w:t xml:space="preserve">投标报价：</w:t>
            </w:r>
            <w:r/>
          </w:p>
          <w:p>
            <w:pPr>
              <w:spacing w:line="460" w:lineRule="exact"/>
              <w:rPr>
                <w:color w:val="auto"/>
                <w:highlight w:val="none"/>
              </w:rPr>
            </w:pPr>
            <w:r>
              <w:rPr>
                <w:rFonts w:hint="eastAsia" w:ascii="宋体" w:hAnsi="宋体" w:cs="宋体"/>
                <w:b/>
                <w:bCs/>
                <w:color w:val="auto"/>
                <w:highlight w:val="none"/>
              </w:rPr>
              <w:t xml:space="preserve">所有投标响应均以人民币报价</w:t>
            </w:r>
            <w:r>
              <w:rPr>
                <w:rFonts w:hint="eastAsia" w:ascii="宋体" w:hAnsi="宋体" w:cs="宋体"/>
                <w:color w:val="auto"/>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auto"/>
                <w:highlight w:val="none"/>
              </w:rPr>
            </w:pPr>
            <w:r>
              <w:rPr>
                <w:rFonts w:hint="eastAsia" w:ascii="Arial" w:hAnsi="Arial" w:cs="Arial"/>
                <w:b/>
                <w:color w:val="auto"/>
                <w:highlight w:val="none"/>
              </w:rPr>
              <w:t xml:space="preserve">现场勘查要求：供应商需熟悉医院轨道物流系统现状，供应商可参加实地现场勘察</w:t>
            </w:r>
            <w:r>
              <w:rPr>
                <w:rFonts w:hint="eastAsia" w:ascii="Arial" w:hAnsi="Arial" w:cs="Arial"/>
                <w:b/>
                <w:color w:val="auto"/>
                <w:highlight w:val="none"/>
                <w:lang w:eastAsia="zh-CN"/>
              </w:rPr>
              <w:t xml:space="preserve">，</w:t>
            </w:r>
            <w:r>
              <w:rPr>
                <w:rFonts w:hint="eastAsia" w:ascii="Arial" w:hAnsi="Arial" w:cs="Arial"/>
                <w:b/>
                <w:color w:val="auto"/>
                <w:highlight w:val="none"/>
                <w:lang w:val="en-US" w:eastAsia="zh-CN"/>
              </w:rPr>
              <w:t xml:space="preserve">联系人：谢工15951657198</w:t>
            </w:r>
            <w:r>
              <w:rPr>
                <w:rFonts w:hint="eastAsia" w:ascii="Arial" w:hAnsi="Arial" w:cs="Arial"/>
                <w:b/>
                <w:color w:val="auto"/>
                <w:highlight w:val="none"/>
              </w:rPr>
              <w:t xml:space="preserve">。未考察现场或考察工作不详细的供应商中标后，不得以不完全了解现场情况为理由而向采购人提出任何索赔或其他要求，对此采购人不承担任何责任并将不作任何答复。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投标报价中的投标价不得超过招标公告、招标文件规定的预算价，超过规定的预算价的投标文件，按无效投标处理。 </w:t>
            </w:r>
            <w:r/>
          </w:p>
        </w:tc>
      </w:tr>
    </w:tbl>
    <w:p>
      <w:pPr>
        <w:ind w:firstLine="420"/>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 </w:t>
      </w:r>
      <w:r/>
    </w:p>
    <w:p>
      <w:pPr>
        <w:ind w:firstLine="420"/>
        <w:spacing w:line="440" w:lineRule="exact"/>
        <w:shd w:val="clear" w:color="auto" w:fill="ffffff"/>
        <w:widowControl/>
        <w:rPr>
          <w:rFonts w:ascii="Arial" w:hAnsi="Arial" w:cs="Arial"/>
          <w:b/>
          <w:bCs/>
          <w:color w:val="auto"/>
          <w:sz w:val="24"/>
          <w:highlight w:val="none"/>
        </w:rPr>
        <w:sectPr>
          <w:headerReference w:type="default" r:id="rId11"/>
          <w:footerReference w:type="default" r:id="rId16"/>
          <w:footnotePr/>
          <w:endnotePr/>
          <w:type w:val="nextPage"/>
          <w:pgSz w:w="11906" w:h="16838" w:orient="portrait"/>
          <w:pgMar w:top="1560" w:right="851" w:bottom="567" w:left="1134" w:header="1247" w:footer="567" w:gutter="0"/>
          <w:cols w:num="1" w:sep="0" w:space="720" w:equalWidth="1"/>
          <w:docGrid w:linePitch="360"/>
        </w:sectPr>
        <w:outlineLvl w:val="1"/>
      </w:pPr>
      <w:r/>
      <w:bookmarkStart w:id="26" w:name="_Toc19726"/>
      <w:r/>
      <w:bookmarkStart w:id="27" w:name="_Toc8539"/>
      <w:r/>
      <w:r/>
    </w:p>
    <w:p>
      <w:pPr>
        <w:ind w:firstLine="420"/>
        <w:spacing w:line="440" w:lineRule="exact"/>
        <w:shd w:val="clear" w:color="auto" w:fill="ffffff"/>
        <w:widowControl/>
        <w:rPr>
          <w:rFonts w:ascii="Arial" w:hAnsi="Arial" w:cs="Arial"/>
          <w:color w:val="auto"/>
          <w:sz w:val="24"/>
          <w:highlight w:val="none"/>
        </w:rPr>
        <w:outlineLvl w:val="1"/>
      </w:pPr>
      <w:r>
        <w:rPr>
          <w:rFonts w:ascii="Arial" w:hAnsi="Arial" w:cs="Arial"/>
          <w:b/>
          <w:bCs/>
          <w:color w:val="auto"/>
          <w:sz w:val="24"/>
          <w:highlight w:val="none"/>
        </w:rPr>
        <w:t xml:space="preserve">一、总 则</w:t>
      </w:r>
      <w:bookmarkEnd w:id="26"/>
      <w:r/>
      <w:bookmarkEnd w:id="27"/>
      <w:r/>
      <w:r/>
    </w:p>
    <w:p>
      <w:pPr>
        <w:ind w:firstLine="420"/>
        <w:spacing w:line="360" w:lineRule="auto"/>
        <w:rPr>
          <w:rFonts w:hint="eastAsia" w:ascii="宋体" w:hAnsi="宋体" w:cs="宋体"/>
          <w:b/>
          <w:color w:val="auto"/>
          <w:szCs w:val="21"/>
          <w:highlight w:val="none"/>
          <w:lang w:val="zh-CN"/>
        </w:rPr>
        <w:outlineLvl w:val="2"/>
      </w:pPr>
      <w:r/>
      <w:bookmarkStart w:id="28" w:name="_Toc3951"/>
      <w:r/>
      <w:bookmarkStart w:id="29" w:name="_Toc30044"/>
      <w:r/>
      <w:bookmarkStart w:id="30" w:name="_Toc16938520"/>
      <w:r/>
      <w:bookmarkStart w:id="31" w:name="_Toc513029204"/>
      <w:r/>
      <w:bookmarkStart w:id="32" w:name="_Toc24947"/>
      <w:r/>
      <w:bookmarkStart w:id="33" w:name="_Toc458694821"/>
      <w:r/>
      <w:bookmarkStart w:id="34" w:name="_Toc20823276"/>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8"/>
      <w:r/>
      <w:bookmarkEnd w:id="29"/>
      <w:r/>
      <w:r/>
    </w:p>
    <w:p>
      <w:pPr>
        <w:ind w:firstLine="420"/>
        <w:spacing w:line="360" w:lineRule="auto"/>
        <w:rPr>
          <w:rFonts w:hint="eastAsia"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ascii="Arial" w:hAnsi="Arial" w:cs="Arial"/>
          <w:color w:val="auto"/>
          <w:szCs w:val="21"/>
          <w:highlight w:val="none"/>
        </w:rPr>
        <w:t xml:space="preserve">《中华人民共和国招标投标法》</w:t>
      </w:r>
      <w:r>
        <w:rPr>
          <w:rFonts w:hint="eastAsia" w:ascii="Arial" w:hAnsi="Arial" w:cs="Arial"/>
          <w:color w:val="auto"/>
          <w:szCs w:val="21"/>
          <w:highlight w:val="none"/>
        </w:rPr>
        <w:t xml:space="preserve">、</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等有关法律、规章和规定等。</w:t>
      </w:r>
      <w:bookmarkStart w:id="35" w:name="_Toc17176"/>
      <w:r/>
      <w:bookmarkStart w:id="36" w:name="_Toc10994"/>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440" w:lineRule="exact"/>
        <w:rPr>
          <w:rFonts w:ascii="Arial" w:hAnsi="Arial" w:cs="Arial"/>
          <w:bCs/>
          <w:color w:val="auto"/>
          <w:highlight w:val="none"/>
        </w:rPr>
      </w:pPr>
      <w:r>
        <w:rPr>
          <w:rFonts w:ascii="Arial" w:hAnsi="Arial" w:cs="Arial"/>
          <w:color w:val="auto"/>
          <w:szCs w:val="21"/>
          <w:highlight w:val="none"/>
        </w:rPr>
        <w:t xml:space="preserve">2.1本文件</w:t>
      </w:r>
      <w:r>
        <w:rPr>
          <w:rFonts w:ascii="Arial" w:hAnsi="Arial" w:cs="Arial"/>
          <w:bCs/>
          <w:color w:val="auto"/>
          <w:highlight w:val="none"/>
        </w:rPr>
        <w:t xml:space="preserve">中</w:t>
      </w:r>
      <w:r>
        <w:rPr>
          <w:rFonts w:hint="eastAsia" w:ascii="Arial" w:hAnsi="Arial" w:cs="Arial"/>
          <w:bCs/>
          <w:color w:val="auto"/>
          <w:highlight w:val="none"/>
        </w:rPr>
        <w:t xml:space="preserve">采购代理机构</w:t>
      </w:r>
      <w:r>
        <w:rPr>
          <w:rFonts w:ascii="Arial" w:hAnsi="Arial" w:cs="Arial"/>
          <w:bCs/>
          <w:color w:val="auto"/>
          <w:highlight w:val="none"/>
        </w:rPr>
        <w:t xml:space="preserve">为 </w:t>
      </w:r>
      <w:r>
        <w:rPr>
          <w:rFonts w:hint="eastAsia" w:ascii="Arial" w:hAnsi="Arial" w:cs="Arial"/>
          <w:b/>
          <w:color w:val="auto"/>
          <w:highlight w:val="none"/>
          <w:u w:val="single"/>
        </w:rPr>
        <w:t xml:space="preserve">苏美达国际技术贸易有限公司</w:t>
      </w:r>
      <w:r>
        <w:rPr>
          <w:rFonts w:ascii="Arial" w:hAnsi="Arial" w:cs="Arial"/>
          <w:bCs/>
          <w:color w:val="auto"/>
          <w:highlight w:val="none"/>
        </w:rPr>
        <w:t xml:space="preserve">；</w:t>
      </w:r>
      <w:r>
        <w:rPr>
          <w:rFonts w:hint="eastAsia" w:ascii="Arial" w:hAnsi="Arial" w:cs="Arial"/>
          <w:bCs/>
          <w:color w:val="auto"/>
          <w:highlight w:val="none"/>
        </w:rPr>
        <w:t xml:space="preserve">采购人</w:t>
      </w:r>
      <w:r>
        <w:rPr>
          <w:rFonts w:ascii="Arial" w:hAnsi="Arial" w:cs="Arial"/>
          <w:bCs/>
          <w:color w:val="auto"/>
          <w:highlight w:val="none"/>
        </w:rPr>
        <w:t xml:space="preserve">为</w:t>
      </w:r>
      <w:r>
        <w:rPr>
          <w:rFonts w:hint="eastAsia" w:ascii="Arial" w:hAnsi="Arial" w:cs="Arial"/>
          <w:b/>
          <w:color w:val="auto"/>
          <w:highlight w:val="none"/>
          <w:u w:val="single"/>
        </w:rPr>
        <w:t xml:space="preserve">南京鼓楼医院 </w:t>
      </w:r>
      <w:r>
        <w:rPr>
          <w:rFonts w:ascii="Arial" w:hAnsi="Arial" w:cs="Arial"/>
          <w:bCs/>
          <w:color w:val="auto"/>
          <w:highlight w:val="none"/>
        </w:rPr>
        <w:t xml:space="preserve">；投标人（亦称供应商）系指参加投标竞争并满足招标文件资格要求规定的法人、其他组织或者自然人。</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2.2“货物和服务”指本文件中所述产品及相关货物和服务。</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highlight w:val="none"/>
        </w:rPr>
        <w:t xml:space="preserve">单位。</w:t>
      </w:r>
      <w:r/>
    </w:p>
    <w:p>
      <w:pPr>
        <w:ind w:firstLine="422"/>
        <w:spacing w:line="360" w:lineRule="auto"/>
        <w:rPr>
          <w:rFonts w:hint="eastAsia" w:ascii="宋体" w:hAnsi="宋体" w:cs="宋体"/>
          <w:b/>
          <w:color w:val="auto"/>
          <w:szCs w:val="21"/>
          <w:highlight w:val="none"/>
          <w:lang w:val="zh-CN"/>
        </w:rPr>
        <w:outlineLvl w:val="2"/>
      </w:pPr>
      <w:r/>
      <w:bookmarkStart w:id="37" w:name="_Toc18001"/>
      <w:r/>
      <w:bookmarkStart w:id="38" w:name="_Toc25880"/>
      <w:r/>
      <w:bookmarkStart w:id="39" w:name="_Toc4759"/>
      <w:r/>
      <w:bookmarkStart w:id="40" w:name="_Toc513029207"/>
      <w:r/>
      <w:bookmarkStart w:id="41" w:name="_Toc25651"/>
      <w:r/>
      <w:bookmarkStart w:id="42" w:name="_Toc20823279"/>
      <w:r/>
      <w:bookmarkStart w:id="43" w:name="_Toc17711"/>
      <w:r/>
      <w:bookmarkStart w:id="44" w:name="_Toc462564067"/>
      <w:r/>
      <w:bookmarkStart w:id="45" w:name="_Toc16938523"/>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7"/>
      <w:r/>
      <w:bookmarkEnd w:id="3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3.1线上融资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3.2中小企业、监狱和戒毒企业及残疾人福利性单位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3.3节能产品、信息安全产品、环境标志产品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3.4进口产品政策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3.4.2允许进口产品参加的，满足需求的国内产品可以参加。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3.5绿色采购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3.5.2涉及</w:t>
      </w:r>
      <w:r>
        <w:rPr>
          <w:rFonts w:hint="eastAsia" w:ascii="宋体" w:hAnsi="宋体" w:cs="宋体"/>
          <w:color w:val="auto"/>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3.6创新产品采购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3.7网络产品、市场准入类产品采购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 本</w:t>
      </w:r>
      <w:r>
        <w:rPr>
          <w:rFonts w:hint="eastAsia" w:ascii="宋体" w:hAnsi="宋体" w:cs="宋体"/>
          <w:color w:val="auto"/>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3.11落实政府采购领域数字人民币政策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46" w:name="_Toc344"/>
      <w:r/>
      <w:bookmarkStart w:id="47" w:name="_Toc2547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6"/>
      <w:r/>
      <w:bookmarkEnd w:id="47"/>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ascii="Arial" w:hAnsi="Arial" w:cs="Arial"/>
          <w:b/>
          <w:bCs/>
          <w:color w:val="auto"/>
          <w:sz w:val="24"/>
          <w:highlight w:val="none"/>
        </w:rPr>
        <w:outlineLvl w:val="1"/>
      </w:pPr>
      <w:r/>
      <w:bookmarkStart w:id="48" w:name="_Toc20823281"/>
      <w:r/>
      <w:bookmarkStart w:id="49" w:name="_Toc16938525"/>
      <w:r/>
      <w:bookmarkStart w:id="50" w:name="_Toc15035"/>
      <w:r/>
      <w:bookmarkStart w:id="51" w:name="_Toc513029209"/>
      <w:r/>
      <w:bookmarkStart w:id="52" w:name="_Toc120614215"/>
      <w:r/>
      <w:bookmarkStart w:id="53" w:name="_Toc11232"/>
      <w:r>
        <w:rPr>
          <w:rFonts w:ascii="Arial" w:hAnsi="Arial" w:cs="Arial"/>
          <w:b/>
          <w:bCs/>
          <w:color w:val="auto"/>
          <w:sz w:val="24"/>
          <w:highlight w:val="none"/>
        </w:rPr>
        <w:t xml:space="preserve">二、招标文件</w:t>
      </w:r>
      <w:bookmarkEnd w:id="48"/>
      <w:r/>
      <w:bookmarkEnd w:id="49"/>
      <w:r/>
      <w:bookmarkEnd w:id="50"/>
      <w:r/>
      <w:bookmarkEnd w:id="51"/>
      <w:r/>
      <w:bookmarkEnd w:id="52"/>
      <w:r/>
      <w:bookmarkEnd w:id="53"/>
      <w:r/>
      <w:r/>
    </w:p>
    <w:p>
      <w:pPr>
        <w:ind w:firstLine="420"/>
        <w:spacing w:line="360" w:lineRule="auto"/>
        <w:rPr>
          <w:rFonts w:hint="eastAsia" w:ascii="宋体" w:hAnsi="宋体" w:cs="宋体"/>
          <w:b/>
          <w:color w:val="auto"/>
          <w:szCs w:val="21"/>
          <w:highlight w:val="none"/>
          <w:lang w:val="zh-CN"/>
        </w:rPr>
        <w:outlineLvl w:val="2"/>
      </w:pPr>
      <w:r/>
      <w:bookmarkStart w:id="54" w:name="_Toc16938526"/>
      <w:r/>
      <w:bookmarkStart w:id="55" w:name="_Toc2899"/>
      <w:r/>
      <w:bookmarkStart w:id="56" w:name="_Toc20823282"/>
      <w:r/>
      <w:bookmarkStart w:id="57" w:name="_Toc513029210"/>
      <w:r/>
      <w:bookmarkStart w:id="58" w:name="_Toc31631"/>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4"/>
      <w:r/>
      <w:bookmarkEnd w:id="55"/>
      <w:r/>
      <w:bookmarkEnd w:id="56"/>
      <w:r/>
      <w:bookmarkEnd w:id="57"/>
      <w:r/>
      <w:bookmarkEnd w:id="58"/>
      <w:r/>
      <w:r/>
    </w:p>
    <w:p>
      <w:pPr>
        <w:ind w:firstLine="420"/>
        <w:spacing w:line="440" w:lineRule="exact"/>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840"/>
        <w:spacing w:line="440" w:lineRule="exact"/>
        <w:rPr>
          <w:rFonts w:hint="default" w:ascii="Arial" w:hAnsi="Arial" w:eastAsia="宋体"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 xml:space="preserve">采购需求</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b/>
          <w:bCs/>
          <w:color w:val="auto"/>
          <w:szCs w:val="21"/>
          <w:highlight w:val="none"/>
        </w:rPr>
        <w:t xml:space="preserve">招标的最小单位是包。</w:t>
      </w:r>
      <w:r>
        <w:rPr>
          <w:rFonts w:hint="eastAsia" w:ascii="Arial" w:hAnsi="Arial" w:cs="Arial"/>
          <w:b/>
          <w:bCs/>
          <w:color w:val="auto"/>
          <w:szCs w:val="21"/>
          <w:highlight w:val="none"/>
          <w:lang w:val="en-US" w:eastAsia="zh-CN"/>
        </w:rPr>
        <w:t xml:space="preserve">采购需求</w:t>
      </w:r>
      <w:r>
        <w:rPr>
          <w:rFonts w:hint="eastAsia" w:ascii="Arial" w:hAnsi="Arial" w:cs="Arial"/>
          <w:b/>
          <w:bCs/>
          <w:color w:val="auto"/>
          <w:szCs w:val="21"/>
          <w:highlight w:val="none"/>
        </w:rPr>
        <w:t xml:space="preserve">中未分包的，供应商对要求提供的服务不得部分投标；</w:t>
      </w:r>
      <w:r>
        <w:rPr>
          <w:rFonts w:hint="eastAsia" w:ascii="Arial" w:hAnsi="Arial" w:cs="Arial"/>
          <w:b/>
          <w:bCs/>
          <w:color w:val="auto"/>
          <w:szCs w:val="21"/>
          <w:highlight w:val="none"/>
          <w:lang w:val="en-US" w:eastAsia="zh-CN"/>
        </w:rPr>
        <w:t xml:space="preserve">采购需求</w:t>
      </w:r>
      <w:r>
        <w:rPr>
          <w:rFonts w:hint="eastAsia" w:ascii="Arial" w:hAnsi="Arial" w:cs="Arial"/>
          <w:b/>
          <w:bCs/>
          <w:color w:val="auto"/>
          <w:szCs w:val="21"/>
          <w:highlight w:val="none"/>
        </w:rPr>
        <w:t xml:space="preserve">中已经分包的，以包为单位投标</w:t>
      </w:r>
      <w:r>
        <w:rPr>
          <w:rFonts w:hint="eastAsia" w:ascii="Arial" w:hAnsi="Arial" w:cs="Arial"/>
          <w:color w:val="auto"/>
          <w:szCs w:val="21"/>
          <w:highlight w:val="none"/>
        </w:rPr>
        <w:t xml:space="preserve">。</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6.4供应商被视为充分熟悉本招标项目的各种情况以及与履行合同有关的一切其他情况。</w:t>
      </w:r>
      <w:r/>
    </w:p>
    <w:p>
      <w:pPr>
        <w:pStyle w:val="1111"/>
        <w:ind w:left="0" w:firstLine="422"/>
        <w:jc w:val="both"/>
        <w:spacing w:line="440" w:lineRule="exact"/>
        <w:rPr>
          <w:rFonts w:ascii="Arial" w:hAnsi="Arial" w:eastAsia="宋体" w:cs="Arial"/>
          <w:b/>
          <w:bCs/>
          <w:color w:val="auto"/>
          <w:sz w:val="21"/>
          <w:szCs w:val="21"/>
          <w:highlight w:val="none"/>
        </w:rPr>
      </w:pPr>
      <w:r/>
      <w:bookmarkStart w:id="59" w:name="_Toc24838"/>
      <w:r/>
      <w:bookmarkStart w:id="60" w:name="_Toc14415"/>
      <w:r>
        <w:rPr>
          <w:rFonts w:ascii="Arial" w:hAnsi="Arial" w:eastAsia="宋体" w:cs="Arial"/>
          <w:b/>
          <w:bCs/>
          <w:color w:val="auto"/>
          <w:sz w:val="21"/>
          <w:szCs w:val="21"/>
          <w:highlight w:val="none"/>
        </w:rPr>
        <w:t xml:space="preserve">7.招标文件的澄清、补充或修改</w:t>
      </w:r>
      <w:bookmarkEnd w:id="59"/>
      <w:r/>
      <w:bookmarkEnd w:id="60"/>
      <w:r/>
      <w:r/>
    </w:p>
    <w:p>
      <w:pPr>
        <w:ind w:firstLine="441"/>
        <w:spacing w:line="440" w:lineRule="exact"/>
        <w:rPr>
          <w:color w:val="auto"/>
          <w:highlight w:val="none"/>
        </w:rPr>
      </w:pPr>
      <w:r/>
      <w:bookmarkStart w:id="61" w:name="_Toc29128"/>
      <w:r>
        <w:rPr>
          <w:rFonts w:ascii="Arial" w:hAnsi="Arial" w:cs="Arial"/>
          <w:color w:val="auto"/>
          <w:szCs w:val="21"/>
          <w:highlight w:val="none"/>
        </w:rPr>
        <w:t xml:space="preserve">7.1</w:t>
      </w:r>
      <w:r>
        <w:rPr>
          <w:rFonts w:hint="eastAsia"/>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highlight w:val="none"/>
        </w:rPr>
      </w:pPr>
      <w:r>
        <w:rPr>
          <w:rFonts w:hint="eastAsia" w:ascii="Arial" w:hAnsi="Arial" w:cs="Arial"/>
          <w:color w:val="auto"/>
          <w:szCs w:val="21"/>
          <w:highlight w:val="none"/>
        </w:rPr>
        <w:t xml:space="preserve">7.2 </w:t>
      </w:r>
      <w:r>
        <w:rPr>
          <w:rFonts w:hint="eastAsia"/>
          <w:color w:val="auto"/>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440" w:lineRule="exact"/>
        <w:rPr>
          <w:color w:val="auto"/>
          <w:highlight w:val="none"/>
        </w:rPr>
      </w:pPr>
      <w:r>
        <w:rPr>
          <w:rFonts w:hint="eastAsia" w:ascii="Arial" w:hAnsi="Arial" w:cs="Arial"/>
          <w:color w:val="auto"/>
          <w:szCs w:val="21"/>
          <w:highlight w:val="none"/>
        </w:rPr>
        <w:t xml:space="preserve">7.3 </w:t>
      </w:r>
      <w:r>
        <w:rPr>
          <w:rFonts w:hint="eastAsia"/>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color w:val="auto"/>
          <w:highlight w:val="none"/>
        </w:rPr>
      </w:pPr>
      <w:r>
        <w:rPr>
          <w:rFonts w:hint="eastAsia" w:ascii="Arial" w:hAnsi="Arial" w:cs="Arial"/>
          <w:color w:val="auto"/>
          <w:szCs w:val="21"/>
          <w:highlight w:val="none"/>
        </w:rPr>
        <w:t xml:space="preserve">7.4</w:t>
      </w:r>
      <w:r>
        <w:rPr>
          <w:rFonts w:hint="eastAsia"/>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ascii="Arial" w:hAnsi="Arial" w:cs="Arial"/>
          <w:bCs/>
          <w:color w:val="auto"/>
          <w:highlight w:val="none"/>
        </w:rPr>
      </w:pPr>
      <w:r>
        <w:rPr>
          <w:rFonts w:hint="eastAsia" w:ascii="Arial" w:hAnsi="Arial" w:cs="Arial"/>
          <w:color w:val="auto"/>
          <w:szCs w:val="21"/>
          <w:highlight w:val="none"/>
        </w:rPr>
        <w:t xml:space="preserve">7.5 </w:t>
      </w:r>
      <w:r>
        <w:rPr>
          <w:rFonts w:hint="eastAsia"/>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ascii="Arial" w:hAnsi="Arial" w:cs="Arial"/>
          <w:b/>
          <w:bCs/>
          <w:color w:val="auto"/>
          <w:sz w:val="24"/>
          <w:highlight w:val="none"/>
        </w:rPr>
        <w:outlineLvl w:val="1"/>
      </w:pPr>
      <w:r/>
      <w:bookmarkStart w:id="62" w:name="_Toc27318"/>
      <w:r>
        <w:rPr>
          <w:rFonts w:ascii="Arial" w:hAnsi="Arial" w:cs="Arial"/>
          <w:b/>
          <w:bCs/>
          <w:color w:val="auto"/>
          <w:sz w:val="24"/>
          <w:highlight w:val="none"/>
        </w:rPr>
        <w:t xml:space="preserve">三、投标文件的编制</w:t>
      </w:r>
      <w:bookmarkEnd w:id="61"/>
      <w:r/>
      <w:bookmarkEnd w:id="62"/>
      <w:r/>
      <w:r/>
    </w:p>
    <w:p>
      <w:pPr>
        <w:pStyle w:val="1111"/>
        <w:ind w:left="0" w:firstLine="422"/>
        <w:jc w:val="both"/>
        <w:spacing w:line="440" w:lineRule="exact"/>
        <w:rPr>
          <w:rFonts w:ascii="Arial" w:hAnsi="Arial" w:eastAsia="宋体" w:cs="Arial"/>
          <w:b/>
          <w:bCs/>
          <w:color w:val="auto"/>
          <w:sz w:val="21"/>
          <w:szCs w:val="21"/>
          <w:highlight w:val="none"/>
        </w:rPr>
      </w:pPr>
      <w:r/>
      <w:bookmarkStart w:id="63" w:name="_Toc28127"/>
      <w:r/>
      <w:bookmarkStart w:id="64" w:name="_Toc14460"/>
      <w:r>
        <w:rPr>
          <w:rFonts w:ascii="Arial" w:hAnsi="Arial" w:eastAsia="宋体" w:cs="Arial"/>
          <w:b/>
          <w:bCs/>
          <w:color w:val="auto"/>
          <w:sz w:val="21"/>
          <w:szCs w:val="21"/>
          <w:highlight w:val="none"/>
        </w:rPr>
        <w:t xml:space="preserve">8.</w:t>
      </w:r>
      <w:bookmarkEnd w:id="63"/>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64"/>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rPr>
        <w:t xml:space="preserve">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440" w:lineRule="exact"/>
        <w:shd w:val="clear" w:color="auto" w:fill="ffffff"/>
        <w:widowControl/>
        <w:rPr>
          <w:rFonts w:ascii="Arial" w:hAnsi="Arial" w:cs="Arial"/>
          <w:color w:val="auto"/>
          <w:szCs w:val="21"/>
          <w:highlight w:val="none"/>
        </w:rPr>
      </w:pPr>
      <w:r/>
      <w:bookmarkStart w:id="65"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8.5 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66" w:name="_Toc30894"/>
      <w:r/>
      <w:bookmarkStart w:id="67" w:name="_Toc11547"/>
      <w:r>
        <w:rPr>
          <w:rFonts w:hint="eastAsia" w:ascii="Arial" w:hAnsi="Arial" w:cs="Arial"/>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9.1</w:t>
      </w:r>
      <w:r>
        <w:rPr>
          <w:rFonts w:hint="eastAsia" w:ascii="宋体" w:hAnsi="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9.3</w:t>
      </w:r>
      <w:r>
        <w:rPr>
          <w:rFonts w:hint="eastAsia" w:ascii="宋体" w:hAnsi="宋体" w:cs="宋体"/>
          <w:color w:val="auto"/>
          <w:szCs w:val="21"/>
          <w:highlight w:val="none"/>
        </w:rPr>
        <w:t xml:space="preserve">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Arial" w:hAnsi="Arial" w:cs="Arial"/>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65"/>
      <w:r/>
      <w:r/>
    </w:p>
    <w:p>
      <w:pPr>
        <w:pStyle w:val="1111"/>
        <w:ind w:left="0" w:firstLine="422"/>
        <w:jc w:val="both"/>
        <w:spacing w:line="440" w:lineRule="exact"/>
        <w:rPr>
          <w:rFonts w:hint="eastAsia" w:ascii="宋体" w:hAnsi="宋体" w:eastAsia="宋体" w:cs="宋体"/>
          <w:b/>
          <w:color w:val="auto"/>
          <w:sz w:val="24"/>
          <w:szCs w:val="24"/>
          <w:highlight w:val="none"/>
        </w:rPr>
      </w:pPr>
      <w:r/>
      <w:bookmarkStart w:id="68" w:name="_Toc22790"/>
      <w:r/>
      <w:bookmarkStart w:id="69" w:name="_Toc6681"/>
      <w:r>
        <w:rPr>
          <w:rFonts w:hint="eastAsia" w:ascii="Arial" w:hAnsi="Arial" w:eastAsia="宋体" w:cs="Arial"/>
          <w:b/>
          <w:bCs/>
          <w:color w:val="auto"/>
          <w:sz w:val="21"/>
          <w:szCs w:val="21"/>
          <w:highlight w:val="none"/>
        </w:rPr>
        <w:t xml:space="preserve">10</w:t>
      </w:r>
      <w:r>
        <w:rPr>
          <w:rFonts w:ascii="Arial" w:hAnsi="Arial" w:eastAsia="宋体" w:cs="Arial"/>
          <w:b/>
          <w:bCs/>
          <w:color w:val="auto"/>
          <w:sz w:val="21"/>
          <w:szCs w:val="21"/>
          <w:highlight w:val="none"/>
        </w:rPr>
        <w:t xml:space="preserve">.投标文件</w:t>
      </w:r>
      <w:r>
        <w:rPr>
          <w:rFonts w:hint="eastAsia" w:ascii="宋体" w:hAnsi="宋体" w:eastAsia="宋体" w:cs="宋体"/>
          <w:b/>
          <w:color w:val="auto"/>
          <w:sz w:val="21"/>
          <w:highlight w:val="none"/>
        </w:rPr>
        <w:t xml:space="preserve">的</w:t>
      </w:r>
      <w:bookmarkEnd w:id="68"/>
      <w:r>
        <w:rPr>
          <w:rFonts w:hint="eastAsia" w:ascii="宋体" w:hAnsi="宋体" w:eastAsia="宋体" w:cs="宋体"/>
          <w:b/>
          <w:color w:val="auto"/>
          <w:sz w:val="21"/>
          <w:highlight w:val="none"/>
        </w:rPr>
        <w:t xml:space="preserve">组成</w:t>
      </w:r>
      <w:bookmarkEnd w:id="69"/>
      <w:r>
        <w:rPr>
          <w:rFonts w:hint="eastAsia" w:ascii="宋体" w:hAnsi="宋体" w:eastAsia="宋体" w:cs="宋体"/>
          <w:b/>
          <w:color w:val="auto"/>
          <w:sz w:val="21"/>
          <w:highlight w:val="none"/>
        </w:rPr>
        <w:t xml:space="preserve">（相应内容上传至投标客户端，并签电子公章）：</w:t>
      </w:r>
      <w:r/>
    </w:p>
    <w:p>
      <w:pPr>
        <w:ind w:firstLine="420"/>
        <w:spacing w:line="360" w:lineRule="auto"/>
        <w:rPr>
          <w:rFonts w:hint="eastAsia" w:ascii="宋体" w:hAnsi="宋体" w:cs="宋体"/>
          <w:color w:val="auto"/>
          <w:highlight w:val="none"/>
        </w:rPr>
      </w:pPr>
      <w:r/>
      <w:bookmarkStart w:id="70" w:name="_Hlk6917373"/>
      <w:r/>
      <w:bookmarkStart w:id="71" w:name="_Hlk525992732"/>
      <w:r/>
      <w:bookmarkStart w:id="72" w:name="_Hlk529436144"/>
      <w:r>
        <w:rPr>
          <w:rFonts w:hint="eastAsia" w:ascii="宋体" w:hAnsi="宋体" w:cs="宋体"/>
          <w:color w:val="auto"/>
          <w:highlight w:val="none"/>
        </w:rPr>
        <w:t xml:space="preserve">1.投标函（格式见附件）；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2.资格证明文件：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1</w:t>
      </w:r>
      <w:r>
        <w:rPr>
          <w:rFonts w:hint="eastAsia" w:ascii="Arial" w:hAnsi="Arial" w:cs="Arial"/>
          <w:color w:val="auto"/>
          <w:szCs w:val="21"/>
          <w:highlight w:val="none"/>
          <w:lang w:eastAsia="zh-CN"/>
        </w:rPr>
        <w:t xml:space="preserve">）</w:t>
      </w:r>
      <w:r>
        <w:rPr>
          <w:rFonts w:hint="eastAsia" w:ascii="Arial" w:hAnsi="Arial" w:cs="Arial"/>
          <w:color w:val="auto"/>
          <w:szCs w:val="21"/>
          <w:highlight w:val="none"/>
        </w:rPr>
        <w:t xml:space="preserve">具有独立承担民事责任的能力。投标人提供在有效经营期内的营业执照、法人授权书（法人直接参与投标的可不提供）、法人身份证扫描件、投标人代表身份证扫描件；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其中不适用信用承诺的情形：</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1）供应商被列入严重失信主体名单；</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2）被相关监督部门作出行政处罚且尚处在处罚有效期内；</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3）其他法律、行政法规规定的不适用信用承诺的情形。</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rPr>
        <w:t xml:space="preserve">）具有履行合同所必需的设备和专业技术能力。投标人提供具备履行合同所必需的设备和专业技术能力的书面声明（由供应商根据项目需求提供材料）； </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rPr>
        <w:t xml:space="preserve">）有依法缴纳税收和社会保障资金的良好记录。投标人提供提交投标文件截止时间前六个月内至少一个月依法缴纳税收及缴纳社会保障资金的证明材料。投标人依法享受缓缴、免缴的，提供证明材料；</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rPr>
        <w:t xml:space="preserve">）法律、行政法规规定的其他条件。</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3.</w:t>
      </w:r>
      <w:bookmarkStart w:id="73" w:name="_Hlk39128912"/>
      <w:r>
        <w:rPr>
          <w:rFonts w:hint="eastAsia" w:ascii="Arial" w:hAnsi="Arial" w:cs="Arial"/>
          <w:color w:val="auto"/>
          <w:szCs w:val="21"/>
          <w:highlight w:val="none"/>
        </w:rPr>
        <w:t xml:space="preserve">法人代表授权书（法人直接参与投标的可不提供）、法人身份证扫描件、投标人代表身份证扫描件</w:t>
      </w:r>
      <w:r>
        <w:rPr>
          <w:rFonts w:hint="eastAsia" w:ascii="宋体" w:hAnsi="宋体"/>
          <w:color w:val="auto"/>
          <w:highlight w:val="none"/>
        </w:rPr>
        <w:t xml:space="preserve">；</w:t>
      </w:r>
      <w:bookmarkEnd w:id="73"/>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4.开标一览表（格式系统生成）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5.细目报价表（格式见附件）</w:t>
      </w:r>
      <w:bookmarkEnd w:id="70"/>
      <w:r/>
      <w:bookmarkEnd w:id="71"/>
      <w:r/>
      <w:bookmarkEnd w:id="72"/>
      <w:r/>
      <w:r/>
    </w:p>
    <w:p>
      <w:pPr>
        <w:ind w:firstLine="420"/>
        <w:spacing w:line="360" w:lineRule="auto"/>
        <w:rPr>
          <w:color w:val="auto"/>
          <w:highlight w:val="none"/>
        </w:rPr>
      </w:pPr>
      <w:r/>
      <w:bookmarkStart w:id="74" w:name="_Toc31206"/>
      <w:r/>
      <w:bookmarkStart w:id="75" w:name="_Toc15215"/>
      <w:r>
        <w:rPr>
          <w:rFonts w:hint="eastAsia" w:ascii="宋体" w:hAnsi="宋体" w:cs="宋体"/>
          <w:color w:val="auto"/>
          <w:highlight w:val="none"/>
        </w:rPr>
        <w:t xml:space="preserve">6.</w:t>
      </w:r>
      <w:r>
        <w:rPr>
          <w:rFonts w:hint="eastAsia" w:ascii="Arial" w:hAnsi="Arial" w:eastAsia="宋体" w:cs="Arial"/>
          <w:szCs w:val="21"/>
          <w:highlight w:val="none"/>
        </w:rPr>
        <w:t xml:space="preserve">采购需求响应</w:t>
      </w:r>
      <w:r>
        <w:rPr>
          <w:rFonts w:hint="eastAsia" w:ascii="宋体" w:hAnsi="宋体" w:cs="宋体"/>
          <w:color w:val="auto"/>
          <w:highlight w:val="none"/>
        </w:rPr>
        <w:t xml:space="preserve">偏离表（格式见附件）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w:t>
      </w:r>
      <w:r>
        <w:rPr>
          <w:rFonts w:hint="eastAsia" w:ascii="宋体" w:hAnsi="宋体" w:cs="宋体"/>
          <w:color w:val="auto"/>
          <w:highlight w:val="none"/>
          <w:lang w:val="zh-CN"/>
        </w:rPr>
        <w:t xml:space="preserve">设备主要性能的</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资料</w:t>
      </w:r>
      <w:r>
        <w:rPr>
          <w:rFonts w:hint="eastAsia" w:ascii="宋体" w:hAnsi="宋体" w:cs="宋体"/>
          <w:color w:val="auto"/>
          <w:highlight w:val="none"/>
        </w:rPr>
        <w:t xml:space="preserve">以及</w:t>
      </w:r>
      <w:r>
        <w:rPr>
          <w:rFonts w:hint="eastAsia" w:ascii="宋体" w:hAnsi="宋体" w:cs="宋体"/>
          <w:color w:val="auto"/>
          <w:highlight w:val="none"/>
          <w:lang w:val="zh-CN"/>
        </w:rPr>
        <w:t xml:space="preserve">供应商认为需要提供的其他技术资料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.售后服务实施方案等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.评分标准中对应的所需证明材料（如有自行添加）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.要求采购人提供的配合（如有自拟并自行添加）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.其它（投标人认为有必要提供的声明和文件，如有自拟并自行添加）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（1）投标供应商简介和经营情况说明；（格式见附件）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（2）如是小微企业的，提供《中小企业声明函》；（格式见附件）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（3）残疾人福利性单位声明函；（供应商为残疾人福利性单位的提供，格式见附件）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（4）由省级以上监狱管理局、戒毒管理局出具的属于监狱企业的证明文件；（如适用）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auto"/>
          <w:szCs w:val="21"/>
          <w:highlight w:val="none"/>
        </w:rPr>
      </w:pPr>
      <w:r>
        <w:rPr>
          <w:rFonts w:hint="eastAsia" w:ascii="宋体" w:hAnsi="宋体" w:cs="宋体"/>
          <w:color w:val="auto"/>
          <w:highlight w:val="none"/>
        </w:rPr>
        <w:t xml:space="preserve">上述1-</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111"/>
        <w:ind w:left="0" w:firstLine="422"/>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74"/>
      <w:r/>
      <w:bookmarkEnd w:id="75"/>
      <w:r/>
      <w:r/>
    </w:p>
    <w:p>
      <w:pPr>
        <w:ind w:firstLine="420"/>
        <w:jc w:val="left"/>
        <w:spacing w:line="360" w:lineRule="auto"/>
        <w:rPr>
          <w:rFonts w:hint="eastAsia" w:ascii="宋体" w:hAnsi="宋体" w:cs="Arial"/>
          <w:bCs/>
          <w:color w:val="auto"/>
          <w:szCs w:val="21"/>
          <w:highlight w:val="none"/>
        </w:rPr>
      </w:pPr>
      <w:r/>
      <w:bookmarkStart w:id="76"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77" w:name="_Toc21944"/>
      <w:r>
        <w:rPr>
          <w:rFonts w:hint="eastAsia" w:ascii="宋体" w:hAnsi="宋体" w:eastAsia="宋体" w:cs="Arial"/>
          <w:b/>
          <w:bCs/>
          <w:color w:val="auto"/>
          <w:sz w:val="21"/>
          <w:szCs w:val="21"/>
          <w:highlight w:val="none"/>
        </w:rPr>
        <w:t xml:space="preserve">12.</w:t>
      </w:r>
      <w:bookmarkEnd w:id="76"/>
      <w:r/>
      <w:bookmarkEnd w:id="77"/>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hint="eastAsia" w:ascii="宋体" w:hAnsi="宋体" w:cs="Arial"/>
          <w:bCs/>
          <w:color w:val="auto"/>
          <w:szCs w:val="21"/>
          <w:highlight w:val="none"/>
        </w:rPr>
      </w:pPr>
      <w:r/>
      <w:bookmarkStart w:id="78" w:name="_Toc27455"/>
      <w:r>
        <w:rPr>
          <w:rFonts w:hint="eastAsia" w:ascii="宋体" w:hAnsi="宋体" w:cs="Arial"/>
          <w:bCs/>
          <w:color w:val="auto"/>
          <w:szCs w:val="21"/>
          <w:highlight w:val="none"/>
        </w:rPr>
        <w:t xml:space="preserve">12.1投标人应由其法定代表人或法定代表人授权代表在规定的网上投标时间，凭 CA 证书</w:t>
      </w:r>
      <w:r>
        <w:rPr>
          <w:rFonts w:hint="eastAsia" w:ascii="宋体" w:hAnsi="宋体" w:cs="Arial"/>
          <w:bCs/>
          <w:color w:val="auto"/>
          <w:szCs w:val="21"/>
          <w:highlight w:val="none"/>
          <w:lang w:val="en-US" w:eastAsia="zh-CN"/>
        </w:rPr>
        <w:t xml:space="preserve">登录</w:t>
      </w:r>
      <w:r>
        <w:rPr>
          <w:rFonts w:hint="eastAsia" w:ascii="宋体" w:hAnsi="宋体" w:cs="Arial"/>
          <w:bCs/>
          <w:color w:val="auto"/>
          <w:szCs w:val="21"/>
          <w:highlight w:val="none"/>
        </w:rPr>
        <w:t xml:space="preserve">“苏采云”系统在线编制投标文件（电子数据），并在投标截止时间之前上传投标文件。</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证书妥善保管，如被他人盗用投标，因此带来的</w:t>
      </w:r>
      <w:r>
        <w:rPr>
          <w:rFonts w:hint="eastAsia" w:ascii="宋体" w:hAnsi="宋体" w:cs="Arial"/>
          <w:bCs/>
          <w:color w:val="auto"/>
          <w:szCs w:val="21"/>
          <w:highlight w:val="none"/>
          <w:lang w:val="en-US" w:eastAsia="zh-CN"/>
        </w:rPr>
        <w:t xml:space="preserve">后果</w:t>
      </w:r>
      <w:r>
        <w:rPr>
          <w:rFonts w:hint="eastAsia" w:ascii="宋体" w:hAnsi="宋体" w:cs="Arial"/>
          <w:bCs/>
          <w:color w:val="auto"/>
          <w:szCs w:val="21"/>
          <w:highlight w:val="none"/>
        </w:rPr>
        <w:t xml:space="preserve">均由投标人自行承担。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79" w:name="_Toc9506"/>
      <w:r>
        <w:rPr>
          <w:rFonts w:ascii="宋体" w:hAnsi="宋体" w:cs="Arial"/>
          <w:b/>
          <w:bCs/>
          <w:color w:val="auto"/>
          <w:szCs w:val="21"/>
          <w:highlight w:val="none"/>
        </w:rPr>
        <w:t xml:space="preserve">四、投标文件的递交</w:t>
      </w:r>
      <w:bookmarkEnd w:id="78"/>
      <w:r/>
      <w:bookmarkEnd w:id="79"/>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0" w:name="_Toc462564084"/>
      <w:r/>
      <w:bookmarkStart w:id="81" w:name="_Toc20823297"/>
      <w:r/>
      <w:bookmarkStart w:id="82" w:name="_Toc513029225"/>
      <w:r/>
      <w:bookmarkStart w:id="83" w:name="_Toc16938541"/>
      <w:r/>
      <w:bookmarkStart w:id="84" w:name="_Toc415"/>
      <w:r/>
      <w:bookmarkStart w:id="85" w:name="_Toc15509"/>
      <w:r>
        <w:rPr>
          <w:rFonts w:hint="eastAsia" w:ascii="宋体" w:hAnsi="宋体" w:cs="Arial"/>
          <w:b/>
          <w:bCs/>
          <w:color w:val="auto"/>
          <w:szCs w:val="21"/>
          <w:highlight w:val="none"/>
        </w:rPr>
        <w:t xml:space="preserve">13.电子投标文件</w:t>
      </w:r>
      <w:bookmarkEnd w:id="80"/>
      <w:r/>
      <w:bookmarkEnd w:id="81"/>
      <w:r/>
      <w:bookmarkEnd w:id="82"/>
      <w:r/>
      <w:bookmarkEnd w:id="83"/>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8" w:name="_Toc20823299"/>
      <w:r/>
      <w:bookmarkStart w:id="89" w:name="_Toc513029227"/>
      <w:r/>
      <w:bookmarkStart w:id="90" w:name="_Toc16938543"/>
      <w:r>
        <w:rPr>
          <w:rFonts w:hint="eastAsia" w:ascii="宋体" w:hAnsi="宋体" w:cs="Arial"/>
          <w:b/>
          <w:bCs/>
          <w:color w:val="auto"/>
          <w:szCs w:val="21"/>
          <w:highlight w:val="none"/>
        </w:rPr>
        <w:t xml:space="preserve">15.投标文件</w:t>
      </w:r>
      <w:bookmarkEnd w:id="88"/>
      <w:r/>
      <w:bookmarkEnd w:id="89"/>
      <w:r/>
      <w:bookmarkEnd w:id="90"/>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91" w:name="_Toc16938544"/>
      <w:r/>
      <w:bookmarkStart w:id="92" w:name="_Toc20823300"/>
      <w:r/>
      <w:bookmarkStart w:id="93" w:name="_Toc513029228"/>
      <w:r>
        <w:rPr>
          <w:rFonts w:hint="eastAsia" w:ascii="宋体" w:hAnsi="宋体" w:cs="Arial"/>
          <w:b/>
          <w:bCs/>
          <w:color w:val="auto"/>
          <w:szCs w:val="21"/>
          <w:highlight w:val="none"/>
        </w:rPr>
        <w:t xml:space="preserve">16.投标文件的撤回和修改</w:t>
      </w:r>
      <w:bookmarkEnd w:id="91"/>
      <w:r/>
      <w:bookmarkEnd w:id="92"/>
      <w:r/>
      <w:bookmarkEnd w:id="93"/>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94" w:name="_Toc20683"/>
      <w:r/>
      <w:bookmarkStart w:id="95" w:name="_Toc3679"/>
      <w:r/>
      <w:bookmarkStart w:id="96" w:name="_Toc13829"/>
      <w:r/>
      <w:bookmarkStart w:id="97" w:name="_Toc15345"/>
      <w:r/>
      <w:bookmarkStart w:id="98" w:name="OLE_LINK3"/>
      <w:r/>
      <w:bookmarkStart w:id="99" w:name="OLE_LINK7"/>
      <w:r/>
      <w:bookmarkStart w:id="100" w:name="_Toc6944"/>
      <w:r>
        <w:rPr>
          <w:rFonts w:hint="eastAsia" w:ascii="宋体" w:hAnsi="宋体" w:eastAsia="宋体" w:cs="Arial"/>
          <w:b/>
          <w:bCs/>
          <w:color w:val="auto"/>
          <w:sz w:val="21"/>
          <w:szCs w:val="21"/>
          <w:highlight w:val="none"/>
        </w:rPr>
        <w:t xml:space="preserve">17.开标</w:t>
      </w:r>
      <w:bookmarkEnd w:id="94"/>
      <w:r/>
      <w:bookmarkEnd w:id="95"/>
      <w:r/>
      <w:bookmarkEnd w:id="96"/>
      <w:r/>
      <w:bookmarkEnd w:id="97"/>
      <w:r/>
      <w:bookmarkEnd w:id="98"/>
      <w:r/>
      <w:bookmarkEnd w:id="99"/>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color w:val="auto"/>
          <w:highlight w:val="none"/>
        </w:rPr>
      </w:pPr>
      <w:r>
        <w:rPr>
          <w:rFonts w:hint="eastAsia" w:ascii="宋体" w:hAnsi="宋体" w:cs="Arial"/>
          <w:b/>
          <w:bCs/>
          <w:color w:val="auto"/>
          <w:szCs w:val="21"/>
          <w:highlight w:val="none"/>
        </w:rPr>
        <w:t xml:space="preserve">18.资格性审查：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18.3</w:t>
      </w:r>
      <w:bookmarkEnd w:id="100"/>
      <w:r/>
      <w:bookmarkStart w:id="101" w:name="_Toc30296"/>
      <w:r/>
      <w:bookmarkStart w:id="102" w:name="_Toc16938547"/>
      <w:r/>
      <w:bookmarkStart w:id="103" w:name="_Toc513029231"/>
      <w:r/>
      <w:bookmarkStart w:id="104" w:name="_Toc29284"/>
      <w:r/>
      <w:bookmarkStart w:id="105" w:name="_Toc20823303"/>
      <w:r>
        <w:rPr>
          <w:rFonts w:hint="eastAsia" w:ascii="宋体" w:hAnsi="宋体" w:cs="Arial"/>
          <w:bCs/>
          <w:color w:val="auto"/>
          <w:szCs w:val="21"/>
          <w:highlight w:val="none"/>
        </w:rPr>
        <w:t xml:space="preserve">通过资格性审查合格的投标人不足3家的，不得评标。</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440" w:lineRule="exact"/>
        <w:rPr>
          <w:rFonts w:ascii="Arial" w:hAnsi="Arial" w:cs="Arial"/>
          <w:bCs/>
          <w:color w:val="auto"/>
          <w:highlight w:val="none"/>
        </w:rPr>
      </w:pPr>
      <w:r>
        <w:rPr>
          <w:rFonts w:hint="eastAsia" w:ascii="宋体" w:hAnsi="宋体" w:cs="Arial"/>
          <w:bCs/>
          <w:color w:val="auto"/>
          <w:szCs w:val="21"/>
          <w:highlight w:val="none"/>
        </w:rPr>
        <w:t xml:space="preserve">19.1评</w:t>
      </w:r>
      <w:r>
        <w:rPr>
          <w:rFonts w:hint="eastAsia" w:ascii="Arial" w:hAnsi="Arial" w:cs="Arial"/>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440" w:lineRule="exact"/>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cs="Arial"/>
          <w:b/>
          <w:color w:val="auto"/>
          <w:szCs w:val="21"/>
          <w:highlight w:val="none"/>
        </w:rPr>
      </w:pPr>
      <w:r/>
      <w:bookmarkStart w:id="106" w:name="_Toc16288"/>
      <w:r>
        <w:rPr>
          <w:rFonts w:hint="eastAsia" w:ascii="宋体" w:hAnsi="宋体" w:cs="Arial"/>
          <w:b/>
          <w:color w:val="auto"/>
          <w:szCs w:val="21"/>
          <w:highlight w:val="none"/>
        </w:rPr>
        <w:t xml:space="preserve">19.3 对投标文件的符合性审查</w:t>
      </w:r>
      <w:bookmarkEnd w:id="106"/>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auto"/>
          <w:szCs w:val="21"/>
          <w:highlight w:val="none"/>
        </w:rPr>
        <w:t xml:space="preserve">实质性要求是指本招标文件中用带星号（“★”）说明的商务和技术要求。</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19.3.3.1投标文件正本与副本不符的，以正本为准。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19.3.3.2投标文件报价出现前后不一致的，按照下列规定修正：</w:t>
      </w:r>
      <w:r/>
    </w:p>
    <w:p>
      <w:pPr>
        <w:ind w:firstLine="420"/>
        <w:spacing w:line="360" w:lineRule="auto"/>
        <w:rPr>
          <w:rFonts w:hint="eastAsia"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19.3.4</w:t>
      </w:r>
      <w:r>
        <w:rPr>
          <w:rFonts w:hint="eastAsia" w:hAnsi="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19.3.6评审过程中出现下列情形之一的，评审委员会应当启动异常低价投标（响应）审查程序：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cs="Arial"/>
          <w:bCs/>
          <w:color w:val="auto"/>
          <w:szCs w:val="21"/>
          <w:highlight w:val="none"/>
          <w:lang w:eastAsia="zh-CN"/>
        </w:rPr>
      </w:pPr>
      <w:r>
        <w:rPr>
          <w:rFonts w:hint="eastAsia" w:ascii="宋体" w:hAnsi="宋体" w:cs="Arial"/>
          <w:bCs/>
          <w:color w:val="auto"/>
          <w:szCs w:val="21"/>
          <w:highlight w:val="none"/>
        </w:rPr>
        <w:t xml:space="preserve">19.3.6.3投标（响应）报价低于采购项目最高限价45%的，即投标（响应）报价&lt;采购项目最高限价×45%</w:t>
      </w:r>
      <w:r>
        <w:rPr>
          <w:rFonts w:hint="eastAsia" w:ascii="宋体" w:hAnsi="宋体" w:cs="Arial"/>
          <w:bCs/>
          <w:color w:val="auto"/>
          <w:szCs w:val="21"/>
          <w:highlight w:val="none"/>
          <w:lang w:eastAsia="zh-CN"/>
        </w:rPr>
        <w:t xml:space="preserve">；</w:t>
      </w:r>
      <w:r/>
    </w:p>
    <w:p>
      <w:pPr>
        <w:ind w:firstLine="420"/>
        <w:spacing w:line="360" w:lineRule="auto"/>
        <w:rPr>
          <w:rFonts w:hint="eastAsia" w:ascii="宋体" w:hAnsi="宋体" w:cs="Arial"/>
          <w:bCs/>
          <w:color w:val="auto"/>
          <w:szCs w:val="21"/>
          <w:highlight w:val="none"/>
          <w:lang w:val="en-US" w:eastAsia="zh-CN"/>
        </w:rPr>
      </w:pPr>
      <w:r>
        <w:rPr>
          <w:rFonts w:hint="eastAsia" w:ascii="宋体" w:hAnsi="宋体" w:cs="Arial"/>
          <w:bCs/>
          <w:color w:val="auto"/>
          <w:szCs w:val="21"/>
          <w:highlight w:val="none"/>
          <w:lang w:val="en-US" w:eastAsia="zh-CN"/>
        </w:rPr>
        <w:t xml:space="preserve">19.3.6.4评审委员会基于专业判断，认为供应商报价过低，有可能影响产品质量或者不能诚信履约的其他情形。</w:t>
      </w:r>
      <w:r/>
    </w:p>
    <w:p>
      <w:pPr>
        <w:ind w:firstLine="420"/>
        <w:spacing w:line="360" w:lineRule="auto"/>
        <w:rPr>
          <w:color w:val="auto"/>
          <w:highlight w:val="none"/>
        </w:rPr>
      </w:pPr>
      <w:r>
        <w:rPr>
          <w:rFonts w:hint="eastAsia" w:ascii="宋体" w:hAnsi="宋体" w:cs="Arial"/>
          <w:bCs/>
          <w:color w:val="auto"/>
          <w:szCs w:val="21"/>
          <w:highlight w:val="none"/>
        </w:rPr>
        <w:t xml:space="preserve">启动异常低价投标（响应）审查后，评审委员会应当要求相关供应商在评标现场合理的时间内</w:t>
      </w:r>
      <w:r>
        <w:rPr>
          <w:rFonts w:hint="eastAsia" w:ascii="宋体" w:hAnsi="宋体" w:cs="Arial"/>
          <w:bCs/>
          <w:color w:val="auto"/>
          <w:szCs w:val="21"/>
          <w:highlight w:val="none"/>
          <w:lang w:eastAsia="zh-CN"/>
        </w:rPr>
        <w:t xml:space="preserve">（30分钟）</w:t>
      </w:r>
      <w:r>
        <w:rPr>
          <w:rFonts w:hint="eastAsia" w:ascii="宋体" w:hAnsi="宋体" w:cs="Arial"/>
          <w:bCs/>
          <w:color w:val="auto"/>
          <w:szCs w:val="21"/>
          <w:highlight w:val="none"/>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 应当在评审报告中进行记录。</w:t>
      </w:r>
      <w:bookmarkEnd w:id="101"/>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107" w:name="_Toc26857"/>
      <w:r/>
      <w:bookmarkStart w:id="108" w:name="_Toc13685"/>
      <w:r>
        <w:rPr>
          <w:rFonts w:hint="eastAsia" w:ascii="宋体" w:hAnsi="宋体" w:eastAsia="宋体" w:cs="Arial"/>
          <w:b/>
          <w:bCs/>
          <w:color w:val="auto"/>
          <w:sz w:val="21"/>
          <w:szCs w:val="21"/>
          <w:highlight w:val="none"/>
        </w:rPr>
        <w:t xml:space="preserve">19.4投标文件的澄清</w:t>
      </w:r>
      <w:bookmarkEnd w:id="107"/>
      <w:r>
        <w:rPr>
          <w:rFonts w:hint="eastAsia" w:ascii="宋体" w:hAnsi="宋体" w:eastAsia="宋体" w:cs="Arial"/>
          <w:b/>
          <w:bCs/>
          <w:color w:val="auto"/>
          <w:sz w:val="21"/>
          <w:szCs w:val="21"/>
          <w:highlight w:val="none"/>
        </w:rPr>
        <w:t xml:space="preserve">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评审因素包括投标报价、技术或者服务水平、履约能力、售后服务等。</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auto"/>
          <w:szCs w:val="21"/>
          <w:highlight w:val="none"/>
        </w:rPr>
        <w:t xml:space="preserve">取技术分最高者；均相同时，由</w:t>
      </w:r>
      <w:r>
        <w:rPr>
          <w:rFonts w:hint="eastAsia" w:ascii="宋体" w:hAnsi="宋体" w:cs="Arial"/>
          <w:bCs/>
          <w:color w:val="auto"/>
          <w:szCs w:val="21"/>
          <w:highlight w:val="none"/>
        </w:rPr>
        <w:t xml:space="preserve">评标委员会</w:t>
      </w:r>
      <w:r>
        <w:rPr>
          <w:rFonts w:ascii="宋体" w:hAnsi="宋体" w:cs="Arial"/>
          <w:bCs/>
          <w:color w:val="auto"/>
          <w:szCs w:val="21"/>
          <w:highlight w:val="none"/>
        </w:rPr>
        <w:t xml:space="preserve">集体决定</w:t>
      </w:r>
      <w:r>
        <w:rPr>
          <w:rFonts w:hint="eastAsia" w:ascii="宋体" w:hAnsi="宋体" w:cs="Arial"/>
          <w:bCs/>
          <w:color w:val="auto"/>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（13）不同供应商的负责人为同一人或者存在控股、管理关系的；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15</w:t>
      </w:r>
      <w:r>
        <w:rPr>
          <w:rFonts w:hAnsi="宋体"/>
          <w:color w:val="auto"/>
          <w:szCs w:val="21"/>
          <w:highlight w:val="none"/>
        </w:rPr>
        <w:t xml:space="preserve">）提供虚假材料的（包括工商营业执照、财务报表、资格证明文件等）；</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16</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19</w:t>
      </w:r>
      <w:r>
        <w:rPr>
          <w:rFonts w:hAnsi="宋体"/>
          <w:color w:val="auto"/>
          <w:szCs w:val="21"/>
          <w:highlight w:val="none"/>
        </w:rPr>
        <w:t xml:space="preserve">）</w:t>
      </w:r>
      <w:r>
        <w:rPr>
          <w:rFonts w:hint="eastAsia" w:hAnsi="宋体"/>
          <w:color w:val="auto"/>
          <w:szCs w:val="21"/>
          <w:highlight w:val="none"/>
        </w:rPr>
        <w:t xml:space="preserve">投标人所投标产品不符合招标文件中所列国家强制性标准的；</w:t>
      </w:r>
      <w:r/>
    </w:p>
    <w:p>
      <w:pPr>
        <w:ind w:firstLine="420"/>
        <w:jc w:val="left"/>
        <w:spacing w:line="360" w:lineRule="auto"/>
        <w:shd w:val="clear" w:color="auto" w:fill="ffffff"/>
        <w:widowControl/>
        <w:rPr>
          <w:color w:val="auto"/>
          <w:szCs w:val="21"/>
          <w:highlight w:val="none"/>
        </w:rPr>
      </w:pPr>
      <w:r>
        <w:rPr>
          <w:rFonts w:hint="eastAsia" w:hAnsi="宋体"/>
          <w:color w:val="auto"/>
          <w:szCs w:val="21"/>
          <w:highlight w:val="none"/>
        </w:rPr>
        <w:t xml:space="preserve">（20）</w:t>
      </w:r>
      <w:r>
        <w:rPr>
          <w:rFonts w:hAnsi="宋体"/>
          <w:color w:val="auto"/>
          <w:szCs w:val="21"/>
          <w:highlight w:val="none"/>
        </w:rPr>
        <w:t xml:space="preserve">法律、法规和招标文件规定的其他无效情形。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440" w:lineRule="exact"/>
        <w:rPr>
          <w:color w:val="auto"/>
          <w:highlight w:val="none"/>
        </w:rPr>
      </w:pPr>
      <w:r>
        <w:rPr>
          <w:rFonts w:ascii="Arial" w:hAnsi="Arial" w:cs="Arial"/>
          <w:bCs/>
          <w:color w:val="auto"/>
          <w:highlight w:val="none"/>
        </w:rPr>
        <w:t xml:space="preserve">（4）</w:t>
      </w:r>
      <w:r>
        <w:rPr>
          <w:rFonts w:hint="eastAsia" w:ascii="Arial" w:hAnsi="Arial" w:cs="Arial"/>
          <w:bCs/>
          <w:color w:val="auto"/>
          <w:highlight w:val="none"/>
        </w:rPr>
        <w:t xml:space="preserve">评标委员会认定</w:t>
      </w:r>
      <w:r>
        <w:rPr>
          <w:rFonts w:hint="eastAsia" w:ascii="Arial" w:hAnsi="Arial" w:cs="Arial"/>
          <w:bCs/>
          <w:color w:val="auto"/>
          <w:highlight w:val="none"/>
          <w:lang w:val="en-US" w:eastAsia="zh-CN"/>
        </w:rPr>
        <w:t xml:space="preserve">招</w:t>
      </w:r>
      <w:r>
        <w:rPr>
          <w:rFonts w:hint="eastAsia" w:ascii="Arial" w:hAnsi="Arial" w:cs="Arial"/>
          <w:bCs/>
          <w:color w:val="auto"/>
          <w:highlight w:val="none"/>
        </w:rPr>
        <w:t xml:space="preserve">文件存在歧义、重大缺陷</w:t>
      </w:r>
      <w:r>
        <w:rPr>
          <w:rFonts w:ascii="Arial" w:hAnsi="Arial" w:cs="Arial"/>
          <w:bCs/>
          <w:color w:val="auto"/>
          <w:highlight w:val="none"/>
        </w:rPr>
        <w:t xml:space="preserve">导致评审工作无法进行的</w:t>
      </w:r>
      <w:r>
        <w:rPr>
          <w:rFonts w:hint="eastAsia" w:ascii="Arial" w:hAnsi="Arial" w:cs="Arial"/>
          <w:bCs/>
          <w:color w:val="auto"/>
          <w:highlight w:val="none"/>
        </w:rPr>
        <w:t xml:space="preserve">，或者招标文件内容违反国家有关强制性规定的</w:t>
      </w:r>
      <w:r>
        <w:rPr>
          <w:rFonts w:ascii="Arial" w:hAnsi="Arial" w:cs="Arial"/>
          <w:bCs/>
          <w:color w:val="auto"/>
          <w:highlight w:val="none"/>
        </w:rPr>
        <w:t xml:space="preserve">。</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102"/>
      <w:r/>
      <w:bookmarkEnd w:id="103"/>
      <w:r/>
      <w:bookmarkEnd w:id="104"/>
      <w:r/>
      <w:bookmarkEnd w:id="105"/>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09" w:name="_Toc12294"/>
      <w:r/>
      <w:bookmarkStart w:id="110" w:name="_Toc18327"/>
      <w:r>
        <w:rPr>
          <w:rFonts w:ascii="宋体" w:hAnsi="宋体" w:cs="Arial"/>
          <w:b/>
          <w:bCs/>
          <w:color w:val="auto"/>
          <w:szCs w:val="21"/>
          <w:highlight w:val="none"/>
        </w:rPr>
        <w:t xml:space="preserve">六、授标</w:t>
      </w:r>
      <w:bookmarkEnd w:id="109"/>
      <w:r/>
      <w:bookmarkEnd w:id="110"/>
      <w:r/>
      <w:r/>
    </w:p>
    <w:p>
      <w:pPr>
        <w:pStyle w:val="1111"/>
        <w:ind w:left="0" w:firstLine="422"/>
        <w:jc w:val="both"/>
        <w:spacing w:line="360" w:lineRule="auto"/>
        <w:rPr>
          <w:rFonts w:hint="eastAsia" w:ascii="宋体" w:hAnsi="宋体" w:eastAsia="宋体" w:cs="Arial"/>
          <w:b/>
          <w:bCs/>
          <w:color w:val="auto"/>
          <w:sz w:val="21"/>
          <w:szCs w:val="21"/>
          <w:highlight w:val="none"/>
        </w:rPr>
      </w:pPr>
      <w:r/>
      <w:bookmarkStart w:id="111" w:name="_Toc28693"/>
      <w:r/>
      <w:bookmarkStart w:id="112" w:name="_Toc27522"/>
      <w:r>
        <w:rPr>
          <w:rFonts w:hint="eastAsia" w:ascii="宋体" w:hAnsi="宋体" w:eastAsia="宋体" w:cs="Arial"/>
          <w:b/>
          <w:bCs/>
          <w:color w:val="auto"/>
          <w:sz w:val="21"/>
          <w:szCs w:val="21"/>
          <w:highlight w:val="none"/>
        </w:rPr>
        <w:t xml:space="preserve">20.确定中标</w:t>
      </w:r>
      <w:bookmarkEnd w:id="111"/>
      <w:r>
        <w:rPr>
          <w:rFonts w:hint="eastAsia" w:ascii="宋体" w:hAnsi="宋体" w:eastAsia="宋体" w:cs="Arial"/>
          <w:b/>
          <w:bCs/>
          <w:color w:val="auto"/>
          <w:sz w:val="21"/>
          <w:szCs w:val="21"/>
          <w:highlight w:val="none"/>
        </w:rPr>
        <w:t xml:space="preserve">供应商</w:t>
      </w:r>
      <w:bookmarkEnd w:id="112"/>
      <w:r/>
      <w:bookmarkStart w:id="113" w:name="_Toc7377"/>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在南京公共采购信息网</w:t>
      </w:r>
      <w:r>
        <w:rPr>
          <w:rStyle w:val="1158"/>
          <w:rFonts w:hint="eastAsia" w:cs="Arial"/>
          <w:b w:val="0"/>
          <w:color w:val="auto"/>
          <w:highlight w:val="none"/>
        </w:rPr>
        <w:t xml:space="preserve">、</w:t>
      </w:r>
      <w:r>
        <w:rPr>
          <w:rFonts w:hint="eastAsia" w:hAnsi="宋体"/>
          <w:color w:val="auto"/>
          <w:szCs w:val="21"/>
          <w:highlight w:val="none"/>
        </w:rPr>
        <w:t xml:space="preserve">江苏政府采购网</w:t>
      </w:r>
      <w:r>
        <w:rPr>
          <w:rFonts w:hAnsi="宋体"/>
          <w:color w:val="auto"/>
          <w:szCs w:val="21"/>
          <w:highlight w:val="none"/>
        </w:rPr>
        <w:t xml:space="preserve">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int="eastAsia"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13"/>
      <w:r/>
      <w:r/>
    </w:p>
    <w:p>
      <w:pPr>
        <w:pStyle w:val="1111"/>
        <w:ind w:left="420" w:firstLine="0"/>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23.招标代理服务费</w:t>
      </w:r>
      <w:bookmarkEnd w:id="84"/>
      <w:r/>
      <w:bookmarkEnd w:id="85"/>
      <w:r/>
      <w:r/>
    </w:p>
    <w:p>
      <w:pPr>
        <w:spacing w:line="360" w:lineRule="auto"/>
        <w:rPr>
          <w:rFonts w:hint="eastAsia" w:ascii="宋体" w:hAnsi="宋体"/>
          <w:color w:val="auto"/>
          <w:szCs w:val="21"/>
          <w:highlight w:val="none"/>
          <w:lang w:val="zh-CN"/>
        </w:rPr>
      </w:pP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 </w:t>
      </w:r>
      <w:r>
        <w:rPr>
          <w:rFonts w:hint="eastAsia" w:ascii="宋体" w:hAnsi="宋体"/>
          <w:color w:val="auto"/>
          <w:szCs w:val="21"/>
          <w:highlight w:val="none"/>
          <w:lang w:val="zh-CN"/>
        </w:rPr>
        <w:t xml:space="preserve">领取中标通知时，中标人向采购代理机构一次性付清。</w:t>
      </w:r>
      <w:r/>
    </w:p>
    <w:p>
      <w:pPr>
        <w:pStyle w:val="938"/>
        <w:ind w:firstLine="420"/>
        <w:spacing w:line="360" w:lineRule="auto"/>
        <w:rPr>
          <w:rFonts w:hint="eastAsia" w:hAnsi="宋体"/>
          <w:color w:val="auto"/>
          <w:szCs w:val="21"/>
          <w:highlight w:val="none"/>
        </w:rPr>
      </w:pP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2</w:t>
      </w:r>
      <w:r>
        <w:rPr>
          <w:rFonts w:hAnsi="宋体"/>
          <w:color w:val="auto"/>
          <w:szCs w:val="21"/>
          <w:highlight w:val="none"/>
        </w:rPr>
        <w:t xml:space="preserve">招标代理服务费：本次招标，中标人</w:t>
      </w:r>
      <w:r>
        <w:rPr>
          <w:rFonts w:hint="eastAsia" w:hAnsi="宋体"/>
          <w:color w:val="auto"/>
          <w:szCs w:val="21"/>
          <w:highlight w:val="none"/>
        </w:rPr>
        <w:t xml:space="preserve">按照本项目</w:t>
      </w:r>
      <w:r>
        <w:rPr>
          <w:rFonts w:hint="eastAsia" w:hAnsi="宋体"/>
          <w:color w:val="auto"/>
          <w:szCs w:val="21"/>
          <w:highlight w:val="none"/>
          <w:lang w:val="en-US" w:eastAsia="zh-CN"/>
        </w:rPr>
        <w:t xml:space="preserve">中标金额</w:t>
      </w:r>
      <w:r>
        <w:rPr>
          <w:rFonts w:hAnsi="宋体"/>
          <w:color w:val="auto"/>
          <w:szCs w:val="21"/>
          <w:highlight w:val="none"/>
        </w:rPr>
        <w:t xml:space="preserve">参照</w:t>
      </w:r>
      <w:r>
        <w:rPr>
          <w:rFonts w:hint="eastAsia" w:hAnsi="宋体"/>
          <w:color w:val="auto"/>
          <w:szCs w:val="21"/>
          <w:highlight w:val="none"/>
        </w:rPr>
        <w:t xml:space="preserve">如下收费标准，</w:t>
      </w:r>
      <w:r>
        <w:rPr>
          <w:rFonts w:hAnsi="宋体"/>
          <w:color w:val="auto"/>
          <w:szCs w:val="21"/>
          <w:highlight w:val="none"/>
        </w:rPr>
        <w:t xml:space="preserve">各投标供应商应将招标代理服务费自行考虑包含在投标报价中，本项费用无需在投标报价表中单列。</w:t>
      </w:r>
      <w:r/>
    </w:p>
    <w:tbl>
      <w:tblPr>
        <w:tblStyle w:val="927"/>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b/>
                <w:bCs/>
                <w:color w:val="auto"/>
                <w:szCs w:val="21"/>
                <w:highlight w:val="none"/>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ascii="宋体" w:hAnsi="宋体" w:cs="Arial"/>
                <w:b/>
                <w:bCs/>
                <w:color w:val="auto"/>
                <w:szCs w:val="21"/>
                <w:highlight w:val="none"/>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ascii="宋体" w:hAnsi="宋体" w:cs="Arial"/>
                <w:b/>
                <w:bCs/>
                <w:color w:val="auto"/>
                <w:szCs w:val="21"/>
                <w:highlight w:val="none"/>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b/>
                <w:bCs/>
                <w:color w:val="auto"/>
                <w:szCs w:val="21"/>
                <w:highlight w:val="none"/>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b/>
                <w:bCs/>
                <w:color w:val="auto"/>
                <w:szCs w:val="21"/>
                <w:highlight w:val="none"/>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0.004%</w:t>
            </w:r>
            <w:r/>
          </w:p>
        </w:tc>
      </w:tr>
    </w:tbl>
    <w:p>
      <w:pPr>
        <w:pStyle w:val="938"/>
        <w:spacing w:line="360" w:lineRule="auto"/>
        <w:rPr>
          <w:rFonts w:hint="eastAsia" w:hAnsi="宋体"/>
          <w:color w:val="auto"/>
          <w:szCs w:val="21"/>
          <w:highlight w:val="none"/>
        </w:rPr>
      </w:pPr>
      <w:r>
        <w:rPr>
          <w:rFonts w:hint="eastAsia" w:hAnsi="宋体" w:cs="Arial"/>
          <w:bCs/>
          <w:color w:val="auto"/>
          <w:szCs w:val="21"/>
          <w:highlight w:val="none"/>
        </w:rPr>
        <w:t xml:space="preserve">       </w:t>
      </w: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3</w:t>
      </w:r>
      <w:r>
        <w:rPr>
          <w:rFonts w:hAnsi="宋体"/>
          <w:color w:val="auto"/>
          <w:szCs w:val="21"/>
          <w:highlight w:val="none"/>
        </w:rPr>
        <w:t xml:space="preserve">服务费交纳账户：</w:t>
      </w:r>
      <w:r>
        <w:rPr>
          <w:rFonts w:hint="eastAsia" w:hAnsi="宋体"/>
          <w:color w:val="auto"/>
          <w:szCs w:val="21"/>
          <w:highlight w:val="none"/>
        </w:rPr>
        <w:t xml:space="preserve">苏美达国际技术贸易有限公司</w:t>
      </w:r>
      <w:r/>
    </w:p>
    <w:p>
      <w:pPr>
        <w:pStyle w:val="938"/>
        <w:ind w:firstLine="840"/>
        <w:spacing w:line="360" w:lineRule="auto"/>
        <w:rPr>
          <w:rFonts w:hint="eastAsia" w:hAnsi="宋体"/>
          <w:color w:val="auto"/>
          <w:szCs w:val="21"/>
          <w:highlight w:val="none"/>
        </w:rPr>
      </w:pPr>
      <w:r>
        <w:rPr>
          <w:rFonts w:hAnsi="宋体"/>
          <w:color w:val="auto"/>
          <w:szCs w:val="21"/>
          <w:highlight w:val="none"/>
        </w:rPr>
        <w:t xml:space="preserve">账号：</w:t>
      </w:r>
      <w:r>
        <w:rPr>
          <w:rFonts w:hint="eastAsia" w:hAnsi="宋体"/>
          <w:color w:val="auto"/>
          <w:szCs w:val="21"/>
          <w:highlight w:val="none"/>
        </w:rPr>
        <w:t xml:space="preserve">7321010182300013675　　　</w:t>
      </w:r>
      <w:r/>
    </w:p>
    <w:p>
      <w:pPr>
        <w:pStyle w:val="1154"/>
        <w:ind w:firstLine="840"/>
        <w:rPr>
          <w:rFonts w:hint="eastAsia" w:ascii="宋体" w:hAnsi="宋体"/>
          <w:color w:val="auto"/>
          <w:sz w:val="21"/>
          <w:highlight w:val="none"/>
        </w:rPr>
      </w:pPr>
      <w:r>
        <w:rPr>
          <w:rFonts w:ascii="宋体" w:hAnsi="宋体"/>
          <w:color w:val="auto"/>
          <w:sz w:val="21"/>
          <w:highlight w:val="none"/>
        </w:rPr>
        <w:t xml:space="preserve">开户银行：</w:t>
      </w:r>
      <w:r>
        <w:rPr>
          <w:rFonts w:hint="eastAsia" w:ascii="宋体" w:hAnsi="宋体"/>
          <w:color w:val="auto"/>
          <w:sz w:val="21"/>
          <w:highlight w:val="none"/>
        </w:rPr>
        <w:t xml:space="preserve">中信南京分行营业部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14" w:name="_Toc5784"/>
      <w:r>
        <w:rPr>
          <w:rFonts w:ascii="宋体" w:hAnsi="宋体" w:cs="Arial"/>
          <w:b/>
          <w:bCs/>
          <w:color w:val="auto"/>
          <w:szCs w:val="21"/>
          <w:highlight w:val="none"/>
        </w:rPr>
        <w:t xml:space="preserve">七、质疑</w:t>
      </w:r>
      <w:bookmarkEnd w:id="114"/>
      <w:r>
        <w:rPr>
          <w:rFonts w:ascii="宋体" w:hAnsi="宋体" w:cs="Arial"/>
          <w:b/>
          <w:bCs/>
          <w:color w:val="auto"/>
          <w:szCs w:val="21"/>
          <w:highlight w:val="none"/>
        </w:rPr>
        <w:t xml:space="preserve">和投诉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.1供应商对招标活动事项有疑问的，可以向采购代理机构提出询问，采购代理机构将依法作出答复，但答复的内容不涉及商业秘密</w:t>
      </w:r>
      <w:r>
        <w:rPr>
          <w:rFonts w:ascii="宋体" w:hAnsi="宋体"/>
          <w:b/>
          <w:bCs/>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auto"/>
          <w:szCs w:val="21"/>
          <w:highlight w:val="none"/>
        </w:rPr>
        <w:t xml:space="preserve">，质疑一次性提出</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auto"/>
          <w:szCs w:val="21"/>
          <w:highlight w:val="none"/>
        </w:rPr>
        <w:t xml:space="preserve">修改理由</w:t>
      </w:r>
      <w:r>
        <w:rPr>
          <w:rFonts w:ascii="宋体" w:hAnsi="宋体"/>
          <w:color w:val="auto"/>
          <w:szCs w:val="21"/>
          <w:highlight w:val="none"/>
        </w:rPr>
        <w:t xml:space="preserve">和</w:t>
      </w:r>
      <w:r>
        <w:rPr>
          <w:rFonts w:ascii="宋体" w:hAnsi="宋体"/>
          <w:b/>
          <w:bCs/>
          <w:color w:val="auto"/>
          <w:szCs w:val="21"/>
          <w:highlight w:val="none"/>
        </w:rPr>
        <w:t xml:space="preserve">修改建议</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.6采购代理机构在收到投标商的书面质疑后将及时组织调查核实，在</w:t>
      </w:r>
      <w:r>
        <w:rPr>
          <w:rFonts w:ascii="宋体" w:hAnsi="宋体"/>
          <w:b/>
          <w:bCs/>
          <w:color w:val="auto"/>
          <w:szCs w:val="21"/>
          <w:highlight w:val="none"/>
        </w:rPr>
        <w:t xml:space="preserve">七个工作日内</w:t>
      </w:r>
      <w:r>
        <w:rPr>
          <w:rFonts w:ascii="宋体" w:hAnsi="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hint="eastAsia" w:ascii="宋体" w:hAnsi="宋体"/>
          <w:b/>
          <w:bCs/>
          <w:color w:val="auto"/>
          <w:szCs w:val="21"/>
          <w:highlight w:val="none"/>
        </w:rPr>
      </w:pPr>
      <w:r>
        <w:rPr>
          <w:rFonts w:ascii="宋体" w:hAnsi="宋体"/>
          <w:color w:val="auto"/>
          <w:szCs w:val="21"/>
          <w:highlight w:val="none"/>
        </w:rPr>
        <w:t xml:space="preserve">质疑投标商对代理机构的答复不满意，或代理机构未在规定的时间内作出答复的，可以在答复期满后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0"/>
        <w:jc w:val="center"/>
        <w:spacing w:line="360" w:lineRule="auto"/>
        <w:shd w:val="clear" w:color="auto" w:fill="ffffff"/>
        <w:widowControl/>
        <w:rPr>
          <w:rFonts w:ascii="Arial" w:hAnsi="Arial" w:eastAsia="黑体" w:cs="Arial"/>
          <w:b/>
          <w:color w:val="auto"/>
          <w:sz w:val="28"/>
          <w:szCs w:val="28"/>
          <w:highlight w:val="none"/>
        </w:rPr>
      </w:pPr>
      <w:r/>
      <w:bookmarkStart w:id="115" w:name="_Toc668"/>
      <w:r/>
      <w:r/>
    </w:p>
    <w:p>
      <w:pPr>
        <w:ind w:firstLine="420"/>
        <w:jc w:val="center"/>
        <w:spacing w:line="360" w:lineRule="auto"/>
        <w:shd w:val="clear" w:color="auto" w:fill="ffffff"/>
        <w:widowControl/>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5"/>
      <w:r>
        <w:rPr>
          <w:rFonts w:eastAsia="黑体"/>
          <w:b/>
          <w:bCs/>
          <w:color w:val="auto"/>
          <w:sz w:val="32"/>
          <w:szCs w:val="32"/>
          <w:highlight w:val="none"/>
        </w:rPr>
        <w:t xml:space="preserve">评标方法、评分标准</w:t>
      </w:r>
      <w:bookmarkStart w:id="116" w:name="_Toc11059"/>
      <w:r/>
      <w:r/>
    </w:p>
    <w:p>
      <w:pPr>
        <w:pStyle w:val="938"/>
        <w:ind w:firstLine="420"/>
        <w:spacing w:line="480" w:lineRule="auto"/>
        <w:rPr>
          <w:rFonts w:hint="eastAsia" w:hAnsi="宋体"/>
          <w:color w:val="auto"/>
          <w:szCs w:val="21"/>
          <w:highlight w:val="none"/>
        </w:rPr>
      </w:pPr>
      <w:r>
        <w:rPr>
          <w:rFonts w:hAnsi="宋体"/>
          <w:color w:val="auto"/>
          <w:szCs w:val="21"/>
          <w:highlight w:val="none"/>
        </w:rPr>
        <w:t xml:space="preserve">一、评标办法：</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lang w:val="en-US" w:eastAsia="zh-CN"/>
        </w:rPr>
        <w:t xml:space="preserve">20</w:t>
      </w:r>
      <w:r>
        <w:rPr>
          <w:rFonts w:hAnsi="宋体"/>
          <w:color w:val="auto"/>
          <w:szCs w:val="21"/>
          <w:highlight w:val="none"/>
        </w:rPr>
        <w:t xml:space="preserve">%（权重），技术与质量及其它占</w:t>
      </w:r>
      <w:r>
        <w:rPr>
          <w:rFonts w:hint="eastAsia" w:hAnsi="宋体"/>
          <w:color w:val="auto"/>
          <w:szCs w:val="21"/>
          <w:highlight w:val="none"/>
          <w:lang w:val="en-US" w:eastAsia="zh-CN"/>
        </w:rPr>
        <w:t xml:space="preserve">80</w:t>
      </w:r>
      <w:r>
        <w:rPr>
          <w:rFonts w:hAnsi="宋体"/>
          <w:color w:val="auto"/>
          <w:szCs w:val="21"/>
          <w:highlight w:val="none"/>
        </w:rPr>
        <w:t xml:space="preserve">%（权重）。（保留小数点后2位）</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二、政府采购政策执行办法：</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①对小型和微型企业</w:t>
      </w:r>
      <w:r>
        <w:rPr>
          <w:rFonts w:hint="eastAsia" w:hAnsi="宋体"/>
          <w:color w:val="auto"/>
          <w:szCs w:val="21"/>
          <w:highlight w:val="none"/>
          <w:lang w:val="en-US" w:eastAsia="zh-CN"/>
        </w:rPr>
        <w:t xml:space="preserve">服务</w:t>
      </w:r>
      <w:r>
        <w:rPr>
          <w:rFonts w:hint="eastAsia" w:hAnsi="宋体"/>
          <w:color w:val="auto"/>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②监狱企业视同小型、微型企业，对其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③残疾人福利性单位视同小型、微型企业，对其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38"/>
        <w:ind w:firstLine="420"/>
        <w:spacing w:line="360" w:lineRule="auto"/>
        <w:rPr>
          <w:rFonts w:hint="eastAsia" w:hAnsi="宋体"/>
          <w:color w:val="auto"/>
          <w:szCs w:val="21"/>
          <w:highlight w:val="none"/>
        </w:rPr>
      </w:pPr>
      <w:r>
        <w:rPr>
          <w:rFonts w:hint="eastAsia" w:hAnsi="宋体"/>
          <w:color w:val="auto"/>
          <w:szCs w:val="21"/>
          <w:highlight w:val="none"/>
        </w:rPr>
        <w:t xml:space="preserve">同一投标人，上述三项价格扣除优惠不得重复享受。</w:t>
      </w:r>
      <w:r/>
    </w:p>
    <w:p>
      <w:pPr>
        <w:pStyle w:val="938"/>
        <w:ind w:firstLine="420"/>
        <w:spacing w:line="360" w:lineRule="auto"/>
        <w:rPr>
          <w:rFonts w:hint="eastAsia"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p>
      <w:pPr>
        <w:pStyle w:val="938"/>
        <w:ind w:firstLine="420"/>
        <w:spacing w:line="480" w:lineRule="auto"/>
        <w:rPr>
          <w:rFonts w:hint="eastAsia" w:hAnsi="宋体"/>
          <w:color w:val="auto"/>
          <w:szCs w:val="21"/>
          <w:highlight w:val="none"/>
        </w:rPr>
      </w:pPr>
      <w:r>
        <w:rPr>
          <w:rFonts w:hAnsi="宋体"/>
          <w:color w:val="auto"/>
          <w:szCs w:val="21"/>
          <w:highlight w:val="none"/>
        </w:rPr>
        <w:t xml:space="preserve">本次采购的评标方法采用综合评分法，</w:t>
      </w:r>
      <w:r>
        <w:rPr>
          <w:rFonts w:hint="eastAsia" w:hAnsi="宋体"/>
          <w:color w:val="auto"/>
          <w:szCs w:val="21"/>
          <w:highlight w:val="none"/>
        </w:rPr>
        <w:t xml:space="preserve">小数点后保留两位，四舍五入。</w:t>
      </w:r>
      <w:r/>
    </w:p>
    <w:p>
      <w:pPr>
        <w:pStyle w:val="938"/>
        <w:ind w:firstLine="420"/>
        <w:spacing w:line="480" w:lineRule="auto"/>
        <w:rPr>
          <w:rFonts w:hint="eastAsia" w:hAnsi="宋体"/>
          <w:color w:val="auto"/>
          <w:szCs w:val="21"/>
          <w:highlight w:val="none"/>
        </w:rPr>
      </w:pPr>
      <w:r>
        <w:rPr>
          <w:rFonts w:hint="eastAsia" w:hAnsi="宋体"/>
          <w:color w:val="auto"/>
          <w:szCs w:val="21"/>
          <w:highlight w:val="none"/>
        </w:rPr>
        <w:t xml:space="preserve">本次招标的评标办法采用综合评分法（计分均保留2位小数），未列入本评分标准的其他条件不作为评分内容。评审因素及各比重如下（百分制）：</w:t>
      </w:r>
      <w:r/>
    </w:p>
    <w:p>
      <w:pPr>
        <w:ind w:firstLine="482"/>
        <w:spacing w:line="360" w:lineRule="auto"/>
        <w:tabs>
          <w:tab w:val="left" w:pos="525" w:leader="none"/>
          <w:tab w:val="left" w:pos="1050" w:leader="none"/>
        </w:tabs>
        <w:rPr>
          <w:rFonts w:hint="eastAsia" w:ascii="宋体" w:hAnsi="宋体" w:cs="宋体"/>
          <w:b/>
          <w:bCs/>
          <w:szCs w:val="21"/>
          <w:highlight w:val="none"/>
        </w:rPr>
      </w:pPr>
      <w:r>
        <w:rPr>
          <w:rFonts w:hint="eastAsia" w:ascii="宋体" w:hAnsi="宋体" w:cs="宋体"/>
          <w:b/>
          <w:szCs w:val="21"/>
          <w:highlight w:val="none"/>
        </w:rPr>
        <w:t xml:space="preserve">（一）、价</w:t>
      </w:r>
      <w:r>
        <w:rPr>
          <w:rFonts w:hint="eastAsia" w:ascii="宋体" w:hAnsi="宋体" w:cs="宋体"/>
          <w:b/>
          <w:bCs/>
          <w:szCs w:val="21"/>
          <w:highlight w:val="none"/>
        </w:rPr>
        <w:t xml:space="preserve">格分（</w:t>
      </w:r>
      <w:r>
        <w:rPr>
          <w:rFonts w:hint="eastAsia" w:ascii="宋体" w:hAnsi="宋体" w:cs="宋体"/>
          <w:b/>
          <w:bCs/>
          <w:szCs w:val="21"/>
          <w:highlight w:val="none"/>
          <w:lang w:val="en-US" w:eastAsia="zh-CN"/>
        </w:rPr>
        <w:t xml:space="preserve">20</w:t>
      </w:r>
      <w:r>
        <w:rPr>
          <w:rFonts w:hint="eastAsia" w:ascii="宋体" w:hAnsi="宋体" w:cs="宋体"/>
          <w:b/>
          <w:bCs/>
          <w:szCs w:val="21"/>
          <w:highlight w:val="none"/>
        </w:rPr>
        <w:t xml:space="preserve">分）</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hint="eastAsia" w:ascii="宋体" w:hAnsi="宋体" w:cs="宋体"/>
          <w:bCs/>
          <w:szCs w:val="21"/>
          <w:highlight w:val="none"/>
          <w:lang w:val="en-US" w:eastAsia="zh-CN"/>
        </w:rPr>
        <w:t xml:space="preserve">20</w:t>
      </w:r>
      <w:r>
        <w:rPr>
          <w:rFonts w:hint="eastAsia" w:ascii="宋体" w:hAnsi="宋体" w:cs="宋体"/>
          <w:bCs/>
          <w:szCs w:val="21"/>
          <w:highlight w:val="none"/>
        </w:rPr>
        <w:t xml:space="preserve">。</w:t>
      </w:r>
      <w:r/>
    </w:p>
    <w:p>
      <w:pPr>
        <w:ind w:firstLine="482"/>
        <w:spacing w:line="360" w:lineRule="auto"/>
        <w:rPr>
          <w:rFonts w:hint="eastAsia" w:ascii="宋体" w:hAnsi="宋体" w:eastAsia="宋体" w:cs="宋体"/>
          <w:b/>
          <w:szCs w:val="21"/>
          <w:highlight w:val="none"/>
        </w:rPr>
      </w:pPr>
      <w:r>
        <w:rPr>
          <w:rFonts w:hint="eastAsia" w:ascii="宋体" w:hAnsi="宋体" w:cs="宋体"/>
          <w:b/>
          <w:szCs w:val="21"/>
          <w:highlight w:val="none"/>
        </w:rPr>
        <w:t xml:space="preserve">（二）、技术响应（</w:t>
      </w:r>
      <w:r>
        <w:rPr>
          <w:rFonts w:hint="eastAsia" w:ascii="宋体" w:hAnsi="宋体" w:cs="宋体"/>
          <w:b/>
          <w:szCs w:val="21"/>
          <w:highlight w:val="none"/>
          <w:lang w:val="en-US" w:eastAsia="zh-CN"/>
        </w:rPr>
        <w:t xml:space="preserve">33</w:t>
      </w:r>
      <w:r>
        <w:rPr>
          <w:rFonts w:hint="eastAsia" w:ascii="宋体" w:hAnsi="宋体" w:cs="宋体"/>
          <w:b/>
          <w:szCs w:val="21"/>
          <w:highlight w:val="none"/>
        </w:rPr>
        <w:t xml:space="preserve">分）</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满足招标文件第四章</w:t>
      </w:r>
      <w:r>
        <w:rPr>
          <w:rFonts w:hint="eastAsia" w:ascii="宋体" w:hAnsi="宋体" w:cs="宋体"/>
          <w:bCs/>
          <w:szCs w:val="21"/>
          <w:highlight w:val="none"/>
          <w:lang w:eastAsia="zh-CN"/>
        </w:rPr>
        <w:t xml:space="preserve">“四、维保要求”</w:t>
      </w:r>
      <w:r>
        <w:rPr>
          <w:rFonts w:hint="eastAsia" w:ascii="宋体" w:hAnsi="宋体" w:cs="宋体"/>
          <w:bCs/>
          <w:szCs w:val="21"/>
          <w:highlight w:val="none"/>
          <w:lang w:val="en-US" w:eastAsia="zh-CN"/>
        </w:rPr>
        <w:t xml:space="preserve">和</w:t>
      </w:r>
      <w:r>
        <w:rPr>
          <w:rFonts w:hint="eastAsia" w:ascii="宋体" w:hAnsi="宋体" w:cs="宋体"/>
          <w:bCs/>
          <w:szCs w:val="21"/>
          <w:highlight w:val="none"/>
          <w:lang w:eastAsia="zh-CN"/>
        </w:rPr>
        <w:t xml:space="preserve">“五、维护保养内容”</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33</w:t>
      </w:r>
      <w:r>
        <w:rPr>
          <w:rFonts w:hint="eastAsia" w:ascii="宋体" w:hAnsi="宋体" w:cs="宋体"/>
          <w:bCs/>
          <w:szCs w:val="21"/>
          <w:highlight w:val="none"/>
        </w:rPr>
        <w:t xml:space="preserve">分，正偏离不加分。</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★指标不允许负偏离，有一项负偏离做</w:t>
      </w:r>
      <w:r>
        <w:rPr>
          <w:rFonts w:hint="eastAsia" w:ascii="宋体" w:hAnsi="宋体" w:cs="宋体"/>
          <w:bCs/>
          <w:szCs w:val="21"/>
          <w:highlight w:val="none"/>
          <w:lang w:val="en-US" w:eastAsia="zh-CN"/>
        </w:rPr>
        <w:t xml:space="preserve">无效投标</w:t>
      </w:r>
      <w:r>
        <w:rPr>
          <w:rFonts w:hint="eastAsia" w:ascii="宋体" w:hAnsi="宋体" w:cs="宋体"/>
          <w:bCs/>
          <w:szCs w:val="21"/>
          <w:highlight w:val="none"/>
        </w:rPr>
        <w:t xml:space="preserve">处理；非★号指标每负偏离一项扣</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分，扣完为止。    </w:t>
      </w:r>
      <w:r/>
    </w:p>
    <w:p>
      <w:pPr>
        <w:ind w:firstLine="422"/>
        <w:spacing w:line="360" w:lineRule="auto"/>
        <w:tabs>
          <w:tab w:val="left" w:pos="945" w:leader="none"/>
          <w:tab w:val="left" w:pos="1155" w:leader="none"/>
        </w:tabs>
        <w:rPr>
          <w:rFonts w:hint="eastAsia" w:ascii="宋体" w:hAnsi="宋体" w:cs="宋体"/>
          <w:b/>
          <w:szCs w:val="21"/>
          <w:highlight w:val="none"/>
        </w:rPr>
      </w:pPr>
      <w:r>
        <w:rPr>
          <w:rFonts w:hint="eastAsia" w:ascii="宋体" w:hAnsi="宋体" w:cs="宋体"/>
          <w:b/>
          <w:szCs w:val="21"/>
          <w:highlight w:val="none"/>
        </w:rPr>
        <w:t xml:space="preserve">（三）、 维保服务能力：</w:t>
      </w:r>
      <w:r>
        <w:rPr>
          <w:rFonts w:hint="eastAsia" w:ascii="宋体" w:hAnsi="宋体" w:cs="宋体"/>
          <w:b/>
          <w:szCs w:val="21"/>
          <w:highlight w:val="none"/>
          <w:lang w:val="en-US" w:eastAsia="zh-CN"/>
        </w:rPr>
        <w:t xml:space="preserve">8</w:t>
      </w:r>
      <w:r>
        <w:rPr>
          <w:rFonts w:hint="eastAsia" w:ascii="宋体" w:hAnsi="宋体" w:cs="宋体"/>
          <w:b/>
          <w:szCs w:val="21"/>
          <w:highlight w:val="none"/>
        </w:rPr>
        <w:t xml:space="preserve">分   </w:t>
      </w:r>
      <w:r/>
    </w:p>
    <w:p>
      <w:pPr>
        <w:ind w:firstLine="482"/>
        <w:spacing w:line="360" w:lineRule="auto"/>
        <w:tabs>
          <w:tab w:val="left" w:pos="525" w:leader="none"/>
          <w:tab w:val="left" w:pos="1050" w:leader="none"/>
        </w:tabs>
        <w:rPr>
          <w:rFonts w:hint="eastAsia" w:ascii="宋体" w:hAnsi="宋体" w:cs="宋体"/>
          <w:b/>
          <w:szCs w:val="21"/>
          <w:highlight w:val="none"/>
        </w:rPr>
      </w:pP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、维修人员配置（8分）</w:t>
      </w:r>
      <w:r/>
    </w:p>
    <w:p>
      <w:pPr>
        <w:ind w:firstLine="482"/>
        <w:spacing w:line="360" w:lineRule="auto"/>
        <w:tabs>
          <w:tab w:val="left" w:pos="525" w:leader="none"/>
          <w:tab w:val="left" w:pos="1050" w:leader="none"/>
        </w:tabs>
        <w:rPr>
          <w:rFonts w:hint="eastAsia" w:ascii="宋体" w:hAnsi="宋体" w:cs="宋体"/>
          <w:b/>
          <w:szCs w:val="21"/>
          <w:highlight w:val="none"/>
        </w:rPr>
      </w:pPr>
      <w:r>
        <w:rPr>
          <w:rFonts w:hint="eastAsia" w:ascii="宋体" w:hAnsi="宋体" w:cs="宋体"/>
          <w:bCs/>
          <w:szCs w:val="21"/>
          <w:highlight w:val="none"/>
        </w:rPr>
        <w:t xml:space="preserve">投标人为本项目配备的专职设备服务工程师，具有原厂培训资质证明的，每有一个得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rFonts w:hint="eastAsia" w:ascii="宋体" w:hAnsi="宋体" w:cs="宋体"/>
          <w:bCs/>
          <w:szCs w:val="21"/>
          <w:highlight w:val="none"/>
          <w:lang w:val="en-US" w:eastAsia="zh-CN"/>
        </w:rPr>
        <w:t xml:space="preserve">最高得8分</w:t>
      </w:r>
      <w:r>
        <w:rPr>
          <w:rFonts w:hint="eastAsia" w:ascii="宋体" w:hAnsi="宋体" w:cs="宋体"/>
          <w:bCs/>
          <w:szCs w:val="21"/>
          <w:highlight w:val="none"/>
        </w:rPr>
        <w:t xml:space="preserve">（注：提供维修培训证书扫描件加盖投标单位公章，投标人如为具备厂家授权的代理商，或者与生产厂家签署维修服务合作协议的可使用厂家工程师），投标时提供效期内的原厂维修工程师资质证书扫描件，未提供者不得分；</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（四）、服务方案（28分）</w:t>
      </w:r>
      <w:r/>
    </w:p>
    <w:p>
      <w:pPr>
        <w:ind w:firstLine="482"/>
        <w:spacing w:line="360" w:lineRule="auto"/>
        <w:rPr>
          <w:rFonts w:hint="eastAsia" w:ascii="宋体" w:hAnsi="宋体" w:cs="宋体"/>
          <w:b/>
          <w:szCs w:val="21"/>
          <w:highlight w:val="none"/>
          <w:lang w:eastAsia="zh-CN"/>
        </w:rPr>
      </w:pPr>
      <w:r>
        <w:rPr>
          <w:rFonts w:hint="eastAsia" w:ascii="宋体" w:hAnsi="宋体" w:cs="宋体"/>
          <w:b/>
          <w:szCs w:val="21"/>
          <w:highlight w:val="none"/>
          <w:lang w:eastAsia="zh-CN"/>
        </w:rPr>
        <w:t xml:space="preserve">1、保修方案：根据投标人针对本项目所提供的维修维护实施方案进行综合评分（7分）：</w:t>
      </w:r>
      <w:r/>
    </w:p>
    <w:p>
      <w:pPr>
        <w:ind w:firstLine="482"/>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若方案</w:t>
      </w:r>
      <w:r>
        <w:rPr>
          <w:rFonts w:hint="eastAsia" w:ascii="宋体" w:hAnsi="宋体" w:cs="宋体"/>
          <w:bCs/>
          <w:szCs w:val="21"/>
          <w:highlight w:val="none"/>
          <w:lang w:eastAsia="zh-CN"/>
        </w:rPr>
        <w:t xml:space="preserve">内容科学合理、完整且切实可行，能够全面覆盖项目需求，确保各项维修维护工作顺利进行，则给予7分；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若方案内容虽然完整，但在科学合理性及可行性方面存在一定欠缺，未能完全满足项目要求，则给予5分；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若方案内容不够全面，未能涵盖所有必要的维修维护环节，则给予3分；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若投标人未提供任何服务方案，则不得分。</w:t>
      </w:r>
      <w:r/>
    </w:p>
    <w:p>
      <w:pPr>
        <w:numPr>
          <w:ilvl w:val="0"/>
          <w:numId w:val="0"/>
        </w:numPr>
        <w:ind w:firstLine="482"/>
        <w:spacing w:line="360" w:lineRule="auto"/>
        <w:rPr>
          <w:rFonts w:hint="eastAsia" w:ascii="宋体" w:hAnsi="宋体" w:cs="宋体"/>
          <w:b/>
          <w:szCs w:val="21"/>
          <w:highlight w:val="none"/>
          <w:lang w:eastAsia="zh-CN"/>
        </w:rPr>
      </w:pPr>
      <w:r>
        <w:rPr>
          <w:rFonts w:hint="eastAsia" w:ascii="宋体" w:hAnsi="宋体" w:cs="宋体" w:eastAsiaTheme="minorEastAsia"/>
          <w:b/>
          <w:sz w:val="21"/>
          <w:szCs w:val="21"/>
          <w:highlight w:val="none"/>
          <w:lang w:val="en-US" w:eastAsia="zh-CN" w:bidi="ar-SA"/>
        </w:rPr>
        <w:t xml:space="preserve">2、</w:t>
      </w:r>
      <w:r>
        <w:rPr>
          <w:rFonts w:hint="eastAsia" w:ascii="宋体" w:hAnsi="宋体" w:cs="宋体"/>
          <w:b/>
          <w:szCs w:val="21"/>
          <w:highlight w:val="none"/>
          <w:lang w:eastAsia="zh-CN"/>
        </w:rPr>
        <w:t xml:space="preserve">应急预案：投标人必须具备应对突发事件的应急预案能力，包括但不限于遭遇恶劣天气、医院临时要求等突发情况，根据应急预案的综合评分（7分）：</w:t>
      </w:r>
      <w:r/>
    </w:p>
    <w:p>
      <w:pPr>
        <w:numPr>
          <w:ilvl w:val="0"/>
          <w:numId w:val="0"/>
        </w:numPr>
        <w:ind w:firstLine="482"/>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w:t>
      </w:r>
      <w:r>
        <w:rPr>
          <w:rFonts w:hint="eastAsia" w:ascii="宋体" w:hAnsi="宋体" w:cs="宋体"/>
          <w:bCs/>
          <w:szCs w:val="21"/>
          <w:highlight w:val="none"/>
          <w:lang w:eastAsia="zh-CN"/>
        </w:rPr>
        <w:t xml:space="preserve">方案全面、合理，具有明确的针对性，科学合理且具备高度可执行性，能够有效应对各类突发事件，则给予7分；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若方案在全面性方面考虑相对不足，但依旧具备一定的可行性，能够基本应对突发事件，则给予5分；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若方案内容不够全面，未能涵盖所有可能的突发情况，则给予3分；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若投标人未提供任何应急预案，则不得分。</w:t>
      </w:r>
      <w:r/>
    </w:p>
    <w:p>
      <w:pPr>
        <w:numPr>
          <w:ilvl w:val="0"/>
          <w:numId w:val="0"/>
        </w:numPr>
        <w:ind w:firstLine="482"/>
        <w:spacing w:line="360" w:lineRule="auto"/>
        <w:rPr>
          <w:rFonts w:hint="eastAsia" w:ascii="宋体" w:hAnsi="宋体" w:cs="宋体"/>
          <w:b/>
          <w:szCs w:val="21"/>
          <w:highlight w:val="none"/>
          <w:lang w:eastAsia="zh-CN"/>
        </w:rPr>
      </w:pPr>
      <w:r>
        <w:rPr>
          <w:rFonts w:hint="eastAsia" w:ascii="宋体" w:hAnsi="宋体" w:cs="宋体" w:eastAsiaTheme="minorEastAsia"/>
          <w:b/>
          <w:sz w:val="21"/>
          <w:szCs w:val="21"/>
          <w:highlight w:val="none"/>
          <w:lang w:val="en-US" w:eastAsia="zh-CN" w:bidi="ar-SA"/>
        </w:rPr>
        <w:t xml:space="preserve">3、</w:t>
      </w:r>
      <w:r>
        <w:rPr>
          <w:rFonts w:hint="eastAsia" w:ascii="宋体" w:hAnsi="宋体" w:cs="宋体"/>
          <w:b/>
          <w:szCs w:val="21"/>
          <w:highlight w:val="none"/>
          <w:lang w:eastAsia="zh-CN"/>
        </w:rPr>
        <w:t xml:space="preserve">质量管控：投标人必须拥有一系列确保服务质量的制度、实施方案和考核办法，根据质量管控制度的综合评审（7分）：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w:t>
      </w:r>
      <w:r>
        <w:rPr>
          <w:rFonts w:hint="eastAsia" w:ascii="宋体" w:hAnsi="宋体" w:cs="宋体"/>
          <w:bCs/>
          <w:szCs w:val="21"/>
          <w:highlight w:val="none"/>
          <w:lang w:eastAsia="zh-CN"/>
        </w:rPr>
        <w:t xml:space="preserve">方案全面、合理，具有明确的针对性，科学合理且具备高度可执行性，能够有效保障服务质量，则给予7分；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若方案在全面性方面考虑相对不足，但依旧具备一定的可行性，能够基本保障服务质量，则给予5分；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若方案内容不够全面，未能涵盖所有必要的质量管控环节，则给予3分；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若投标人未提供任何质量管控方案，则不得分。</w:t>
      </w:r>
      <w:r/>
    </w:p>
    <w:p>
      <w:pPr>
        <w:ind w:firstLine="482"/>
        <w:spacing w:line="360" w:lineRule="auto"/>
        <w:rPr>
          <w:rFonts w:hint="eastAsia" w:ascii="宋体" w:hAnsi="宋体" w:cs="宋体"/>
          <w:b/>
          <w:szCs w:val="21"/>
          <w:highlight w:val="none"/>
          <w:lang w:eastAsia="zh-CN"/>
        </w:rPr>
      </w:pPr>
      <w:r>
        <w:rPr>
          <w:rFonts w:hint="eastAsia" w:ascii="宋体" w:hAnsi="宋体" w:cs="宋体"/>
          <w:b/>
          <w:szCs w:val="21"/>
          <w:highlight w:val="none"/>
          <w:lang w:val="en-US" w:eastAsia="zh-CN"/>
        </w:rPr>
        <w:t xml:space="preserve">4、</w:t>
      </w:r>
      <w:r>
        <w:rPr>
          <w:rFonts w:hint="eastAsia" w:ascii="宋体" w:hAnsi="宋体" w:cs="宋体"/>
          <w:b/>
          <w:szCs w:val="21"/>
          <w:highlight w:val="none"/>
          <w:lang w:eastAsia="zh-CN"/>
        </w:rPr>
        <w:t xml:space="preserve">工程师管理制度及安全管理方案：投标人必须针对本项目制定拟派人员的管理制度和人员安全管理方案，根据管理制度及安全管理方案的综合评分（7分）：</w:t>
      </w:r>
      <w:r/>
    </w:p>
    <w:p>
      <w:pPr>
        <w:ind w:firstLine="482"/>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w:t>
      </w:r>
      <w:r>
        <w:rPr>
          <w:rFonts w:hint="eastAsia" w:ascii="宋体" w:hAnsi="宋体" w:cs="宋体"/>
          <w:bCs/>
          <w:szCs w:val="21"/>
          <w:highlight w:val="none"/>
          <w:lang w:eastAsia="zh-CN"/>
        </w:rPr>
        <w:t xml:space="preserve">方案全面、合理，具有明确的针对性，科学合理且具备高度可执行性，能够有效管理和保障人员安全，则给予7分；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若方案在全面性方面考虑相对不足，但依旧具备一定的可行性，能够基本管理和保障人员安全，则给予5分；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若方案内容不够全面，未能涵盖所有必要的管理和安全环节，则给予3分；</w:t>
      </w:r>
      <w:r/>
    </w:p>
    <w:p>
      <w:pPr>
        <w:ind w:firstLine="482"/>
        <w:spacing w:line="360" w:lineRule="auto"/>
        <w:rPr>
          <w:rFonts w:hint="eastAsia" w:ascii="宋体" w:hAnsi="宋体" w:cs="宋体"/>
          <w:b/>
          <w:szCs w:val="21"/>
          <w:highlight w:val="none"/>
          <w:lang w:eastAsia="zh-CN"/>
        </w:rPr>
      </w:pPr>
      <w:r>
        <w:rPr>
          <w:rFonts w:hint="eastAsia" w:ascii="宋体" w:hAnsi="宋体" w:cs="宋体"/>
          <w:bCs/>
          <w:szCs w:val="21"/>
          <w:highlight w:val="none"/>
          <w:lang w:eastAsia="zh-CN"/>
        </w:rPr>
        <w:t xml:space="preserve">若投标人未提供任何管理制度及安全管理方案，则不得分。</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（五）、业绩（</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分）</w:t>
      </w:r>
      <w:r/>
    </w:p>
    <w:p>
      <w:pPr>
        <w:ind w:firstLine="480"/>
        <w:spacing w:line="360" w:lineRule="auto"/>
        <w:rPr>
          <w:rFonts w:hint="eastAsia" w:ascii="宋体" w:hAnsi="宋体" w:cs="宋体"/>
          <w:color w:val="auto"/>
          <w:szCs w:val="21"/>
          <w:highlight w:val="none"/>
        </w:rPr>
      </w:pPr>
      <w:r>
        <w:rPr>
          <w:rFonts w:hint="eastAsia" w:ascii="宋体" w:hAnsi="宋体" w:cs="宋体"/>
          <w:szCs w:val="21"/>
          <w:highlight w:val="none"/>
        </w:rPr>
        <w:t xml:space="preserve">投标人</w:t>
      </w:r>
      <w:r>
        <w:rPr>
          <w:rFonts w:hint="eastAsia" w:ascii="宋体" w:hAnsi="宋体" w:cs="宋体"/>
          <w:szCs w:val="21"/>
          <w:highlight w:val="none"/>
          <w:lang w:val="en-US" w:eastAsia="zh-CN"/>
        </w:rPr>
        <w:t xml:space="preserve">每</w:t>
      </w:r>
      <w:r>
        <w:rPr>
          <w:rFonts w:hint="eastAsia" w:ascii="宋体" w:hAnsi="宋体" w:cs="宋体"/>
          <w:szCs w:val="21"/>
          <w:highlight w:val="none"/>
        </w:rPr>
        <w:t xml:space="preserve">提供一份</w:t>
      </w:r>
      <w:r>
        <w:rPr>
          <w:rFonts w:hint="eastAsia" w:ascii="宋体" w:hAnsi="宋体" w:cs="宋体"/>
          <w:szCs w:val="21"/>
          <w:highlight w:val="none"/>
          <w:lang w:val="en-US" w:eastAsia="zh-CN"/>
        </w:rPr>
        <w:t xml:space="preserve">自2023年1月1日</w:t>
      </w:r>
      <w:r>
        <w:rPr>
          <w:rFonts w:hint="eastAsia" w:ascii="宋体" w:hAnsi="宋体" w:cs="宋体"/>
          <w:szCs w:val="21"/>
          <w:highlight w:val="none"/>
        </w:rPr>
        <w:t xml:space="preserve">（以合同签约时间为准)</w:t>
      </w:r>
      <w:r>
        <w:rPr>
          <w:rFonts w:hint="eastAsia" w:ascii="宋体" w:hAnsi="宋体" w:cs="宋体"/>
          <w:szCs w:val="21"/>
          <w:highlight w:val="none"/>
          <w:lang w:val="en-US" w:eastAsia="zh-CN"/>
        </w:rPr>
        <w:t xml:space="preserve">以来类似</w:t>
      </w:r>
      <w:r>
        <w:rPr>
          <w:rFonts w:hint="eastAsia" w:ascii="宋体" w:hAnsi="宋体" w:cs="宋体"/>
          <w:szCs w:val="21"/>
          <w:highlight w:val="none"/>
        </w:rPr>
        <w:t xml:space="preserve">轨道物流系统维保或安装维修</w:t>
      </w:r>
      <w:r>
        <w:rPr>
          <w:rFonts w:hint="eastAsia" w:ascii="宋体" w:hAnsi="宋体" w:cs="宋体"/>
          <w:szCs w:val="21"/>
          <w:highlight w:val="none"/>
          <w:lang w:val="en-US" w:eastAsia="zh-CN"/>
        </w:rPr>
        <w:t xml:space="preserve">业绩</w:t>
      </w:r>
      <w:r>
        <w:rPr>
          <w:rFonts w:hint="eastAsia" w:ascii="宋体" w:hAnsi="宋体" w:cs="宋体"/>
          <w:szCs w:val="21"/>
          <w:highlight w:val="none"/>
        </w:rPr>
        <w:t xml:space="preserve">合同得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分，最多得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分。（投标文件需提供合同</w:t>
      </w:r>
      <w:r>
        <w:rPr>
          <w:rFonts w:hint="eastAsia" w:ascii="宋体" w:hAnsi="宋体" w:cs="宋体"/>
          <w:szCs w:val="21"/>
          <w:highlight w:val="none"/>
          <w:lang w:val="en-US" w:eastAsia="zh-CN"/>
        </w:rPr>
        <w:t xml:space="preserve">扫描件</w:t>
      </w:r>
      <w:r>
        <w:rPr>
          <w:rFonts w:hint="eastAsia" w:ascii="宋体" w:hAnsi="宋体" w:cs="宋体"/>
          <w:szCs w:val="21"/>
          <w:highlight w:val="none"/>
        </w:rPr>
        <w:t xml:space="preserve">，合同须同时包含如下关键信息:(1)项目名称(2)主要标的物(3)合同双方公章(4)签订时间，否则评标时评委会有权不予认可）。</w:t>
      </w:r>
      <w:r/>
    </w:p>
    <w:p>
      <w:pPr>
        <w:numPr>
          <w:ilvl w:val="0"/>
          <w:numId w:val="3"/>
        </w:numPr>
        <w:ind w:firstLine="480"/>
        <w:spacing w:line="360" w:lineRule="auto"/>
        <w:rPr>
          <w:rFonts w:hint="eastAsia" w:ascii="宋体" w:hAnsi="宋体" w:cs="宋体"/>
          <w:b/>
          <w:szCs w:val="21"/>
          <w:highlight w:val="none"/>
        </w:rPr>
      </w:pPr>
      <w:r>
        <w:rPr>
          <w:rFonts w:hint="eastAsia" w:ascii="宋体" w:hAnsi="宋体" w:cs="宋体"/>
          <w:color w:val="auto"/>
          <w:szCs w:val="21"/>
          <w:highlight w:val="none"/>
          <w:lang w:eastAsia="zh-CN"/>
        </w:rPr>
        <w:t xml:space="preserve">、</w:t>
      </w:r>
      <w:r>
        <w:rPr>
          <w:rFonts w:hint="eastAsia" w:ascii="宋体" w:hAnsi="宋体" w:cs="宋体"/>
          <w:b/>
          <w:szCs w:val="21"/>
          <w:highlight w:val="none"/>
        </w:rPr>
        <w:t xml:space="preserve">资质证书</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2分</w:t>
      </w:r>
      <w:r>
        <w:rPr>
          <w:rFonts w:hint="eastAsia" w:ascii="宋体" w:hAnsi="宋体" w:cs="宋体"/>
          <w:b/>
          <w:szCs w:val="21"/>
          <w:highlight w:val="none"/>
          <w:lang w:eastAsia="zh-CN"/>
        </w:rPr>
        <w:t xml:space="preserve">）</w:t>
      </w:r>
      <w:r/>
    </w:p>
    <w:p>
      <w:pPr>
        <w:numPr>
          <w:ilvl w:val="0"/>
          <w:numId w:val="0"/>
        </w:numPr>
        <w:ind w:firstLine="422"/>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1、供应商提供有效的建筑机电安装工程专业承包三级（或以上）资质证书或建筑机电工程专业承包乙级（或以上）资质证书的得1分，未提供不得分。</w:t>
      </w:r>
      <w:r/>
    </w:p>
    <w:p>
      <w:pPr>
        <w:numPr>
          <w:ilvl w:val="0"/>
          <w:numId w:val="0"/>
        </w:numPr>
        <w:ind w:left="527" w:firstLine="0"/>
        <w:spacing w:line="360" w:lineRule="auto"/>
        <w:rPr>
          <w:rFonts w:hint="default" w:ascii="宋体" w:hAnsi="宋体" w:cs="宋体"/>
          <w:b/>
          <w:szCs w:val="21"/>
          <w:highlight w:val="none"/>
          <w:lang w:val="en-US" w:eastAsia="zh-CN"/>
        </w:rPr>
      </w:pPr>
      <w:r>
        <w:rPr>
          <w:rFonts w:hint="eastAsia" w:ascii="宋体" w:hAnsi="宋体" w:cs="宋体"/>
          <w:b/>
          <w:sz w:val="21"/>
          <w:szCs w:val="21"/>
          <w:highlight w:val="none"/>
          <w:lang w:val="en-US" w:eastAsia="zh-CN" w:bidi="ar-SA"/>
        </w:rPr>
        <w:t xml:space="preserve">2</w:t>
      </w:r>
      <w:r>
        <w:rPr>
          <w:rFonts w:hint="default" w:ascii="宋体" w:hAnsi="宋体" w:eastAsia="宋体" w:cs="宋体"/>
          <w:b/>
          <w:sz w:val="21"/>
          <w:szCs w:val="21"/>
          <w:highlight w:val="none"/>
          <w:lang w:val="en-US" w:eastAsia="zh-CN" w:bidi="ar-SA"/>
        </w:rPr>
        <w:t xml:space="preserve">、</w:t>
      </w:r>
      <w:r>
        <w:rPr>
          <w:rFonts w:hint="eastAsia" w:ascii="宋体" w:hAnsi="宋体" w:cs="宋体"/>
          <w:b/>
          <w:szCs w:val="21"/>
          <w:highlight w:val="none"/>
          <w:lang w:val="en-US" w:eastAsia="zh-CN"/>
        </w:rPr>
        <w:t xml:space="preserve">供应商提供有效的</w:t>
      </w:r>
      <w:r>
        <w:rPr>
          <w:rFonts w:hint="default" w:ascii="宋体" w:hAnsi="宋体" w:cs="宋体"/>
          <w:b/>
          <w:szCs w:val="21"/>
          <w:highlight w:val="none"/>
          <w:lang w:val="en-US" w:eastAsia="zh-CN"/>
        </w:rPr>
        <w:t xml:space="preserve">行政主管部门核发的安全生产许可证书</w:t>
      </w:r>
      <w:r>
        <w:rPr>
          <w:rFonts w:hint="eastAsia" w:ascii="宋体" w:hAnsi="宋体" w:cs="宋体"/>
          <w:b/>
          <w:szCs w:val="21"/>
          <w:highlight w:val="none"/>
          <w:lang w:val="en-US" w:eastAsia="zh-CN"/>
        </w:rPr>
        <w:t xml:space="preserve">的得1分，未提供不得分。</w:t>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pStyle w:val="962"/>
        <w:rPr>
          <w:color w:val="auto"/>
          <w:sz w:val="22"/>
          <w:highlight w:val="none"/>
        </w:rPr>
      </w:pPr>
      <w:r>
        <w:rPr>
          <w:color w:val="auto"/>
          <w:sz w:val="22"/>
          <w:highlight w:val="none"/>
        </w:rPr>
      </w:r>
      <w:r/>
    </w:p>
    <w:p>
      <w:pPr>
        <w:numPr>
          <w:ilvl w:val="0"/>
          <w:numId w:val="4"/>
        </w:numPr>
        <w:jc w:val="center"/>
        <w:spacing w:line="360" w:lineRule="auto"/>
        <w:rPr>
          <w:rFonts w:hint="eastAsia" w:ascii="黑体" w:hAnsi="黑体" w:eastAsia="黑体" w:cs="黑体"/>
          <w:b/>
          <w:color w:val="auto"/>
          <w:sz w:val="32"/>
          <w:szCs w:val="32"/>
          <w:highlight w:val="none"/>
        </w:rPr>
        <w:sectPr>
          <w:footnotePr/>
          <w:endnotePr/>
          <w:type w:val="nextPage"/>
          <w:pgSz w:w="11906" w:h="16838" w:orient="portrait"/>
          <w:pgMar w:top="1560" w:right="851" w:bottom="567" w:left="1134" w:header="1247" w:footer="567" w:gutter="0"/>
          <w:cols w:num="1" w:sep="0" w:space="720" w:equalWidth="1"/>
          <w:docGrid w:linePitch="360"/>
        </w:sectPr>
      </w:pPr>
      <w:r>
        <w:rPr>
          <w:rFonts w:hint="eastAsia" w:ascii="黑体" w:hAnsi="黑体" w:eastAsia="黑体" w:cs="黑体"/>
          <w:b/>
          <w:color w:val="auto"/>
          <w:sz w:val="32"/>
          <w:szCs w:val="32"/>
          <w:highlight w:val="none"/>
        </w:rPr>
      </w:r>
      <w:bookmarkEnd w:id="116"/>
      <w:r/>
      <w:r/>
    </w:p>
    <w:p>
      <w:pPr>
        <w:numPr>
          <w:ilvl w:val="0"/>
          <w:numId w:val="5"/>
        </w:numPr>
        <w:jc w:val="center"/>
        <w:spacing w:line="360" w:lineRule="auto"/>
        <w:rPr>
          <w:rFonts w:hint="eastAsia" w:ascii="黑体" w:hAnsi="黑体" w:eastAsia="黑体" w:cs="黑体"/>
          <w:b/>
          <w:color w:val="auto"/>
          <w:sz w:val="32"/>
          <w:szCs w:val="32"/>
          <w:highlight w:val="none"/>
        </w:rPr>
      </w:pPr>
      <w:r>
        <w:rPr>
          <w:rFonts w:hint="eastAsia" w:ascii="黑体" w:hAnsi="黑体" w:eastAsia="黑体" w:cs="黑体"/>
          <w:b/>
          <w:color w:val="000000"/>
          <w:sz w:val="32"/>
          <w:szCs w:val="32"/>
          <w:highlight w:val="none"/>
        </w:rPr>
        <w:t xml:space="preserve">采购需求</w:t>
      </w:r>
      <w:r/>
    </w:p>
    <w:p>
      <w:pPr>
        <w:pStyle w:val="1210"/>
        <w:numPr>
          <w:ilvl w:val="0"/>
          <w:numId w:val="0"/>
        </w:numPr>
        <w:ind w:left="720" w:hanging="720"/>
        <w:keepLines w:val="0"/>
        <w:keepNext w:val="0"/>
        <w:pageBreakBefore w:val="0"/>
        <w:spacing w:after="0" w:line="360" w:lineRule="auto"/>
        <w:rPr>
          <w:rFonts w:hint="eastAsia" w:ascii="宋体" w:hAnsi="宋体" w:eastAsia="宋体" w:cs="宋体"/>
          <w:sz w:val="21"/>
          <w:szCs w:val="21"/>
          <w:highlight w:val="none"/>
        </w:rPr>
      </w:pPr>
      <w:r/>
      <w:bookmarkStart w:id="117" w:name="_Toc19691"/>
      <w:r/>
      <w:bookmarkStart w:id="118" w:name="_Toc11326"/>
      <w:r/>
      <w:bookmarkStart w:id="119" w:name="_Toc19"/>
      <w:r/>
      <w:bookmarkStart w:id="120" w:name="_Toc11219"/>
      <w:r>
        <w:rPr>
          <w:rFonts w:hint="default" w:ascii="宋体" w:hAnsi="宋体" w:eastAsia="宋体" w:cs="宋体"/>
          <w:sz w:val="21"/>
          <w:szCs w:val="21"/>
          <w:highlight w:val="none"/>
          <w:lang w:val="en-US" w:eastAsia="zh-CN" w:bidi="ar-SA"/>
        </w:rPr>
        <w:t xml:space="preserve">一、</w:t>
      </w:r>
      <w:r>
        <w:rPr>
          <w:rFonts w:hint="eastAsia" w:ascii="宋体" w:hAnsi="宋体" w:eastAsia="宋体" w:cs="宋体"/>
          <w:sz w:val="21"/>
          <w:szCs w:val="21"/>
          <w:highlight w:val="none"/>
        </w:rPr>
        <w:t xml:space="preserve">项目基本情况</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南京鼓楼医院江北院区轨道物流系统维保项目，现场共计39个站点、54辆运载小车、1辆清洁小车、1套控制系统，品牌为德列孚。</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主要包含南京鼓楼医院江北院区轨道物流系统正常运行所需的所有日常和定期的维护、维修所需的材料设备和工具等工作。供应商需安排2名驻地工程师驻场服务，全面负责维保服务内容。本次轨道物流系统采购方式为全包，服务周期为3年，期间产生的所有维</w:t>
      </w:r>
      <w:r>
        <w:rPr>
          <w:rFonts w:hint="eastAsia" w:ascii="宋体" w:hAnsi="宋体" w:eastAsia="宋体" w:cs="宋体"/>
          <w:sz w:val="21"/>
          <w:szCs w:val="21"/>
          <w:highlight w:val="none"/>
          <w:lang w:val="en-US" w:eastAsia="zh-CN"/>
        </w:rPr>
        <w:t xml:space="preserve">修和配件</w:t>
      </w:r>
      <w:r>
        <w:rPr>
          <w:rFonts w:hint="eastAsia" w:ascii="宋体" w:hAnsi="宋体" w:eastAsia="宋体" w:cs="宋体"/>
          <w:sz w:val="21"/>
          <w:szCs w:val="21"/>
          <w:highlight w:val="none"/>
        </w:rPr>
        <w:t xml:space="preserve">费用由供应商自行承担。</w:t>
      </w:r>
      <w:r/>
    </w:p>
    <w:p>
      <w:pPr>
        <w:jc w:val="left"/>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en-US" w:bidi="zh-CN"/>
        </w:rPr>
        <w:t xml:space="preserve">★</w:t>
      </w:r>
      <w:r>
        <w:rPr>
          <w:rFonts w:hint="eastAsia" w:ascii="宋体" w:hAnsi="宋体" w:cs="宋体"/>
          <w:sz w:val="21"/>
          <w:szCs w:val="21"/>
          <w:highlight w:val="none"/>
          <w:lang w:val="en-US" w:bidi="zh-CN"/>
        </w:rPr>
        <w:t xml:space="preserve">二</w:t>
      </w:r>
      <w:r>
        <w:rPr>
          <w:rFonts w:hint="eastAsia" w:ascii="宋体" w:hAnsi="宋体" w:eastAsia="宋体" w:cs="宋体"/>
          <w:sz w:val="21"/>
          <w:szCs w:val="21"/>
          <w:highlight w:val="none"/>
          <w:lang w:val="zh-CN" w:bidi="zh-CN"/>
        </w:rPr>
        <w:t xml:space="preserve">、主要报价内容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本次维保方式：全包（包含</w:t>
      </w:r>
      <w:r>
        <w:rPr>
          <w:rFonts w:hint="eastAsia" w:ascii="宋体" w:hAnsi="宋体" w:eastAsia="宋体" w:cs="宋体"/>
          <w:sz w:val="21"/>
          <w:szCs w:val="21"/>
          <w:highlight w:val="none"/>
          <w:lang w:val="en-US" w:eastAsia="zh-CN"/>
        </w:rPr>
        <w:t xml:space="preserve">小车、</w:t>
      </w:r>
      <w:r>
        <w:rPr>
          <w:rFonts w:hint="eastAsia" w:ascii="宋体" w:hAnsi="宋体" w:eastAsia="宋体" w:cs="宋体"/>
          <w:sz w:val="21"/>
          <w:szCs w:val="21"/>
          <w:highlight w:val="none"/>
        </w:rPr>
        <w:t xml:space="preserve">轨道、转轨器及站点维修）。供应商报价含所有系统的硬件、人员费、机械费、维修保养工具费、维保配件费、保险费、加班费、交通食宿费、安装调试和培训费、规费、利润、管理费等可能产生的一切费用。</w:t>
      </w:r>
      <w:r/>
    </w:p>
    <w:p>
      <w:pPr>
        <w:jc w:val="left"/>
        <w:keepLines w:val="0"/>
        <w:keepNext w:val="0"/>
        <w:pageBreakBefore w:val="0"/>
        <w:spacing w:line="360" w:lineRule="auto"/>
        <w:rPr>
          <w:rFonts w:hint="eastAsia" w:ascii="宋体" w:hAnsi="宋体" w:eastAsia="宋体" w:cs="宋体"/>
          <w:sz w:val="21"/>
          <w:szCs w:val="21"/>
          <w:highlight w:val="none"/>
          <w:lang w:bidi="zh-CN"/>
        </w:rPr>
      </w:pPr>
      <w:r>
        <w:rPr>
          <w:rFonts w:hint="eastAsia" w:ascii="宋体" w:hAnsi="宋体" w:cs="宋体"/>
          <w:sz w:val="21"/>
          <w:szCs w:val="21"/>
          <w:highlight w:val="none"/>
          <w:lang w:val="en-US" w:bidi="zh-CN"/>
        </w:rPr>
        <w:t xml:space="preserve">三</w:t>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bidi="zh-CN"/>
        </w:rPr>
        <w:t xml:space="preserve">轨道物流系统现状</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总计有39个站点，54辆运载小车及1辆清洁小车，控制系统1套，品牌为德列孚。</w:t>
      </w:r>
      <w:r/>
    </w:p>
    <w:tbl>
      <w:tblPr>
        <w:tblStyle w:val="9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0"/>
        <w:gridCol w:w="2600"/>
        <w:gridCol w:w="2530"/>
        <w:gridCol w:w="2531"/>
      </w:tblGrid>
      <w:tr>
        <w:trPr/>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小车类型</w:t>
            </w:r>
            <w:r/>
          </w:p>
        </w:tc>
        <w:tc>
          <w:tcPr>
            <w:tcW w:w="1275"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尺寸(mm)</w:t>
            </w:r>
            <w:r/>
          </w:p>
        </w:tc>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p>
        </w:tc>
        <w:tc>
          <w:tcPr>
            <w:tcW w:w="1241" w:type="pct"/>
            <w:textDirection w:val="lrTb"/>
            <w:noWrap w:val="false"/>
          </w:tcPr>
          <w:p>
            <w:pPr>
              <w:jc w:val="center"/>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r>
      <w:tr>
        <w:trPr/>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运载小车</w:t>
            </w:r>
            <w:r/>
          </w:p>
        </w:tc>
        <w:tc>
          <w:tcPr>
            <w:tcW w:w="1275"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185*503*415</w:t>
            </w:r>
            <w:r/>
          </w:p>
        </w:tc>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德列孚</w:t>
            </w:r>
            <w:r/>
          </w:p>
        </w:tc>
        <w:tc>
          <w:tcPr>
            <w:tcW w:w="1241" w:type="pct"/>
            <w:textDirection w:val="lrTb"/>
            <w:noWrap w:val="false"/>
          </w:tcPr>
          <w:p>
            <w:pPr>
              <w:jc w:val="center"/>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w:t>
            </w:r>
            <w:r/>
          </w:p>
        </w:tc>
      </w:tr>
      <w:tr>
        <w:trPr/>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清洁小车</w:t>
            </w:r>
            <w:r/>
          </w:p>
        </w:tc>
        <w:tc>
          <w:tcPr>
            <w:tcW w:w="1275"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185*503*415</w:t>
            </w:r>
            <w:r/>
          </w:p>
        </w:tc>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德列孚</w:t>
            </w:r>
            <w:r/>
          </w:p>
        </w:tc>
        <w:tc>
          <w:tcPr>
            <w:tcW w:w="1241" w:type="pct"/>
            <w:textDirection w:val="lrTb"/>
            <w:noWrap w:val="false"/>
          </w:tcPr>
          <w:p>
            <w:pPr>
              <w:jc w:val="center"/>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bl>
    <w:p>
      <w:pPr>
        <w:ind w:firstLine="420"/>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站点信息如下</w:t>
      </w:r>
      <w:r/>
    </w:p>
    <w:tbl>
      <w:tblPr>
        <w:tblStyle w:val="95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5077"/>
        <w:gridCol w:w="4021"/>
      </w:tblGrid>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序号</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科室</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维保日期</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住院药房</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急诊药房</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急诊检验</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4</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急诊抢救</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EICU</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消毒供应室清洁区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消毒供应室污染区（未启用）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静配中心（未启用）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A20病区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10</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体检中心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内镜中心（未启用）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ICU</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手术室</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14</w:t>
            </w:r>
            <w:r/>
          </w:p>
        </w:tc>
        <w:tc>
          <w:tcPr>
            <w:tcW w:w="2490" w:type="pct"/>
            <w:textDirection w:val="lrTb"/>
            <w:noWrap w:val="false"/>
          </w:tcPr>
          <w:p>
            <w:pPr>
              <w:jc w:val="center"/>
              <w:keepLines w:val="0"/>
              <w:keepNext w:val="0"/>
              <w:pageBreakBefore w:val="0"/>
              <w:spacing w:line="360" w:lineRule="auto"/>
              <w:tabs>
                <w:tab w:val="left" w:pos="767" w:leader="none"/>
              </w:tabs>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病理科</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输血科</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A5口腔科（未启用）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A6日间病房</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A71病区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A72病区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A81病区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A82病区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A91病区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A92病区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24</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A101病区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A102病区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B1病区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2026.11.15-2029.5.22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B3病区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2026.11.15-2029.5.22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B4实验室</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B5一期临床1</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30</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B5一期临床2</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B61病区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B62病区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B71病区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34</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B72病区（未启用）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B81病区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B82病区（未启用）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B9生殖中心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B10生殖中心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B11生殖中心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bl>
    <w:p>
      <w:pPr>
        <w:keepLines w:val="0"/>
        <w:keepNext w:val="0"/>
        <w:pageBreakBefore w:val="0"/>
        <w:spacing w:line="360" w:lineRule="auto"/>
        <w:rPr>
          <w:rFonts w:hint="eastAsia" w:ascii="宋体" w:hAnsi="宋体" w:eastAsia="宋体" w:cs="宋体"/>
          <w:color w:val="000000" w:themeColor="text1"/>
          <w:sz w:val="21"/>
          <w:szCs w:val="21"/>
          <w:highlight w:val="none"/>
          <w:lang w:bidi="zh-CN"/>
          <w14:textFill>
            <w14:solidFill>
              <w14:schemeClr w14:val="tx1"/>
            </w14:solidFill>
          </w14:textFill>
        </w:rPr>
      </w:pPr>
      <w:r>
        <w:rPr>
          <w:rFonts w:hint="eastAsia" w:ascii="宋体" w:hAnsi="宋体" w:eastAsia="宋体" w:cs="宋体"/>
          <w:sz w:val="21"/>
          <w:szCs w:val="21"/>
          <w:highlight w:val="none"/>
          <w:lang w:val="zh-CN" w:bidi="zh-CN"/>
        </w:rPr>
        <w:t xml:space="preserve">备注：1.B1、B3轨道物流系统为新建，还在质保期内，维保时间为</w:t>
      </w:r>
      <w:r>
        <w:rPr>
          <w:rFonts w:hint="eastAsia" w:ascii="宋体" w:hAnsi="宋体" w:eastAsia="宋体" w:cs="宋体"/>
          <w:color w:val="000000" w:themeColor="text1"/>
          <w:sz w:val="21"/>
          <w:szCs w:val="21"/>
          <w:highlight w:val="none"/>
          <w:lang w:val="zh-CN" w:bidi="zh-CN"/>
          <w14:textFill>
            <w14:solidFill>
              <w14:schemeClr w14:val="tx1"/>
            </w14:solidFill>
          </w14:textFill>
        </w:rPr>
        <w:t xml:space="preserve">2026.11.15-2029.5.22。</w:t>
      </w:r>
      <w:r/>
    </w:p>
    <w:p>
      <w:pPr>
        <w:jc w:val="left"/>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四</w:t>
      </w:r>
      <w:r>
        <w:rPr>
          <w:rFonts w:hint="eastAsia" w:ascii="宋体" w:hAnsi="宋体" w:eastAsia="宋体" w:cs="宋体"/>
          <w:sz w:val="21"/>
          <w:szCs w:val="21"/>
          <w:highlight w:val="none"/>
          <w:lang w:val="zh-CN" w:bidi="zh-CN"/>
        </w:rPr>
        <w:t xml:space="preserve">、维保要求</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1、供应商需</w:t>
      </w:r>
      <w:r>
        <w:rPr>
          <w:rFonts w:hint="eastAsia" w:ascii="宋体" w:hAnsi="宋体" w:eastAsia="宋体" w:cs="宋体"/>
          <w:sz w:val="21"/>
          <w:szCs w:val="21"/>
          <w:highlight w:val="none"/>
        </w:rPr>
        <w:t xml:space="preserve">派遣2名驻院的负责人全面负责技术服务内容，提供驻场技术服务。要求全天候7×24小时在线技术服务支持，确认需要现场维修后15分钟内抵达现场维修，供应商接到医院的报修通知后，15分钟内应响应服务，如遇特殊情况经医院同意后可适当延后。对于不能当场解决的问题，应与医院协商确定处理故障日期及方案。</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每天不限次数的随叫随到的服务，维修服务中所产生的交通费，食宿费及全部技术费用均由供应商提供。</w:t>
      </w:r>
      <w:r/>
    </w:p>
    <w:p>
      <w:pPr>
        <w:numPr>
          <w:ilvl w:val="-1"/>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供应商须免费为医院提供确保整机正常和安全运行所需的原厂备品配件，</w:t>
      </w:r>
      <w:r>
        <w:rPr>
          <w:rFonts w:hint="eastAsia" w:ascii="宋体" w:hAnsi="宋体" w:cs="宋体"/>
          <w:sz w:val="21"/>
          <w:szCs w:val="21"/>
          <w:highlight w:val="none"/>
          <w:lang w:val="en-US" w:eastAsia="zh-CN"/>
        </w:rPr>
        <w:t xml:space="preserve">中标后供应配件时</w:t>
      </w:r>
      <w:r>
        <w:rPr>
          <w:rFonts w:hint="eastAsia" w:ascii="宋体" w:hAnsi="宋体" w:eastAsia="宋体" w:cs="宋体"/>
          <w:sz w:val="21"/>
          <w:szCs w:val="21"/>
          <w:highlight w:val="none"/>
        </w:rPr>
        <w:t xml:space="preserve">提供供应商向德列孚厂家的维修配件采购的供货证明。</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投标时提供承诺函，格式自拟</w:t>
      </w:r>
      <w:r>
        <w:rPr>
          <w:rFonts w:hint="eastAsia" w:ascii="宋体" w:hAnsi="宋体" w:cs="宋体"/>
          <w:sz w:val="21"/>
          <w:szCs w:val="21"/>
          <w:highlight w:val="none"/>
          <w:lang w:eastAsia="zh-CN"/>
        </w:rPr>
        <w:t xml:space="preserve">）</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rPr>
        <w:t xml:space="preserve">为保证医院轨道物流系统正常运行，供应商提供 24 小时值班热线电话，在设备遇到突发故障需要更换不可预见的配件时，供应商必须及时提供备件，常用易损件24小时必须到货，非易损件3天内到货（不含小车、轨道、转轨器、站点大修），供应商紧急提供备件排除故障，然后再进行详细记录。且供应商所提供的配件需为原厂配件。</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5、严格按照轨道物流维保内容规定的内容提供服务，并制定《产品保养年度作业计划表》对所列的项目进行保养工作，每次的维保记录需留存纸质文件存档，并双方确认签字，内容如下：</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1）日常的安全检测，预防性保养和维护，日常的检修；</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2）每月1次对系统主要部件的清洁、检测和维护；</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3）每季1次的系统清洁、检测和维护；</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4）每半年1次的系统完整的检测；</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供应商每月定期对所有轨道物流系统设备做全面的技术检测服务保养，每年12次预防性维修检查，认真作好各项维护周期排查工作，一旦检查出维护周期内易损耗材超时或异常立即更换配件，以确保机器正常运转。（所有维保操作规程均按照国家相关标准严格执行）。</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7、供应商须每周、每月、每季负责对医院轨道物流系统设备建立完整的保养维修记录档案，以备院方随时查阅。</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供应商每年不定期组织对医院轨道物流系统设备管理人员及各科室相关操作人员进行培训，主要内容包括设备安全操作规程、正常故障解除，应急预案，技术交流的学习讨论等（供应商方需承诺所有培训工作一律免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9、供应商在院方知晓并同意的情况下，不定期对系统的软件进行维护、升级。</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10、供应商在提供服务时，应严格遵守院方关于安全管理等有关的规章制度。</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11、供应商自行配备工作所需的工具及设备，保养及维修时设置现场安全警示标志，操作后及时清理产生的废弃物并妥善处理危险废弃物。</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12、供应商的远程监控系统平台必须保障平台信息数据的安全，未征得院方同意的前提下，不得透露相关数据。</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13、供应商提供驻地技术服务的时间为每周一至周五，5×8小时制，全年工作时间按法定国定工作时间确定。</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14、供应商须满足以下文档记录要求：</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(1)每1次例行巡检即预防性维护并提供例行巡检报告；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(2)每月的系统运行性能诊断并提供性能分析报告；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(3)每年提交1份系统运行年报；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(4)每次硬件故障处理后提供硬件处理和备件更换报告；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(5)服务年度期满前15天通知客户并完成年度现场维护，提供年度服务总结报告。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供应商应提供轨道物流系统应急预案，包括但不限提供不同场景、不同等级故障的应急措施、响应时间及保障方案，要求罗列不同场景和出现不同等级故障后如何应对和响应，以及对应的保障方案和应急措施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供应商应提供详细的、有计划的、全面统一的系统例检维护服务记录，消除系统隐患、提高系统效率、保障系统安全、加强系统管理，内容包括但不限于收录设备的错误记录，对指定的设备做定的保养，包括系统诊断、必要的机械设备、电子部件的调整和清洁，设备系统的更新和升级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供应商须做好轨道物流系统的每周定期巡检、维护保养、应急抢修工作，轨道小车、站点、转轨器的巡检至少每周1次，并做好相关记录，每月汇总并将工作记录在次月的第1工个作日12点前交至院方相关负责人，如有变动以医院要求为准；如有现场人员到场不及时，维修失误，未及时汇报故障情况等而影响医院正常工作的情况，每次罚款200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供应商在接到报修通知15分钟内赶到现场进行抢修（一般以电话、微信通知），一般故障在2小时内解决，如超过2小时未能解决故障，以书面通知解释原因，并根据具体故障原因作出零配件暂代等相应的应急处理措施，保证医院轨道物流系统能够正常使用。如有违规，每次罚款人民币500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19、值班期间，不得脱岗，认真值班，不得擅离职守。如有违规，每次罚款人民币 200元。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20、当院方接受相关检查时，维保单位须全面配合工作，一旦资料缺失或工作不达标，在接到整改通知书后必须立即整改完毕，如有整改不合格，每次罚款人民币1000~2000元。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21、院方管理人员抽查维护保养相关记录，如有缺失或不符合合同要求，每次罚款200元；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22、由于维保方未能履行合同职责造成院方损失的，维保方需承担相应的损失。</w:t>
      </w:r>
      <w:r/>
    </w:p>
    <w:p>
      <w:pPr>
        <w:jc w:val="left"/>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五</w:t>
      </w:r>
      <w:r>
        <w:rPr>
          <w:rFonts w:hint="eastAsia" w:ascii="宋体" w:hAnsi="宋体" w:eastAsia="宋体" w:cs="宋体"/>
          <w:sz w:val="21"/>
          <w:szCs w:val="21"/>
          <w:highlight w:val="none"/>
          <w:lang w:val="zh-CN" w:bidi="zh-CN"/>
        </w:rPr>
        <w:t xml:space="preserve">、维护保养内容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1、站点轨道清洁，安装检查。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2、站点屏幕显示及操作正常，到站信号报警正常，接线箱电气检查。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3、站点安全控制开关检查。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4、轨道安装检查（异响，连接片，齿条，摩擦条，吊筋及方钢）。</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5、小车各部位功能及外观检查（缓冲器，读码器，轮子，触点，电机，电子锁等）。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6、转轨器功能及外观检查（转轨器限位，马达，编码器等）。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7、转轨器滑轨除锈，上油。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8、防火窗功能及外观检查（防火窗，烟感，翻轨器等）。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9、防风窗动作检查及损耗件更换。</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10、其他为确保轨道物流小车正常运行而应当进行的清洁、检查、调整及保养工作。</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11、负责调换在服务期内因保养不当而损坏的零部件。</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12、供应商按《轨道物流小车保养内容及计划表》进行操作。</w:t>
      </w:r>
      <w:r/>
    </w:p>
    <w:p>
      <w:pPr>
        <w:ind w:firstLine="422"/>
        <w:jc w:val="center"/>
        <w:keepLines w:val="0"/>
        <w:keepNext w:val="0"/>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轨道物流小车保养内容及计划表</w:t>
      </w:r>
      <w:r/>
    </w:p>
    <w:tbl>
      <w:tblPr>
        <w:tblStyle w:val="927"/>
        <w:tblW w:w="9356" w:type="dxa"/>
        <w:tblInd w:w="108" w:type="dxa"/>
        <w:tblLayout w:type="fixed"/>
        <w:tblCellMar>
          <w:left w:w="108" w:type="dxa"/>
          <w:top w:w="0" w:type="dxa"/>
          <w:right w:w="108" w:type="dxa"/>
          <w:bottom w:w="0" w:type="dxa"/>
        </w:tblCellMar>
        <w:tblLook w:val="04A0" w:firstRow="1" w:lastRow="0" w:firstColumn="1" w:lastColumn="0" w:noHBand="0" w:noVBand="1"/>
      </w:tblPr>
      <w:tblGrid>
        <w:gridCol w:w="314"/>
        <w:gridCol w:w="457"/>
        <w:gridCol w:w="457"/>
        <w:gridCol w:w="457"/>
        <w:gridCol w:w="457"/>
        <w:gridCol w:w="3100"/>
        <w:gridCol w:w="4114"/>
      </w:tblGrid>
      <w:tr>
        <w:trPr>
          <w:trHeight w:val="705"/>
        </w:trPr>
        <w:tc>
          <w:tcPr>
            <w:shd w:val="clear" w:color="auto" w:fill="ffffff"/>
            <w:tcBorders>
              <w:top w:val="single" w:color="auto" w:sz="6" w:space="0"/>
              <w:left w:val="single" w:color="auto" w:sz="6" w:space="0"/>
              <w:bottom w:val="single" w:color="auto" w:sz="4" w:space="0"/>
              <w:right w:val="single" w:color="auto" w:sz="4" w:space="0"/>
            </w:tcBorders>
            <w:tcW w:w="314"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部位</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周</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月</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季</w:t>
            </w:r>
            <w:r/>
          </w:p>
        </w:tc>
        <w:tc>
          <w:tcPr>
            <w:shd w:val="clear" w:color="auto" w:fill="ffffff"/>
            <w:tcBorders>
              <w:top w:val="single" w:color="auto" w:sz="6" w:space="0"/>
              <w:left w:val="none" w:color="000000" w:sz="4" w:space="0"/>
              <w:bottom w:val="single" w:color="auto" w:sz="4" w:space="0"/>
              <w:right w:val="single" w:color="auto" w:sz="4" w:space="0"/>
            </w:tcBorders>
            <w:tcW w:w="310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维护内容</w:t>
            </w:r>
            <w:r/>
          </w:p>
        </w:tc>
        <w:tc>
          <w:tcPr>
            <w:shd w:val="clear" w:color="auto" w:fill="ffffff"/>
            <w:tcBorders>
              <w:top w:val="single" w:color="auto" w:sz="6" w:space="0"/>
              <w:left w:val="none" w:color="000000" w:sz="4" w:space="0"/>
              <w:bottom w:val="single" w:color="auto" w:sz="4" w:space="0"/>
              <w:right w:val="single" w:color="auto" w:sz="6" w:space="0"/>
            </w:tcBorders>
            <w:tcW w:w="4114"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维护标准</w:t>
            </w:r>
            <w:r/>
          </w:p>
        </w:tc>
      </w:tr>
      <w:tr>
        <w:trPr>
          <w:trHeight w:val="330"/>
        </w:trPr>
        <w:tc>
          <w:tcPr>
            <w:shd w:val="clear" w:color="auto" w:fill="ffffff"/>
            <w:tcBorders>
              <w:top w:val="none" w:color="000000" w:sz="4" w:space="0"/>
              <w:left w:val="single" w:color="auto" w:sz="6" w:space="0"/>
              <w:bottom w:val="single" w:color="auto" w:sz="4" w:space="0"/>
              <w:right w:val="single" w:color="auto" w:sz="4" w:space="0"/>
            </w:tcBorders>
            <w:tcW w:w="314" w:type="dxa"/>
            <w:vAlign w:val="center"/>
            <w:vMerge w:val="restart"/>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轨道</w:t>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检查轨道外观，轨道内是否有异物</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无灰尘，无异物，无损伤，无变形，无氧化膜</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检查轨道安装及间隙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固定良好，无晃动和脱落，无过大间隙</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听小车过轨道的声音</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无异常声音</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检查条形码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检查铜轨、铜轨连接片、绝缘端子的检查</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铜轨无明显氧化层，连接片固定牢靠、绝缘端子无破损</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检查水平轨道、弯轨、曲轨磨损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轨道间隙正常，弯轨齿条、曲轨橡胶条无损伤</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检查弯轨及垂直部分齿条，听小车过轨道的声音</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齿条紧固，间隙正常，齿牙无损伤，小车经过时无异响</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接口接头的缝隙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缝隙正常，</w:t>
            </w:r>
            <w:r/>
          </w:p>
        </w:tc>
      </w:tr>
      <w:tr>
        <w:trPr>
          <w:trHeight w:val="330"/>
        </w:trPr>
        <w:tc>
          <w:tcPr>
            <w:shd w:val="clear" w:color="auto" w:fill="ffffff"/>
            <w:tcBorders>
              <w:top w:val="none" w:color="000000" w:sz="4" w:space="0"/>
              <w:left w:val="single" w:color="auto" w:sz="6" w:space="0"/>
              <w:bottom w:val="single" w:color="auto" w:sz="4" w:space="0"/>
              <w:right w:val="single" w:color="auto" w:sz="4" w:space="0"/>
            </w:tcBorders>
            <w:tcW w:w="314" w:type="dxa"/>
            <w:vAlign w:val="center"/>
            <w:vMerge w:val="restart"/>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站点</w:t>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无异物，无损伤</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无变形，无松动，轨道支架固定良好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检查站点显示和操作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显示屏清晰，反应灵敏</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检查站点使用功能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显示清晰，触控反应灵敏</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清洁站台</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清洁轨道及条码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检查安全控制开关</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开关控制正常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检查控制电缆及接线</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接线正常，无松动</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检查齿条/小车经过时是否有较大的震动声</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齿条紧固，间隙正常，齿牙无损伤</w:t>
            </w:r>
            <w:r/>
          </w:p>
        </w:tc>
      </w:tr>
      <w:tr>
        <w:trPr>
          <w:trHeight w:val="330"/>
        </w:trPr>
        <w:tc>
          <w:tcPr>
            <w:shd w:val="clear" w:color="auto" w:fill="ffffff"/>
            <w:tcBorders>
              <w:top w:val="none" w:color="000000" w:sz="4" w:space="0"/>
              <w:left w:val="single" w:color="auto" w:sz="6" w:space="0"/>
              <w:bottom w:val="none" w:color="000000" w:sz="4" w:space="0"/>
              <w:right w:val="single" w:color="auto" w:sz="4" w:space="0"/>
            </w:tcBorders>
            <w:tcW w:w="31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小车</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检查小车箱体</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无灰尘、无异物、无裂缝、无变形、无损伤</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检查小车车盖</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电子锁工作正常、车盖旋转时无明显阻力</w:t>
            </w:r>
            <w:r/>
          </w:p>
        </w:tc>
      </w:tr>
      <w:tr>
        <w:trPr>
          <w:trHeight w:val="36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检查小车缓冲器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限位开关闭合时，小车能立即停止运行</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检查小车读码器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表面无灰尘、功能正常（软件测试结果为：grade 1、advice OK)</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检查小车驱动轮、导向轮组外观及安装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无灰尘，无裂痕，无变形，转动灵活</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检查小车触点外观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无灰尘，无异物，无断裂，无变形</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测量小车触点厚度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大于1mm</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检查小车触点安装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伸缩良好，铜线固定良好，无晃动和脱落</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检查小车控制板外观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无异物，无焦化，电气功能正常、并清洗干净</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检查驱动齿轮磨损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齿轮直径不小于87mm</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检查驱动摩擦轮磨损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摩擦轮直径不小于97mm</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检查小车马达静离合器片、盘式垫片、六角螺母</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安装顺序正常、压紧驱动轮、小车运行有力</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检查小车马达停靠位</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小车运行有力、马达尾部未接触铜轨</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检查小车固定螺丝</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无松动、脱落</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小车运行数据清零</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小车运行数据从零开始计数</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测量小车水平移动电流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2.5A- 3A</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测量小车垂直段最大驱动电流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18A- 22A</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检查电机碳刷磨损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不超过极限位置</w:t>
            </w:r>
            <w:r/>
          </w:p>
        </w:tc>
      </w:tr>
      <w:tr>
        <w:trPr>
          <w:trHeight w:val="330"/>
        </w:trPr>
        <w:tc>
          <w:tcPr>
            <w:shd w:val="clear" w:color="auto" w:fill="ffffff"/>
            <w:tcBorders>
              <w:top w:val="single" w:color="auto" w:sz="4" w:space="0"/>
              <w:left w:val="single" w:color="auto" w:sz="6" w:space="0"/>
              <w:bottom w:val="single" w:color="auto" w:sz="4" w:space="0"/>
              <w:right w:val="single" w:color="auto" w:sz="4" w:space="0"/>
            </w:tcBorders>
            <w:tcW w:w="314" w:type="dxa"/>
            <w:vAlign w:val="center"/>
            <w:vMerge w:val="restart"/>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转轨器及编码器</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无灰尘，无异物，无损伤，无变形，无氧化膜</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检查转轨器位置码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检查转轨器轨道与轨道间隙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1mm（冬天）-3mm（夏天）</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检查转轨器与轨道对齐度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无落差，基本同一平面</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检查转轨器遮挡布外观及安装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检查转轨器控制器和轨道电源</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检查安全挡轮是否完好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固定良好，能够灵活摆动</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检查转轨器轨道螺丝和螺丝帽的紧密度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检查转轨器齿轮和编码器齿针</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无松动，配合编码器转动正常</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检查电缆线是否完好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限位开关正常工作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转轨器控制器指示灯对应正常，能够迅速复位</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转轨器马达正常工作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转轨器轨道齿条无松动，底座无裂痕</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小车上下轨道无明显声响，轨道间隙正常</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检查活动电缆完好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固定良好，线缆无损伤</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清洁转换器和连接轨道</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外观清洁，无灰尘，无异物</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检查转轨器的TEACH数据</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转轨器轨道能够正确移动各位置</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清洁并润滑燕尾槽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曲柄连杆式转轨器</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无灰尘，无异物，无损伤，无变形，无氧化膜</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15"/>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检查转轨器位置码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检查转轨器轨道与轨道间隙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1mm（冬天）-3mm（夏天）</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检查转轨器与轨道平面度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无落差，基本同一平面</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检查转轨器遮挡布外观及安装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检查所有独立的控制器和电源外观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检查安全挡轮是否完好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固定良好，能够灵活摆动</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检查转轨器轨道螺丝和螺丝帽的紧密度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无松动，固定良好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检查转轨器检查曲柄连杆及滑槽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脱开马达时，推动无阻力</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检查电缆线是否完好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限位开关正常工作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转轨器控制器指示灯对应正常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转轨器马达正常工作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转轨器轨道齿条无松动，底座无裂痕</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小车上下轨道无明显声响</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检查活动电缆完好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固定良好，线缆无损伤</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清洁转换器和连接轨道</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外观清洁，无灰尘，无异物</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清洁并润滑曲柄连杆滑槽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315"/>
        </w:trPr>
        <w:tc>
          <w:tcPr>
            <w:tcBorders>
              <w:top w:val="none" w:color="000000" w:sz="4" w:space="0"/>
              <w:left w:val="single" w:color="auto" w:sz="6" w:space="0"/>
              <w:bottom w:val="single" w:color="auto" w:sz="2" w:space="0"/>
              <w:right w:val="single" w:color="auto" w:sz="4" w:space="0"/>
            </w:tcBorders>
            <w:tcW w:w="31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/防火窗</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检查防火窗装置外观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检查防火窗装置安装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检查防火窗装置运动关联区域 </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无异物阻挡，空间合适，间隙适中</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检查防火窗连接电缆</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放置良好，无损坏，无脱落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检查防火窗锁紧装置触发</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在防火窗开启状态可以手动触发</w:t>
            </w:r>
            <w:r/>
          </w:p>
        </w:tc>
      </w:tr>
      <w:tr>
        <w:trPr>
          <w:trHeight w:val="738"/>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检查小车紧急状态通过防火窗</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命令小车通过的同时，关闭防火窗命令不可执行</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检查防火窗前区域安全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防火窗断电后，所有随后区域电源停电</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检查烟雾探测器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能检测烟雾</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检查备用电源</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常用电源断电后，备用电源可以驱动小车</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检查磁铁是否正常</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通电后，吸力正常</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检查烟雾探测器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输出正常，能检测烟雾</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打开及关闭是否顺畅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电磁铁断电后，防火窗能够自动关闭</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紧急状况电力供应</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常用电源断电后，备用电源可以驱动小车</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检查防风门密封性</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门合闭良好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2"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检查防风门功能</w:t>
            </w:r>
            <w:r/>
          </w:p>
        </w:tc>
        <w:tc>
          <w:tcPr>
            <w:tcBorders>
              <w:top w:val="none" w:color="000000" w:sz="4" w:space="0"/>
              <w:left w:val="none" w:color="000000" w:sz="4" w:space="0"/>
              <w:bottom w:val="single" w:color="auto" w:sz="2"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开关正常，转动平稳，无异常声音</w:t>
            </w:r>
            <w:r/>
          </w:p>
        </w:tc>
      </w:tr>
      <w:tr>
        <w:trPr>
          <w:trHeight w:val="300"/>
        </w:trPr>
        <w:tc>
          <w:tcPr>
            <w:gridSpan w:val="7"/>
            <w:tcBorders>
              <w:top w:val="single" w:color="auto" w:sz="2" w:space="0"/>
              <w:left w:val="single" w:color="auto" w:sz="6" w:space="0"/>
              <w:bottom w:val="none" w:color="000000" w:sz="4" w:space="0"/>
              <w:right w:val="single" w:color="auto" w:sz="6" w:space="0"/>
            </w:tcBorders>
            <w:tcW w:w="9356"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tc>
      </w:tr>
      <w:tr>
        <w:trPr>
          <w:trHeight w:val="300"/>
        </w:trPr>
        <w:tc>
          <w:tcPr>
            <w:gridSpan w:val="7"/>
            <w:tcBorders>
              <w:top w:val="none" w:color="000000" w:sz="4" w:space="0"/>
              <w:left w:val="single" w:color="auto" w:sz="6" w:space="0"/>
              <w:bottom w:val="none" w:color="000000" w:sz="4" w:space="0"/>
              <w:right w:val="single" w:color="auto" w:sz="6" w:space="0"/>
            </w:tcBorders>
            <w:tcW w:w="9356"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w:t>
            </w:r>
            <w:r>
              <w:rPr>
                <w:rFonts w:ascii="Wingdings 2" w:hAnsi="Wingdings 2" w:eastAsia="Wingdings 2" w:cs="Wingdings 2"/>
                <w:sz w:val="21"/>
                <w:szCs w:val="21"/>
                <w:highlight w:val="none"/>
              </w:rPr>
              <w:t xml:space="preserve"></w:t>
            </w:r>
            <w:r>
              <w:rPr>
                <w:rFonts w:hint="eastAsia" w:ascii="宋体" w:hAnsi="宋体" w:eastAsia="宋体" w:cs="宋体"/>
                <w:sz w:val="21"/>
                <w:szCs w:val="21"/>
                <w:highlight w:val="none"/>
              </w:rPr>
              <w:t xml:space="preserve">"对应相应维护周期，如“周”、“月”、“季”等。</w:t>
            </w:r>
            <w:r/>
          </w:p>
        </w:tc>
      </w:tr>
      <w:tr>
        <w:trPr>
          <w:trHeight w:val="315"/>
        </w:trPr>
        <w:tc>
          <w:tcPr>
            <w:gridSpan w:val="7"/>
            <w:tcBorders>
              <w:top w:val="none" w:color="000000" w:sz="4" w:space="0"/>
              <w:left w:val="single" w:color="auto" w:sz="6" w:space="0"/>
              <w:bottom w:val="single" w:color="auto" w:sz="6" w:space="0"/>
              <w:right w:val="single" w:color="auto" w:sz="6" w:space="0"/>
            </w:tcBorders>
            <w:tcW w:w="9356"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bl>
    <w:p>
      <w:pPr>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32"/>
        <w:spacing w:line="360" w:lineRule="auto"/>
        <w:rPr>
          <w:rFonts w:ascii="Times New Roman"/>
          <w:b/>
          <w:color w:val="auto"/>
          <w:szCs w:val="21"/>
          <w:highlight w:val="none"/>
        </w:rPr>
      </w:pPr>
      <w:r>
        <w:rPr>
          <w:rFonts w:asciiTheme="minorEastAsia" w:hAnsiTheme="minorEastAsia"/>
          <w:szCs w:val="21"/>
          <w:highlight w:val="none"/>
        </w:rPr>
        <w:t xml:space="preserve">★</w:t>
      </w:r>
      <w:r>
        <w:rPr>
          <w:rFonts w:hint="eastAsia" w:ascii="Times New Roman"/>
          <w:b/>
          <w:color w:val="auto"/>
          <w:szCs w:val="21"/>
          <w:highlight w:val="none"/>
          <w:lang w:val="en-US" w:eastAsia="zh-CN"/>
        </w:rPr>
        <w:t xml:space="preserve">六</w:t>
      </w:r>
      <w:r>
        <w:rPr>
          <w:rFonts w:ascii="Times New Roman"/>
          <w:b/>
          <w:color w:val="auto"/>
          <w:szCs w:val="21"/>
          <w:highlight w:val="none"/>
        </w:rPr>
        <w:t xml:space="preserve">、商务要求</w:t>
      </w:r>
      <w:bookmarkEnd w:id="117"/>
      <w:r/>
      <w:r/>
    </w:p>
    <w:p>
      <w:pPr>
        <w:spacing w:line="360" w:lineRule="auto"/>
        <w:rPr>
          <w:highlight w:val="none"/>
        </w:rPr>
      </w:pPr>
      <w:r>
        <w:rPr>
          <w:rFonts w:hint="eastAsia"/>
          <w:highlight w:val="none"/>
        </w:rPr>
        <w:t xml:space="preserve">1、</w:t>
      </w:r>
      <w:r>
        <w:rPr>
          <w:rFonts w:hint="eastAsia"/>
          <w:highlight w:val="none"/>
          <w:lang w:val="en-US" w:eastAsia="zh-CN"/>
        </w:rPr>
        <w:t xml:space="preserve">合同履行期限</w:t>
      </w:r>
      <w:r>
        <w:rPr>
          <w:rFonts w:hint="eastAsia"/>
          <w:highlight w:val="none"/>
        </w:rPr>
        <w:t xml:space="preserve">：</w:t>
      </w:r>
      <w:r>
        <w:rPr>
          <w:rFonts w:hint="eastAsia" w:ascii="Arial" w:hAnsi="Arial" w:eastAsia="宋体" w:cs="Arial"/>
          <w:color w:val="000000"/>
          <w:szCs w:val="21"/>
          <w:highlight w:val="none"/>
        </w:rPr>
        <w:t xml:space="preserve">自合同签订生效之日起3年</w:t>
      </w:r>
      <w:r>
        <w:rPr>
          <w:rFonts w:hint="eastAsia"/>
          <w:highlight w:val="none"/>
        </w:rPr>
        <w:t xml:space="preserve">。合同每执行一个年度，甲方有权对乙方进行考核，考核不合格的，甲方有权终止协议；考核合格，在甲方项目负责人补足下一年度的预算后，合同方可继续执行。</w:t>
      </w:r>
      <w:r/>
    </w:p>
    <w:p>
      <w:pPr>
        <w:spacing w:line="360" w:lineRule="auto"/>
        <w:rPr>
          <w:rFonts w:hint="default" w:eastAsia="宋体"/>
          <w:highlight w:val="none"/>
          <w:lang w:val="en-US" w:eastAsia="zh-CN"/>
        </w:rPr>
      </w:pPr>
      <w:r>
        <w:rPr>
          <w:highlight w:val="none"/>
        </w:rPr>
        <w:t xml:space="preserve">2</w:t>
      </w:r>
      <w:r>
        <w:rPr>
          <w:rFonts w:hint="eastAsia"/>
          <w:highlight w:val="none"/>
        </w:rPr>
        <w:t xml:space="preserve">、付款方式：</w:t>
      </w:r>
      <w:r>
        <w:rPr>
          <w:rFonts w:hint="eastAsia"/>
          <w:highlight w:val="none"/>
          <w:lang w:val="en-US" w:eastAsia="zh-CN"/>
        </w:rPr>
        <w:t xml:space="preserve">中标公司提供维保服务满半年，经采购人确认服务合格后，采购人向中标公司支付经审核的维保费的50%；维保满一年后，经采购人确认服务合格后，采购人向中标公司支付经审核的维保费剩余的50%。其他年度仍按此方式执行。</w:t>
      </w:r>
      <w:r/>
    </w:p>
    <w:p>
      <w:pPr>
        <w:pStyle w:val="1126"/>
        <w:ind w:left="0"/>
        <w:rPr>
          <w:color w:val="auto"/>
          <w:highlight w:val="none"/>
        </w:rPr>
      </w:pPr>
      <w:r>
        <w:rPr>
          <w:color w:val="auto"/>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hAnsi="宋体"/>
          <w:color w:val="auto"/>
          <w:szCs w:val="21"/>
          <w:highlight w:val="none"/>
        </w:rPr>
        <w:outlineLvl w:val="0"/>
      </w:pPr>
      <w:r>
        <w:rPr>
          <w:rFonts w:hint="eastAsia" w:ascii="黑体" w:hAnsi="宋体" w:eastAsia="黑体"/>
          <w:b/>
          <w:bCs/>
          <w:color w:val="auto"/>
          <w:sz w:val="32"/>
          <w:szCs w:val="32"/>
          <w:highlight w:val="none"/>
        </w:rPr>
        <w:t xml:space="preserve">第五章</w:t>
      </w: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合同条款</w:t>
      </w:r>
      <w:r/>
    </w:p>
    <w:p>
      <w:pPr>
        <w:jc w:val="center"/>
        <w:keepLines w:val="0"/>
        <w:keepNext w:val="0"/>
        <w:pageBreakBefore w:val="0"/>
        <w:spacing w:before="145" w:after="145" w:line="240" w:lineRule="auto"/>
        <w:widowControl w:val="off"/>
        <w:rPr>
          <w:rFonts w:hint="eastAsia" w:ascii="宋体" w:hAnsi="宋体" w:eastAsia="宋体" w:cs="Times New Roman"/>
          <w:bCs/>
          <w:color w:val="000000"/>
          <w:sz w:val="24"/>
          <w:szCs w:val="21"/>
          <w:highlight w:val="none"/>
          <w:lang w:eastAsia="zh-CN"/>
        </w:rPr>
        <w:outlineLvl w:val="0"/>
      </w:pPr>
      <w:r/>
      <w:bookmarkStart w:id="121" w:name="_Toc16938559"/>
      <w:r/>
      <w:bookmarkStart w:id="122" w:name="_Toc20823315"/>
      <w:r/>
      <w:bookmarkStart w:id="123" w:name="_Toc513029243"/>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以下合同条款仅供参考，实际以采购人与中标供应商根据投标情况拟定</w:t>
      </w:r>
      <w:r>
        <w:rPr>
          <w:rFonts w:hint="eastAsia" w:ascii="宋体" w:hAnsi="宋体" w:eastAsia="宋体" w:cs="Times New Roman"/>
          <w:bCs/>
          <w:color w:val="000000"/>
          <w:sz w:val="24"/>
          <w:szCs w:val="21"/>
          <w:highlight w:val="none"/>
          <w:lang w:eastAsia="zh-CN"/>
        </w:rPr>
        <w:t xml:space="preserve">）</w:t>
      </w:r>
      <w:r/>
    </w:p>
    <w:p>
      <w:pPr>
        <w:pStyle w:val="1126"/>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bookmarkEnd w:id="121"/>
      <w:r/>
      <w:bookmarkEnd w:id="122"/>
      <w:r/>
      <w:bookmarkEnd w:id="123"/>
      <w:r/>
      <w:r/>
    </w:p>
    <w:p>
      <w:pPr>
        <w:rPr>
          <w:rFonts w:ascii="Arial" w:hAnsi="Arial" w:eastAsia="黑体" w:cs="Arial"/>
          <w:b/>
          <w:sz w:val="28"/>
          <w:szCs w:val="28"/>
          <w:highlight w:val="none"/>
        </w:rPr>
      </w:pPr>
      <w:r>
        <w:rPr>
          <w:rFonts w:ascii="Arial" w:hAnsi="Arial" w:eastAsia="黑体" w:cs="Arial"/>
          <w:b/>
          <w:sz w:val="28"/>
          <w:szCs w:val="28"/>
          <w:highlight w:val="none"/>
        </w:rPr>
      </w:r>
      <w:r/>
    </w:p>
    <w:p>
      <w:pPr>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w:t>
      </w:r>
      <w:r>
        <w:rPr>
          <w:rFonts w:hint="eastAsia" w:ascii="宋体" w:hAnsi="宋体" w:eastAsia="宋体" w:cs="宋体"/>
          <w:sz w:val="24"/>
          <w:szCs w:val="24"/>
          <w:highlight w:val="none"/>
          <w:u w:val="single"/>
        </w:rPr>
        <w:t xml:space="preserve">南京鼓楼医院</w:t>
      </w:r>
      <w:r>
        <w:rPr>
          <w:rFonts w:hint="eastAsia" w:ascii="宋体" w:hAnsi="宋体" w:eastAsia="宋体" w:cs="宋体"/>
          <w:sz w:val="24"/>
          <w:szCs w:val="24"/>
          <w:highlight w:val="none"/>
        </w:rPr>
        <w:t xml:space="preserve">（以下简称甲方）</w:t>
      </w:r>
      <w:r/>
    </w:p>
    <w:p>
      <w:pPr>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（以下简称乙方）</w:t>
      </w:r>
      <w:r/>
    </w:p>
    <w:p>
      <w:pPr>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440"/>
        <w:keepLines w:val="0"/>
        <w:keepNext w:val="0"/>
        <w:pageBreakBefore w:val="0"/>
        <w:spacing w:line="312"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南京鼓楼医院和</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rPr>
        <w:t xml:space="preserve">（经苏美达国际技术贸易有限公司</w:t>
      </w:r>
      <w:r>
        <w:rPr>
          <w:rFonts w:hint="eastAsia" w:ascii="宋体" w:hAnsi="宋体" w:eastAsia="宋体" w:cs="宋体"/>
          <w:sz w:val="22"/>
          <w:szCs w:val="22"/>
          <w:highlight w:val="none"/>
          <w:u w:val="single"/>
          <w:lang w:val="en-US" w:eastAsia="zh-CN"/>
        </w:rPr>
        <w:t xml:space="preserve">XX</w:t>
      </w:r>
      <w:r>
        <w:rPr>
          <w:rFonts w:hint="eastAsia" w:ascii="宋体" w:hAnsi="宋体" w:eastAsia="宋体" w:cs="宋体"/>
          <w:sz w:val="22"/>
          <w:szCs w:val="22"/>
          <w:highlight w:val="none"/>
          <w:u w:val="single"/>
        </w:rPr>
        <w:t xml:space="preserve">年</w:t>
      </w:r>
      <w:r>
        <w:rPr>
          <w:rFonts w:hint="eastAsia" w:ascii="宋体" w:hAnsi="宋体" w:eastAsia="宋体" w:cs="宋体"/>
          <w:sz w:val="22"/>
          <w:szCs w:val="22"/>
          <w:highlight w:val="none"/>
          <w:u w:val="single"/>
          <w:lang w:val="en-US" w:eastAsia="zh-CN"/>
        </w:rPr>
        <w:t xml:space="preserve">XX</w:t>
      </w:r>
      <w:r>
        <w:rPr>
          <w:rFonts w:hint="eastAsia" w:ascii="宋体" w:hAnsi="宋体" w:eastAsia="宋体" w:cs="宋体"/>
          <w:sz w:val="22"/>
          <w:szCs w:val="22"/>
          <w:highlight w:val="none"/>
          <w:u w:val="single"/>
        </w:rPr>
        <w:t xml:space="preserve">月</w:t>
      </w:r>
      <w:r>
        <w:rPr>
          <w:rFonts w:hint="eastAsia" w:ascii="宋体" w:hAnsi="宋体" w:eastAsia="宋体" w:cs="宋体"/>
          <w:sz w:val="22"/>
          <w:szCs w:val="22"/>
          <w:highlight w:val="none"/>
          <w:u w:val="single"/>
          <w:lang w:val="en-US" w:eastAsia="zh-CN"/>
        </w:rPr>
        <w:t xml:space="preserve">XX</w:t>
      </w:r>
      <w:r>
        <w:rPr>
          <w:rFonts w:hint="eastAsia" w:ascii="宋体" w:hAnsi="宋体" w:eastAsia="宋体" w:cs="宋体"/>
          <w:sz w:val="22"/>
          <w:szCs w:val="22"/>
          <w:highlight w:val="none"/>
          <w:u w:val="single"/>
        </w:rPr>
        <w:t xml:space="preserve">日</w:t>
      </w:r>
      <w:r>
        <w:rPr>
          <w:rFonts w:hint="eastAsia" w:ascii="宋体" w:hAnsi="宋体" w:eastAsia="宋体" w:cs="宋体"/>
          <w:sz w:val="22"/>
          <w:szCs w:val="22"/>
          <w:highlight w:val="none"/>
          <w:u w:val="single"/>
          <w:lang w:val="en-US" w:eastAsia="zh-CN"/>
        </w:rPr>
        <w:t xml:space="preserve">公开招标，项目编号：</w:t>
      </w:r>
      <w:r>
        <w:rPr>
          <w:rFonts w:hint="eastAsia" w:ascii="宋体" w:hAnsi="宋体" w:cs="宋体"/>
          <w:sz w:val="22"/>
          <w:szCs w:val="22"/>
          <w:highlight w:val="none"/>
          <w:u w:val="single"/>
          <w:lang w:val="en-US" w:eastAsia="zh-CN"/>
        </w:rPr>
        <w:t xml:space="preserve">XXXX</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eastAsia="zh-CN"/>
        </w:rPr>
        <w:t xml:space="preserve">签</w:t>
      </w:r>
      <w:r>
        <w:rPr>
          <w:rFonts w:hint="eastAsia" w:ascii="宋体" w:hAnsi="宋体" w:eastAsia="宋体" w:cs="宋体"/>
          <w:sz w:val="22"/>
          <w:szCs w:val="22"/>
          <w:highlight w:val="none"/>
        </w:rPr>
        <w:t xml:space="preserve">订</w:t>
      </w:r>
      <w:r>
        <w:rPr>
          <w:rFonts w:hint="eastAsia" w:ascii="宋体" w:hAnsi="宋体" w:eastAsia="宋体" w:cs="宋体"/>
          <w:sz w:val="22"/>
          <w:szCs w:val="22"/>
          <w:highlight w:val="none"/>
          <w:lang w:val="en-US" w:eastAsia="zh-CN"/>
        </w:rPr>
        <w:t xml:space="preserve">合同</w:t>
      </w:r>
      <w:r>
        <w:rPr>
          <w:rFonts w:hint="eastAsia" w:ascii="宋体" w:hAnsi="宋体" w:eastAsia="宋体" w:cs="宋体"/>
          <w:sz w:val="22"/>
          <w:szCs w:val="22"/>
          <w:highlight w:val="none"/>
        </w:rPr>
        <w:t xml:space="preserve">条款如下：</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甲乙双方同意，乙方为甲方</w:t>
      </w:r>
      <w:r>
        <w:rPr>
          <w:rFonts w:hint="eastAsia" w:ascii="宋体" w:hAnsi="宋体" w:eastAsia="宋体" w:cs="宋体"/>
          <w:sz w:val="22"/>
          <w:szCs w:val="22"/>
          <w:highlight w:val="none"/>
          <w:u w:val="single"/>
          <w:lang w:val="en-US" w:eastAsia="zh-CN"/>
        </w:rPr>
        <w:t xml:space="preserve">XXX</w:t>
      </w:r>
      <w:r>
        <w:rPr>
          <w:rFonts w:hint="eastAsia" w:ascii="宋体" w:hAnsi="宋体" w:eastAsia="宋体" w:cs="宋体"/>
          <w:sz w:val="22"/>
          <w:szCs w:val="22"/>
          <w:highlight w:val="none"/>
          <w:lang w:eastAsia="zh-CN"/>
        </w:rPr>
        <w:t xml:space="preserve">按以下条款提供</w:t>
      </w:r>
      <w:r>
        <w:rPr>
          <w:rFonts w:hint="eastAsia" w:ascii="宋体" w:hAnsi="宋体" w:cs="宋体"/>
          <w:sz w:val="22"/>
          <w:szCs w:val="22"/>
          <w:highlight w:val="none"/>
          <w:lang w:val="en-US" w:eastAsia="zh-CN"/>
        </w:rPr>
        <w:t xml:space="preserve">XX</w:t>
      </w:r>
      <w:r>
        <w:rPr>
          <w:rFonts w:hint="eastAsia" w:ascii="宋体" w:hAnsi="宋体" w:eastAsia="宋体" w:cs="宋体"/>
          <w:sz w:val="22"/>
          <w:szCs w:val="22"/>
          <w:highlight w:val="none"/>
          <w:u w:val="single"/>
          <w:lang w:val="en-US" w:eastAsia="zh-CN"/>
        </w:rPr>
        <w:t xml:space="preserve">维保服务</w:t>
      </w:r>
      <w:r>
        <w:rPr>
          <w:rFonts w:hint="eastAsia" w:ascii="宋体" w:hAnsi="宋体" w:eastAsia="宋体" w:cs="宋体"/>
          <w:sz w:val="22"/>
          <w:szCs w:val="22"/>
          <w:highlight w:val="none"/>
          <w:lang w:eastAsia="zh-CN"/>
        </w:rPr>
        <w:t xml:space="preserve">：</w:t>
      </w:r>
      <w:r/>
    </w:p>
    <w:p>
      <w:pPr>
        <w:numPr>
          <w:ilvl w:val="0"/>
          <w:numId w:val="6"/>
        </w:numPr>
        <w:ind w:firstLine="440"/>
        <w:keepLines w:val="0"/>
        <w:keepNext w:val="0"/>
        <w:pageBreakBefore w:val="0"/>
        <w:spacing w:line="312" w:lineRule="auto"/>
        <w:widowControl w:val="off"/>
        <w:rPr>
          <w:rFonts w:hint="eastAsia" w:ascii="宋体" w:hAnsi="宋体" w:eastAsia="宋体" w:cs="宋体"/>
          <w:sz w:val="22"/>
          <w:szCs w:val="22"/>
          <w:highlight w:val="none"/>
          <w:u w:val="single"/>
          <w:lang w:eastAsia="zh-CN"/>
        </w:rPr>
      </w:pPr>
      <w:r>
        <w:rPr>
          <w:rFonts w:hint="eastAsia" w:ascii="宋体" w:hAnsi="宋体" w:eastAsia="宋体" w:cs="宋体"/>
          <w:sz w:val="22"/>
          <w:szCs w:val="22"/>
          <w:highlight w:val="none"/>
        </w:rPr>
        <w:t xml:space="preserve">乙方保证所供产品、服务质量合格，不得弄虚作假、不得提供假冒伪劣产品、不合格服务或任意提供合同（协议）外产品、服务。</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合同有效期：</w:t>
      </w:r>
      <w:r>
        <w:rPr>
          <w:rFonts w:hint="eastAsia" w:ascii="宋体" w:hAnsi="宋体" w:eastAsia="宋体" w:cs="宋体"/>
          <w:sz w:val="22"/>
          <w:szCs w:val="22"/>
          <w:highlight w:val="none"/>
          <w:u w:val="single"/>
          <w:lang w:val="en-US" w:eastAsia="zh-CN"/>
        </w:rPr>
        <w:t xml:space="preserve">自XX年XX月XX日起至XX年XX月XX日止</w:t>
      </w:r>
      <w:r>
        <w:rPr>
          <w:rFonts w:hint="eastAsia" w:ascii="宋体" w:hAnsi="宋体" w:eastAsia="宋体" w:cs="宋体"/>
          <w:sz w:val="22"/>
          <w:szCs w:val="22"/>
          <w:highlight w:val="none"/>
          <w:lang w:val="en-US" w:eastAsia="zh-CN"/>
        </w:rPr>
        <w:t xml:space="preserve">。合同期内不得涨价。</w:t>
      </w:r>
      <w:r>
        <w:rPr>
          <w:rFonts w:hint="eastAsia" w:ascii="宋体" w:hAnsi="宋体" w:eastAsia="宋体" w:cs="宋体"/>
          <w:sz w:val="22"/>
          <w:szCs w:val="22"/>
          <w:highlight w:val="none"/>
          <w:u w:val="single"/>
          <w:lang w:val="en-US" w:eastAsia="zh-CN"/>
        </w:rPr>
        <w:t xml:space="preserve">合同每执行一个年度，甲方有权对乙方进行考核，考核不合格的，甲方有权终止协议；考核合格，在甲方项目负责人补足下一年度的预算后，合同方可继续执行。</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项目实施</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u w:val="single"/>
          <w:lang w:val="en-US" w:eastAsia="zh-CN"/>
        </w:rPr>
        <w:t xml:space="preserve">按甲方要求</w:t>
      </w:r>
      <w:r>
        <w:rPr>
          <w:rFonts w:hint="eastAsia" w:ascii="宋体" w:hAnsi="宋体" w:eastAsia="宋体" w:cs="宋体"/>
          <w:sz w:val="22"/>
          <w:szCs w:val="22"/>
          <w:highlight w:val="none"/>
          <w:lang w:val="en-US" w:eastAsia="zh-CN"/>
        </w:rPr>
        <w:t xml:space="preserve">。交货地点：甲方指定地点。</w:t>
      </w:r>
      <w:r/>
    </w:p>
    <w:p>
      <w:pPr>
        <w:numPr>
          <w:ilvl w:val="0"/>
          <w:numId w:val="6"/>
        </w:numPr>
        <w:ind w:firstLine="440"/>
        <w:keepLines w:val="0"/>
        <w:keepNext w:val="0"/>
        <w:pageBreakBefore w:val="0"/>
        <w:spacing w:line="312" w:lineRule="auto"/>
        <w:widowControl w:val="off"/>
        <w:rPr>
          <w:rFonts w:hint="eastAsia" w:ascii="宋体" w:hAnsi="宋体" w:eastAsia="宋体" w:cs="宋体"/>
          <w:sz w:val="22"/>
          <w:szCs w:val="22"/>
          <w:highlight w:val="none"/>
          <w:u w:val="single"/>
          <w:lang w:val="en-US" w:eastAsia="zh-CN"/>
        </w:rPr>
      </w:pPr>
      <w:r>
        <w:rPr>
          <w:rFonts w:hint="eastAsia" w:ascii="宋体" w:hAnsi="宋体" w:cs="宋体"/>
          <w:sz w:val="22"/>
          <w:szCs w:val="22"/>
          <w:highlight w:val="none"/>
          <w:lang w:val="en-US" w:eastAsia="zh-CN"/>
        </w:rPr>
        <w:t xml:space="preserve">配件</w:t>
      </w:r>
      <w:r>
        <w:rPr>
          <w:rFonts w:hint="eastAsia" w:ascii="宋体" w:hAnsi="宋体" w:eastAsia="宋体" w:cs="宋体"/>
          <w:sz w:val="22"/>
          <w:szCs w:val="22"/>
          <w:highlight w:val="none"/>
          <w:lang w:val="en-US" w:eastAsia="zh-CN"/>
        </w:rPr>
        <w:t xml:space="preserve">质保XXX年，质保期从甲方验收合格之日起计算。</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结算方式：</w:t>
      </w:r>
      <w:r>
        <w:rPr>
          <w:rFonts w:hint="eastAsia" w:ascii="宋体" w:hAnsi="宋体" w:cs="宋体"/>
          <w:sz w:val="22"/>
          <w:szCs w:val="22"/>
          <w:highlight w:val="none"/>
          <w:lang w:val="en-US" w:eastAsia="zh-CN"/>
        </w:rPr>
        <w:t xml:space="preserve">详见第四章要求</w:t>
      </w:r>
      <w:r>
        <w:rPr>
          <w:rFonts w:hint="eastAsia" w:ascii="宋体" w:hAnsi="宋体" w:eastAsia="宋体" w:cs="宋体"/>
          <w:sz w:val="22"/>
          <w:szCs w:val="22"/>
          <w:highlight w:val="none"/>
          <w:lang w:val="en-US" w:eastAsia="zh-CN"/>
        </w:rPr>
        <w:t xml:space="preserve"> </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保密条款</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2、双方应确保己方人员遵守本条约定的保密义务，否则由此产生的一切后果由违约方承担责任。</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3、本条约定在本协议解除、终止或被认为无效后仍然有效。</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违约责任：</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1、自本协议（合同）生效之日起，各方应严格依约履行。若任何一方违反本协议规定的，应赔偿由此给其他方造成的损失。</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乙方未按协议（合同）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4、乙方提供假冒伪劣产品的，乙方按该批次所购商品或服务金额的10倍向甲方支付违约金。</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5、乙方发生下列违约行为，应按协议（合同）总额的30%计算向甲方支付违约金。</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（1）乙方未能对获得的甲方医疗信息和患者诊疗信息永久保密。</w:t>
      </w:r>
      <w:r/>
    </w:p>
    <w:p>
      <w:pPr>
        <w:ind w:left="437" w:right="0" w:firstLine="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（2）乙方未经甲方同意或未按甲方要求，擅自修改本协议（合同）涉及的信息系统的数据文件。（3）乙方违反《南京鼓楼医院物资购销廉洁条例》的规定。</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乙方有下列情形之一的，甲方有权单方直接解除协议（合同）：①未经甲方书面同意，将本协议（合同）约定的权利义务转让给第三方；②协议（合同）履行过程中出现侵犯他人合法权益的事项，包括但不限于知识产权、人身财产权益等；③未履行协议（合同）信息保密和使用约定的；④未履行本协议（合同）约定的其他义务的，或单方面无故终止协议的，经委托人催告后 7 日内，仍未整改的。</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8、乙方出现违约行为并承担违约责任时，甲方有权从应支付给乙方的协议（合同）款项中直接扣除违约金、赔偿金等所有违约责任费用；协议款项不足以扣除的，乙方应在收到甲方通知后的7日内予以补足。</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9、以上各项交付的违约金并不影响乙方继续履行本协议（合同）的其他各项义务。</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10、乙方若违反本协议（合同）第二条和第九条均视为对本协议的重大违约，甲方有权随时书面通知乙方立即终止本协议（合同）。</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九、甲乙双方须遵守《南京鼓楼医院物资购销廉洁条例》，条例内容如下：</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1、协议双方按照《中华人民共和国民法典》及购销廉洁条例约定购销药品、医用设备、医用耗材及行政办公物资等。</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2、甲方应当严格执行产品购销协议验收、入库制度，对采购产品及发票进行查验，不得违反有关规定协议外采购、违规采购或从非规定渠道采购。</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4、甲方严禁利用任何途径和方式，为乙方统计医师个人及临床科室有关产品用量信息，或为乙方统计提供便利。</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5、乙方不得以回扣、宴请等方式影响甲方工作人员采购或使用产品</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u w:val="none"/>
          <w:lang w:val="en-US" w:eastAsia="zh-CN"/>
        </w:rPr>
        <w:t xml:space="preserve">的选择权，不得在学术活动中提供旅游、超标准支付食宿费用。</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6、乙方指定销售代表必须在工作时间到甲方指定地点联系商谈，不得到住院部、门诊部、医技科室等推销产品</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u w:val="none"/>
          <w:lang w:val="en-US" w:eastAsia="zh-CN"/>
        </w:rPr>
        <w:t xml:space="preserve">，不得借故到甲方相关领导、部门负责人及相关工作人员家中访谈并提供任何好处费等。</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8、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9、本廉洁条例为甲方产品</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u w:val="none"/>
          <w:lang w:val="en-US" w:eastAsia="zh-CN"/>
        </w:rPr>
        <w:t xml:space="preserve">购销行为的廉洁准则，各方均需严格遵守。</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10、本条例由甲方负责解释。</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11、本条例自即日起执行。</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十一、本项目遇技术问题由甲方总务处负责协调解决。</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十二、争议的解决：双方对其它违约责任按《中华人民共和国民法典》的有关规定处理，解决与本协议有关的一切争议。如一方不愿意协商或协商30日后无法解决的，应提交甲方所在地人民法院。</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十三、本项目招标文件、投标文件、协议（合同）及附件、乙方其他承诺，均为本项目不可分割的重要组成部分，具有同等法律效力。</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十四、本协议壹式肆份，甲方执叁份，乙方执壹份，经双方签字盖章后即生效。未尽事宜，由双方友好协商解决。</w:t>
      </w:r>
      <w:r/>
    </w:p>
    <w:p>
      <w:pPr>
        <w:numPr>
          <w:ilvl w:val="0"/>
          <w:numId w:val="0"/>
        </w:numPr>
        <w:ind w:left="0" w:right="0" w:firstLine="440"/>
        <w:jc w:val="left"/>
        <w:keepLines w:val="0"/>
        <w:keepNext w:val="0"/>
        <w:pageBreakBefore w:val="0"/>
        <w:spacing w:before="0" w:after="0" w:line="312" w:lineRule="auto"/>
        <w:widowControl w:val="off"/>
        <w:rPr>
          <w:rFonts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附件《维保范围和维保内容》详见招标文件第四章</w:t>
      </w:r>
      <w:r/>
    </w:p>
    <w:p>
      <w:pPr>
        <w:numPr>
          <w:ilvl w:val="0"/>
          <w:numId w:val="0"/>
        </w:numPr>
        <w:ind w:left="0" w:right="0" w:firstLine="440"/>
        <w:jc w:val="left"/>
        <w:keepLines w:val="0"/>
        <w:keepNext w:val="0"/>
        <w:pageBreakBefore w:val="0"/>
        <w:spacing w:before="0" w:after="0" w:line="240" w:lineRule="auto"/>
        <w:widowControl/>
        <w:rPr>
          <w:rFonts w:hint="eastAsia" w:ascii="宋体" w:hAnsi="宋体" w:eastAsia="宋体" w:cs="宋体"/>
          <w:bCs/>
          <w:sz w:val="22"/>
          <w:szCs w:val="22"/>
          <w:highlight w:val="none"/>
          <w:u w:val="none"/>
          <w:lang w:val="en-US" w:eastAsia="zh-CN"/>
        </w:rPr>
        <w:outlineLvl w:val="9"/>
      </w:pPr>
      <w:r>
        <w:rPr>
          <w:rFonts w:hint="eastAsia" w:ascii="宋体" w:hAnsi="宋体" w:eastAsia="宋体" w:cs="宋体"/>
          <w:bCs/>
          <w:sz w:val="22"/>
          <w:szCs w:val="22"/>
          <w:highlight w:val="none"/>
          <w:u w:val="none"/>
          <w:lang w:val="en-US" w:eastAsia="zh-CN"/>
        </w:rPr>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甲方： </w:t>
      </w:r>
      <w:r>
        <w:rPr>
          <w:rFonts w:hint="eastAsia" w:ascii="宋体" w:hAnsi="宋体" w:eastAsia="宋体" w:cs="宋体"/>
          <w:sz w:val="21"/>
          <w:szCs w:val="21"/>
          <w:highlight w:val="none"/>
          <w:u w:val="none"/>
          <w:lang w:eastAsia="zh-CN"/>
        </w:rPr>
        <w:t xml:space="preserve">南京鼓楼医院</w:t>
      </w:r>
      <w:r>
        <w:rPr>
          <w:rFonts w:hint="eastAsia" w:ascii="宋体" w:hAnsi="宋体" w:eastAsia="宋体" w:cs="宋体"/>
          <w:sz w:val="21"/>
          <w:szCs w:val="21"/>
          <w:highlight w:val="none"/>
          <w:u w:val="none"/>
        </w:rPr>
        <w:t xml:space="preserve">       （盖章）            乙方：</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（盖章）</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地址： 南京</w:t>
      </w:r>
      <w:r>
        <w:rPr>
          <w:rFonts w:hint="eastAsia" w:ascii="宋体" w:hAnsi="宋体" w:eastAsia="宋体" w:cs="宋体"/>
          <w:sz w:val="21"/>
          <w:szCs w:val="21"/>
          <w:highlight w:val="none"/>
          <w:u w:val="none"/>
          <w:lang w:val="en-US" w:eastAsia="zh-CN"/>
        </w:rPr>
        <w:t xml:space="preserve">市鼓楼区</w:t>
      </w:r>
      <w:r>
        <w:rPr>
          <w:rFonts w:hint="eastAsia" w:ascii="宋体" w:hAnsi="宋体" w:eastAsia="宋体" w:cs="宋体"/>
          <w:sz w:val="21"/>
          <w:szCs w:val="21"/>
          <w:highlight w:val="none"/>
          <w:u w:val="none"/>
        </w:rPr>
        <w:t xml:space="preserve">中山路321号               地址：</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邮编： 210008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邮编：</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电话： 025-8310</w:t>
      </w:r>
      <w:r>
        <w:rPr>
          <w:rFonts w:hint="eastAsia" w:ascii="宋体" w:hAnsi="宋体" w:eastAsia="宋体" w:cs="宋体"/>
          <w:sz w:val="21"/>
          <w:szCs w:val="21"/>
          <w:highlight w:val="none"/>
          <w:u w:val="none"/>
          <w:lang w:val="en-US" w:eastAsia="zh-CN"/>
        </w:rPr>
        <w:t xml:space="preserve">6666</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电话：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eastAsia="zh-CN"/>
        </w:rPr>
        <w:t xml:space="preserve">法定代表人或授权代表</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法定代表人或授权</w:t>
      </w:r>
      <w:r>
        <w:rPr>
          <w:rFonts w:hint="eastAsia" w:ascii="宋体" w:hAnsi="宋体" w:eastAsia="宋体" w:cs="宋体"/>
          <w:sz w:val="21"/>
          <w:szCs w:val="21"/>
          <w:highlight w:val="none"/>
          <w:u w:val="none"/>
        </w:rPr>
        <w:t xml:space="preserve">代表：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eastAsia="zh-CN"/>
        </w:rPr>
        <w:t xml:space="preserve">分管院领导</w:t>
      </w:r>
      <w:r>
        <w:rPr>
          <w:rFonts w:hint="eastAsia" w:ascii="宋体" w:hAnsi="宋体" w:eastAsia="宋体" w:cs="宋体"/>
          <w:sz w:val="21"/>
          <w:szCs w:val="21"/>
          <w:highlight w:val="none"/>
          <w:u w:val="none"/>
        </w:rPr>
        <w:t xml:space="preserve">：                                  代表（手机）：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eastAsia="zh-CN"/>
        </w:rPr>
        <w:t xml:space="preserve">医用物资采购中心负责人</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开户行：</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日期：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eastAsia="zh-CN"/>
        </w:rPr>
        <w:t xml:space="preserve">账</w:t>
      </w:r>
      <w:r>
        <w:rPr>
          <w:rFonts w:hint="eastAsia" w:ascii="宋体" w:hAnsi="宋体" w:eastAsia="宋体" w:cs="宋体"/>
          <w:sz w:val="21"/>
          <w:szCs w:val="21"/>
          <w:highlight w:val="none"/>
          <w:u w:val="none"/>
        </w:rPr>
        <w:t xml:space="preserve">号：</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numPr>
          <w:ilvl w:val="0"/>
          <w:numId w:val="0"/>
        </w:numPr>
        <w:ind w:left="0" w:right="0" w:firstLine="420"/>
        <w:jc w:val="left"/>
        <w:keepLines w:val="0"/>
        <w:keepNext w:val="0"/>
        <w:pageBreakBefore w:val="0"/>
        <w:spacing w:before="0" w:after="0" w:line="240" w:lineRule="auto"/>
        <w:widowControl/>
        <w:rPr>
          <w:rFonts w:hint="eastAsia" w:ascii="宋体" w:hAnsi="宋体" w:eastAsia="宋体" w:cs="宋体"/>
          <w:sz w:val="21"/>
          <w:szCs w:val="21"/>
          <w:highlight w:val="none"/>
          <w:u w:val="none"/>
        </w:rPr>
        <w:outlineLvl w:val="9"/>
      </w:pPr>
      <w:r>
        <w:rPr>
          <w:rFonts w:hint="eastAsia" w:ascii="宋体" w:hAnsi="宋体" w:eastAsia="宋体" w:cs="宋体"/>
          <w:sz w:val="21"/>
          <w:szCs w:val="21"/>
          <w:highlight w:val="none"/>
          <w:u w:val="none"/>
        </w:rPr>
      </w:r>
      <w:r/>
    </w:p>
    <w:p>
      <w:pPr>
        <w:spacing w:line="480" w:lineRule="auto"/>
        <w:rPr>
          <w:rFonts w:hint="eastAsia" w:hAnsi="宋体"/>
          <w:color w:val="auto"/>
          <w:szCs w:val="21"/>
          <w:highlight w:val="none"/>
        </w:rPr>
      </w:pPr>
      <w:r>
        <w:rPr>
          <w:rFonts w:hint="eastAsia" w:hAnsi="宋体"/>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六</w:t>
      </w:r>
      <w:r>
        <w:rPr>
          <w:rFonts w:ascii="Arial" w:hAnsi="Arial" w:eastAsia="黑体" w:cs="Arial"/>
          <w:b/>
          <w:color w:val="auto"/>
          <w:sz w:val="28"/>
          <w:szCs w:val="28"/>
          <w:highlight w:val="none"/>
        </w:rPr>
        <w:t xml:space="preserve">章  投标文件格式及附件</w:t>
      </w:r>
      <w:bookmarkEnd w:id="118"/>
      <w:r/>
      <w:bookmarkEnd w:id="119"/>
      <w:r/>
      <w:bookmarkEnd w:id="120"/>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auto"/>
          <w:sz w:val="24"/>
          <w:highlight w:val="none"/>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951"/>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51"/>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51"/>
        <w:jc w:val="center"/>
        <w:spacing w:beforeAutospacing="0" w:afterAutospacing="0"/>
        <w:widowControl/>
        <w:rPr>
          <w:color w:val="auto"/>
          <w:highlight w:val="none"/>
        </w:rPr>
      </w:pPr>
      <w:r>
        <w:rPr>
          <w:rFonts w:ascii="宋体" w:hAnsi="宋体" w:cs="宋体"/>
          <w:b/>
          <w:bCs/>
          <w:color w:val="auto"/>
          <w:sz w:val="72"/>
          <w:szCs w:val="72"/>
          <w:highlight w:val="none"/>
        </w:rPr>
        <w:t xml:space="preserve">投标文件</w:t>
      </w:r>
      <w:r/>
    </w:p>
    <w:p>
      <w:pPr>
        <w:pStyle w:val="951"/>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1"/>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pStyle w:val="951"/>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pStyle w:val="951"/>
        <w:jc w:val="both"/>
        <w:spacing w:beforeAutospacing="0" w:afterAutospacing="0"/>
        <w:widowControl/>
        <w:rPr>
          <w:color w:val="auto"/>
          <w:highlight w:val="none"/>
        </w:rP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pStyle w:val="951"/>
        <w:jc w:val="both"/>
        <w:spacing w:beforeAutospacing="0" w:afterAutospacing="0"/>
        <w:widowControl/>
        <w:rPr>
          <w:color w:val="auto"/>
          <w:highlight w:val="none"/>
        </w:rPr>
      </w:pPr>
      <w:r>
        <w:rPr>
          <w:rFonts w:ascii="宋体" w:hAnsi="宋体" w:cs="宋体"/>
          <w:b/>
          <w:bCs/>
          <w:color w:val="auto"/>
          <w:sz w:val="36"/>
          <w:szCs w:val="36"/>
          <w:highlight w:val="none"/>
        </w:rPr>
        <w:t xml:space="preserve">   日 </w:t>
      </w:r>
      <w:r>
        <w:rPr>
          <w:rFonts w:hint="eastAsia"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rPr>
        <w:t xml:space="preserve">投标函(格式)：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  标  函</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致苏美达国际技术贸易有限公司：</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我方收到贵方编号</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电话：                              传真：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rPr>
        <w:t xml:space="preserve">关于资格的声明函(格式)：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招标编号：</w:t>
      </w:r>
      <w:r/>
    </w:p>
    <w:p>
      <w:pPr>
        <w:jc w:val="center"/>
        <w:spacing w:line="360" w:lineRule="auto"/>
        <w:tabs>
          <w:tab w:val="left" w:pos="63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        日期：</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w:t>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0"/>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auto"/>
          <w:sz w:val="24"/>
          <w:highlight w:val="none"/>
        </w:rPr>
        <w:outlineLvl w:val="0"/>
      </w:pPr>
      <w:r>
        <w:rPr>
          <w:rFonts w:eastAsia="黑体"/>
          <w:bCs/>
          <w:color w:val="auto"/>
          <w:sz w:val="24"/>
          <w:highlight w:val="none"/>
        </w:rPr>
      </w:r>
      <w:r/>
    </w:p>
    <w:p>
      <w:pPr>
        <w:rPr>
          <w:color w:val="auto"/>
          <w:highlight w:val="none"/>
        </w:rPr>
      </w:pPr>
      <w:r>
        <w:rPr>
          <w:color w:val="auto"/>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outlineLvl w:val="0"/>
      </w:pPr>
      <w:r>
        <w:rPr>
          <w:rFonts w:eastAsia="黑体"/>
          <w:bCs/>
          <w:color w:val="auto"/>
          <w:sz w:val="28"/>
          <w:szCs w:val="28"/>
          <w:highlight w:val="none"/>
        </w:rPr>
      </w:r>
      <w:r/>
    </w:p>
    <w:p>
      <w:pPr>
        <w:spacing w:line="360" w:lineRule="auto"/>
        <w:rPr>
          <w:rFonts w:hint="eastAsia" w:ascii="宋体" w:hAnsi="宋体" w:cs="宋体"/>
          <w:bCs/>
          <w:color w:val="auto"/>
          <w:szCs w:val="21"/>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Cs w:val="21"/>
          <w:highlight w:val="none"/>
        </w:rPr>
        <w:t xml:space="preserve">           招标编号：</w:t>
      </w:r>
      <w:r/>
    </w:p>
    <w:p>
      <w:pPr>
        <w:ind w:firstLine="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系中华人民共和国合法企业，特授权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我公司(单位)对被授权人的签名负全部责任。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被授权人情况：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姓名：         性别：             电话：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投标人(盖章)：</w:t>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pStyle w:val="932"/>
        <w:rPr>
          <w:rFonts w:eastAsia="黑体"/>
          <w:color w:val="auto"/>
          <w:sz w:val="24"/>
          <w:szCs w:val="24"/>
          <w:highlight w:val="none"/>
        </w:rPr>
      </w:pPr>
      <w:r>
        <w:rPr>
          <w:rFonts w:eastAsia="黑体"/>
          <w:color w:val="auto"/>
          <w:sz w:val="24"/>
          <w:szCs w:val="24"/>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6"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5" o:spid="_x0000_s5"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7"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6" o:spid="_x0000_s6"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932"/>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8"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7" o:spid="_x0000_s7"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auto"/>
          <w:sz w:val="24"/>
          <w:szCs w:val="24"/>
          <w:highlight w:val="none"/>
        </w:rPr>
        <w:t xml:space="preserve"> </w:t>
      </w:r>
      <w:r>
        <w:rPr>
          <w:color w:val="auto"/>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9"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8" o:spid="_x0000_s8"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(四) 承诺书(格式)：</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（投标人名称）在此承诺：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.本公司（单位）</w:t>
      </w:r>
      <w:r>
        <w:rPr>
          <w:rFonts w:hint="eastAsia" w:ascii="宋体" w:hAnsi="宋体"/>
          <w:bCs/>
          <w:color w:val="auto"/>
          <w:szCs w:val="21"/>
          <w:highlight w:val="none"/>
        </w:rPr>
        <w:t xml:space="preserve">对本项目（招标编号：              ）所提供的货物均为原厂全新合格品，提供的服务符合招标文件要求；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2.本公司（单位）具备履行合同所必需的设备和专业技术能力；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Cs w:val="21"/>
          <w:highlight w:val="none"/>
        </w:rPr>
        <w:t xml:space="preserve">www.creditchina.gov.cn</w:t>
      </w:r>
      <w:r>
        <w:rPr>
          <w:rFonts w:hint="eastAsia" w:ascii="宋体" w:hAnsi="宋体"/>
          <w:color w:val="auto"/>
          <w:szCs w:val="21"/>
          <w:highlight w:val="none"/>
        </w:rPr>
        <w:fldChar w:fldCharType="end"/>
      </w:r>
      <w:r>
        <w:rPr>
          <w:rFonts w:hint="eastAsia" w:ascii="宋体" w:hAnsi="宋体"/>
          <w:color w:val="auto"/>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4.本公司（单位）参加政府采购活动前3年内在经营活动中没有重大违法记录。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35"/>
        <w:ind w:left="0"/>
        <w:rPr>
          <w:color w:val="auto"/>
          <w:szCs w:val="21"/>
          <w:highlight w:val="none"/>
        </w:rPr>
      </w:pPr>
      <w:r>
        <w:rPr>
          <w:color w:val="auto"/>
          <w:szCs w:val="21"/>
          <w:highlight w:val="none"/>
        </w:rPr>
      </w:r>
      <w:r/>
    </w:p>
    <w:p>
      <w:pPr>
        <w:ind w:firstLine="420"/>
        <w:spacing w:line="360" w:lineRule="auto"/>
        <w:rPr>
          <w:rFonts w:ascii="宋体"/>
          <w:bCs/>
          <w:color w:val="auto"/>
          <w:szCs w:val="21"/>
          <w:highlight w:val="none"/>
        </w:rPr>
      </w:pPr>
      <w:r>
        <w:rPr>
          <w:rFonts w:hint="eastAsia" w:ascii="宋体" w:hAnsi="宋体"/>
          <w:bCs/>
          <w:color w:val="auto"/>
          <w:szCs w:val="21"/>
          <w:highlight w:val="none"/>
        </w:rPr>
        <w:t xml:space="preserve">如违背上述承诺，本公司</w:t>
      </w:r>
      <w:r>
        <w:rPr>
          <w:rFonts w:hint="eastAsia" w:ascii="宋体" w:hAnsi="宋体"/>
          <w:color w:val="auto"/>
          <w:szCs w:val="21"/>
          <w:highlight w:val="none"/>
        </w:rPr>
        <w:t xml:space="preserve">（单位）</w:t>
      </w:r>
      <w:r>
        <w:rPr>
          <w:rFonts w:hint="eastAsia" w:ascii="宋体" w:hAnsi="宋体"/>
          <w:bCs/>
          <w:color w:val="auto"/>
          <w:szCs w:val="21"/>
          <w:highlight w:val="none"/>
        </w:rPr>
        <w:t xml:space="preserve">将承担一切法律责任。</w:t>
      </w:r>
      <w:r/>
    </w:p>
    <w:p>
      <w:pPr>
        <w:spacing w:line="360" w:lineRule="auto"/>
        <w:rPr>
          <w:rFonts w:ascii="宋体"/>
          <w:color w:val="auto"/>
          <w:szCs w:val="21"/>
          <w:highlight w:val="none"/>
        </w:rPr>
      </w:pPr>
      <w:r>
        <w:rPr>
          <w:rFonts w:ascii="宋体"/>
          <w:color w:val="auto"/>
          <w:szCs w:val="21"/>
          <w:highlight w:val="none"/>
        </w:rPr>
      </w:r>
      <w:r/>
    </w:p>
    <w:p>
      <w:pPr>
        <w:ind w:firstLine="4725"/>
        <w:spacing w:line="360" w:lineRule="auto"/>
        <w:rPr>
          <w:rFonts w:ascii="宋体"/>
          <w:bCs/>
          <w:color w:val="auto"/>
          <w:szCs w:val="21"/>
          <w:highlight w:val="none"/>
        </w:rPr>
      </w:pPr>
      <w:r>
        <w:rPr>
          <w:rFonts w:ascii="宋体"/>
          <w:bCs/>
          <w:color w:val="auto"/>
          <w:szCs w:val="21"/>
          <w:highlight w:val="none"/>
        </w:rPr>
      </w:r>
      <w:r/>
    </w:p>
    <w:p>
      <w:pPr>
        <w:ind w:firstLine="4515"/>
        <w:spacing w:line="360" w:lineRule="auto"/>
        <w:rPr>
          <w:rFonts w:hint="eastAsia" w:ascii="宋体" w:hAnsi="宋体"/>
          <w:bCs/>
          <w:color w:val="auto"/>
          <w:szCs w:val="21"/>
          <w:highlight w:val="none"/>
        </w:rPr>
      </w:pPr>
      <w:r>
        <w:rPr>
          <w:rFonts w:hint="eastAsia" w:ascii="宋体" w:hAnsi="宋体" w:cs="宋体"/>
          <w:bCs/>
          <w:color w:val="auto"/>
          <w:szCs w:val="21"/>
          <w:highlight w:val="none"/>
        </w:rPr>
        <w:t xml:space="preserve">投标人(盖章)：</w:t>
      </w:r>
      <w:r/>
    </w:p>
    <w:p>
      <w:pPr>
        <w:ind w:firstLine="84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168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pStyle w:val="1210"/>
        <w:rPr>
          <w:color w:val="auto"/>
          <w:highlight w:val="none"/>
        </w:rPr>
      </w:pPr>
      <w:r>
        <w:rPr>
          <w:color w:val="auto"/>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（五）</w:t>
      </w:r>
      <w:r>
        <w:rPr>
          <w:rFonts w:hint="eastAsia" w:ascii="宋体" w:hAnsi="宋体" w:cs="宋体"/>
          <w:b/>
          <w:color w:val="auto"/>
          <w:sz w:val="24"/>
          <w:szCs w:val="24"/>
          <w:highlight w:val="none"/>
        </w:rPr>
        <w:t xml:space="preserve">开标一览表(格式系统生成)：</w:t>
      </w:r>
      <w:r/>
    </w:p>
    <w:p>
      <w:pPr>
        <w:rPr>
          <w:rFonts w:eastAsia="黑体"/>
          <w:bCs/>
          <w:color w:val="auto"/>
          <w:sz w:val="28"/>
          <w:szCs w:val="28"/>
          <w:highlight w:val="none"/>
        </w:rPr>
        <w:outlineLvl w:val="0"/>
      </w:pPr>
      <w:r>
        <w:rPr>
          <w:rFonts w:eastAsia="黑体"/>
          <w:bCs/>
          <w:color w:val="auto"/>
          <w:sz w:val="28"/>
          <w:szCs w:val="28"/>
          <w:highlight w:val="none"/>
        </w:rPr>
      </w:r>
      <w:r/>
    </w:p>
    <w:p>
      <w:pPr>
        <w:pStyle w:val="935"/>
        <w:ind w:left="1260"/>
        <w:rPr>
          <w:color w:val="auto"/>
          <w:highlight w:val="none"/>
        </w:rPr>
      </w:pPr>
      <w:r>
        <w:rPr>
          <w:color w:val="auto"/>
          <w:highlight w:val="none"/>
        </w:rPr>
      </w:r>
      <w:r/>
    </w:p>
    <w:p>
      <w:pPr>
        <w:rPr>
          <w:color w:val="auto"/>
          <w:highlight w:val="none"/>
        </w:rPr>
      </w:pPr>
      <w:r>
        <w:rPr>
          <w:color w:val="auto"/>
          <w:highlight w:val="none"/>
        </w:rPr>
      </w:r>
      <w:r/>
    </w:p>
    <w:p>
      <w:pPr>
        <w:pStyle w:val="935"/>
        <w:ind w:left="1260"/>
        <w:rPr>
          <w:color w:val="auto"/>
          <w:highlight w:val="none"/>
        </w:rPr>
      </w:pPr>
      <w:r>
        <w:rPr>
          <w:color w:val="auto"/>
          <w:highlight w:val="none"/>
        </w:rPr>
      </w:r>
      <w:r/>
    </w:p>
    <w:p>
      <w:pPr>
        <w:rPr>
          <w:color w:val="auto"/>
          <w:highlight w:val="none"/>
        </w:rPr>
      </w:pPr>
      <w:r>
        <w:rPr>
          <w:color w:val="auto"/>
          <w:highlight w:val="none"/>
        </w:rPr>
      </w:r>
      <w:r/>
    </w:p>
    <w:p>
      <w:pPr>
        <w:pStyle w:val="935"/>
        <w:ind w:left="1260"/>
        <w:rPr>
          <w:color w:val="auto"/>
          <w:highlight w:val="none"/>
        </w:rPr>
      </w:pPr>
      <w:r>
        <w:rPr>
          <w:color w:val="auto"/>
          <w:highlight w:val="none"/>
        </w:rPr>
      </w:r>
      <w:r/>
    </w:p>
    <w:p>
      <w:pPr>
        <w:rPr>
          <w:color w:val="auto"/>
          <w:highlight w:val="none"/>
        </w:rPr>
      </w:pPr>
      <w:r>
        <w:rPr>
          <w:color w:val="auto"/>
          <w:highlight w:val="none"/>
        </w:rPr>
      </w:r>
      <w:r/>
    </w:p>
    <w:p>
      <w:pPr>
        <w:pStyle w:val="935"/>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（六）</w:t>
      </w:r>
      <w:r>
        <w:rPr>
          <w:rFonts w:hint="eastAsia" w:ascii="宋体" w:hAnsi="宋体" w:cs="宋体"/>
          <w:b/>
          <w:color w:val="auto"/>
          <w:sz w:val="24"/>
          <w:szCs w:val="24"/>
          <w:highlight w:val="none"/>
        </w:rPr>
        <w:t xml:space="preserve">细目报价表 (格式)：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细目报价表</w:t>
      </w:r>
      <w:r/>
    </w:p>
    <w:p>
      <w:pPr>
        <w:pStyle w:val="932"/>
        <w:rPr>
          <w:color w:val="auto"/>
          <w:highlight w:val="none"/>
        </w:rPr>
      </w:pPr>
      <w:r>
        <w:rPr>
          <w:color w:val="auto"/>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投标人名称（盖章）                              招标编号：</w:t>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tbl>
      <w:tblPr>
        <w:tblStyle w:val="92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041"/>
        <w:gridCol w:w="898"/>
        <w:gridCol w:w="1476"/>
        <w:gridCol w:w="865"/>
        <w:gridCol w:w="665"/>
        <w:gridCol w:w="1089"/>
        <w:gridCol w:w="809"/>
        <w:gridCol w:w="1001"/>
      </w:tblGrid>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序号</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维保设备名称</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品牌、型号、规格</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维保内容</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单位</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数量</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维保单价（元）</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维保期</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维保总价（元）</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gridSpan w:val="9"/>
            <w:tcW w:w="9413" w:type="dxa"/>
            <w:vAlign w:val="center"/>
            <w:textDirection w:val="lrTb"/>
            <w:noWrap w:val="false"/>
          </w:tcPr>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投标总价：</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金额大写：         元</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法定代表人或法定代表人授权代表签字或盖章：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210"/>
        <w:ind w:firstLine="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ascii="宋体" w:hAnsi="宋体" w:eastAsia="宋体" w:cs="宋体"/>
          <w:b/>
          <w:color w:val="auto"/>
          <w:sz w:val="24"/>
          <w:szCs w:val="24"/>
          <w:highlight w:val="none"/>
        </w:rPr>
        <w:t xml:space="preserve">（七）采购需求响应偏离表（格式）：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采购需求响应偏离表</w:t>
      </w:r>
      <w:r/>
    </w:p>
    <w:p>
      <w:pPr>
        <w:spacing w:line="400" w:lineRule="exact"/>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招标编号：</w:t>
      </w:r>
      <w:r/>
    </w:p>
    <w:tbl>
      <w:tblPr>
        <w:tblStyle w:val="92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bCs/>
                <w:szCs w:val="21"/>
                <w:highlight w:val="none"/>
              </w:rPr>
              <w:t xml:space="preserve">招标文件要求</w:t>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bl>
    <w:p>
      <w:pPr>
        <w:spacing w:line="360" w:lineRule="auto"/>
        <w:rPr>
          <w:color w:val="auto"/>
          <w:szCs w:val="21"/>
          <w:highlight w:val="none"/>
        </w:rPr>
      </w:pPr>
      <w:r>
        <w:rPr>
          <w:color w:val="auto"/>
          <w:szCs w:val="21"/>
          <w:highlight w:val="none"/>
        </w:rPr>
      </w:r>
      <w:r/>
    </w:p>
    <w:p>
      <w:pPr>
        <w:pStyle w:val="1220"/>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szCs w:val="21"/>
          <w:highlight w:val="none"/>
        </w:rPr>
        <w:t xml:space="preserve">投标人应对招标文件《采购需求》的内容给予逐条响应，若漏项或不逐条应答视为</w:t>
      </w:r>
      <w:r>
        <w:rPr>
          <w:rFonts w:hint="eastAsia" w:ascii="宋体" w:hAnsi="宋体" w:eastAsia="宋体" w:cs="宋体"/>
          <w:color w:val="000000"/>
          <w:szCs w:val="21"/>
          <w:highlight w:val="none"/>
        </w:rPr>
        <w:t xml:space="preserve">完全响应招标文件的商务条款要求。</w:t>
      </w:r>
      <w:r/>
    </w:p>
    <w:p>
      <w:pPr>
        <w:numPr>
          <w:ilvl w:val="0"/>
          <w:numId w:val="7"/>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“偏离/响应”</w:t>
      </w:r>
      <w:r>
        <w:rPr>
          <w:rFonts w:hint="eastAsia" w:ascii="宋体" w:hAnsi="宋体" w:eastAsia="宋体" w:cs="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p>
    <w:p>
      <w:pPr>
        <w:pStyle w:val="93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3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19"/>
        <w:tabs>
          <w:tab w:val="left" w:pos="4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）投标供应商简介和经营情况说明：</w:t>
      </w:r>
      <w:r/>
    </w:p>
    <w:p>
      <w:pPr>
        <w:rPr>
          <w:color w:val="auto"/>
          <w:highlight w:val="none"/>
        </w:rPr>
      </w:pPr>
      <w:r>
        <w:rPr>
          <w:color w:val="auto"/>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投标供应商简介和经营情况说明</w:t>
      </w:r>
      <w:r/>
    </w:p>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（内容写不完的栏目可相应扩展）</w:t>
      </w:r>
      <w:r/>
    </w:p>
    <w:tbl>
      <w:tblPr>
        <w:tblStyle w:val="92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136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中级职称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高级职称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115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29"/>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自有面积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p>
            <w:pPr>
              <w:pStyle w:val="929"/>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承租面积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2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2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rPr>
          <w:color w:val="auto"/>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）中小企业声明函（格式）：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ind w:firstLine="560"/>
        <w:jc w:val="center"/>
        <w:rPr>
          <w:rFonts w:ascii="Times New Roman" w:hAnsi="Times New Roman" w:eastAsia="宋体" w:cs="Times New Roman"/>
          <w:sz w:val="24"/>
          <w:highlight w:val="none"/>
        </w:rPr>
      </w:pPr>
      <w:r>
        <w:rPr>
          <w:rFonts w:ascii="黑体" w:hAnsi="宋体" w:eastAsia="黑体" w:cs="黑体"/>
          <w:color w:val="000000"/>
          <w:sz w:val="28"/>
          <w:szCs w:val="28"/>
          <w:highlight w:val="none"/>
        </w:rPr>
        <w:t xml:space="preserve">中小企业声明函（工程、服务）</w:t>
      </w:r>
      <w:r/>
    </w:p>
    <w:p>
      <w:pPr>
        <w:ind w:firstLine="480"/>
        <w:jc w:val="left"/>
        <w:spacing w:line="360" w:lineRule="auto"/>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ind w:firstLine="480"/>
        <w:jc w:val="left"/>
        <w:spacing w:line="360" w:lineRule="auto"/>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p>
    <w:p>
      <w:pPr>
        <w:ind w:firstLine="480"/>
        <w:jc w:val="righ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企业名称（盖章）：    </w:t>
      </w:r>
      <w:r/>
    </w:p>
    <w:p>
      <w:pPr>
        <w:ind w:firstLine="480"/>
        <w:jc w:val="center"/>
        <w:spacing w:line="360" w:lineRule="auto"/>
        <w:widowControl/>
        <w:rPr>
          <w:rFonts w:ascii="Times New Roman" w:hAnsi="Times New Roman" w:eastAsia="宋体" w:cs="Times New Roman"/>
          <w:sz w:val="24"/>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t xml:space="preserve">     </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p>
    <w:p>
      <w:pPr>
        <w:ind w:firstLine="480"/>
        <w:spacing w:line="30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firstLine="480"/>
        <w:spacing w:line="300" w:lineRule="auto"/>
        <w:rPr>
          <w:rFonts w:ascii="Times New Roman" w:hAnsi="Times New Roman" w:eastAsia="宋体" w:cs="Times New Roman"/>
          <w:sz w:val="24"/>
          <w:highlight w:val="none"/>
        </w:rPr>
      </w:pPr>
      <w:r>
        <w:rPr>
          <w:rFonts w:hint="eastAsia" w:ascii="宋体" w:hAnsi="宋体" w:eastAsia="宋体" w:cs="宋体"/>
          <w:color w:val="000000"/>
          <w:szCs w:val="21"/>
          <w:highlight w:val="none"/>
        </w:rPr>
        <w:t xml:space="preserve">注：1.从业人员、营业收入、资产总额填报上一年度数据，无上一年度数据的新成立企业可不填报。</w:t>
      </w:r>
      <w:r/>
    </w:p>
    <w:p>
      <w:pPr>
        <w:numPr>
          <w:ilvl w:val="0"/>
          <w:numId w:val="8"/>
        </w:numPr>
        <w:ind w:firstLine="420"/>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cs="宋体"/>
          <w:b/>
          <w:color w:val="auto"/>
          <w:szCs w:val="21"/>
          <w:highlight w:val="none"/>
        </w:rPr>
        <w:t xml:space="preserve">（十）残疾人福利性单位声明函（格式）：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残疾人福利性单位声明函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auto"/>
          <w:szCs w:val="21"/>
          <w:highlight w:val="none"/>
          <w:u w:val="single"/>
        </w:rPr>
        <w:t xml:space="preserve">             项目</w:t>
      </w:r>
      <w:r>
        <w:rPr>
          <w:rFonts w:hint="eastAsia" w:ascii="宋体" w:hAnsi="宋体" w:cs="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单位名称（盖章）：</w:t>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  期：</w:t>
      </w:r>
      <w:r/>
    </w:p>
    <w:p>
      <w:pPr>
        <w:pStyle w:val="121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pStyle w:val="1210"/>
        <w:rPr>
          <w:color w:val="auto"/>
          <w:highlight w:val="none"/>
        </w:rPr>
      </w:pPr>
      <w:r>
        <w:rPr>
          <w:color w:val="auto"/>
          <w:highlight w:val="none"/>
        </w:rPr>
      </w:r>
      <w:r/>
    </w:p>
    <w:p>
      <w:pPr>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w:t>
      </w:r>
      <w:r>
        <w:rPr>
          <w:rFonts w:hint="eastAsia" w:ascii="宋体" w:hAnsi="宋体" w:cs="宋体"/>
          <w:b/>
          <w:sz w:val="24"/>
          <w:szCs w:val="21"/>
          <w:highlight w:val="none"/>
          <w:lang w:val="en-US" w:eastAsia="zh-CN"/>
        </w:rPr>
        <w:t xml:space="preserve">十一</w:t>
      </w:r>
      <w:r>
        <w:rPr>
          <w:rFonts w:hint="eastAsia" w:ascii="宋体" w:hAnsi="宋体" w:eastAsia="宋体" w:cs="宋体"/>
          <w:b/>
          <w:sz w:val="24"/>
          <w:szCs w:val="21"/>
          <w:highlight w:val="none"/>
        </w:rPr>
        <w:t xml:space="preserve">）南京市政府采购供应商信用记录表暨信用承诺书（格式）：</w:t>
      </w:r>
      <w:r/>
    </w:p>
    <w:p>
      <w:pPr>
        <w:jc w:val="center"/>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南京市政府采购供应商信用记录表暨信用承诺书</w:t>
      </w:r>
      <w:r/>
    </w:p>
    <w:p>
      <w:pPr>
        <w:jc w:val="right"/>
        <w:widowControl/>
        <w:rPr>
          <w:rFonts w:ascii="Times New Roman" w:hAnsi="Times New Roman" w:eastAsia="宋体" w:cs="Times New Roman"/>
          <w:sz w:val="24"/>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highlight w:val="none"/>
        </w:rPr>
        <w:t xml:space="preserve"> </w:t>
      </w:r>
      <w:r/>
    </w:p>
    <w:tbl>
      <w:tblPr>
        <w:tblStyle w:val="927"/>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单位名称</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统一社会信用代码</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联系人</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联系地址</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联系电话</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1024"/>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诚信档案记录情况</w:t>
            </w:r>
            <w:r>
              <w:rPr>
                <w:rFonts w:ascii="Times New Roman" w:hAnsi="Times New Roman" w:eastAsia="宋体" w:cs="Times New Roman"/>
                <w:sz w:val="24"/>
                <w:szCs w:val="20"/>
                <w:highlight w:val="none"/>
              </w:rPr>
              <w:t xml:space="preserve"> </w:t>
            </w:r>
            <w:r/>
          </w:p>
        </w:tc>
        <w:tc>
          <w:tcPr>
            <w:gridSpan w:val="3"/>
            <w:tcW w:w="8326"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5318"/>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信用承诺</w:t>
            </w:r>
            <w:r>
              <w:rPr>
                <w:rFonts w:ascii="Times New Roman" w:hAnsi="Times New Roman" w:eastAsia="宋体" w:cs="Times New Roman"/>
                <w:sz w:val="24"/>
                <w:szCs w:val="20"/>
                <w:highlight w:val="none"/>
              </w:rPr>
              <w:t xml:space="preserve"> </w:t>
            </w:r>
            <w:r/>
          </w:p>
        </w:tc>
        <w:tc>
          <w:tcPr>
            <w:gridSpan w:val="3"/>
            <w:tcW w:w="8326" w:type="dxa"/>
            <w:vAlign w:val="center"/>
            <w:textDirection w:val="lrTb"/>
            <w:noWrap w:val="false"/>
          </w:tcPr>
          <w:p>
            <w:pPr>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我公司自愿参加</w:t>
            </w:r>
            <w:r>
              <w:rPr>
                <w:rFonts w:hint="eastAsia" w:ascii="Times New Roman" w:hAnsi="Times New Roman" w:eastAsia="宋体" w:cs="Times New Roman"/>
                <w:szCs w:val="21"/>
                <w:highlight w:val="none"/>
              </w:rPr>
              <w:t xml:space="preserve">苏美达国际技术贸易有限公司</w:t>
            </w:r>
            <w:r>
              <w:rPr>
                <w:rFonts w:ascii="Times New Roman" w:hAnsi="Times New Roman" w:eastAsia="宋体" w:cs="Times New Roman"/>
                <w:szCs w:val="21"/>
                <w:highlight w:val="none"/>
              </w:rPr>
              <w:t xml:space="preserve">组织的本次采购活动，严格遵守《中华人民共和国政府采购法》及相关法律法规，坚守公开、公平、</w:t>
            </w:r>
            <w:r>
              <w:rPr>
                <w:rFonts w:hint="eastAsia" w:ascii="Times New Roman" w:hAnsi="Times New Roman" w:eastAsia="宋体" w:cs="Times New Roman"/>
                <w:szCs w:val="21"/>
                <w:highlight w:val="none"/>
              </w:rPr>
              <w:t xml:space="preserve">公正</w:t>
            </w:r>
            <w:r>
              <w:rPr>
                <w:rFonts w:ascii="Times New Roman" w:hAnsi="Times New Roman" w:eastAsia="宋体" w:cs="Times New Roman"/>
                <w:szCs w:val="21"/>
                <w:highlight w:val="none"/>
              </w:rPr>
              <w:t xml:space="preserve">、诚实信用的原则，</w:t>
            </w:r>
            <w:r>
              <w:rPr>
                <w:rFonts w:hint="eastAsia" w:ascii="Times New Roman" w:hAnsi="Times New Roman" w:eastAsia="宋体" w:cs="Times New Roman"/>
                <w:szCs w:val="21"/>
                <w:highlight w:val="none"/>
              </w:rPr>
              <w:t xml:space="preserve">依法</w:t>
            </w:r>
            <w:r>
              <w:rPr>
                <w:rFonts w:ascii="Times New Roman" w:hAnsi="Times New Roman" w:eastAsia="宋体" w:cs="Times New Roman"/>
                <w:szCs w:val="21"/>
                <w:highlight w:val="none"/>
              </w:rPr>
              <w:t xml:space="preserve">诚信经营，无条件遵守本次政府采购活动的各项规定。</w:t>
            </w:r>
            <w:r>
              <w:rPr>
                <w:rFonts w:ascii="Times New Roman" w:hAnsi="Times New Roman" w:eastAsia="宋体" w:cs="Times New Roman"/>
                <w:sz w:val="24"/>
                <w:szCs w:val="20"/>
                <w:highlight w:val="none"/>
              </w:rPr>
              <w:t xml:space="preserve"> </w:t>
            </w:r>
            <w:r/>
          </w:p>
          <w:p>
            <w:pPr>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我们郑重承诺，本公司符合《</w:t>
            </w:r>
            <w:r>
              <w:rPr>
                <w:rFonts w:hint="eastAsia" w:ascii="Times New Roman" w:hAnsi="Times New Roman" w:eastAsia="宋体" w:cs="Times New Roman"/>
                <w:szCs w:val="21"/>
                <w:highlight w:val="none"/>
              </w:rPr>
              <w:t xml:space="preserve">中华人民共和国政府采购法</w:t>
            </w:r>
            <w:r>
              <w:rPr>
                <w:rFonts w:ascii="Times New Roman" w:hAnsi="Times New Roman" w:eastAsia="宋体" w:cs="Times New Roman"/>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szCs w:val="21"/>
                <w:highlight w:val="none"/>
              </w:rPr>
              <w:t xml:space="preserve">；具</w:t>
            </w:r>
            <w:r>
              <w:rPr>
                <w:rFonts w:ascii="Times New Roman" w:hAnsi="Times New Roman" w:eastAsia="宋体" w:cs="Times New Roman"/>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szCs w:val="21"/>
                <w:highlight w:val="none"/>
              </w:rPr>
              <w:t xml:space="preserve">机关的</w:t>
            </w:r>
            <w:r>
              <w:rPr>
                <w:rFonts w:ascii="Times New Roman" w:hAnsi="Times New Roman" w:eastAsia="宋体" w:cs="Times New Roman"/>
                <w:szCs w:val="21"/>
                <w:highlight w:val="none"/>
              </w:rPr>
              <w:t xml:space="preserve">审查和处罚。</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供应商名称（盖章）：</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法定代表人（签字）：</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szCs w:val="20"/>
                <w:highlight w:val="none"/>
              </w:rPr>
              <w:t xml:space="preserve"> </w:t>
            </w:r>
            <w:r/>
          </w:p>
        </w:tc>
      </w:tr>
    </w:tbl>
    <w:p>
      <w:pPr>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right="-5"/>
        <w:jc w:val="left"/>
        <w:spacing w:before="100" w:beforeAutospacing="1" w:after="100" w:afterAutospacing="1"/>
        <w:widowControl/>
        <w:rPr>
          <w:highlight w:val="none"/>
        </w:rPr>
      </w:pPr>
      <w:r>
        <w:rPr>
          <w:rFonts w:hint="eastAsia" w:ascii="宋体" w:hAnsi="宋体" w:eastAsia="宋体" w:cs="宋体"/>
          <w:bCs/>
          <w:sz w:val="18"/>
          <w:szCs w:val="18"/>
          <w:highlight w:val="none"/>
        </w:rPr>
        <w:t xml:space="preserve">点击‘南京公共采购信息网’</w:t>
      </w:r>
      <w:r>
        <w:rPr>
          <w:rFonts w:hint="eastAsia" w:ascii="宋体" w:hAnsi="宋体" w:eastAsia="宋体" w:cs="宋体"/>
          <w:bCs/>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p>
    <w:p>
      <w:pPr>
        <w:pStyle w:val="1154"/>
        <w:ind w:firstLine="240"/>
        <w:rPr>
          <w:rFonts w:ascii="Arial" w:hAnsi="Arial" w:cs="Arial"/>
          <w:color w:val="auto"/>
          <w:sz w:val="24"/>
          <w:highlight w:val="none"/>
        </w:rPr>
      </w:pPr>
      <w:r>
        <w:rPr>
          <w:rFonts w:ascii="Arial" w:hAnsi="Arial" w:cs="Arial"/>
          <w:color w:val="auto"/>
          <w:sz w:val="24"/>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2">
    <w:panose1 w:val="05020102010507070707"/>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59"/>
      </w:rPr>
    </w:pPr>
    <w:r>
      <w:rPr>
        <w:rStyle w:val="1159"/>
        <w:rFonts w:hint="eastAsia"/>
      </w:rPr>
      <w:t xml:space="preserve">            </w:t>
    </w:r>
    <w:r/>
  </w:p>
  <w:p>
    <w:pPr>
      <w:pStyle w:val="1137"/>
      <w:rPr>
        <w:rStyle w:val="1159"/>
      </w:rPr>
      <w:framePr w:wrap="around" w:vAnchor="text" w:hAnchor="page" w:x="6104" w:y="52"/>
    </w:pPr>
    <w:r>
      <w:rPr>
        <w:rStyle w:val="1159"/>
        <w:rFonts w:hint="eastAsia"/>
      </w:rPr>
      <w:t xml:space="preserve">                   </w:t>
    </w:r>
    <w:r/>
  </w:p>
  <w:p>
    <w:pPr>
      <w:pStyle w:val="113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pPr>
    <w:r>
      <w:fldChar w:fldCharType="begin"/>
    </w:r>
    <w:r>
      <w:instrText xml:space="preserve">PAGE   \* MERGEFORMAT</w:instrText>
    </w:r>
    <w:r>
      <w:fldChar w:fldCharType="separate"/>
    </w:r>
    <w:r>
      <w:rPr>
        <w:lang w:val="zh-CN"/>
      </w:rPr>
      <w:t xml:space="preserve">90</w:t>
    </w:r>
    <w:r>
      <w:fldChar w:fldCharType="end"/>
    </w:r>
    <w:r/>
  </w:p>
  <w:p>
    <w:pPr>
      <w:pStyle w:val="113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3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p>
    <w:pPr>
      <w:pStyle w:val="942"/>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p>
    <w:pPr>
      <w:jc w:val="right"/>
      <w:spacing w:line="40" w:lineRule="exact"/>
      <w:tabs>
        <w:tab w:val="center" w:pos="4153" w:leader="none"/>
        <w:tab w:val="right" w:pos="8306" w:leader="none"/>
      </w:tabs>
      <w:rPr>
        <w:rFonts w:ascii="宋体"/>
        <w:sz w:val="18"/>
      </w:rPr>
    </w:pPr>
    <w:r>
      <w:rPr>
        <w:rFonts w:ascii="宋体"/>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sz w:val="21"/>
      </w:rPr>
    </w:pPr>
    <w:r>
      <w:rPr>
        <w:rFonts w:hint="eastAsia"/>
        <w:sz w:val="21"/>
      </w:rPr>
      <w:t xml:space="preserve">苏美达国际技术贸易有限公司                                           SUMEC       </w:t>
    </w:r>
    <w:r/>
  </w:p>
  <w:p>
    <w:pPr>
      <w:pStyle w:val="1139"/>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tab"/>
      <w:lvlText w:val="第%1章"/>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203"/>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6"/>
  </w:num>
  <w:num w:numId="2">
    <w:abstractNumId w:val="2"/>
  </w:num>
  <w:num w:numId="3">
    <w:abstractNumId w:val="3"/>
  </w:num>
  <w:num w:numId="4">
    <w:abstractNumId w:val="1"/>
  </w:num>
  <w:num w:numId="5">
    <w:abstractNumId w:val="4"/>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926"/>
    <w:link w:val="917"/>
    <w:uiPriority w:val="9"/>
    <w:rPr>
      <w:rFonts w:ascii="Arial" w:hAnsi="Arial" w:eastAsia="Arial" w:cs="Arial"/>
      <w:sz w:val="40"/>
      <w:szCs w:val="40"/>
    </w:rPr>
  </w:style>
  <w:style w:type="character" w:styleId="880">
    <w:name w:val="Heading 2 Char"/>
    <w:basedOn w:val="926"/>
    <w:link w:val="918"/>
    <w:uiPriority w:val="9"/>
    <w:rPr>
      <w:rFonts w:ascii="Arial" w:hAnsi="Arial" w:eastAsia="Arial" w:cs="Arial"/>
      <w:sz w:val="34"/>
    </w:rPr>
  </w:style>
  <w:style w:type="character" w:styleId="881">
    <w:name w:val="Heading 3 Char"/>
    <w:basedOn w:val="926"/>
    <w:link w:val="919"/>
    <w:uiPriority w:val="9"/>
    <w:rPr>
      <w:rFonts w:ascii="Arial" w:hAnsi="Arial" w:eastAsia="Arial" w:cs="Arial"/>
      <w:sz w:val="30"/>
      <w:szCs w:val="30"/>
    </w:rPr>
  </w:style>
  <w:style w:type="character" w:styleId="882">
    <w:name w:val="Heading 4 Char"/>
    <w:basedOn w:val="926"/>
    <w:link w:val="920"/>
    <w:uiPriority w:val="9"/>
    <w:rPr>
      <w:rFonts w:ascii="Arial" w:hAnsi="Arial" w:eastAsia="Arial" w:cs="Arial"/>
      <w:b/>
      <w:bCs/>
      <w:sz w:val="26"/>
      <w:szCs w:val="26"/>
    </w:rPr>
  </w:style>
  <w:style w:type="character" w:styleId="883">
    <w:name w:val="Heading 5 Char"/>
    <w:basedOn w:val="926"/>
    <w:link w:val="921"/>
    <w:uiPriority w:val="9"/>
    <w:rPr>
      <w:rFonts w:ascii="Arial" w:hAnsi="Arial" w:eastAsia="Arial" w:cs="Arial"/>
      <w:b/>
      <w:bCs/>
      <w:sz w:val="24"/>
      <w:szCs w:val="24"/>
    </w:rPr>
  </w:style>
  <w:style w:type="character" w:styleId="884">
    <w:name w:val="Heading 6 Char"/>
    <w:basedOn w:val="926"/>
    <w:link w:val="922"/>
    <w:uiPriority w:val="9"/>
    <w:rPr>
      <w:rFonts w:ascii="Arial" w:hAnsi="Arial" w:eastAsia="Arial" w:cs="Arial"/>
      <w:b/>
      <w:bCs/>
      <w:sz w:val="22"/>
      <w:szCs w:val="22"/>
    </w:rPr>
  </w:style>
  <w:style w:type="character" w:styleId="885">
    <w:name w:val="Heading 7 Char"/>
    <w:basedOn w:val="926"/>
    <w:link w:val="923"/>
    <w:uiPriority w:val="9"/>
    <w:rPr>
      <w:rFonts w:ascii="Arial" w:hAnsi="Arial" w:eastAsia="Arial" w:cs="Arial"/>
      <w:b/>
      <w:bCs/>
      <w:i/>
      <w:iCs/>
      <w:sz w:val="22"/>
      <w:szCs w:val="22"/>
    </w:rPr>
  </w:style>
  <w:style w:type="character" w:styleId="886">
    <w:name w:val="Heading 8 Char"/>
    <w:basedOn w:val="926"/>
    <w:link w:val="924"/>
    <w:uiPriority w:val="9"/>
    <w:rPr>
      <w:rFonts w:ascii="Arial" w:hAnsi="Arial" w:eastAsia="Arial" w:cs="Arial"/>
      <w:i/>
      <w:iCs/>
      <w:sz w:val="22"/>
      <w:szCs w:val="22"/>
    </w:rPr>
  </w:style>
  <w:style w:type="character" w:styleId="887">
    <w:name w:val="Heading 9 Char"/>
    <w:basedOn w:val="926"/>
    <w:link w:val="925"/>
    <w:uiPriority w:val="9"/>
    <w:rPr>
      <w:rFonts w:ascii="Arial" w:hAnsi="Arial" w:eastAsia="Arial" w:cs="Arial"/>
      <w:i/>
      <w:iCs/>
      <w:sz w:val="21"/>
      <w:szCs w:val="21"/>
    </w:rPr>
  </w:style>
  <w:style w:type="character" w:styleId="888">
    <w:name w:val="Title Char"/>
    <w:basedOn w:val="926"/>
    <w:link w:val="952"/>
    <w:uiPriority w:val="10"/>
    <w:rPr>
      <w:sz w:val="48"/>
      <w:szCs w:val="48"/>
    </w:rPr>
  </w:style>
  <w:style w:type="character" w:styleId="889">
    <w:name w:val="Subtitle Char"/>
    <w:basedOn w:val="926"/>
    <w:link w:val="945"/>
    <w:uiPriority w:val="11"/>
    <w:rPr>
      <w:sz w:val="24"/>
      <w:szCs w:val="24"/>
    </w:rPr>
  </w:style>
  <w:style w:type="character" w:styleId="890">
    <w:name w:val="Quote Char"/>
    <w:link w:val="974"/>
    <w:uiPriority w:val="29"/>
    <w:rPr>
      <w:i/>
    </w:rPr>
  </w:style>
  <w:style w:type="character" w:styleId="891">
    <w:name w:val="Intense Quote Char"/>
    <w:link w:val="976"/>
    <w:uiPriority w:val="30"/>
    <w:rPr>
      <w:i/>
    </w:rPr>
  </w:style>
  <w:style w:type="character" w:styleId="892">
    <w:name w:val="Header Char"/>
    <w:basedOn w:val="926"/>
    <w:link w:val="942"/>
    <w:uiPriority w:val="99"/>
  </w:style>
  <w:style w:type="character" w:styleId="893">
    <w:name w:val="Caption Char"/>
    <w:basedOn w:val="930"/>
    <w:link w:val="941"/>
    <w:uiPriority w:val="99"/>
  </w:style>
  <w:style w:type="table" w:styleId="894">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3">
    <w:name w:val="Footnote Text Char"/>
    <w:link w:val="946"/>
    <w:uiPriority w:val="99"/>
    <w:rPr>
      <w:sz w:val="18"/>
    </w:rPr>
  </w:style>
  <w:style w:type="character" w:styleId="914">
    <w:name w:val="Endnote Text Char"/>
    <w:link w:val="940"/>
    <w:uiPriority w:val="99"/>
    <w:rPr>
      <w:sz w:val="20"/>
    </w:rPr>
  </w:style>
  <w:style w:type="paragraph" w:styleId="915">
    <w:name w:val="TOC Heading"/>
    <w:uiPriority w:val="39"/>
    <w:unhideWhenUsed/>
  </w:style>
  <w:style w:type="paragraph" w:styleId="91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17">
    <w:name w:val="Heading 1"/>
    <w:basedOn w:val="916"/>
    <w:next w:val="916"/>
    <w:link w:val="963"/>
    <w:uiPriority w:val="9"/>
    <w:qFormat/>
    <w:pPr>
      <w:keepLines/>
      <w:keepNext/>
      <w:spacing w:before="480" w:after="200"/>
      <w:outlineLvl w:val="0"/>
    </w:pPr>
    <w:rPr>
      <w:rFonts w:ascii="Arial" w:hAnsi="Arial" w:eastAsia="Arial" w:cs="Arial"/>
      <w:sz w:val="40"/>
      <w:szCs w:val="40"/>
    </w:rPr>
  </w:style>
  <w:style w:type="paragraph" w:styleId="918">
    <w:name w:val="Heading 2"/>
    <w:basedOn w:val="916"/>
    <w:next w:val="916"/>
    <w:link w:val="964"/>
    <w:uiPriority w:val="9"/>
    <w:unhideWhenUsed/>
    <w:qFormat/>
    <w:pPr>
      <w:keepLines/>
      <w:keepNext/>
      <w:spacing w:before="360" w:after="200"/>
      <w:outlineLvl w:val="1"/>
    </w:pPr>
    <w:rPr>
      <w:rFonts w:ascii="Arial" w:hAnsi="Arial" w:eastAsia="Arial" w:cs="Arial"/>
      <w:sz w:val="34"/>
    </w:rPr>
  </w:style>
  <w:style w:type="paragraph" w:styleId="919">
    <w:name w:val="Heading 3"/>
    <w:basedOn w:val="916"/>
    <w:next w:val="916"/>
    <w:link w:val="965"/>
    <w:uiPriority w:val="9"/>
    <w:unhideWhenUsed/>
    <w:qFormat/>
    <w:pPr>
      <w:keepLines/>
      <w:keepNext/>
      <w:spacing w:before="320" w:after="200"/>
      <w:outlineLvl w:val="2"/>
    </w:pPr>
    <w:rPr>
      <w:rFonts w:ascii="Arial" w:hAnsi="Arial" w:eastAsia="Arial" w:cs="Arial"/>
      <w:sz w:val="30"/>
      <w:szCs w:val="30"/>
    </w:rPr>
  </w:style>
  <w:style w:type="paragraph" w:styleId="920">
    <w:name w:val="Heading 4"/>
    <w:basedOn w:val="916"/>
    <w:next w:val="916"/>
    <w:link w:val="966"/>
    <w:uiPriority w:val="9"/>
    <w:unhideWhenUsed/>
    <w:qFormat/>
    <w:pPr>
      <w:keepLines/>
      <w:keepNext/>
      <w:spacing w:before="320" w:after="200"/>
      <w:outlineLvl w:val="3"/>
    </w:pPr>
    <w:rPr>
      <w:rFonts w:ascii="Arial" w:hAnsi="Arial" w:eastAsia="Arial" w:cs="Arial"/>
      <w:b/>
      <w:bCs/>
      <w:sz w:val="26"/>
      <w:szCs w:val="26"/>
    </w:rPr>
  </w:style>
  <w:style w:type="paragraph" w:styleId="921">
    <w:name w:val="Heading 5"/>
    <w:basedOn w:val="916"/>
    <w:next w:val="916"/>
    <w:link w:val="967"/>
    <w:uiPriority w:val="9"/>
    <w:unhideWhenUsed/>
    <w:qFormat/>
    <w:pPr>
      <w:keepLines/>
      <w:keepNext/>
      <w:spacing w:before="320" w:after="200"/>
      <w:outlineLvl w:val="4"/>
    </w:pPr>
    <w:rPr>
      <w:rFonts w:ascii="Arial" w:hAnsi="Arial" w:eastAsia="Arial" w:cs="Arial"/>
      <w:b/>
      <w:bCs/>
      <w:sz w:val="24"/>
      <w:szCs w:val="24"/>
    </w:rPr>
  </w:style>
  <w:style w:type="paragraph" w:styleId="922">
    <w:name w:val="Heading 6"/>
    <w:basedOn w:val="916"/>
    <w:next w:val="916"/>
    <w:link w:val="968"/>
    <w:uiPriority w:val="9"/>
    <w:unhideWhenUsed/>
    <w:qFormat/>
    <w:pPr>
      <w:keepLines/>
      <w:keepNext/>
      <w:spacing w:before="320" w:after="200"/>
      <w:outlineLvl w:val="5"/>
    </w:pPr>
    <w:rPr>
      <w:rFonts w:ascii="Arial" w:hAnsi="Arial" w:eastAsia="Arial" w:cs="Arial"/>
      <w:b/>
      <w:bCs/>
      <w:sz w:val="22"/>
      <w:szCs w:val="22"/>
    </w:rPr>
  </w:style>
  <w:style w:type="paragraph" w:styleId="923">
    <w:name w:val="Heading 7"/>
    <w:basedOn w:val="916"/>
    <w:next w:val="916"/>
    <w:link w:val="969"/>
    <w:uiPriority w:val="9"/>
    <w:unhideWhenUsed/>
    <w:qFormat/>
    <w:pPr>
      <w:keepLines/>
      <w:keepNext/>
      <w:spacing w:before="320" w:after="200"/>
      <w:outlineLvl w:val="6"/>
    </w:pPr>
    <w:rPr>
      <w:rFonts w:ascii="Arial" w:hAnsi="Arial" w:eastAsia="Arial" w:cs="Arial"/>
      <w:b/>
      <w:bCs/>
      <w:i/>
      <w:iCs/>
      <w:sz w:val="22"/>
      <w:szCs w:val="22"/>
    </w:rPr>
  </w:style>
  <w:style w:type="paragraph" w:styleId="924">
    <w:name w:val="Heading 8"/>
    <w:basedOn w:val="916"/>
    <w:next w:val="916"/>
    <w:link w:val="970"/>
    <w:uiPriority w:val="9"/>
    <w:unhideWhenUsed/>
    <w:qFormat/>
    <w:pPr>
      <w:keepLines/>
      <w:keepNext/>
      <w:spacing w:before="320" w:after="200"/>
      <w:outlineLvl w:val="7"/>
    </w:pPr>
    <w:rPr>
      <w:rFonts w:ascii="Arial" w:hAnsi="Arial" w:eastAsia="Arial" w:cs="Arial"/>
      <w:i/>
      <w:iCs/>
      <w:sz w:val="22"/>
      <w:szCs w:val="22"/>
    </w:rPr>
  </w:style>
  <w:style w:type="paragraph" w:styleId="925">
    <w:name w:val="Heading 9"/>
    <w:basedOn w:val="916"/>
    <w:next w:val="916"/>
    <w:link w:val="971"/>
    <w:uiPriority w:val="9"/>
    <w:unhideWhenUsed/>
    <w:qFormat/>
    <w:pPr>
      <w:keepLines/>
      <w:keepNext/>
      <w:spacing w:before="320" w:after="200"/>
      <w:outlineLvl w:val="8"/>
    </w:pPr>
    <w:rPr>
      <w:rFonts w:ascii="Arial" w:hAnsi="Arial" w:eastAsia="Arial" w:cs="Arial"/>
      <w:i/>
      <w:iCs/>
      <w:szCs w:val="21"/>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toc 7"/>
    <w:basedOn w:val="916"/>
    <w:next w:val="916"/>
    <w:uiPriority w:val="39"/>
    <w:unhideWhenUsed/>
    <w:qFormat/>
    <w:pPr>
      <w:ind w:left="1701"/>
      <w:spacing w:after="57"/>
    </w:pPr>
  </w:style>
  <w:style w:type="paragraph" w:styleId="929">
    <w:name w:val="Normal Indent"/>
    <w:basedOn w:val="916"/>
    <w:uiPriority w:val="0"/>
    <w:qFormat/>
    <w:pPr>
      <w:ind w:firstLine="420"/>
    </w:pPr>
  </w:style>
  <w:style w:type="paragraph" w:styleId="930">
    <w:name w:val="Caption"/>
    <w:basedOn w:val="916"/>
    <w:next w:val="9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1">
    <w:name w:val="annotation text"/>
    <w:basedOn w:val="916"/>
    <w:link w:val="1223"/>
    <w:uiPriority w:val="99"/>
    <w:unhideWhenUsed/>
    <w:qFormat/>
    <w:pPr>
      <w:jc w:val="left"/>
    </w:pPr>
  </w:style>
  <w:style w:type="paragraph" w:styleId="932">
    <w:name w:val="Body Text"/>
    <w:basedOn w:val="916"/>
    <w:next w:val="916"/>
    <w:uiPriority w:val="99"/>
    <w:qFormat/>
    <w:rPr>
      <w:rFonts w:ascii="华文中宋" w:eastAsia="华文中宋"/>
      <w:bCs/>
      <w:sz w:val="28"/>
    </w:rPr>
  </w:style>
  <w:style w:type="paragraph" w:styleId="933">
    <w:name w:val="Body Text Indent"/>
    <w:basedOn w:val="916"/>
    <w:uiPriority w:val="0"/>
    <w:qFormat/>
    <w:pPr>
      <w:ind w:left="565"/>
      <w:spacing w:after="100" w:line="360" w:lineRule="auto"/>
    </w:pPr>
    <w:rPr>
      <w:rFonts w:ascii="宋体"/>
      <w:sz w:val="28"/>
    </w:rPr>
  </w:style>
  <w:style w:type="paragraph" w:styleId="934">
    <w:name w:val="Block Text"/>
    <w:basedOn w:val="916"/>
    <w:uiPriority w:val="99"/>
    <w:unhideWhenUsed/>
    <w:qFormat/>
    <w:pPr>
      <w:ind w:left="630" w:right="-609" w:firstLine="420"/>
      <w:spacing w:line="360" w:lineRule="auto"/>
    </w:pPr>
    <w:rPr>
      <w:rFonts w:hint="eastAsia" w:ascii="仿宋_GB2312" w:eastAsia="仿宋_GB2312"/>
    </w:rPr>
  </w:style>
  <w:style w:type="paragraph" w:styleId="935">
    <w:name w:val="index 4"/>
    <w:basedOn w:val="916"/>
    <w:next w:val="916"/>
    <w:uiPriority w:val="99"/>
    <w:qFormat/>
    <w:pPr>
      <w:ind w:left="600"/>
    </w:pPr>
    <w:rPr>
      <w:szCs w:val="24"/>
    </w:rPr>
  </w:style>
  <w:style w:type="paragraph" w:styleId="936">
    <w:name w:val="toc 5"/>
    <w:basedOn w:val="916"/>
    <w:next w:val="916"/>
    <w:uiPriority w:val="39"/>
    <w:unhideWhenUsed/>
    <w:qFormat/>
    <w:pPr>
      <w:ind w:left="1134"/>
      <w:spacing w:after="57"/>
    </w:pPr>
  </w:style>
  <w:style w:type="paragraph" w:styleId="937">
    <w:name w:val="toc 3"/>
    <w:basedOn w:val="916"/>
    <w:next w:val="916"/>
    <w:uiPriority w:val="39"/>
    <w:unhideWhenUsed/>
    <w:qFormat/>
    <w:pPr>
      <w:ind w:left="567"/>
      <w:spacing w:after="57"/>
    </w:pPr>
  </w:style>
  <w:style w:type="paragraph" w:styleId="938">
    <w:name w:val="Plain Text"/>
    <w:basedOn w:val="916"/>
    <w:uiPriority w:val="0"/>
    <w:qFormat/>
    <w:pPr>
      <w:jc w:val="left"/>
      <w:widowControl/>
    </w:pPr>
    <w:rPr>
      <w:rFonts w:ascii="宋体" w:hAnsi="Courier New"/>
    </w:rPr>
  </w:style>
  <w:style w:type="paragraph" w:styleId="939">
    <w:name w:val="toc 8"/>
    <w:basedOn w:val="916"/>
    <w:next w:val="916"/>
    <w:uiPriority w:val="39"/>
    <w:unhideWhenUsed/>
    <w:qFormat/>
    <w:pPr>
      <w:ind w:left="1984"/>
      <w:spacing w:after="57"/>
    </w:pPr>
  </w:style>
  <w:style w:type="paragraph" w:styleId="940">
    <w:name w:val="endnote text"/>
    <w:basedOn w:val="916"/>
    <w:link w:val="1107"/>
    <w:uiPriority w:val="99"/>
    <w:semiHidden/>
    <w:unhideWhenUsed/>
    <w:qFormat/>
    <w:rPr>
      <w:sz w:val="20"/>
    </w:rPr>
  </w:style>
  <w:style w:type="paragraph" w:styleId="941">
    <w:name w:val="Footer"/>
    <w:basedOn w:val="916"/>
    <w:link w:val="980"/>
    <w:uiPriority w:val="99"/>
    <w:unhideWhenUsed/>
    <w:qFormat/>
    <w:pPr>
      <w:tabs>
        <w:tab w:val="center" w:pos="7143" w:leader="none"/>
        <w:tab w:val="right" w:pos="14287" w:leader="none"/>
      </w:tabs>
    </w:pPr>
  </w:style>
  <w:style w:type="paragraph" w:styleId="942">
    <w:name w:val="Header"/>
    <w:basedOn w:val="916"/>
    <w:link w:val="978"/>
    <w:uiPriority w:val="99"/>
    <w:unhideWhenUsed/>
    <w:qFormat/>
    <w:pPr>
      <w:tabs>
        <w:tab w:val="center" w:pos="7143" w:leader="none"/>
        <w:tab w:val="right" w:pos="14287" w:leader="none"/>
      </w:tabs>
    </w:pPr>
  </w:style>
  <w:style w:type="paragraph" w:styleId="943">
    <w:name w:val="toc 1"/>
    <w:basedOn w:val="916"/>
    <w:next w:val="916"/>
    <w:uiPriority w:val="39"/>
    <w:unhideWhenUsed/>
    <w:qFormat/>
    <w:pPr>
      <w:spacing w:after="57"/>
    </w:pPr>
  </w:style>
  <w:style w:type="paragraph" w:styleId="944">
    <w:name w:val="toc 4"/>
    <w:basedOn w:val="916"/>
    <w:next w:val="916"/>
    <w:uiPriority w:val="39"/>
    <w:unhideWhenUsed/>
    <w:qFormat/>
    <w:pPr>
      <w:ind w:left="850"/>
      <w:spacing w:after="57"/>
    </w:pPr>
  </w:style>
  <w:style w:type="paragraph" w:styleId="945">
    <w:name w:val="Subtitle"/>
    <w:basedOn w:val="916"/>
    <w:next w:val="916"/>
    <w:link w:val="973"/>
    <w:uiPriority w:val="11"/>
    <w:qFormat/>
    <w:pPr>
      <w:spacing w:before="200" w:after="200"/>
    </w:pPr>
    <w:rPr>
      <w:sz w:val="24"/>
      <w:szCs w:val="24"/>
    </w:rPr>
  </w:style>
  <w:style w:type="paragraph" w:styleId="946">
    <w:name w:val="footnote text"/>
    <w:basedOn w:val="916"/>
    <w:link w:val="1106"/>
    <w:uiPriority w:val="99"/>
    <w:semiHidden/>
    <w:unhideWhenUsed/>
    <w:qFormat/>
    <w:pPr>
      <w:spacing w:after="40"/>
    </w:pPr>
    <w:rPr>
      <w:sz w:val="18"/>
    </w:rPr>
  </w:style>
  <w:style w:type="paragraph" w:styleId="947">
    <w:name w:val="toc 6"/>
    <w:basedOn w:val="916"/>
    <w:next w:val="916"/>
    <w:uiPriority w:val="39"/>
    <w:unhideWhenUsed/>
    <w:qFormat/>
    <w:pPr>
      <w:ind w:left="1417"/>
      <w:spacing w:after="57"/>
    </w:pPr>
  </w:style>
  <w:style w:type="paragraph" w:styleId="948">
    <w:name w:val="table of figures"/>
    <w:basedOn w:val="916"/>
    <w:next w:val="916"/>
    <w:uiPriority w:val="99"/>
    <w:unhideWhenUsed/>
    <w:qFormat/>
  </w:style>
  <w:style w:type="paragraph" w:styleId="949">
    <w:name w:val="toc 2"/>
    <w:basedOn w:val="916"/>
    <w:next w:val="916"/>
    <w:uiPriority w:val="39"/>
    <w:unhideWhenUsed/>
    <w:qFormat/>
    <w:pPr>
      <w:ind w:left="283"/>
      <w:spacing w:after="57"/>
    </w:pPr>
  </w:style>
  <w:style w:type="paragraph" w:styleId="950">
    <w:name w:val="toc 9"/>
    <w:basedOn w:val="916"/>
    <w:next w:val="916"/>
    <w:uiPriority w:val="39"/>
    <w:unhideWhenUsed/>
    <w:qFormat/>
    <w:pPr>
      <w:ind w:left="2268"/>
      <w:spacing w:after="57"/>
    </w:pPr>
  </w:style>
  <w:style w:type="paragraph" w:styleId="951">
    <w:name w:val="Normal (Web)"/>
    <w:basedOn w:val="916"/>
    <w:uiPriority w:val="0"/>
    <w:qFormat/>
    <w:pPr>
      <w:jc w:val="left"/>
      <w:spacing w:beforeAutospacing="1" w:afterAutospacing="1"/>
    </w:pPr>
    <w:rPr>
      <w:sz w:val="24"/>
    </w:rPr>
  </w:style>
  <w:style w:type="paragraph" w:styleId="952">
    <w:name w:val="Title"/>
    <w:basedOn w:val="916"/>
    <w:next w:val="916"/>
    <w:link w:val="972"/>
    <w:uiPriority w:val="10"/>
    <w:qFormat/>
    <w:pPr>
      <w:contextualSpacing/>
      <w:spacing w:before="300" w:after="200"/>
    </w:pPr>
    <w:rPr>
      <w:sz w:val="48"/>
      <w:szCs w:val="48"/>
    </w:rPr>
  </w:style>
  <w:style w:type="paragraph" w:styleId="953">
    <w:name w:val="annotation subject"/>
    <w:basedOn w:val="931"/>
    <w:next w:val="931"/>
    <w:link w:val="1224"/>
    <w:uiPriority w:val="99"/>
    <w:semiHidden/>
    <w:unhideWhenUsed/>
    <w:qFormat/>
    <w:rPr>
      <w:b/>
      <w:bCs/>
    </w:rPr>
  </w:style>
  <w:style w:type="table" w:styleId="9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26"/>
    <w:uiPriority w:val="22"/>
    <w:qFormat/>
    <w:rPr>
      <w:b/>
    </w:rPr>
  </w:style>
  <w:style w:type="character" w:styleId="956">
    <w:name w:val="endnote reference"/>
    <w:uiPriority w:val="99"/>
    <w:semiHidden/>
    <w:unhideWhenUsed/>
    <w:qFormat/>
    <w:rPr>
      <w:vertAlign w:val="superscript"/>
    </w:rPr>
  </w:style>
  <w:style w:type="character" w:styleId="957">
    <w:name w:val="page number"/>
    <w:basedOn w:val="926"/>
    <w:uiPriority w:val="0"/>
    <w:qFormat/>
  </w:style>
  <w:style w:type="character" w:styleId="958">
    <w:name w:val="Emphasis"/>
    <w:basedOn w:val="926"/>
    <w:uiPriority w:val="20"/>
    <w:qFormat/>
    <w:rPr>
      <w:i/>
    </w:rPr>
  </w:style>
  <w:style w:type="character" w:styleId="959">
    <w:name w:val="Hyperlink"/>
    <w:uiPriority w:val="99"/>
    <w:unhideWhenUsed/>
    <w:qFormat/>
    <w:rPr>
      <w:color w:val="0000ff" w:themeColor="hyperlink"/>
      <w:u w:val="single"/>
      <w14:textFill>
        <w14:solidFill>
          <w14:schemeClr w14:val="hlink"/>
        </w14:solidFill>
      </w14:textFill>
    </w:rPr>
  </w:style>
  <w:style w:type="character" w:styleId="960">
    <w:name w:val="annotation reference"/>
    <w:basedOn w:val="926"/>
    <w:uiPriority w:val="99"/>
    <w:semiHidden/>
    <w:unhideWhenUsed/>
    <w:qFormat/>
    <w:rPr>
      <w:sz w:val="21"/>
      <w:szCs w:val="21"/>
    </w:rPr>
  </w:style>
  <w:style w:type="character" w:styleId="961">
    <w:name w:val="footnote reference"/>
    <w:uiPriority w:val="99"/>
    <w:unhideWhenUsed/>
    <w:qFormat/>
    <w:rPr>
      <w:vertAlign w:val="superscript"/>
    </w:rPr>
  </w:style>
  <w:style w:type="paragraph" w:styleId="962" w:customStyle="1">
    <w:name w:val="正文文本1"/>
    <w:basedOn w:val="916"/>
    <w:link w:val="1116"/>
    <w:uiPriority w:val="0"/>
    <w:qFormat/>
    <w:rPr>
      <w:rFonts w:ascii="宋体"/>
      <w:sz w:val="28"/>
    </w:rPr>
  </w:style>
  <w:style w:type="character" w:styleId="963" w:customStyle="1">
    <w:name w:val="标题 1 字符"/>
    <w:link w:val="917"/>
    <w:uiPriority w:val="9"/>
    <w:qFormat/>
    <w:rPr>
      <w:rFonts w:ascii="Arial" w:hAnsi="Arial" w:eastAsia="Arial" w:cs="Arial"/>
      <w:sz w:val="40"/>
      <w:szCs w:val="40"/>
    </w:rPr>
  </w:style>
  <w:style w:type="character" w:styleId="964" w:customStyle="1">
    <w:name w:val="标题 2 字符1"/>
    <w:link w:val="918"/>
    <w:uiPriority w:val="9"/>
    <w:qFormat/>
    <w:rPr>
      <w:rFonts w:ascii="Arial" w:hAnsi="Arial" w:eastAsia="Arial" w:cs="Arial"/>
      <w:sz w:val="34"/>
    </w:rPr>
  </w:style>
  <w:style w:type="character" w:styleId="965" w:customStyle="1">
    <w:name w:val="标题 3 字符1"/>
    <w:link w:val="919"/>
    <w:uiPriority w:val="9"/>
    <w:qFormat/>
    <w:rPr>
      <w:rFonts w:ascii="Arial" w:hAnsi="Arial" w:eastAsia="Arial" w:cs="Arial"/>
      <w:sz w:val="30"/>
      <w:szCs w:val="30"/>
    </w:rPr>
  </w:style>
  <w:style w:type="character" w:styleId="966" w:customStyle="1">
    <w:name w:val="标题 4 字符"/>
    <w:link w:val="920"/>
    <w:uiPriority w:val="9"/>
    <w:qFormat/>
    <w:rPr>
      <w:rFonts w:ascii="Arial" w:hAnsi="Arial" w:eastAsia="Arial" w:cs="Arial"/>
      <w:b/>
      <w:bCs/>
      <w:sz w:val="26"/>
      <w:szCs w:val="26"/>
    </w:rPr>
  </w:style>
  <w:style w:type="character" w:styleId="967" w:customStyle="1">
    <w:name w:val="标题 5 字符"/>
    <w:link w:val="921"/>
    <w:uiPriority w:val="9"/>
    <w:qFormat/>
    <w:rPr>
      <w:rFonts w:ascii="Arial" w:hAnsi="Arial" w:eastAsia="Arial" w:cs="Arial"/>
      <w:b/>
      <w:bCs/>
      <w:sz w:val="24"/>
      <w:szCs w:val="24"/>
    </w:rPr>
  </w:style>
  <w:style w:type="character" w:styleId="968" w:customStyle="1">
    <w:name w:val="标题 6 字符"/>
    <w:link w:val="922"/>
    <w:uiPriority w:val="9"/>
    <w:qFormat/>
    <w:rPr>
      <w:rFonts w:ascii="Arial" w:hAnsi="Arial" w:eastAsia="Arial" w:cs="Arial"/>
      <w:b/>
      <w:bCs/>
      <w:sz w:val="22"/>
      <w:szCs w:val="22"/>
    </w:rPr>
  </w:style>
  <w:style w:type="character" w:styleId="969" w:customStyle="1">
    <w:name w:val="标题 7 字符"/>
    <w:link w:val="923"/>
    <w:uiPriority w:val="9"/>
    <w:qFormat/>
    <w:rPr>
      <w:rFonts w:ascii="Arial" w:hAnsi="Arial" w:eastAsia="Arial" w:cs="Arial"/>
      <w:b/>
      <w:bCs/>
      <w:i/>
      <w:iCs/>
      <w:sz w:val="22"/>
      <w:szCs w:val="22"/>
    </w:rPr>
  </w:style>
  <w:style w:type="character" w:styleId="970" w:customStyle="1">
    <w:name w:val="标题 8 字符"/>
    <w:link w:val="924"/>
    <w:uiPriority w:val="9"/>
    <w:qFormat/>
    <w:rPr>
      <w:rFonts w:ascii="Arial" w:hAnsi="Arial" w:eastAsia="Arial" w:cs="Arial"/>
      <w:i/>
      <w:iCs/>
      <w:sz w:val="22"/>
      <w:szCs w:val="22"/>
    </w:rPr>
  </w:style>
  <w:style w:type="character" w:styleId="971" w:customStyle="1">
    <w:name w:val="标题 9 字符"/>
    <w:link w:val="925"/>
    <w:uiPriority w:val="9"/>
    <w:qFormat/>
    <w:rPr>
      <w:rFonts w:ascii="Arial" w:hAnsi="Arial" w:eastAsia="Arial" w:cs="Arial"/>
      <w:i/>
      <w:iCs/>
      <w:sz w:val="21"/>
      <w:szCs w:val="21"/>
    </w:rPr>
  </w:style>
  <w:style w:type="character" w:styleId="972" w:customStyle="1">
    <w:name w:val="标题 字符1"/>
    <w:link w:val="952"/>
    <w:uiPriority w:val="10"/>
    <w:qFormat/>
    <w:rPr>
      <w:sz w:val="48"/>
      <w:szCs w:val="48"/>
    </w:rPr>
  </w:style>
  <w:style w:type="character" w:styleId="973" w:customStyle="1">
    <w:name w:val="副标题 字符"/>
    <w:link w:val="945"/>
    <w:uiPriority w:val="11"/>
    <w:qFormat/>
    <w:rPr>
      <w:sz w:val="24"/>
      <w:szCs w:val="24"/>
    </w:rPr>
  </w:style>
  <w:style w:type="paragraph" w:styleId="974">
    <w:name w:val="Quote"/>
    <w:basedOn w:val="916"/>
    <w:next w:val="916"/>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916"/>
    <w:next w:val="916"/>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页眉 字符1"/>
    <w:link w:val="942"/>
    <w:uiPriority w:val="99"/>
    <w:qFormat/>
  </w:style>
  <w:style w:type="character" w:styleId="979" w:customStyle="1">
    <w:name w:val="Footer Char"/>
    <w:uiPriority w:val="99"/>
    <w:qFormat/>
  </w:style>
  <w:style w:type="character" w:styleId="980" w:customStyle="1">
    <w:name w:val="页脚 字符2"/>
    <w:link w:val="941"/>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脚注文本 字符"/>
    <w:link w:val="946"/>
    <w:uiPriority w:val="99"/>
    <w:qFormat/>
    <w:rPr>
      <w:sz w:val="18"/>
    </w:rPr>
  </w:style>
  <w:style w:type="character" w:styleId="1107" w:customStyle="1">
    <w:name w:val="尾注文本 字符"/>
    <w:link w:val="940"/>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paragraph" w:styleId="1109" w:customStyle="1">
    <w:name w:val="标题 11"/>
    <w:basedOn w:val="916"/>
    <w:next w:val="916"/>
    <w:uiPriority w:val="0"/>
    <w:qFormat/>
    <w:pPr>
      <w:jc w:val="center"/>
      <w:keepNext/>
      <w:spacing w:line="440" w:lineRule="exact"/>
      <w:outlineLvl w:val="0"/>
    </w:pPr>
    <w:rPr>
      <w:rFonts w:ascii="宋体"/>
      <w:sz w:val="28"/>
    </w:rPr>
  </w:style>
  <w:style w:type="paragraph" w:styleId="1110" w:customStyle="1">
    <w:name w:val="标题 21"/>
    <w:basedOn w:val="916"/>
    <w:next w:val="916"/>
    <w:link w:val="1117"/>
    <w:uiPriority w:val="9"/>
    <w:qFormat/>
    <w:pPr>
      <w:keepLines/>
      <w:keepNext/>
      <w:spacing w:before="260" w:after="260" w:line="416" w:lineRule="auto"/>
      <w:outlineLvl w:val="1"/>
    </w:pPr>
    <w:rPr>
      <w:rFonts w:ascii="Arial" w:hAnsi="Arial" w:eastAsia="黑体"/>
      <w:b/>
      <w:bCs/>
      <w:sz w:val="32"/>
      <w:szCs w:val="32"/>
    </w:rPr>
  </w:style>
  <w:style w:type="paragraph" w:styleId="1111" w:customStyle="1">
    <w:name w:val="标题 31"/>
    <w:basedOn w:val="916"/>
    <w:next w:val="1112"/>
    <w:link w:val="111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12" w:customStyle="1">
    <w:name w:val="正文缩进1"/>
    <w:basedOn w:val="916"/>
    <w:uiPriority w:val="99"/>
    <w:qFormat/>
    <w:pPr>
      <w:ind w:firstLine="420"/>
    </w:pPr>
    <w:rPr>
      <w:b/>
      <w:sz w:val="24"/>
    </w:rPr>
  </w:style>
  <w:style w:type="paragraph" w:styleId="1113" w:customStyle="1">
    <w:name w:val="标题 41"/>
    <w:basedOn w:val="916"/>
    <w:next w:val="916"/>
    <w:uiPriority w:val="0"/>
    <w:qFormat/>
    <w:pPr>
      <w:keepLines/>
      <w:keepNext/>
      <w:spacing w:before="280" w:after="290" w:line="372" w:lineRule="auto"/>
      <w:outlineLvl w:val="3"/>
    </w:pPr>
    <w:rPr>
      <w:rFonts w:ascii="Arial" w:hAnsi="Arial" w:eastAsia="黑体" w:cs="Arial"/>
      <w:b/>
      <w:bCs/>
      <w:sz w:val="28"/>
      <w:szCs w:val="28"/>
    </w:rPr>
  </w:style>
  <w:style w:type="character" w:styleId="1114" w:customStyle="1">
    <w:name w:val="默认段落字体1"/>
    <w:uiPriority w:val="0"/>
    <w:semiHidden/>
    <w:qFormat/>
    <w:rPr>
      <w:sz w:val="24"/>
    </w:rPr>
  </w:style>
  <w:style w:type="table" w:styleId="1115"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16" w:customStyle="1">
    <w:name w:val="正文文本 字符"/>
    <w:link w:val="962"/>
    <w:uiPriority w:val="0"/>
    <w:qFormat/>
    <w:rPr>
      <w:rFonts w:ascii="宋体" w:eastAsia="宋体"/>
      <w:sz w:val="28"/>
      <w:lang w:val="en-US" w:eastAsia="zh-CN" w:bidi="ar-SA"/>
    </w:rPr>
  </w:style>
  <w:style w:type="character" w:styleId="1117" w:customStyle="1">
    <w:name w:val="标题 2 字符"/>
    <w:link w:val="1110"/>
    <w:uiPriority w:val="9"/>
    <w:qFormat/>
    <w:rPr>
      <w:rFonts w:ascii="Arial" w:hAnsi="Arial" w:eastAsia="黑体"/>
      <w:b/>
      <w:bCs/>
      <w:sz w:val="32"/>
      <w:szCs w:val="32"/>
    </w:rPr>
  </w:style>
  <w:style w:type="character" w:styleId="1118" w:customStyle="1">
    <w:name w:val="标题 3 字符"/>
    <w:link w:val="1111"/>
    <w:uiPriority w:val="9"/>
    <w:qFormat/>
    <w:rPr>
      <w:rFonts w:ascii="仿宋_GB2312" w:eastAsia="仿宋_GB2312"/>
      <w:sz w:val="32"/>
    </w:rPr>
  </w:style>
  <w:style w:type="paragraph" w:styleId="1119" w:customStyle="1">
    <w:name w:val="列表 31"/>
    <w:basedOn w:val="916"/>
    <w:uiPriority w:val="0"/>
    <w:qFormat/>
    <w:pPr>
      <w:contextualSpacing/>
      <w:ind w:left="100" w:hanging="200"/>
    </w:pPr>
  </w:style>
  <w:style w:type="paragraph" w:styleId="1120" w:customStyle="1">
    <w:name w:val="目录 71"/>
    <w:basedOn w:val="916"/>
    <w:next w:val="916"/>
    <w:uiPriority w:val="0"/>
    <w:qFormat/>
    <w:pPr>
      <w:ind w:left="2520"/>
    </w:pPr>
  </w:style>
  <w:style w:type="paragraph" w:styleId="1121" w:customStyle="1">
    <w:name w:val="批注文字1"/>
    <w:basedOn w:val="916"/>
    <w:link w:val="1122"/>
    <w:uiPriority w:val="0"/>
    <w:qFormat/>
    <w:pPr>
      <w:jc w:val="left"/>
    </w:pPr>
  </w:style>
  <w:style w:type="character" w:styleId="1122" w:customStyle="1">
    <w:name w:val="批注文字 字符"/>
    <w:link w:val="1121"/>
    <w:uiPriority w:val="0"/>
    <w:qFormat/>
    <w:rPr>
      <w:sz w:val="21"/>
    </w:rPr>
  </w:style>
  <w:style w:type="paragraph" w:styleId="1123" w:customStyle="1">
    <w:name w:val="称呼1"/>
    <w:basedOn w:val="916"/>
    <w:next w:val="916"/>
    <w:uiPriority w:val="0"/>
    <w:qFormat/>
    <w:pPr>
      <w:jc w:val="left"/>
      <w:widowControl/>
    </w:pPr>
    <w:rPr>
      <w:sz w:val="24"/>
    </w:rPr>
  </w:style>
  <w:style w:type="paragraph" w:styleId="1124" w:customStyle="1">
    <w:name w:val="正文文本缩进1"/>
    <w:basedOn w:val="916"/>
    <w:uiPriority w:val="0"/>
    <w:qFormat/>
    <w:pPr>
      <w:ind w:firstLine="420"/>
      <w:spacing w:line="360" w:lineRule="auto"/>
    </w:pPr>
    <w:rPr>
      <w:rFonts w:ascii="宋体"/>
      <w:sz w:val="24"/>
    </w:rPr>
  </w:style>
  <w:style w:type="paragraph" w:styleId="1125" w:customStyle="1">
    <w:name w:val="列表 21"/>
    <w:basedOn w:val="916"/>
    <w:uiPriority w:val="0"/>
    <w:qFormat/>
    <w:pPr>
      <w:ind w:left="100" w:hanging="200"/>
    </w:pPr>
  </w:style>
  <w:style w:type="paragraph" w:styleId="1126" w:customStyle="1">
    <w:name w:val="索引 41"/>
    <w:basedOn w:val="916"/>
    <w:next w:val="916"/>
    <w:uiPriority w:val="0"/>
    <w:qFormat/>
    <w:pPr>
      <w:ind w:left="600"/>
    </w:pPr>
    <w:rPr>
      <w:rFonts w:ascii="Calibri" w:hAnsi="Calibri"/>
      <w:szCs w:val="24"/>
    </w:rPr>
  </w:style>
  <w:style w:type="paragraph" w:styleId="1127" w:customStyle="1">
    <w:name w:val="目录 51"/>
    <w:basedOn w:val="916"/>
    <w:next w:val="916"/>
    <w:uiPriority w:val="0"/>
    <w:qFormat/>
    <w:pPr>
      <w:ind w:left="1680"/>
    </w:pPr>
  </w:style>
  <w:style w:type="paragraph" w:styleId="1128" w:customStyle="1">
    <w:name w:val="目录 31"/>
    <w:basedOn w:val="916"/>
    <w:next w:val="916"/>
    <w:uiPriority w:val="39"/>
    <w:qFormat/>
    <w:pPr>
      <w:ind w:left="840"/>
    </w:pPr>
  </w:style>
  <w:style w:type="paragraph" w:styleId="1129" w:customStyle="1">
    <w:name w:val="纯文本1"/>
    <w:basedOn w:val="916"/>
    <w:link w:val="1130"/>
    <w:uiPriority w:val="0"/>
    <w:qFormat/>
    <w:rPr>
      <w:rFonts w:ascii="宋体" w:hAnsi="Courier New"/>
    </w:rPr>
  </w:style>
  <w:style w:type="character" w:styleId="1130" w:customStyle="1">
    <w:name w:val="纯文本 字符"/>
    <w:link w:val="1129"/>
    <w:uiPriority w:val="0"/>
    <w:qFormat/>
    <w:rPr>
      <w:rFonts w:ascii="宋体" w:hAnsi="Courier New" w:eastAsia="宋体"/>
      <w:sz w:val="21"/>
      <w:lang w:val="en-US" w:eastAsia="zh-CN" w:bidi="ar-SA"/>
    </w:rPr>
  </w:style>
  <w:style w:type="paragraph" w:styleId="1131" w:customStyle="1">
    <w:name w:val="目录 81"/>
    <w:basedOn w:val="916"/>
    <w:next w:val="916"/>
    <w:uiPriority w:val="0"/>
    <w:qFormat/>
    <w:pPr>
      <w:ind w:left="2940"/>
    </w:pPr>
  </w:style>
  <w:style w:type="paragraph" w:styleId="1132" w:customStyle="1">
    <w:name w:val="日期1"/>
    <w:basedOn w:val="916"/>
    <w:next w:val="916"/>
    <w:link w:val="1133"/>
    <w:uiPriority w:val="0"/>
    <w:qFormat/>
    <w:rPr>
      <w:rFonts w:ascii="宋体"/>
    </w:rPr>
  </w:style>
  <w:style w:type="character" w:styleId="1133" w:customStyle="1">
    <w:name w:val="日期 字符"/>
    <w:link w:val="1132"/>
    <w:uiPriority w:val="0"/>
    <w:qFormat/>
    <w:rPr>
      <w:rFonts w:ascii="宋体"/>
      <w:sz w:val="21"/>
    </w:rPr>
  </w:style>
  <w:style w:type="paragraph" w:styleId="1134" w:customStyle="1">
    <w:name w:val="正文文本缩进 21"/>
    <w:basedOn w:val="916"/>
    <w:uiPriority w:val="0"/>
    <w:qFormat/>
    <w:pPr>
      <w:ind w:firstLine="525"/>
      <w:spacing w:line="420" w:lineRule="exact"/>
    </w:pPr>
    <w:rPr>
      <w:rFonts w:ascii="宋体"/>
    </w:rPr>
  </w:style>
  <w:style w:type="paragraph" w:styleId="1135" w:customStyle="1">
    <w:name w:val="批注框文本1"/>
    <w:basedOn w:val="916"/>
    <w:link w:val="1136"/>
    <w:uiPriority w:val="99"/>
    <w:qFormat/>
    <w:rPr>
      <w:sz w:val="18"/>
      <w:szCs w:val="18"/>
    </w:rPr>
  </w:style>
  <w:style w:type="character" w:styleId="1136" w:customStyle="1">
    <w:name w:val="批注框文本 字符"/>
    <w:link w:val="1135"/>
    <w:uiPriority w:val="99"/>
    <w:qFormat/>
    <w:rPr>
      <w:sz w:val="18"/>
      <w:szCs w:val="18"/>
    </w:rPr>
  </w:style>
  <w:style w:type="paragraph" w:styleId="1137" w:customStyle="1">
    <w:name w:val="页脚1"/>
    <w:basedOn w:val="916"/>
    <w:link w:val="1138"/>
    <w:uiPriority w:val="99"/>
    <w:qFormat/>
    <w:pPr>
      <w:jc w:val="left"/>
      <w:tabs>
        <w:tab w:val="center" w:pos="4153" w:leader="none"/>
        <w:tab w:val="right" w:pos="8306" w:leader="none"/>
      </w:tabs>
    </w:pPr>
    <w:rPr>
      <w:sz w:val="18"/>
    </w:rPr>
  </w:style>
  <w:style w:type="character" w:styleId="1138" w:customStyle="1">
    <w:name w:val="页脚 字符1"/>
    <w:link w:val="1137"/>
    <w:uiPriority w:val="99"/>
    <w:qFormat/>
    <w:rPr>
      <w:sz w:val="18"/>
    </w:rPr>
  </w:style>
  <w:style w:type="paragraph" w:styleId="1139" w:customStyle="1">
    <w:name w:val="页眉1"/>
    <w:basedOn w:val="916"/>
    <w:link w:val="1140"/>
    <w:uiPriority w:val="99"/>
    <w:qFormat/>
    <w:pPr>
      <w:jc w:val="center"/>
      <w:tabs>
        <w:tab w:val="center" w:pos="4153" w:leader="none"/>
        <w:tab w:val="right" w:pos="8306" w:leader="none"/>
      </w:tabs>
      <w:pBdr>
        <w:bottom w:val="single" w:color="000000" w:sz="6" w:space="1"/>
      </w:pBdr>
    </w:pPr>
    <w:rPr>
      <w:sz w:val="18"/>
    </w:rPr>
  </w:style>
  <w:style w:type="character" w:styleId="1140" w:customStyle="1">
    <w:name w:val="页眉 字符"/>
    <w:link w:val="1139"/>
    <w:uiPriority w:val="99"/>
    <w:qFormat/>
    <w:rPr>
      <w:sz w:val="18"/>
    </w:rPr>
  </w:style>
  <w:style w:type="paragraph" w:styleId="1141" w:customStyle="1">
    <w:name w:val="目录 11"/>
    <w:basedOn w:val="916"/>
    <w:next w:val="916"/>
    <w:uiPriority w:val="39"/>
    <w:qFormat/>
  </w:style>
  <w:style w:type="paragraph" w:styleId="1142" w:customStyle="1">
    <w:name w:val="目录 41"/>
    <w:basedOn w:val="916"/>
    <w:next w:val="916"/>
    <w:uiPriority w:val="0"/>
    <w:qFormat/>
    <w:pPr>
      <w:ind w:left="1260"/>
    </w:pPr>
  </w:style>
  <w:style w:type="paragraph" w:styleId="1143" w:customStyle="1">
    <w:name w:val="目录 61"/>
    <w:basedOn w:val="916"/>
    <w:next w:val="916"/>
    <w:uiPriority w:val="0"/>
    <w:qFormat/>
    <w:pPr>
      <w:ind w:left="2100"/>
    </w:pPr>
  </w:style>
  <w:style w:type="paragraph" w:styleId="1144" w:customStyle="1">
    <w:name w:val="正文文本缩进 31"/>
    <w:basedOn w:val="916"/>
    <w:uiPriority w:val="0"/>
    <w:qFormat/>
    <w:pPr>
      <w:ind w:firstLine="841"/>
    </w:pPr>
    <w:rPr>
      <w:rFonts w:eastAsia="华文新魏"/>
      <w:b/>
      <w:bCs/>
      <w:sz w:val="84"/>
    </w:rPr>
  </w:style>
  <w:style w:type="paragraph" w:styleId="1145" w:customStyle="1">
    <w:name w:val="目录 21"/>
    <w:basedOn w:val="916"/>
    <w:next w:val="916"/>
    <w:uiPriority w:val="39"/>
    <w:qFormat/>
    <w:pPr>
      <w:ind w:left="420"/>
    </w:pPr>
  </w:style>
  <w:style w:type="paragraph" w:styleId="1146" w:customStyle="1">
    <w:name w:val="目录 91"/>
    <w:basedOn w:val="916"/>
    <w:next w:val="916"/>
    <w:uiPriority w:val="0"/>
    <w:qFormat/>
    <w:pPr>
      <w:ind w:left="3360"/>
    </w:pPr>
  </w:style>
  <w:style w:type="paragraph" w:styleId="1147" w:customStyle="1">
    <w:name w:val="信息标题1"/>
    <w:basedOn w:val="91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48" w:customStyle="1">
    <w:name w:val="HTML 预设格式1"/>
    <w:basedOn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49" w:customStyle="1">
    <w:name w:val="普通(网站)1"/>
    <w:basedOn w:val="91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50" w:customStyle="1">
    <w:name w:val="标题1"/>
    <w:basedOn w:val="916"/>
    <w:next w:val="916"/>
    <w:link w:val="1151"/>
    <w:uiPriority w:val="0"/>
    <w:qFormat/>
    <w:pPr>
      <w:jc w:val="center"/>
    </w:pPr>
    <w:rPr>
      <w:sz w:val="30"/>
      <w:szCs w:val="24"/>
    </w:rPr>
  </w:style>
  <w:style w:type="character" w:styleId="1151" w:customStyle="1">
    <w:name w:val="标题 字符"/>
    <w:link w:val="1150"/>
    <w:uiPriority w:val="0"/>
    <w:qFormat/>
    <w:rPr>
      <w:sz w:val="30"/>
      <w:szCs w:val="24"/>
    </w:rPr>
  </w:style>
  <w:style w:type="paragraph" w:styleId="1152" w:customStyle="1">
    <w:name w:val="批注主题1"/>
    <w:basedOn w:val="1121"/>
    <w:next w:val="1121"/>
    <w:link w:val="1153"/>
    <w:uiPriority w:val="0"/>
    <w:qFormat/>
    <w:rPr>
      <w:b/>
      <w:bCs/>
    </w:rPr>
  </w:style>
  <w:style w:type="character" w:styleId="1153" w:customStyle="1">
    <w:name w:val="批注主题 字符"/>
    <w:link w:val="1152"/>
    <w:uiPriority w:val="0"/>
    <w:qFormat/>
    <w:rPr>
      <w:b/>
      <w:bCs/>
      <w:sz w:val="21"/>
    </w:rPr>
  </w:style>
  <w:style w:type="paragraph" w:styleId="1154" w:customStyle="1">
    <w:name w:val="正文首行缩进1"/>
    <w:basedOn w:val="962"/>
    <w:link w:val="1155"/>
    <w:uiPriority w:val="0"/>
    <w:qFormat/>
    <w:pPr>
      <w:ind w:firstLine="420"/>
      <w:spacing w:line="360" w:lineRule="auto"/>
    </w:pPr>
    <w:rPr>
      <w:rFonts w:ascii="Times New Roman"/>
      <w:szCs w:val="21"/>
    </w:rPr>
  </w:style>
  <w:style w:type="character" w:styleId="1155" w:customStyle="1">
    <w:name w:val="正文文本首行缩进 字符"/>
    <w:link w:val="1154"/>
    <w:uiPriority w:val="0"/>
    <w:qFormat/>
    <w:rPr>
      <w:sz w:val="28"/>
      <w:szCs w:val="21"/>
    </w:rPr>
  </w:style>
  <w:style w:type="paragraph" w:styleId="1156" w:customStyle="1">
    <w:name w:val="正文首行缩进 21"/>
    <w:basedOn w:val="1124"/>
    <w:uiPriority w:val="0"/>
    <w:qFormat/>
    <w:rPr>
      <w:rFonts w:hAnsi="Calibri"/>
      <w:szCs w:val="22"/>
      <w:u w:val="single"/>
    </w:rPr>
  </w:style>
  <w:style w:type="table" w:styleId="1157" w:customStyle="1">
    <w:name w:val="网格型1"/>
    <w:basedOn w:val="1115"/>
    <w:uiPriority w:val="59"/>
    <w:qFormat/>
    <w:tblPr/>
  </w:style>
  <w:style w:type="character" w:styleId="1158" w:customStyle="1">
    <w:name w:val="要点1"/>
    <w:uiPriority w:val="0"/>
    <w:qFormat/>
    <w:rPr>
      <w:b/>
      <w:bCs/>
    </w:rPr>
  </w:style>
  <w:style w:type="character" w:styleId="1159" w:customStyle="1">
    <w:name w:val="页码1"/>
    <w:uiPriority w:val="99"/>
    <w:qFormat/>
  </w:style>
  <w:style w:type="character" w:styleId="1160" w:customStyle="1">
    <w:name w:val="已访问的超链接1"/>
    <w:uiPriority w:val="0"/>
    <w:qFormat/>
    <w:rPr>
      <w:color w:val="000000"/>
      <w:sz w:val="18"/>
      <w:szCs w:val="18"/>
      <w:u w:val="none"/>
    </w:rPr>
  </w:style>
  <w:style w:type="character" w:styleId="1161" w:customStyle="1">
    <w:name w:val="强调1"/>
    <w:uiPriority w:val="0"/>
    <w:qFormat/>
    <w:rPr>
      <w:i/>
    </w:rPr>
  </w:style>
  <w:style w:type="character" w:styleId="1162" w:customStyle="1">
    <w:name w:val="超链接1"/>
    <w:uiPriority w:val="99"/>
    <w:qFormat/>
    <w:rPr>
      <w:color w:val="000000"/>
      <w:sz w:val="18"/>
      <w:szCs w:val="18"/>
      <w:u w:val="none"/>
    </w:rPr>
  </w:style>
  <w:style w:type="character" w:styleId="1163" w:customStyle="1">
    <w:name w:val="批注引用1"/>
    <w:uiPriority w:val="0"/>
    <w:qFormat/>
    <w:rPr>
      <w:sz w:val="21"/>
      <w:szCs w:val="21"/>
    </w:rPr>
  </w:style>
  <w:style w:type="character" w:styleId="1164" w:customStyle="1">
    <w:name w:val="font91"/>
    <w:uiPriority w:val="0"/>
    <w:qFormat/>
    <w:rPr>
      <w:rFonts w:ascii="Calibri" w:hAnsi="Calibri" w:cs="Calibri"/>
      <w:color w:val="000000"/>
      <w:sz w:val="21"/>
      <w:szCs w:val="21"/>
      <w:u w:val="none"/>
    </w:rPr>
  </w:style>
  <w:style w:type="character" w:styleId="1165" w:customStyle="1">
    <w:name w:val="style21"/>
    <w:uiPriority w:val="0"/>
    <w:qFormat/>
    <w:rPr>
      <w:sz w:val="18"/>
      <w:szCs w:val="18"/>
    </w:rPr>
  </w:style>
  <w:style w:type="character" w:styleId="1166" w:customStyle="1">
    <w:name w:val="font01"/>
    <w:uiPriority w:val="0"/>
    <w:qFormat/>
    <w:rPr>
      <w:rFonts w:ascii="幼圆" w:hAnsi="幼圆" w:eastAsia="幼圆" w:cs="幼圆"/>
      <w:b/>
      <w:color w:val="000000"/>
      <w:sz w:val="22"/>
      <w:szCs w:val="22"/>
      <w:u w:val="none"/>
    </w:rPr>
  </w:style>
  <w:style w:type="character" w:styleId="1167" w:customStyle="1">
    <w:name w:val="List Paragraph Char"/>
    <w:link w:val="1168"/>
    <w:uiPriority w:val="0"/>
    <w:qFormat/>
    <w:rPr>
      <w:rFonts w:ascii="Calibri" w:hAnsi="Calibri"/>
      <w:sz w:val="21"/>
      <w:szCs w:val="22"/>
    </w:rPr>
  </w:style>
  <w:style w:type="paragraph" w:styleId="1168" w:customStyle="1">
    <w:name w:val="List Paragraph2"/>
    <w:basedOn w:val="916"/>
    <w:link w:val="1167"/>
    <w:uiPriority w:val="0"/>
    <w:qFormat/>
    <w:pPr>
      <w:ind w:firstLine="420"/>
    </w:pPr>
    <w:rPr>
      <w:rFonts w:ascii="Calibri" w:hAnsi="Calibri"/>
      <w:szCs w:val="22"/>
    </w:rPr>
  </w:style>
  <w:style w:type="character" w:styleId="1169" w:customStyle="1">
    <w:name w:val="font11"/>
    <w:uiPriority w:val="0"/>
    <w:qFormat/>
    <w:rPr>
      <w:rFonts w:ascii="幼圆" w:hAnsi="幼圆" w:eastAsia="幼圆" w:cs="幼圆"/>
      <w:color w:val="000000"/>
      <w:sz w:val="22"/>
      <w:szCs w:val="22"/>
      <w:u w:val="none"/>
    </w:rPr>
  </w:style>
  <w:style w:type="character" w:styleId="1170" w:customStyle="1">
    <w:name w:val="Table Sub Section Char"/>
    <w:link w:val="1171"/>
    <w:uiPriority w:val="0"/>
    <w:qFormat/>
    <w:rPr>
      <w:rFonts w:ascii="Arial" w:hAnsi="Arial"/>
      <w:b/>
      <w:color w:val="0f0f0f"/>
      <w:lang w:eastAsia="en-US"/>
    </w:rPr>
  </w:style>
  <w:style w:type="paragraph" w:styleId="1171" w:customStyle="1">
    <w:name w:val="Table Sub Section"/>
    <w:basedOn w:val="916"/>
    <w:link w:val="1170"/>
    <w:uiPriority w:val="0"/>
    <w:qFormat/>
    <w:pPr>
      <w:jc w:val="left"/>
      <w:keepNext/>
      <w:spacing w:before="160" w:after="160" w:line="276" w:lineRule="auto"/>
      <w:widowControl/>
    </w:pPr>
    <w:rPr>
      <w:rFonts w:ascii="Arial" w:hAnsi="Arial"/>
      <w:b/>
      <w:color w:val="0f0f0f"/>
      <w:sz w:val="20"/>
      <w:lang w:eastAsia="en-US"/>
    </w:rPr>
  </w:style>
  <w:style w:type="character" w:styleId="1172" w:customStyle="1">
    <w:name w:val="页脚 字符"/>
    <w:uiPriority w:val="99"/>
    <w:qFormat/>
  </w:style>
  <w:style w:type="character" w:styleId="1173" w:customStyle="1">
    <w:name w:val="not([class*=suffix])"/>
    <w:uiPriority w:val="0"/>
    <w:qFormat/>
    <w:rPr>
      <w:sz w:val="19"/>
      <w:szCs w:val="19"/>
    </w:rPr>
  </w:style>
  <w:style w:type="character" w:styleId="1174" w:customStyle="1">
    <w:name w:val="not([class*=suffix])1"/>
    <w:uiPriority w:val="0"/>
    <w:qFormat/>
  </w:style>
  <w:style w:type="character" w:styleId="1175" w:customStyle="1">
    <w:name w:val="font21"/>
    <w:uiPriority w:val="0"/>
    <w:qFormat/>
    <w:rPr>
      <w:rFonts w:hint="eastAsia" w:ascii="宋体" w:hAnsi="宋体" w:eastAsia="宋体" w:cs="宋体"/>
      <w:color w:val="000000"/>
      <w:sz w:val="20"/>
      <w:szCs w:val="20"/>
      <w:u w:val="none"/>
    </w:rPr>
  </w:style>
  <w:style w:type="character" w:styleId="1176" w:customStyle="1">
    <w:name w:val="font31"/>
    <w:uiPriority w:val="0"/>
    <w:qFormat/>
    <w:rPr>
      <w:rFonts w:hint="eastAsia" w:ascii="宋体" w:hAnsi="宋体" w:eastAsia="宋体" w:cs="宋体"/>
      <w:color w:val="000000"/>
      <w:sz w:val="20"/>
      <w:szCs w:val="20"/>
      <w:u w:val="none"/>
    </w:rPr>
  </w:style>
  <w:style w:type="character" w:styleId="1177" w:customStyle="1">
    <w:name w:val="彩色列表字符"/>
    <w:link w:val="1178"/>
    <w:uiPriority w:val="0"/>
    <w:qFormat/>
    <w:rPr>
      <w:rFonts w:ascii="Calibri" w:hAnsi="Calibri"/>
      <w:sz w:val="21"/>
      <w:szCs w:val="22"/>
    </w:rPr>
  </w:style>
  <w:style w:type="paragraph" w:styleId="1178" w:customStyle="1">
    <w:name w:val="彩色列表1"/>
    <w:basedOn w:val="916"/>
    <w:link w:val="1177"/>
    <w:uiPriority w:val="0"/>
    <w:qFormat/>
    <w:pPr>
      <w:ind w:firstLine="420"/>
    </w:pPr>
    <w:rPr>
      <w:rFonts w:ascii="Calibri" w:hAnsi="Calibri"/>
      <w:szCs w:val="22"/>
    </w:rPr>
  </w:style>
  <w:style w:type="character" w:styleId="1179" w:customStyle="1">
    <w:name w:val="标准文本 Char"/>
    <w:link w:val="1180"/>
    <w:uiPriority w:val="0"/>
    <w:qFormat/>
    <w:rPr>
      <w:rFonts w:ascii="宋体" w:hAnsi="宋体" w:eastAsia="宋体" w:cs="宋体"/>
      <w:sz w:val="21"/>
      <w:szCs w:val="21"/>
      <w:lang w:val="en-US" w:eastAsia="zh-CN" w:bidi="ar-SA"/>
    </w:rPr>
  </w:style>
  <w:style w:type="paragraph" w:styleId="1180" w:customStyle="1">
    <w:name w:val="标准文本"/>
    <w:basedOn w:val="916"/>
    <w:link w:val="1179"/>
    <w:uiPriority w:val="0"/>
    <w:qFormat/>
    <w:pPr>
      <w:ind w:firstLine="420"/>
      <w:spacing w:line="300" w:lineRule="auto"/>
    </w:pPr>
    <w:rPr>
      <w:rFonts w:ascii="宋体" w:hAnsi="宋体" w:cs="宋体"/>
      <w:szCs w:val="21"/>
    </w:rPr>
  </w:style>
  <w:style w:type="character" w:styleId="1181" w:customStyle="1">
    <w:name w:val="apple-style-span"/>
    <w:uiPriority w:val="0"/>
    <w:qFormat/>
  </w:style>
  <w:style w:type="character" w:styleId="1182" w:customStyle="1">
    <w:name w:val="mark"/>
    <w:uiPriority w:val="0"/>
    <w:qFormat/>
  </w:style>
  <w:style w:type="character" w:styleId="1183" w:customStyle="1">
    <w:name w:val="c lh15"/>
    <w:uiPriority w:val="0"/>
    <w:qFormat/>
  </w:style>
  <w:style w:type="character" w:styleId="1184" w:customStyle="1">
    <w:name w:val="font51"/>
    <w:uiPriority w:val="0"/>
    <w:qFormat/>
    <w:rPr>
      <w:rFonts w:ascii="Arial" w:hAnsi="Arial" w:cs="Arial"/>
      <w:color w:val="000000"/>
      <w:sz w:val="22"/>
      <w:szCs w:val="22"/>
      <w:u w:val="none"/>
    </w:rPr>
  </w:style>
  <w:style w:type="paragraph" w:styleId="1185" w:customStyle="1">
    <w:name w:val="列表段落1"/>
    <w:basedOn w:val="916"/>
    <w:uiPriority w:val="99"/>
    <w:qFormat/>
    <w:pPr>
      <w:ind w:firstLine="420"/>
    </w:pPr>
    <w:rPr>
      <w:rFonts w:ascii="Calibri" w:hAnsi="Calibri"/>
      <w:szCs w:val="22"/>
    </w:rPr>
  </w:style>
  <w:style w:type="paragraph" w:styleId="1186" w:customStyle="1">
    <w:name w:val="Char Char Char"/>
    <w:basedOn w:val="916"/>
    <w:uiPriority w:val="0"/>
    <w:qFormat/>
    <w:pPr>
      <w:jc w:val="center"/>
      <w:spacing w:line="400" w:lineRule="exact"/>
      <w:widowControl/>
    </w:pPr>
    <w:rPr>
      <w:szCs w:val="24"/>
    </w:rPr>
  </w:style>
  <w:style w:type="paragraph" w:styleId="1187" w:customStyle="1">
    <w:name w:val="077-正文格式"/>
    <w:basedOn w:val="916"/>
    <w:uiPriority w:val="0"/>
    <w:qFormat/>
    <w:pPr>
      <w:ind w:firstLine="480"/>
      <w:spacing w:line="360" w:lineRule="auto"/>
    </w:pPr>
    <w:rPr>
      <w:rFonts w:ascii="宋体" w:cs="宋体"/>
      <w:sz w:val="24"/>
    </w:rPr>
  </w:style>
  <w:style w:type="paragraph" w:styleId="1188" w:customStyle="1">
    <w:name w:val="简单回函地址"/>
    <w:basedOn w:val="916"/>
    <w:uiPriority w:val="0"/>
    <w:qFormat/>
    <w:rPr>
      <w:szCs w:val="24"/>
    </w:rPr>
  </w:style>
  <w:style w:type="paragraph" w:styleId="1189">
    <w:name w:val="No Spacing"/>
    <w:uiPriority w:val="0"/>
    <w:qFormat/>
    <w:rPr>
      <w:rFonts w:ascii="Calibri" w:hAnsi="Calibri" w:eastAsia="宋体" w:cs="Times New Roman"/>
      <w:sz w:val="22"/>
      <w:szCs w:val="22"/>
      <w:lang w:val="en-US" w:eastAsia="zh-CN" w:bidi="ar-SA"/>
    </w:rPr>
  </w:style>
  <w:style w:type="paragraph" w:styleId="1190" w:customStyle="1">
    <w:name w:val="p0"/>
    <w:basedOn w:val="916"/>
    <w:uiPriority w:val="0"/>
    <w:qFormat/>
    <w:pPr>
      <w:ind w:firstLine="420"/>
      <w:jc w:val="left"/>
      <w:widowControl/>
    </w:pPr>
    <w:rPr>
      <w:sz w:val="20"/>
    </w:rPr>
  </w:style>
  <w:style w:type="paragraph" w:styleId="1191" w:customStyle="1">
    <w:name w:val="正文1"/>
    <w:basedOn w:val="916"/>
    <w:uiPriority w:val="0"/>
    <w:qFormat/>
    <w:pPr>
      <w:jc w:val="left"/>
      <w:spacing w:after="200" w:line="300" w:lineRule="atLeast"/>
      <w:widowControl/>
    </w:pPr>
    <w:rPr>
      <w:rFonts w:ascii="Calibri" w:hAnsi="Calibri" w:cs="宋体"/>
      <w:sz w:val="22"/>
      <w:szCs w:val="22"/>
    </w:rPr>
  </w:style>
  <w:style w:type="paragraph" w:styleId="1192" w:customStyle="1">
    <w:name w:val="List Paragraph1"/>
    <w:basedOn w:val="916"/>
    <w:uiPriority w:val="99"/>
    <w:qFormat/>
    <w:pPr>
      <w:ind w:firstLine="420"/>
      <w:jc w:val="left"/>
      <w:spacing w:line="300" w:lineRule="auto"/>
    </w:pPr>
    <w:rPr>
      <w:szCs w:val="22"/>
    </w:rPr>
  </w:style>
  <w:style w:type="paragraph" w:styleId="1193" w:customStyle="1">
    <w:name w:val="Char Char"/>
    <w:basedOn w:val="916"/>
    <w:uiPriority w:val="0"/>
    <w:qFormat/>
    <w:pPr>
      <w:ind w:left="360" w:hanging="360"/>
    </w:pPr>
    <w:rPr>
      <w:sz w:val="24"/>
      <w:szCs w:val="24"/>
    </w:rPr>
  </w:style>
  <w:style w:type="paragraph" w:styleId="119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95" w:customStyle="1">
    <w:name w:val="首行缩进"/>
    <w:basedOn w:val="916"/>
    <w:uiPriority w:val="99"/>
    <w:qFormat/>
    <w:pPr>
      <w:ind w:firstLine="480"/>
      <w:spacing w:line="360" w:lineRule="auto"/>
    </w:pPr>
    <w:rPr>
      <w:szCs w:val="24"/>
    </w:rPr>
  </w:style>
  <w:style w:type="paragraph" w:styleId="1196" w:customStyle="1">
    <w:name w:val="Char Char Char Char Char Char Char"/>
    <w:basedOn w:val="916"/>
    <w:uiPriority w:val="0"/>
    <w:qFormat/>
    <w:pPr>
      <w:ind w:left="432" w:hanging="432"/>
      <w:jc w:val="center"/>
      <w:tabs>
        <w:tab w:val="left" w:pos="432" w:leader="none"/>
      </w:tabs>
    </w:pPr>
    <w:rPr>
      <w:rFonts w:ascii="仿宋_GB2312" w:hAnsi="Tahoma" w:eastAsia="仿宋_GB2312"/>
      <w:sz w:val="24"/>
      <w:szCs w:val="24"/>
    </w:rPr>
  </w:style>
  <w:style w:type="paragraph" w:styleId="1197" w:customStyle="1">
    <w:name w:val="_Style 1"/>
    <w:basedOn w:val="916"/>
    <w:uiPriority w:val="99"/>
    <w:qFormat/>
    <w:pPr>
      <w:ind w:firstLine="420"/>
    </w:pPr>
    <w:rPr>
      <w:rFonts w:ascii="Calibri" w:hAnsi="Calibri"/>
      <w:szCs w:val="22"/>
    </w:rPr>
  </w:style>
  <w:style w:type="paragraph" w:styleId="1198" w:customStyle="1">
    <w:name w:val="Char"/>
    <w:basedOn w:val="916"/>
    <w:uiPriority w:val="0"/>
    <w:qFormat/>
    <w:pPr>
      <w:tabs>
        <w:tab w:val="left" w:pos="360" w:leader="none"/>
      </w:tabs>
    </w:pPr>
    <w:rPr>
      <w:sz w:val="24"/>
    </w:rPr>
  </w:style>
  <w:style w:type="paragraph" w:styleId="1199" w:customStyle="1">
    <w:name w:val="段"/>
    <w:next w:val="916"/>
    <w:uiPriority w:val="0"/>
    <w:qFormat/>
    <w:pPr>
      <w:ind w:firstLine="200"/>
      <w:jc w:val="both"/>
    </w:pPr>
    <w:rPr>
      <w:rFonts w:ascii="宋体" w:hAnsi="Calibri" w:eastAsia="宋体" w:cs="Times New Roman"/>
      <w:sz w:val="21"/>
      <w:szCs w:val="22"/>
      <w:lang w:val="en-US" w:eastAsia="zh-CN" w:bidi="ar-SA"/>
    </w:rPr>
  </w:style>
  <w:style w:type="paragraph" w:styleId="1200" w:customStyle="1">
    <w:name w:val="列出段落11"/>
    <w:basedOn w:val="916"/>
    <w:uiPriority w:val="34"/>
    <w:qFormat/>
    <w:pPr>
      <w:ind w:firstLine="420"/>
    </w:pPr>
  </w:style>
  <w:style w:type="paragraph" w:styleId="1201" w:customStyle="1">
    <w:name w:val="Char Char Char Char Char Char Char1"/>
    <w:basedOn w:val="916"/>
    <w:uiPriority w:val="0"/>
    <w:semiHidden/>
    <w:qFormat/>
    <w:rPr>
      <w:rFonts w:ascii="Tahoma" w:hAnsi="Tahoma" w:cs="仿宋_GB2312"/>
      <w:sz w:val="24"/>
      <w:szCs w:val="28"/>
    </w:rPr>
  </w:style>
  <w:style w:type="paragraph" w:styleId="1202" w:customStyle="1">
    <w:name w:val="_Style 3"/>
    <w:basedOn w:val="916"/>
    <w:uiPriority w:val="34"/>
    <w:qFormat/>
    <w:pPr>
      <w:ind w:firstLine="420"/>
    </w:pPr>
    <w:rPr>
      <w:rFonts w:ascii="Calibri" w:hAnsi="Calibri"/>
      <w:szCs w:val="22"/>
    </w:rPr>
  </w:style>
  <w:style w:type="paragraph" w:styleId="1203" w:customStyle="1">
    <w:name w:val="一级"/>
    <w:basedOn w:val="916"/>
    <w:uiPriority w:val="0"/>
    <w:qFormat/>
    <w:pPr>
      <w:numPr>
        <w:ilvl w:val="0"/>
        <w:numId w:val="1"/>
      </w:numPr>
      <w:spacing w:line="360" w:lineRule="auto"/>
      <w:outlineLvl w:val="0"/>
    </w:pPr>
    <w:rPr>
      <w:b/>
      <w:sz w:val="32"/>
      <w:szCs w:val="32"/>
    </w:rPr>
  </w:style>
  <w:style w:type="paragraph" w:styleId="120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B正文"/>
    <w:basedOn w:val="916"/>
    <w:uiPriority w:val="0"/>
    <w:qFormat/>
    <w:pPr>
      <w:ind w:firstLine="560"/>
      <w:spacing w:line="500" w:lineRule="exact"/>
    </w:pPr>
    <w:rPr>
      <w:sz w:val="28"/>
      <w:szCs w:val="24"/>
    </w:rPr>
  </w:style>
  <w:style w:type="paragraph" w:styleId="1206"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yiv1658056056msonormal"/>
    <w:basedOn w:val="916"/>
    <w:uiPriority w:val="99"/>
    <w:qFormat/>
    <w:pPr>
      <w:jc w:val="left"/>
      <w:spacing w:before="100" w:beforeAutospacing="1" w:after="100" w:afterAutospacing="1"/>
      <w:widowControl/>
    </w:pPr>
    <w:rPr>
      <w:rFonts w:ascii="宋体" w:hAnsi="宋体" w:cs="宋体"/>
      <w:sz w:val="24"/>
      <w:szCs w:val="24"/>
    </w:rPr>
  </w:style>
  <w:style w:type="paragraph" w:styleId="1208"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209" w:customStyle="1">
    <w:name w:val="列出段落1"/>
    <w:basedOn w:val="916"/>
    <w:uiPriority w:val="34"/>
    <w:qFormat/>
    <w:pPr>
      <w:ind w:firstLine="420"/>
    </w:pPr>
    <w:rPr>
      <w:rFonts w:ascii="Calibri" w:hAnsi="Calibri"/>
      <w:szCs w:val="22"/>
    </w:rPr>
  </w:style>
  <w:style w:type="paragraph" w:styleId="1210">
    <w:name w:val="List Paragraph"/>
    <w:basedOn w:val="916"/>
    <w:link w:val="1222"/>
    <w:uiPriority w:val="34"/>
    <w:qFormat/>
    <w:pPr>
      <w:ind w:firstLine="420"/>
      <w:jc w:val="left"/>
      <w:spacing w:after="200"/>
      <w:widowControl/>
    </w:pPr>
    <w:rPr>
      <w:rFonts w:ascii="Tahoma" w:hAnsi="Tahoma" w:eastAsia="微软雅黑"/>
      <w:sz w:val="22"/>
      <w:szCs w:val="22"/>
    </w:rPr>
  </w:style>
  <w:style w:type="paragraph" w:styleId="1211" w:customStyle="1">
    <w:name w:val="样式 首行缩进:  2 字符"/>
    <w:basedOn w:val="916"/>
    <w:uiPriority w:val="0"/>
    <w:qFormat/>
    <w:pPr>
      <w:ind w:firstLine="200"/>
      <w:spacing w:line="400" w:lineRule="exact"/>
    </w:pPr>
    <w:rPr>
      <w:rFonts w:cs="宋体"/>
      <w:sz w:val="24"/>
      <w:szCs w:val="24"/>
    </w:rPr>
  </w:style>
  <w:style w:type="paragraph" w:styleId="1212" w:customStyle="1">
    <w:name w:val="修订1"/>
    <w:uiPriority w:val="99"/>
    <w:unhideWhenUsed/>
    <w:qFormat/>
    <w:rPr>
      <w:rFonts w:ascii="Times New Roman" w:hAnsi="Times New Roman" w:eastAsia="宋体" w:cs="Times New Roman"/>
      <w:sz w:val="21"/>
      <w:lang w:val="en-US" w:eastAsia="zh-CN" w:bidi="ar-SA"/>
    </w:rPr>
  </w:style>
  <w:style w:type="paragraph" w:styleId="1213" w:customStyle="1">
    <w:name w:val="_Style 2"/>
    <w:uiPriority w:val="1"/>
    <w:qFormat/>
    <w:rPr>
      <w:rFonts w:ascii="Calibri" w:hAnsi="Calibri" w:eastAsia="宋体" w:cs="Arial"/>
      <w:sz w:val="22"/>
      <w:szCs w:val="22"/>
      <w:lang w:val="en-AU" w:eastAsia="en-US" w:bidi="ar-SA"/>
    </w:rPr>
  </w:style>
  <w:style w:type="paragraph" w:styleId="1214" w:customStyle="1">
    <w:name w:val="彩色列表 - 强调文字颜色 11"/>
    <w:basedOn w:val="91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15"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16" w:customStyle="1">
    <w:name w:val="Normal1"/>
    <w:basedOn w:val="916"/>
    <w:uiPriority w:val="0"/>
    <w:qFormat/>
    <w:pPr>
      <w:jc w:val="left"/>
      <w:spacing w:after="200" w:line="300" w:lineRule="atLeast"/>
      <w:widowControl/>
    </w:pPr>
    <w:rPr>
      <w:rFonts w:ascii="Calibri" w:hAnsi="Calibri" w:cs="宋体"/>
      <w:sz w:val="22"/>
      <w:szCs w:val="22"/>
    </w:rPr>
  </w:style>
  <w:style w:type="character" w:styleId="1217" w:customStyle="1">
    <w:name w:val="font71"/>
    <w:uiPriority w:val="0"/>
    <w:qFormat/>
    <w:rPr>
      <w:rFonts w:hint="eastAsia" w:ascii="宋体" w:hAnsi="宋体" w:eastAsia="宋体" w:cs="宋体"/>
      <w:color w:val="000000"/>
      <w:sz w:val="24"/>
      <w:szCs w:val="24"/>
      <w:u w:val="none"/>
    </w:rPr>
  </w:style>
  <w:style w:type="character" w:styleId="1218" w:customStyle="1">
    <w:name w:val="font61"/>
    <w:uiPriority w:val="0"/>
    <w:qFormat/>
    <w:rPr>
      <w:rFonts w:hint="eastAsia" w:ascii="宋体" w:hAnsi="宋体" w:eastAsia="宋体" w:cs="宋体"/>
      <w:color w:val="000000"/>
      <w:sz w:val="15"/>
      <w:szCs w:val="15"/>
      <w:u w:val="none"/>
    </w:rPr>
  </w:style>
  <w:style w:type="paragraph" w:styleId="1219" w:customStyle="1">
    <w:name w:val="Normal_9_0"/>
    <w:uiPriority w:val="0"/>
    <w:qFormat/>
    <w:rPr>
      <w:rFonts w:ascii="Times New Roman" w:hAnsi="Times New Roman" w:eastAsia="Times New Roman" w:cs="Times New Roman"/>
      <w:sz w:val="24"/>
      <w:szCs w:val="24"/>
      <w:lang w:val="en-US" w:eastAsia="zh-CN" w:bidi="ar-SA"/>
    </w:rPr>
  </w:style>
  <w:style w:type="paragraph" w:styleId="1220" w:customStyle="1">
    <w:name w:val="_Style 6"/>
    <w:basedOn w:val="916"/>
    <w:uiPriority w:val="34"/>
    <w:qFormat/>
    <w:pPr>
      <w:ind w:firstLine="420"/>
    </w:pPr>
    <w:rPr>
      <w:szCs w:val="24"/>
    </w:rPr>
  </w:style>
  <w:style w:type="paragraph" w:styleId="1221" w:customStyle="1">
    <w:name w:val="Revision"/>
    <w:hidden/>
    <w:uiPriority w:val="99"/>
    <w:unhideWhenUsed/>
    <w:qFormat/>
    <w:rPr>
      <w:rFonts w:ascii="Times New Roman" w:hAnsi="Times New Roman" w:eastAsia="宋体" w:cs="Times New Roman"/>
      <w:sz w:val="21"/>
      <w:lang w:val="en-US" w:eastAsia="zh-CN" w:bidi="ar-SA"/>
    </w:rPr>
  </w:style>
  <w:style w:type="character" w:styleId="1222" w:customStyle="1">
    <w:name w:val="列表段落 字符"/>
    <w:link w:val="1210"/>
    <w:uiPriority w:val="34"/>
    <w:qFormat/>
    <w:rPr>
      <w:rFonts w:ascii="Tahoma" w:hAnsi="Tahoma" w:eastAsia="微软雅黑"/>
      <w:sz w:val="22"/>
      <w:szCs w:val="22"/>
    </w:rPr>
  </w:style>
  <w:style w:type="character" w:styleId="1223" w:customStyle="1">
    <w:name w:val="批注文字 字符1"/>
    <w:basedOn w:val="926"/>
    <w:link w:val="931"/>
    <w:uiPriority w:val="99"/>
    <w:qFormat/>
    <w:rPr>
      <w:sz w:val="21"/>
    </w:rPr>
  </w:style>
  <w:style w:type="character" w:styleId="1224" w:customStyle="1">
    <w:name w:val="批注主题 字符1"/>
    <w:basedOn w:val="1223"/>
    <w:link w:val="953"/>
    <w:uiPriority w:val="99"/>
    <w:semiHidden/>
    <w:qFormat/>
    <w:rPr>
      <w:b/>
      <w:bCs/>
      <w:sz w:val="21"/>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邓梦诗</cp:lastModifiedBy>
  <cp:revision>10</cp:revision>
  <dcterms:created xsi:type="dcterms:W3CDTF">2023-11-14T02:36:00Z</dcterms:created>
  <dcterms:modified xsi:type="dcterms:W3CDTF">2026-04-02T02:17:16Z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732FAA060092402785AF797FD72E07E0_13</vt:lpwstr>
  </property>
  <property fmtid="{D5CDD505-2E9C-101B-9397-08002B2CF9AE}" pid="4" name="KSOTemplateDocerSaveRecord">
    <vt:lpwstr>eyJoZGlkIjoiOThlMDc0YjE1ZWU3OTViYmJmZjA5ZTFjMjBmNTNjODYiLCJ1c2VySWQiOiI1Nzk1NTU0NTYifQ==</vt:lpwstr>
  </property>
</Properties>
</file>