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48"/>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748"/>
        <w:jc w:val="center"/>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rPr>
        <w:t xml:space="preserve">：宿迁学院新校区学生公寓北、东组团室内配套家具采购</w:t>
      </w:r>
      <w:r>
        <w:rPr>
          <w:rFonts w:hint="eastAsia" w:ascii="Times New Roman" w:hAnsi="Times New Roman"/>
          <w:b/>
          <w:color w:val="000000"/>
          <w:sz w:val="30"/>
          <w:szCs w:val="30"/>
          <w:highlight w:val="none"/>
          <w:lang w:val="en-US" w:eastAsia="zh-CN"/>
        </w:rPr>
        <w:t xml:space="preserve">项目</w:t>
      </w:r>
      <w:r>
        <w:rPr>
          <w:rFonts w:hint="eastAsia" w:ascii="Arial" w:hAnsi="Arial" w:eastAsia="宋体" w:cs="Times New Roman"/>
          <w:b/>
          <w:bCs/>
          <w:color w:val="000000"/>
          <w:sz w:val="32"/>
          <w:szCs w:val="24"/>
          <w:highlight w:val="none"/>
        </w:rPr>
      </w:r>
      <w:r/>
    </w:p>
    <w:p>
      <w:pPr>
        <w:pStyle w:val="74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rPr>
        <w:t xml:space="preserve">：JSZC-320000-SCZX-G2026-0077</w:t>
      </w:r>
      <w:r>
        <w:rPr>
          <w:rFonts w:hint="eastAsia" w:ascii="Arial" w:hAnsi="Arial"/>
          <w:b/>
          <w:bCs/>
          <w:color w:val="000000"/>
          <w:sz w:val="32"/>
          <w:szCs w:val="24"/>
          <w:highlight w:val="none"/>
        </w:rPr>
      </w:r>
      <w:r/>
    </w:p>
    <w:p>
      <w:pPr>
        <w:pStyle w:val="748"/>
        <w:ind w:left="2800" w:hanging="2800"/>
        <w:rPr>
          <w:rFonts w:ascii="Times New Roman" w:hAnsi="Times New Roman"/>
          <w:b/>
          <w:color w:val="000000"/>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b/>
          <w:color w:val="000000"/>
          <w:sz w:val="28"/>
          <w:szCs w:val="28"/>
          <w:highlight w:val="none"/>
        </w:rPr>
        <w:t xml:space="preserve"> </w:t>
      </w:r>
      <w:r>
        <w:rPr>
          <w:rFonts w:ascii="Times New Roman" w:hAnsi="Times New Roman"/>
          <w:b/>
          <w:color w:val="000000"/>
          <w:sz w:val="28"/>
          <w:szCs w:val="28"/>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rPr>
          <w:rFonts w:hint="eastAsia" w:ascii="Arial" w:hAnsi="Arial"/>
          <w:b/>
          <w:bCs/>
          <w:color w:val="000000"/>
          <w:sz w:val="32"/>
          <w:szCs w:val="24"/>
          <w:highlight w:val="none"/>
        </w:rPr>
      </w:r>
      <w:r/>
    </w:p>
    <w:p>
      <w:pPr>
        <w:pStyle w:val="74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3</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74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4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48"/>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74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48"/>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74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74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18</w:t>
      </w:r>
      <w:r>
        <w:rPr>
          <w:rFonts w:hint="eastAsia" w:ascii="黑体" w:hAnsi="Showcard Gothic" w:eastAsia="黑体"/>
          <w:color w:val="000000"/>
          <w:sz w:val="36"/>
          <w:szCs w:val="21"/>
          <w:highlight w:val="none"/>
        </w:rPr>
      </w:r>
      <w:r/>
    </w:p>
    <w:p>
      <w:pPr>
        <w:pStyle w:val="74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34</w:t>
      </w:r>
      <w:r>
        <w:rPr>
          <w:rFonts w:hint="eastAsia" w:ascii="黑体" w:hAnsi="Showcard Gothic" w:eastAsia="黑体"/>
          <w:color w:val="000000"/>
          <w:sz w:val="36"/>
          <w:szCs w:val="21"/>
          <w:highlight w:val="none"/>
        </w:rPr>
      </w:r>
      <w:r/>
    </w:p>
    <w:p>
      <w:pPr>
        <w:pStyle w:val="74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50</w:t>
      </w:r>
      <w:r>
        <w:rPr>
          <w:rFonts w:hint="eastAsia" w:ascii="黑体" w:hAnsi="Showcard Gothic" w:eastAsia="黑体"/>
          <w:color w:val="000000"/>
          <w:sz w:val="36"/>
          <w:szCs w:val="21"/>
          <w:highlight w:val="none"/>
        </w:rPr>
      </w:r>
      <w:r/>
    </w:p>
    <w:p>
      <w:pPr>
        <w:pStyle w:val="74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54</w:t>
      </w:r>
      <w:r>
        <w:rPr>
          <w:rFonts w:hint="eastAsia" w:ascii="黑体" w:hAnsi="Showcard Gothic" w:eastAsia="黑体"/>
          <w:color w:val="000000"/>
          <w:sz w:val="36"/>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rPr>
          <w:rFonts w:hint="eastAsia" w:ascii="黑体" w:hAnsi="Times New Roman" w:eastAsia="黑体"/>
          <w:bCs/>
          <w:color w:val="000000"/>
          <w:sz w:val="44"/>
          <w:szCs w:val="4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宿迁学院</w:t>
      </w:r>
      <w:r>
        <w:rPr>
          <w:rFonts w:hint="eastAsia" w:ascii="宋体" w:hAnsi="宋体"/>
          <w:color w:val="000000"/>
          <w:sz w:val="24"/>
          <w:szCs w:val="24"/>
          <w:highlight w:val="none"/>
        </w:rPr>
        <w:t xml:space="preserve">的委托，江苏省政府采购中心就宿迁学院新校区学生公寓北、东组团室内配套家具采购(</w:t>
      </w:r>
      <w:r>
        <w:rPr>
          <w:rFonts w:ascii="Segoe UI" w:hAnsi="Segoe UI" w:eastAsia="Segoe UI" w:cs="Segoe UI"/>
          <w:i w:val="0"/>
          <w:iCs w:val="0"/>
          <w:caps w:val="0"/>
          <w:color w:val="000000"/>
          <w:spacing w:val="0"/>
          <w:sz w:val="21"/>
          <w:szCs w:val="21"/>
          <w:highlight w:val="none"/>
          <w:shd w:val="clear" w:color="auto" w:fill="ffffff"/>
        </w:rPr>
        <w:t xml:space="preserve">JSZC-320000-SCZX-G2026-0077</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宿迁学院新校区学生公寓北、东组团室内配套家具采购</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年4月</w:t>
      </w:r>
      <w:r>
        <w:rPr>
          <w:rFonts w:hint="eastAsia" w:ascii="宋体" w:hAnsi="宋体"/>
          <w:bCs/>
          <w:color w:val="000000"/>
          <w:sz w:val="24"/>
          <w:szCs w:val="24"/>
          <w:highlight w:val="none"/>
          <w:u w:val="single"/>
          <w:lang w:val="en-US" w:eastAsia="zh-CN"/>
        </w:rPr>
        <w:t xml:space="preserve">16</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8"/>
        <w:ind w:firstLine="496"/>
        <w:keepLines/>
        <w:keepNext/>
        <w:spacing w:before="156" w:after="156" w:line="400" w:lineRule="exact"/>
        <w:rPr>
          <w:rFonts w:ascii="Times New Roman" w:hAnsi="Times New Roman"/>
          <w:b/>
          <w:bCs/>
          <w:color w:val="000000"/>
          <w:sz w:val="32"/>
          <w:szCs w:val="32"/>
          <w:highlight w:val="none"/>
        </w:rPr>
        <w:outlineLvl w:val="2"/>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rPr>
          <w:rFonts w:ascii="Times New Roman" w:hAnsi="Times New Roman"/>
          <w:b/>
          <w:bCs/>
          <w:color w:val="000000"/>
          <w:sz w:val="32"/>
          <w:szCs w:val="32"/>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w:t>
      </w:r>
      <w:r>
        <w:rPr>
          <w:rFonts w:ascii="Segoe UI" w:hAnsi="Segoe UI" w:eastAsia="Segoe UI" w:cs="Segoe UI"/>
          <w:i w:val="0"/>
          <w:iCs w:val="0"/>
          <w:caps w:val="0"/>
          <w:color w:val="000000"/>
          <w:spacing w:val="0"/>
          <w:sz w:val="21"/>
          <w:szCs w:val="21"/>
          <w:highlight w:val="none"/>
          <w:shd w:val="clear" w:color="auto" w:fill="ffffff"/>
        </w:rPr>
        <w:t xml:space="preserve">JSZC-320000-SCZX-G2026-0077</w:t>
      </w:r>
      <w:r>
        <w:rPr>
          <w:rFonts w:hint="eastAsia" w:ascii="宋体" w:hAnsi="宋体"/>
          <w:color w:val="000000"/>
          <w:sz w:val="24"/>
          <w:szCs w:val="24"/>
          <w:highlight w:val="none"/>
        </w:rPr>
      </w:r>
      <w:r/>
    </w:p>
    <w:p>
      <w:pPr>
        <w:pStyle w:val="748"/>
        <w:ind w:firstLine="480"/>
        <w:spacing w:line="4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2.项目名称：宿迁学院新校区学生公寓北、东组团室内配套家具采购</w:t>
      </w:r>
      <w:r>
        <w:rPr>
          <w:rFonts w:hint="eastAsia" w:ascii="宋体" w:hAnsi="宋体"/>
          <w:color w:val="000000"/>
          <w:sz w:val="24"/>
          <w:szCs w:val="24"/>
          <w:highlight w:val="none"/>
          <w:lang w:val="en-US" w:eastAsia="zh-CN"/>
        </w:rPr>
        <w:t xml:space="preserve">项目</w:t>
      </w:r>
      <w:bookmarkEnd w:id="11"/>
      <w:r>
        <w:rPr>
          <w:rFonts w:hint="eastAsia" w:ascii="宋体" w:hAnsi="宋体" w:eastAsia="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ascii="宋体" w:hAnsi="宋体"/>
          <w:color w:val="000000"/>
          <w:sz w:val="24"/>
          <w:szCs w:val="24"/>
          <w:highlight w:val="none"/>
        </w:rPr>
      </w:r>
      <w:r/>
    </w:p>
    <w:tbl>
      <w:tblPr>
        <w:tblW w:w="5671"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523"/>
      </w:tblGrid>
      <w:tr>
        <w:trPr/>
        <w:tc>
          <w:tcPr>
            <w:tcW w:w="1148" w:type="dxa"/>
            <w:vAlign w:val="center"/>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w:t>
            </w:r>
            <w:r>
              <w:rPr>
                <w:rFonts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包号</w:t>
            </w:r>
            <w:r>
              <w:rPr>
                <w:rFonts w:hint="eastAsia" w:ascii="宋体" w:hAnsi="宋体" w:eastAsia="宋体" w:cs="Times New Roman"/>
                <w:color w:val="000000"/>
                <w:sz w:val="24"/>
                <w:szCs w:val="24"/>
                <w:highlight w:val="none"/>
                <w:lang w:val="en-US" w:eastAsia="zh-CN" w:bidi="ar-SA"/>
              </w:rPr>
            </w:r>
            <w:r/>
          </w:p>
        </w:tc>
        <w:tc>
          <w:tcPr>
            <w:tcW w:w="4523"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预算</w:t>
            </w:r>
            <w:r>
              <w:rPr>
                <w:rFonts w:ascii="宋体" w:hAnsi="宋体" w:eastAsia="宋体" w:cs="Times New Roman"/>
                <w:color w:val="000000"/>
                <w:sz w:val="24"/>
                <w:szCs w:val="24"/>
                <w:highlight w:val="none"/>
                <w:lang w:val="en-US" w:eastAsia="zh-CN" w:bidi="ar-SA"/>
              </w:rPr>
              <w:t xml:space="preserve">金额</w:t>
            </w:r>
            <w:r>
              <w:rPr>
                <w:rFonts w:hint="eastAsia" w:ascii="宋体" w:hAnsi="宋体" w:eastAsia="宋体" w:cs="Times New Roman"/>
                <w:color w:val="000000"/>
                <w:sz w:val="24"/>
                <w:szCs w:val="24"/>
                <w:highlight w:val="none"/>
                <w:lang w:val="en-US" w:eastAsia="zh-CN" w:bidi="ar-SA"/>
              </w:rPr>
              <w:t xml:space="preserve">（人民币</w:t>
            </w:r>
            <w:r>
              <w:rPr>
                <w:rFonts w:ascii="宋体" w:hAnsi="宋体" w:eastAsia="宋体" w:cs="Times New Roman"/>
                <w:color w:val="000000"/>
                <w:sz w:val="24"/>
                <w:szCs w:val="24"/>
                <w:highlight w:val="none"/>
                <w:lang w:val="en-US" w:eastAsia="zh-CN" w:bidi="ar-SA"/>
              </w:rPr>
              <w:t xml:space="preserve">：万元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r>
      <w:tr>
        <w:trPr/>
        <w:tc>
          <w:tcPr>
            <w:tcW w:w="1148" w:type="dxa"/>
            <w:vAlign w:val="center"/>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4523" w:type="dxa"/>
            <w:vAlign w:val="center"/>
            <w:textDirection w:val="lrTb"/>
            <w:noWrap w:val="false"/>
          </w:tcPr>
          <w:p>
            <w:pPr>
              <w:pStyle w:val="748"/>
              <w:ind w:firstLine="480"/>
              <w:jc w:val="center"/>
              <w:spacing w:line="480" w:lineRule="exact"/>
              <w:widowControl w:val="off"/>
              <w:rPr>
                <w:rFonts w:ascii="宋体" w:hAnsi="宋体" w:eastAsia="宋体" w:cs="Times New Roman"/>
                <w:color w:val="000000"/>
                <w:sz w:val="24"/>
                <w:szCs w:val="24"/>
                <w:highlight w:val="none"/>
                <w:lang w:val="en-US" w:eastAsia="zh-CN" w:bidi="ar-SA"/>
              </w:rPr>
            </w:pPr>
            <w:r>
              <w:rPr>
                <w:rFonts w:hint="eastAsia" w:cs="仿宋"/>
                <w:color w:val="000000"/>
                <w:sz w:val="24"/>
                <w:szCs w:val="24"/>
                <w:highlight w:val="none"/>
                <w:lang w:val="en-US" w:eastAsia="zh-CN" w:bidi="ar-SA"/>
              </w:rPr>
              <w:t xml:space="preserve">3698.200</w:t>
            </w:r>
            <w:r>
              <w:rPr>
                <w:rFonts w:ascii="宋体" w:hAnsi="宋体" w:eastAsia="宋体" w:cs="Times New Roman"/>
                <w:color w:val="000000"/>
                <w:sz w:val="24"/>
                <w:szCs w:val="24"/>
                <w:highlight w:val="none"/>
                <w:lang w:val="en-US" w:eastAsia="zh-CN" w:bidi="ar-SA"/>
              </w:rPr>
            </w:r>
            <w:r/>
          </w:p>
        </w:tc>
      </w:tr>
    </w:tbl>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ascii="宋体" w:hAnsi="宋体"/>
          <w:color w:val="000000"/>
          <w:sz w:val="24"/>
          <w:szCs w:val="24"/>
          <w:highlight w:val="none"/>
        </w:rPr>
      </w:r>
      <w:r/>
    </w:p>
    <w:tbl>
      <w:tblPr>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w:t>
            </w:r>
            <w:r>
              <w:rPr>
                <w:rFonts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包号</w:t>
            </w:r>
            <w:r>
              <w:rPr>
                <w:rFonts w:hint="eastAsia" w:ascii="宋体" w:hAnsi="宋体" w:eastAsia="宋体" w:cs="Times New Roman"/>
                <w:color w:val="000000"/>
                <w:sz w:val="24"/>
                <w:szCs w:val="24"/>
                <w:highlight w:val="none"/>
                <w:lang w:val="en-US" w:eastAsia="zh-CN" w:bidi="ar-SA"/>
              </w:rPr>
            </w:r>
            <w:r/>
          </w:p>
        </w:tc>
        <w:tc>
          <w:tcPr>
            <w:tcW w:w="2800" w:type="dxa"/>
            <w:vAlign w:val="top"/>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是否</w:t>
            </w:r>
            <w:r>
              <w:rPr>
                <w:rFonts w:ascii="宋体" w:hAnsi="宋体" w:eastAsia="宋体" w:cs="Times New Roman"/>
                <w:color w:val="000000"/>
                <w:sz w:val="24"/>
                <w:szCs w:val="24"/>
                <w:highlight w:val="none"/>
                <w:lang w:val="en-US" w:eastAsia="zh-CN" w:bidi="ar-SA"/>
              </w:rPr>
              <w:t xml:space="preserve">设定最高</w:t>
            </w:r>
            <w:r>
              <w:rPr>
                <w:rFonts w:hint="eastAsia" w:ascii="宋体" w:hAnsi="宋体" w:eastAsia="宋体" w:cs="Times New Roman"/>
                <w:color w:val="000000"/>
                <w:sz w:val="24"/>
                <w:szCs w:val="24"/>
                <w:highlight w:val="none"/>
                <w:lang w:val="en-US" w:eastAsia="zh-CN" w:bidi="ar-SA"/>
              </w:rPr>
              <w:t xml:space="preserve">限价</w:t>
            </w:r>
            <w:r>
              <w:rPr>
                <w:rFonts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是/否</w:t>
            </w: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3135" w:type="dxa"/>
            <w:vAlign w:val="top"/>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最高</w:t>
            </w:r>
            <w:r>
              <w:rPr>
                <w:rFonts w:ascii="宋体" w:hAnsi="宋体" w:eastAsia="宋体" w:cs="Times New Roman"/>
                <w:color w:val="000000"/>
                <w:sz w:val="24"/>
                <w:szCs w:val="24"/>
                <w:highlight w:val="none"/>
                <w:lang w:val="en-US" w:eastAsia="zh-CN" w:bidi="ar-SA"/>
              </w:rPr>
              <w:t xml:space="preserve">限价</w:t>
            </w:r>
            <w:r>
              <w:rPr>
                <w:rFonts w:hint="eastAsia" w:ascii="宋体" w:hAnsi="宋体" w:eastAsia="宋体" w:cs="Times New Roman"/>
                <w:color w:val="000000"/>
                <w:sz w:val="24"/>
                <w:szCs w:val="24"/>
                <w:highlight w:val="none"/>
                <w:lang w:val="en-US" w:eastAsia="zh-CN" w:bidi="ar-SA"/>
              </w:rPr>
              <w:t xml:space="preserve">（人民币</w:t>
            </w:r>
            <w:r>
              <w:rPr>
                <w:rFonts w:ascii="宋体" w:hAnsi="宋体" w:eastAsia="宋体" w:cs="Times New Roman"/>
                <w:color w:val="000000"/>
                <w:sz w:val="24"/>
                <w:szCs w:val="24"/>
                <w:highlight w:val="none"/>
                <w:lang w:val="en-US" w:eastAsia="zh-CN" w:bidi="ar-SA"/>
              </w:rPr>
              <w:t xml:space="preserve">：万元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r>
      <w:tr>
        <w:trPr/>
        <w:tc>
          <w:tcPr>
            <w:tcW w:w="1148" w:type="dxa"/>
            <w:vAlign w:val="top"/>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2800" w:type="dxa"/>
            <w:vAlign w:val="top"/>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是</w:t>
            </w:r>
            <w:r>
              <w:rPr>
                <w:rFonts w:ascii="宋体" w:hAnsi="宋体" w:eastAsia="宋体" w:cs="Times New Roman"/>
                <w:color w:val="000000"/>
                <w:sz w:val="24"/>
                <w:szCs w:val="24"/>
                <w:highlight w:val="none"/>
                <w:lang w:val="en-US" w:eastAsia="zh-CN" w:bidi="ar-SA"/>
              </w:rPr>
            </w:r>
            <w:r/>
          </w:p>
        </w:tc>
        <w:tc>
          <w:tcPr>
            <w:tcW w:w="3135" w:type="dxa"/>
            <w:vAlign w:val="top"/>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仿宋"/>
                <w:color w:val="000000"/>
                <w:sz w:val="24"/>
                <w:szCs w:val="24"/>
                <w:highlight w:val="none"/>
                <w:lang w:val="en-US" w:eastAsia="zh-CN" w:bidi="ar-SA"/>
              </w:rPr>
              <w:t xml:space="preserve">3362.34</w:t>
            </w:r>
            <w:r>
              <w:rPr>
                <w:rFonts w:ascii="宋体" w:hAnsi="宋体" w:eastAsia="宋体" w:cs="Times New Roman"/>
                <w:color w:val="000000"/>
                <w:sz w:val="24"/>
                <w:szCs w:val="24"/>
                <w:highlight w:val="none"/>
                <w:lang w:val="en-US" w:eastAsia="zh-CN" w:bidi="ar-SA"/>
              </w:rPr>
            </w:r>
            <w:r/>
          </w:p>
        </w:tc>
      </w:tr>
    </w:tbl>
    <w:p>
      <w:pPr>
        <w:pStyle w:val="748"/>
        <w:ind w:firstLine="480"/>
        <w:spacing w:line="400" w:lineRule="exact"/>
        <w:rPr>
          <w:rFonts w:ascii="宋体" w:hAnsi="宋体"/>
          <w:color w:val="000000"/>
          <w:sz w:val="24"/>
          <w:szCs w:val="24"/>
          <w:highlight w:val="none"/>
          <w:u w:val="single"/>
        </w:rPr>
      </w:pPr>
      <w:r/>
      <w:bookmarkStart w:id="12" w:name="_Toc35393791"/>
      <w:r/>
      <w:bookmarkStart w:id="13" w:name="_Toc28359080"/>
      <w:r/>
      <w:bookmarkStart w:id="14" w:name="_Toc28359003"/>
      <w:r/>
      <w:bookmarkStart w:id="15" w:name="_Toc35393622"/>
      <w:r/>
      <w:bookmarkStart w:id="16" w:name="_Toc38985264"/>
      <w:r>
        <w:rPr>
          <w:rFonts w:hint="eastAsia" w:ascii="宋体" w:hAnsi="宋体"/>
          <w:color w:val="000000"/>
          <w:sz w:val="24"/>
          <w:szCs w:val="24"/>
          <w:highlight w:val="none"/>
        </w:rPr>
        <w:t xml:space="preserve">5.采购需求(简介)：宿迁学院</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新校区学生公寓北、东组团室内配套家具</w:t>
      </w:r>
      <w:r>
        <w:rPr>
          <w:rFonts w:hint="eastAsia" w:ascii="宋体" w:hAnsi="宋体" w:cs="宋体"/>
          <w:color w:val="000000"/>
          <w:sz w:val="24"/>
          <w:szCs w:val="24"/>
          <w:highlight w:val="none"/>
        </w:rPr>
        <w:t xml:space="preserve">，</w:t>
      </w:r>
      <w:r>
        <w:rPr>
          <w:rFonts w:hint="eastAsia" w:ascii="Times New Roman" w:hAnsi="Times New Roman" w:cs="方正仿宋_GBK"/>
          <w:color w:val="000000"/>
          <w:sz w:val="24"/>
          <w:szCs w:val="24"/>
          <w:highlight w:val="none"/>
          <w:u w:val="none"/>
        </w:rPr>
        <w:t xml:space="preserve">包括家具制作、运输、装卸、安装、调试及售后三包服务等</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74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合同履行期限</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合同签订后50日历天内送到甲方指定地点存放，接到甲方通知30日内完成安装、调试、检测并经验收合格后交付甲方使用（含二次搬运费）。</w:t>
      </w:r>
      <w:r>
        <w:rPr>
          <w:rFonts w:hint="eastAsia" w:ascii="宋体" w:hAnsi="宋体"/>
          <w:color w:val="000000"/>
          <w:sz w:val="24"/>
          <w:szCs w:val="24"/>
          <w:highlight w:val="none"/>
        </w:rPr>
      </w:r>
      <w:r/>
    </w:p>
    <w:p>
      <w:pPr>
        <w:pStyle w:val="748"/>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Pr>
          <w:rFonts w:ascii="Times New Roman" w:hAnsi="Times New Roman"/>
          <w:b/>
          <w:bCs/>
          <w:color w:val="000000"/>
          <w:sz w:val="32"/>
          <w:szCs w:val="32"/>
          <w:highlight w:val="none"/>
        </w:rPr>
      </w:r>
      <w:r/>
    </w:p>
    <w:p>
      <w:pPr>
        <w:pStyle w:val="748"/>
        <w:ind w:firstLine="560"/>
        <w:spacing w:line="400" w:lineRule="exact"/>
        <w:rPr>
          <w:rFonts w:hint="eastAsia" w:ascii="宋体" w:hAnsi="宋体"/>
          <w:color w:val="000000"/>
          <w:sz w:val="28"/>
          <w:szCs w:val="28"/>
          <w:highlight w:val="none"/>
        </w:rPr>
      </w:pPr>
      <w:r/>
      <w:bookmarkStart w:id="17" w:name="_Toc35393623"/>
      <w:r/>
      <w:bookmarkStart w:id="18" w:name="_Toc38985265"/>
      <w:r/>
      <w:bookmarkStart w:id="19" w:name="_Toc28359081"/>
      <w:r/>
      <w:bookmarkStart w:id="20" w:name="_Toc35393792"/>
      <w:r/>
      <w:bookmarkStart w:id="21" w:name="_Toc28359004"/>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rPr>
          <w:rFonts w:hint="eastAsia" w:ascii="宋体" w:hAnsi="宋体"/>
          <w:color w:val="000000"/>
          <w:sz w:val="28"/>
          <w:szCs w:val="28"/>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2024或2025</w:t>
      </w:r>
      <w:r>
        <w:rPr>
          <w:rFonts w:hint="eastAsia" w:ascii="宋体" w:hAnsi="宋体"/>
          <w:color w:val="000000"/>
          <w:sz w:val="24"/>
          <w:szCs w:val="24"/>
          <w:highlight w:val="none"/>
        </w:rPr>
        <w:t xml:space="preserve">年度的财务状况报告（成立不满一年无需提供）；</w:t>
      </w:r>
      <w:r>
        <w:rPr>
          <w:rFonts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748"/>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highlight w:val="none"/>
        </w:rPr>
      </w:r>
      <w:r/>
    </w:p>
    <w:p>
      <w:pPr>
        <w:pStyle w:val="748"/>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rFonts w:ascii="宋体" w:hAnsi="宋体" w:cs="宋体"/>
          <w:color w:val="000000"/>
          <w:sz w:val="24"/>
          <w:szCs w:val="24"/>
          <w:highlight w:val="none"/>
        </w:rPr>
      </w:r>
      <w:r/>
    </w:p>
    <w:p>
      <w:pPr>
        <w:pStyle w:val="74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ascii="宋体" w:hAnsi="宋体"/>
          <w:color w:val="000000"/>
          <w:sz w:val="24"/>
          <w:szCs w:val="24"/>
          <w:highlight w:val="none"/>
        </w:rPr>
      </w:r>
      <w:r/>
    </w:p>
    <w:tbl>
      <w:tblPr>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48"/>
              <w:jc w:val="center"/>
              <w:spacing w:line="4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w:t>
            </w:r>
            <w:r>
              <w:rPr>
                <w:rFonts w:ascii="宋体" w:hAnsi="宋体" w:eastAsia="宋体" w:cs="Times New Roman"/>
                <w:color w:val="000000"/>
                <w:sz w:val="24"/>
                <w:szCs w:val="24"/>
                <w:highlight w:val="none"/>
                <w:lang w:val="en-US" w:eastAsia="zh-CN" w:bidi="ar-SA"/>
              </w:rPr>
            </w:r>
            <w:r/>
          </w:p>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包号</w:t>
            </w:r>
            <w:r>
              <w:rPr>
                <w:rFonts w:hint="eastAsia" w:ascii="宋体" w:hAnsi="宋体" w:eastAsia="宋体" w:cs="Times New Roman"/>
                <w:color w:val="000000"/>
                <w:sz w:val="24"/>
                <w:szCs w:val="24"/>
                <w:highlight w:val="none"/>
                <w:lang w:val="en-US" w:eastAsia="zh-CN" w:bidi="ar-SA"/>
              </w:rPr>
            </w:r>
            <w:r/>
          </w:p>
        </w:tc>
        <w:tc>
          <w:tcPr>
            <w:tcW w:w="2968" w:type="dxa"/>
            <w:vAlign w:val="top"/>
            <w:textDirection w:val="lrTb"/>
            <w:noWrap w:val="false"/>
          </w:tcPr>
          <w:p>
            <w:pPr>
              <w:pStyle w:val="748"/>
              <w:jc w:val="center"/>
              <w:spacing w:line="4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是否接受联合体</w:t>
            </w:r>
            <w:r>
              <w:rPr>
                <w:rFonts w:ascii="宋体" w:hAnsi="宋体" w:eastAsia="宋体" w:cs="Times New Roman"/>
                <w:color w:val="000000"/>
                <w:sz w:val="24"/>
                <w:szCs w:val="24"/>
                <w:highlight w:val="none"/>
                <w:lang w:val="en-US" w:eastAsia="zh-CN" w:bidi="ar-SA"/>
              </w:rPr>
              <w:t xml:space="preserve">投标</w:t>
            </w:r>
            <w:r>
              <w:rPr>
                <w:rFonts w:ascii="宋体" w:hAnsi="宋体" w:eastAsia="宋体" w:cs="Times New Roman"/>
                <w:color w:val="000000"/>
                <w:sz w:val="24"/>
                <w:szCs w:val="24"/>
                <w:highlight w:val="none"/>
                <w:lang w:val="en-US" w:eastAsia="zh-CN" w:bidi="ar-SA"/>
              </w:rPr>
            </w:r>
            <w:r/>
          </w:p>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是/否</w:t>
            </w: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967"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该采购包中</w:t>
            </w:r>
            <w:r>
              <w:rPr>
                <w:rFonts w:ascii="宋体" w:hAnsi="宋体" w:eastAsia="宋体" w:cs="Times New Roman"/>
                <w:color w:val="000000"/>
                <w:sz w:val="24"/>
                <w:szCs w:val="24"/>
                <w:highlight w:val="none"/>
                <w:lang w:val="en-US" w:eastAsia="zh-CN" w:bidi="ar-SA"/>
              </w:rPr>
              <w:t xml:space="preserve">联合体成员数量</w:t>
            </w:r>
            <w:r>
              <w:rPr>
                <w:rFonts w:hint="eastAsia" w:ascii="宋体" w:hAnsi="宋体" w:eastAsia="宋体" w:cs="Times New Roman"/>
                <w:color w:val="000000"/>
                <w:sz w:val="24"/>
                <w:szCs w:val="24"/>
                <w:highlight w:val="none"/>
                <w:lang w:val="en-US" w:eastAsia="zh-CN" w:bidi="ar-SA"/>
              </w:rPr>
              <w:t xml:space="preserve">上限</w:t>
            </w:r>
            <w:r>
              <w:rPr>
                <w:rFonts w:hint="eastAsia" w:ascii="宋体" w:hAnsi="宋体" w:eastAsia="宋体" w:cs="Times New Roman"/>
                <w:color w:val="000000"/>
                <w:sz w:val="24"/>
                <w:szCs w:val="24"/>
                <w:highlight w:val="none"/>
                <w:lang w:val="en-US" w:eastAsia="zh-CN" w:bidi="ar-SA"/>
              </w:rPr>
            </w:r>
            <w:r/>
          </w:p>
        </w:tc>
      </w:tr>
      <w:tr>
        <w:trPr/>
        <w:tc>
          <w:tcPr>
            <w:tcW w:w="1148"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2968" w:type="dxa"/>
            <w:vAlign w:val="top"/>
            <w:textDirection w:val="lrTb"/>
            <w:noWrap w:val="false"/>
          </w:tcPr>
          <w:p>
            <w:pPr>
              <w:pStyle w:val="748"/>
              <w:jc w:val="center"/>
              <w:spacing w:line="4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否</w:t>
            </w:r>
            <w:r>
              <w:rPr>
                <w:rFonts w:ascii="宋体" w:hAnsi="宋体" w:eastAsia="宋体" w:cs="Times New Roman"/>
                <w:color w:val="000000"/>
                <w:sz w:val="24"/>
                <w:szCs w:val="24"/>
                <w:highlight w:val="none"/>
                <w:lang w:val="en-US" w:eastAsia="zh-CN" w:bidi="ar-SA"/>
              </w:rPr>
            </w:r>
            <w:r/>
          </w:p>
        </w:tc>
        <w:tc>
          <w:tcPr>
            <w:tcW w:w="2967"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r>
    </w:tbl>
    <w:p>
      <w:pPr>
        <w:pStyle w:val="748"/>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rFonts w:ascii="宋体" w:hAnsi="宋体"/>
          <w:color w:val="000000"/>
          <w:sz w:val="28"/>
          <w:szCs w:val="28"/>
          <w:highlight w:val="none"/>
        </w:rPr>
      </w:r>
      <w:r/>
    </w:p>
    <w:tbl>
      <w:tblPr>
        <w:tblW w:w="7069"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48"/>
              <w:jc w:val="center"/>
              <w:spacing w:line="4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w:t>
            </w:r>
            <w:r>
              <w:rPr>
                <w:rFonts w:ascii="宋体" w:hAnsi="宋体" w:eastAsia="宋体" w:cs="Times New Roman"/>
                <w:color w:val="000000"/>
                <w:sz w:val="24"/>
                <w:szCs w:val="24"/>
                <w:highlight w:val="none"/>
                <w:lang w:val="en-US" w:eastAsia="zh-CN" w:bidi="ar-SA"/>
              </w:rPr>
            </w:r>
            <w:r/>
          </w:p>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包号</w:t>
            </w:r>
            <w:r>
              <w:rPr>
                <w:rFonts w:hint="eastAsia" w:ascii="宋体" w:hAnsi="宋体" w:eastAsia="宋体" w:cs="Times New Roman"/>
                <w:color w:val="000000"/>
                <w:sz w:val="24"/>
                <w:szCs w:val="24"/>
                <w:highlight w:val="none"/>
                <w:lang w:val="en-US" w:eastAsia="zh-CN" w:bidi="ar-SA"/>
              </w:rPr>
            </w:r>
            <w:r/>
          </w:p>
        </w:tc>
        <w:tc>
          <w:tcPr>
            <w:tcW w:w="5921"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特定</w:t>
            </w:r>
            <w:r>
              <w:rPr>
                <w:rFonts w:ascii="宋体" w:hAnsi="宋体" w:eastAsia="宋体" w:cs="Times New Roman"/>
                <w:color w:val="000000"/>
                <w:sz w:val="24"/>
                <w:szCs w:val="24"/>
                <w:highlight w:val="none"/>
                <w:lang w:val="en-US" w:eastAsia="zh-CN" w:bidi="ar-SA"/>
              </w:rPr>
              <w:t xml:space="preserve">资格要求</w:t>
            </w:r>
            <w:r>
              <w:rPr>
                <w:rFonts w:hint="eastAsia" w:ascii="宋体" w:hAnsi="宋体" w:eastAsia="宋体" w:cs="Times New Roman"/>
                <w:color w:val="000000"/>
                <w:sz w:val="24"/>
                <w:szCs w:val="24"/>
                <w:highlight w:val="none"/>
                <w:lang w:val="en-US" w:eastAsia="zh-CN" w:bidi="ar-SA"/>
              </w:rPr>
            </w:r>
            <w:r/>
          </w:p>
        </w:tc>
      </w:tr>
      <w:tr>
        <w:trPr/>
        <w:tc>
          <w:tcPr>
            <w:tcW w:w="1148"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5921"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r>
    </w:tbl>
    <w:p>
      <w:pPr>
        <w:pStyle w:val="748"/>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rPr>
          <w:rFonts w:ascii="Times New Roman" w:hAnsi="Times New Roman"/>
          <w:b/>
          <w:bCs/>
          <w:color w:val="000000"/>
          <w:sz w:val="32"/>
          <w:szCs w:val="32"/>
          <w:highlight w:val="none"/>
        </w:rPr>
      </w:r>
      <w:r/>
    </w:p>
    <w:p>
      <w:pPr>
        <w:pStyle w:val="748"/>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748"/>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Pr>
          <w:rFonts w:hint="eastAsia" w:ascii="宋体" w:hAnsi="宋体" w:cs="宋体"/>
          <w:color w:val="000000"/>
          <w:sz w:val="24"/>
          <w:szCs w:val="24"/>
          <w:highlight w:val="none"/>
          <w:u w:val="single"/>
        </w:rPr>
      </w:r>
      <w:r/>
    </w:p>
    <w:p>
      <w:pPr>
        <w:pStyle w:val="748"/>
        <w:ind w:firstLine="496"/>
        <w:keepLines/>
        <w:keepNext/>
        <w:spacing w:before="156" w:after="156" w:line="400" w:lineRule="exact"/>
        <w:rPr>
          <w:rFonts w:ascii="Times New Roman" w:hAnsi="Times New Roman"/>
          <w:b/>
          <w:bCs/>
          <w:color w:val="000000"/>
          <w:sz w:val="32"/>
          <w:szCs w:val="32"/>
          <w:highlight w:val="none"/>
        </w:rPr>
        <w:outlineLvl w:val="2"/>
      </w:pPr>
      <w:r/>
      <w:bookmarkStart w:id="22" w:name="_Toc28359082"/>
      <w:r/>
      <w:bookmarkStart w:id="23" w:name="_Toc28359005"/>
      <w:r/>
      <w:bookmarkStart w:id="24" w:name="_Toc38985266"/>
      <w:r/>
      <w:bookmarkStart w:id="25" w:name="_Toc35393793"/>
      <w:r/>
      <w:bookmarkStart w:id="26" w:name="_Toc35393624"/>
      <w:r>
        <w:rPr>
          <w:rFonts w:hint="eastAsia" w:ascii="Times New Roman" w:hAnsi="Times New Roman"/>
          <w:b/>
          <w:bCs/>
          <w:color w:val="000000"/>
          <w:sz w:val="32"/>
          <w:szCs w:val="32"/>
          <w:highlight w:val="none"/>
        </w:rPr>
        <w:t xml:space="preserve">四、提交投标文件</w:t>
      </w:r>
      <w:bookmarkEnd w:id="22"/>
      <w:r/>
      <w:bookmarkEnd w:id="23"/>
      <w:r>
        <w:rPr>
          <w:rFonts w:hint="eastAsia" w:ascii="Times New Roman" w:hAnsi="Times New Roman"/>
          <w:b/>
          <w:bCs/>
          <w:color w:val="000000"/>
          <w:sz w:val="32"/>
          <w:szCs w:val="32"/>
          <w:highlight w:val="none"/>
        </w:rPr>
        <w:t xml:space="preserve">截止时间、开标时间和地点</w:t>
      </w:r>
      <w:bookmarkEnd w:id="24"/>
      <w:r/>
      <w:bookmarkEnd w:id="25"/>
      <w:r/>
      <w:bookmarkEnd w:id="26"/>
      <w:r>
        <w:rPr>
          <w:rFonts w:ascii="Times New Roman" w:hAnsi="Times New Roman"/>
          <w:b/>
          <w:bCs/>
          <w:color w:val="000000"/>
          <w:sz w:val="32"/>
          <w:szCs w:val="32"/>
          <w:highlight w:val="none"/>
        </w:rPr>
      </w:r>
      <w:r/>
    </w:p>
    <w:p>
      <w:pPr>
        <w:pStyle w:val="748"/>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2026年4月</w:t>
      </w:r>
      <w:r>
        <w:rPr>
          <w:rFonts w:hint="eastAsia" w:ascii="宋体" w:hAnsi="宋体"/>
          <w:bCs/>
          <w:color w:val="000000"/>
          <w:sz w:val="24"/>
          <w:szCs w:val="24"/>
          <w:highlight w:val="none"/>
          <w:u w:val="single"/>
          <w:lang w:val="en-US" w:eastAsia="zh-CN"/>
        </w:rPr>
        <w:t xml:space="preserve">16</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w:t>
      </w:r>
      <w:r>
        <w:rPr>
          <w:rFonts w:ascii="宋体" w:hAnsi="宋体"/>
          <w:bCs/>
          <w:color w:val="000000"/>
          <w:sz w:val="24"/>
          <w:szCs w:val="24"/>
          <w:highlight w:val="none"/>
          <w:u w:val="singl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rFonts w:ascii="宋体" w:hAnsi="宋体"/>
          <w:color w:val="000000"/>
          <w:sz w:val="24"/>
          <w:szCs w:val="24"/>
          <w:highlight w:val="none"/>
        </w:rPr>
      </w:r>
      <w:r/>
    </w:p>
    <w:p>
      <w:pPr>
        <w:pStyle w:val="748"/>
        <w:ind w:firstLine="496"/>
        <w:keepLines/>
        <w:keepNext/>
        <w:spacing w:before="156" w:after="156" w:line="360" w:lineRule="auto"/>
        <w:rPr>
          <w:rFonts w:ascii="Times New Roman" w:hAnsi="Times New Roman"/>
          <w:b/>
          <w:bCs/>
          <w:color w:val="000000"/>
          <w:sz w:val="32"/>
          <w:szCs w:val="32"/>
          <w:highlight w:val="none"/>
        </w:rPr>
        <w:outlineLvl w:val="2"/>
      </w:pPr>
      <w:r/>
      <w:bookmarkStart w:id="27" w:name="_Toc35393625"/>
      <w:r/>
      <w:bookmarkStart w:id="28" w:name="_Toc35393794"/>
      <w:r/>
      <w:bookmarkStart w:id="29" w:name="_Toc28359007"/>
      <w:r/>
      <w:bookmarkStart w:id="30" w:name="_Toc28359084"/>
      <w:r/>
      <w:bookmarkStart w:id="31" w:name="_Toc38985267"/>
      <w:r>
        <w:rPr>
          <w:rFonts w:hint="eastAsia" w:ascii="Times New Roman" w:hAnsi="Times New Roman"/>
          <w:b/>
          <w:bCs/>
          <w:color w:val="000000"/>
          <w:sz w:val="32"/>
          <w:szCs w:val="32"/>
          <w:highlight w:val="none"/>
        </w:rPr>
        <w:t xml:space="preserve">五、公告期限</w:t>
      </w:r>
      <w:bookmarkEnd w:id="27"/>
      <w:r/>
      <w:bookmarkEnd w:id="28"/>
      <w:r/>
      <w:bookmarkEnd w:id="29"/>
      <w:r/>
      <w:bookmarkEnd w:id="30"/>
      <w:r/>
      <w:bookmarkEnd w:id="31"/>
      <w:r>
        <w:rPr>
          <w:rFonts w:ascii="Times New Roman" w:hAnsi="Times New Roman"/>
          <w:b/>
          <w:bCs/>
          <w:color w:val="000000"/>
          <w:sz w:val="32"/>
          <w:szCs w:val="32"/>
          <w:highlight w:val="none"/>
        </w:rPr>
      </w:r>
      <w:r/>
    </w:p>
    <w:p>
      <w:pPr>
        <w:pStyle w:val="74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748"/>
        <w:ind w:firstLine="496"/>
        <w:keepLines/>
        <w:keepNext/>
        <w:spacing w:before="156" w:after="156" w:line="400" w:lineRule="exact"/>
        <w:rPr>
          <w:rFonts w:hint="eastAsia" w:ascii="Times New Roman" w:hAnsi="Times New Roman" w:eastAsia="宋体"/>
          <w:b/>
          <w:bCs/>
          <w:color w:val="000000"/>
          <w:sz w:val="32"/>
          <w:szCs w:val="32"/>
          <w:highlight w:val="none"/>
          <w:u w:val="single"/>
        </w:rPr>
        <w:outlineLvl w:val="2"/>
      </w:pPr>
      <w:r/>
      <w:bookmarkStart w:id="32" w:name="_Toc35393626"/>
      <w:r/>
      <w:bookmarkStart w:id="33" w:name="_Toc35393795"/>
      <w:r/>
      <w:bookmarkStart w:id="34" w:name="_Toc38985268"/>
      <w:r>
        <w:rPr>
          <w:rFonts w:hint="eastAsia" w:ascii="Times New Roman" w:hAnsi="Times New Roman"/>
          <w:b/>
          <w:bCs/>
          <w:color w:val="000000"/>
          <w:sz w:val="32"/>
          <w:szCs w:val="32"/>
          <w:highlight w:val="none"/>
        </w:rPr>
        <w:t xml:space="preserve">六、其他补充事宜</w:t>
      </w:r>
      <w:bookmarkEnd w:id="32"/>
      <w:r/>
      <w:bookmarkEnd w:id="33"/>
      <w:r/>
      <w:bookmarkEnd w:id="34"/>
      <w:r>
        <w:rPr>
          <w:rFonts w:hint="eastAsia"/>
          <w:b/>
          <w:bCs/>
          <w:color w:val="000000"/>
          <w:sz w:val="32"/>
          <w:szCs w:val="32"/>
          <w:highlight w:val="none"/>
          <w:lang w:val="en-US" w:eastAsia="zh-CN"/>
        </w:rPr>
        <w:t xml:space="preserve">  </w:t>
      </w:r>
      <w:r>
        <w:rPr>
          <w:rFonts w:hint="eastAsia"/>
          <w:b/>
          <w:bCs/>
          <w:color w:val="000000"/>
          <w:sz w:val="32"/>
          <w:szCs w:val="32"/>
          <w:highlight w:val="none"/>
          <w:u w:val="single"/>
          <w:lang w:val="en-US" w:eastAsia="zh-CN"/>
        </w:rPr>
        <w:t xml:space="preserve">无</w:t>
      </w:r>
      <w:r>
        <w:rPr>
          <w:rFonts w:hint="eastAsia" w:ascii="Times New Roman" w:hAnsi="Times New Roman" w:eastAsia="宋体"/>
          <w:b/>
          <w:bCs/>
          <w:color w:val="000000"/>
          <w:sz w:val="32"/>
          <w:szCs w:val="32"/>
          <w:highlight w:val="none"/>
          <w:u w:val="single"/>
        </w:rPr>
      </w:r>
      <w:r/>
    </w:p>
    <w:p>
      <w:pPr>
        <w:pStyle w:val="748"/>
        <w:ind w:firstLine="496"/>
        <w:keepLines/>
        <w:keepNext/>
        <w:spacing w:before="156" w:after="156" w:line="400" w:lineRule="exact"/>
        <w:rPr>
          <w:rFonts w:ascii="Times New Roman" w:hAnsi="Times New Roman"/>
          <w:b/>
          <w:bCs/>
          <w:color w:val="000000"/>
          <w:sz w:val="32"/>
          <w:szCs w:val="32"/>
          <w:highlight w:val="none"/>
        </w:rPr>
        <w:outlineLvl w:val="2"/>
      </w:pPr>
      <w:r/>
      <w:bookmarkStart w:id="35" w:name="_Toc35393627"/>
      <w:r/>
      <w:bookmarkStart w:id="36" w:name="_Toc28359085"/>
      <w:r/>
      <w:bookmarkStart w:id="37" w:name="_Toc28359008"/>
      <w:r/>
      <w:bookmarkStart w:id="38" w:name="_Toc35393796"/>
      <w:r/>
      <w:bookmarkStart w:id="39" w:name="_Toc38985269"/>
      <w:r>
        <w:rPr>
          <w:rFonts w:hint="eastAsia" w:ascii="Times New Roman" w:hAnsi="Times New Roman"/>
          <w:b/>
          <w:bCs/>
          <w:color w:val="000000"/>
          <w:sz w:val="32"/>
          <w:szCs w:val="32"/>
          <w:highlight w:val="none"/>
        </w:rPr>
        <w:t xml:space="preserve">七、本次招标联系方式</w:t>
      </w:r>
      <w:bookmarkEnd w:id="35"/>
      <w:r/>
      <w:bookmarkEnd w:id="36"/>
      <w:r/>
      <w:bookmarkEnd w:id="37"/>
      <w:r/>
      <w:bookmarkEnd w:id="38"/>
      <w:r/>
      <w:bookmarkEnd w:id="39"/>
      <w:r>
        <w:rPr>
          <w:rFonts w:ascii="Times New Roman" w:hAnsi="Times New Roman"/>
          <w:b/>
          <w:bCs/>
          <w:color w:val="000000"/>
          <w:sz w:val="32"/>
          <w:szCs w:val="32"/>
          <w:highlight w:val="none"/>
        </w:rPr>
      </w:r>
      <w:r/>
    </w:p>
    <w:p>
      <w:pPr>
        <w:pStyle w:val="748"/>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86"/>
      <w:r/>
      <w:bookmarkStart w:id="41" w:name="_Toc28359009"/>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748"/>
        <w:ind w:firstLine="480"/>
        <w:jc w:val="left"/>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lang w:val="en-US" w:eastAsia="zh-CN"/>
        </w:rPr>
        <w:t xml:space="preserve">宿迁学院</w:t>
      </w:r>
      <w:r>
        <w:rPr>
          <w:rFonts w:ascii="宋体" w:hAnsi="宋体" w:eastAsia="宋体"/>
          <w:color w:val="000000"/>
          <w:sz w:val="24"/>
          <w:szCs w:val="24"/>
          <w:highlight w:val="none"/>
        </w:rPr>
      </w:r>
      <w:r/>
    </w:p>
    <w:p>
      <w:pPr>
        <w:pStyle w:val="748"/>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宿迁市</w:t>
      </w:r>
      <w:r>
        <w:rPr>
          <w:rFonts w:hint="eastAsia" w:ascii="宋体" w:hAnsi="宋体"/>
          <w:color w:val="000000"/>
          <w:sz w:val="24"/>
          <w:szCs w:val="24"/>
          <w:highlight w:val="none"/>
          <w:u w:val="single"/>
          <w:lang w:val="en-US" w:eastAsia="zh-CN"/>
        </w:rPr>
        <w:t xml:space="preserve">黄河南路399号</w:t>
      </w:r>
      <w:r>
        <w:rPr>
          <w:rFonts w:ascii="宋体" w:hAnsi="宋体"/>
          <w:color w:val="000000"/>
          <w:sz w:val="24"/>
          <w:szCs w:val="24"/>
          <w:highlight w:val="none"/>
          <w:u w:val="single"/>
        </w:rPr>
      </w:r>
      <w:r/>
    </w:p>
    <w:p>
      <w:pPr>
        <w:pStyle w:val="748"/>
        <w:ind w:firstLine="480"/>
        <w:jc w:val="left"/>
        <w:spacing w:line="400" w:lineRule="exact"/>
        <w:rPr>
          <w:rFonts w:ascii="宋体" w:hAnsi="宋体" w:eastAsia="宋体"/>
          <w:color w:val="000000"/>
          <w:sz w:val="24"/>
          <w:szCs w:val="24"/>
          <w:highlight w:val="none"/>
          <w:u w:val="single"/>
        </w:rPr>
      </w:pPr>
      <w:r>
        <w:rPr>
          <w:rFonts w:hint="eastAsia" w:ascii="宋体" w:hAnsi="宋体"/>
          <w:color w:val="000000"/>
          <w:sz w:val="24"/>
          <w:szCs w:val="24"/>
          <w:highlight w:val="none"/>
        </w:rPr>
        <w:t xml:space="preserve">联系人：</w:t>
      </w:r>
      <w:r>
        <w:rPr>
          <w:rFonts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宗老师</w:t>
      </w:r>
      <w:r>
        <w:rPr>
          <w:rFonts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u w:val="single"/>
        </w:rPr>
      </w:r>
      <w:r/>
    </w:p>
    <w:p>
      <w:pPr>
        <w:pStyle w:val="748"/>
        <w:ind w:firstLine="480"/>
        <w:jc w:val="left"/>
        <w:spacing w:line="400" w:lineRule="exact"/>
        <w:rPr>
          <w:rFonts w:ascii="宋体" w:hAnsi="宋体" w:eastAsia="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0527-84201886</w:t>
      </w:r>
      <w:bookmarkEnd w:id="40"/>
      <w:r/>
      <w:bookmarkEnd w:id="41"/>
      <w:r>
        <w:rPr>
          <w:rFonts w:ascii="宋体" w:hAnsi="宋体" w:eastAsia="宋体"/>
          <w:color w:val="000000"/>
          <w:sz w:val="24"/>
          <w:szCs w:val="24"/>
          <w:highlight w:val="none"/>
          <w:u w:val="single"/>
        </w:rPr>
      </w:r>
      <w:r/>
    </w:p>
    <w:p>
      <w:pPr>
        <w:pStyle w:val="748"/>
        <w:ind w:firstLine="48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地　址：南京市建邺区汉中门大街145号三楼　　</w:t>
      </w:r>
      <w:r>
        <w:rPr>
          <w:rFonts w:ascii="宋体" w:hAnsi="宋体"/>
          <w:color w:val="000000"/>
          <w:sz w:val="24"/>
          <w:szCs w:val="24"/>
          <w:highlight w:val="none"/>
          <w:u w:val="single"/>
        </w:rPr>
      </w:r>
      <w:r/>
    </w:p>
    <w:p>
      <w:pPr>
        <w:pStyle w:val="748"/>
        <w:ind w:firstLine="480"/>
        <w:spacing w:line="400" w:lineRule="exact"/>
        <w:rPr>
          <w:rFonts w:hint="eastAsia" w:ascii="宋体" w:hAnsi="宋体" w:eastAsia="宋体"/>
          <w:color w:val="000000"/>
          <w:sz w:val="24"/>
          <w:szCs w:val="24"/>
          <w:highlight w:val="none"/>
          <w:u w:val="single"/>
        </w:rPr>
      </w:pPr>
      <w:r>
        <w:rPr>
          <w:rFonts w:hint="eastAsia" w:ascii="宋体" w:hAnsi="宋体"/>
          <w:color w:val="000000"/>
          <w:sz w:val="24"/>
          <w:szCs w:val="24"/>
          <w:highlight w:val="none"/>
          <w:u w:val="single"/>
        </w:rPr>
        <w:t xml:space="preserve">联系人： </w:t>
      </w:r>
      <w:r>
        <w:rPr>
          <w:rFonts w:hint="eastAsia" w:ascii="宋体" w:hAnsi="宋体"/>
          <w:color w:val="000000"/>
          <w:sz w:val="24"/>
          <w:szCs w:val="24"/>
          <w:highlight w:val="none"/>
          <w:u w:val="single"/>
          <w:lang w:eastAsia="zh-CN"/>
        </w:rPr>
        <w:t xml:space="preserve">王建浩、许滢</w:t>
      </w:r>
      <w:r>
        <w:rPr>
          <w:rFonts w:hint="eastAsia" w:ascii="宋体" w:hAnsi="宋体" w:eastAsia="宋体"/>
          <w:color w:val="000000"/>
          <w:sz w:val="24"/>
          <w:szCs w:val="24"/>
          <w:highlight w:val="none"/>
          <w:u w:val="single"/>
        </w:rPr>
      </w:r>
      <w:r/>
    </w:p>
    <w:p>
      <w:pPr>
        <w:pStyle w:val="748"/>
        <w:ind w:firstLine="480"/>
        <w:keepLines/>
        <w:keepNext/>
        <w:spacing w:before="156" w:after="156" w:line="360" w:lineRule="auto"/>
        <w:rPr>
          <w:rFonts w:ascii="宋体" w:hAnsi="宋体" w:eastAsia="宋体"/>
          <w:color w:val="000000"/>
          <w:sz w:val="24"/>
          <w:szCs w:val="24"/>
          <w:highlight w:val="none"/>
        </w:rPr>
        <w:outlineLvl w:val="2"/>
      </w:pPr>
      <w:r>
        <w:rPr>
          <w:rFonts w:hint="eastAsia" w:ascii="宋体" w:hAnsi="宋体"/>
          <w:color w:val="000000"/>
          <w:sz w:val="24"/>
          <w:szCs w:val="24"/>
          <w:highlight w:val="none"/>
          <w:u w:val="single"/>
        </w:rPr>
        <w:t xml:space="preserve">联系方式：</w:t>
      </w:r>
      <w:r>
        <w:rPr>
          <w:rFonts w:hint="eastAsia" w:ascii="宋体" w:hAnsi="宋体"/>
          <w:color w:val="000000"/>
          <w:sz w:val="24"/>
          <w:szCs w:val="24"/>
          <w:highlight w:val="none"/>
          <w:u w:val="single"/>
          <w:lang w:val="en-US" w:eastAsia="zh-CN"/>
        </w:rPr>
        <w:t xml:space="preserve">025-83668513</w:t>
      </w:r>
      <w:r>
        <w:rPr>
          <w:rFonts w:ascii="宋体" w:hAnsi="宋体" w:eastAsia="宋体"/>
          <w:color w:val="000000"/>
          <w:sz w:val="24"/>
          <w:szCs w:val="24"/>
          <w:highlight w:val="none"/>
        </w:rPr>
      </w:r>
      <w:r/>
    </w:p>
    <w:p>
      <w:pPr>
        <w:pStyle w:val="748"/>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八、其他</w:t>
      </w:r>
      <w:r>
        <w:rPr>
          <w:rFonts w:ascii="Times New Roman" w:hAnsi="Times New Roman"/>
          <w:b/>
          <w:bCs/>
          <w:color w:val="000000"/>
          <w:sz w:val="32"/>
          <w:szCs w:val="32"/>
          <w:highlight w:val="none"/>
        </w:rPr>
      </w:r>
      <w:r/>
    </w:p>
    <w:p>
      <w:pPr>
        <w:pStyle w:val="748"/>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rFonts w:ascii="Times New Roman" w:hAnsi="Times New Roman"/>
          <w:bCs/>
          <w:color w:val="000000"/>
          <w:szCs w:val="21"/>
          <w:highlight w:val="none"/>
          <w:u w:val="none"/>
        </w:rPr>
        <w:t xml:space="preserve">http://www.ccgp-jiangsu.gov.cn/jiangsu/zlxz/ee/ee3a4bc5a3454aa2b0d9312230633ce9.html</w:t>
      </w:r>
      <w:r>
        <w:rPr>
          <w:rFonts w:ascii="Times New Roman" w:hAnsi="Times New Roman"/>
          <w:bCs/>
          <w:color w:val="000000"/>
          <w:szCs w:val="21"/>
          <w:highlight w:val="none"/>
        </w:rPr>
        <w:t xml:space="preserve">。</w:t>
      </w:r>
      <w:r>
        <w:rPr>
          <w:rFonts w:ascii="宋体" w:hAnsi="宋体"/>
          <w:bCs/>
          <w:color w:val="000000"/>
          <w:sz w:val="24"/>
          <w:szCs w:val="24"/>
          <w:highlight w:val="none"/>
        </w:rPr>
      </w:r>
      <w:r/>
    </w:p>
    <w:p>
      <w:pPr>
        <w:pStyle w:val="748"/>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74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rFonts w:ascii="Times New Roman" w:hAnsi="Times New Roman"/>
          <w:bCs/>
          <w:color w:val="000000"/>
          <w:szCs w:val="21"/>
          <w:highlight w:val="none"/>
        </w:rPr>
        <w:t xml:space="preserve">（www.ccgp-jiangsu.gov.cn）</w:t>
      </w:r>
      <w:r>
        <w:rPr>
          <w:rFonts w:hint="eastAsia" w:ascii="Times New Roman" w:hAnsi="Times New Roman"/>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rFonts w:ascii="Times New Roman" w:hAnsi="Times New Roman"/>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748"/>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.有关本次招标的事项若存在变动或修改，敬请及时关注江苏省政府采购中心在“江苏政府采购网”发布的更正公告。</w:t>
      </w:r>
      <w:r>
        <w:rPr>
          <w:rFonts w:hint="eastAsia" w:ascii="宋体" w:hAnsi="宋体"/>
          <w:bCs/>
          <w:color w:val="000000"/>
          <w:sz w:val="24"/>
          <w:szCs w:val="24"/>
          <w:highlight w:val="none"/>
        </w:rPr>
      </w:r>
      <w:r/>
    </w:p>
    <w:p>
      <w:pPr>
        <w:pStyle w:val="748"/>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48"/>
        <w:ind w:right="840"/>
        <w:rPr>
          <w:rFonts w:hint="eastAsia" w:ascii="宋体" w:hAnsi="宋体"/>
          <w:color w:val="000000"/>
          <w:sz w:val="24"/>
          <w:szCs w:val="24"/>
          <w:highlight w:val="none"/>
        </w:rPr>
      </w:pPr>
      <w:r>
        <w:rPr>
          <w:rFonts w:ascii="宋体" w:hAnsi="宋体"/>
          <w:color w:val="000000"/>
          <w:sz w:val="24"/>
          <w:szCs w:val="24"/>
          <w:highlight w:val="none"/>
        </w:rPr>
        <w:br w:type="page" w:clear="all"/>
      </w:r>
      <w:bookmarkEnd w:id="1"/>
      <w:r/>
      <w:bookmarkEnd w:id="2"/>
      <w:r/>
      <w:bookmarkEnd w:id="3"/>
      <w:r/>
      <w:bookmarkEnd w:id="4"/>
      <w:r/>
      <w:bookmarkEnd w:id="5"/>
      <w:r>
        <w:rPr>
          <w:rFonts w:hint="eastAsia" w:ascii="宋体" w:hAnsi="宋体"/>
          <w:color w:val="000000"/>
          <w:sz w:val="24"/>
          <w:szCs w:val="24"/>
          <w:highlight w:val="none"/>
        </w:rPr>
      </w:r>
      <w:r/>
    </w:p>
    <w:p>
      <w:pPr>
        <w:pStyle w:val="748"/>
        <w:ind w:firstLine="2429"/>
        <w:keepLines/>
        <w:keepNext/>
        <w:spacing w:before="260" w:after="260" w:line="416" w:lineRule="auto"/>
        <w:rPr>
          <w:rFonts w:hint="eastAsia" w:ascii="黑体" w:hAnsi="Arial" w:eastAsia="黑体" w:cs="Arial"/>
          <w:color w:val="000000"/>
          <w:sz w:val="44"/>
          <w:szCs w:val="44"/>
          <w:highlight w:val="none"/>
        </w:rPr>
        <w:outlineLvl w:val="1"/>
      </w:pPr>
      <w:r/>
      <w:bookmarkStart w:id="42" w:name="_Toc120614211"/>
      <w:r/>
      <w:bookmarkStart w:id="43" w:name="_Toc479757207"/>
      <w:r/>
      <w:bookmarkStart w:id="44" w:name="_Toc513029242"/>
      <w:r/>
      <w:bookmarkStart w:id="45" w:name="_Toc120614221"/>
      <w:r/>
      <w:bookmarkStart w:id="46" w:name="_Toc16938558"/>
      <w:r/>
      <w:bookmarkStart w:id="47" w:name="_Toc20823314"/>
      <w:r>
        <w:rPr>
          <w:rFonts w:hint="eastAsia" w:ascii="黑体" w:hAnsi="Arial" w:eastAsia="黑体" w:cs="Arial"/>
          <w:b/>
          <w:bCs/>
          <w:color w:val="000000"/>
          <w:sz w:val="44"/>
          <w:szCs w:val="44"/>
          <w:highlight w:val="none"/>
        </w:rPr>
        <w:t xml:space="preserve">第二章  </w:t>
      </w:r>
      <w:bookmarkEnd w:id="42"/>
      <w:r/>
      <w:bookmarkStart w:id="48" w:name="_Toc513029202"/>
      <w:r/>
      <w:bookmarkStart w:id="49" w:name="_Toc16938518"/>
      <w:r/>
      <w:bookmarkStart w:id="50" w:name="_Toc20823274"/>
      <w:r/>
      <w:bookmarkStart w:id="51" w:name="_Toc120614213"/>
      <w:r>
        <w:rPr>
          <w:rFonts w:hint="eastAsia" w:ascii="黑体" w:hAnsi="Arial" w:eastAsia="黑体" w:cs="Arial"/>
          <w:b/>
          <w:bCs/>
          <w:color w:val="000000"/>
          <w:sz w:val="44"/>
          <w:szCs w:val="44"/>
          <w:highlight w:val="none"/>
        </w:rPr>
        <w:t xml:space="preserve">投标人须知</w:t>
      </w:r>
      <w:bookmarkEnd w:id="48"/>
      <w:r/>
      <w:bookmarkEnd w:id="49"/>
      <w:r/>
      <w:bookmarkEnd w:id="50"/>
      <w:r/>
      <w:bookmarkEnd w:id="51"/>
      <w:r>
        <w:rPr>
          <w:rFonts w:hint="eastAsia" w:ascii="黑体" w:hAnsi="Arial" w:eastAsia="黑体" w:cs="Arial"/>
          <w:color w:val="000000"/>
          <w:sz w:val="44"/>
          <w:szCs w:val="44"/>
          <w:highlight w:val="none"/>
        </w:rPr>
      </w:r>
      <w:r/>
    </w:p>
    <w:p>
      <w:pPr>
        <w:pStyle w:val="748"/>
        <w:ind w:firstLine="498"/>
        <w:keepLines/>
        <w:keepNext/>
        <w:spacing w:before="156" w:after="156" w:line="400" w:lineRule="exact"/>
        <w:rPr>
          <w:rFonts w:hint="eastAsia" w:ascii="Times New Roman" w:hAnsi="Times New Roman"/>
          <w:b/>
          <w:bCs/>
          <w:color w:val="000000"/>
          <w:sz w:val="32"/>
          <w:szCs w:val="32"/>
          <w:highlight w:val="none"/>
        </w:rPr>
        <w:outlineLvl w:val="2"/>
      </w:pPr>
      <w:r/>
      <w:bookmarkStart w:id="52" w:name="_Toc20823275"/>
      <w:r/>
      <w:bookmarkStart w:id="53" w:name="_Toc16938519"/>
      <w:r/>
      <w:bookmarkStart w:id="54" w:name="_Toc120614214"/>
      <w:r/>
      <w:bookmarkStart w:id="55" w:name="_Toc513029203"/>
      <w:r>
        <w:rPr>
          <w:rFonts w:hint="eastAsia" w:ascii="Times New Roman" w:hAnsi="Times New Roman"/>
          <w:b/>
          <w:bCs/>
          <w:color w:val="000000"/>
          <w:sz w:val="32"/>
          <w:szCs w:val="32"/>
          <w:highlight w:val="none"/>
        </w:rPr>
        <w:t xml:space="preserve">一、总则</w:t>
      </w:r>
      <w:bookmarkEnd w:id="52"/>
      <w:r/>
      <w:bookmarkEnd w:id="53"/>
      <w:r/>
      <w:bookmarkEnd w:id="54"/>
      <w:r/>
      <w:bookmarkEnd w:id="55"/>
      <w:r>
        <w:rPr>
          <w:rFonts w:hint="eastAsia" w:ascii="Times New Roman" w:hAnsi="Times New Roman"/>
          <w:b/>
          <w:bCs/>
          <w:color w:val="000000"/>
          <w:sz w:val="32"/>
          <w:szCs w:val="32"/>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Arial" w:hAnsi="Arial" w:eastAsia="黑体" w:cs="Arial"/>
          <w:color w:val="000000"/>
          <w:sz w:val="28"/>
          <w:szCs w:val="28"/>
          <w:highlight w:val="none"/>
        </w:rPr>
        <w:t xml:space="preserve">1</w:t>
      </w:r>
      <w:bookmarkEnd w:id="57"/>
      <w:r>
        <w:rPr>
          <w:rFonts w:hint="eastAsia" w:ascii="Arial" w:hAnsi="Arial" w:eastAsia="黑体" w:cs="Arial"/>
          <w:color w:val="000000"/>
          <w:sz w:val="28"/>
          <w:szCs w:val="28"/>
          <w:highlight w:val="none"/>
        </w:rPr>
        <w:t xml:space="preserve">、招标方式</w:t>
      </w:r>
      <w:bookmarkEnd w:id="58"/>
      <w:r/>
      <w:bookmarkEnd w:id="59"/>
      <w:r/>
      <w:bookmarkEnd w:id="60"/>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61" w:name="_Toc513029205"/>
      <w:r/>
      <w:bookmarkStart w:id="62" w:name="_Toc20823277"/>
      <w:r/>
      <w:bookmarkStart w:id="63" w:name="_Toc16938521"/>
      <w:r>
        <w:rPr>
          <w:rFonts w:hint="eastAsia" w:ascii="Arial" w:hAnsi="Arial" w:eastAsia="黑体" w:cs="Arial"/>
          <w:color w:val="000000"/>
          <w:sz w:val="28"/>
          <w:szCs w:val="28"/>
          <w:highlight w:val="none"/>
        </w:rPr>
        <w:t xml:space="preserve">2、合格的投标人</w:t>
      </w:r>
      <w:bookmarkEnd w:id="61"/>
      <w:r/>
      <w:bookmarkEnd w:id="62"/>
      <w:r/>
      <w:bookmarkEnd w:id="63"/>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64" w:name="_Toc513029206"/>
      <w:r/>
      <w:bookmarkStart w:id="65" w:name="_Toc16938522"/>
      <w:r/>
      <w:bookmarkStart w:id="66" w:name="_Toc20823278"/>
      <w:r>
        <w:rPr>
          <w:rFonts w:hint="eastAsia" w:ascii="Arial" w:hAnsi="Arial" w:eastAsia="黑体" w:cs="Arial"/>
          <w:color w:val="000000"/>
          <w:sz w:val="28"/>
          <w:szCs w:val="28"/>
          <w:highlight w:val="none"/>
        </w:rPr>
        <w:t xml:space="preserve">3、适用法律</w:t>
      </w:r>
      <w:bookmarkEnd w:id="64"/>
      <w:r/>
      <w:bookmarkEnd w:id="65"/>
      <w:r/>
      <w:bookmarkEnd w:id="66"/>
      <w:r>
        <w:rPr>
          <w:rFonts w:hint="eastAsia" w:ascii="Arial" w:hAnsi="Arial" w:eastAsia="黑体" w:cs="Arial"/>
          <w:color w:val="000000"/>
          <w:sz w:val="28"/>
          <w:szCs w:val="28"/>
          <w:highlight w:val="none"/>
          <w:lang w:eastAsia="zh-CN"/>
        </w:rPr>
        <w:t xml:space="preserve">和标准</w:t>
      </w:r>
      <w:r>
        <w:rPr>
          <w:rFonts w:hint="eastAsia" w:ascii="Arial" w:hAnsi="Arial" w:eastAsia="黑体" w:cs="Arial"/>
          <w:color w:val="000000"/>
          <w:sz w:val="28"/>
          <w:szCs w:val="28"/>
          <w:highlight w:val="none"/>
        </w:rPr>
      </w:r>
      <w:r/>
    </w:p>
    <w:p>
      <w:pPr>
        <w:pStyle w:val="748"/>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748"/>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67" w:name="_Toc513029207"/>
      <w:r/>
      <w:bookmarkStart w:id="68" w:name="_Toc20823279"/>
      <w:r/>
      <w:bookmarkStart w:id="69" w:name="_Toc16938523"/>
      <w:r/>
      <w:bookmarkStart w:id="70" w:name="_Toc462564067"/>
      <w:r>
        <w:rPr>
          <w:rFonts w:hint="eastAsia" w:ascii="Arial" w:hAnsi="Arial" w:eastAsia="黑体" w:cs="Arial"/>
          <w:color w:val="000000"/>
          <w:sz w:val="28"/>
          <w:szCs w:val="28"/>
          <w:highlight w:val="none"/>
        </w:rPr>
        <w:t xml:space="preserve">4、投标费用</w:t>
      </w:r>
      <w:bookmarkEnd w:id="67"/>
      <w:r/>
      <w:bookmarkEnd w:id="68"/>
      <w:r/>
      <w:bookmarkEnd w:id="69"/>
      <w:r/>
      <w:bookmarkEnd w:id="70"/>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p>
    <w:p>
      <w:pPr>
        <w:pStyle w:val="748"/>
        <w:ind w:firstLine="452"/>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748"/>
        <w:ind w:firstLine="321"/>
        <w:keepLines/>
        <w:keepNext/>
        <w:spacing w:before="156" w:after="156" w:line="400" w:lineRule="exact"/>
        <w:rPr>
          <w:rFonts w:hint="eastAsia" w:ascii="Times New Roman" w:hAnsi="Times New Roman"/>
          <w:b/>
          <w:bCs/>
          <w:color w:val="000000"/>
          <w:sz w:val="32"/>
          <w:szCs w:val="32"/>
          <w:highlight w:val="none"/>
        </w:rPr>
        <w:outlineLvl w:val="2"/>
      </w:pPr>
      <w:r/>
      <w:bookmarkStart w:id="71" w:name="_Toc513029209"/>
      <w:r/>
      <w:bookmarkStart w:id="72" w:name="_Toc16938525"/>
      <w:r/>
      <w:bookmarkStart w:id="73" w:name="_Toc20823281"/>
      <w:r/>
      <w:bookmarkStart w:id="74" w:name="_Toc120614215"/>
      <w:r>
        <w:rPr>
          <w:rFonts w:hint="eastAsia" w:ascii="Times New Roman" w:hAnsi="Times New Roman"/>
          <w:b/>
          <w:bCs/>
          <w:color w:val="000000"/>
          <w:sz w:val="32"/>
          <w:szCs w:val="32"/>
          <w:highlight w:val="none"/>
        </w:rPr>
        <w:t xml:space="preserve">二、招标文件</w:t>
      </w:r>
      <w:bookmarkEnd w:id="71"/>
      <w:r/>
      <w:bookmarkEnd w:id="72"/>
      <w:r/>
      <w:bookmarkEnd w:id="73"/>
      <w:r/>
      <w:bookmarkEnd w:id="74"/>
      <w:r>
        <w:rPr>
          <w:rFonts w:hint="eastAsia" w:ascii="Times New Roman" w:hAnsi="Times New Roman"/>
          <w:b/>
          <w:bCs/>
          <w:color w:val="000000"/>
          <w:sz w:val="32"/>
          <w:szCs w:val="32"/>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75" w:name="_Toc513029210"/>
      <w:r/>
      <w:bookmarkStart w:id="76" w:name="_Toc20823282"/>
      <w:r/>
      <w:bookmarkStart w:id="77" w:name="_Toc16938526"/>
      <w:r>
        <w:rPr>
          <w:rFonts w:hint="eastAsia" w:ascii="Arial" w:hAnsi="Arial" w:eastAsia="黑体" w:cs="Arial"/>
          <w:color w:val="000000"/>
          <w:sz w:val="28"/>
          <w:szCs w:val="28"/>
          <w:highlight w:val="none"/>
        </w:rPr>
        <w:t xml:space="preserve">6、招标文件构成</w:t>
      </w:r>
      <w:bookmarkEnd w:id="75"/>
      <w:r/>
      <w:bookmarkEnd w:id="76"/>
      <w:r/>
      <w:bookmarkEnd w:id="77"/>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748"/>
        <w:ind w:firstLine="360"/>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48"/>
        <w:ind w:firstLine="560"/>
        <w:keepLines/>
        <w:keepNext/>
        <w:spacing w:line="400" w:lineRule="exact"/>
        <w:rPr>
          <w:rFonts w:hint="eastAsia" w:ascii="Arial" w:hAnsi="Arial" w:eastAsia="黑体" w:cs="Arial"/>
          <w:color w:val="000000"/>
          <w:sz w:val="28"/>
          <w:szCs w:val="28"/>
          <w:highlight w:val="none"/>
        </w:rPr>
        <w:outlineLvl w:val="3"/>
      </w:pPr>
      <w:r/>
      <w:bookmarkStart w:id="78" w:name="_Toc16938528"/>
      <w:r/>
      <w:bookmarkStart w:id="79" w:name="_Toc462564071"/>
      <w:r/>
      <w:bookmarkStart w:id="80" w:name="_Toc20823284"/>
      <w:r/>
      <w:bookmarkStart w:id="81" w:name="_Toc513029212"/>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8"/>
      <w:r/>
      <w:bookmarkEnd w:id="79"/>
      <w:r/>
      <w:bookmarkEnd w:id="80"/>
      <w:r/>
      <w:bookmarkEnd w:id="81"/>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748"/>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48"/>
        <w:ind w:firstLine="482"/>
        <w:keepLines/>
        <w:keepNext/>
        <w:spacing w:before="156" w:after="156" w:line="400" w:lineRule="exact"/>
        <w:rPr>
          <w:rFonts w:hint="eastAsia" w:ascii="Times New Roman" w:hAnsi="Times New Roman"/>
          <w:b/>
          <w:bCs/>
          <w:color w:val="000000"/>
          <w:sz w:val="32"/>
          <w:szCs w:val="32"/>
          <w:highlight w:val="none"/>
        </w:rPr>
        <w:outlineLvl w:val="2"/>
      </w:pPr>
      <w:r/>
      <w:bookmarkStart w:id="82" w:name="_Toc20823285"/>
      <w:r/>
      <w:bookmarkStart w:id="83" w:name="_Toc462564072"/>
      <w:r/>
      <w:bookmarkStart w:id="84" w:name="_Toc513029213"/>
      <w:r/>
      <w:bookmarkStart w:id="85" w:name="_Toc120614216"/>
      <w:r/>
      <w:bookmarkStart w:id="86" w:name="_Toc16938529"/>
      <w:r>
        <w:rPr>
          <w:rFonts w:hint="eastAsia" w:ascii="Times New Roman" w:hAnsi="Times New Roman"/>
          <w:b/>
          <w:bCs/>
          <w:color w:val="000000"/>
          <w:sz w:val="32"/>
          <w:szCs w:val="32"/>
          <w:highlight w:val="none"/>
        </w:rPr>
        <w:t xml:space="preserve">三、投标文件的编制</w:t>
      </w:r>
      <w:bookmarkEnd w:id="82"/>
      <w:r/>
      <w:bookmarkEnd w:id="83"/>
      <w:r/>
      <w:bookmarkEnd w:id="84"/>
      <w:r/>
      <w:bookmarkEnd w:id="85"/>
      <w:r/>
      <w:bookmarkEnd w:id="86"/>
      <w:r>
        <w:rPr>
          <w:rFonts w:hint="eastAsia" w:ascii="Times New Roman" w:hAnsi="Times New Roman"/>
          <w:b/>
          <w:bCs/>
          <w:color w:val="000000"/>
          <w:sz w:val="32"/>
          <w:szCs w:val="32"/>
          <w:highlight w:val="none"/>
        </w:rPr>
      </w:r>
      <w:r/>
    </w:p>
    <w:p>
      <w:pPr>
        <w:pStyle w:val="748"/>
        <w:ind w:firstLine="560"/>
        <w:keepLines/>
        <w:keepNext/>
        <w:spacing w:line="400" w:lineRule="exact"/>
        <w:rPr>
          <w:rFonts w:hint="eastAsia" w:ascii="Arial" w:hAnsi="Arial" w:eastAsia="黑体" w:cs="Arial"/>
          <w:b/>
          <w:color w:val="000000"/>
          <w:sz w:val="28"/>
          <w:szCs w:val="28"/>
          <w:highlight w:val="none"/>
        </w:rPr>
        <w:outlineLvl w:val="3"/>
      </w:pPr>
      <w:r/>
      <w:bookmarkStart w:id="87" w:name="_Toc20823286"/>
      <w:r/>
      <w:bookmarkStart w:id="88" w:name="_Toc16938530"/>
      <w:r/>
      <w:bookmarkStart w:id="89" w:name="_Toc462564073"/>
      <w:r/>
      <w:bookmarkStart w:id="90" w:name="_Toc513029214"/>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7"/>
      <w:r/>
      <w:bookmarkEnd w:id="88"/>
      <w:r/>
      <w:bookmarkEnd w:id="89"/>
      <w:r/>
      <w:bookmarkEnd w:id="90"/>
      <w:r>
        <w:rPr>
          <w:rFonts w:hint="eastAsia" w:ascii="Arial" w:hAnsi="Arial" w:eastAsia="黑体" w:cs="Arial"/>
          <w:b/>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91" w:name="_Toc16938531"/>
      <w:r/>
      <w:bookmarkStart w:id="92" w:name="_Toc20823287"/>
      <w:r/>
      <w:bookmarkStart w:id="93" w:name="_Toc462564074"/>
      <w:r/>
      <w:bookmarkStart w:id="94" w:name="_Toc513029215"/>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91"/>
      <w:r/>
      <w:bookmarkEnd w:id="92"/>
      <w:r/>
      <w:bookmarkEnd w:id="93"/>
      <w:r/>
      <w:bookmarkEnd w:id="94"/>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95" w:name="_Hlt26954838"/>
      <w:r/>
      <w:bookmarkEnd w:id="95"/>
      <w:r/>
      <w:bookmarkStart w:id="96" w:name="_Toc14577357"/>
      <w:r/>
      <w:bookmarkStart w:id="97" w:name="_Toc513029219"/>
      <w:r/>
      <w:bookmarkStart w:id="98" w:name="_Toc49090507"/>
      <w:r/>
      <w:bookmarkStart w:id="99" w:name="_Toc513029216"/>
      <w:r/>
      <w:bookmarkStart w:id="100" w:name="_Toc49090509"/>
      <w:r/>
      <w:bookmarkStart w:id="101" w:name="_Toc14577354"/>
      <w:r/>
      <w:bookmarkStart w:id="102" w:name="_Toc49090508"/>
      <w:r/>
      <w:bookmarkStart w:id="103" w:name="_Toc14577355"/>
      <w:r/>
      <w:bookmarkStart w:id="104" w:name="_Hlt26670360"/>
      <w:r/>
      <w:bookmarkEnd w:id="104"/>
      <w:r/>
      <w:bookmarkStart w:id="105" w:name="_Hlt26668975"/>
      <w:r/>
      <w:bookmarkEnd w:id="10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6"/>
      <w:r/>
      <w:bookmarkEnd w:id="97"/>
      <w:r/>
      <w:bookmarkEnd w:id="98"/>
      <w:r/>
      <w:bookmarkEnd w:id="99"/>
      <w:r/>
      <w:bookmarkEnd w:id="100"/>
      <w:r/>
      <w:bookmarkEnd w:id="101"/>
      <w:r>
        <w:rPr>
          <w:rFonts w:hint="eastAsia" w:ascii="Arial" w:hAnsi="Arial" w:eastAsia="黑体" w:cs="Arial"/>
          <w:color w:val="000000"/>
          <w:sz w:val="28"/>
          <w:szCs w:val="28"/>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2"/>
      <w:r/>
      <w:bookmarkEnd w:id="103"/>
      <w:r>
        <w:rPr>
          <w:rFonts w:hint="eastAsia" w:ascii="宋体" w:hAnsi="宋体"/>
          <w:color w:val="000000"/>
          <w:sz w:val="24"/>
          <w:szCs w:val="24"/>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w:t>
      </w:r>
      <w:bookmarkStart w:id="106" w:name="_Hlt26954840"/>
      <w:r/>
      <w:bookmarkEnd w:id="106"/>
      <w:r>
        <w:rPr>
          <w:rFonts w:hint="eastAsia" w:ascii="宋体" w:hAnsi="宋体"/>
          <w:color w:val="000000"/>
          <w:sz w:val="24"/>
          <w:szCs w:val="21"/>
          <w:highlight w:val="none"/>
        </w:rPr>
        <w:t xml:space="preserve">标人按照招标文件规定格式填报投标分项报价表</w:t>
      </w:r>
      <w:bookmarkStart w:id="107" w:name="_Hlt26670399"/>
      <w:r/>
      <w:bookmarkEnd w:id="107"/>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08" w:name="_Hlt26670486"/>
      <w:r/>
      <w:bookmarkEnd w:id="108"/>
      <w:r/>
      <w:bookmarkStart w:id="109" w:name="_Hlt26954731"/>
      <w:r/>
      <w:bookmarkEnd w:id="109"/>
      <w:r/>
      <w:bookmarkStart w:id="110" w:name="_Hlt26954848"/>
      <w:r/>
      <w:bookmarkEnd w:id="110"/>
      <w:r/>
      <w:bookmarkStart w:id="111" w:name="_Hlt26954846"/>
      <w:r/>
      <w:bookmarkEnd w:id="111"/>
      <w:r/>
      <w:bookmarkStart w:id="112" w:name="_Hlt26670482"/>
      <w:r/>
      <w:bookmarkEnd w:id="112"/>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rPr>
          <w:rFonts w:hint="eastAsia" w:ascii="Arial" w:hAnsi="Arial" w:eastAsia="黑体" w:cs="Arial"/>
          <w:color w:val="000000"/>
          <w:sz w:val="28"/>
          <w:szCs w:val="28"/>
          <w:highlight w:val="none"/>
        </w:rPr>
      </w:r>
      <w:r/>
    </w:p>
    <w:p>
      <w:pPr>
        <w:pStyle w:val="748"/>
        <w:ind w:firstLine="480"/>
        <w:spacing w:line="400" w:lineRule="exact"/>
        <w:rPr>
          <w:rFonts w:hint="eastAsia" w:ascii="宋体" w:hAnsi="Arial" w:cs="宋体"/>
          <w:color w:val="000000"/>
          <w:sz w:val="24"/>
          <w:szCs w:val="21"/>
          <w:highlight w:val="none"/>
        </w:rPr>
      </w:pPr>
      <w:r>
        <w:rPr>
          <w:rFonts w:ascii="宋体" w:hAnsi="Arial" w:cs="宋体"/>
          <w:bCs/>
          <w:color w:val="000000"/>
          <w:sz w:val="24"/>
          <w:szCs w:val="21"/>
          <w:highlight w:val="none"/>
          <w:lang w:val="zh-CN"/>
        </w:rPr>
        <w:t xml:space="preserve">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rPr>
      </w:r>
      <w:r/>
    </w:p>
    <w:p>
      <w:pPr>
        <w:pStyle w:val="748"/>
        <w:ind w:firstLine="480"/>
        <w:spacing w:line="400" w:lineRule="exact"/>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rPr>
          <w:rFonts w:hint="eastAsia" w:ascii="宋体" w:hAnsi="Arial" w:cs="宋体"/>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13" w:name="_Toc49090510"/>
      <w:r/>
      <w:bookmarkStart w:id="114" w:name="_Toc1457735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Pr>
          <w:rFonts w:hint="eastAsia" w:ascii="宋体" w:hAnsi="宋体"/>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15" w:name="_Toc49090511"/>
      <w:r/>
      <w:bookmarkStart w:id="116"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5"/>
      <w:r/>
      <w:bookmarkEnd w:id="116"/>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8"/>
        <w:keepLines/>
        <w:keepNext/>
        <w:spacing w:before="156" w:after="156" w:line="400" w:lineRule="exact"/>
        <w:rPr>
          <w:rFonts w:hint="eastAsia" w:ascii="Times New Roman" w:hAnsi="Times New Roman"/>
          <w:b/>
          <w:bCs/>
          <w:color w:val="000000"/>
          <w:sz w:val="32"/>
          <w:szCs w:val="32"/>
          <w:highlight w:val="none"/>
        </w:rPr>
        <w:outlineLvl w:val="2"/>
      </w:pPr>
      <w:r/>
      <w:bookmarkStart w:id="117" w:name="_Hlt26954739"/>
      <w:r/>
      <w:bookmarkEnd w:id="117"/>
      <w:r/>
      <w:bookmarkStart w:id="118" w:name="_Hlt26954852"/>
      <w:r/>
      <w:bookmarkEnd w:id="118"/>
      <w:r/>
      <w:bookmarkStart w:id="119" w:name="_Toc513029224"/>
      <w:r/>
      <w:bookmarkStart w:id="120" w:name="_Toc16938540"/>
      <w:r/>
      <w:bookmarkStart w:id="121" w:name="_Toc20823296"/>
      <w:r/>
      <w:bookmarkStart w:id="122" w:name="_Toc120614217"/>
      <w:r>
        <w:rPr>
          <w:rFonts w:hint="eastAsia" w:ascii="Times New Roman" w:hAnsi="Times New Roman"/>
          <w:b/>
          <w:bCs/>
          <w:color w:val="000000"/>
          <w:sz w:val="32"/>
          <w:szCs w:val="32"/>
          <w:highlight w:val="none"/>
        </w:rPr>
        <w:t xml:space="preserve">四、投标文件的递交</w:t>
      </w:r>
      <w:bookmarkEnd w:id="119"/>
      <w:r/>
      <w:bookmarkEnd w:id="120"/>
      <w:r/>
      <w:bookmarkEnd w:id="121"/>
      <w:r/>
      <w:bookmarkEnd w:id="122"/>
      <w:r>
        <w:rPr>
          <w:rFonts w:hint="eastAsia" w:ascii="Times New Roman" w:hAnsi="Times New Roman"/>
          <w:b/>
          <w:bCs/>
          <w:color w:val="000000"/>
          <w:sz w:val="32"/>
          <w:szCs w:val="32"/>
          <w:highlight w:val="none"/>
        </w:rPr>
      </w:r>
      <w:r/>
    </w:p>
    <w:p>
      <w:pPr>
        <w:pStyle w:val="748"/>
        <w:ind w:firstLine="420"/>
        <w:keepLines/>
        <w:keepNext/>
        <w:spacing w:line="400" w:lineRule="exact"/>
        <w:rPr>
          <w:rFonts w:hint="eastAsia" w:ascii="黑体" w:hAnsi="Arial" w:eastAsia="黑体" w:cs="Arial"/>
          <w:color w:val="000000"/>
          <w:sz w:val="28"/>
          <w:szCs w:val="28"/>
          <w:highlight w:val="none"/>
        </w:rPr>
        <w:outlineLvl w:val="3"/>
      </w:pPr>
      <w:r/>
      <w:bookmarkStart w:id="123" w:name="_Toc16938541"/>
      <w:r/>
      <w:bookmarkStart w:id="124" w:name="_Toc462564084"/>
      <w:r/>
      <w:bookmarkStart w:id="125" w:name="_Toc20823297"/>
      <w:r/>
      <w:bookmarkStart w:id="126"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3"/>
      <w:r/>
      <w:bookmarkEnd w:id="124"/>
      <w:r/>
      <w:bookmarkEnd w:id="125"/>
      <w:r/>
      <w:bookmarkEnd w:id="126"/>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48"/>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74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7" w:name="_Toc16938542"/>
      <w:r/>
      <w:bookmarkStart w:id="128" w:name="_Toc20823298"/>
      <w:r/>
      <w:bookmarkStart w:id="129" w:name="_Toc513029226"/>
      <w:r>
        <w:rPr>
          <w:rFonts w:ascii="宋体" w:hAnsi="宋体"/>
          <w:bCs/>
          <w:color w:val="000000"/>
          <w:sz w:val="24"/>
          <w:szCs w:val="21"/>
          <w:highlight w:val="none"/>
        </w:rPr>
      </w:r>
      <w:r/>
    </w:p>
    <w:p>
      <w:pPr>
        <w:pStyle w:val="748"/>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7"/>
      <w:r/>
      <w:bookmarkEnd w:id="128"/>
      <w:r/>
      <w:bookmarkEnd w:id="129"/>
      <w:r>
        <w:rPr>
          <w:rFonts w:hint="eastAsia" w:ascii="宋体" w:hAnsi="宋体" w:eastAsia="黑体" w:cs="Arial"/>
          <w:bCs/>
          <w:color w:val="000000"/>
          <w:sz w:val="24"/>
          <w:szCs w:val="28"/>
          <w:highlight w:val="none"/>
        </w:rPr>
      </w:r>
      <w:r/>
    </w:p>
    <w:p>
      <w:pPr>
        <w:pStyle w:val="748"/>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30" w:name="_Toc513029227"/>
      <w:r/>
      <w:bookmarkStart w:id="131" w:name="_Toc16938543"/>
      <w:r/>
      <w:bookmarkStart w:id="132" w:name="_Toc20823299"/>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30"/>
      <w:r/>
      <w:bookmarkEnd w:id="131"/>
      <w:r/>
      <w:bookmarkEnd w:id="132"/>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rPr>
          <w:rFonts w:hint="eastAsia" w:ascii="宋体" w:hAnsi="宋体"/>
          <w:bCs/>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33" w:name="_Toc513029228"/>
      <w:r/>
      <w:bookmarkStart w:id="134" w:name="_Toc16938544"/>
      <w:r/>
      <w:bookmarkStart w:id="135"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3"/>
      <w:r/>
      <w:bookmarkEnd w:id="134"/>
      <w:r/>
      <w:bookmarkEnd w:id="135"/>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48"/>
        <w:ind w:firstLine="482"/>
        <w:keepLines/>
        <w:keepNext/>
        <w:spacing w:before="156" w:after="156" w:line="400" w:lineRule="exact"/>
        <w:rPr>
          <w:rFonts w:hint="eastAsia" w:ascii="Times New Roman" w:hAnsi="Times New Roman"/>
          <w:b/>
          <w:bCs/>
          <w:color w:val="000000"/>
          <w:sz w:val="32"/>
          <w:szCs w:val="32"/>
          <w:highlight w:val="none"/>
        </w:rPr>
        <w:outlineLvl w:val="2"/>
      </w:pPr>
      <w:r/>
      <w:bookmarkStart w:id="136" w:name="_Toc16938545"/>
      <w:r/>
      <w:bookmarkStart w:id="137" w:name="_Toc513029229"/>
      <w:r/>
      <w:bookmarkStart w:id="138" w:name="_Toc120614218"/>
      <w:r/>
      <w:bookmarkStart w:id="139" w:name="_Toc20823301"/>
      <w:r>
        <w:rPr>
          <w:rFonts w:hint="eastAsia" w:ascii="Times New Roman" w:hAnsi="Times New Roman"/>
          <w:b/>
          <w:bCs/>
          <w:color w:val="000000"/>
          <w:sz w:val="32"/>
          <w:szCs w:val="32"/>
          <w:highlight w:val="none"/>
        </w:rPr>
        <w:t xml:space="preserve">五、开标与评标</w:t>
      </w:r>
      <w:bookmarkEnd w:id="136"/>
      <w:r/>
      <w:bookmarkEnd w:id="137"/>
      <w:r/>
      <w:bookmarkEnd w:id="138"/>
      <w:r/>
      <w:bookmarkEnd w:id="139"/>
      <w:r>
        <w:rPr>
          <w:rFonts w:hint="eastAsia" w:ascii="Times New Roman" w:hAnsi="Times New Roman"/>
          <w:b/>
          <w:bCs/>
          <w:color w:val="000000"/>
          <w:sz w:val="32"/>
          <w:szCs w:val="32"/>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40" w:name="_Toc20823302"/>
      <w:r/>
      <w:bookmarkStart w:id="141" w:name="_Toc513029230"/>
      <w:r/>
      <w:bookmarkStart w:id="142" w:name="_Toc1693854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40"/>
      <w:r/>
      <w:bookmarkEnd w:id="141"/>
      <w:r/>
      <w:bookmarkEnd w:id="142"/>
      <w:r>
        <w:rPr>
          <w:rFonts w:hint="eastAsia" w:ascii="Arial" w:hAnsi="Arial" w:eastAsia="黑体" w:cs="Arial"/>
          <w:color w:val="000000"/>
          <w:sz w:val="28"/>
          <w:szCs w:val="28"/>
          <w:highlight w:val="none"/>
        </w:rPr>
      </w:r>
      <w:r/>
    </w:p>
    <w:p>
      <w:pPr>
        <w:pStyle w:val="748"/>
        <w:ind w:firstLine="480"/>
        <w:spacing w:line="40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43" w:name="_Toc513029231"/>
      <w:r/>
      <w:bookmarkStart w:id="144" w:name="_Toc16938547"/>
      <w:r/>
      <w:bookmarkStart w:id="145"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748"/>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rPr>
          <w:rFonts w:hint="eastAsia" w:ascii="宋体" w:hAnsi="宋体"/>
          <w:b/>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由采购人代表和有关技术、经济等方面的专家组成，且人员构成符合政府采购有关规定。</w:t>
      </w: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独立工作，负责评审所有投标文件并确定中标侯选人。</w:t>
      </w:r>
      <w:r>
        <w:rPr>
          <w:rFonts w:hint="eastAsia" w:ascii="宋体" w:hAnsi="宋体"/>
          <w:color w:val="000000"/>
          <w:sz w:val="24"/>
          <w:szCs w:val="24"/>
          <w:highlight w:val="none"/>
        </w:rPr>
      </w:r>
      <w:r/>
    </w:p>
    <w:p>
      <w:pPr>
        <w:pStyle w:val="748"/>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3"/>
      <w:r/>
      <w:bookmarkEnd w:id="144"/>
      <w:r/>
      <w:bookmarkEnd w:id="145"/>
      <w:r>
        <w:rPr>
          <w:rFonts w:hint="eastAsia" w:ascii="黑体" w:hAnsi="Arial" w:eastAsia="黑体" w:cs="Arial"/>
          <w:color w:val="000000"/>
          <w:sz w:val="28"/>
          <w:szCs w:val="28"/>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bookmarkStart w:id="146" w:name="_Toc20823304"/>
      <w:r/>
      <w:bookmarkStart w:id="147" w:name="_Toc16938548"/>
      <w:r/>
      <w:bookmarkStart w:id="148"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6"/>
      <w:r/>
      <w:bookmarkEnd w:id="147"/>
      <w:r/>
      <w:bookmarkEnd w:id="148"/>
      <w:r>
        <w:rPr>
          <w:rFonts w:hint="eastAsia" w:ascii="Arial" w:hAnsi="Arial" w:eastAsia="黑体" w:cs="Arial"/>
          <w:color w:val="000000"/>
          <w:sz w:val="28"/>
          <w:szCs w:val="28"/>
          <w:highlight w:val="none"/>
        </w:rPr>
      </w:r>
      <w:r/>
    </w:p>
    <w:p>
      <w:pPr>
        <w:pStyle w:val="748"/>
        <w:ind w:firstLine="480"/>
        <w:spacing w:line="400" w:lineRule="exact"/>
        <w:rPr>
          <w:rFonts w:ascii="宋体" w:hAnsi="宋体"/>
          <w:color w:val="000000"/>
          <w:sz w:val="24"/>
          <w:szCs w:val="24"/>
          <w:highlight w:val="none"/>
        </w:rPr>
      </w:pPr>
      <w:r/>
      <w:bookmarkStart w:id="149" w:name="_Toc513029233"/>
      <w:r/>
      <w:bookmarkStart w:id="150" w:name="_Toc20823305"/>
      <w:r/>
      <w:bookmarkStart w:id="151" w:name="_Toc16938549"/>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澄清、说明和补正要求的投标人如未按规定做出澄清、说明和补正，其风险由投标人自行承担。</w:t>
      </w:r>
      <w:r>
        <w:rPr>
          <w:rFonts w:hint="eastAsia" w:ascii="宋体" w:hAnsi="宋体"/>
          <w:color w:val="000000"/>
          <w:sz w:val="24"/>
          <w:szCs w:val="24"/>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9"/>
      <w:r/>
      <w:bookmarkEnd w:id="150"/>
      <w:r/>
      <w:bookmarkEnd w:id="151"/>
      <w:r>
        <w:rPr>
          <w:rFonts w:hint="eastAsia" w:ascii="Arial" w:hAnsi="Arial" w:eastAsia="黑体" w:cs="Arial"/>
          <w:color w:val="000000"/>
          <w:sz w:val="28"/>
          <w:szCs w:val="28"/>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进行反馈。</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rFonts w:ascii="Times New Roman" w:hAnsi="Times New Roman"/>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48"/>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48"/>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48"/>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48"/>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48"/>
        <w:ind w:firstLine="480"/>
        <w:spacing w:line="400" w:lineRule="exact"/>
        <w:rPr>
          <w:rFonts w:ascii="宋体" w:hAnsi="宋体"/>
          <w:color w:val="000000"/>
          <w:sz w:val="24"/>
          <w:szCs w:val="21"/>
          <w:highlight w:val="none"/>
        </w:rPr>
      </w:pPr>
      <w:r/>
      <w:bookmarkStart w:id="152" w:name="_Toc513029234"/>
      <w:r/>
      <w:bookmarkStart w:id="153" w:name="_Toc16938550"/>
      <w:r/>
      <w:bookmarkStart w:id="154"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48"/>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48"/>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ascii="宋体" w:hAnsi="宋体"/>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25.8 异常低价投标审查</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（1）投标报价低于全部通过符合性审查供应商投标报价平均值</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（2）投标报价低于通过符合性审查的次低报价供应商投标报价</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lang w:eastAsia="zh-CN"/>
        </w:rPr>
        <w:t xml:space="preserve">（</w:t>
      </w:r>
      <w:r>
        <w:rPr>
          <w:rFonts w:hint="eastAsia" w:ascii="方正魏碑_GBK" w:hAnsi="方正魏碑_GBK" w:eastAsia="方正魏碑_GBK" w:cs="方正魏碑_GBK"/>
          <w:color w:val="000000"/>
          <w:sz w:val="24"/>
          <w:szCs w:val="21"/>
          <w:highlight w:val="none"/>
          <w:lang w:val="en-US" w:eastAsia="zh-CN"/>
        </w:rPr>
        <w:t xml:space="preserve">3</w:t>
      </w:r>
      <w:r>
        <w:rPr>
          <w:rFonts w:hint="eastAsia" w:ascii="方正魏碑_GBK" w:hAnsi="方正魏碑_GBK" w:eastAsia="方正魏碑_GBK" w:cs="方正魏碑_GBK"/>
          <w:color w:val="000000"/>
          <w:sz w:val="24"/>
          <w:szCs w:val="21"/>
          <w:highlight w:val="none"/>
          <w:lang w:eastAsia="zh-CN"/>
        </w:rPr>
        <w:t xml:space="preserve">）投标报价低于采购项目最高限价</w:t>
      </w:r>
      <w:r>
        <w:rPr>
          <w:rFonts w:hint="eastAsia" w:ascii="方正魏碑_GBK" w:hAnsi="方正魏碑_GBK" w:eastAsia="方正魏碑_GBK" w:cs="方正魏碑_GBK"/>
          <w:color w:val="000000"/>
          <w:sz w:val="24"/>
          <w:szCs w:val="21"/>
          <w:highlight w:val="none"/>
          <w:u w:val="single"/>
          <w:lang w:eastAsia="zh-CN"/>
        </w:rPr>
        <w:t xml:space="preserve">45%</w:t>
      </w:r>
      <w:r>
        <w:rPr>
          <w:rFonts w:hint="eastAsia" w:ascii="方正魏碑_GBK" w:hAnsi="方正魏碑_GBK" w:eastAsia="方正魏碑_GBK" w:cs="方正魏碑_GBK"/>
          <w:color w:val="000000"/>
          <w:sz w:val="24"/>
          <w:szCs w:val="21"/>
          <w:highlight w:val="none"/>
          <w:lang w:eastAsia="zh-CN"/>
        </w:rPr>
        <w:t xml:space="preserve">的，即投标报价&lt;采购项目最高限价×</w:t>
      </w:r>
      <w:r>
        <w:rPr>
          <w:rFonts w:hint="eastAsia" w:ascii="方正魏碑_GBK" w:hAnsi="方正魏碑_GBK" w:eastAsia="方正魏碑_GBK" w:cs="方正魏碑_GBK"/>
          <w:color w:val="000000"/>
          <w:sz w:val="24"/>
          <w:szCs w:val="21"/>
          <w:highlight w:val="none"/>
          <w:u w:val="single"/>
          <w:lang w:eastAsia="zh-CN"/>
        </w:rPr>
        <w:t xml:space="preserve">45%</w:t>
      </w:r>
      <w:r>
        <w:rPr>
          <w:rFonts w:hint="eastAsia" w:ascii="方正魏碑_GBK" w:hAnsi="方正魏碑_GBK" w:eastAsia="方正魏碑_GBK" w:cs="方正魏碑_GBK"/>
          <w:color w:val="000000"/>
          <w:sz w:val="24"/>
          <w:szCs w:val="21"/>
          <w:highlight w:val="none"/>
          <w:lang w:eastAsia="zh-CN"/>
        </w:rPr>
        <w:t xml:space="preserve">；</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lang w:val="en-US" w:eastAsia="zh-CN"/>
        </w:rPr>
        <w:t xml:space="preserve">4</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lang w:eastAsia="zh-CN"/>
        </w:rPr>
        <w:t xml:space="preserve">评标</w:t>
      </w:r>
      <w:r>
        <w:rPr>
          <w:rFonts w:hint="eastAsia" w:ascii="方正魏碑_GBK" w:hAnsi="方正魏碑_GBK" w:eastAsia="方正魏碑_GBK" w:cs="方正魏碑_GBK"/>
          <w:color w:val="000000"/>
          <w:sz w:val="24"/>
          <w:szCs w:val="21"/>
          <w:highlight w:val="none"/>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25.8.2 </w:t>
      </w:r>
      <w:r>
        <w:rPr>
          <w:rFonts w:hint="eastAsia" w:ascii="方正魏碑_GBK" w:hAnsi="方正魏碑_GBK" w:eastAsia="方正魏碑_GBK" w:cs="方正魏碑_GBK"/>
          <w:color w:val="000000"/>
          <w:sz w:val="24"/>
          <w:szCs w:val="21"/>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highlight w:val="none"/>
        </w:rPr>
      </w:r>
      <w:r/>
    </w:p>
    <w:p>
      <w:pPr>
        <w:pStyle w:val="748"/>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r>
      <w:r/>
    </w:p>
    <w:p>
      <w:pPr>
        <w:pStyle w:val="748"/>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52"/>
      <w:r/>
      <w:bookmarkEnd w:id="153"/>
      <w:r/>
      <w:bookmarkEnd w:id="154"/>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48"/>
        <w:ind w:left="479"/>
        <w:spacing w:line="400" w:lineRule="exact"/>
        <w:rPr>
          <w:rFonts w:hint="eastAsia" w:ascii="宋体" w:hAnsi="宋体"/>
          <w:bCs/>
          <w:color w:val="000000"/>
          <w:sz w:val="24"/>
          <w:szCs w:val="21"/>
          <w:highlight w:val="none"/>
        </w:rPr>
      </w:pPr>
      <w:r/>
      <w:bookmarkStart w:id="155" w:name="_Toc20823307"/>
      <w:r/>
      <w:bookmarkStart w:id="156" w:name="_Toc16938551"/>
      <w:r/>
      <w:bookmarkStart w:id="157"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748"/>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748"/>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748"/>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48"/>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i/>
          <w:color w:val="000000"/>
          <w:sz w:val="24"/>
          <w:szCs w:val="21"/>
          <w:highlight w:val="none"/>
          <w:u w:val="singl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48"/>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26.1.10 评标委员会按照本招标文件规定对投标人进行异常低价投标审查后，认为投标人不能证明其报价合理性的。</w:t>
      </w:r>
      <w:r>
        <w:rPr>
          <w:rFonts w:hint="eastAsia" w:ascii="宋体" w:hAnsi="宋体" w:eastAsia="宋体" w:cs="Times New Roman"/>
          <w:color w:val="000000"/>
          <w:sz w:val="24"/>
          <w:szCs w:val="21"/>
          <w:highlight w:val="none"/>
        </w:rPr>
      </w:r>
      <w:r/>
    </w:p>
    <w:p>
      <w:pPr>
        <w:pStyle w:val="748"/>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48"/>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26.1.13 投标人所投标产品不符合招标文件中所列国家强制性标准的。</w:t>
      </w:r>
      <w:r>
        <w:rPr>
          <w:rFonts w:hint="eastAsia" w:ascii="宋体" w:hAnsi="宋体" w:eastAsia="宋体" w:cs="Times New Roman"/>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48"/>
        <w:ind w:left="479"/>
        <w:spacing w:line="400" w:lineRule="exact"/>
        <w:rPr>
          <w:rFonts w:hint="eastAsia" w:ascii="宋体" w:hAnsi="宋体" w:eastAsia="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lang w:val="en-US" w:eastAsia="zh-CN"/>
        </w:rPr>
        <w:t xml:space="preserve"> </w:t>
      </w:r>
      <w:r>
        <w:rPr>
          <w:rFonts w:hint="eastAsia" w:ascii="宋体" w:hAnsi="宋体" w:eastAsia="宋体"/>
          <w:bCs/>
          <w:color w:val="000000"/>
          <w:sz w:val="24"/>
          <w:szCs w:val="21"/>
          <w:highlight w:val="none"/>
        </w:rPr>
      </w:r>
      <w:r/>
    </w:p>
    <w:p>
      <w:pPr>
        <w:pStyle w:val="748"/>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74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48"/>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48"/>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74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748"/>
        <w:ind w:left="479"/>
        <w:spacing w:line="400" w:lineRule="exact"/>
        <w:rPr>
          <w:rFonts w:ascii="宋体" w:hAnsi="宋体" w:eastAsia="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  </w:t>
      </w:r>
      <w:r>
        <w:rPr>
          <w:rFonts w:ascii="宋体" w:hAnsi="宋体" w:eastAsia="宋体"/>
          <w:bCs/>
          <w:color w:val="000000"/>
          <w:sz w:val="24"/>
          <w:szCs w:val="21"/>
          <w:highlight w:val="none"/>
        </w:rPr>
      </w:r>
      <w:r/>
    </w:p>
    <w:p>
      <w:pPr>
        <w:pStyle w:val="748"/>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748"/>
        <w:ind w:firstLine="482"/>
        <w:keepLines/>
        <w:keepNext/>
        <w:spacing w:before="156" w:after="156" w:line="400" w:lineRule="exact"/>
        <w:rPr>
          <w:rFonts w:hint="eastAsia" w:ascii="Times New Roman" w:hAnsi="Times New Roman"/>
          <w:b/>
          <w:bCs/>
          <w:color w:val="000000"/>
          <w:sz w:val="32"/>
          <w:szCs w:val="32"/>
          <w:highlight w:val="none"/>
        </w:rPr>
        <w:outlineLvl w:val="2"/>
      </w:pPr>
      <w:r/>
      <w:bookmarkStart w:id="158" w:name="_Toc120614219"/>
      <w:r>
        <w:rPr>
          <w:rFonts w:hint="eastAsia" w:ascii="Times New Roman" w:hAnsi="Times New Roman"/>
          <w:b/>
          <w:bCs/>
          <w:color w:val="000000"/>
          <w:sz w:val="32"/>
          <w:szCs w:val="32"/>
          <w:highlight w:val="none"/>
        </w:rPr>
        <w:t xml:space="preserve">六、</w:t>
      </w:r>
      <w:bookmarkEnd w:id="155"/>
      <w:r/>
      <w:bookmarkEnd w:id="156"/>
      <w:r/>
      <w:bookmarkEnd w:id="157"/>
      <w:r>
        <w:rPr>
          <w:rFonts w:hint="eastAsia" w:ascii="Times New Roman" w:hAnsi="Times New Roman"/>
          <w:b/>
          <w:bCs/>
          <w:color w:val="000000"/>
          <w:sz w:val="32"/>
          <w:szCs w:val="32"/>
          <w:highlight w:val="none"/>
        </w:rPr>
        <w:t xml:space="preserve">定标</w:t>
      </w:r>
      <w:bookmarkEnd w:id="158"/>
      <w:r>
        <w:rPr>
          <w:rFonts w:hint="eastAsia" w:ascii="Times New Roman" w:hAnsi="Times New Roman"/>
          <w:b/>
          <w:bCs/>
          <w:color w:val="000000"/>
          <w:sz w:val="32"/>
          <w:szCs w:val="32"/>
          <w:highlight w:val="none"/>
        </w:rPr>
      </w:r>
      <w:r/>
    </w:p>
    <w:p>
      <w:pPr>
        <w:pStyle w:val="748"/>
        <w:ind w:firstLine="600"/>
        <w:keepLines/>
        <w:keepNext/>
        <w:spacing w:line="400" w:lineRule="exact"/>
        <w:rPr>
          <w:rFonts w:hint="eastAsia" w:ascii="黑体" w:hAnsi="宋体" w:eastAsia="黑体"/>
          <w:bCs/>
          <w:color w:val="000000"/>
          <w:sz w:val="30"/>
          <w:szCs w:val="30"/>
          <w:highlight w:val="none"/>
        </w:rPr>
        <w:outlineLvl w:val="3"/>
      </w:pPr>
      <w:r/>
      <w:bookmarkStart w:id="159" w:name="_Toc20823310"/>
      <w:r/>
      <w:bookmarkStart w:id="160" w:name="_Toc16938554"/>
      <w:r/>
      <w:bookmarkStart w:id="161"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61"/>
      <w:r>
        <w:rPr>
          <w:rFonts w:hint="eastAsia" w:ascii="黑体" w:hAnsi="宋体" w:eastAsia="黑体"/>
          <w:bCs/>
          <w:color w:val="000000"/>
          <w:sz w:val="30"/>
          <w:szCs w:val="30"/>
          <w:highlight w:val="none"/>
        </w:rPr>
        <w:t xml:space="preserve">确定</w:t>
      </w:r>
      <w:bookmarkEnd w:id="159"/>
      <w:r/>
      <w:bookmarkEnd w:id="160"/>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748"/>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推荐的中标候选人确定中标供应商。</w:t>
      </w:r>
      <w:r>
        <w:rPr>
          <w:rFonts w:hint="eastAsia" w:ascii="宋体" w:hAnsi="宋体"/>
          <w:bCs/>
          <w:color w:val="000000"/>
          <w:sz w:val="24"/>
          <w:szCs w:val="21"/>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发现的。</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bookmarkStart w:id="162" w:name="_Toc200451960"/>
      <w:r>
        <w:rPr>
          <w:rFonts w:hint="eastAsia" w:ascii="宋体" w:hAnsi="宋体"/>
          <w:color w:val="000000"/>
          <w:sz w:val="24"/>
          <w:szCs w:val="24"/>
          <w:highlight w:val="none"/>
        </w:rPr>
        <w:t xml:space="preserve">27.5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748"/>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2"/>
      <w:r>
        <w:rPr>
          <w:rFonts w:hint="eastAsia" w:ascii="黑体" w:hAnsi="宋体" w:eastAsia="黑体"/>
          <w:bCs/>
          <w:color w:val="000000"/>
          <w:sz w:val="30"/>
          <w:szCs w:val="30"/>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highlight w:val="none"/>
        </w:rPr>
      </w:r>
      <w:r/>
    </w:p>
    <w:p>
      <w:pPr>
        <w:pStyle w:val="748"/>
        <w:ind w:firstLine="480"/>
        <w:spacing w:line="40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748"/>
        <w:ind w:firstLine="480"/>
        <w:spacing w:line="40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748"/>
        <w:ind w:firstLine="480"/>
        <w:spacing w:line="400" w:lineRule="exact"/>
        <w:rPr>
          <w:rFonts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rPr>
          <w:rFonts w:ascii="宋体" w:hAnsi="宋体"/>
          <w:b/>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采购人只接收以纸质原件形式送达的质疑,建议供应商尽量通过邮寄方式提交质疑（采购人和采购中心不接受无快递运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748"/>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748"/>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748"/>
        <w:ind w:firstLine="60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highlight w:val="none"/>
        </w:rPr>
      </w:r>
      <w:r/>
    </w:p>
    <w:p>
      <w:pPr>
        <w:pStyle w:val="74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748"/>
        <w:keepLines/>
        <w:keepNext/>
        <w:spacing w:before="156" w:after="156" w:line="400" w:lineRule="exact"/>
        <w:rPr>
          <w:rFonts w:hint="eastAsia" w:ascii="Times New Roman" w:hAnsi="Times New Roman"/>
          <w:b/>
          <w:bCs/>
          <w:color w:val="000000"/>
          <w:sz w:val="32"/>
          <w:szCs w:val="32"/>
          <w:highlight w:val="none"/>
        </w:rPr>
        <w:outlineLvl w:val="2"/>
      </w:pPr>
      <w:r/>
      <w:bookmarkStart w:id="163" w:name="_Toc513029236"/>
      <w:r/>
      <w:bookmarkStart w:id="164" w:name="_Toc120614220"/>
      <w:r/>
      <w:bookmarkStart w:id="165" w:name="_Toc20823308"/>
      <w:r/>
      <w:bookmarkStart w:id="166" w:name="_Toc16938552"/>
      <w:r>
        <w:rPr>
          <w:rFonts w:hint="eastAsia" w:ascii="Times New Roman" w:hAnsi="Times New Roman"/>
          <w:b/>
          <w:bCs/>
          <w:color w:val="000000"/>
          <w:sz w:val="32"/>
          <w:szCs w:val="32"/>
          <w:highlight w:val="none"/>
        </w:rPr>
        <w:t xml:space="preserve">七、授予合同</w:t>
      </w:r>
      <w:bookmarkEnd w:id="163"/>
      <w:r/>
      <w:bookmarkEnd w:id="164"/>
      <w:r/>
      <w:bookmarkEnd w:id="165"/>
      <w:r/>
      <w:bookmarkEnd w:id="166"/>
      <w:r>
        <w:rPr>
          <w:rFonts w:hint="eastAsia" w:ascii="Times New Roman" w:hAnsi="Times New Roman"/>
          <w:b/>
          <w:bCs/>
          <w:color w:val="000000"/>
          <w:sz w:val="32"/>
          <w:szCs w:val="32"/>
          <w:highlight w:val="none"/>
        </w:rPr>
      </w:r>
      <w:r/>
    </w:p>
    <w:p>
      <w:pPr>
        <w:pStyle w:val="748"/>
        <w:ind w:firstLine="600"/>
        <w:keepLines/>
        <w:keepNext/>
        <w:spacing w:line="400" w:lineRule="exact"/>
        <w:rPr>
          <w:rFonts w:hint="eastAsia" w:ascii="黑体" w:hAnsi="宋体" w:eastAsia="黑体"/>
          <w:bCs/>
          <w:color w:val="000000"/>
          <w:sz w:val="30"/>
          <w:szCs w:val="30"/>
          <w:highlight w:val="none"/>
        </w:rPr>
        <w:outlineLvl w:val="3"/>
      </w:pPr>
      <w:r/>
      <w:bookmarkStart w:id="167" w:name="_Toc16938553"/>
      <w:r/>
      <w:bookmarkStart w:id="168" w:name="_Toc513029237"/>
      <w:r/>
      <w:bookmarkStart w:id="169"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748"/>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74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74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748"/>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r/>
      <w:bookmarkEnd w:id="168"/>
      <w:r/>
      <w:bookmarkEnd w:id="169"/>
      <w:r>
        <w:rPr>
          <w:rFonts w:hint="eastAsia" w:ascii="宋体" w:hAnsi="宋体"/>
          <w:color w:val="000000"/>
          <w:sz w:val="24"/>
          <w:szCs w:val="24"/>
          <w:highlight w:val="none"/>
        </w:rPr>
      </w:r>
      <w:r/>
    </w:p>
    <w:p>
      <w:pPr>
        <w:pStyle w:val="748"/>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748"/>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748"/>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48"/>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8"/>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43"/>
      <w:r/>
      <w:bookmarkEnd w:id="44"/>
      <w:r/>
      <w:bookmarkEnd w:id="45"/>
      <w:r/>
      <w:bookmarkEnd w:id="46"/>
      <w:r/>
      <w:bookmarkEnd w:id="47"/>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748"/>
        <w:spacing w:line="400" w:lineRule="exact"/>
        <w:rPr>
          <w:rFonts w:ascii="宋体" w:hAnsi="宋体"/>
          <w:bCs/>
          <w:color w:val="000000"/>
          <w:sz w:val="24"/>
          <w:szCs w:val="24"/>
          <w:highlight w:val="none"/>
        </w:rPr>
      </w:pPr>
      <w:r/>
      <w:bookmarkStart w:id="170" w:name="_Toc20823315"/>
      <w:r/>
      <w:bookmarkEnd w:id="170"/>
      <w:r/>
      <w:bookmarkStart w:id="171" w:name="_Toc16938559"/>
      <w:r/>
      <w:bookmarkEnd w:id="171"/>
      <w:r/>
      <w:bookmarkStart w:id="172" w:name="_Toc3995"/>
      <w:r/>
      <w:bookmarkEnd w:id="172"/>
      <w:r/>
      <w:bookmarkStart w:id="173" w:name="_Toc513029243"/>
      <w:r/>
      <w:bookmarkEnd w:id="173"/>
      <w:r/>
      <w:bookmarkStart w:id="174" w:name="_Hlt16619350"/>
      <w:r/>
      <w:bookmarkStart w:id="175" w:name="_Toc16938590"/>
      <w:r/>
      <w:bookmarkStart w:id="176" w:name="_Toc20823346"/>
      <w:r/>
      <w:bookmarkStart w:id="177" w:name="_Toc120614244"/>
      <w:r/>
      <w:bookmarkStart w:id="178" w:name="_Toc479757211"/>
      <w:r/>
      <w:bookmarkStart w:id="179" w:name="_Toc462564139"/>
      <w:r>
        <w:rPr>
          <w:rFonts w:ascii="宋体" w:hAnsi="宋体"/>
          <w:bCs/>
          <w:color w:val="000000"/>
          <w:sz w:val="24"/>
          <w:szCs w:val="24"/>
          <w:highlight w:val="none"/>
        </w:rPr>
      </w:r>
      <w:r/>
    </w:p>
    <w:p>
      <w:pPr>
        <w:pStyle w:val="748"/>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62"/>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62"/>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62"/>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rFonts w:ascii="宋体" w:hAnsi="宋体" w:eastAsia="宋体" w:cs="宋体"/>
          <w:b/>
          <w:bCs/>
          <w:color w:val="000000"/>
          <w:spacing w:val="-20"/>
          <w:sz w:val="32"/>
          <w:szCs w:val="32"/>
          <w:highlight w:val="none"/>
        </w:rPr>
      </w:r>
      <w:r/>
    </w:p>
    <w:p>
      <w:pPr>
        <w:pStyle w:val="962"/>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ascii="宋体" w:hAnsi="宋体" w:eastAsia="宋体" w:cs="宋体"/>
          <w:b/>
          <w:bCs/>
          <w:color w:val="000000"/>
          <w:spacing w:val="-20"/>
          <w:sz w:val="32"/>
          <w:szCs w:val="32"/>
          <w:highlight w:val="none"/>
        </w:rPr>
      </w:r>
      <w:r/>
    </w:p>
    <w:p>
      <w:pPr>
        <w:pStyle w:val="74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4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4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48"/>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color w:val="000000"/>
          <w:sz w:val="28"/>
          <w:szCs w:val="28"/>
          <w:highlight w:val="none"/>
        </w:rPr>
      </w:r>
      <w:r/>
    </w:p>
    <w:p>
      <w:pPr>
        <w:pStyle w:val="748"/>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748"/>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748"/>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748"/>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748"/>
        <w:rPr>
          <w:color w:val="000000"/>
          <w:highlight w:val="none"/>
        </w:rPr>
      </w:pPr>
      <w:r>
        <w:rPr>
          <w:color w:val="000000"/>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993"/>
        <w:rPr>
          <w:rFonts w:eastAsia="黑体"/>
          <w:color w:val="000000"/>
          <w:sz w:val="44"/>
          <w:szCs w:val="44"/>
          <w:highlight w:val="none"/>
        </w:rPr>
      </w:pPr>
      <w:r>
        <w:rPr>
          <w:rFonts w:eastAsia="黑体"/>
          <w:color w:val="000000"/>
          <w:sz w:val="44"/>
          <w:szCs w:val="44"/>
          <w:highlight w:val="none"/>
        </w:rPr>
      </w:r>
      <w:r/>
    </w:p>
    <w:p>
      <w:pPr>
        <w:pStyle w:val="993"/>
        <w:rPr>
          <w:rFonts w:eastAsia="黑体"/>
          <w:color w:val="000000"/>
          <w:sz w:val="44"/>
          <w:szCs w:val="44"/>
          <w:highlight w:val="none"/>
        </w:rPr>
      </w:pPr>
      <w:r>
        <w:rPr>
          <w:rFonts w:eastAsia="黑体"/>
          <w:color w:val="000000"/>
          <w:sz w:val="44"/>
          <w:szCs w:val="44"/>
          <w:highlight w:val="none"/>
        </w:rPr>
      </w:r>
      <w:r/>
    </w:p>
    <w:p>
      <w:pPr>
        <w:pStyle w:val="748"/>
        <w:rPr>
          <w:rFonts w:eastAsia="黑体"/>
          <w:color w:val="000000"/>
          <w:sz w:val="44"/>
          <w:szCs w:val="44"/>
          <w:highlight w:val="none"/>
        </w:rPr>
      </w:pPr>
      <w:r>
        <w:rPr>
          <w:rFonts w:eastAsia="黑体"/>
          <w:color w:val="000000"/>
          <w:sz w:val="44"/>
          <w:szCs w:val="44"/>
          <w:highlight w:val="none"/>
        </w:rPr>
      </w:r>
      <w:r/>
    </w:p>
    <w:p>
      <w:pPr>
        <w:pStyle w:val="748"/>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rPr>
          <w:rFonts w:ascii="宋体" w:hAnsi="宋体"/>
          <w:color w:val="000000"/>
          <w:sz w:val="32"/>
          <w:szCs w:val="32"/>
          <w:highlight w:val="none"/>
        </w:rPr>
      </w:r>
      <w:r/>
    </w:p>
    <w:p>
      <w:pPr>
        <w:pStyle w:val="748"/>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pStyle w:val="748"/>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rPr>
          <w:rFonts w:ascii="宋体" w:hAnsi="宋体" w:cs="仿宋_GB2312"/>
          <w:color w:val="000000"/>
          <w:sz w:val="28"/>
          <w:szCs w:val="28"/>
          <w:highlight w:val="none"/>
        </w:rPr>
      </w:r>
      <w:r/>
    </w:p>
    <w:p>
      <w:pPr>
        <w:pStyle w:val="748"/>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rPr>
          <w:rFonts w:ascii="宋体" w:hAnsi="宋体"/>
          <w:color w:val="000000"/>
          <w:sz w:val="28"/>
          <w:szCs w:val="28"/>
          <w:highlight w:val="none"/>
        </w:rPr>
      </w:r>
      <w:r/>
    </w:p>
    <w:p>
      <w:pPr>
        <w:pStyle w:val="748"/>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highlight w:val="none"/>
        </w:rPr>
      </w:r>
      <w:r/>
    </w:p>
    <w:p>
      <w:pPr>
        <w:pStyle w:val="748"/>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highlight w:val="none"/>
        </w:rPr>
      </w:r>
      <w:r/>
    </w:p>
    <w:p>
      <w:pPr>
        <w:pStyle w:val="934"/>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934"/>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rPr>
          <w:rFonts w:ascii="宋体" w:hAnsi="宋体"/>
          <w:color w:val="000000"/>
          <w:szCs w:val="21"/>
          <w:highlight w:val="non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ascii="宋体" w:hAnsi="宋体"/>
          <w:color w:val="000000"/>
          <w:szCs w:val="21"/>
          <w:highlight w:val="non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748"/>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748"/>
        <w:spacing w:line="400" w:lineRule="exact"/>
        <w:rPr>
          <w:color w:val="000000"/>
          <w:highlight w:val="none"/>
        </w:rPr>
      </w:pPr>
      <w:r>
        <w:rPr>
          <w:color w:val="000000"/>
          <w:highlight w:val="none"/>
        </w:rPr>
      </w:r>
      <w:r/>
    </w:p>
    <w:p>
      <w:pPr>
        <w:pStyle w:val="964"/>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highlight w:val="none"/>
        </w:rPr>
      </w:r>
      <w:r/>
    </w:p>
    <w:p>
      <w:pPr>
        <w:pStyle w:val="748"/>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964"/>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964"/>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rPr>
          <w:rFonts w:ascii="宋体" w:hAnsi="宋体"/>
          <w:color w:val="000000"/>
          <w:szCs w:val="21"/>
          <w:highlight w:val="none"/>
        </w:rPr>
      </w:r>
      <w:r/>
    </w:p>
    <w:p>
      <w:pPr>
        <w:pStyle w:val="964"/>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rPr>
        <w:t xml:space="preserve">/</w:t>
      </w:r>
      <w:r>
        <w:rPr>
          <w:rFonts w:hint="eastAsia" w:ascii="宋体" w:hAnsi="宋体"/>
          <w:color w:val="000000"/>
          <w:szCs w:val="21"/>
          <w:highlight w:val="none"/>
        </w:rPr>
        <w:t xml:space="preserve">个</w:t>
      </w:r>
      <w:r>
        <w:rPr>
          <w:rFonts w:ascii="宋体" w:hAnsi="宋体"/>
          <w:color w:val="000000"/>
          <w:szCs w:val="21"/>
          <w:highlight w:val="none"/>
        </w:rPr>
        <w:t xml:space="preserve">/</w:t>
      </w:r>
      <w:r>
        <w:rPr>
          <w:rFonts w:hint="eastAsia" w:ascii="宋体" w:hAnsi="宋体"/>
          <w:color w:val="000000"/>
          <w:szCs w:val="21"/>
          <w:highlight w:val="none"/>
        </w:rPr>
        <w:t xml:space="preserve">架</w:t>
      </w:r>
      <w:r>
        <w:rPr>
          <w:rFonts w:ascii="宋体" w:hAnsi="宋体"/>
          <w:color w:val="000000"/>
          <w:szCs w:val="21"/>
          <w:highlight w:val="none"/>
        </w:rPr>
        <w:t xml:space="preserve">/</w:t>
      </w:r>
      <w:r>
        <w:rPr>
          <w:rFonts w:hint="eastAsia" w:ascii="宋体" w:hAnsi="宋体"/>
          <w:color w:val="000000"/>
          <w:szCs w:val="21"/>
          <w:highlight w:val="none"/>
        </w:rPr>
        <w:t xml:space="preserve">组等）：</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48"/>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748"/>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ascii="宋体" w:hAnsi="宋体"/>
          <w:color w:val="000000"/>
          <w:szCs w:val="21"/>
          <w:highlight w:val="none"/>
          <w:u w:val="single"/>
        </w:rPr>
      </w:r>
      <w:r/>
    </w:p>
    <w:p>
      <w:pPr>
        <w:pStyle w:val="748"/>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rFonts w:ascii="宋体" w:hAnsi="宋体" w:cs="宋体"/>
          <w:color w:val="000000"/>
          <w:szCs w:val="21"/>
          <w:highlight w:val="none"/>
        </w:rPr>
      </w:r>
      <w:r/>
    </w:p>
    <w:p>
      <w:pPr>
        <w:pStyle w:val="748"/>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4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rPr>
      </w:r>
      <w:r/>
    </w:p>
    <w:p>
      <w:pPr>
        <w:pStyle w:val="1041"/>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highlight w:val="none"/>
        </w:rPr>
      </w:r>
      <w:r/>
    </w:p>
    <w:p>
      <w:pPr>
        <w:pStyle w:val="1041"/>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ascii="宋体" w:hAnsi="宋体" w:eastAsia="宋体" w:cs="宋体"/>
          <w:color w:val="000000"/>
          <w:sz w:val="21"/>
          <w:highlight w:val="none"/>
        </w:rPr>
      </w:r>
      <w:r/>
    </w:p>
    <w:p>
      <w:pPr>
        <w:pStyle w:val="1041"/>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041"/>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ascii="宋体" w:hAnsi="宋体" w:eastAsia="宋体" w:cs="宋体"/>
          <w:color w:val="000000"/>
          <w:sz w:val="21"/>
          <w:highlight w:val="none"/>
        </w:rPr>
      </w:r>
      <w:r/>
    </w:p>
    <w:p>
      <w:pPr>
        <w:pStyle w:val="1041"/>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1041"/>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041"/>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748"/>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48"/>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48"/>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48"/>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748"/>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4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ascii="宋体" w:hAnsi="宋体"/>
          <w:color w:val="000000"/>
          <w:szCs w:val="21"/>
          <w:highlight w:val="none"/>
        </w:rPr>
      </w:r>
      <w:r/>
    </w:p>
    <w:p>
      <w:pPr>
        <w:pStyle w:val="748"/>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4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ascii="宋体" w:hAnsi="宋体"/>
          <w:color w:val="000000"/>
          <w:szCs w:val="21"/>
          <w:highlight w:val="none"/>
        </w:rPr>
      </w:r>
      <w:r/>
    </w:p>
    <w:p>
      <w:pPr>
        <w:pStyle w:val="748"/>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ascii="宋体" w:hAnsi="宋体"/>
          <w:iCs/>
          <w:color w:val="000000"/>
          <w:szCs w:val="21"/>
          <w:highlight w:val="none"/>
        </w:rPr>
      </w:r>
      <w:r/>
    </w:p>
    <w:p>
      <w:pPr>
        <w:pStyle w:val="748"/>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eastAsia="华文楷体"/>
          <w:color w:val="000000"/>
          <w:highlight w:val="none"/>
        </w:rPr>
      </w:r>
      <w:r/>
    </w:p>
    <w:p>
      <w:pPr>
        <w:pStyle w:val="748"/>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1041"/>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74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748"/>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48"/>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4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4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748"/>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iCs/>
          <w:color w:val="000000"/>
          <w:szCs w:val="21"/>
          <w:highlight w:val="none"/>
        </w:rPr>
      </w:r>
      <w:r/>
    </w:p>
    <w:p>
      <w:pPr>
        <w:pStyle w:val="74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48"/>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4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rFonts w:ascii="宋体" w:hAnsi="宋体"/>
          <w:color w:val="000000"/>
          <w:szCs w:val="21"/>
          <w:highlight w:val="none"/>
        </w:rPr>
      </w:r>
      <w:r/>
    </w:p>
    <w:p>
      <w:pPr>
        <w:pStyle w:val="74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color w:val="000000"/>
          <w:szCs w:val="21"/>
          <w:highlight w:val="none"/>
        </w:rPr>
      </w:r>
      <w:r/>
    </w:p>
    <w:p>
      <w:pPr>
        <w:pStyle w:val="74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48"/>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1041"/>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ascii="宋体" w:hAnsi="宋体" w:eastAsia="宋体" w:cs="Times New Roman"/>
          <w:color w:val="000000"/>
          <w:sz w:val="21"/>
          <w:highlight w:val="none"/>
        </w:rPr>
      </w:r>
      <w:r/>
    </w:p>
    <w:p>
      <w:pPr>
        <w:pStyle w:val="1041"/>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ascii="宋体" w:hAnsi="宋体" w:eastAsia="宋体"/>
          <w:color w:val="000000"/>
          <w:highlight w:val="none"/>
          <w:u w:val="single"/>
        </w:rPr>
      </w:r>
      <w:r/>
    </w:p>
    <w:p>
      <w:pPr>
        <w:pStyle w:val="74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1041"/>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color w:val="000000"/>
          <w:sz w:val="21"/>
          <w:highlight w:val="non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748"/>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748"/>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48"/>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48"/>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ascii="宋体" w:hAnsi="宋体"/>
          <w:color w:val="000000"/>
          <w:szCs w:val="21"/>
          <w:highlight w:val="none"/>
        </w:rPr>
      </w:r>
      <w:r/>
    </w:p>
    <w:p>
      <w:pPr>
        <w:pStyle w:val="748"/>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1008"/>
        <w:ind w:left="0" w:firstLine="420"/>
        <w:spacing w:line="400" w:lineRule="exact"/>
        <w:rPr>
          <w:color w:val="000000"/>
          <w:sz w:val="21"/>
          <w:szCs w:val="21"/>
          <w:highlight w:val="none"/>
        </w:rPr>
      </w:pPr>
      <w:r>
        <w:rPr>
          <w:rFonts w:hint="eastAsia" w:ascii="宋体" w:hAnsi="宋体"/>
          <w:color w:val="000000"/>
          <w:sz w:val="21"/>
          <w:szCs w:val="21"/>
          <w:highlight w:val="none"/>
          <w:lang w:eastAsia="zh-CN"/>
        </w:rPr>
        <w:t xml:space="preserve">（3）付款方式（按项目实际勾选填写）：</w:t>
      </w:r>
      <w:r>
        <w:rPr>
          <w:color w:val="000000"/>
          <w:sz w:val="21"/>
          <w:szCs w:val="21"/>
          <w:highlight w:val="none"/>
        </w:rPr>
      </w:r>
      <w:r/>
    </w:p>
    <w:p>
      <w:pPr>
        <w:pStyle w:val="74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748"/>
        <w:ind w:firstLine="630"/>
        <w:spacing w:line="400" w:lineRule="exact"/>
        <w:rPr>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rPr>
          <w:color w:val="000000"/>
          <w:highlight w:val="none"/>
        </w:rPr>
      </w:r>
      <w:r/>
    </w:p>
    <w:p>
      <w:pPr>
        <w:pStyle w:val="74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rFonts w:ascii="宋体" w:hAnsi="宋体"/>
          <w:color w:val="000000"/>
          <w:szCs w:val="21"/>
          <w:highlight w:val="none"/>
          <w:u w:val="single"/>
        </w:rPr>
      </w:r>
      <w:r/>
    </w:p>
    <w:p>
      <w:pPr>
        <w:pStyle w:val="74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rFonts w:ascii="宋体" w:hAnsi="宋体"/>
          <w:color w:val="000000"/>
          <w:szCs w:val="21"/>
          <w:highlight w:val="none"/>
          <w:u w:val="single"/>
        </w:rPr>
      </w:r>
      <w:r/>
    </w:p>
    <w:p>
      <w:pPr>
        <w:pStyle w:val="748"/>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74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48"/>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48"/>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1041"/>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rPr>
          <w:rFonts w:ascii="宋体" w:hAnsi="宋体" w:eastAsia="宋体" w:cs="宋体"/>
          <w:color w:val="000000"/>
          <w:sz w:val="21"/>
          <w:highlight w:val="non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ascii="宋体" w:hAnsi="宋体" w:eastAsia="宋体" w:cs="宋体"/>
          <w:color w:val="000000"/>
          <w:sz w:val="21"/>
          <w:highlight w:val="none"/>
        </w:rPr>
      </w:r>
      <w:r/>
    </w:p>
    <w:p>
      <w:pPr>
        <w:pStyle w:val="748"/>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ascii="宋体" w:hAnsi="宋体" w:cs="宋体"/>
          <w:color w:val="000000"/>
          <w:highlight w:val="none"/>
        </w:rPr>
      </w:r>
      <w:r/>
    </w:p>
    <w:p>
      <w:pPr>
        <w:pStyle w:val="748"/>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rPr>
      </w:r>
      <w:r/>
    </w:p>
    <w:p>
      <w:pPr>
        <w:pStyle w:val="748"/>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48"/>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748"/>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748"/>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48"/>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4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4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4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4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48"/>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宋体" w:hAnsi="宋体"/>
          <w:bCs/>
          <w:color w:val="000000"/>
          <w:szCs w:val="21"/>
          <w:highlight w:val="none"/>
          <w:u w:val="single"/>
        </w:rPr>
      </w:r>
      <w:r/>
    </w:p>
    <w:p>
      <w:pPr>
        <w:pStyle w:val="748"/>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48"/>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4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ascii="宋体" w:hAnsi="宋体"/>
          <w:bCs/>
          <w:color w:val="000000"/>
          <w:szCs w:val="21"/>
          <w:highlight w:val="none"/>
          <w:u w:val="single"/>
        </w:rPr>
      </w:r>
      <w:r/>
    </w:p>
    <w:p>
      <w:pPr>
        <w:pStyle w:val="748"/>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宋体" w:hAnsi="宋体"/>
          <w:bCs/>
          <w:color w:val="000000"/>
          <w:szCs w:val="21"/>
          <w:highlight w:val="none"/>
        </w:rPr>
      </w:r>
      <w:r/>
    </w:p>
    <w:p>
      <w:pPr>
        <w:pStyle w:val="748"/>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rPr>
        <w:t xml:space="preserve">/</w:t>
      </w:r>
      <w:r>
        <w:rPr>
          <w:rFonts w:hint="eastAsia" w:ascii="宋体" w:hAnsi="宋体"/>
          <w:bCs/>
          <w:color w:val="000000"/>
          <w:szCs w:val="21"/>
          <w:highlight w:val="none"/>
          <w:u w:val="single"/>
        </w:rPr>
        <w:t xml:space="preserve">分项验收的工作安排）  </w:t>
      </w:r>
      <w:r>
        <w:rPr>
          <w:rFonts w:ascii="宋体" w:hAnsi="宋体"/>
          <w:bCs/>
          <w:color w:val="000000"/>
          <w:szCs w:val="21"/>
          <w:highlight w:val="none"/>
        </w:rPr>
      </w:r>
      <w:r/>
    </w:p>
    <w:p>
      <w:pPr>
        <w:pStyle w:val="748"/>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4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Cs w:val="21"/>
          <w:highlight w:val="none"/>
          <w:u w:val="single"/>
        </w:rPr>
      </w:r>
      <w:r/>
    </w:p>
    <w:p>
      <w:pPr>
        <w:pStyle w:val="74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1041"/>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748"/>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ascii="宋体" w:hAnsi="宋体" w:cs="宋体"/>
          <w:bCs/>
          <w:color w:val="000000"/>
          <w:szCs w:val="21"/>
          <w:highlight w:val="none"/>
          <w:u w:val="single"/>
        </w:rPr>
      </w:r>
      <w:r/>
    </w:p>
    <w:p>
      <w:pPr>
        <w:pStyle w:val="748"/>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rPr>
          <w:rFonts w:ascii="宋体" w:hAnsi="宋体" w:eastAsia="宋体" w:cs="宋体"/>
          <w:color w:val="000000"/>
          <w:sz w:val="21"/>
          <w:highlight w:val="none"/>
        </w:rPr>
      </w:r>
      <w:r/>
    </w:p>
    <w:p>
      <w:pPr>
        <w:pStyle w:val="748"/>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rFonts w:ascii="宋体" w:hAnsi="宋体"/>
          <w:color w:val="000000"/>
          <w:szCs w:val="21"/>
          <w:highlight w:val="none"/>
        </w:rPr>
      </w:r>
      <w:r/>
    </w:p>
    <w:p>
      <w:pPr>
        <w:pStyle w:val="748"/>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74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48"/>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rPr>
        <w:t xml:space="preserve">   </w:t>
      </w:r>
      <w:r>
        <w:rPr>
          <w:rFonts w:ascii="宋体" w:hAnsi="宋体"/>
          <w:b/>
          <w:bCs/>
          <w:color w:val="000000"/>
          <w:szCs w:val="21"/>
          <w:highlight w:val="none"/>
        </w:rPr>
      </w:r>
      <w:r/>
    </w:p>
    <w:p>
      <w:pPr>
        <w:pStyle w:val="1008"/>
        <w:rPr>
          <w:color w:val="000000"/>
          <w:highlight w:val="none"/>
        </w:rPr>
      </w:pPr>
      <w:r>
        <w:rPr>
          <w:color w:val="000000"/>
          <w:highlight w:val="none"/>
        </w:rPr>
      </w:r>
      <w:r/>
    </w:p>
    <w:tbl>
      <w:tblPr>
        <w:tblW w:w="8398" w:type="dxa"/>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2"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甲方</w:t>
            </w:r>
            <w:r>
              <w:rPr>
                <w:rFonts w:hint="eastAsia" w:ascii="Times New Roman" w:hAnsi="Times New Roman" w:eastAsia="宋体" w:cs="Times New Roman"/>
                <w:color w:val="000000"/>
                <w:sz w:val="21"/>
                <w:szCs w:val="21"/>
                <w:highlight w:val="none"/>
                <w:lang w:val="en-US" w:eastAsia="zh-CN" w:bidi="ar-SA"/>
              </w:rPr>
              <w:t xml:space="preserve">（采购人</w:t>
            </w:r>
            <w:r>
              <w:rPr>
                <w:rFonts w:hint="eastAsia" w:ascii="宋体" w:hAnsi="宋体" w:eastAsia="宋体" w:cs="Times New Roman"/>
                <w:color w:val="000000"/>
                <w:sz w:val="21"/>
                <w:szCs w:val="21"/>
                <w:highlight w:val="none"/>
                <w:lang w:val="en-US" w:eastAsia="zh-CN" w:bidi="ar-SA"/>
              </w:rPr>
              <w:t xml:space="preserve">、受采购人委托签订合同的单位或</w:t>
            </w:r>
            <w:r>
              <w:rPr>
                <w:rFonts w:hint="eastAsia" w:ascii="Times New Roman" w:hAnsi="Times New Roman" w:eastAsia="宋体" w:cs="Times New Roman"/>
                <w:color w:val="000000"/>
                <w:sz w:val="21"/>
                <w:szCs w:val="21"/>
                <w:highlight w:val="none"/>
                <w:lang w:val="en-US" w:eastAsia="zh-CN" w:bidi="ar-SA"/>
              </w:rPr>
              <w:t xml:space="preserve">采购文件约定的合同甲方）</w:t>
            </w:r>
            <w:r>
              <w:rPr>
                <w:rFonts w:ascii="Times New Roman" w:hAnsi="Times New Roman" w:eastAsia="宋体" w:cs="Times New Roman"/>
                <w:color w:val="000000"/>
                <w:sz w:val="21"/>
                <w:szCs w:val="22"/>
                <w:highlight w:val="none"/>
                <w:lang w:val="en-US" w:eastAsia="zh-CN" w:bidi="ar-SA"/>
              </w:rPr>
            </w:r>
            <w:r/>
          </w:p>
        </w:tc>
        <w:tc>
          <w:tcPr>
            <w:gridSpan w:val="2"/>
            <w:tcW w:w="4096"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乙方</w:t>
            </w:r>
            <w:r>
              <w:rPr>
                <w:rFonts w:hint="eastAsia" w:ascii="Times New Roman" w:hAnsi="Times New Roman" w:eastAsia="宋体" w:cs="Times New Roman"/>
                <w:color w:val="000000"/>
                <w:sz w:val="21"/>
                <w:szCs w:val="21"/>
                <w:highlight w:val="none"/>
                <w:lang w:val="en-US" w:eastAsia="zh-CN" w:bidi="ar-SA"/>
              </w:rPr>
              <w:t xml:space="preserve">（供应商）</w:t>
            </w:r>
            <w:r>
              <w:rPr>
                <w:rFonts w:ascii="Times New Roman" w:hAnsi="Times New Roman" w:eastAsia="宋体" w:cs="Times New Roman"/>
                <w:color w:val="000000"/>
                <w:sz w:val="21"/>
                <w:szCs w:val="22"/>
                <w:highlight w:val="none"/>
                <w:lang w:val="en-US" w:eastAsia="zh-CN" w:bidi="ar-SA"/>
              </w:rPr>
            </w:r>
            <w:r/>
          </w:p>
        </w:tc>
      </w:tr>
      <w:tr>
        <w:trPr>
          <w:trHeight w:val="917"/>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单位名称</w:t>
            </w:r>
            <w:r>
              <w:rPr>
                <w:rFonts w:hint="eastAsia" w:ascii="Times New Roman" w:hAnsi="Times New Roman" w:eastAsia="宋体" w:cs="Times New Roman"/>
                <w:color w:val="000000"/>
                <w:sz w:val="21"/>
                <w:szCs w:val="21"/>
                <w:highlight w:val="none"/>
                <w:lang w:val="en-US" w:eastAsia="zh-CN" w:bidi="ar-SA"/>
              </w:rPr>
              <w:t xml:space="preserve">（公章或合同章）</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单位名称</w:t>
            </w:r>
            <w:r>
              <w:rPr>
                <w:rFonts w:hint="eastAsia" w:ascii="Times New Roman" w:hAnsi="Times New Roman" w:eastAsia="宋体" w:cs="Times New Roman"/>
                <w:color w:val="000000"/>
                <w:sz w:val="21"/>
                <w:szCs w:val="21"/>
                <w:highlight w:val="none"/>
                <w:lang w:val="en-US" w:eastAsia="zh-CN" w:bidi="ar-SA"/>
              </w:rPr>
              <w:t xml:space="preserve">（公章或合同章）</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1171"/>
        </w:trPr>
        <w:tc>
          <w:tcPr>
            <w:tcW w:w="1125" w:type="dxa"/>
            <w:vAlign w:val="center"/>
            <w:vMerge w:val="restart"/>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法定代表人</w:t>
            </w:r>
            <w:r>
              <w:rPr>
                <w:rFonts w:ascii="Times New Roman" w:hAnsi="Times New Roman" w:eastAsia="宋体" w:cs="Times New Roman"/>
                <w:color w:val="000000"/>
                <w:sz w:val="21"/>
                <w:szCs w:val="21"/>
                <w:highlight w:val="none"/>
                <w:lang w:val="en-US" w:eastAsia="zh-CN" w:bidi="ar-SA"/>
              </w:rPr>
            </w:r>
            <w:r/>
          </w:p>
          <w:p>
            <w:pPr>
              <w:pStyle w:val="748"/>
              <w:ind w:firstLine="100"/>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或其</w:t>
            </w:r>
            <w:r>
              <w:rPr>
                <w:rFonts w:ascii="Times New Roman" w:hAnsi="Times New Roman" w:eastAsia="宋体" w:cs="Times New Roman"/>
                <w:color w:val="000000"/>
                <w:sz w:val="21"/>
                <w:szCs w:val="21"/>
                <w:highlight w:val="none"/>
                <w:lang w:val="en-US" w:eastAsia="zh-CN" w:bidi="ar-SA"/>
              </w:rPr>
              <w:t xml:space="preserve">委托代理人</w:t>
            </w:r>
            <w:r>
              <w:rPr>
                <w:rFonts w:hint="eastAsia" w:ascii="Times New Roman" w:hAnsi="Times New Roman" w:eastAsia="宋体" w:cs="Times New Roman"/>
                <w:color w:val="000000"/>
                <w:sz w:val="21"/>
                <w:szCs w:val="21"/>
                <w:highlight w:val="none"/>
                <w:lang w:val="en-US" w:eastAsia="zh-CN" w:bidi="ar-SA"/>
              </w:rPr>
              <w:t xml:space="preserve">（签章）</w:t>
            </w:r>
            <w:r>
              <w:rPr>
                <w:rFonts w:ascii="Times New Roman" w:hAnsi="Times New Roman" w:eastAsia="宋体" w:cs="Times New Roman"/>
                <w:color w:val="000000"/>
                <w:sz w:val="21"/>
                <w:szCs w:val="21"/>
                <w:highlight w:val="none"/>
                <w:lang w:val="en-US" w:eastAsia="zh-CN" w:bidi="ar-SA"/>
              </w:rPr>
            </w:r>
            <w:r/>
          </w:p>
        </w:tc>
        <w:tc>
          <w:tcPr>
            <w:tcW w:w="3177" w:type="dxa"/>
            <w:vAlign w:val="center"/>
            <w:vMerge w:val="restart"/>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法定代表人</w:t>
            </w:r>
            <w:r>
              <w:rPr>
                <w:rFonts w:ascii="Times New Roman" w:hAnsi="Times New Roman" w:eastAsia="宋体" w:cs="Times New Roman"/>
                <w:color w:val="000000"/>
                <w:sz w:val="21"/>
                <w:szCs w:val="21"/>
                <w:highlight w:val="none"/>
                <w:lang w:val="en-US" w:eastAsia="zh-CN" w:bidi="ar-SA"/>
              </w:rPr>
            </w:r>
            <w:r/>
          </w:p>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或其</w:t>
            </w:r>
            <w:r>
              <w:rPr>
                <w:rFonts w:ascii="Times New Roman" w:hAnsi="Times New Roman" w:eastAsia="宋体" w:cs="Times New Roman"/>
                <w:color w:val="000000"/>
                <w:sz w:val="21"/>
                <w:szCs w:val="21"/>
                <w:highlight w:val="none"/>
                <w:lang w:val="en-US" w:eastAsia="zh-CN" w:bidi="ar-SA"/>
              </w:rPr>
              <w:t xml:space="preserve">委托代理人</w:t>
            </w:r>
            <w:r>
              <w:rPr>
                <w:rFonts w:hint="eastAsia" w:ascii="Times New Roman" w:hAnsi="Times New Roman" w:eastAsia="宋体" w:cs="Times New Roman"/>
                <w:color w:val="000000"/>
                <w:sz w:val="21"/>
                <w:szCs w:val="21"/>
                <w:highlight w:val="none"/>
                <w:lang w:val="en-US" w:eastAsia="zh-CN" w:bidi="ar-SA"/>
              </w:rPr>
              <w:t xml:space="preserve">（签章）</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483"/>
        </w:trPr>
        <w:tc>
          <w:tcPr>
            <w:tcW w:w="1125" w:type="dxa"/>
            <w:vAlign w:val="center"/>
            <w:vMerge w:val="continue"/>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177" w:type="dxa"/>
            <w:vAlign w:val="center"/>
            <w:vMerge w:val="continue"/>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拥有者性别</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住  所</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住  所</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联 系 人</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联 系 人</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联系电话</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联系电话</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通信地址</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通信地址</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邮政编码</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邮政编码</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电子邮箱</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电子邮箱</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统一社会信用代码</w:t>
            </w: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统一社会信用代码</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开户名称</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开户银行</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483"/>
        </w:trPr>
        <w:tc>
          <w:tcPr>
            <w:tcW w:w="1125"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177"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17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银行账号</w:t>
            </w:r>
            <w:r>
              <w:rPr>
                <w:rFonts w:ascii="Times New Roman" w:hAnsi="Times New Roman" w:eastAsia="宋体" w:cs="Times New Roman"/>
                <w:color w:val="000000"/>
                <w:sz w:val="21"/>
                <w:szCs w:val="21"/>
                <w:highlight w:val="none"/>
                <w:lang w:val="en-US" w:eastAsia="zh-CN" w:bidi="ar-SA"/>
              </w:rPr>
            </w:r>
            <w:r/>
          </w:p>
        </w:tc>
        <w:tc>
          <w:tcPr>
            <w:tcW w:w="2918" w:type="dxa"/>
            <w:vAlign w:val="center"/>
            <w:textDirection w:val="lrTb"/>
            <w:noWrap w:val="false"/>
          </w:tcPr>
          <w:p>
            <w:pPr>
              <w:pStyle w:val="748"/>
              <w:jc w:val="center"/>
              <w:spacing w:line="300" w:lineRule="exact"/>
              <w:widowControl w:val="off"/>
              <w:rPr>
                <w:rFonts w:ascii="Times New Roman" w:hAnsi="Times New Roman" w:eastAsia="宋体" w:cs="Times New Roman"/>
                <w:color w:val="000000"/>
                <w:spacing w:val="20"/>
                <w:sz w:val="21"/>
                <w:szCs w:val="21"/>
                <w:highlight w:val="none"/>
                <w:lang w:val="en-US" w:eastAsia="zh-CN" w:bidi="ar-SA"/>
              </w:rPr>
            </w:pPr>
            <w:r>
              <w:rPr>
                <w:rFonts w:ascii="Times New Roman" w:hAnsi="Times New Roman" w:eastAsia="宋体" w:cs="Times New Roman"/>
                <w:color w:val="000000"/>
                <w:spacing w:val="20"/>
                <w:sz w:val="21"/>
                <w:szCs w:val="21"/>
                <w:highlight w:val="none"/>
                <w:lang w:val="en-US" w:eastAsia="zh-CN" w:bidi="ar-SA"/>
              </w:rPr>
            </w:r>
            <w:r/>
          </w:p>
        </w:tc>
      </w:tr>
      <w:tr>
        <w:trPr>
          <w:trHeight w:val="586"/>
        </w:trPr>
        <w:tc>
          <w:tcPr>
            <w:gridSpan w:val="4"/>
            <w:tcW w:w="8398" w:type="dxa"/>
            <w:vAlign w:val="center"/>
            <w:textDirection w:val="lrTb"/>
            <w:noWrap w:val="false"/>
          </w:tcPr>
          <w:p>
            <w:pPr>
              <w:pStyle w:val="964"/>
              <w:ind w:left="0"/>
              <w:jc w:val="left"/>
              <w:spacing w:before="156" w:after="0" w:line="360" w:lineRule="auto"/>
              <w:widowControl w:val="off"/>
              <w:rPr>
                <w:rFonts w:ascii="Times New Roman" w:hAnsi="Times New Roman" w:eastAsia="宋体" w:cs="Times New Roman"/>
                <w:color w:val="000000"/>
                <w:spacing w:val="2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注：涉及联合体或其他合同主体的信息应按上表格式加列。</w:t>
            </w:r>
            <w:r>
              <w:rPr>
                <w:rFonts w:ascii="Times New Roman" w:hAnsi="Times New Roman" w:eastAsia="宋体" w:cs="Times New Roman"/>
                <w:color w:val="000000"/>
                <w:spacing w:val="20"/>
                <w:sz w:val="21"/>
                <w:szCs w:val="21"/>
                <w:highlight w:val="none"/>
                <w:lang w:val="en-US" w:eastAsia="zh-CN" w:bidi="ar-SA"/>
              </w:rPr>
            </w:r>
            <w:r/>
          </w:p>
        </w:tc>
      </w:tr>
    </w:tbl>
    <w:p>
      <w:pPr>
        <w:pStyle w:val="934"/>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748"/>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74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74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74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74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4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48"/>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48"/>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74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748"/>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74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748"/>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748"/>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041"/>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74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rPr>
          <w:rFonts w:ascii="宋体" w:hAnsi="宋体"/>
          <w:b/>
          <w:color w:val="000000"/>
          <w:sz w:val="24"/>
          <w:highlight w:val="none"/>
        </w:rPr>
      </w:r>
      <w:r/>
    </w:p>
    <w:p>
      <w:pPr>
        <w:pStyle w:val="966"/>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966"/>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highlight w:val="none"/>
        </w:rPr>
      </w:r>
      <w:r/>
    </w:p>
    <w:p>
      <w:pPr>
        <w:pStyle w:val="748"/>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rFonts w:ascii="宋体" w:hAnsi="宋体"/>
          <w:b/>
          <w:bCs/>
          <w:color w:val="000000"/>
          <w:sz w:val="24"/>
          <w:highlight w:val="none"/>
        </w:rPr>
      </w:r>
      <w:r/>
    </w:p>
    <w:p>
      <w:pPr>
        <w:pStyle w:val="748"/>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748"/>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748"/>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104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rFonts w:ascii="宋体" w:hAnsi="宋体"/>
          <w:b/>
          <w:bCs/>
          <w:color w:val="000000"/>
          <w:sz w:val="24"/>
          <w:highlight w:val="none"/>
        </w:rPr>
      </w:r>
      <w:r/>
    </w:p>
    <w:p>
      <w:pPr>
        <w:pStyle w:val="74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ascii="宋体" w:hAnsi="宋体"/>
          <w:bCs/>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74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748"/>
        <w:numPr>
          <w:ilvl w:val="0"/>
          <w:numId w:val="10"/>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748"/>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1041"/>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748"/>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748"/>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1041"/>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1041"/>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rFonts w:ascii="宋体" w:hAnsi="宋体"/>
          <w:b/>
          <w:bCs/>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74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rFonts w:ascii="宋体" w:hAnsi="宋体"/>
          <w:b/>
          <w:bCs/>
          <w:color w:val="000000"/>
          <w:sz w:val="24"/>
          <w:highlight w:val="none"/>
        </w:rPr>
      </w:r>
      <w:r/>
    </w:p>
    <w:p>
      <w:pPr>
        <w:pStyle w:val="1041"/>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1041"/>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1041"/>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748"/>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rFonts w:ascii="宋体" w:hAnsi="宋体"/>
          <w:color w:val="000000"/>
          <w:sz w:val="24"/>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rPr>
        <w:t xml:space="preserve">本合同应当按照规定执行政府采购政策。</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highlight w:val="none"/>
        </w:rPr>
      </w:r>
      <w:r/>
    </w:p>
    <w:p>
      <w:pPr>
        <w:pStyle w:val="74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1041"/>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1041"/>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74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1041"/>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1041"/>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ascii="宋体" w:hAnsi="宋体"/>
          <w:color w:val="000000"/>
          <w:szCs w:val="21"/>
          <w:highlight w:val="none"/>
        </w:rPr>
      </w:r>
      <w:r/>
    </w:p>
    <w:p>
      <w:pPr>
        <w:pStyle w:val="74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ascii="宋体" w:hAnsi="宋体"/>
          <w:color w:val="000000"/>
          <w:szCs w:val="21"/>
          <w:highlight w:val="none"/>
        </w:rPr>
      </w:r>
      <w:r/>
    </w:p>
    <w:p>
      <w:pPr>
        <w:pStyle w:val="748"/>
        <w:numPr>
          <w:ilvl w:val="0"/>
          <w:numId w:val="11"/>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74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48"/>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rFonts w:ascii="黑体" w:hAnsi="华文中宋" w:eastAsia="黑体"/>
          <w:color w:val="000000"/>
          <w:sz w:val="28"/>
          <w:szCs w:val="28"/>
          <w:highlight w:val="none"/>
        </w:rPr>
      </w:r>
      <w:r/>
    </w:p>
    <w:p>
      <w:pPr>
        <w:pStyle w:val="748"/>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rPr>
          <w:rFonts w:ascii="黑体" w:hAnsi="华文中宋" w:eastAsia="黑体"/>
          <w:b/>
          <w:bCs/>
          <w:color w:val="000000"/>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第1.2（6）项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联合体具体要求</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604"/>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第1.2（7）项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其他术语解释</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第4.4款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履约验收中甲方提出异议或作出说明的期限</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第4.6款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约定甲方承担的其他义务和责任</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Times New Roman" w:hAnsi="Times New Roman" w:eastAsia="宋体" w:cs="Times New Roman"/>
                <w:color w:val="000000"/>
                <w:sz w:val="21"/>
                <w:szCs w:val="22"/>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第5.4款</w:t>
            </w:r>
            <w:r>
              <w:rPr>
                <w:rFonts w:ascii="Times New Roman" w:hAnsi="Times New Roman" w:eastAsia="宋体" w:cs="Times New Roman"/>
                <w:color w:val="000000"/>
                <w:sz w:val="21"/>
                <w:szCs w:val="22"/>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约定乙方承担的其他义务和责任</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第6.1款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履行合同义务的顺序</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667"/>
        </w:trPr>
        <w:tc>
          <w:tcPr>
            <w:tcW w:w="1607" w:type="dxa"/>
            <w:vAlign w:val="center"/>
            <w:vMerge w:val="restart"/>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第7.1款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包装特殊要求</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both"/>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r>
            <w:r/>
          </w:p>
        </w:tc>
      </w:tr>
      <w:tr>
        <w:trPr>
          <w:trHeight w:val="667"/>
        </w:trPr>
        <w:tc>
          <w:tcPr>
            <w:tcW w:w="1607" w:type="dxa"/>
            <w:vAlign w:val="center"/>
            <w:vMerge w:val="continue"/>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指定现场</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both"/>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r>
            <w:r/>
          </w:p>
        </w:tc>
      </w:tr>
      <w:tr>
        <w:trPr>
          <w:trHeight w:val="772"/>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第7.2款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运输特殊要求</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both"/>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r>
            <w:r/>
          </w:p>
        </w:tc>
      </w:tr>
      <w:tr>
        <w:trPr>
          <w:trHeight w:val="667"/>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第7.3款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保险要求</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both"/>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第8.2（1）项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质量保证期</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ind w:firstLine="420"/>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第8.2（3）项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货物质量缺陷</w:t>
            </w:r>
            <w:r>
              <w:rPr>
                <w:rFonts w:ascii="宋体" w:hAnsi="宋体" w:eastAsia="宋体" w:cs="Times New Roman"/>
                <w:color w:val="000000"/>
                <w:sz w:val="21"/>
                <w:szCs w:val="21"/>
                <w:highlight w:val="none"/>
                <w:lang w:val="en-US" w:eastAsia="zh-CN" w:bidi="ar-SA"/>
              </w:rPr>
            </w:r>
            <w:r/>
          </w:p>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响应时间</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第二节</w:t>
            </w:r>
            <w:r>
              <w:rPr>
                <w:rFonts w:ascii="宋体" w:hAnsi="宋体" w:eastAsia="宋体" w:cs="宋体"/>
                <w:color w:val="000000"/>
                <w:sz w:val="21"/>
                <w:szCs w:val="21"/>
                <w:highlight w:val="none"/>
                <w:lang w:val="en-US" w:eastAsia="zh-CN" w:bidi="ar-SA"/>
              </w:rPr>
            </w:r>
            <w:r/>
          </w:p>
          <w:p>
            <w:pPr>
              <w:pStyle w:val="1041"/>
              <w:ind w:firstLine="0"/>
              <w:jc w:val="center"/>
              <w:spacing w:line="400" w:lineRule="exact"/>
              <w:rPr>
                <w:rFonts w:ascii="华文楷体" w:hAnsi="华文楷体" w:eastAsia="华文楷体" w:cs="华文楷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第11.1款</w:t>
            </w:r>
            <w:r>
              <w:rPr>
                <w:rFonts w:ascii="华文楷体" w:hAnsi="华文楷体" w:eastAsia="华文楷体" w:cs="华文楷体"/>
                <w:color w:val="000000"/>
                <w:sz w:val="22"/>
                <w:szCs w:val="21"/>
                <w:highlight w:val="none"/>
                <w:lang w:val="en-US" w:eastAsia="zh-CN" w:bidi="ar-SA"/>
              </w:rPr>
            </w:r>
            <w:r/>
          </w:p>
        </w:tc>
        <w:tc>
          <w:tcPr>
            <w:tcW w:w="1742" w:type="dxa"/>
            <w:vAlign w:val="center"/>
            <w:textDirection w:val="lrTb"/>
            <w:noWrap w:val="false"/>
          </w:tcPr>
          <w:p>
            <w:pPr>
              <w:pStyle w:val="748"/>
              <w:jc w:val="both"/>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其他应当保密的信息</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697"/>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第12.2款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合同价款支付时间</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697"/>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第13.2款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履约保证金不予退还的情形</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第13.3款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履约保证金退还时间及逾期退还的违约金</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84"/>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第14.1（3）项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运行监督、维修期限</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84"/>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第14.1（5）项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货物回收的约定</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第14.1（6）项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乙方提供的其他服务</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第15.1款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修理、重作、更换相关具体规定</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第15.2（2）项</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迟延交货赔偿费</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u w:val="single"/>
                <w:lang w:val="en-US" w:eastAsia="zh-CN" w:bidi="ar-SA"/>
              </w:rPr>
            </w:pPr>
            <w:r>
              <w:rPr>
                <w:rFonts w:ascii="宋体" w:hAnsi="宋体" w:eastAsia="宋体" w:cs="Times New Roman"/>
                <w:color w:val="000000"/>
                <w:sz w:val="21"/>
                <w:szCs w:val="21"/>
                <w:highlight w:val="none"/>
                <w:u w:val="single"/>
                <w:lang w:val="en-US" w:eastAsia="zh-CN" w:bidi="ar-SA"/>
              </w:rPr>
            </w:r>
            <w:r/>
          </w:p>
        </w:tc>
      </w:tr>
      <w:tr>
        <w:trPr>
          <w:trHeight w:val="73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第15.3款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逾期付款利息</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u w:val="single"/>
                <w:lang w:val="en-US" w:eastAsia="zh-CN" w:bidi="ar-SA"/>
              </w:rPr>
            </w:pPr>
            <w:r>
              <w:rPr>
                <w:rFonts w:ascii="宋体" w:hAnsi="宋体" w:eastAsia="宋体" w:cs="Times New Roman"/>
                <w:color w:val="000000"/>
                <w:sz w:val="21"/>
                <w:szCs w:val="21"/>
                <w:highlight w:val="none"/>
                <w:u w:val="single"/>
                <w:lang w:val="en-US" w:eastAsia="zh-CN" w:bidi="ar-SA"/>
              </w:rPr>
            </w:r>
            <w:r/>
          </w:p>
        </w:tc>
      </w:tr>
      <w:tr>
        <w:trPr>
          <w:trHeight w:val="876"/>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第15.4款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其他违约责任</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u w:val="single"/>
                <w:lang w:val="en-US" w:eastAsia="zh-CN" w:bidi="ar-SA"/>
              </w:rPr>
            </w:pPr>
            <w:r>
              <w:rPr>
                <w:rFonts w:ascii="宋体" w:hAnsi="宋体" w:eastAsia="宋体" w:cs="Times New Roman"/>
                <w:color w:val="000000"/>
                <w:sz w:val="21"/>
                <w:szCs w:val="21"/>
                <w:highlight w:val="none"/>
                <w:u w:val="single"/>
                <w:lang w:val="en-US" w:eastAsia="zh-CN" w:bidi="ar-SA"/>
              </w:rPr>
            </w:r>
            <w:r/>
          </w:p>
        </w:tc>
      </w:tr>
      <w:tr>
        <w:trPr>
          <w:trHeight w:val="90"/>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第19.2款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解决争议的方法</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因本合同及合同有关事项发生的争议，按下列第</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种方式解决：</w:t>
            </w:r>
            <w:r>
              <w:rPr>
                <w:rFonts w:ascii="宋体" w:hAnsi="宋体" w:eastAsia="宋体" w:cs="宋体"/>
                <w:iCs/>
                <w:color w:val="000000"/>
                <w:sz w:val="21"/>
                <w:szCs w:val="21"/>
                <w:highlight w:val="none"/>
                <w:lang w:val="en-US" w:eastAsia="zh-CN" w:bidi="ar-SA"/>
              </w:rPr>
            </w:r>
            <w:r/>
          </w:p>
          <w:p>
            <w:pPr>
              <w:pStyle w:val="748"/>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（1）向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仲裁委员会申请仲裁，仲裁地点为</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w:t>
            </w:r>
            <w:r>
              <w:rPr>
                <w:rFonts w:ascii="宋体" w:hAnsi="宋体" w:eastAsia="宋体" w:cs="宋体"/>
                <w:iCs/>
                <w:color w:val="000000"/>
                <w:sz w:val="21"/>
                <w:szCs w:val="21"/>
                <w:highlight w:val="none"/>
                <w:lang w:val="en-US" w:eastAsia="zh-CN" w:bidi="ar-SA"/>
              </w:rPr>
            </w:r>
            <w:r/>
          </w:p>
          <w:p>
            <w:pPr>
              <w:pStyle w:val="748"/>
              <w:jc w:val="left"/>
              <w:widowControl w:val="off"/>
              <w:rPr>
                <w:rFonts w:ascii="宋体" w:hAnsi="宋体" w:eastAsia="宋体" w:cs="Times New Roman"/>
                <w:color w:val="000000"/>
                <w:sz w:val="21"/>
                <w:szCs w:val="21"/>
                <w:highlight w:val="none"/>
                <w:u w:val="single"/>
                <w:lang w:val="en-US" w:eastAsia="zh-CN" w:bidi="ar-SA"/>
              </w:rPr>
            </w:pPr>
            <w:r>
              <w:rPr>
                <w:rFonts w:hint="eastAsia" w:ascii="宋体" w:hAnsi="宋体" w:eastAsia="宋体" w:cs="宋体"/>
                <w:iCs/>
                <w:color w:val="000000"/>
                <w:sz w:val="21"/>
                <w:szCs w:val="21"/>
                <w:highlight w:val="none"/>
                <w:lang w:val="en-US" w:eastAsia="zh-CN" w:bidi="ar-SA"/>
              </w:rPr>
              <w:t xml:space="preserve">（2）向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人民法院起诉。</w:t>
            </w:r>
            <w:r>
              <w:rPr>
                <w:rFonts w:ascii="宋体" w:hAnsi="宋体" w:eastAsia="宋体" w:cs="Times New Roman"/>
                <w:color w:val="000000"/>
                <w:sz w:val="21"/>
                <w:szCs w:val="21"/>
                <w:highlight w:val="none"/>
                <w:u w:val="single"/>
                <w:lang w:val="en-US" w:eastAsia="zh-CN" w:bidi="ar-SA"/>
              </w:rPr>
            </w:r>
            <w:r/>
          </w:p>
        </w:tc>
      </w:tr>
      <w:tr>
        <w:trPr>
          <w:trHeight w:val="770"/>
        </w:trPr>
        <w:tc>
          <w:tcPr>
            <w:tcW w:w="1607"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第二节</w:t>
            </w:r>
            <w:r>
              <w:rPr>
                <w:rFonts w:ascii="宋体" w:hAnsi="宋体" w:eastAsia="宋体" w:cs="Times New Roman"/>
                <w:color w:val="000000"/>
                <w:sz w:val="21"/>
                <w:szCs w:val="21"/>
                <w:highlight w:val="none"/>
                <w:lang w:val="en-US" w:eastAsia="zh-CN" w:bidi="ar-SA"/>
              </w:rPr>
            </w:r>
            <w:r/>
          </w:p>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第23.1款</w:t>
            </w:r>
            <w:r>
              <w:rPr>
                <w:rFonts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其他专用条款</w:t>
            </w:r>
            <w:r>
              <w:rPr>
                <w:rFonts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48"/>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96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62"/>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748"/>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48"/>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48"/>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48"/>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48"/>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748"/>
        <w:jc w:val="center"/>
        <w:spacing w:before="120" w:after="120" w:line="0" w:lineRule="atLeast"/>
        <w:rPr>
          <w:rFonts w:hint="eastAsia" w:ascii="黑体" w:hAnsi="Courier New" w:eastAsia="黑体" w:cs="Courier New"/>
          <w:bCs/>
          <w:color w:val="000000"/>
          <w:sz w:val="44"/>
          <w:szCs w:val="21"/>
          <w:highlight w:val="none"/>
        </w:rPr>
      </w:pPr>
      <w:r/>
      <w:bookmarkEnd w:id="174"/>
      <w:r>
        <w:rPr>
          <w:rFonts w:hint="eastAsia" w:ascii="黑体" w:hAnsi="Courier New" w:eastAsia="黑体" w:cs="Courier New"/>
          <w:bCs/>
          <w:color w:val="000000"/>
          <w:sz w:val="44"/>
          <w:szCs w:val="21"/>
          <w:highlight w:val="none"/>
        </w:rPr>
      </w:r>
      <w:r/>
    </w:p>
    <w:p>
      <w:pPr>
        <w:pStyle w:val="748"/>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748"/>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748"/>
        <w:numPr>
          <w:ilvl w:val="0"/>
          <w:numId w:val="12"/>
        </w:num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采购需求</w:t>
      </w:r>
      <w:bookmarkEnd w:id="175"/>
      <w:r/>
      <w:bookmarkEnd w:id="176"/>
      <w:r/>
      <w:bookmarkEnd w:id="177"/>
      <w:r>
        <w:rPr>
          <w:rFonts w:hint="eastAsia" w:ascii="黑体" w:hAnsi="Courier New" w:eastAsia="黑体" w:cs="Courier New"/>
          <w:bCs/>
          <w:color w:val="000000"/>
          <w:sz w:val="44"/>
          <w:szCs w:val="21"/>
          <w:highlight w:val="none"/>
        </w:rPr>
      </w:r>
      <w:r/>
    </w:p>
    <w:p>
      <w:pPr>
        <w:pStyle w:val="748"/>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、项目基本情况</w:t>
      </w:r>
      <w:r>
        <w:rPr>
          <w:rFonts w:ascii="宋体" w:hAnsi="宋体" w:eastAsia="宋体" w:cs="宋体"/>
          <w:b/>
          <w:bCs/>
          <w:color w:val="000000"/>
          <w:sz w:val="24"/>
          <w:szCs w:val="24"/>
          <w:highlight w:val="none"/>
        </w:rPr>
      </w:r>
      <w:r/>
    </w:p>
    <w:p>
      <w:pPr>
        <w:pStyle w:val="748"/>
        <w:ind w:firstLine="480"/>
        <w:spacing w:line="360" w:lineRule="auto"/>
        <w:widowControl/>
        <w:rPr>
          <w:rFonts w:hint="eastAsia" w:ascii="宋体" w:hAnsi="宋体" w:eastAsia="宋体" w:cs="Times New Roman"/>
          <w:bCs/>
          <w:color w:val="000000"/>
          <w:sz w:val="24"/>
          <w:szCs w:val="24"/>
          <w:highlight w:val="none"/>
        </w:rPr>
      </w:pPr>
      <w:r/>
      <w:bookmarkStart w:id="180" w:name="_Hlk28680462"/>
      <w:r>
        <w:rPr>
          <w:rFonts w:hint="eastAsia" w:ascii="宋体" w:hAnsi="宋体" w:eastAsia="宋体" w:cs="Times New Roman"/>
          <w:bCs/>
          <w:color w:val="000000"/>
          <w:sz w:val="24"/>
          <w:szCs w:val="24"/>
          <w:highlight w:val="none"/>
          <w:lang w:val="en-US" w:eastAsia="zh-CN"/>
        </w:rPr>
        <w:t xml:space="preserve">1.1项目编号：</w:t>
      </w:r>
      <w:r>
        <w:rPr>
          <w:rFonts w:hint="eastAsia" w:ascii="宋体" w:hAnsi="宋体" w:eastAsia="宋体" w:cs="Times New Roman"/>
          <w:bCs/>
          <w:color w:val="000000"/>
          <w:sz w:val="24"/>
          <w:szCs w:val="24"/>
          <w:highlight w:val="none"/>
        </w:rPr>
      </w:r>
      <w:r/>
    </w:p>
    <w:p>
      <w:pPr>
        <w:pStyle w:val="748"/>
        <w:ind w:firstLine="480"/>
        <w:spacing w:line="360" w:lineRule="auto"/>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1.2项目名称：宿迁学院新校区学生公寓北、东组团室内配套家具采购项目</w:t>
      </w:r>
      <w:r>
        <w:rPr>
          <w:rFonts w:hint="eastAsia" w:ascii="宋体" w:hAnsi="宋体" w:eastAsia="宋体" w:cs="Times New Roman"/>
          <w:bCs/>
          <w:color w:val="000000"/>
          <w:sz w:val="24"/>
          <w:szCs w:val="24"/>
          <w:highlight w:val="none"/>
        </w:rPr>
      </w:r>
      <w:r/>
    </w:p>
    <w:p>
      <w:pPr>
        <w:pStyle w:val="748"/>
        <w:ind w:firstLine="480"/>
        <w:spacing w:line="360" w:lineRule="auto"/>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1.3 预算金额：</w:t>
      </w:r>
      <w:r>
        <w:rPr>
          <w:rFonts w:hint="eastAsia" w:ascii="宋体" w:hAnsi="宋体" w:cs="Times New Roman"/>
          <w:bCs/>
          <w:color w:val="000000"/>
          <w:sz w:val="24"/>
          <w:szCs w:val="24"/>
          <w:highlight w:val="none"/>
          <w:lang w:val="en-US" w:eastAsia="zh-CN"/>
        </w:rPr>
        <w:t xml:space="preserve">3698.200</w:t>
      </w:r>
      <w:r>
        <w:rPr>
          <w:rFonts w:hint="eastAsia" w:ascii="宋体" w:hAnsi="宋体" w:eastAsia="宋体" w:cs="Times New Roman"/>
          <w:bCs/>
          <w:color w:val="000000"/>
          <w:sz w:val="24"/>
          <w:szCs w:val="24"/>
          <w:highlight w:val="none"/>
          <w:lang w:val="en-US" w:eastAsia="zh-CN"/>
        </w:rPr>
        <w:t xml:space="preserve">万元。</w:t>
      </w:r>
      <w:r>
        <w:rPr>
          <w:rFonts w:hint="eastAsia" w:ascii="宋体" w:hAnsi="宋体" w:eastAsia="宋体" w:cs="Times New Roman"/>
          <w:bCs/>
          <w:color w:val="000000"/>
          <w:sz w:val="24"/>
          <w:szCs w:val="24"/>
          <w:highlight w:val="none"/>
        </w:rPr>
      </w:r>
      <w:r/>
    </w:p>
    <w:p>
      <w:pPr>
        <w:pStyle w:val="748"/>
        <w:ind w:firstLine="480"/>
        <w:spacing w:line="360" w:lineRule="auto"/>
        <w:widowControl/>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本项目设定最高限价，最高限价为</w:t>
      </w:r>
      <w:r>
        <w:rPr>
          <w:rFonts w:hint="eastAsia" w:ascii="Times New Roman" w:hAnsi="Times New Roman" w:eastAsia="宋体" w:cs="仿宋"/>
          <w:color w:val="000000"/>
          <w:sz w:val="24"/>
          <w:szCs w:val="24"/>
          <w:highlight w:val="none"/>
          <w:lang w:val="en-US" w:eastAsia="zh-CN"/>
        </w:rPr>
        <w:t xml:space="preserve">3362.34</w:t>
      </w:r>
      <w:r>
        <w:rPr>
          <w:rFonts w:hint="eastAsia" w:ascii="宋体" w:hAnsi="宋体" w:eastAsia="宋体" w:cs="Times New Roman"/>
          <w:color w:val="000000"/>
          <w:sz w:val="24"/>
          <w:szCs w:val="24"/>
          <w:highlight w:val="none"/>
        </w:rPr>
        <w:t xml:space="preserve">万元。</w:t>
      </w:r>
      <w:bookmarkEnd w:id="180"/>
      <w:r>
        <w:rPr>
          <w:rFonts w:ascii="宋体" w:hAnsi="宋体" w:eastAsia="宋体" w:cs="Times New Roman"/>
          <w:bCs/>
          <w:color w:val="000000"/>
          <w:sz w:val="24"/>
          <w:szCs w:val="24"/>
          <w:highlight w:val="none"/>
        </w:rPr>
      </w:r>
      <w:r/>
    </w:p>
    <w:p>
      <w:pPr>
        <w:pStyle w:val="748"/>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采购需求：</w:t>
      </w:r>
      <w:r>
        <w:rPr>
          <w:rFonts w:hint="eastAsia" w:ascii="宋体" w:hAnsi="宋体"/>
          <w:color w:val="000000"/>
          <w:sz w:val="24"/>
          <w:szCs w:val="24"/>
          <w:highlight w:val="none"/>
        </w:rPr>
        <w:t xml:space="preserve">宿迁学院</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新校区学生公寓北、东组团室内配套家具</w:t>
      </w:r>
      <w:r>
        <w:rPr>
          <w:rFonts w:hint="eastAsia" w:ascii="宋体" w:hAnsi="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包括家具制作、运输、装卸、安装、调试及售后三包服务等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48"/>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项目实施地点：采购人指定地点。</w:t>
      </w:r>
      <w:r>
        <w:rPr>
          <w:rFonts w:hint="eastAsia" w:ascii="宋体" w:hAnsi="宋体" w:eastAsia="宋体" w:cs="宋体"/>
          <w:bCs/>
          <w:color w:val="000000"/>
          <w:sz w:val="24"/>
          <w:szCs w:val="24"/>
          <w:highlight w:val="none"/>
        </w:rPr>
      </w:r>
      <w:r/>
    </w:p>
    <w:p>
      <w:pPr>
        <w:pStyle w:val="748"/>
        <w:ind w:firstLine="480"/>
        <w:spacing w:line="360" w:lineRule="auto"/>
        <w:rPr>
          <w:rFonts w:hint="eastAsia" w:ascii="宋体" w:hAnsi="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项目实施时间期限：</w:t>
      </w:r>
      <w:r>
        <w:rPr>
          <w:rFonts w:hint="eastAsia" w:ascii="宋体" w:hAnsi="宋体"/>
          <w:color w:val="000000"/>
          <w:sz w:val="24"/>
          <w:szCs w:val="24"/>
          <w:highlight w:val="none"/>
          <w:lang w:val="en-US" w:eastAsia="zh-CN"/>
        </w:rPr>
        <w:t xml:space="preserve">合同签订后50日历天内送到甲方指定地点存放，接到甲方通知30日内完成安装、调试、检测并经验收合格后交付甲方使用（含二次搬运费）。</w:t>
      </w:r>
      <w:r>
        <w:rPr>
          <w:rFonts w:hint="eastAsia" w:ascii="宋体" w:hAnsi="宋体"/>
          <w:color w:val="000000"/>
          <w:sz w:val="24"/>
          <w:szCs w:val="24"/>
          <w:highlight w:val="none"/>
        </w:rPr>
      </w:r>
      <w:r/>
    </w:p>
    <w:p>
      <w:pPr>
        <w:pStyle w:val="748"/>
        <w:ind w:firstLine="480"/>
        <w:spacing w:line="360" w:lineRule="auto"/>
        <w:rPr>
          <w:rFonts w:hint="eastAsia" w:ascii="黑体" w:hAnsi="Courier New" w:eastAsia="黑体" w:cs="Courier New"/>
          <w:bCs/>
          <w:color w:val="000000"/>
          <w:sz w:val="44"/>
          <w:szCs w:val="21"/>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本项目采购标的所属行业为：工业</w:t>
      </w:r>
      <w:r>
        <w:rPr>
          <w:rFonts w:hint="eastAsia" w:ascii="黑体" w:hAnsi="Courier New" w:eastAsia="黑体" w:cs="Courier New"/>
          <w:bCs/>
          <w:color w:val="000000"/>
          <w:sz w:val="44"/>
          <w:szCs w:val="21"/>
          <w:highlight w:val="none"/>
        </w:rPr>
      </w:r>
      <w:r/>
    </w:p>
    <w:p>
      <w:pPr>
        <w:pStyle w:val="748"/>
        <w:spacing w:line="0" w:lineRule="atLeast"/>
        <w:rPr>
          <w:rFonts w:ascii="宋体" w:hAnsi="宋体"/>
          <w:color w:val="000000"/>
          <w:sz w:val="24"/>
          <w:szCs w:val="24"/>
          <w:highlight w:val="none"/>
        </w:rPr>
      </w:pPr>
      <w:r/>
      <w:bookmarkStart w:id="181" w:name="_Toc49090575"/>
      <w:r/>
      <w:bookmarkStart w:id="182" w:name="_Toc26554093"/>
      <w:r>
        <w:rPr>
          <w:rFonts w:ascii="宋体" w:hAnsi="宋体"/>
          <w:color w:val="000000"/>
          <w:sz w:val="24"/>
          <w:szCs w:val="24"/>
          <w:highlight w:val="none"/>
        </w:rPr>
      </w:r>
      <w:r/>
    </w:p>
    <w:p>
      <w:pPr>
        <w:pStyle w:val="748"/>
        <w:numPr>
          <w:ilvl w:val="0"/>
          <w:numId w:val="0"/>
        </w:numPr>
        <w:spacing w:line="0" w:lineRule="atLeas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二、</w:t>
      </w:r>
      <w:r>
        <w:rPr>
          <w:rFonts w:hint="eastAsia" w:ascii="宋体" w:hAnsi="宋体"/>
          <w:b/>
          <w:color w:val="000000"/>
          <w:sz w:val="24"/>
          <w:szCs w:val="24"/>
          <w:highlight w:val="none"/>
        </w:rPr>
        <w:t xml:space="preserve">采购标的清单及图纸要求</w:t>
      </w:r>
      <w:r>
        <w:rPr>
          <w:rFonts w:ascii="宋体" w:hAnsi="宋体"/>
          <w:b/>
          <w:color w:val="000000"/>
          <w:sz w:val="24"/>
          <w:szCs w:val="24"/>
          <w:highlight w:val="none"/>
        </w:rPr>
      </w:r>
      <w:r/>
    </w:p>
    <w:p>
      <w:pPr>
        <w:pStyle w:val="748"/>
        <w:numPr>
          <w:ilvl w:val="0"/>
          <w:numId w:val="0"/>
        </w:numPr>
        <w:spacing w:line="0" w:lineRule="atLeast"/>
        <w:rPr>
          <w:rFonts w:ascii="宋体" w:hAnsi="宋体"/>
          <w:b/>
          <w:color w:val="000000"/>
          <w:sz w:val="24"/>
          <w:szCs w:val="24"/>
          <w:highlight w:val="none"/>
        </w:rPr>
      </w:pPr>
      <w:r>
        <w:rPr>
          <w:rFonts w:ascii="宋体" w:hAnsi="宋体"/>
          <w:b/>
          <w:color w:val="000000"/>
          <w:sz w:val="24"/>
          <w:szCs w:val="24"/>
          <w:highlight w:val="none"/>
        </w:rPr>
      </w:r>
      <w:r/>
    </w:p>
    <w:tbl>
      <w:tblPr>
        <w:tblW w:w="10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794"/>
        <w:gridCol w:w="2831"/>
        <w:gridCol w:w="889"/>
        <w:gridCol w:w="1359"/>
        <w:gridCol w:w="1039"/>
        <w:gridCol w:w="1679"/>
      </w:tblGrid>
      <w:tr>
        <w:trPr>
          <w:trHeight w:val="504"/>
        </w:trPr>
        <w:tc>
          <w:tcPr>
            <w:tcW w:w="706"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序号</w:t>
            </w:r>
            <w:r>
              <w:rPr>
                <w:rFonts w:hint="eastAsia" w:ascii="仿宋" w:hAnsi="仿宋" w:eastAsia="仿宋" w:cs="仿宋"/>
                <w:b/>
                <w:bCs/>
                <w:color w:val="000000"/>
                <w:sz w:val="24"/>
                <w:szCs w:val="22"/>
                <w:highlight w:val="none"/>
                <w:lang w:val="en-US" w:eastAsia="zh-CN" w:bidi="ar-SA"/>
              </w:rPr>
            </w:r>
            <w:r/>
          </w:p>
        </w:tc>
        <w:tc>
          <w:tcPr>
            <w:tcW w:w="1794"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名称</w:t>
            </w:r>
            <w:r>
              <w:rPr>
                <w:rFonts w:hint="eastAsia" w:ascii="仿宋" w:hAnsi="仿宋" w:eastAsia="仿宋" w:cs="仿宋"/>
                <w:b/>
                <w:bCs/>
                <w:color w:val="000000"/>
                <w:sz w:val="24"/>
                <w:szCs w:val="22"/>
                <w:highlight w:val="none"/>
                <w:lang w:val="en-US" w:eastAsia="zh-CN" w:bidi="ar-SA"/>
              </w:rPr>
            </w:r>
            <w:r/>
          </w:p>
        </w:tc>
        <w:tc>
          <w:tcPr>
            <w:tcW w:w="2831"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规格</w:t>
            </w:r>
            <w:r>
              <w:rPr>
                <w:rFonts w:hint="eastAsia" w:ascii="仿宋" w:hAnsi="仿宋" w:eastAsia="仿宋" w:cs="仿宋"/>
                <w:b/>
                <w:bCs/>
                <w:color w:val="000000"/>
                <w:sz w:val="24"/>
                <w:szCs w:val="22"/>
                <w:highlight w:val="none"/>
                <w:lang w:val="en-US" w:eastAsia="zh-CN" w:bidi="ar-SA"/>
              </w:rPr>
            </w:r>
            <w:r/>
          </w:p>
        </w:tc>
        <w:tc>
          <w:tcPr>
            <w:tcW w:w="889"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单位</w:t>
            </w:r>
            <w:r>
              <w:rPr>
                <w:rFonts w:hint="eastAsia" w:ascii="仿宋" w:hAnsi="仿宋" w:eastAsia="仿宋" w:cs="仿宋"/>
                <w:b/>
                <w:bCs/>
                <w:color w:val="000000"/>
                <w:sz w:val="24"/>
                <w:szCs w:val="22"/>
                <w:highlight w:val="none"/>
                <w:lang w:val="en-US" w:eastAsia="zh-CN" w:bidi="ar-SA"/>
              </w:rPr>
            </w:r>
            <w:r/>
          </w:p>
        </w:tc>
        <w:tc>
          <w:tcPr>
            <w:tcW w:w="1359"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数量</w:t>
            </w:r>
            <w:r>
              <w:rPr>
                <w:rFonts w:hint="eastAsia" w:ascii="仿宋" w:hAnsi="仿宋" w:eastAsia="仿宋" w:cs="仿宋"/>
                <w:b/>
                <w:bCs/>
                <w:color w:val="000000"/>
                <w:sz w:val="24"/>
                <w:szCs w:val="22"/>
                <w:highlight w:val="none"/>
                <w:lang w:val="en-US" w:eastAsia="zh-CN" w:bidi="ar-SA"/>
              </w:rPr>
            </w:r>
            <w:r/>
          </w:p>
        </w:tc>
        <w:tc>
          <w:tcPr>
            <w:tcW w:w="1039"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是否核心产品</w:t>
            </w:r>
            <w:r>
              <w:rPr>
                <w:rFonts w:hint="eastAsia" w:ascii="仿宋" w:hAnsi="仿宋" w:eastAsia="仿宋" w:cs="仿宋"/>
                <w:b/>
                <w:bCs/>
                <w:color w:val="000000"/>
                <w:sz w:val="24"/>
                <w:szCs w:val="22"/>
                <w:highlight w:val="none"/>
                <w:lang w:val="en-US" w:eastAsia="zh-CN" w:bidi="ar-SA"/>
              </w:rPr>
            </w:r>
            <w:r/>
          </w:p>
        </w:tc>
        <w:tc>
          <w:tcPr>
            <w:tcW w:w="1679" w:type="dxa"/>
            <w:vAlign w:val="center"/>
            <w:textDirection w:val="lrTb"/>
            <w:noWrap w:val="false"/>
          </w:tcPr>
          <w:p>
            <w:pPr>
              <w:pStyle w:val="748"/>
              <w:jc w:val="center"/>
              <w:spacing w:after="0" w:line="44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对应中小企业划分标准所属行业</w:t>
            </w:r>
            <w:r>
              <w:rPr>
                <w:rFonts w:hint="eastAsia" w:ascii="仿宋" w:hAnsi="仿宋" w:eastAsia="仿宋" w:cs="仿宋"/>
                <w:b/>
                <w:bCs/>
                <w:color w:val="000000"/>
                <w:sz w:val="24"/>
                <w:szCs w:val="22"/>
                <w:highlight w:val="none"/>
                <w:lang w:val="en-US" w:eastAsia="zh-CN" w:bidi="ar-SA"/>
              </w:rPr>
            </w:r>
            <w:r/>
          </w:p>
        </w:tc>
      </w:tr>
      <w:tr>
        <w:trPr>
          <w:trHeight w:val="504"/>
        </w:trPr>
        <w:tc>
          <w:tcPr>
            <w:tcW w:w="706"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794"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上床下柜组合公寓床</w:t>
            </w:r>
            <w:r>
              <w:rPr>
                <w:rFonts w:hint="eastAsia" w:ascii="宋体" w:hAnsi="宋体" w:eastAsia="宋体" w:cs="宋体"/>
                <w:color w:val="000000"/>
                <w:sz w:val="24"/>
                <w:szCs w:val="24"/>
                <w:highlight w:val="none"/>
                <w:lang w:val="en-US" w:eastAsia="zh-CN" w:bidi="ar-SA"/>
              </w:rPr>
            </w:r>
            <w:r/>
          </w:p>
        </w:tc>
        <w:tc>
          <w:tcPr>
            <w:tcW w:w="2831"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2010*930*3050mm</w:t>
            </w:r>
            <w:r>
              <w:rPr>
                <w:rFonts w:hint="eastAsia" w:ascii="宋体" w:hAnsi="宋体" w:eastAsia="宋体" w:cs="宋体"/>
                <w:color w:val="000000"/>
                <w:sz w:val="24"/>
                <w:szCs w:val="24"/>
                <w:highlight w:val="none"/>
                <w:lang w:val="en-US" w:eastAsia="zh-CN" w:bidi="ar-SA"/>
              </w:rPr>
            </w:r>
            <w:r/>
          </w:p>
        </w:tc>
        <w:tc>
          <w:tcPr>
            <w:tcW w:w="88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W w:w="135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7636</w:t>
            </w:r>
            <w:r>
              <w:rPr>
                <w:rFonts w:hint="eastAsia" w:ascii="宋体" w:hAnsi="宋体" w:eastAsia="宋体" w:cs="宋体"/>
                <w:color w:val="000000"/>
                <w:sz w:val="24"/>
                <w:szCs w:val="24"/>
                <w:highlight w:val="none"/>
                <w:lang w:val="en-US" w:eastAsia="zh-CN" w:bidi="ar-SA"/>
              </w:rPr>
            </w:r>
            <w:r/>
          </w:p>
        </w:tc>
        <w:tc>
          <w:tcPr>
            <w:tcW w:w="103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是</w:t>
            </w:r>
            <w:r>
              <w:rPr>
                <w:rFonts w:hint="eastAsia" w:ascii="宋体" w:hAnsi="宋体" w:eastAsia="宋体" w:cs="宋体"/>
                <w:color w:val="000000"/>
                <w:sz w:val="24"/>
                <w:szCs w:val="24"/>
                <w:highlight w:val="none"/>
                <w:lang w:val="en-US" w:eastAsia="zh-CN" w:bidi="ar-SA"/>
              </w:rPr>
            </w:r>
            <w:r/>
          </w:p>
        </w:tc>
        <w:tc>
          <w:tcPr>
            <w:tcW w:w="167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rPr>
                <w:rFonts w:hint="eastAsia" w:ascii="宋体" w:hAnsi="宋体" w:eastAsia="宋体" w:cs="宋体"/>
                <w:color w:val="000000"/>
                <w:sz w:val="24"/>
                <w:szCs w:val="24"/>
                <w:highlight w:val="none"/>
                <w:lang w:val="en-US" w:eastAsia="zh-CN" w:bidi="ar-SA"/>
              </w:rPr>
            </w:r>
            <w:r/>
          </w:p>
        </w:tc>
      </w:tr>
      <w:tr>
        <w:trPr>
          <w:trHeight w:val="492"/>
        </w:trPr>
        <w:tc>
          <w:tcPr>
            <w:tcW w:w="706"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794"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步梯</w:t>
            </w:r>
            <w:r>
              <w:rPr>
                <w:rFonts w:hint="eastAsia" w:ascii="宋体" w:hAnsi="宋体" w:eastAsia="宋体" w:cs="宋体"/>
                <w:color w:val="000000"/>
                <w:sz w:val="24"/>
                <w:szCs w:val="24"/>
                <w:highlight w:val="none"/>
                <w:lang w:val="en-US" w:eastAsia="zh-CN" w:bidi="ar-SA"/>
              </w:rPr>
            </w:r>
            <w:r/>
          </w:p>
        </w:tc>
        <w:tc>
          <w:tcPr>
            <w:tcW w:w="2831"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560*920*1418mm</w:t>
            </w:r>
            <w:r>
              <w:rPr>
                <w:rFonts w:hint="eastAsia" w:ascii="宋体" w:hAnsi="宋体" w:eastAsia="宋体" w:cs="宋体"/>
                <w:color w:val="000000"/>
                <w:sz w:val="24"/>
                <w:szCs w:val="24"/>
                <w:highlight w:val="none"/>
                <w:lang w:val="en-US" w:eastAsia="zh-CN" w:bidi="ar-SA"/>
              </w:rPr>
            </w:r>
            <w:r/>
          </w:p>
        </w:tc>
        <w:tc>
          <w:tcPr>
            <w:tcW w:w="88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个</w:t>
            </w:r>
            <w:r>
              <w:rPr>
                <w:rFonts w:hint="eastAsia" w:ascii="宋体" w:hAnsi="宋体" w:eastAsia="宋体" w:cs="宋体"/>
                <w:color w:val="000000"/>
                <w:sz w:val="24"/>
                <w:szCs w:val="24"/>
                <w:highlight w:val="none"/>
                <w:lang w:val="en-US" w:eastAsia="zh-CN" w:bidi="ar-SA"/>
              </w:rPr>
            </w:r>
            <w:r/>
          </w:p>
        </w:tc>
        <w:tc>
          <w:tcPr>
            <w:tcW w:w="135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3818</w:t>
            </w:r>
            <w:r>
              <w:rPr>
                <w:rFonts w:hint="eastAsia" w:ascii="宋体" w:hAnsi="宋体" w:eastAsia="宋体" w:cs="宋体"/>
                <w:color w:val="000000"/>
                <w:sz w:val="24"/>
                <w:szCs w:val="24"/>
                <w:highlight w:val="none"/>
                <w:lang w:val="en-US" w:eastAsia="zh-CN" w:bidi="ar-SA"/>
              </w:rPr>
            </w:r>
            <w:r/>
          </w:p>
        </w:tc>
        <w:tc>
          <w:tcPr>
            <w:tcW w:w="103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c>
          <w:tcPr>
            <w:tcW w:w="167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rPr>
                <w:rFonts w:hint="eastAsia" w:ascii="宋体" w:hAnsi="宋体" w:eastAsia="宋体" w:cs="宋体"/>
                <w:color w:val="000000"/>
                <w:sz w:val="24"/>
                <w:szCs w:val="24"/>
                <w:highlight w:val="none"/>
                <w:lang w:val="en-US" w:eastAsia="zh-CN" w:bidi="ar-SA"/>
              </w:rPr>
            </w:r>
            <w:r/>
          </w:p>
        </w:tc>
      </w:tr>
      <w:tr>
        <w:trPr>
          <w:trHeight w:val="598"/>
        </w:trPr>
        <w:tc>
          <w:tcPr>
            <w:tcW w:w="706"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794"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上床下柜组合爬梯床</w:t>
            </w:r>
            <w:r>
              <w:rPr>
                <w:rFonts w:hint="eastAsia" w:ascii="宋体" w:hAnsi="宋体" w:eastAsia="宋体" w:cs="宋体"/>
                <w:color w:val="000000"/>
                <w:sz w:val="24"/>
                <w:szCs w:val="24"/>
                <w:highlight w:val="none"/>
                <w:lang w:val="en-US" w:eastAsia="zh-CN" w:bidi="ar-SA"/>
              </w:rPr>
            </w:r>
            <w:r/>
          </w:p>
        </w:tc>
        <w:tc>
          <w:tcPr>
            <w:tcW w:w="2831"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2010*930*3050mm</w:t>
            </w:r>
            <w:r>
              <w:rPr>
                <w:rFonts w:hint="eastAsia" w:ascii="宋体" w:hAnsi="宋体" w:eastAsia="宋体" w:cs="宋体"/>
                <w:color w:val="000000"/>
                <w:sz w:val="24"/>
                <w:szCs w:val="24"/>
                <w:highlight w:val="none"/>
                <w:lang w:val="en-US" w:eastAsia="zh-CN" w:bidi="ar-SA"/>
              </w:rPr>
            </w:r>
            <w:r/>
          </w:p>
        </w:tc>
        <w:tc>
          <w:tcPr>
            <w:tcW w:w="88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W w:w="135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1044</w:t>
            </w:r>
            <w:r>
              <w:rPr>
                <w:rFonts w:hint="eastAsia" w:ascii="宋体" w:hAnsi="宋体" w:eastAsia="宋体" w:cs="宋体"/>
                <w:color w:val="000000"/>
                <w:sz w:val="24"/>
                <w:szCs w:val="24"/>
                <w:highlight w:val="none"/>
                <w:lang w:val="en-US" w:eastAsia="zh-CN" w:bidi="ar-SA"/>
              </w:rPr>
            </w:r>
            <w:r/>
          </w:p>
        </w:tc>
        <w:tc>
          <w:tcPr>
            <w:tcW w:w="103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c>
          <w:tcPr>
            <w:tcW w:w="167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rPr>
                <w:rFonts w:hint="eastAsia" w:ascii="宋体" w:hAnsi="宋体" w:eastAsia="宋体" w:cs="宋体"/>
                <w:color w:val="000000"/>
                <w:sz w:val="24"/>
                <w:szCs w:val="24"/>
                <w:highlight w:val="none"/>
                <w:lang w:val="en-US" w:eastAsia="zh-CN" w:bidi="ar-SA"/>
              </w:rPr>
            </w:r>
            <w:r/>
          </w:p>
        </w:tc>
      </w:tr>
      <w:tr>
        <w:trPr>
          <w:trHeight w:val="510"/>
        </w:trPr>
        <w:tc>
          <w:tcPr>
            <w:tcW w:w="706"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794"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储物柜</w:t>
            </w:r>
            <w:r>
              <w:rPr>
                <w:rFonts w:hint="eastAsia" w:ascii="宋体" w:hAnsi="宋体" w:eastAsia="宋体" w:cs="宋体"/>
                <w:color w:val="000000"/>
                <w:sz w:val="24"/>
                <w:szCs w:val="24"/>
                <w:highlight w:val="none"/>
                <w:lang w:val="en-US" w:eastAsia="zh-CN" w:bidi="ar-SA"/>
              </w:rPr>
            </w:r>
            <w:r/>
          </w:p>
        </w:tc>
        <w:tc>
          <w:tcPr>
            <w:tcW w:w="2831"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930*530*2330mm</w:t>
            </w:r>
            <w:r>
              <w:rPr>
                <w:rFonts w:hint="eastAsia" w:ascii="宋体" w:hAnsi="宋体" w:eastAsia="宋体" w:cs="宋体"/>
                <w:color w:val="000000"/>
                <w:sz w:val="24"/>
                <w:szCs w:val="24"/>
                <w:highlight w:val="none"/>
                <w:lang w:val="en-US" w:eastAsia="zh-CN" w:bidi="ar-SA"/>
              </w:rPr>
            </w:r>
            <w:r/>
          </w:p>
        </w:tc>
        <w:tc>
          <w:tcPr>
            <w:tcW w:w="88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W w:w="135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261</w:t>
            </w:r>
            <w:r>
              <w:rPr>
                <w:rFonts w:hint="eastAsia" w:ascii="宋体" w:hAnsi="宋体" w:eastAsia="宋体" w:cs="宋体"/>
                <w:color w:val="000000"/>
                <w:sz w:val="24"/>
                <w:szCs w:val="24"/>
                <w:highlight w:val="none"/>
                <w:lang w:val="en-US" w:eastAsia="zh-CN" w:bidi="ar-SA"/>
              </w:rPr>
            </w:r>
            <w:r/>
          </w:p>
        </w:tc>
        <w:tc>
          <w:tcPr>
            <w:tcW w:w="103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c>
          <w:tcPr>
            <w:tcW w:w="167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rPr>
                <w:rFonts w:hint="eastAsia" w:ascii="宋体" w:hAnsi="宋体" w:eastAsia="宋体" w:cs="宋体"/>
                <w:color w:val="000000"/>
                <w:sz w:val="24"/>
                <w:szCs w:val="24"/>
                <w:highlight w:val="none"/>
                <w:lang w:val="en-US" w:eastAsia="zh-CN" w:bidi="ar-SA"/>
              </w:rPr>
            </w:r>
            <w:r/>
          </w:p>
        </w:tc>
      </w:tr>
      <w:tr>
        <w:trPr>
          <w:trHeight w:val="571"/>
        </w:trPr>
        <w:tc>
          <w:tcPr>
            <w:tcW w:w="706"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794"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学生椅</w:t>
            </w:r>
            <w:r>
              <w:rPr>
                <w:rFonts w:hint="eastAsia" w:ascii="宋体" w:hAnsi="宋体" w:eastAsia="宋体" w:cs="宋体"/>
                <w:color w:val="000000"/>
                <w:sz w:val="24"/>
                <w:szCs w:val="24"/>
                <w:highlight w:val="none"/>
                <w:lang w:val="en-US" w:eastAsia="zh-CN" w:bidi="ar-SA"/>
              </w:rPr>
            </w:r>
            <w:r/>
          </w:p>
        </w:tc>
        <w:tc>
          <w:tcPr>
            <w:tcW w:w="2831"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450*500*850mm</w:t>
            </w:r>
            <w:r>
              <w:rPr>
                <w:rFonts w:hint="eastAsia" w:ascii="宋体" w:hAnsi="宋体" w:eastAsia="宋体" w:cs="宋体"/>
                <w:color w:val="000000"/>
                <w:sz w:val="24"/>
                <w:szCs w:val="24"/>
                <w:highlight w:val="none"/>
                <w:lang w:val="en-US" w:eastAsia="zh-CN" w:bidi="ar-SA"/>
              </w:rPr>
            </w:r>
            <w:r/>
          </w:p>
        </w:tc>
        <w:tc>
          <w:tcPr>
            <w:tcW w:w="88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把</w:t>
            </w:r>
            <w:r>
              <w:rPr>
                <w:rFonts w:hint="eastAsia" w:ascii="宋体" w:hAnsi="宋体" w:eastAsia="宋体" w:cs="宋体"/>
                <w:color w:val="000000"/>
                <w:sz w:val="24"/>
                <w:szCs w:val="24"/>
                <w:highlight w:val="none"/>
                <w:lang w:val="en-US" w:eastAsia="zh-CN" w:bidi="ar-SA"/>
              </w:rPr>
            </w:r>
            <w:r/>
          </w:p>
        </w:tc>
        <w:tc>
          <w:tcPr>
            <w:tcW w:w="1359" w:type="dxa"/>
            <w:vAlign w:val="center"/>
            <w:textDirection w:val="lrTb"/>
            <w:noWrap w:val="false"/>
          </w:tcPr>
          <w:p>
            <w:pPr>
              <w:pStyle w:val="748"/>
              <w:jc w:val="center"/>
              <w:spacing w:line="24" w:lineRule="atLeast"/>
              <w:widowControl w:val="off"/>
              <w:rPr>
                <w:rFonts w:hint="eastAsia" w:ascii="宋体" w:hAnsi="宋体" w:eastAsia="宋体" w:cs="宋体"/>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9680</w:t>
            </w:r>
            <w:r>
              <w:rPr>
                <w:rFonts w:hint="eastAsia" w:ascii="宋体" w:hAnsi="宋体" w:eastAsia="宋体" w:cs="宋体"/>
                <w:color w:val="000000"/>
                <w:sz w:val="24"/>
                <w:szCs w:val="24"/>
                <w:highlight w:val="none"/>
                <w:lang w:val="en-US" w:eastAsia="zh-CN" w:bidi="ar-SA"/>
              </w:rPr>
            </w:r>
            <w:r/>
          </w:p>
        </w:tc>
        <w:tc>
          <w:tcPr>
            <w:tcW w:w="103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c>
          <w:tcPr>
            <w:tcW w:w="1679" w:type="dxa"/>
            <w:vAlign w:val="center"/>
            <w:textDirection w:val="lrTb"/>
            <w:noWrap w:val="false"/>
          </w:tcPr>
          <w:p>
            <w:pPr>
              <w:pStyle w:val="748"/>
              <w:jc w:val="center"/>
              <w:spacing w:after="0" w:line="24"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rPr>
                <w:rFonts w:hint="eastAsia" w:ascii="宋体" w:hAnsi="宋体" w:eastAsia="宋体" w:cs="宋体"/>
                <w:color w:val="000000"/>
                <w:sz w:val="24"/>
                <w:szCs w:val="24"/>
                <w:highlight w:val="none"/>
                <w:lang w:val="en-US" w:eastAsia="zh-CN" w:bidi="ar-SA"/>
              </w:rPr>
            </w:r>
            <w:r/>
          </w:p>
        </w:tc>
      </w:tr>
    </w:tbl>
    <w:p>
      <w:pPr>
        <w:pStyle w:val="748"/>
        <w:numPr>
          <w:ilvl w:val="0"/>
          <w:numId w:val="0"/>
        </w:numPr>
        <w:spacing w:line="0" w:lineRule="atLeast"/>
        <w:rPr>
          <w:rFonts w:hAnsi="宋体"/>
          <w:color w:val="000000"/>
          <w:sz w:val="24"/>
          <w:szCs w:val="24"/>
          <w:highlight w:val="none"/>
        </w:rPr>
      </w:pPr>
      <w:r>
        <w:rPr>
          <w:rFonts w:hint="eastAsia" w:ascii="宋体" w:hAnsi="宋体"/>
          <w:b/>
          <w:color w:val="000000"/>
          <w:sz w:val="24"/>
          <w:szCs w:val="24"/>
          <w:highlight w:val="none"/>
          <w:lang w:val="en-US" w:eastAsia="zh-CN"/>
        </w:rPr>
        <w:t xml:space="preserve">注：</w:t>
      </w:r>
      <w:r>
        <w:rPr>
          <w:rFonts w:hAnsi="宋体"/>
          <w:color w:val="000000"/>
          <w:sz w:val="24"/>
          <w:szCs w:val="24"/>
          <w:highlight w:val="none"/>
        </w:rPr>
        <w:t xml:space="preserve">当采购数量与实际使用数量不一致时，</w:t>
      </w:r>
      <w:r>
        <w:rPr>
          <w:rFonts w:hint="eastAsia" w:hAnsi="宋体"/>
          <w:color w:val="000000"/>
          <w:sz w:val="24"/>
          <w:szCs w:val="24"/>
          <w:highlight w:val="none"/>
          <w:lang w:val="en-US" w:eastAsia="zh-CN"/>
        </w:rPr>
        <w:t xml:space="preserve">中标人</w:t>
      </w:r>
      <w:r>
        <w:rPr>
          <w:rFonts w:hAnsi="宋体"/>
          <w:color w:val="000000"/>
          <w:sz w:val="24"/>
          <w:szCs w:val="24"/>
          <w:highlight w:val="none"/>
        </w:rPr>
        <w:t xml:space="preserve">应根据实际使用量供货，合同的最终结算金额按实际使用量乘以</w:t>
      </w:r>
      <w:r>
        <w:rPr>
          <w:rFonts w:hint="eastAsia" w:hAnsi="宋体"/>
          <w:color w:val="000000"/>
          <w:sz w:val="24"/>
          <w:szCs w:val="24"/>
          <w:highlight w:val="none"/>
          <w:lang w:val="en-US" w:eastAsia="zh-CN"/>
        </w:rPr>
        <w:t xml:space="preserve">中标</w:t>
      </w:r>
      <w:r>
        <w:rPr>
          <w:rFonts w:hAnsi="宋体"/>
          <w:color w:val="000000"/>
          <w:sz w:val="24"/>
          <w:szCs w:val="24"/>
          <w:highlight w:val="none"/>
        </w:rPr>
        <w:t xml:space="preserve">单价进行计算。</w:t>
      </w:r>
      <w:r>
        <w:rPr>
          <w:rFonts w:hAnsi="宋体"/>
          <w:color w:val="000000"/>
          <w:sz w:val="24"/>
          <w:szCs w:val="24"/>
          <w:highlight w:val="none"/>
        </w:rPr>
      </w:r>
      <w:r/>
    </w:p>
    <w:p>
      <w:pPr>
        <w:pStyle w:val="748"/>
        <w:numPr>
          <w:ilvl w:val="0"/>
          <w:numId w:val="0"/>
        </w:numPr>
        <w:spacing w:line="0" w:lineRule="atLeast"/>
        <w:rPr>
          <w:rFonts w:hAnsi="宋体"/>
          <w:color w:val="000000"/>
          <w:sz w:val="24"/>
          <w:szCs w:val="24"/>
          <w:highlight w:val="none"/>
        </w:rPr>
      </w:pPr>
      <w:r>
        <w:rPr>
          <w:rFonts w:hAnsi="宋体"/>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房型1图纸（</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r>
      <w:r/>
    </w:p>
    <w:p>
      <w:pPr>
        <w:pStyle w:val="748"/>
        <w:numPr>
          <w:ilvl w:val="0"/>
          <w:numId w:val="0"/>
        </w:numPr>
        <w:spacing w:line="0" w:lineRule="atLeast"/>
        <w:rPr>
          <w:rFonts w:hAnsi="宋体"/>
          <w:color w:val="000000"/>
          <w:sz w:val="24"/>
          <w:szCs w:val="24"/>
          <w:highlight w:val="none"/>
        </w:rPr>
      </w:pPr>
      <w:r>
        <w:rPr>
          <w:rFonts w:hAnsi="宋体"/>
          <w:color w:val="000000"/>
          <w:sz w:val="24"/>
          <w:szCs w:val="24"/>
          <w:highlight w:val="none"/>
        </w:rPr>
      </w:r>
      <w:r/>
    </w:p>
    <w:p>
      <w:pPr>
        <w:pStyle w:val="748"/>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539105" cy="33534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6.1pt;height:264.1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536565" cy="3911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36565" cy="391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5.9pt;height:30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214745" cy="43910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214745"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9.3pt;height:345.8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242685" cy="37814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4236" r="0" b="0"/>
                        <a:stretch/>
                      </pic:blipFill>
                      <pic:spPr bwMode="auto">
                        <a:xfrm>
                          <a:off x="0" y="0"/>
                          <a:ext cx="6242685" cy="378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1.5pt;height:297.8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283325" cy="32308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4999" r="0" b="12069"/>
                        <a:stretch/>
                      </pic:blipFill>
                      <pic:spPr bwMode="auto">
                        <a:xfrm>
                          <a:off x="0" y="0"/>
                          <a:ext cx="6283325" cy="323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4.8pt;height:254.4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166485" cy="435673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166485" cy="435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5pt;height:343.1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049010" cy="42735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049010" cy="427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6.3pt;height:336.5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236335" cy="44062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1.0pt;height:346.9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028690" cy="425894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028690" cy="425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4.7pt;height:335.3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896610" cy="29813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4.3pt;height:234.8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仿宋" w:hAnsi="仿宋" w:eastAsia="仿宋" w:cs="仿宋"/>
          <w:color w:val="000000"/>
          <w:sz w:val="24"/>
          <w:szCs w:val="24"/>
          <w:highlight w:val="none"/>
        </w:rPr>
      </w:pPr>
      <w:r>
        <w:rPr>
          <w:rFonts w:hint="eastAsia" w:ascii="宋体" w:hAnsi="宋体"/>
          <w:b/>
          <w:color w:val="000000"/>
          <w:sz w:val="24"/>
          <w:szCs w:val="24"/>
          <w:highlight w:val="none"/>
          <w:lang w:val="en-US" w:eastAsia="zh-CN"/>
        </w:rPr>
        <w:t xml:space="preserve">房型2图纸</w: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988685" cy="346138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988685" cy="3461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1.5pt;height:272.6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716905" cy="403923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16905" cy="403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0.1pt;height:318.1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180455" cy="26917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19337" r="0" b="18980"/>
                        <a:stretch/>
                      </pic:blipFill>
                      <pic:spPr bwMode="auto">
                        <a:xfrm>
                          <a:off x="0" y="0"/>
                          <a:ext cx="6180455" cy="2691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6.6pt;height:211.9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090285" cy="430276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090285" cy="4302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9.5pt;height:338.8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215380" cy="43910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9.4pt;height:345.8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263640" cy="442912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263640" cy="442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93.2pt;height:348.8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764530" cy="407289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0" t="44" r="0" b="43"/>
                        <a:stretch/>
                      </pic:blipFill>
                      <pic:spPr bwMode="auto">
                        <a:xfrm>
                          <a:off x="0" y="0"/>
                          <a:ext cx="5764530" cy="407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9pt;height:320.7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000115" cy="424307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000115" cy="424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2.4pt;height:334.1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118860" cy="432308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118860"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81.8pt;height:340.4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166485" cy="436054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166485" cy="4360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5.5pt;height:343.3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6097905" cy="43084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097905" cy="4308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80.1pt;height:339.2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color w:val="000000"/>
          <w:sz w:val="24"/>
          <w:szCs w:val="24"/>
          <w:highlight w:val="none"/>
        </w:rPr>
      </w:r>
      <w:r/>
    </w:p>
    <w:p>
      <w:pPr>
        <w:pStyle w:val="748"/>
        <w:jc w:val="left"/>
        <w:tabs>
          <w:tab w:val="left" w:pos="1086" w:leader="none"/>
        </w:tabs>
        <w:rPr>
          <w:rFonts w:hint="eastAsia" w:ascii="宋体" w:hAnsi="宋体"/>
          <w:b/>
          <w:color w:val="000000"/>
          <w:sz w:val="24"/>
          <w:szCs w:val="24"/>
          <w:highlight w:val="none"/>
        </w:rPr>
      </w:pPr>
      <w:r>
        <w:rPr>
          <w:rFonts w:hint="eastAsia" w:ascii="仿宋" w:hAnsi="仿宋" w:eastAsia="仿宋" w:cs="仿宋"/>
          <w:color w:val="000000"/>
          <w:sz w:val="24"/>
          <w:szCs w:val="24"/>
          <w:highlight w:val="none"/>
        </w:rPr>
        <mc:AlternateContent>
          <mc:Choice Requires="wpg">
            <w:drawing>
              <wp:inline xmlns:wp="http://schemas.openxmlformats.org/drawingml/2006/wordprocessingDrawing" distT="0" distB="0" distL="0" distR="0">
                <wp:extent cx="5819140" cy="411607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8.2pt;height:324.1pt;mso-wrap-distance-left:0.0pt;mso-wrap-distance-top:0.0pt;mso-wrap-distance-right:0.0pt;mso-wrap-distance-bottom:0.0pt;" stroked="f">
                <v:path textboxrect="0,0,0,0"/>
                <v:imagedata r:id="rId34" o:title=""/>
              </v:shape>
            </w:pict>
          </mc:Fallback>
        </mc:AlternateContent>
      </w: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备注：</w:t>
      </w:r>
      <w:r>
        <w:rPr>
          <w:rFonts w:ascii="宋体" w:hAnsi="宋体"/>
          <w:b/>
          <w:color w:val="000000"/>
          <w:sz w:val="24"/>
          <w:szCs w:val="24"/>
          <w:highlight w:val="none"/>
        </w:rPr>
      </w:r>
      <w:r/>
    </w:p>
    <w:p>
      <w:pPr>
        <w:pStyle w:val="748"/>
        <w:ind w:firstLine="480"/>
        <w:jc w:val="both"/>
        <w:widowControl w:val="off"/>
        <w:rPr>
          <w:rFonts w:ascii="Times New Roman" w:hAnsi="Times New Roman" w:eastAsia="宋体" w:cs="Times New Roman"/>
          <w:color w:val="000000"/>
          <w:sz w:val="20"/>
          <w:szCs w:val="21"/>
          <w:highlight w:val="none"/>
        </w:rPr>
      </w:pPr>
      <w:r>
        <w:rPr>
          <w:rFonts w:hint="eastAsia" w:ascii="宋体" w:hAnsi="宋体" w:eastAsia="宋体" w:cs="宋体"/>
          <w:color w:val="000000"/>
          <w:sz w:val="24"/>
          <w:szCs w:val="22"/>
          <w:highlight w:val="none"/>
          <w:lang w:val="en-US" w:eastAsia="zh-CN" w:bidi="ar-SA"/>
        </w:rPr>
        <w:t xml:space="preserve">1.</w:t>
      </w:r>
      <w:r>
        <w:rPr>
          <w:rFonts w:ascii="宋体" w:hAnsi="宋体" w:eastAsia="宋体" w:cs="宋体"/>
          <w:color w:val="000000"/>
          <w:sz w:val="24"/>
          <w:szCs w:val="21"/>
          <w:highlight w:val="none"/>
          <w:lang w:val="en-US" w:eastAsia="zh-CN" w:bidi="ar-SA"/>
        </w:rPr>
        <w:t xml:space="preserve">家具颜色：中标单位在中标后提供色板给甲方，按甲方选定的颜色生产。</w:t>
      </w:r>
      <w:r>
        <w:rPr>
          <w:rFonts w:ascii="Times New Roman" w:hAnsi="Times New Roman" w:eastAsia="宋体" w:cs="Times New Roman"/>
          <w:color w:val="000000"/>
          <w:sz w:val="20"/>
          <w:szCs w:val="21"/>
          <w:highlight w:val="none"/>
        </w:rPr>
      </w:r>
      <w:r/>
    </w:p>
    <w:p>
      <w:pPr>
        <w:pStyle w:val="748"/>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确保家具能够正常安装</w:t>
      </w:r>
      <w:r>
        <w:rPr>
          <w:rFonts w:ascii="宋体" w:hAnsi="宋体" w:eastAsia="宋体" w:cs="宋体"/>
          <w:color w:val="000000"/>
          <w:sz w:val="24"/>
          <w:highlight w:val="none"/>
        </w:rPr>
        <w:t xml:space="preserve">。</w:t>
      </w:r>
      <w:r>
        <w:rPr>
          <w:rFonts w:ascii="Times New Roman" w:hAnsi="Times New Roman" w:eastAsia="宋体" w:cs="Times New Roman"/>
          <w:color w:val="000000"/>
          <w:highlight w:val="none"/>
        </w:rPr>
      </w:r>
      <w:r/>
    </w:p>
    <w:p>
      <w:pPr>
        <w:pStyle w:val="748"/>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lang w:val="en-US" w:eastAsia="zh-CN"/>
        </w:rPr>
        <w:t xml:space="preserve">及招标文件</w:t>
      </w:r>
      <w:r>
        <w:rPr>
          <w:rFonts w:ascii="宋体" w:hAnsi="宋体" w:eastAsia="宋体" w:cs="宋体"/>
          <w:color w:val="000000"/>
          <w:sz w:val="24"/>
          <w:highlight w:val="none"/>
        </w:rPr>
        <w:t xml:space="preserve">的要求。</w:t>
      </w:r>
      <w:r>
        <w:rPr>
          <w:rFonts w:ascii="Times New Roman" w:hAnsi="Times New Roman" w:eastAsia="宋体" w:cs="Times New Roman"/>
          <w:color w:val="000000"/>
          <w:highlight w:val="none"/>
        </w:rPr>
      </w:r>
      <w:r/>
    </w:p>
    <w:p>
      <w:pPr>
        <w:pStyle w:val="748"/>
        <w:ind w:firstLine="480"/>
        <w:jc w:val="left"/>
        <w:spacing w:line="43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.投标人应在投标文件中注明投标家具中使用的主要原材料品牌、家具尺寸。</w:t>
      </w:r>
      <w:r>
        <w:rPr>
          <w:rFonts w:hint="eastAsia" w:ascii="宋体" w:hAnsi="宋体" w:eastAsia="宋体" w:cs="宋体"/>
          <w:color w:val="000000"/>
          <w:sz w:val="24"/>
          <w:highlight w:val="none"/>
        </w:rPr>
      </w:r>
      <w:r/>
    </w:p>
    <w:p>
      <w:pPr>
        <w:pStyle w:val="748"/>
        <w:numPr>
          <w:ilvl w:val="0"/>
          <w:numId w:val="13"/>
        </w:numPr>
        <w:ind w:left="420"/>
        <w:spacing w:line="0" w:lineRule="atLeast"/>
        <w:rPr>
          <w:rFonts w:hint="eastAsia" w:ascii="宋体" w:hAnsi="宋体"/>
          <w:b/>
          <w:color w:val="000000"/>
          <w:sz w:val="24"/>
          <w:szCs w:val="24"/>
          <w:highlight w:val="none"/>
        </w:rPr>
      </w:pPr>
      <w:r/>
      <w:bookmarkStart w:id="183" w:name="_Toc120614281"/>
      <w:r>
        <w:rPr>
          <w:rFonts w:hint="eastAsia" w:ascii="宋体" w:hAnsi="宋体"/>
          <w:b/>
          <w:color w:val="000000"/>
          <w:sz w:val="24"/>
          <w:szCs w:val="24"/>
          <w:highlight w:val="none"/>
          <w:lang w:val="en-US" w:eastAsia="zh-CN"/>
        </w:rPr>
        <w:t xml:space="preserve">技术参数要求</w:t>
      </w:r>
      <w:r>
        <w:rPr>
          <w:rFonts w:hint="eastAsia" w:ascii="宋体" w:hAnsi="宋体"/>
          <w:b/>
          <w:color w:val="000000"/>
          <w:sz w:val="24"/>
          <w:szCs w:val="24"/>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（一）上床下柜组合公寓床</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1、尺寸：W2010*D930*H3050mm。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2、钢材：经环氧聚酯塑粉静电喷塑处理。</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3、</w:t>
      </w:r>
      <w:r>
        <w:rPr>
          <w:rFonts w:hint="eastAsia" w:ascii="宋体" w:hAnsi="宋体" w:eastAsia="宋体" w:cs="Times New Roman"/>
          <w:b/>
          <w:bCs/>
          <w:i/>
          <w:color w:val="000000"/>
          <w:sz w:val="24"/>
          <w:szCs w:val="21"/>
          <w:highlight w:val="none"/>
          <w:u w:val="single"/>
          <w:lang w:val="en-US" w:eastAsia="zh-CN" w:bidi="ar-SA"/>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ascii="宋体" w:hAnsi="宋体" w:cs="宋体"/>
          <w:color w:val="000000" w:themeColor="text1"/>
          <w:sz w:val="24"/>
          <w:szCs w:val="21"/>
          <w:highlight w:val="none"/>
        </w:rPr>
      </w:pPr>
      <w:r/>
      <w:bookmarkStart w:id="184" w:name="OLE_LINK6"/>
      <w:r>
        <w:rPr>
          <w:rFonts w:hint="eastAsia" w:ascii="宋体" w:hAnsi="宋体" w:eastAsia="宋体" w:cs="宋体"/>
          <w:color w:val="000000"/>
          <w:sz w:val="24"/>
          <w:szCs w:val="21"/>
          <w:highlight w:val="none"/>
          <w:lang w:val="en-US" w:eastAsia="zh-CN" w:bidi="ar-SA"/>
        </w:rPr>
        <w:t xml:space="preserve">4、</w:t>
      </w:r>
      <w:bookmarkEnd w:id="184"/>
      <w:r>
        <w:rPr>
          <w:rFonts w:hint="eastAsia" w:ascii="宋体" w:hAnsi="宋体" w:eastAsia="宋体" w:cs="宋体"/>
          <w:color w:val="000000"/>
          <w:sz w:val="24"/>
          <w:szCs w:val="21"/>
          <w:highlight w:val="none"/>
          <w:lang w:val="en-US" w:eastAsia="zh-CN" w:bidi="ar-SA"/>
        </w:rPr>
        <w:t xml:space="preserve">▲立柱喷塑涂层硬度为5H</w:t>
      </w:r>
      <w:r>
        <w:rPr>
          <w:rFonts w:hint="eastAsia" w:ascii="宋体" w:hAnsi="宋体" w:cs="宋体"/>
          <w:color w:val="000000"/>
          <w:sz w:val="24"/>
          <w:szCs w:val="21"/>
          <w:highlight w:val="none"/>
          <w:lang w:val="en-US" w:eastAsia="zh-CN" w:bidi="ar-SA"/>
        </w:rPr>
        <w:t xml:space="preserve">(GB/T 6739-2022)</w:t>
      </w:r>
      <w:r>
        <w:rPr>
          <w:rFonts w:hint="eastAsia" w:ascii="宋体" w:hAnsi="宋体" w:eastAsia="宋体" w:cs="宋体"/>
          <w:color w:val="000000" w:themeColor="text1"/>
          <w:sz w:val="24"/>
          <w:szCs w:val="21"/>
          <w:highlight w:val="none"/>
          <w:lang w:val="en-US" w:eastAsia="zh-CN" w:bidi="ar-SA"/>
        </w:rPr>
        <w:t xml:space="preserve">，</w:t>
      </w:r>
      <w:r>
        <w:rPr>
          <w:rFonts w:hint="eastAsia" w:ascii="Arial" w:hAnsi="Arial" w:eastAsia="Arial" w:cs="Arial"/>
          <w:b w:val="0"/>
          <w:bCs w:val="0"/>
          <w:color w:val="000000" w:themeColor="text1"/>
          <w:sz w:val="24"/>
          <w:szCs w:val="24"/>
          <w:lang w:val="en-US" w:eastAsia="zh-CN"/>
        </w:rPr>
        <w:t xml:space="preserve">耐盐浴:划道两侧3mm外，应无鼓泡、锈蚀、剥落和起皱等现象.</w:t>
      </w:r>
      <w:r>
        <w:rPr>
          <w:color w:val="000000" w:themeColor="text1"/>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5、</w:t>
      </w:r>
      <w:r>
        <w:rPr>
          <w:rFonts w:hint="eastAsia" w:ascii="宋体" w:hAnsi="宋体" w:eastAsia="宋体" w:cs="Times New Roman"/>
          <w:b/>
          <w:bCs/>
          <w:i/>
          <w:color w:val="000000"/>
          <w:sz w:val="24"/>
          <w:szCs w:val="21"/>
          <w:highlight w:val="none"/>
          <w:u w:val="single"/>
          <w:lang w:val="en-US" w:eastAsia="zh-CN" w:bidi="ar-SA"/>
        </w:rPr>
        <w:t xml:space="preserve">★前床厅及后床厅：</w:t>
      </w:r>
      <w:bookmarkStart w:id="185" w:name="OLE_LINK1"/>
      <w:r>
        <w:rPr>
          <w:rFonts w:hint="eastAsia" w:ascii="宋体" w:hAnsi="宋体" w:eastAsia="宋体" w:cs="Times New Roman"/>
          <w:b/>
          <w:bCs/>
          <w:i/>
          <w:color w:val="000000"/>
          <w:sz w:val="24"/>
          <w:szCs w:val="21"/>
          <w:highlight w:val="none"/>
          <w:u w:val="single"/>
          <w:lang w:val="en-US" w:eastAsia="zh-CN" w:bidi="ar-SA"/>
        </w:rPr>
        <w:t xml:space="preserve">采用优质冷轧钢板经特制成型线轧制而成，其立面尺寸规格≥80mm*30mm矩形管,材料厚度为≥1.5mm。后床厅管材规格≥80mm*30mm矩形管,材料厚度≥1.5mm。侧床厅管材规格≥80mm*30mm矩形管,材料厚度≥1.5mm，左右两侧与立柱连接，床厅与立柱采取隐藏式卡扣连接，带锁死功能，更加美观牢固。</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6、▲塑粉涂层和覆面层中</w:t>
      </w:r>
      <w:r>
        <w:rPr>
          <w:rFonts w:hint="eastAsia" w:ascii="宋体" w:hAnsi="宋体" w:cs="宋体"/>
          <w:color w:val="000000"/>
          <w:sz w:val="24"/>
          <w:szCs w:val="21"/>
          <w:highlight w:val="none"/>
          <w:lang w:val="en-US" w:eastAsia="zh-CN" w:bidi="ar-SA"/>
        </w:rPr>
        <w:t xml:space="preserve">可迁移有害元素</w:t>
      </w:r>
      <w:r>
        <w:rPr>
          <w:rFonts w:hint="eastAsia" w:ascii="宋体" w:hAnsi="宋体" w:eastAsia="宋体" w:cs="宋体"/>
          <w:color w:val="000000"/>
          <w:sz w:val="24"/>
          <w:szCs w:val="21"/>
          <w:highlight w:val="none"/>
          <w:lang w:val="en-US" w:eastAsia="zh-CN" w:bidi="ar-SA"/>
        </w:rPr>
        <w:t xml:space="preserve">，金属喷漆（塑）涂层附着力不低于1级。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7、床前护栏:采用钢、铝、塑、木材料,方管规格≥25*25*1.5mm，护栏高度为450mm嵌入一块18mm厚E0级三聚氰胺饰面实木多层板, 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w:t>
      </w:r>
      <w:bookmarkEnd w:id="185"/>
      <w:r>
        <w:rPr>
          <w:rFonts w:hint="eastAsia" w:ascii="宋体" w:hAnsi="宋体" w:eastAsia="宋体" w:cs="宋体"/>
          <w:color w:val="000000"/>
          <w:sz w:val="24"/>
          <w:szCs w:val="21"/>
          <w:highlight w:val="none"/>
          <w:lang w:val="en-US" w:eastAsia="zh-CN" w:bidi="ar-SA"/>
        </w:rPr>
        <w:t xml:space="preserve">前护栏带推拉窗，推拉窗整体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bidi="ar-SA"/>
        </w:rPr>
        <w:t xml:space="preserve">8</w:t>
      </w:r>
      <w:r>
        <w:rPr>
          <w:rFonts w:hint="eastAsia" w:ascii="宋体" w:hAnsi="宋体" w:eastAsia="宋体" w:cs="宋体"/>
          <w:color w:val="000000"/>
          <w:sz w:val="24"/>
          <w:szCs w:val="21"/>
          <w:highlight w:val="none"/>
          <w:lang w:val="en-US" w:eastAsia="zh-CN" w:bidi="ar-SA"/>
        </w:rPr>
        <w:t xml:space="preserve">、床后护栏:采钢木结构,方管≥25*25*1.5mm,护栏高度为450mm+蚊帐杆链接高度720mm嵌入一块18mm厚E0级三聚氰胺饰面实木多层板, 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等级不低于B1级,水煮20H不开裂，具有良好的抗变形性能,后护栏内嵌隐藏式水杯架。</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bidi="ar-SA"/>
        </w:rPr>
        <w:t xml:space="preserve">9</w:t>
      </w:r>
      <w:r>
        <w:rPr>
          <w:rFonts w:hint="eastAsia" w:ascii="宋体" w:hAnsi="宋体" w:eastAsia="宋体" w:cs="宋体"/>
          <w:color w:val="000000"/>
          <w:sz w:val="24"/>
          <w:szCs w:val="21"/>
          <w:highlight w:val="none"/>
          <w:lang w:val="en-US" w:eastAsia="zh-CN" w:bidi="ar-SA"/>
        </w:rPr>
        <w:t xml:space="preserve">、床头护栏:采用钢木结构,管材规格≥20*20*1.5mm方管,护栏高度为450mm,嵌入一块18mm厚E0级三聚氰胺饰面实木多层板，多层板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等级不低于B1级,水煮20H不开裂，具有良好的抗变形性能，护栏整体与立柱连接。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0</w:t>
      </w:r>
      <w:r>
        <w:rPr>
          <w:rFonts w:hint="eastAsia" w:ascii="宋体" w:hAnsi="宋体" w:eastAsia="宋体" w:cs="宋体"/>
          <w:color w:val="000000"/>
          <w:sz w:val="24"/>
          <w:szCs w:val="21"/>
          <w:highlight w:val="none"/>
          <w:lang w:val="en-US" w:eastAsia="zh-CN" w:bidi="ar-SA"/>
        </w:rPr>
        <w:t xml:space="preserve">、床尾护栏:采用钢木结构,方管≥20*20*1.5mm,圆弧设计,护栏中间设一根横杆,整体与立柱连接,嵌入一块18mm厚E0级三聚氰胺饰面实木多层板，多层板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1</w:t>
      </w:r>
      <w:r>
        <w:rPr>
          <w:rFonts w:hint="eastAsia" w:ascii="宋体" w:hAnsi="宋体" w:eastAsia="宋体" w:cs="宋体"/>
          <w:color w:val="000000"/>
          <w:sz w:val="24"/>
          <w:szCs w:val="21"/>
          <w:highlight w:val="none"/>
          <w:lang w:val="en-US" w:eastAsia="zh-CN" w:bidi="ar-SA"/>
        </w:rPr>
        <w:t xml:space="preserve">、床换:采用规格≥20*30*1.5mm矩形管，矩形管自带锁定槽与床厅稳固连接，每张床配置数量不少于5根。</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2</w:t>
      </w:r>
      <w:r>
        <w:rPr>
          <w:rFonts w:hint="eastAsia" w:ascii="宋体" w:hAnsi="宋体" w:eastAsia="宋体" w:cs="宋体"/>
          <w:color w:val="000000"/>
          <w:sz w:val="24"/>
          <w:szCs w:val="21"/>
          <w:highlight w:val="none"/>
          <w:lang w:val="en-US" w:eastAsia="zh-CN" w:bidi="ar-SA"/>
        </w:rPr>
        <w:t xml:space="preserve">、蚊帐架采用规格≥φ19*1.5mm 圆管制作尺寸≥1870*910mm，与后护栏接。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3</w:t>
      </w:r>
      <w:r>
        <w:rPr>
          <w:rFonts w:hint="eastAsia" w:ascii="宋体" w:hAnsi="宋体" w:eastAsia="宋体" w:cs="宋体"/>
          <w:color w:val="000000"/>
          <w:sz w:val="24"/>
          <w:szCs w:val="21"/>
          <w:highlight w:val="none"/>
          <w:lang w:val="en-US" w:eastAsia="zh-CN" w:bidi="ar-SA"/>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sz w:val="24"/>
          <w:szCs w:val="21"/>
          <w:highlight w:val="none"/>
          <w:lang w:val="en-US" w:eastAsia="zh-CN" w:bidi="ar-SA"/>
        </w:rPr>
        <w:t xml:space="preserve">需要</w:t>
      </w:r>
      <w:r>
        <w:rPr>
          <w:rFonts w:hint="eastAsia" w:ascii="宋体" w:hAnsi="宋体" w:eastAsia="宋体" w:cs="宋体"/>
          <w:color w:val="000000"/>
          <w:sz w:val="24"/>
          <w:szCs w:val="21"/>
          <w:highlight w:val="none"/>
          <w:lang w:val="en-US" w:eastAsia="zh-CN" w:bidi="ar-SA"/>
        </w:rPr>
        <w:t xml:space="preserve">用不锈钢螺丝固定连接。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4</w:t>
      </w:r>
      <w:r>
        <w:rPr>
          <w:rFonts w:hint="eastAsia" w:ascii="宋体" w:hAnsi="宋体" w:eastAsia="宋体" w:cs="宋体"/>
          <w:color w:val="000000"/>
          <w:sz w:val="24"/>
          <w:szCs w:val="21"/>
          <w:highlight w:val="none"/>
          <w:lang w:val="en-US" w:eastAsia="zh-CN" w:bidi="ar-SA"/>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耐火等级不低于B1级，抽屉门板采用铝合金暗扣拉手,四周边缘采用PP环保塑料注塑封边；配备高强度、耐磨损、耐腐蚀等特性导轨，五金配件表面处理具有美观性和保护性；底部防潮架采用规格≥20*20*1.5mm方管制作。</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5</w:t>
      </w:r>
      <w:r>
        <w:rPr>
          <w:rFonts w:hint="eastAsia" w:ascii="宋体" w:hAnsi="宋体" w:eastAsia="宋体" w:cs="宋体"/>
          <w:color w:val="000000"/>
          <w:sz w:val="24"/>
          <w:szCs w:val="21"/>
          <w:highlight w:val="none"/>
          <w:lang w:val="en-US" w:eastAsia="zh-CN" w:bidi="ar-SA"/>
        </w:rPr>
        <w:t xml:space="preserve">、床下衣柜:设有两个门，一个门开向朝走道，内部设一块层板，层板下方配≥φ22*1.2mm铝合金挂衣杆，另一个门开向朝书桌，内部设置两块层板，底部防潮架采用≥20*20*1.5mm方管制作。</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6</w:t>
      </w:r>
      <w:r>
        <w:rPr>
          <w:rFonts w:hint="eastAsia" w:ascii="宋体" w:hAnsi="宋体" w:eastAsia="宋体" w:cs="宋体"/>
          <w:color w:val="000000"/>
          <w:sz w:val="24"/>
          <w:szCs w:val="21"/>
          <w:highlight w:val="none"/>
          <w:lang w:val="en-US" w:eastAsia="zh-CN" w:bidi="ar-SA"/>
        </w:rPr>
        <w:t xml:space="preserve">、衣柜小门板尺寸(1505±2mm*350±2mm)门板均采用≥18mm厚E0级环保三聚氰胺饰面实木多层板，多层板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7</w:t>
      </w:r>
      <w:r>
        <w:rPr>
          <w:rFonts w:hint="eastAsia" w:ascii="宋体" w:hAnsi="宋体" w:eastAsia="宋体" w:cs="宋体"/>
          <w:color w:val="000000"/>
          <w:sz w:val="24"/>
          <w:szCs w:val="21"/>
          <w:highlight w:val="none"/>
          <w:lang w:val="en-US" w:eastAsia="zh-CN" w:bidi="ar-SA"/>
        </w:rPr>
        <w:t xml:space="preserve">、衣柜大门板(尺寸:1505±2mm *560±2mm)门板均采用≥18mm厚E0级环保三聚氰胺饰面实木多层板，多层板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8</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themeColor="text1"/>
          <w:sz w:val="24"/>
          <w:szCs w:val="21"/>
          <w:highlight w:val="none"/>
          <w:lang w:val="en-US" w:eastAsia="zh-CN" w:bidi="ar-SA"/>
        </w:rPr>
        <w:t xml:space="preserve">▲</w:t>
      </w:r>
      <w:r>
        <w:rPr>
          <w:rFonts w:hint="eastAsia" w:ascii="宋体" w:hAnsi="宋体" w:eastAsia="宋体" w:cs="宋体"/>
          <w:color w:val="000000" w:themeColor="text1"/>
          <w:sz w:val="24"/>
          <w:szCs w:val="21"/>
          <w:highlight w:val="none"/>
          <w:lang w:val="en-US" w:eastAsia="zh-CN" w:bidi="ar-SA"/>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rPr>
        <w:t xml:space="preserve">单层床</w:t>
      </w:r>
      <w:r>
        <w:rPr>
          <w:rFonts w:hint="eastAsia" w:ascii="宋体" w:hAnsi="宋体" w:eastAsia="宋体" w:cs="宋体"/>
          <w:color w:val="000000" w:themeColor="text1"/>
          <w:sz w:val="24"/>
          <w:szCs w:val="21"/>
          <w:highlight w:val="none"/>
          <w:lang w:val="en-US" w:eastAsia="zh-CN" w:bidi="ar-SA"/>
        </w:rPr>
        <w:t xml:space="preserve">强度和耐久性合格</w:t>
      </w:r>
      <w:r>
        <w:rPr>
          <w:rFonts w:hint="eastAsia" w:ascii="宋体" w:hAnsi="宋体" w:cs="宋体"/>
          <w:color w:val="000000" w:themeColor="text1"/>
          <w:sz w:val="24"/>
          <w:szCs w:val="21"/>
          <w:highlight w:val="none"/>
          <w:lang w:val="en-US" w:eastAsia="zh-CN" w:bidi="ar-SA"/>
        </w:rPr>
        <w:t xml:space="preserve">。</w:t>
      </w:r>
      <w:r>
        <w:rPr>
          <w:color w:val="000000" w:themeColor="text1"/>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（二）步梯</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1、尺寸：560*920*1418mm。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Times New Roman"/>
          <w:b/>
          <w:bCs/>
          <w:i/>
          <w:color w:val="000000"/>
          <w:sz w:val="24"/>
          <w:szCs w:val="21"/>
          <w:highlight w:val="none"/>
          <w:u w:val="single"/>
        </w:rPr>
      </w:pPr>
      <w:r>
        <w:rPr>
          <w:rFonts w:hint="eastAsia" w:ascii="宋体" w:hAnsi="宋体" w:eastAsia="宋体" w:cs="宋体"/>
          <w:color w:val="000000"/>
          <w:sz w:val="24"/>
          <w:szCs w:val="21"/>
          <w:highlight w:val="none"/>
          <w:lang w:val="en-US" w:eastAsia="zh-CN" w:bidi="ar-SA"/>
        </w:rPr>
        <w:t xml:space="preserve">2、</w:t>
      </w:r>
      <w:r>
        <w:rPr>
          <w:rFonts w:hint="eastAsia" w:ascii="宋体" w:hAnsi="宋体" w:eastAsia="宋体" w:cs="Times New Roman"/>
          <w:b/>
          <w:bCs/>
          <w:i/>
          <w:color w:val="000000"/>
          <w:sz w:val="24"/>
          <w:szCs w:val="21"/>
          <w:highlight w:val="none"/>
          <w:u w:val="single"/>
          <w:lang w:val="en-US" w:eastAsia="zh-CN" w:bidi="ar-SA"/>
        </w:rPr>
        <w:t xml:space="preserve">★步梯柜体：采用钢木结构，主体受力结构为钢制喷涂框架，管材规格≥20mm*20mm*1.5mm。</w:t>
      </w:r>
      <w:r>
        <w:rPr>
          <w:rFonts w:hint="eastAsia" w:ascii="宋体" w:hAnsi="宋体" w:eastAsia="宋体" w:cs="Times New Roman"/>
          <w:b/>
          <w:bCs/>
          <w:i/>
          <w:color w:val="000000"/>
          <w:sz w:val="24"/>
          <w:szCs w:val="21"/>
          <w:highlight w:val="none"/>
          <w:u w:val="singl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3、步梯柜板材采用≥18mm厚E0级三聚氰胺饰面实木多层板制作，</w:t>
      </w:r>
      <w:bookmarkStart w:id="186" w:name="OLE_LINK8"/>
      <w:r>
        <w:rPr>
          <w:rFonts w:hint="eastAsia" w:ascii="宋体" w:hAnsi="宋体" w:eastAsia="宋体" w:cs="宋体"/>
          <w:color w:val="000000"/>
          <w:sz w:val="24"/>
          <w:szCs w:val="21"/>
          <w:highlight w:val="none"/>
          <w:lang w:val="en-US" w:eastAsia="zh-CN" w:bidi="ar-SA"/>
        </w:rPr>
        <w:t xml:space="preserve">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等级不低于B1级,水煮20H不开裂，具有良好的抗变形性能，每级踏板前端配有铝合金防护条，</w:t>
      </w:r>
      <w:bookmarkEnd w:id="186"/>
      <w:r>
        <w:rPr>
          <w:rFonts w:hint="eastAsia" w:ascii="宋体" w:hAnsi="宋体" w:eastAsia="宋体" w:cs="宋体"/>
          <w:color w:val="000000"/>
          <w:sz w:val="24"/>
          <w:szCs w:val="21"/>
          <w:highlight w:val="none"/>
          <w:lang w:val="en-US" w:eastAsia="zh-CN" w:bidi="ar-SA"/>
        </w:rPr>
        <w:t xml:space="preserve">前端防护条内嵌PVC夜光耐磨防滑条，提升夜间起居安全性。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4、抽屉门由下往上开启,正面设有四层储物抽屉，门板均采用≥18mm厚E0级环保三聚氰胺饰面实木多层板，多层板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等级不低于B1级,水煮20H不开裂，具有良好的抗变形性能，四周边缘采用PP环保塑料注塑封边</w:t>
      </w:r>
      <w:bookmarkStart w:id="187" w:name="OLE_LINK13"/>
      <w:r>
        <w:rPr>
          <w:rFonts w:hint="eastAsia" w:ascii="宋体" w:hAnsi="宋体" w:eastAsia="宋体" w:cs="宋体"/>
          <w:color w:val="000000"/>
          <w:sz w:val="24"/>
          <w:szCs w:val="21"/>
          <w:highlight w:val="none"/>
          <w:lang w:val="en-US" w:eastAsia="zh-CN" w:bidi="ar-SA"/>
        </w:rPr>
        <w:t xml:space="preserve">，</w:t>
      </w:r>
      <w:bookmarkEnd w:id="187"/>
      <w:r>
        <w:rPr>
          <w:rFonts w:hint="eastAsia" w:ascii="宋体" w:hAnsi="宋体" w:eastAsia="宋体" w:cs="宋体"/>
          <w:color w:val="000000"/>
          <w:sz w:val="24"/>
          <w:szCs w:val="21"/>
          <w:highlight w:val="none"/>
          <w:lang w:val="en-US" w:eastAsia="zh-CN" w:bidi="ar-SA"/>
        </w:rPr>
        <w:t xml:space="preserve">柜门板采用铝合金暗扣拉手，楼梯扶手采用规格≥Φ25*1.5mm圆管与立柱通过螺丝连接。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（三）上床下柜组合爬梯床</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1、尺寸：W2010*D930*H3050mm。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2、钢材：经环氧聚酯塑粉静电喷塑处理。</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3、</w:t>
      </w:r>
      <w:r>
        <w:rPr>
          <w:rFonts w:hint="eastAsia" w:ascii="宋体" w:hAnsi="宋体" w:eastAsia="宋体" w:cs="Times New Roman"/>
          <w:b/>
          <w:bCs/>
          <w:i/>
          <w:color w:val="000000"/>
          <w:sz w:val="24"/>
          <w:szCs w:val="21"/>
          <w:highlight w:val="none"/>
          <w:u w:val="single"/>
          <w:lang w:val="en-US" w:eastAsia="zh-CN" w:bidi="ar-SA"/>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sz w:val="24"/>
          <w:szCs w:val="21"/>
          <w:highlight w:val="none"/>
          <w:lang w:val="en-US" w:eastAsia="zh-CN" w:bidi="ar-SA"/>
        </w:rPr>
        <w:t xml:space="preserve">4、▲立柱喷塑涂层硬度为5H</w:t>
      </w:r>
      <w:r>
        <w:rPr>
          <w:rFonts w:hint="eastAsia" w:ascii="宋体" w:hAnsi="宋体" w:cs="宋体"/>
          <w:color w:val="000000"/>
          <w:sz w:val="24"/>
          <w:szCs w:val="21"/>
          <w:highlight w:val="none"/>
          <w:lang w:val="en-US" w:eastAsia="zh-CN" w:bidi="ar-SA"/>
        </w:rPr>
        <w:t xml:space="preserve">(GB/T 6739-2022)</w:t>
      </w:r>
      <w:r>
        <w:rPr>
          <w:rFonts w:hint="eastAsia" w:ascii="宋体" w:hAnsi="宋体" w:eastAsia="宋体" w:cs="宋体"/>
          <w:color w:val="000000"/>
          <w:sz w:val="24"/>
          <w:szCs w:val="21"/>
          <w:highlight w:val="none"/>
          <w:lang w:val="en-US" w:eastAsia="zh-CN" w:bidi="ar-SA"/>
        </w:rPr>
        <w:t xml:space="preserve">，</w:t>
      </w:r>
      <w:r>
        <w:rPr>
          <w:rFonts w:hint="eastAsia" w:ascii="Arial" w:hAnsi="Arial" w:eastAsia="Arial" w:cs="Arial"/>
          <w:b w:val="0"/>
          <w:bCs w:val="0"/>
          <w:color w:val="000000" w:themeColor="text1"/>
          <w:sz w:val="24"/>
          <w:szCs w:val="24"/>
          <w:lang w:val="en-US" w:eastAsia="zh-CN"/>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rPr>
        <w:t xml:space="preserve">。</w:t>
      </w:r>
      <w:r>
        <w:rPr>
          <w:color w:val="000000" w:themeColor="text1"/>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5、</w:t>
      </w:r>
      <w:r>
        <w:rPr>
          <w:rFonts w:hint="eastAsia" w:ascii="宋体" w:hAnsi="宋体" w:eastAsia="宋体" w:cs="Times New Roman"/>
          <w:b/>
          <w:bCs/>
          <w:i/>
          <w:color w:val="000000"/>
          <w:sz w:val="24"/>
          <w:szCs w:val="21"/>
          <w:highlight w:val="none"/>
          <w:u w:val="single"/>
          <w:lang w:val="en-US" w:eastAsia="zh-CN" w:bidi="ar-SA"/>
        </w:rPr>
        <w:t xml:space="preserve">★前床厅及后床厅：采用优质冷轧钢板经特制成型线轧制而成，其立面尺寸规格≥80mm*30mm矩形管,材料厚度为≥1.5mm。后床厅管材规格≥80mm*30mm矩形管,材料厚度≥1.5mm。侧床厅管材规格≥80mm*30mm矩形管,材料厚度≥1.5mm，左右两侧与立柱连接，床厅与立柱采取隐藏式卡扣连接，带锁死功能，更加美观牢固。</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6、▲塑粉涂层和覆面层中</w:t>
      </w:r>
      <w:r>
        <w:rPr>
          <w:rFonts w:hint="eastAsia" w:ascii="宋体" w:hAnsi="宋体" w:cs="宋体"/>
          <w:color w:val="000000"/>
          <w:sz w:val="24"/>
          <w:szCs w:val="21"/>
          <w:highlight w:val="none"/>
          <w:lang w:val="en-US" w:eastAsia="zh-CN" w:bidi="ar-SA"/>
        </w:rPr>
        <w:t xml:space="preserve">可迁移有害元素</w:t>
      </w:r>
      <w:r>
        <w:rPr>
          <w:rFonts w:hint="eastAsia" w:ascii="宋体" w:hAnsi="宋体" w:eastAsia="宋体" w:cs="宋体"/>
          <w:color w:val="000000"/>
          <w:sz w:val="24"/>
          <w:szCs w:val="21"/>
          <w:highlight w:val="none"/>
          <w:lang w:val="en-US" w:eastAsia="zh-CN" w:bidi="ar-SA"/>
        </w:rPr>
        <w:t xml:space="preserve">，金属喷漆（塑）涂层附着力不低于1级。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7、床前护栏:采用钢、铝、塑、木材料,方管规格≥25*25*1.5mm，护栏高度为450mm嵌入一块18mm厚E0级三聚氰胺饰面实木多层板, 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前护栏带推拉窗，推拉窗整体格:≥700*300*40mm，观察窗带隐藏式储物功能,不占用床铺空间,方便存放手机、眼镜、书本等随身携带物品,外形采用跑道圆设计，圆弧部分ABS材质注塑工艺一次成型，滑道采用铝型材，确保稳固安全，观察窗透明全封闭,同时具备推拉开启关闭功能，保护使用者的隐私。</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bidi="ar-SA"/>
        </w:rPr>
        <w:t xml:space="preserve">8</w:t>
      </w:r>
      <w:r>
        <w:rPr>
          <w:rFonts w:hint="eastAsia" w:ascii="宋体" w:hAnsi="宋体" w:eastAsia="宋体" w:cs="宋体"/>
          <w:color w:val="000000"/>
          <w:sz w:val="24"/>
          <w:szCs w:val="21"/>
          <w:highlight w:val="none"/>
          <w:lang w:val="en-US" w:eastAsia="zh-CN" w:bidi="ar-SA"/>
        </w:rPr>
        <w:t xml:space="preserve">、床后护栏:采钢木结构,方管≥25*25*1.5mm,护栏高度为450mm+蚊帐杆链接高度720mm,嵌入一块18mm厚E0级三聚氰胺饰面实木多层板, 多层板耐火等级不低于B1级,水煮20H不开裂，具有良好的抗变形性能,后护栏内嵌隐藏式水杯架。</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bidi="ar-SA"/>
        </w:rPr>
        <w:t xml:space="preserve">9</w:t>
      </w:r>
      <w:r>
        <w:rPr>
          <w:rFonts w:hint="eastAsia" w:ascii="宋体" w:hAnsi="宋体" w:eastAsia="宋体" w:cs="宋体"/>
          <w:color w:val="000000"/>
          <w:sz w:val="24"/>
          <w:szCs w:val="21"/>
          <w:highlight w:val="none"/>
          <w:lang w:val="en-US" w:eastAsia="zh-CN" w:bidi="ar-SA"/>
        </w:rPr>
        <w:t xml:space="preserve">、床头护栏:采用钢木结构,管材规格≥20*20*1.5mm方管,护栏高度为450mm嵌入一块18mm厚E0级三聚氰胺饰面实木多层板，多层板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等级不低于B1级,水煮20H不开裂，具有良好的抗变形性能，护栏整体与立柱连接。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0</w:t>
      </w:r>
      <w:r>
        <w:rPr>
          <w:rFonts w:hint="eastAsia" w:ascii="宋体" w:hAnsi="宋体" w:eastAsia="宋体" w:cs="宋体"/>
          <w:color w:val="000000"/>
          <w:sz w:val="24"/>
          <w:szCs w:val="21"/>
          <w:highlight w:val="none"/>
          <w:lang w:val="en-US" w:eastAsia="zh-CN" w:bidi="ar-SA"/>
        </w:rPr>
        <w:t xml:space="preserve">、床尾护栏:采用钢木结构,方管≥20*20*1.5mm,护栏高度为450mm圆弧设计,护栏中间设一根横杆,整体与立柱连接,嵌入一块18mm厚E0级三聚氰胺饰面实木多层板，多层板耐火等级不低于B1级,水煮20H不开裂，具有良好的抗变形性能。</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1</w:t>
      </w:r>
      <w:r>
        <w:rPr>
          <w:rFonts w:hint="eastAsia" w:ascii="宋体" w:hAnsi="宋体" w:eastAsia="宋体" w:cs="宋体"/>
          <w:color w:val="000000"/>
          <w:sz w:val="24"/>
          <w:szCs w:val="21"/>
          <w:highlight w:val="none"/>
          <w:lang w:val="en-US" w:eastAsia="zh-CN" w:bidi="ar-SA"/>
        </w:rPr>
        <w:t xml:space="preserve">、床换:采用规格≥20*30*1.5mm矩形管，矩形管自带锁定槽与床厅稳固连接，每张床配置数量不少于5根。</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2</w:t>
      </w:r>
      <w:r>
        <w:rPr>
          <w:rFonts w:hint="eastAsia" w:ascii="宋体" w:hAnsi="宋体" w:eastAsia="宋体" w:cs="宋体"/>
          <w:color w:val="000000"/>
          <w:sz w:val="24"/>
          <w:szCs w:val="21"/>
          <w:highlight w:val="none"/>
          <w:lang w:val="en-US" w:eastAsia="zh-CN" w:bidi="ar-SA"/>
        </w:rPr>
        <w:t xml:space="preserve">、蚊帐架采用规格≥φ19*1.5mm 圆管制作，与后护栏连接。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3</w:t>
      </w:r>
      <w:r>
        <w:rPr>
          <w:rFonts w:hint="eastAsia" w:ascii="宋体" w:hAnsi="宋体" w:eastAsia="宋体" w:cs="宋体"/>
          <w:color w:val="000000"/>
          <w:sz w:val="24"/>
          <w:szCs w:val="21"/>
          <w:highlight w:val="none"/>
          <w:lang w:val="en-US" w:eastAsia="zh-CN" w:bidi="ar-SA"/>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sz w:val="24"/>
          <w:szCs w:val="21"/>
          <w:highlight w:val="none"/>
          <w:lang w:val="en-US" w:eastAsia="zh-CN" w:bidi="ar-SA"/>
        </w:rPr>
        <w:t xml:space="preserve">需要</w:t>
      </w:r>
      <w:r>
        <w:rPr>
          <w:rFonts w:hint="eastAsia" w:ascii="宋体" w:hAnsi="宋体" w:eastAsia="宋体" w:cs="宋体"/>
          <w:color w:val="000000"/>
          <w:sz w:val="24"/>
          <w:szCs w:val="21"/>
          <w:highlight w:val="none"/>
          <w:lang w:val="en-US" w:eastAsia="zh-CN" w:bidi="ar-SA"/>
        </w:rPr>
        <w:t xml:space="preserve">用不锈钢螺丝固定连接。</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w:t>
      </w:r>
      <w:r>
        <w:rPr>
          <w:rFonts w:hint="eastAsia" w:ascii="宋体" w:hAnsi="宋体" w:cs="宋体"/>
          <w:color w:val="000000"/>
          <w:sz w:val="24"/>
          <w:szCs w:val="21"/>
          <w:highlight w:val="none"/>
          <w:lang w:val="en-US" w:eastAsia="zh-CN" w:bidi="ar-SA"/>
        </w:rPr>
        <w:t xml:space="preserve">4</w:t>
      </w:r>
      <w:r>
        <w:rPr>
          <w:rFonts w:hint="eastAsia" w:ascii="宋体" w:hAnsi="宋体" w:eastAsia="宋体" w:cs="宋体"/>
          <w:color w:val="000000"/>
          <w:sz w:val="24"/>
          <w:szCs w:val="21"/>
          <w:highlight w:val="none"/>
          <w:lang w:val="en-US" w:eastAsia="zh-CN" w:bidi="ar-SA"/>
        </w:rPr>
        <w:t xml:space="preserve">、床下书桌:桌面采用≥25mm厚E0级三聚氰胺饰面板,前口鸭嘴边设计，其余三边圆弧角设计，整体采用PVC吸塑工艺；桌架和书架板材采用≥18mm厚E0级三聚氰胺饰面实木多层板，多层板耐火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16、床下衣柜:尺寸(≥600mm *850mm+1815mm)设有两个门，一个门开向朝走道，内部设一块层板，层板下方配≥φ22*1.2mm铝合金材质挂衣杆，另一个门开向朝书桌，内部设置两块层板，底部防潮架采用≥20*20*1.5mm方管制作。</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17、衣柜小门板尺寸(1505±2mm *350±2mm)门板均采用≥18mm厚E0级环保三聚氰胺饰面实木多层板，多层板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18、衣柜大门板(尺寸:1505±2 mm *560±2mm)门板均采用≥18mm厚E0级环保三聚氰胺饰面实木多层板，多层板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水煮20H不开裂，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19、爬梯</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主管≥40*30*1.5mm</w:t>
      </w:r>
      <w:r>
        <w:rPr>
          <w:rFonts w:hint="eastAsia" w:ascii="宋体" w:hAnsi="宋体" w:cs="宋体"/>
          <w:color w:val="000000"/>
          <w:sz w:val="24"/>
          <w:szCs w:val="21"/>
          <w:highlight w:val="none"/>
          <w:lang w:val="en-US" w:eastAsia="zh-CN" w:bidi="ar-SA"/>
        </w:rPr>
        <w:t xml:space="preserve">，</w:t>
      </w:r>
      <w:r>
        <w:rPr>
          <w:rFonts w:hint="eastAsia" w:ascii="宋体" w:hAnsi="宋体" w:eastAsia="宋体" w:cs="宋体"/>
          <w:color w:val="000000"/>
          <w:sz w:val="24"/>
          <w:szCs w:val="21"/>
          <w:highlight w:val="none"/>
          <w:lang w:val="en-US" w:eastAsia="zh-CN" w:bidi="ar-SA"/>
        </w:rPr>
        <w:t xml:space="preserve">踏步板≥400*120*25mm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爬梯采用走梯式设计，所有钢管均采用整体焊接工艺制作，踏步板采用环保 PP材质注塑工艺一次成型，两者采用螺丝固定，稳固安全。安装螺丝位置环形整体扣边条内扣遮挡设计，安全美观合理防滑纹路，并配备荧光条，下方采用≥25*30*1.5mm圆角钢管支撑。</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rPr>
      </w:pP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themeColor="text1"/>
          <w:sz w:val="24"/>
          <w:szCs w:val="21"/>
          <w:highlight w:val="none"/>
          <w:lang w:val="en-US" w:eastAsia="zh-CN" w:bidi="ar-SA"/>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rPr>
        <w:t xml:space="preserve">单层床</w:t>
      </w:r>
      <w:r>
        <w:rPr>
          <w:rFonts w:hint="eastAsia" w:ascii="宋体" w:hAnsi="宋体" w:eastAsia="宋体" w:cs="宋体"/>
          <w:color w:val="000000" w:themeColor="text1"/>
          <w:sz w:val="24"/>
          <w:szCs w:val="21"/>
          <w:highlight w:val="none"/>
          <w:lang w:val="en-US" w:eastAsia="zh-CN" w:bidi="ar-SA"/>
        </w:rPr>
        <w:t xml:space="preserve">强度和耐久性合格</w:t>
      </w:r>
      <w:r>
        <w:rPr>
          <w:rFonts w:hint="eastAsia" w:ascii="宋体" w:hAnsi="宋体" w:cs="宋体"/>
          <w:color w:val="000000" w:themeColor="text1"/>
          <w:sz w:val="24"/>
          <w:szCs w:val="21"/>
          <w:highlight w:val="none"/>
          <w:lang w:val="en-US" w:eastAsia="zh-CN" w:bidi="ar-SA"/>
        </w:rPr>
        <w:t xml:space="preserve">。</w:t>
      </w:r>
      <w:r>
        <w:rPr>
          <w:color w:val="000000" w:themeColor="text1"/>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（四）储物柜</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1、储物柜:尺寸(≥930mm *560mm+2330mm)设有4个门，底部防潮架采用≥20*20*1.5mm方管制作。门开向朝走道。</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2、衣柜小门板尺寸(560±2mm *566±2mm)门板均采用≥18mm厚E0级环保三聚氰胺饰面实木多层板，多层板耐火等级不低于B1级,水煮20H不开裂，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（五）学生椅</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1、尺寸：≥450*500*850mm</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2、椅座：采用聚丙烯加玻璃纤维全新材料模具一体成型制作，厚度≥8mm。座面安装高度≥440mm，座宽≥450mm，座深≥500mm，深装饰沟槽面</w:t>
      </w:r>
      <w:r>
        <w:rPr>
          <w:rFonts w:hint="eastAsia" w:ascii="宋体" w:hAnsi="宋体" w:cs="宋体"/>
          <w:color w:val="000000"/>
          <w:sz w:val="24"/>
          <w:szCs w:val="21"/>
          <w:highlight w:val="none"/>
          <w:lang w:val="en-US" w:eastAsia="zh-CN" w:bidi="ar-SA"/>
        </w:rPr>
        <w:t xml:space="preserve">；</w:t>
      </w:r>
      <w:r>
        <w:rPr>
          <w:rFonts w:hint="eastAsia" w:ascii="宋体" w:hAnsi="宋体" w:eastAsia="宋体" w:cs="宋体"/>
          <w:color w:val="000000"/>
          <w:sz w:val="24"/>
          <w:szCs w:val="21"/>
          <w:highlight w:val="none"/>
          <w:lang w:val="en-US" w:eastAsia="zh-CN" w:bidi="ar-SA"/>
        </w:rPr>
        <w:t xml:space="preserve">背面配PP材质弧形螺丝闷盖。</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3、椅背：采用聚丙烯加玻璃纤维全新材料模具一体成型制作厚度≥6mm，座椅总高度≥850mm，背宽≥410mm，背高≥410mm；防滑面设有多根筋位。 </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4、</w:t>
      </w:r>
      <w:r>
        <w:rPr>
          <w:rFonts w:hint="eastAsia" w:ascii="宋体" w:hAnsi="宋体" w:eastAsia="宋体" w:cs="Times New Roman"/>
          <w:b/>
          <w:bCs/>
          <w:i/>
          <w:color w:val="000000"/>
          <w:sz w:val="24"/>
          <w:szCs w:val="21"/>
          <w:highlight w:val="none"/>
          <w:u w:val="single"/>
          <w:lang w:val="en-US" w:eastAsia="zh-CN" w:bidi="ar-SA"/>
        </w:rPr>
        <w:t xml:space="preserve">★椅脚：采用优质圆管≥φ19mm*2.0mm厚；各金属件进行打磨、去油、酸洗、磷化、清洗、防锈等工艺处理后，通过粉末喷涂设备进行静电喷塑，防锈防腐蚀；地脚配有4个优质PP材质脚垫。 </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5、 塑料件外观应无裂纹、明显变形、缩水、针孔；应无凹陷、飞边、 杂质、伤痕、白印；表面应光洁，应无划痕、毛刺、拉毛、污渍；应无明显色差。</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特别说明：</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bidi="ar-SA"/>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rPr>
          <w:rFonts w:hint="eastAsia" w:ascii="宋体" w:hAnsi="宋体" w:eastAsia="宋体" w:cs="宋体"/>
          <w:color w:val="000000"/>
          <w:sz w:val="24"/>
          <w:szCs w:val="21"/>
          <w:highlight w:val="none"/>
        </w:rPr>
      </w:r>
      <w:r/>
    </w:p>
    <w:p>
      <w:pPr>
        <w:pStyle w:val="748"/>
        <w:ind w:firstLine="482"/>
        <w:jc w:val="both"/>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1"/>
          <w:highlight w:val="none"/>
          <w:lang w:val="en-US" w:eastAsia="zh-CN" w:bidi="ar-SA"/>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等级不低于B1级，其中桌面板厚度≥25mm。</w:t>
      </w:r>
      <w:r>
        <w:rPr>
          <w:rFonts w:hint="eastAsia" w:ascii="宋体" w:hAnsi="宋体" w:eastAsia="宋体" w:cs="宋体"/>
          <w:b/>
          <w:bCs/>
          <w:color w:val="000000"/>
          <w:sz w:val="24"/>
          <w:szCs w:val="24"/>
          <w:highlight w:val="none"/>
        </w:rPr>
      </w:r>
      <w:r/>
    </w:p>
    <w:p>
      <w:pPr>
        <w:pStyle w:val="748"/>
        <w:ind w:firstLine="482"/>
        <w:jc w:val="left"/>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四、检测报告要求：</w:t>
      </w:r>
      <w:r>
        <w:rPr>
          <w:rFonts w:hint="eastAsia" w:ascii="宋体" w:hAnsi="宋体" w:eastAsia="宋体" w:cs="宋体"/>
          <w:b/>
          <w:bCs/>
          <w:color w:val="000000"/>
          <w:sz w:val="24"/>
          <w:szCs w:val="24"/>
          <w:highlight w:val="none"/>
        </w:rPr>
      </w:r>
      <w:r/>
    </w:p>
    <w:p>
      <w:pPr>
        <w:pStyle w:val="748"/>
        <w:ind w:firstLine="482"/>
        <w:jc w:val="left"/>
        <w:spacing w:line="560" w:lineRule="exact"/>
        <w:widowControl/>
        <w:rPr>
          <w:rFonts w:hint="eastAsia" w:ascii="方正仿宋_GB2312" w:hAnsi="方正仿宋_GB2312" w:eastAsia="宋体" w:cs="方正仿宋_GB2312"/>
          <w:b/>
          <w:bCs/>
          <w:color w:val="000000"/>
          <w:sz w:val="24"/>
          <w:szCs w:val="32"/>
          <w:highlight w:val="none"/>
        </w:rPr>
      </w:pPr>
      <w:r>
        <w:rPr>
          <w:rFonts w:hint="eastAsia" w:ascii="方正仿宋_GB2312" w:hAnsi="方正仿宋_GB2312" w:eastAsia="宋体" w:cs="方正仿宋_GB2312"/>
          <w:b/>
          <w:bCs/>
          <w:color w:val="000000"/>
          <w:sz w:val="24"/>
          <w:szCs w:val="32"/>
          <w:highlight w:val="none"/>
          <w:lang w:val="en-US" w:eastAsia="zh-CN"/>
        </w:rPr>
        <w:t xml:space="preserve">4.1</w:t>
      </w:r>
      <w:r>
        <w:rPr>
          <w:rFonts w:hint="eastAsia" w:ascii="方正仿宋_GB2312" w:hAnsi="方正仿宋_GB2312" w:eastAsia="宋体" w:cs="方正仿宋_GB2312"/>
          <w:b/>
          <w:bCs/>
          <w:color w:val="000000"/>
          <w:sz w:val="24"/>
          <w:szCs w:val="32"/>
          <w:highlight w:val="none"/>
          <w:lang w:eastAsia="zh-CN"/>
        </w:rPr>
        <w:t xml:space="preserve">投标人提供</w:t>
      </w:r>
      <w:r>
        <w:rPr>
          <w:rFonts w:hint="eastAsia" w:ascii="方正仿宋_GB2312" w:hAnsi="方正仿宋_GB2312" w:cs="方正仿宋_GB2312"/>
          <w:b/>
          <w:bCs/>
          <w:color w:val="000000"/>
          <w:sz w:val="24"/>
          <w:szCs w:val="32"/>
          <w:highlight w:val="none"/>
          <w:lang w:val="en-US" w:eastAsia="zh-CN"/>
        </w:rPr>
        <w:t xml:space="preserve">所投产品</w:t>
      </w:r>
      <w:r>
        <w:rPr>
          <w:rFonts w:hint="eastAsia" w:ascii="方正仿宋_GB2312" w:hAnsi="方正仿宋_GB2312" w:eastAsia="宋体" w:cs="方正仿宋_GB2312"/>
          <w:b/>
          <w:bCs/>
          <w:color w:val="000000"/>
          <w:sz w:val="24"/>
          <w:szCs w:val="32"/>
          <w:highlight w:val="none"/>
          <w:lang w:eastAsia="zh-CN"/>
        </w:rPr>
        <w:t xml:space="preserve">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年1月1日（以报告签发时间为准）以来权威检测机构出具的带有CMA标识的类似产品的成品</w:t>
      </w:r>
      <w:r>
        <w:rPr>
          <w:rFonts w:hint="eastAsia" w:ascii="方正仿宋_GB2312" w:hAnsi="方正仿宋_GB2312" w:cs="方正仿宋_GB2312"/>
          <w:b/>
          <w:bCs/>
          <w:color w:val="000000"/>
          <w:sz w:val="24"/>
          <w:szCs w:val="32"/>
          <w:highlight w:val="none"/>
          <w:lang w:val="en-US" w:eastAsia="zh-CN"/>
        </w:rPr>
        <w:t xml:space="preserve">送样</w:t>
      </w:r>
      <w:r>
        <w:rPr>
          <w:rFonts w:hint="eastAsia" w:ascii="方正仿宋_GB2312" w:hAnsi="方正仿宋_GB2312" w:eastAsia="宋体" w:cs="方正仿宋_GB2312"/>
          <w:b/>
          <w:bCs/>
          <w:color w:val="000000"/>
          <w:sz w:val="24"/>
          <w:szCs w:val="32"/>
          <w:highlight w:val="none"/>
          <w:lang w:eastAsia="zh-CN"/>
        </w:rPr>
        <w:t xml:space="preserve">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rPr>
          <w:rFonts w:hint="eastAsia" w:ascii="方正仿宋_GB2312" w:hAnsi="方正仿宋_GB2312" w:eastAsia="宋体" w:cs="方正仿宋_GB2312"/>
          <w:b/>
          <w:bCs/>
          <w:color w:val="000000"/>
          <w:sz w:val="24"/>
          <w:szCs w:val="32"/>
          <w:highlight w:val="none"/>
        </w:rPr>
      </w:r>
      <w:r/>
    </w:p>
    <w:p>
      <w:pPr>
        <w:pStyle w:val="748"/>
        <w:ind w:firstLine="480"/>
        <w:jc w:val="left"/>
        <w:spacing w:line="560" w:lineRule="exact"/>
        <w:widowControl/>
        <w:rPr>
          <w:rFonts w:hint="eastAsia" w:ascii="宋体" w:hAnsi="宋体" w:eastAsia="宋体" w:cs="宋体"/>
          <w:color w:val="000000" w:themeColor="text1"/>
          <w:sz w:val="24"/>
          <w:szCs w:val="21"/>
          <w:highlight w:val="none"/>
        </w:rPr>
      </w:pPr>
      <w:r>
        <w:rPr>
          <w:rFonts w:hint="eastAsia" w:ascii="方正仿宋_GB2312" w:hAnsi="方正仿宋_GB2312" w:eastAsia="宋体" w:cs="方正仿宋_GB2312"/>
          <w:b w:val="0"/>
          <w:bCs w:val="0"/>
          <w:color w:val="000000"/>
          <w:sz w:val="24"/>
          <w:szCs w:val="32"/>
          <w:highlight w:val="none"/>
          <w:lang w:eastAsia="zh-CN"/>
        </w:rPr>
        <w:t xml:space="preserve">1.</w:t>
      </w:r>
      <w:r>
        <w:rPr>
          <w:rFonts w:hint="eastAsia" w:ascii="宋体" w:hAnsi="宋体" w:eastAsia="宋体" w:cs="宋体"/>
          <w:color w:val="000000"/>
          <w:sz w:val="24"/>
          <w:szCs w:val="21"/>
          <w:highlight w:val="none"/>
          <w:lang w:val="en-US" w:eastAsia="zh-CN" w:bidi="ar-SA"/>
        </w:rPr>
        <w:t xml:space="preserve">公寓床（检测标准为GB/T 3325-2024、《金属家具通用技术条件》和GB/T 35607-2024、《绿色产品评价家具》，检验项目</w:t>
      </w:r>
      <w:r>
        <w:rPr>
          <w:rFonts w:hint="eastAsia" w:ascii="宋体" w:hAnsi="宋体" w:cs="宋体"/>
          <w:color w:val="000000"/>
          <w:sz w:val="24"/>
          <w:szCs w:val="21"/>
          <w:highlight w:val="none"/>
          <w:lang w:val="en-US" w:eastAsia="zh-CN" w:bidi="ar-SA"/>
        </w:rPr>
        <w:t xml:space="preserve">需要</w:t>
      </w:r>
      <w:r>
        <w:rPr>
          <w:rFonts w:hint="eastAsia" w:ascii="宋体" w:hAnsi="宋体" w:eastAsia="宋体" w:cs="宋体"/>
          <w:color w:val="000000"/>
          <w:sz w:val="24"/>
          <w:szCs w:val="21"/>
          <w:highlight w:val="none"/>
          <w:lang w:val="en-US" w:eastAsia="zh-CN" w:bidi="ar-SA"/>
        </w:rPr>
        <w:t xml:space="preserve">包含：外观</w:t>
      </w:r>
      <w:r>
        <w:rPr>
          <w:rFonts w:hint="eastAsia" w:ascii="宋体" w:hAnsi="宋体" w:cs="宋体"/>
          <w:color w:val="000000"/>
          <w:sz w:val="24"/>
          <w:szCs w:val="21"/>
          <w:highlight w:val="none"/>
          <w:lang w:val="en-US" w:eastAsia="zh-CN" w:bidi="ar-SA"/>
        </w:rPr>
        <w:t xml:space="preserve">性能</w:t>
      </w:r>
      <w:r>
        <w:rPr>
          <w:rFonts w:hint="eastAsia" w:ascii="宋体" w:hAnsi="宋体" w:eastAsia="宋体" w:cs="宋体"/>
          <w:color w:val="000000"/>
          <w:sz w:val="24"/>
          <w:szCs w:val="21"/>
          <w:highlight w:val="none"/>
          <w:lang w:val="en-US" w:eastAsia="zh-CN" w:bidi="ar-SA"/>
        </w:rPr>
        <w:t xml:space="preserve">（焊接件、</w:t>
      </w:r>
      <w:r>
        <w:rPr>
          <w:rFonts w:hint="eastAsia" w:ascii="宋体" w:hAnsi="宋体" w:eastAsia="宋体" w:cs="宋体"/>
          <w:color w:val="000000" w:themeColor="text1"/>
          <w:sz w:val="24"/>
          <w:szCs w:val="21"/>
          <w:highlight w:val="none"/>
          <w:lang w:val="en-US" w:eastAsia="zh-CN" w:bidi="ar-SA"/>
        </w:rPr>
        <w:t xml:space="preserve">喷漆(塑)涂层</w:t>
      </w:r>
      <w:r>
        <w:rPr>
          <w:rFonts w:hint="eastAsia" w:ascii="宋体" w:hAnsi="宋体" w:eastAsia="宋体" w:cs="宋体"/>
          <w:color w:val="000000" w:themeColor="text1"/>
          <w:sz w:val="24"/>
          <w:szCs w:val="21"/>
          <w:highlight w:val="none"/>
          <w:lang w:val="en-US" w:eastAsia="zh-CN" w:bidi="ar-SA"/>
        </w:rPr>
        <w:t xml:space="preserve"> 、塑料件）、结构安全、金属喷漆（塑）涂层理化性能要求</w:t>
      </w:r>
      <w:r>
        <w:rPr>
          <w:rFonts w:hint="eastAsia" w:ascii="宋体" w:hAnsi="宋体" w:cs="宋体"/>
          <w:color w:val="000000" w:themeColor="text1"/>
          <w:sz w:val="24"/>
          <w:szCs w:val="21"/>
          <w:highlight w:val="none"/>
          <w:lang w:val="en-US" w:eastAsia="zh-CN" w:bidi="ar-SA"/>
        </w:rPr>
        <w:t xml:space="preserve">：</w:t>
      </w:r>
      <w:r>
        <w:rPr>
          <w:rFonts w:hint="eastAsia" w:ascii="Arial" w:hAnsi="Arial" w:eastAsia="Arial" w:cs="Arial"/>
          <w:b w:val="0"/>
          <w:bCs w:val="0"/>
          <w:color w:val="000000" w:themeColor="text1"/>
          <w:sz w:val="24"/>
          <w:szCs w:val="24"/>
          <w:lang w:val="en-US" w:eastAsia="zh-CN"/>
        </w:rPr>
        <w:t xml:space="preserve">耐盐浴:划道两侧3mm外，应无鼓泡、锈蚀、剥落和起皱等现象</w:t>
      </w:r>
      <w:r>
        <w:rPr>
          <w:rFonts w:hint="eastAsia" w:ascii="Arial" w:hAnsi="Arial" w:eastAsia="Arial" w:cs="Arial"/>
          <w:b w:val="0"/>
          <w:bCs w:val="0"/>
          <w:color w:val="000000" w:themeColor="text1"/>
          <w:sz w:val="24"/>
          <w:szCs w:val="24"/>
          <w:lang w:val="en-US" w:eastAsia="zh-CN"/>
        </w:rPr>
        <w:t xml:space="preserve">。</w:t>
      </w:r>
      <w:r>
        <w:rPr>
          <w:rFonts w:hint="eastAsia" w:ascii="宋体" w:hAnsi="宋体" w:eastAsia="宋体" w:cs="宋体"/>
          <w:color w:val="000000" w:themeColor="text1"/>
          <w:sz w:val="24"/>
          <w:szCs w:val="21"/>
          <w:highlight w:val="none"/>
          <w:lang w:val="en-US" w:eastAsia="zh-CN" w:bidi="ar-SA"/>
        </w:rPr>
        <w:t xml:space="preserve">单层床强度和耐久性、甲醛释放量、TVOC、苯并[a]芘）。</w:t>
      </w:r>
      <w:r>
        <w:rPr>
          <w:color w:val="000000" w:themeColor="text1"/>
        </w:rPr>
      </w:r>
      <w:r/>
    </w:p>
    <w:p>
      <w:pPr>
        <w:pStyle w:val="748"/>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rPr>
      </w:pPr>
      <w:r>
        <w:rPr>
          <w:rFonts w:hint="eastAsia" w:ascii="方正仿宋_GB2312" w:hAnsi="方正仿宋_GB2312" w:eastAsia="宋体" w:cs="方正仿宋_GB2312"/>
          <w:b w:val="0"/>
          <w:bCs w:val="0"/>
          <w:color w:val="000000" w:themeColor="text1"/>
          <w:sz w:val="24"/>
          <w:szCs w:val="32"/>
          <w:highlight w:val="none"/>
          <w:lang w:eastAsia="zh-CN"/>
        </w:rPr>
        <w:t xml:space="preserve">2.床下</w:t>
      </w:r>
      <w:r>
        <w:rPr>
          <w:rFonts w:hint="eastAsia" w:ascii="方正仿宋_GB2312" w:hAnsi="方正仿宋_GB2312" w:cs="方正仿宋_GB2312"/>
          <w:b w:val="0"/>
          <w:bCs w:val="0"/>
          <w:color w:val="000000" w:themeColor="text1"/>
          <w:sz w:val="24"/>
          <w:szCs w:val="32"/>
          <w:highlight w:val="none"/>
          <w:lang w:eastAsia="zh-CN"/>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rPr>
        <w:t xml:space="preserve">（检测标准为GB/T 3324-20</w:t>
      </w:r>
      <w:r>
        <w:rPr>
          <w:rFonts w:hint="eastAsia" w:ascii="方正仿宋_GB2312" w:hAnsi="方正仿宋_GB2312" w:eastAsia="宋体" w:cs="方正仿宋_GB2312"/>
          <w:b w:val="0"/>
          <w:bCs w:val="0"/>
          <w:color w:val="000000" w:themeColor="text1"/>
          <w:sz w:val="24"/>
          <w:szCs w:val="32"/>
          <w:highlight w:val="none"/>
          <w:lang w:val="en-US" w:eastAsia="zh-CN"/>
        </w:rPr>
        <w:t xml:space="preserve">24</w:t>
      </w:r>
      <w:r>
        <w:rPr>
          <w:rFonts w:hint="eastAsia" w:ascii="宋体" w:hAnsi="宋体" w:eastAsia="宋体" w:cs="宋体"/>
          <w:color w:val="000000" w:themeColor="text1"/>
          <w:sz w:val="24"/>
          <w:szCs w:val="21"/>
          <w:highlight w:val="none"/>
          <w:lang w:val="en-US" w:eastAsia="zh-CN" w:bidi="ar-SA"/>
        </w:rPr>
        <w:t xml:space="preserve">、</w:t>
      </w:r>
      <w:r>
        <w:rPr>
          <w:rFonts w:hint="eastAsia" w:ascii="方正仿宋_GB2312" w:hAnsi="方正仿宋_GB2312" w:eastAsia="宋体" w:cs="方正仿宋_GB2312"/>
          <w:b w:val="0"/>
          <w:bCs w:val="0"/>
          <w:color w:val="000000" w:themeColor="text1"/>
          <w:sz w:val="24"/>
          <w:szCs w:val="32"/>
          <w:highlight w:val="none"/>
          <w:lang w:eastAsia="zh-CN"/>
        </w:rPr>
        <w:t xml:space="preserve">《木家具通用技术条件》和GB/T 35607-20</w:t>
      </w:r>
      <w:r>
        <w:rPr>
          <w:rFonts w:hint="eastAsia" w:ascii="方正仿宋_GB2312" w:hAnsi="方正仿宋_GB2312" w:eastAsia="宋体" w:cs="方正仿宋_GB2312"/>
          <w:b w:val="0"/>
          <w:bCs w:val="0"/>
          <w:color w:val="000000" w:themeColor="text1"/>
          <w:sz w:val="24"/>
          <w:szCs w:val="32"/>
          <w:highlight w:val="none"/>
          <w:lang w:val="en-US" w:eastAsia="zh-CN"/>
        </w:rPr>
        <w:t xml:space="preserve">24</w:t>
      </w:r>
      <w:r>
        <w:rPr>
          <w:rFonts w:hint="eastAsia" w:ascii="宋体" w:hAnsi="宋体" w:eastAsia="宋体" w:cs="宋体"/>
          <w:color w:val="000000" w:themeColor="text1"/>
          <w:sz w:val="24"/>
          <w:szCs w:val="21"/>
          <w:highlight w:val="none"/>
          <w:lang w:val="en-US" w:eastAsia="zh-CN" w:bidi="ar-SA"/>
        </w:rPr>
        <w:t xml:space="preserve">、</w:t>
      </w:r>
      <w:r>
        <w:rPr>
          <w:rFonts w:hint="eastAsia" w:ascii="方正仿宋_GB2312" w:hAnsi="方正仿宋_GB2312" w:eastAsia="宋体" w:cs="方正仿宋_GB2312"/>
          <w:b w:val="0"/>
          <w:bCs w:val="0"/>
          <w:color w:val="000000" w:themeColor="text1"/>
          <w:sz w:val="24"/>
          <w:szCs w:val="32"/>
          <w:highlight w:val="none"/>
          <w:lang w:eastAsia="zh-CN"/>
        </w:rPr>
        <w:t xml:space="preserve">《绿色产品评价家具》，检验项目</w:t>
      </w:r>
      <w:r>
        <w:rPr>
          <w:rFonts w:hint="eastAsia" w:ascii="方正仿宋_GB2312" w:hAnsi="方正仿宋_GB2312" w:cs="方正仿宋_GB2312"/>
          <w:b w:val="0"/>
          <w:bCs w:val="0"/>
          <w:color w:val="000000" w:themeColor="text1"/>
          <w:sz w:val="24"/>
          <w:szCs w:val="32"/>
          <w:highlight w:val="none"/>
          <w:lang w:val="en-US" w:eastAsia="zh-CN"/>
        </w:rPr>
        <w:t xml:space="preserve">需要</w:t>
      </w:r>
      <w:r>
        <w:rPr>
          <w:rFonts w:hint="eastAsia" w:ascii="方正仿宋_GB2312" w:hAnsi="方正仿宋_GB2312" w:eastAsia="宋体" w:cs="方正仿宋_GB2312"/>
          <w:b w:val="0"/>
          <w:bCs w:val="0"/>
          <w:color w:val="000000" w:themeColor="text1"/>
          <w:sz w:val="24"/>
          <w:szCs w:val="32"/>
          <w:highlight w:val="none"/>
          <w:lang w:eastAsia="zh-CN"/>
        </w:rPr>
        <w:t xml:space="preserve">包含：外观要求（</w:t>
      </w:r>
      <w:r>
        <w:rPr>
          <w:rFonts w:hint="eastAsia" w:ascii="Arial" w:hAnsi="Arial" w:eastAsia="Arial" w:cs="Arial"/>
          <w:b w:val="0"/>
          <w:bCs w:val="0"/>
          <w:color w:val="000000" w:themeColor="text1"/>
          <w:sz w:val="24"/>
          <w:szCs w:val="24"/>
          <w:lang w:val="en-US" w:eastAsia="zh-CN"/>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rPr>
        <w:t xml:space="preserve">、五金件、塑料件）、</w:t>
      </w:r>
      <w:r>
        <w:rPr>
          <w:rFonts w:hint="eastAsia" w:ascii="方正仿宋_GB2312" w:hAnsi="方正仿宋_GB2312" w:cs="方正仿宋_GB2312"/>
          <w:b w:val="0"/>
          <w:bCs w:val="0"/>
          <w:color w:val="000000" w:themeColor="text1"/>
          <w:sz w:val="24"/>
          <w:szCs w:val="32"/>
          <w:highlight w:val="none"/>
          <w:lang w:eastAsia="zh-CN"/>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rPr>
        <w:t xml:space="preserve">、金属拉手耐腐蚀性要求中检测时间不少于200小时、</w:t>
      </w:r>
      <w:r>
        <w:rPr>
          <w:rFonts w:hint="eastAsia" w:ascii="方正仿宋_GB2312" w:hAnsi="方正仿宋_GB2312" w:eastAsia="宋体" w:cs="方正仿宋_GB2312"/>
          <w:b w:val="0"/>
          <w:bCs w:val="0"/>
          <w:color w:val="000000" w:themeColor="text1"/>
          <w:sz w:val="24"/>
          <w:szCs w:val="32"/>
          <w:highlight w:val="none"/>
          <w:lang w:eastAsia="zh-CN"/>
        </w:rPr>
        <w:t xml:space="preserve">柜架类强度和耐久性</w:t>
      </w:r>
      <w:r>
        <w:rPr>
          <w:rFonts w:hint="eastAsia" w:ascii="方正仿宋_GB2312" w:hAnsi="方正仿宋_GB2312" w:eastAsia="宋体" w:cs="方正仿宋_GB2312"/>
          <w:b w:val="0"/>
          <w:bCs w:val="0"/>
          <w:color w:val="000000" w:themeColor="text1"/>
          <w:sz w:val="24"/>
          <w:szCs w:val="32"/>
          <w:highlight w:val="none"/>
          <w:lang w:eastAsia="zh-CN"/>
        </w:rPr>
        <w:t xml:space="preserve">、柜</w:t>
      </w:r>
      <w:r>
        <w:rPr>
          <w:rFonts w:hint="eastAsia" w:ascii="方正仿宋_GB2312" w:hAnsi="方正仿宋_GB2312" w:cs="方正仿宋_GB2312"/>
          <w:b w:val="0"/>
          <w:bCs w:val="0"/>
          <w:color w:val="000000" w:themeColor="text1"/>
          <w:sz w:val="24"/>
          <w:szCs w:val="32"/>
          <w:highlight w:val="none"/>
          <w:lang w:eastAsia="zh-CN"/>
        </w:rPr>
        <w:t xml:space="preserve">架</w:t>
      </w:r>
      <w:r>
        <w:rPr>
          <w:rFonts w:hint="eastAsia" w:ascii="方正仿宋_GB2312" w:hAnsi="方正仿宋_GB2312" w:eastAsia="宋体" w:cs="方正仿宋_GB2312"/>
          <w:b w:val="0"/>
          <w:bCs w:val="0"/>
          <w:color w:val="000000" w:themeColor="text1"/>
          <w:sz w:val="24"/>
          <w:szCs w:val="32"/>
          <w:highlight w:val="none"/>
          <w:lang w:eastAsia="zh-CN"/>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rPr>
        <w:t xml:space="preserve">）。</w:t>
      </w:r>
      <w:r>
        <w:rPr>
          <w:color w:val="000000" w:themeColor="text1"/>
        </w:rPr>
      </w:r>
      <w:r/>
    </w:p>
    <w:p>
      <w:pPr>
        <w:pStyle w:val="748"/>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eastAsia="zh-CN"/>
        </w:rPr>
        <w:t xml:space="preserve">3.学生椅（检测标准GB 20286-2006</w:t>
      </w:r>
      <w:r>
        <w:rPr>
          <w:rFonts w:hint="eastAsia" w:ascii="宋体" w:hAnsi="宋体" w:eastAsia="宋体" w:cs="宋体"/>
          <w:color w:val="000000"/>
          <w:sz w:val="24"/>
          <w:szCs w:val="21"/>
          <w:highlight w:val="none"/>
          <w:lang w:val="en-US" w:eastAsia="zh-CN" w:bidi="ar-SA"/>
        </w:rPr>
        <w:t xml:space="preserve">、</w:t>
      </w:r>
      <w:r>
        <w:rPr>
          <w:rFonts w:hint="eastAsia" w:ascii="方正仿宋_GB2312" w:hAnsi="方正仿宋_GB2312" w:eastAsia="宋体" w:cs="方正仿宋_GB2312"/>
          <w:b w:val="0"/>
          <w:bCs w:val="0"/>
          <w:color w:val="000000"/>
          <w:sz w:val="24"/>
          <w:szCs w:val="32"/>
          <w:highlight w:val="none"/>
          <w:lang w:eastAsia="zh-CN"/>
        </w:rPr>
        <w:t xml:space="preserve">《公共场所阻燃制品及组件燃烧性能要求和标识》阻燃性≥2级，QB/T4371-2012</w:t>
      </w:r>
      <w:r>
        <w:rPr>
          <w:rFonts w:hint="eastAsia" w:ascii="宋体" w:hAnsi="宋体" w:eastAsia="宋体" w:cs="宋体"/>
          <w:color w:val="000000"/>
          <w:sz w:val="24"/>
          <w:szCs w:val="21"/>
          <w:highlight w:val="none"/>
          <w:lang w:val="en-US" w:eastAsia="zh-CN" w:bidi="ar-SA"/>
        </w:rPr>
        <w:t xml:space="preserve">、</w:t>
      </w:r>
      <w:r>
        <w:rPr>
          <w:rFonts w:hint="eastAsia" w:ascii="方正仿宋_GB2312" w:hAnsi="方正仿宋_GB2312" w:eastAsia="宋体" w:cs="方正仿宋_GB2312"/>
          <w:b w:val="0"/>
          <w:bCs w:val="0"/>
          <w:color w:val="000000"/>
          <w:sz w:val="24"/>
          <w:szCs w:val="32"/>
          <w:highlight w:val="none"/>
          <w:lang w:eastAsia="zh-CN"/>
        </w:rPr>
        <w:t xml:space="preserve">《家具抗菌性能的评价》抑菌率≥99%，GB/T 20285—2006</w:t>
      </w:r>
      <w:r>
        <w:rPr>
          <w:rFonts w:hint="eastAsia" w:ascii="宋体" w:hAnsi="宋体" w:eastAsia="宋体" w:cs="宋体"/>
          <w:color w:val="000000"/>
          <w:sz w:val="24"/>
          <w:szCs w:val="21"/>
          <w:highlight w:val="none"/>
          <w:lang w:val="en-US" w:eastAsia="zh-CN" w:bidi="ar-SA"/>
        </w:rPr>
        <w:t xml:space="preserve">、</w:t>
      </w:r>
      <w:r>
        <w:rPr>
          <w:rFonts w:hint="eastAsia" w:ascii="方正仿宋_GB2312" w:hAnsi="方正仿宋_GB2312" w:eastAsia="宋体" w:cs="方正仿宋_GB2312"/>
          <w:b w:val="0"/>
          <w:bCs w:val="0"/>
          <w:color w:val="000000"/>
          <w:sz w:val="24"/>
          <w:szCs w:val="32"/>
          <w:highlight w:val="none"/>
          <w:lang w:eastAsia="zh-CN"/>
        </w:rPr>
        <w:t xml:space="preserve">《材料产烟毒性危险分级》产烟毒性危险分级</w:t>
      </w:r>
      <w:r>
        <w:rPr>
          <w:rFonts w:hint="eastAsia" w:ascii="方正仿宋_GB2312" w:hAnsi="方正仿宋_GB2312" w:cs="方正仿宋_GB2312"/>
          <w:b w:val="0"/>
          <w:bCs w:val="0"/>
          <w:color w:val="000000"/>
          <w:sz w:val="24"/>
          <w:szCs w:val="32"/>
          <w:highlight w:val="none"/>
          <w:lang w:val="en-US"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ZA</w:t>
      </w:r>
      <w:r>
        <w:rPr>
          <w:rFonts w:hint="eastAsia" w:ascii="方正仿宋_GB2312" w:hAnsi="方正仿宋_GB2312" w:cs="方正仿宋_GB2312"/>
          <w:b w:val="0"/>
          <w:bCs w:val="0"/>
          <w:color w:val="000000"/>
          <w:sz w:val="24"/>
          <w:szCs w:val="32"/>
          <w:highlight w:val="none"/>
          <w:lang w:val="en-US" w:eastAsia="zh-CN"/>
        </w:rPr>
        <w:t xml:space="preserve">1</w:t>
      </w:r>
      <w:r>
        <w:rPr>
          <w:rFonts w:hint="eastAsia" w:ascii="方正仿宋_GB2312" w:hAnsi="方正仿宋_GB2312" w:eastAsia="宋体" w:cs="方正仿宋_GB2312"/>
          <w:b w:val="0"/>
          <w:bCs w:val="0"/>
          <w:color w:val="000000"/>
          <w:sz w:val="24"/>
          <w:szCs w:val="32"/>
          <w:highlight w:val="none"/>
          <w:lang w:eastAsia="zh-CN"/>
        </w:rPr>
        <w:t xml:space="preserve">级）。</w:t>
      </w:r>
      <w:r>
        <w:rPr>
          <w:rFonts w:hint="eastAsia" w:ascii="方正仿宋_GB2312" w:hAnsi="方正仿宋_GB2312" w:eastAsia="宋体" w:cs="方正仿宋_GB2312"/>
          <w:b w:val="0"/>
          <w:bCs w:val="0"/>
          <w:color w:val="000000"/>
          <w:sz w:val="24"/>
          <w:szCs w:val="32"/>
          <w:highlight w:val="none"/>
        </w:rPr>
      </w:r>
      <w:r/>
    </w:p>
    <w:p>
      <w:pPr>
        <w:pStyle w:val="748"/>
        <w:ind w:firstLine="482"/>
        <w:jc w:val="left"/>
        <w:spacing w:line="560" w:lineRule="exact"/>
        <w:widowControl/>
        <w:rPr>
          <w:rFonts w:hint="eastAsia" w:ascii="方正仿宋_GB2312" w:hAnsi="方正仿宋_GB2312" w:eastAsia="宋体" w:cs="方正仿宋_GB2312"/>
          <w:b/>
          <w:bCs/>
          <w:color w:val="000000"/>
          <w:sz w:val="24"/>
          <w:szCs w:val="32"/>
          <w:highlight w:val="none"/>
        </w:rPr>
      </w:pPr>
      <w:r>
        <w:rPr>
          <w:rFonts w:hint="eastAsia" w:ascii="方正仿宋_GB2312" w:hAnsi="方正仿宋_GB2312" w:eastAsia="宋体" w:cs="方正仿宋_GB2312"/>
          <w:b/>
          <w:bCs/>
          <w:color w:val="000000"/>
          <w:sz w:val="24"/>
          <w:szCs w:val="32"/>
          <w:highlight w:val="none"/>
          <w:lang w:val="en-US" w:eastAsia="zh-CN"/>
        </w:rPr>
        <w:t xml:space="preserve">4.2 </w:t>
      </w:r>
      <w:r>
        <w:rPr>
          <w:rFonts w:hint="eastAsia" w:ascii="方正仿宋_GB2312" w:hAnsi="方正仿宋_GB2312" w:eastAsia="宋体" w:cs="方正仿宋_GB2312"/>
          <w:b/>
          <w:bCs/>
          <w:color w:val="000000"/>
          <w:sz w:val="24"/>
          <w:szCs w:val="32"/>
          <w:highlight w:val="none"/>
          <w:lang w:eastAsia="zh-CN"/>
        </w:rPr>
        <w:t xml:space="preserve">投标人提供自202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年1月1日（以报告签发时间为准）以来权威检测机构出具的带有CMA标识的原材料</w:t>
      </w:r>
      <w:r>
        <w:rPr>
          <w:rFonts w:hint="eastAsia" w:ascii="方正仿宋_GB2312" w:hAnsi="方正仿宋_GB2312" w:cs="方正仿宋_GB2312"/>
          <w:b/>
          <w:bCs/>
          <w:color w:val="000000"/>
          <w:sz w:val="24"/>
          <w:szCs w:val="32"/>
          <w:highlight w:val="none"/>
          <w:lang w:val="en-US" w:eastAsia="zh-CN"/>
        </w:rPr>
        <w:t xml:space="preserve">送样</w:t>
      </w:r>
      <w:r>
        <w:rPr>
          <w:rFonts w:hint="eastAsia" w:ascii="方正仿宋_GB2312" w:hAnsi="方正仿宋_GB2312" w:eastAsia="宋体" w:cs="方正仿宋_GB2312"/>
          <w:b/>
          <w:bCs/>
          <w:color w:val="000000"/>
          <w:sz w:val="24"/>
          <w:szCs w:val="32"/>
          <w:highlight w:val="none"/>
          <w:lang w:eastAsia="zh-CN"/>
        </w:rPr>
        <w:t xml:space="preserve">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rPr>
          <w:rFonts w:hint="eastAsia" w:ascii="方正仿宋_GB2312" w:hAnsi="方正仿宋_GB2312" w:eastAsia="宋体" w:cs="方正仿宋_GB2312"/>
          <w:b/>
          <w:bCs/>
          <w:color w:val="000000"/>
          <w:sz w:val="24"/>
          <w:szCs w:val="32"/>
          <w:highlight w:val="none"/>
        </w:rPr>
      </w:r>
      <w:r/>
    </w:p>
    <w:p>
      <w:pPr>
        <w:pStyle w:val="748"/>
        <w:ind w:firstLine="480"/>
        <w:jc w:val="left"/>
        <w:spacing w:line="360" w:lineRule="auto"/>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eastAsia="zh-CN"/>
        </w:rPr>
        <w:t xml:space="preserve">1.多层实木板：依据GB18580-20</w:t>
      </w:r>
      <w:r>
        <w:rPr>
          <w:rFonts w:hint="eastAsia" w:ascii="方正仿宋_GB2312" w:hAnsi="方正仿宋_GB2312" w:cs="方正仿宋_GB2312"/>
          <w:b w:val="0"/>
          <w:bCs w:val="0"/>
          <w:color w:val="000000"/>
          <w:sz w:val="24"/>
          <w:szCs w:val="32"/>
          <w:highlight w:val="none"/>
          <w:lang w:val="en-US" w:eastAsia="zh-CN"/>
        </w:rPr>
        <w:t xml:space="preserve">17</w:t>
      </w:r>
      <w:r>
        <w:rPr>
          <w:rFonts w:hint="eastAsia" w:ascii="方正仿宋_GB2312" w:hAnsi="方正仿宋_GB2312" w:eastAsia="宋体" w:cs="方正仿宋_GB2312"/>
          <w:b w:val="0"/>
          <w:bCs w:val="0"/>
          <w:color w:val="000000"/>
          <w:sz w:val="24"/>
          <w:szCs w:val="32"/>
          <w:highlight w:val="none"/>
          <w:lang w:eastAsia="zh-CN"/>
        </w:rPr>
        <w:t xml:space="preserve">《室内装饰装修材料人造板及其制品中甲醛释放限量》GB/T 39600-2021《人造板及其制品甲醛释放量分级》</w:t>
      </w:r>
      <w:r>
        <w:rPr>
          <w:rFonts w:hint="eastAsia" w:ascii="宋体" w:hAnsi="宋体" w:cs="微软雅黑"/>
          <w:color w:val="000000"/>
          <w:highlight w:val="none"/>
          <w:lang w:val="en-US" w:eastAsia="zh-CN"/>
        </w:rPr>
        <w:t xml:space="preserve">GB 8624-2012《建筑材料及制品燃烧性能分级》</w:t>
      </w:r>
      <w:r>
        <w:rPr>
          <w:rFonts w:hint="eastAsia" w:ascii="方正仿宋_GB2312" w:hAnsi="方正仿宋_GB2312" w:eastAsia="宋体" w:cs="方正仿宋_GB2312"/>
          <w:b w:val="0"/>
          <w:bCs w:val="0"/>
          <w:color w:val="000000"/>
          <w:sz w:val="24"/>
          <w:szCs w:val="32"/>
          <w:highlight w:val="none"/>
          <w:lang w:eastAsia="zh-CN"/>
        </w:rPr>
        <w:t xml:space="preserve">；</w:t>
      </w:r>
      <w:r>
        <w:rPr>
          <w:rFonts w:hint="eastAsia" w:ascii="宋体" w:hAnsi="宋体" w:cs="微软雅黑"/>
          <w:color w:val="000000"/>
          <w:sz w:val="21"/>
          <w:szCs w:val="21"/>
          <w:highlight w:val="none"/>
        </w:rPr>
        <w:t xml:space="preserve">甲醛释放量≤0.050mg/m³；苯、甲苯、二甲苯释放量符合要求；TVOC≤0.05mg/m³</w:t>
      </w:r>
      <w:r>
        <w:rPr>
          <w:rFonts w:hint="eastAsia" w:ascii="宋体" w:hAnsi="宋体" w:cs="微软雅黑"/>
          <w:color w:val="000000"/>
          <w:sz w:val="21"/>
          <w:szCs w:val="21"/>
          <w:highlight w:val="none"/>
          <w:lang w:val="en-US" w:eastAsia="zh-CN"/>
        </w:rPr>
        <w:t xml:space="preserve">,</w:t>
      </w:r>
      <w:r>
        <w:rPr>
          <w:rFonts w:hint="eastAsia" w:ascii="宋体" w:hAnsi="宋体" w:cs="宋体"/>
          <w:color w:val="000000"/>
          <w:sz w:val="24"/>
          <w:szCs w:val="21"/>
          <w:highlight w:val="none"/>
          <w:lang w:val="en-US" w:eastAsia="zh-CN" w:bidi="ar-SA"/>
        </w:rPr>
        <w:t xml:space="preserve">燃烧性能</w:t>
      </w:r>
      <w:r>
        <w:rPr>
          <w:rFonts w:hint="eastAsia" w:ascii="宋体" w:hAnsi="宋体" w:eastAsia="宋体" w:cs="宋体"/>
          <w:color w:val="000000"/>
          <w:sz w:val="24"/>
          <w:szCs w:val="21"/>
          <w:highlight w:val="none"/>
          <w:lang w:val="en-US" w:eastAsia="zh-CN" w:bidi="ar-SA"/>
        </w:rPr>
        <w:t xml:space="preserve">等级不低于B1级</w:t>
      </w:r>
      <w:r>
        <w:rPr>
          <w:rFonts w:hint="eastAsia" w:ascii="方正仿宋_GB2312" w:hAnsi="方正仿宋_GB2312" w:eastAsia="宋体" w:cs="方正仿宋_GB2312"/>
          <w:b w:val="0"/>
          <w:bCs w:val="0"/>
          <w:color w:val="000000"/>
          <w:sz w:val="24"/>
          <w:szCs w:val="32"/>
          <w:highlight w:val="none"/>
        </w:rPr>
      </w:r>
      <w:r/>
    </w:p>
    <w:p>
      <w:pPr>
        <w:pStyle w:val="748"/>
        <w:ind w:firstLine="480"/>
        <w:jc w:val="left"/>
        <w:spacing w:line="560" w:lineRule="exact"/>
        <w:widowControl/>
        <w:rPr>
          <w:rFonts w:hint="eastAsia" w:ascii="方正仿宋_GB2312" w:hAnsi="方正仿宋_GB2312" w:cs="方正仿宋_GB2312"/>
          <w:b w:val="0"/>
          <w:bCs w:val="0"/>
          <w:color w:val="000000"/>
          <w:sz w:val="24"/>
          <w:szCs w:val="32"/>
          <w:highlight w:val="none"/>
        </w:rPr>
      </w:pPr>
      <w:r>
        <w:rPr>
          <w:rFonts w:hint="eastAsia" w:ascii="方正仿宋_GB2312" w:hAnsi="方正仿宋_GB2312" w:cs="方正仿宋_GB2312"/>
          <w:b w:val="0"/>
          <w:bCs w:val="0"/>
          <w:color w:val="000000"/>
          <w:sz w:val="24"/>
          <w:szCs w:val="32"/>
          <w:highlight w:val="none"/>
          <w:lang w:val="en-US" w:eastAsia="zh-CN"/>
        </w:rPr>
        <w:t xml:space="preserve">2.</w:t>
      </w:r>
      <w:r>
        <w:rPr>
          <w:rFonts w:hint="eastAsia" w:ascii="方正仿宋_GB2312" w:hAnsi="方正仿宋_GB2312" w:eastAsia="宋体" w:cs="方正仿宋_GB2312"/>
          <w:b w:val="0"/>
          <w:bCs w:val="0"/>
          <w:color w:val="000000"/>
          <w:sz w:val="24"/>
          <w:szCs w:val="32"/>
          <w:highlight w:val="none"/>
          <w:lang w:eastAsia="zh-CN"/>
        </w:rPr>
        <w:t xml:space="preserve">封边条：依据包括但不限于</w:t>
      </w:r>
      <w:r>
        <w:rPr>
          <w:rFonts w:hint="eastAsia" w:ascii="方正仿宋_GB2312" w:hAnsi="方正仿宋_GB2312"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抗菌性能：抗菌率≥99%（依据GB/T 31402-2023）</w:t>
      </w:r>
      <w:r>
        <w:rPr>
          <w:rFonts w:hint="eastAsia" w:ascii="方正仿宋_GB2312" w:hAnsi="方正仿宋_GB2312" w:cs="方正仿宋_GB2312"/>
          <w:b w:val="0"/>
          <w:bCs w:val="0"/>
          <w:color w:val="000000"/>
          <w:sz w:val="24"/>
          <w:szCs w:val="32"/>
          <w:highlight w:val="none"/>
          <w:lang w:val="en-US" w:eastAsia="zh-CN"/>
        </w:rPr>
        <w:t xml:space="preserve">.</w:t>
      </w:r>
      <w:r>
        <w:rPr>
          <w:rFonts w:hint="eastAsia" w:ascii="Arial" w:hAnsi="Arial" w:eastAsia="Arial" w:cs="Arial"/>
          <w:b w:val="0"/>
          <w:bCs w:val="0"/>
          <w:color w:val="000000"/>
          <w:sz w:val="24"/>
          <w:szCs w:val="24"/>
        </w:rPr>
        <w:t xml:space="preserve"> QB/T 4463-2025《家具用封边条》，</w:t>
      </w:r>
      <w:r>
        <w:rPr>
          <w:rFonts w:hint="eastAsia" w:ascii="Arial" w:hAnsi="Arial" w:eastAsia="Arial" w:cs="Arial"/>
          <w:b w:val="0"/>
          <w:bCs w:val="0"/>
          <w:color w:val="000000"/>
          <w:sz w:val="24"/>
          <w:szCs w:val="24"/>
          <w:u w:val="single"/>
        </w:rPr>
        <w:t xml:space="preserve">甲醛释放量、可迁移元素(可溶性重金属)邻苯二甲酸酯：未检出， 耐磨性：磨</w:t>
      </w:r>
      <w:r>
        <w:rPr>
          <w:rFonts w:hint="eastAsia" w:ascii="Arial" w:hAnsi="Arial" w:eastAsia="Arial" w:cs="Arial"/>
          <w:b w:val="0"/>
          <w:bCs w:val="0"/>
          <w:color w:val="000000"/>
          <w:sz w:val="24"/>
          <w:szCs w:val="24"/>
          <w:u w:val="single"/>
          <w:lang w:val="en-US" w:eastAsia="zh-CN"/>
        </w:rPr>
        <w:t xml:space="preserve">40</w:t>
      </w:r>
      <w:r>
        <w:rPr>
          <w:rFonts w:hint="eastAsia" w:ascii="Arial" w:hAnsi="Arial" w:eastAsia="Arial" w:cs="Arial"/>
          <w:b w:val="0"/>
          <w:bCs w:val="0"/>
          <w:color w:val="000000"/>
          <w:sz w:val="24"/>
          <w:szCs w:val="24"/>
          <w:u w:val="single"/>
        </w:rPr>
        <w:t xml:space="preserve">r后，应无露底现象；耐干热性≥四级【70℃】;  耐光色牢度(灰色样卡)≥4级。</w:t>
      </w:r>
      <w:r>
        <w:rPr>
          <w:rFonts w:hint="eastAsia" w:ascii="方正仿宋_GB2312" w:hAnsi="方正仿宋_GB2312" w:cs="方正仿宋_GB2312"/>
          <w:b w:val="0"/>
          <w:bCs w:val="0"/>
          <w:color w:val="000000"/>
          <w:sz w:val="24"/>
          <w:szCs w:val="32"/>
          <w:highlight w:val="none"/>
        </w:rPr>
      </w:r>
      <w:r/>
    </w:p>
    <w:p>
      <w:pPr>
        <w:pStyle w:val="748"/>
        <w:ind w:firstLine="0"/>
        <w:jc w:val="left"/>
        <w:spacing w:line="360" w:lineRule="auto"/>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cs="方正仿宋_GB2312"/>
          <w:b w:val="0"/>
          <w:bCs w:val="0"/>
          <w:color w:val="000000"/>
          <w:sz w:val="24"/>
          <w:szCs w:val="32"/>
          <w:highlight w:val="none"/>
          <w:lang w:val="en-US" w:eastAsia="zh-CN"/>
        </w:rPr>
        <w:t xml:space="preserve">3.</w:t>
      </w:r>
      <w:r>
        <w:rPr>
          <w:rFonts w:hint="eastAsia" w:ascii="方正仿宋_GB2312" w:hAnsi="方正仿宋_GB2312" w:eastAsia="宋体" w:cs="方正仿宋_GB2312"/>
          <w:b w:val="0"/>
          <w:bCs w:val="0"/>
          <w:color w:val="000000"/>
          <w:sz w:val="24"/>
          <w:szCs w:val="32"/>
          <w:highlight w:val="none"/>
          <w:lang w:eastAsia="zh-CN"/>
        </w:rPr>
        <w:t xml:space="preserve">钢管:依据包括但不限于GB/T 3325-2024《金属家具通用技术条件》、GB/T 10125-2021《人造气氛腐蚀试验 盐雾试验》、GB/T 35607-2024</w:t>
      </w:r>
      <w:r>
        <w:rPr>
          <w:rFonts w:hint="eastAsia" w:ascii="宋体" w:hAnsi="宋体" w:eastAsia="宋体" w:cs="宋体"/>
          <w:color w:val="000000"/>
          <w:sz w:val="24"/>
          <w:szCs w:val="21"/>
          <w:highlight w:val="none"/>
          <w:lang w:val="en-US" w:eastAsia="zh-CN" w:bidi="ar-SA"/>
        </w:rPr>
        <w:t xml:space="preserve">、</w:t>
      </w:r>
      <w:r>
        <w:rPr>
          <w:rFonts w:hint="eastAsia" w:ascii="方正仿宋_GB2312" w:hAnsi="方正仿宋_GB2312" w:eastAsia="宋体" w:cs="方正仿宋_GB2312"/>
          <w:b w:val="0"/>
          <w:bCs w:val="0"/>
          <w:color w:val="000000"/>
          <w:sz w:val="24"/>
          <w:szCs w:val="32"/>
          <w:highlight w:val="none"/>
          <w:lang w:eastAsia="zh-CN"/>
        </w:rPr>
        <w:t xml:space="preserve">《绿色产品评价 家具》、GB/T 228.1-2021《金属材料 拉伸试验 第1部分：室温试验方法》、GB/T 1741-2020《漆膜耐霉菌性测定法</w:t>
      </w:r>
      <w:r>
        <w:rPr>
          <w:rFonts w:hint="eastAsia" w:ascii="方正仿宋_GB2312" w:hAnsi="方正仿宋_GB2312" w:eastAsia="宋体" w:cs="方正仿宋_GB2312"/>
          <w:b w:val="0"/>
          <w:bCs w:val="0"/>
          <w:color w:val="000000" w:themeColor="text1"/>
          <w:sz w:val="24"/>
          <w:szCs w:val="32"/>
          <w:highlight w:val="none"/>
          <w:lang w:eastAsia="zh-CN"/>
        </w:rPr>
        <w:t xml:space="preserve">》</w:t>
      </w:r>
      <w:r>
        <w:rPr>
          <w:rFonts w:hint="eastAsia" w:ascii="方正仿宋_GB2312" w:hAnsi="方正仿宋_GB2312" w:cs="方正仿宋_GB2312"/>
          <w:b w:val="0"/>
          <w:bCs w:val="0"/>
          <w:color w:val="000000" w:themeColor="text1"/>
          <w:sz w:val="24"/>
          <w:szCs w:val="32"/>
          <w:highlight w:val="none"/>
          <w:lang w:val="en-US" w:eastAsia="zh-CN"/>
        </w:rPr>
        <w:t xml:space="preserve">GB/T 6739-2022</w:t>
      </w:r>
      <w:r>
        <w:rPr>
          <w:rFonts w:hint="eastAsia" w:ascii="方正仿宋_GB2312" w:hAnsi="方正仿宋_GB2312" w:eastAsia="宋体" w:cs="方正仿宋_GB2312"/>
          <w:b w:val="0"/>
          <w:bCs w:val="0"/>
          <w:color w:val="000000" w:themeColor="text1"/>
          <w:sz w:val="24"/>
          <w:szCs w:val="32"/>
          <w:highlight w:val="none"/>
          <w:lang w:eastAsia="zh-CN"/>
        </w:rPr>
        <w:t xml:space="preserve">：1.</w:t>
      </w:r>
      <w:r>
        <w:rPr>
          <w:rFonts w:hint="eastAsia" w:ascii="方正仿宋_GB2312" w:hAnsi="方正仿宋_GB2312" w:cs="方正仿宋_GB2312"/>
          <w:b w:val="0"/>
          <w:bCs w:val="0"/>
          <w:color w:val="000000" w:themeColor="text1"/>
          <w:sz w:val="24"/>
          <w:szCs w:val="32"/>
          <w:highlight w:val="none"/>
          <w:lang w:eastAsia="zh-CN"/>
        </w:rPr>
        <w:t xml:space="preserve">外观性能金属件喷漆(塑)涂层</w:t>
      </w:r>
      <w:r>
        <w:rPr>
          <w:rFonts w:hint="eastAsia" w:ascii="Arial" w:hAnsi="Arial" w:eastAsia="Arial" w:cs="Arial"/>
          <w:b w:val="0"/>
          <w:bCs w:val="0"/>
          <w:color w:val="000000" w:themeColor="text1"/>
          <w:sz w:val="24"/>
          <w:szCs w:val="24"/>
          <w:lang w:val="en-US" w:eastAsia="zh-CN"/>
        </w:rPr>
        <w:t xml:space="preserve">：应无漏喷、锈蚀、脱色、掉色等；应光滑均匀，色泽一致，应无流挂、疙瘩、皱皮、飞漆等</w:t>
      </w:r>
      <w:r>
        <w:rPr>
          <w:rFonts w:hint="eastAsia" w:ascii="方正仿宋_GB2312" w:hAnsi="方正仿宋_GB2312" w:eastAsia="宋体" w:cs="方正仿宋_GB2312"/>
          <w:b w:val="0"/>
          <w:bCs w:val="0"/>
          <w:color w:val="000000" w:themeColor="text1"/>
          <w:sz w:val="24"/>
          <w:szCs w:val="32"/>
          <w:highlight w:val="none"/>
          <w:lang w:eastAsia="zh-CN"/>
        </w:rPr>
        <w:t xml:space="preserve">。2.金属喷漆(塑)涂层硬度≥</w:t>
      </w:r>
      <w:r>
        <w:rPr>
          <w:rFonts w:hint="eastAsia" w:ascii="方正仿宋_GB2312" w:hAnsi="方正仿宋_GB2312" w:cs="方正仿宋_GB2312"/>
          <w:b w:val="0"/>
          <w:bCs w:val="0"/>
          <w:color w:val="000000" w:themeColor="text1"/>
          <w:sz w:val="24"/>
          <w:szCs w:val="32"/>
          <w:highlight w:val="none"/>
          <w:lang w:val="en-US" w:eastAsia="zh-CN"/>
        </w:rPr>
        <w:t xml:space="preserve">5</w:t>
      </w:r>
      <w:r>
        <w:rPr>
          <w:rFonts w:hint="eastAsia" w:ascii="方正仿宋_GB2312" w:hAnsi="方正仿宋_GB2312" w:eastAsia="宋体" w:cs="方正仿宋_GB2312"/>
          <w:b w:val="0"/>
          <w:bCs w:val="0"/>
          <w:color w:val="000000" w:themeColor="text1"/>
          <w:sz w:val="24"/>
          <w:szCs w:val="32"/>
          <w:highlight w:val="none"/>
          <w:lang w:eastAsia="zh-CN"/>
        </w:rPr>
        <w:t xml:space="preserve">H,附着力达到</w:t>
      </w:r>
      <w:r>
        <w:rPr>
          <w:rFonts w:hint="eastAsia" w:ascii="方正仿宋_GB2312" w:hAnsi="方正仿宋_GB2312" w:eastAsia="宋体" w:cs="方正仿宋_GB2312"/>
          <w:b w:val="0"/>
          <w:bCs w:val="0"/>
          <w:color w:val="000000" w:themeColor="text1"/>
          <w:sz w:val="24"/>
          <w:szCs w:val="32"/>
          <w:highlight w:val="none"/>
          <w:lang w:val="en-US" w:eastAsia="zh-CN"/>
        </w:rPr>
        <w:t xml:space="preserve">不低于</w:t>
      </w:r>
      <w:r>
        <w:rPr>
          <w:rFonts w:hint="eastAsia" w:ascii="方正仿宋_GB2312" w:hAnsi="方正仿宋_GB2312" w:eastAsia="宋体" w:cs="方正仿宋_GB2312"/>
          <w:b w:val="0"/>
          <w:bCs w:val="0"/>
          <w:color w:val="000000" w:themeColor="text1"/>
          <w:sz w:val="24"/>
          <w:szCs w:val="32"/>
          <w:highlight w:val="none"/>
          <w:lang w:eastAsia="zh-CN"/>
        </w:rPr>
        <w:t xml:space="preserve">1级，冲击强度、</w:t>
      </w:r>
      <w:r>
        <w:rPr>
          <w:rFonts w:hint="eastAsia" w:ascii="Arial" w:hAnsi="Arial" w:eastAsia="Arial" w:cs="Arial"/>
          <w:b w:val="0"/>
          <w:bCs w:val="0"/>
          <w:color w:val="000000" w:themeColor="text1"/>
          <w:sz w:val="24"/>
          <w:szCs w:val="24"/>
          <w:lang w:val="en-US" w:eastAsia="zh-CN"/>
        </w:rPr>
        <w:t xml:space="preserve">耐盐浴:划道两侧3mm外，应无鼓泡、锈蚀、剥落和起皱等现象</w:t>
      </w:r>
      <w:r>
        <w:rPr>
          <w:rFonts w:hint="eastAsia" w:ascii="Arial" w:hAnsi="Arial" w:eastAsia="Arial" w:cs="Arial"/>
          <w:b w:val="0"/>
          <w:bCs w:val="0"/>
          <w:color w:val="000000" w:themeColor="text1"/>
          <w:sz w:val="24"/>
          <w:szCs w:val="24"/>
          <w:lang w:val="en-US" w:eastAsia="zh-CN"/>
        </w:rPr>
        <w:t xml:space="preserve">。</w:t>
      </w:r>
      <w:r>
        <w:rPr>
          <w:rFonts w:hint="eastAsia" w:ascii="方正仿宋_GB2312" w:hAnsi="方正仿宋_GB2312" w:eastAsia="宋体" w:cs="方正仿宋_GB2312"/>
          <w:b w:val="0"/>
          <w:bCs w:val="0"/>
          <w:color w:val="000000" w:themeColor="text1"/>
          <w:sz w:val="24"/>
          <w:szCs w:val="32"/>
          <w:highlight w:val="none"/>
          <w:lang w:eastAsia="zh-CN"/>
        </w:rPr>
        <w:t xml:space="preserve">3.中性盐雾试验、乙酸盐雾试验、铜加速乙酸盐雾试验、铜加速乙酸盐雾试验连续喷雾≥</w:t>
      </w:r>
      <w:r>
        <w:rPr>
          <w:rFonts w:hint="eastAsia" w:ascii="方正仿宋_GB2312" w:hAnsi="方正仿宋_GB2312" w:cs="方正仿宋_GB2312"/>
          <w:b w:val="0"/>
          <w:bCs w:val="0"/>
          <w:color w:val="000000" w:themeColor="text1"/>
          <w:sz w:val="24"/>
          <w:szCs w:val="32"/>
          <w:highlight w:val="none"/>
          <w:lang w:val="en-US" w:eastAsia="zh-CN"/>
        </w:rPr>
        <w:t xml:space="preserve">2</w:t>
      </w:r>
      <w:r>
        <w:rPr>
          <w:rFonts w:hint="eastAsia" w:ascii="方正仿宋_GB2312" w:hAnsi="方正仿宋_GB2312" w:eastAsia="宋体" w:cs="方正仿宋_GB2312"/>
          <w:b w:val="0"/>
          <w:bCs w:val="0"/>
          <w:color w:val="000000" w:themeColor="text1"/>
          <w:sz w:val="24"/>
          <w:szCs w:val="32"/>
          <w:highlight w:val="none"/>
          <w:lang w:eastAsia="zh-CN"/>
        </w:rPr>
        <w:t xml:space="preserve">00h,镀层本身的耐腐蚀等级和</w:t>
      </w:r>
      <w:r>
        <w:rPr>
          <w:rFonts w:hint="eastAsia" w:ascii="方正仿宋_GB2312" w:hAnsi="方正仿宋_GB2312" w:eastAsia="宋体" w:cs="方正仿宋_GB2312"/>
          <w:b w:val="0"/>
          <w:bCs w:val="0"/>
          <w:color w:val="000000"/>
          <w:sz w:val="24"/>
          <w:szCs w:val="32"/>
          <w:highlight w:val="none"/>
          <w:lang w:eastAsia="zh-CN"/>
        </w:rPr>
        <w:t xml:space="preserve">镀层对基体的保护等级≥10级；4.产品有害物质8项元素均未检出</w:t>
      </w:r>
      <w:r>
        <w:rPr>
          <w:rFonts w:hint="eastAsia" w:ascii="方正仿宋_GB2312" w:hAnsi="方正仿宋_GB2312"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rPr>
      </w:r>
      <w:r/>
    </w:p>
    <w:p>
      <w:pPr>
        <w:pStyle w:val="748"/>
        <w:ind w:firstLine="240"/>
        <w:spacing w:line="360" w:lineRule="auto"/>
        <w:rPr>
          <w:rFonts w:hint="eastAsia" w:ascii="Arial" w:hAnsi="Arial" w:eastAsia="Arial" w:cs="Arial"/>
          <w:color w:val="000000"/>
          <w:sz w:val="24"/>
          <w:szCs w:val="24"/>
          <w:u w:val="single"/>
        </w:rPr>
      </w:pPr>
      <w:r>
        <w:rPr>
          <w:rFonts w:hint="eastAsia" w:ascii="方正仿宋_GB2312" w:hAnsi="方正仿宋_GB2312" w:eastAsia="宋体" w:cs="方正仿宋_GB2312"/>
          <w:b w:val="0"/>
          <w:bCs w:val="0"/>
          <w:color w:val="000000"/>
          <w:sz w:val="24"/>
          <w:szCs w:val="32"/>
          <w:highlight w:val="none"/>
          <w:lang w:eastAsia="zh-CN"/>
        </w:rPr>
        <w:t xml:space="preserve">4.铰链（阻尼门铰）：依据GB/T 10125-2021</w:t>
      </w:r>
      <w:r>
        <w:rPr>
          <w:rFonts w:hint="eastAsia" w:ascii="宋体" w:hAnsi="宋体" w:eastAsia="宋体" w:cs="宋体"/>
          <w:color w:val="000000"/>
          <w:sz w:val="24"/>
          <w:szCs w:val="21"/>
          <w:highlight w:val="none"/>
          <w:lang w:val="en-US" w:eastAsia="zh-CN" w:bidi="ar-SA"/>
        </w:rPr>
        <w:t xml:space="preserve">、</w:t>
      </w:r>
      <w:r>
        <w:rPr>
          <w:rFonts w:hint="eastAsia" w:ascii="方正仿宋_GB2312" w:hAnsi="方正仿宋_GB2312" w:eastAsia="宋体" w:cs="方正仿宋_GB2312"/>
          <w:b w:val="0"/>
          <w:bCs w:val="0"/>
          <w:color w:val="000000"/>
          <w:sz w:val="24"/>
          <w:szCs w:val="32"/>
          <w:highlight w:val="none"/>
          <w:lang w:eastAsia="zh-CN"/>
        </w:rPr>
        <w:t xml:space="preserve">《人造气氛腐蚀试验 盐雾试验》，中性盐雾试验（</w:t>
      </w:r>
      <w:r>
        <w:rPr>
          <w:rFonts w:hint="eastAsia" w:ascii="方正仿宋_GB2312" w:hAnsi="方正仿宋_GB2312" w:cs="方正仿宋_GB2312"/>
          <w:b w:val="0"/>
          <w:bCs w:val="0"/>
          <w:color w:val="000000"/>
          <w:sz w:val="24"/>
          <w:szCs w:val="32"/>
          <w:highlight w:val="none"/>
          <w:lang w:val="en-US" w:eastAsia="zh-CN"/>
        </w:rPr>
        <w:t xml:space="preserve">200</w:t>
      </w:r>
      <w:r>
        <w:rPr>
          <w:rFonts w:hint="eastAsia" w:ascii="方正仿宋_GB2312" w:hAnsi="方正仿宋_GB2312" w:eastAsia="宋体" w:cs="方正仿宋_GB2312"/>
          <w:b w:val="0"/>
          <w:bCs w:val="0"/>
          <w:color w:val="000000"/>
          <w:sz w:val="24"/>
          <w:szCs w:val="32"/>
          <w:highlight w:val="none"/>
          <w:lang w:eastAsia="zh-CN"/>
        </w:rPr>
        <w:t xml:space="preserve">h）≥10级</w:t>
      </w:r>
      <w:r>
        <w:rPr>
          <w:rFonts w:hint="eastAsia" w:ascii="方正仿宋_GB2312" w:hAnsi="方正仿宋_GB2312" w:cs="方正仿宋_GB2312"/>
          <w:b w:val="0"/>
          <w:bCs w:val="0"/>
          <w:color w:val="000000"/>
          <w:sz w:val="24"/>
          <w:szCs w:val="32"/>
          <w:highlight w:val="none"/>
          <w:lang w:eastAsia="zh-CN"/>
        </w:rPr>
        <w:t xml:space="preserve">。QB/T 2189-2013</w:t>
      </w:r>
      <w:r>
        <w:rPr>
          <w:rFonts w:hint="eastAsia" w:ascii="宋体" w:hAnsi="宋体" w:eastAsia="宋体" w:cs="宋体"/>
          <w:color w:val="000000"/>
          <w:sz w:val="24"/>
          <w:szCs w:val="21"/>
          <w:highlight w:val="none"/>
          <w:lang w:val="en-US" w:eastAsia="zh-CN" w:bidi="ar-SA"/>
        </w:rPr>
        <w:t xml:space="preserve">、</w:t>
      </w:r>
      <w:r>
        <w:rPr>
          <w:rFonts w:hint="eastAsia" w:ascii="方正仿宋_GB2312" w:hAnsi="方正仿宋_GB2312" w:cs="方正仿宋_GB2312"/>
          <w:b w:val="0"/>
          <w:bCs w:val="0"/>
          <w:color w:val="000000"/>
          <w:sz w:val="24"/>
          <w:szCs w:val="32"/>
          <w:highlight w:val="none"/>
          <w:lang w:eastAsia="zh-CN"/>
        </w:rPr>
        <w:t xml:space="preserve">《家具五金 杯状暗铰链》</w:t>
      </w:r>
      <w:r>
        <w:rPr>
          <w:rFonts w:hint="eastAsia" w:ascii="Arial" w:hAnsi="Arial" w:eastAsia="Arial" w:cs="Arial"/>
          <w:color w:val="000000"/>
          <w:sz w:val="24"/>
          <w:szCs w:val="24"/>
          <w:u w:val="single"/>
        </w:rPr>
        <w:t xml:space="preserve">耐久性：10万次，操作力：  在耐久性试验前后，打开力和关闭力不应大于20N,下沉量≤1mm;</w:t>
      </w:r>
      <w:r>
        <w:rPr>
          <w:rFonts w:hint="eastAsia" w:ascii="Arial" w:hAnsi="Arial" w:eastAsia="Arial" w:cs="Arial"/>
          <w:color w:val="000000"/>
          <w:sz w:val="24"/>
          <w:szCs w:val="24"/>
          <w:u w:val="single"/>
        </w:rPr>
      </w:r>
      <w:r/>
    </w:p>
    <w:p>
      <w:pPr>
        <w:pStyle w:val="748"/>
        <w:ind w:firstLine="480"/>
        <w:jc w:val="left"/>
        <w:spacing w:line="560" w:lineRule="exact"/>
        <w:widowControl/>
        <w:rPr>
          <w:rFonts w:hint="eastAsia" w:ascii="方正仿宋_GB2312" w:hAnsi="方正仿宋_GB2312" w:cs="方正仿宋_GB2312"/>
          <w:b w:val="0"/>
          <w:bCs w:val="0"/>
          <w:color w:val="000000"/>
          <w:sz w:val="24"/>
          <w:szCs w:val="32"/>
          <w:highlight w:val="none"/>
          <w:lang w:val="en-US" w:eastAsia="zh-CN"/>
        </w:rPr>
      </w:pPr>
      <w:r>
        <w:rPr>
          <w:rFonts w:hint="eastAsia" w:ascii="方正仿宋_GB2312" w:hAnsi="方正仿宋_GB2312" w:eastAsia="宋体" w:cs="方正仿宋_GB2312"/>
          <w:b w:val="0"/>
          <w:bCs w:val="0"/>
          <w:color w:val="000000"/>
          <w:sz w:val="24"/>
          <w:szCs w:val="32"/>
          <w:highlight w:val="none"/>
          <w:lang w:eastAsia="zh-CN"/>
        </w:rPr>
        <w:t xml:space="preserve">5.导轨：依据GB/T 10125-2021《人造气氛腐蚀试验 盐雾试验》，中性盐雾试验（</w:t>
      </w:r>
      <w:r>
        <w:rPr>
          <w:rFonts w:hint="eastAsia" w:ascii="方正仿宋_GB2312" w:hAnsi="方正仿宋_GB2312" w:cs="方正仿宋_GB2312"/>
          <w:b w:val="0"/>
          <w:bCs w:val="0"/>
          <w:color w:val="000000"/>
          <w:sz w:val="24"/>
          <w:szCs w:val="32"/>
          <w:highlight w:val="none"/>
          <w:lang w:val="en-US" w:eastAsia="zh-CN"/>
        </w:rPr>
        <w:t xml:space="preserve">200</w:t>
      </w:r>
      <w:r>
        <w:rPr>
          <w:rFonts w:hint="eastAsia" w:ascii="方正仿宋_GB2312" w:hAnsi="方正仿宋_GB2312" w:eastAsia="宋体" w:cs="方正仿宋_GB2312"/>
          <w:b w:val="0"/>
          <w:bCs w:val="0"/>
          <w:color w:val="000000"/>
          <w:sz w:val="24"/>
          <w:szCs w:val="32"/>
          <w:highlight w:val="none"/>
          <w:lang w:eastAsia="zh-CN"/>
        </w:rPr>
        <w:t xml:space="preserve">h）</w:t>
      </w:r>
      <w:r>
        <w:rPr>
          <w:rFonts w:hint="eastAsia" w:ascii="方正仿宋_GB2312" w:hAnsi="方正仿宋_GB2312" w:cs="方正仿宋_GB2312"/>
          <w:b w:val="0"/>
          <w:bCs w:val="0"/>
          <w:color w:val="000000"/>
          <w:sz w:val="24"/>
          <w:szCs w:val="32"/>
          <w:highlight w:val="none"/>
          <w:lang w:val="en-US"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10级</w:t>
      </w:r>
      <w:r>
        <w:rPr>
          <w:rFonts w:hint="eastAsia" w:ascii="方正仿宋_GB2312" w:hAnsi="方正仿宋_GB2312" w:cs="方正仿宋_GB2312"/>
          <w:b w:val="0"/>
          <w:bCs w:val="0"/>
          <w:color w:val="000000"/>
          <w:sz w:val="24"/>
          <w:szCs w:val="32"/>
          <w:highlight w:val="none"/>
          <w:lang w:eastAsia="zh-CN"/>
        </w:rPr>
        <w:t xml:space="preserve">、QB/T 2454-2013《家具五金 抽屉导轨》</w:t>
      </w:r>
      <w:r>
        <w:rPr>
          <w:rFonts w:hint="eastAsia" w:ascii="方正仿宋_GB2312" w:hAnsi="方正仿宋_GB2312" w:cs="方正仿宋_GB2312"/>
          <w:b w:val="0"/>
          <w:bCs w:val="0"/>
          <w:color w:val="000000"/>
          <w:sz w:val="24"/>
          <w:szCs w:val="32"/>
          <w:highlight w:val="none"/>
          <w:lang w:val="en-US" w:eastAsia="zh-CN"/>
        </w:rPr>
        <w:t xml:space="preserve">耐久性：10万次</w:t>
      </w:r>
      <w:r>
        <w:rPr>
          <w:rFonts w:hint="eastAsia" w:ascii="方正仿宋_GB2312" w:hAnsi="方正仿宋_GB2312" w:cs="方正仿宋_GB2312"/>
          <w:b w:val="0"/>
          <w:bCs w:val="0"/>
          <w:color w:val="000000"/>
          <w:sz w:val="24"/>
          <w:szCs w:val="32"/>
          <w:highlight w:val="none"/>
          <w:lang w:val="en-US" w:eastAsia="zh-CN"/>
        </w:rPr>
      </w:r>
      <w:r/>
    </w:p>
    <w:p>
      <w:pPr>
        <w:pStyle w:val="748"/>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eastAsia="zh-CN"/>
        </w:rPr>
        <w:t xml:space="preserve">6.PP塑料:依据为GB/T 31402-2023《塑料和其他无孔材料表面抗菌活性的测定》、GB/T 24128-2018《塑料 塑料防霉剂的防霉效果评估》、GB/T 32487-2016《塑料家具通用技术条件》</w:t>
      </w:r>
      <w:r>
        <w:rPr>
          <w:rFonts w:hint="eastAsia" w:ascii="方正仿宋_GB2312" w:hAnsi="方正仿宋_GB2312" w:eastAsia="宋体" w:cs="方正仿宋_GB2312"/>
          <w:b w:val="0"/>
          <w:bCs w:val="0"/>
          <w:color w:val="000000"/>
          <w:sz w:val="24"/>
          <w:szCs w:val="32"/>
          <w:highlight w:val="none"/>
        </w:rPr>
      </w:r>
      <w:r/>
    </w:p>
    <w:p>
      <w:pPr>
        <w:pStyle w:val="748"/>
        <w:numPr>
          <w:ilvl w:val="0"/>
          <w:numId w:val="0"/>
        </w:numPr>
        <w:ind w:left="420"/>
        <w:jc w:val="left"/>
        <w:spacing w:line="5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五、投标样品提供</w:t>
      </w:r>
      <w:r>
        <w:rPr>
          <w:rFonts w:hint="eastAsia" w:ascii="宋体" w:hAnsi="宋体" w:cs="宋体"/>
          <w:b/>
          <w:bCs/>
          <w:color w:val="000000"/>
          <w:sz w:val="24"/>
          <w:szCs w:val="24"/>
          <w:highlight w:val="none"/>
        </w:rPr>
      </w:r>
      <w:r/>
    </w:p>
    <w:p>
      <w:pPr>
        <w:pStyle w:val="748"/>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.1项目要求提供样品的，中标人的样品由采购人负责保管、封存，并作为履约验收的参考。未中标人的样品将及时退还。</w:t>
      </w:r>
      <w:r>
        <w:rPr>
          <w:rFonts w:hint="eastAsia" w:ascii="方正仿宋_GB2312" w:hAnsi="方正仿宋_GB2312" w:eastAsia="宋体" w:cs="方正仿宋_GB2312"/>
          <w:b w:val="0"/>
          <w:bCs w:val="0"/>
          <w:color w:val="000000"/>
          <w:sz w:val="24"/>
          <w:szCs w:val="32"/>
          <w:highlight w:val="none"/>
        </w:rPr>
      </w:r>
      <w:r/>
    </w:p>
    <w:p>
      <w:pPr>
        <w:pStyle w:val="748"/>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.2投标供应商递交以下样品：</w:t>
      </w:r>
      <w:r>
        <w:rPr>
          <w:rFonts w:hint="eastAsia" w:ascii="方正仿宋_GB2312" w:hAnsi="方正仿宋_GB2312" w:eastAsia="宋体" w:cs="方正仿宋_GB2312"/>
          <w:b w:val="0"/>
          <w:bCs w:val="0"/>
          <w:color w:val="000000"/>
          <w:sz w:val="24"/>
          <w:szCs w:val="32"/>
          <w:highlight w:val="none"/>
        </w:rPr>
      </w:r>
      <w:r/>
    </w:p>
    <w:p>
      <w:pPr>
        <w:pStyle w:val="748"/>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.2.1材料样品一套：请投标供应商按照招标文件的要求提供所投产品的小样，具体如下：</w:t>
      </w:r>
      <w:r>
        <w:rPr>
          <w:rFonts w:hint="eastAsia" w:ascii="方正仿宋_GB2312" w:hAnsi="方正仿宋_GB2312" w:eastAsia="宋体" w:cs="方正仿宋_GB2312"/>
          <w:b w:val="0"/>
          <w:bCs w:val="0"/>
          <w:color w:val="000000"/>
          <w:sz w:val="24"/>
          <w:szCs w:val="32"/>
          <w:highlight w:val="none"/>
        </w:rPr>
      </w:r>
      <w:r/>
    </w:p>
    <w:tbl>
      <w:tblPr>
        <w:tblW w:w="530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885"/>
        <w:gridCol w:w="1718"/>
        <w:gridCol w:w="3815"/>
        <w:gridCol w:w="2028"/>
      </w:tblGrid>
      <w:tr>
        <w:trPr>
          <w:trHeight w:val="661"/>
          <w:tblHeader/>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样品名称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参考规格</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样品制作标准和要求</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w:t>
            </w:r>
            <w:r>
              <w:rPr>
                <w:rFonts w:hint="eastAsia" w:ascii="宋体" w:hAnsi="宋体" w:eastAsia="宋体" w:cs="宋体"/>
                <w:b/>
                <w:bCs/>
                <w:color w:val="000000"/>
                <w:sz w:val="24"/>
                <w:szCs w:val="24"/>
                <w:highlight w:val="none"/>
                <w:lang w:val="en-US" w:eastAsia="zh-CN" w:bidi="ar-SA"/>
              </w:rPr>
            </w:r>
            <w:r/>
          </w:p>
        </w:tc>
      </w:tr>
      <w:tr>
        <w:trPr>
          <w:trHeight w:val="188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bookmarkStart w:id="188" w:name="OLE_LINK7"/>
            <w:r>
              <w:rPr>
                <w:rFonts w:hint="eastAsia" w:ascii="宋体" w:hAnsi="宋体" w:eastAsia="宋体" w:cs="宋体"/>
                <w:color w:val="000000"/>
                <w:sz w:val="24"/>
                <w:szCs w:val="24"/>
                <w:highlight w:val="none"/>
                <w:lang w:val="en-US" w:eastAsia="zh-CN" w:bidi="ar-SA"/>
              </w:rPr>
              <w:t xml:space="preserve">床前护栏</w:t>
            </w:r>
            <w:bookmarkEnd w:id="188"/>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截面≥450mm×40mm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床前护栏:采用钢、铝、塑、木材料,方管规格≥25*25*1.5mm，嵌入一块18mm厚E0级三聚氰胺饰面实木多层板, 多层板耐火等级达到B1级，具有良好的抗变形性能；前护栏带推拉窗，推拉窗整体格:≥700*300*40mm，观察窗带隐藏式储物功能,不占用床铺空间,方便存放手机、眼镜、书本等随身携带物品,外形采用跑道圆设计，圆弧部分ABS材质注塑工艺一次成型，滑道采用铝型材，确保稳固安全，观察窗透明全封闭,同时具备推拉开启关闭功能，保护使用者的隐私。</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钢材均采用国家标准钢，各钢件经除油、防锈等工序处理，外层采用聚脂环氧粉末喷塑，具有长时间使用不生锈、不掉漆的特性；焊接表面波纹均匀，焊接处无夹渣、气孔、焊瘤、焊丝头咬边飞溅，无脱焊、虚焊及焊穿等现象。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提供床前护栏切割小样长度约850mm（含推拉窗，推拉窗整体格:≥700*300*40mm）</w:t>
            </w:r>
            <w:r>
              <w:rPr>
                <w:rFonts w:hint="eastAsia" w:ascii="宋体" w:hAnsi="宋体" w:eastAsia="宋体" w:cs="宋体"/>
                <w:color w:val="000000"/>
                <w:sz w:val="24"/>
                <w:szCs w:val="24"/>
                <w:highlight w:val="none"/>
                <w:lang w:val="en-US" w:eastAsia="zh-CN" w:bidi="ar-SA"/>
              </w:rPr>
            </w:r>
            <w:r/>
          </w:p>
        </w:tc>
      </w:tr>
      <w:tr>
        <w:trPr>
          <w:trHeight w:val="673"/>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bookmarkStart w:id="189" w:name="_Hlk166487397"/>
            <w:r>
              <w:rPr>
                <w:rFonts w:hint="eastAsia" w:ascii="宋体" w:hAnsi="宋体" w:eastAsia="宋体" w:cs="宋体"/>
                <w:color w:val="000000"/>
                <w:sz w:val="24"/>
                <w:szCs w:val="24"/>
                <w:highlight w:val="none"/>
                <w:lang w:val="en-US" w:eastAsia="zh-CN" w:bidi="ar-SA"/>
              </w:rPr>
              <w:t xml:space="preserve">立柱</w:t>
            </w:r>
            <w:bookmarkEnd w:id="189"/>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立面成型后尺寸规格≥72mm*72mm，壁厚≥1.5mm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优质冷轧钢板经特制成型线轧制而成，其立面为中空异形闭口型材，立柱正面为圆弧形设计，起到防撞作用,避免组合柜与床立柱之间的缝隙。立柱脚采用优质PP塑料的防滑静音内塞，要求立柱稳固无晃动，无异响。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提供立柱切割小样长度300mm</w:t>
            </w:r>
            <w:r>
              <w:rPr>
                <w:rFonts w:hint="eastAsia" w:ascii="宋体" w:hAnsi="宋体" w:eastAsia="宋体" w:cs="宋体"/>
                <w:color w:val="000000"/>
                <w:sz w:val="24"/>
                <w:szCs w:val="24"/>
                <w:highlight w:val="none"/>
                <w:lang w:val="en-US" w:eastAsia="zh-CN" w:bidi="ar-SA"/>
              </w:rPr>
            </w:r>
            <w:r/>
          </w:p>
        </w:tc>
      </w:tr>
      <w:tr>
        <w:trPr>
          <w:trHeight w:val="698"/>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bookmarkStart w:id="190" w:name="_Hlk166487403"/>
            <w:r>
              <w:rPr>
                <w:rFonts w:hint="eastAsia" w:ascii="宋体" w:hAnsi="宋体" w:eastAsia="宋体" w:cs="宋体"/>
                <w:color w:val="000000"/>
                <w:sz w:val="24"/>
                <w:szCs w:val="24"/>
                <w:highlight w:val="none"/>
                <w:lang w:val="en-US" w:eastAsia="zh-CN" w:bidi="ar-SA"/>
              </w:rPr>
              <w:t xml:space="preserve">前/后床厅</w:t>
            </w:r>
            <w:bookmarkEnd w:id="190"/>
            <w:r>
              <w:rPr>
                <w:rFonts w:hint="eastAsia" w:ascii="宋体" w:hAnsi="宋体" w:eastAsia="宋体" w:cs="宋体"/>
                <w:color w:val="000000"/>
                <w:sz w:val="24"/>
                <w:szCs w:val="24"/>
                <w:highlight w:val="none"/>
                <w:lang w:val="en-US" w:eastAsia="zh-CN" w:bidi="ar-SA"/>
              </w:rPr>
              <w:t xml:space="preserve">管/侧床厅矩形管</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立面尺寸≥80mm*30mm</w:t>
            </w:r>
            <w:bookmarkStart w:id="191" w:name="OLE_LINK5"/>
            <w:r>
              <w:rPr>
                <w:rFonts w:hint="eastAsia" w:ascii="宋体" w:hAnsi="宋体" w:eastAsia="宋体" w:cs="宋体"/>
                <w:color w:val="000000"/>
                <w:sz w:val="24"/>
                <w:szCs w:val="24"/>
                <w:highlight w:val="none"/>
                <w:lang w:val="en-US" w:eastAsia="zh-CN" w:bidi="ar-SA"/>
              </w:rPr>
              <w:t xml:space="preserve">管</w:t>
            </w:r>
            <w:bookmarkEnd w:id="191"/>
            <w:r>
              <w:rPr>
                <w:rFonts w:hint="eastAsia" w:ascii="宋体" w:hAnsi="宋体" w:eastAsia="宋体" w:cs="宋体"/>
                <w:color w:val="000000"/>
                <w:sz w:val="24"/>
                <w:szCs w:val="24"/>
                <w:highlight w:val="none"/>
                <w:lang w:val="en-US" w:eastAsia="zh-CN" w:bidi="ar-SA"/>
              </w:rPr>
              <w:t xml:space="preserve">,壁厚≥1.5mm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采用优质冷轧钢板经特制成型线轧制而成。</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提供立柱切割小样长度300mm</w:t>
            </w:r>
            <w:r>
              <w:rPr>
                <w:rFonts w:hint="eastAsia" w:ascii="宋体" w:hAnsi="宋体" w:eastAsia="宋体" w:cs="宋体"/>
                <w:color w:val="000000"/>
                <w:sz w:val="24"/>
                <w:szCs w:val="24"/>
                <w:highlight w:val="none"/>
                <w:lang w:val="en-US" w:eastAsia="zh-CN" w:bidi="ar-SA"/>
              </w:rPr>
            </w:r>
            <w:r/>
          </w:p>
        </w:tc>
      </w:tr>
      <w:tr>
        <w:trPr>
          <w:trHeight w:val="55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衣柜柜门</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厚度≥18mm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采用≥18mm厚E0级三聚氰胺饰面实木多层板, 多层板耐火等级不低于B1级，门板采用铝合金暗扣拉手,配置隐藏式圆柱孔门锁，四周边缘采用PP环保塑料成型注塑封边。</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提供门板</w:t>
            </w:r>
            <w:r>
              <w:rPr>
                <w:rFonts w:hint="eastAsia" w:ascii="宋体" w:hAnsi="宋体" w:cs="宋体"/>
                <w:color w:val="000000"/>
                <w:sz w:val="24"/>
                <w:szCs w:val="24"/>
                <w:highlight w:val="none"/>
                <w:lang w:val="en-US" w:eastAsia="zh-CN" w:bidi="ar-SA"/>
              </w:rPr>
              <w:t xml:space="preserve">小样</w:t>
            </w:r>
            <w:r>
              <w:rPr>
                <w:rFonts w:hint="eastAsia" w:ascii="宋体" w:hAnsi="宋体" w:eastAsia="宋体" w:cs="宋体"/>
                <w:color w:val="000000"/>
                <w:sz w:val="24"/>
                <w:szCs w:val="24"/>
                <w:highlight w:val="none"/>
                <w:lang w:val="en-US" w:eastAsia="zh-CN" w:bidi="ar-SA"/>
              </w:rPr>
              <w:t xml:space="preserve">尺寸300mm×300mm</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要求带铝合金暗拉手</w:t>
            </w:r>
            <w:r>
              <w:rPr>
                <w:rFonts w:hint="eastAsia" w:ascii="宋体" w:hAnsi="宋体" w:eastAsia="宋体" w:cs="宋体"/>
                <w:color w:val="000000"/>
                <w:sz w:val="24"/>
                <w:szCs w:val="24"/>
                <w:highlight w:val="none"/>
                <w:lang w:val="en-US" w:eastAsia="zh-CN" w:bidi="ar-SA"/>
              </w:rPr>
            </w:r>
            <w:r/>
          </w:p>
        </w:tc>
      </w:tr>
      <w:tr>
        <w:trPr>
          <w:trHeight w:val="1284"/>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桌面板</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截面厚度≥25mm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2109"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采用E0级三聚氰胺饰面实木多层板, 多层板耐火等级不低于B1级,前口鸭嘴边设计，其余三边圆弧角设计，整体采用PVC吸塑工艺。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1121"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提供桌面板切割小样尺寸300mm×300mm</w:t>
            </w:r>
            <w:r>
              <w:rPr>
                <w:rFonts w:hint="eastAsia" w:ascii="宋体" w:hAnsi="宋体" w:eastAsia="宋体" w:cs="宋体"/>
                <w:color w:val="000000"/>
                <w:sz w:val="24"/>
                <w:szCs w:val="24"/>
                <w:highlight w:val="none"/>
                <w:lang w:val="en-US" w:eastAsia="zh-CN" w:bidi="ar-SA"/>
              </w:rPr>
            </w:r>
            <w:r/>
          </w:p>
        </w:tc>
      </w:tr>
      <w:tr>
        <w:trPr>
          <w:trHeight w:val="551"/>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铰链</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常规</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采用高强度、耐磨损、耐腐蚀等特性；五金配件表面处理具有美观性和保护性。</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32"/>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导轨</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常规</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采用高强度、耐磨损、耐腐蚀等特性；五金配件表面处理具有美观性和保护性。</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32"/>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ind w:firstLine="0"/>
              <w:jc w:val="left"/>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爬梯</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left"/>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钢制：</w:t>
            </w:r>
            <w:r>
              <w:rPr>
                <w:rFonts w:hint="eastAsia" w:ascii="宋体" w:hAnsi="宋体" w:eastAsia="宋体" w:cs="宋体"/>
                <w:color w:val="000000"/>
                <w:sz w:val="24"/>
                <w:szCs w:val="24"/>
                <w:highlight w:val="none"/>
                <w:lang w:val="en-US" w:eastAsia="zh-CN" w:bidi="ar-SA"/>
              </w:rPr>
            </w:r>
            <w:r/>
          </w:p>
          <w:p>
            <w:pPr>
              <w:pStyle w:val="748"/>
              <w:jc w:val="left"/>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钢管 主管≥40*30*1.5mm</w:t>
            </w:r>
            <w:r>
              <w:rPr>
                <w:rFonts w:hint="eastAsia" w:ascii="宋体" w:hAnsi="宋体" w:eastAsia="宋体" w:cs="宋体"/>
                <w:color w:val="000000"/>
                <w:sz w:val="24"/>
                <w:szCs w:val="24"/>
                <w:highlight w:val="none"/>
                <w:lang w:val="en-US" w:eastAsia="zh-CN" w:bidi="ar-SA"/>
              </w:rPr>
            </w:r>
            <w:r/>
          </w:p>
          <w:p>
            <w:pPr>
              <w:pStyle w:val="748"/>
              <w:jc w:val="left"/>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踏步板：400*120*25mmPP(聚丙烯)</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left"/>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爬梯采用走梯式设计，所有钢管均采用整体焊接工艺制作，踏步板采用环保 PP材质注塑工艺一次成型，两者采用螺丝固定，稳固安全。安装螺丝位置环形整体扣边条内扣遮挡设计，安全美观合理防滑纹路，并配备荧光条，下方采用钢管支撑。</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提供一个踏步完整组装小样（包含主管，踏步板防滑纹路，并配备荧光条，下方采用钢管支撑）</w:t>
            </w:r>
            <w:r>
              <w:rPr>
                <w:rFonts w:hint="eastAsia" w:ascii="宋体" w:hAnsi="宋体" w:eastAsia="宋体" w:cs="宋体"/>
                <w:color w:val="000000"/>
                <w:sz w:val="24"/>
                <w:szCs w:val="24"/>
                <w:highlight w:val="none"/>
                <w:lang w:val="en-US" w:eastAsia="zh-CN" w:bidi="ar-SA"/>
              </w:rPr>
            </w:r>
            <w:r/>
          </w:p>
        </w:tc>
      </w:tr>
      <w:tr>
        <w:trPr>
          <w:trHeight w:val="532"/>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床板</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双面刨光杉木床板：宽度≥70mm，厚度≥18mm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采用双面刨光杉木床板，含水率≤12%，经干燥、防虫处理，宽度≥70mm，厚度≥18mm，每两根木条的距离间隙≤10mm，每块床板需要有≥4根（≥40×20mm）实木方料做横档加固,板条与横档</w:t>
            </w:r>
            <w:r>
              <w:rPr>
                <w:rFonts w:hint="eastAsia" w:ascii="宋体" w:hAnsi="宋体" w:cs="宋体"/>
                <w:color w:val="000000"/>
                <w:sz w:val="24"/>
                <w:szCs w:val="24"/>
                <w:highlight w:val="none"/>
                <w:lang w:val="en-US" w:eastAsia="zh-CN" w:bidi="ar-SA"/>
              </w:rPr>
              <w:t xml:space="preserve">需</w:t>
            </w:r>
            <w:r>
              <w:rPr>
                <w:rFonts w:hint="eastAsia" w:ascii="宋体" w:hAnsi="宋体" w:eastAsia="宋体" w:cs="宋体"/>
                <w:color w:val="000000"/>
                <w:sz w:val="24"/>
                <w:szCs w:val="24"/>
                <w:highlight w:val="none"/>
                <w:lang w:val="en-US" w:eastAsia="zh-CN" w:bidi="ar-SA"/>
              </w:rPr>
              <w:t xml:space="preserve">用不锈钢螺丝固定连接</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切割小样长度300mm</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宽度≥70mm，厚度≥18mm</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532"/>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学生椅：</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left"/>
              <w:spacing w:line="374"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圆钢</w:t>
            </w:r>
            <w:r>
              <w:rPr>
                <w:rFonts w:hint="eastAsia" w:ascii="宋体" w:hAnsi="宋体" w:eastAsia="宋体" w:cs="宋体"/>
                <w:color w:val="000000"/>
                <w:sz w:val="24"/>
                <w:szCs w:val="24"/>
                <w:highlight w:val="none"/>
                <w:lang w:val="en-US" w:eastAsia="zh-CN" w:bidi="ar-SA"/>
              </w:rPr>
              <w:t xml:space="preserve">/PP(聚丙烯)</w:t>
            </w:r>
            <w:r>
              <w:rPr>
                <w:rFonts w:hint="eastAsia" w:ascii="宋体" w:hAnsi="宋体" w:eastAsia="宋体" w:cs="宋体"/>
                <w:color w:val="000000"/>
                <w:sz w:val="24"/>
                <w:szCs w:val="24"/>
                <w:highlight w:val="none"/>
                <w:lang w:val="en-US" w:eastAsia="zh-CN" w:bidi="ar-SA"/>
              </w:rPr>
            </w:r>
            <w:r/>
          </w:p>
          <w:p>
            <w:pPr>
              <w:pStyle w:val="748"/>
              <w:jc w:val="left"/>
              <w:spacing w:line="374"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坐宽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
              </w:rPr>
              <w:t xml:space="preserve">450mm，坐深</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
              </w:rPr>
              <w:t xml:space="preserve">500mm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1、尺寸：≥450*500*850mm</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2、椅座：采用聚丙烯加玻璃纤维全新材料模具一体成型制作，厚度≥8mm。座面安装高度≥440mm，深装饰沟槽面；背面配PP材质弧形螺丝闷盖。</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3、椅背：采用聚丙烯加玻璃纤维全新材料模具一体成型制作厚度≥6mm，座椅总高度≥850mm，背宽≥410mm，背高≥410mm；座宽≥450mm，座深≥500mm，防滑透气面设有多根筋位，防滑透气； </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4、椅脚：采用优质圆管≥φ19mm*2.0mm厚；各金属件进行打磨、去油、酸洗、磷化、清洗、防锈等工艺处理后，通过粉末喷涂设备进行静电喷塑，防锈防腐蚀；地脚配有4个优质PP材质脚垫。</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整件</w:t>
            </w:r>
            <w:r>
              <w:rPr>
                <w:rFonts w:ascii="宋体" w:hAnsi="宋体" w:eastAsia="宋体" w:cs="宋体"/>
                <w:color w:val="000000"/>
                <w:sz w:val="24"/>
                <w:szCs w:val="24"/>
                <w:highlight w:val="none"/>
                <w:lang w:val="en-US" w:eastAsia="zh-CN" w:bidi="ar-SA"/>
              </w:rPr>
            </w:r>
            <w:r/>
          </w:p>
        </w:tc>
      </w:tr>
      <w:tr>
        <w:trPr>
          <w:trHeight w:val="532"/>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抽屉</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left"/>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none"/>
                <w:lang w:val="en-US" w:eastAsia="zh-CN" w:bidi="ar-SA"/>
              </w:rPr>
              <w:t xml:space="preserve">400*</w:t>
            </w:r>
            <w:r>
              <w:rPr>
                <w:rFonts w:hint="eastAsia" w:ascii="宋体" w:hAnsi="宋体" w:cs="宋体"/>
                <w:color w:val="000000"/>
                <w:sz w:val="24"/>
                <w:szCs w:val="24"/>
                <w:highlight w:val="none"/>
                <w:u w:val="none"/>
                <w:lang w:val="en-US" w:eastAsia="zh-CN" w:bidi="ar-SA"/>
              </w:rPr>
              <w:t xml:space="preserve">400*170</w:t>
            </w:r>
            <w:r>
              <w:rPr>
                <w:rFonts w:hint="eastAsia" w:ascii="宋体" w:hAnsi="宋体" w:eastAsia="宋体" w:cs="宋体"/>
                <w:color w:val="000000"/>
                <w:sz w:val="24"/>
                <w:szCs w:val="24"/>
                <w:highlight w:val="none"/>
                <w:u w:val="none"/>
                <w:lang w:val="en-US" w:eastAsia="zh-CN" w:bidi="ar-SA"/>
              </w:rPr>
              <w:t xml:space="preserve">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18mm厚E0级三聚氰胺饰面实木多层板，多层板耐火等级达到B1级，抽屉门板采用铝合金暗扣拉手,四周边缘采用PP环保塑料一次成型注塑封边;配备高强度、耐磨损、耐腐蚀等特性导轨，五金配件表面处理具有美观性和保护性。</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left"/>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提供完整抽屉样品一个，包含铝合金暗扣拉手、导轨等五金。</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32"/>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铝合金材质挂衣杆</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48"/>
              <w:jc w:val="left"/>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≥φ22*1.2mm</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床下衣柜:层板下方配≥φ22*1.2mm铝合金材质挂衣杆</w:t>
            </w:r>
            <w:r>
              <w:rPr>
                <w:rFonts w:hint="eastAsia" w:ascii="宋体" w:hAnsi="宋体" w:eastAsia="宋体" w:cs="宋体"/>
                <w:color w:val="000000"/>
                <w:sz w:val="24"/>
                <w:szCs w:val="24"/>
                <w:highlight w:val="none"/>
                <w:lang w:val="en-US" w:eastAsia="zh-CN" w:bidi="ar-SA"/>
              </w:rPr>
            </w:r>
            <w:r/>
          </w:p>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提供切割小样300mm</w:t>
            </w:r>
            <w:r>
              <w:rPr>
                <w:rFonts w:hint="eastAsia" w:ascii="宋体" w:hAnsi="宋体" w:eastAsia="宋体" w:cs="宋体"/>
                <w:color w:val="000000"/>
                <w:sz w:val="24"/>
                <w:szCs w:val="24"/>
                <w:highlight w:val="none"/>
                <w:lang w:val="en-US" w:eastAsia="zh-CN" w:bidi="ar-SA"/>
              </w:rPr>
            </w:r>
            <w:r/>
          </w:p>
        </w:tc>
      </w:tr>
    </w:tbl>
    <w:p>
      <w:pPr>
        <w:pStyle w:val="748"/>
        <w:jc w:val="left"/>
        <w:spacing w:line="3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注:投标人所提供的样品与招标文件要求不符合或未提供或者提供的不齐全不得分，3D打印的样品不得分。</w:t>
      </w:r>
      <w:r>
        <w:rPr>
          <w:rFonts w:hint="eastAsia" w:ascii="宋体" w:hAnsi="宋体" w:cs="宋体"/>
          <w:b w:val="0"/>
          <w:bCs w:val="0"/>
          <w:color w:val="000000"/>
          <w:sz w:val="24"/>
          <w:szCs w:val="24"/>
          <w:highlight w:val="none"/>
          <w:lang w:val="en-US" w:eastAsia="zh-CN"/>
        </w:rPr>
      </w:r>
      <w:r/>
    </w:p>
    <w:p>
      <w:pPr>
        <w:pStyle w:val="748"/>
        <w:ind w:firstLine="480"/>
        <w:spacing w:line="360" w:lineRule="auto"/>
        <w:rPr>
          <w:rFonts w:ascii="宋体" w:hAnsi="宋体" w:cs="微软雅黑"/>
          <w:b/>
          <w:bCs/>
          <w:color w:val="000000"/>
          <w:highlight w:val="none"/>
        </w:rPr>
      </w:pPr>
      <w:r>
        <w:rPr>
          <w:rFonts w:ascii="宋体" w:hAnsi="宋体" w:cs="微软雅黑"/>
          <w:b/>
          <w:bCs/>
          <w:color w:val="000000"/>
          <w:highlight w:val="none"/>
        </w:rPr>
        <w:t xml:space="preserve">5</w:t>
      </w:r>
      <w:r>
        <w:rPr>
          <w:rFonts w:hint="eastAsia" w:ascii="宋体" w:hAnsi="宋体" w:cs="微软雅黑"/>
          <w:b/>
          <w:bCs/>
          <w:color w:val="000000"/>
          <w:highlight w:val="none"/>
        </w:rPr>
        <w:t xml:space="preserve">.</w:t>
      </w:r>
      <w:r>
        <w:rPr>
          <w:rFonts w:hint="eastAsia" w:ascii="宋体" w:hAnsi="宋体" w:cs="微软雅黑"/>
          <w:b/>
          <w:bCs/>
          <w:color w:val="000000"/>
          <w:highlight w:val="none"/>
          <w:lang w:val="en-US" w:eastAsia="zh-CN"/>
        </w:rPr>
        <w:t xml:space="preserve">3</w:t>
      </w:r>
      <w:r>
        <w:rPr>
          <w:rFonts w:hint="eastAsia" w:ascii="宋体" w:hAnsi="宋体" w:cs="微软雅黑"/>
          <w:b/>
          <w:bCs/>
          <w:color w:val="000000"/>
          <w:highlight w:val="none"/>
        </w:rPr>
        <w:t xml:space="preserve">样品要求：</w:t>
      </w:r>
      <w:r>
        <w:rPr>
          <w:rFonts w:ascii="宋体" w:hAnsi="宋体" w:cs="微软雅黑"/>
          <w:b/>
          <w:bCs/>
          <w:color w:val="000000"/>
          <w:highlight w:val="none"/>
        </w:rPr>
      </w:r>
      <w:r/>
    </w:p>
    <w:p>
      <w:pPr>
        <w:pStyle w:val="748"/>
        <w:ind w:firstLine="240"/>
        <w:jc w:val="left"/>
        <w:spacing w:line="431" w:lineRule="exact"/>
        <w:rPr>
          <w:rFonts w:ascii="宋体" w:hAnsi="宋体" w:cs="微软雅黑"/>
          <w:color w:val="000000"/>
          <w:highlight w:val="none"/>
        </w:rPr>
      </w:pPr>
      <w:r>
        <w:rPr>
          <w:rFonts w:hint="eastAsia" w:ascii="宋体" w:hAnsi="宋体" w:cs="微软雅黑"/>
          <w:color w:val="000000"/>
          <w:highlight w:val="none"/>
        </w:rPr>
        <w:t xml:space="preserve">（1）衣柜门板（带拉手）</w:t>
      </w:r>
      <w:r>
        <w:rPr>
          <w:rFonts w:hint="eastAsia" w:ascii="宋体" w:hAnsi="宋体" w:cs="微软雅黑"/>
          <w:color w:val="000000"/>
          <w:highlight w:val="none"/>
          <w:lang w:eastAsia="zh-CN"/>
        </w:rPr>
        <w:t xml:space="preserve">、</w:t>
      </w:r>
      <w:r>
        <w:rPr>
          <w:rFonts w:hint="eastAsia" w:ascii="宋体" w:hAnsi="宋体" w:eastAsia="宋体" w:cs="宋体"/>
          <w:color w:val="000000"/>
          <w:sz w:val="24"/>
          <w:szCs w:val="24"/>
          <w:highlight w:val="none"/>
          <w:lang w:val="en-US" w:eastAsia="zh-CN" w:bidi="ar"/>
        </w:rPr>
        <w:t xml:space="preserve">抽屉</w:t>
      </w:r>
      <w:r>
        <w:rPr>
          <w:rFonts w:hint="eastAsia" w:ascii="宋体" w:hAnsi="宋体" w:cs="微软雅黑"/>
          <w:color w:val="000000"/>
          <w:highlight w:val="none"/>
        </w:rPr>
        <w:t xml:space="preserve">：</w:t>
      </w:r>
      <w:r>
        <w:rPr>
          <w:rFonts w:hint="eastAsia" w:ascii="宋体" w:hAnsi="宋体" w:cs="微软雅黑"/>
          <w:color w:val="000000"/>
          <w:szCs w:val="21"/>
          <w:highlight w:val="none"/>
        </w:rPr>
        <w:t xml:space="preserve">外观造型要求，</w:t>
      </w:r>
      <w:r>
        <w:rPr>
          <w:rFonts w:hint="eastAsia" w:ascii="宋体" w:hAnsi="宋体"/>
          <w:color w:val="000000"/>
          <w:sz w:val="22"/>
          <w:highlight w:val="none"/>
        </w:rPr>
        <w:t xml:space="preserve">整体美观，色彩搭配合理。</w:t>
      </w:r>
      <w:r>
        <w:rPr>
          <w:rFonts w:hint="eastAsia" w:ascii="宋体" w:hAnsi="宋体"/>
          <w:color w:val="000000"/>
          <w:szCs w:val="21"/>
          <w:highlight w:val="none"/>
        </w:rPr>
        <w:t xml:space="preserve">工艺及细节要求，</w:t>
      </w:r>
      <w:r>
        <w:rPr>
          <w:rFonts w:hint="eastAsia" w:ascii="宋体" w:hAnsi="宋体" w:cs="微软雅黑"/>
          <w:color w:val="000000"/>
          <w:highlight w:val="none"/>
        </w:rPr>
        <w:t xml:space="preserve">材质均匀细腻，表面平整光滑无瑕疵，结构稳定且不易变形开裂，拉手手感顺滑无毛刺。</w:t>
      </w:r>
      <w:r>
        <w:rPr>
          <w:rFonts w:ascii="宋体" w:hAnsi="宋体" w:cs="微软雅黑"/>
          <w:color w:val="000000"/>
          <w:highlight w:val="none"/>
        </w:rPr>
      </w:r>
      <w:r/>
    </w:p>
    <w:p>
      <w:pPr>
        <w:pStyle w:val="748"/>
        <w:ind w:firstLine="240"/>
        <w:jc w:val="left"/>
        <w:spacing w:line="431" w:lineRule="exact"/>
        <w:rPr>
          <w:rFonts w:ascii="宋体" w:hAnsi="宋体" w:cs="微软雅黑"/>
          <w:color w:val="000000"/>
          <w:highlight w:val="none"/>
        </w:rPr>
      </w:pPr>
      <w:r>
        <w:rPr>
          <w:rFonts w:hint="eastAsia" w:ascii="宋体" w:hAnsi="宋体" w:cs="微软雅黑"/>
          <w:color w:val="000000"/>
          <w:highlight w:val="none"/>
        </w:rPr>
        <w:t xml:space="preserve">（2）桌面板</w:t>
      </w:r>
      <w:r>
        <w:rPr>
          <w:rFonts w:hint="eastAsia" w:ascii="宋体" w:hAnsi="宋体" w:cs="微软雅黑"/>
          <w:color w:val="000000"/>
          <w:highlight w:val="none"/>
          <w:lang w:eastAsia="zh-CN"/>
        </w:rPr>
        <w:t xml:space="preserve">、</w:t>
      </w:r>
      <w:r>
        <w:rPr>
          <w:rFonts w:hint="eastAsia" w:ascii="宋体" w:hAnsi="宋体" w:eastAsia="宋体" w:cs="宋体"/>
          <w:color w:val="000000"/>
          <w:sz w:val="24"/>
          <w:szCs w:val="24"/>
          <w:highlight w:val="none"/>
          <w:lang w:val="en-US" w:eastAsia="zh-CN" w:bidi="ar-SA"/>
        </w:rPr>
        <w:t xml:space="preserve">床板</w:t>
      </w:r>
      <w:r>
        <w:rPr>
          <w:rFonts w:hint="eastAsia" w:ascii="宋体" w:hAnsi="宋体" w:cs="微软雅黑"/>
          <w:color w:val="000000"/>
          <w:highlight w:val="none"/>
        </w:rPr>
        <w:t xml:space="preserve">：</w:t>
      </w:r>
      <w:r>
        <w:rPr>
          <w:rFonts w:hint="eastAsia" w:ascii="宋体" w:hAnsi="宋体"/>
          <w:color w:val="000000"/>
          <w:szCs w:val="21"/>
          <w:highlight w:val="none"/>
        </w:rPr>
        <w:t xml:space="preserve">外观造型要求，平整光滑、无异味，无开裂现象。工艺及细节要求，</w:t>
      </w:r>
      <w:r>
        <w:rPr>
          <w:rFonts w:hint="eastAsia" w:ascii="宋体" w:hAnsi="宋体" w:cs="微软雅黑"/>
          <w:color w:val="000000"/>
          <w:highlight w:val="none"/>
        </w:rPr>
        <w:t xml:space="preserve">材质均匀细腻，表面平整光滑无瑕疵</w:t>
      </w:r>
      <w:r>
        <w:rPr>
          <w:rFonts w:hint="eastAsia" w:ascii="宋体" w:hAnsi="宋体" w:cs="微软雅黑"/>
          <w:color w:val="000000"/>
          <w:highlight w:val="none"/>
          <w:lang w:val="en-US" w:eastAsia="zh-CN"/>
        </w:rPr>
        <w:t xml:space="preserve">,</w:t>
      </w:r>
      <w:r>
        <w:rPr>
          <w:rFonts w:hint="eastAsia" w:ascii="宋体" w:hAnsi="宋体" w:cs="微软雅黑"/>
          <w:color w:val="000000"/>
          <w:highlight w:val="none"/>
        </w:rPr>
        <w:t xml:space="preserve">具有较高的强度和平整度。</w:t>
      </w:r>
      <w:r>
        <w:rPr>
          <w:rFonts w:ascii="宋体" w:hAnsi="宋体" w:cs="微软雅黑"/>
          <w:color w:val="000000"/>
          <w:highlight w:val="none"/>
        </w:rPr>
      </w:r>
      <w:r/>
    </w:p>
    <w:p>
      <w:pPr>
        <w:pStyle w:val="748"/>
        <w:ind w:firstLine="240"/>
        <w:jc w:val="left"/>
        <w:spacing w:line="431" w:lineRule="exact"/>
        <w:rPr>
          <w:rFonts w:ascii="宋体" w:hAnsi="宋体" w:cs="微软雅黑"/>
          <w:color w:val="000000"/>
          <w:highlight w:val="none"/>
        </w:rPr>
      </w:pPr>
      <w:r>
        <w:rPr>
          <w:rFonts w:hint="eastAsia" w:ascii="宋体" w:hAnsi="宋体" w:cs="微软雅黑"/>
          <w:color w:val="000000"/>
          <w:highlight w:val="none"/>
        </w:rPr>
        <w:t xml:space="preserve">（3）</w:t>
      </w:r>
      <w:r>
        <w:rPr>
          <w:rFonts w:hint="eastAsia" w:ascii="宋体" w:hAnsi="宋体" w:eastAsia="宋体" w:cs="宋体"/>
          <w:color w:val="000000"/>
          <w:sz w:val="24"/>
          <w:szCs w:val="24"/>
          <w:highlight w:val="none"/>
          <w:lang w:val="en-US" w:eastAsia="zh-CN" w:bidi="ar-SA"/>
        </w:rPr>
        <w:t xml:space="preserve">床前护栏</w:t>
      </w:r>
      <w:r>
        <w:rPr>
          <w:rFonts w:hint="eastAsia" w:ascii="宋体" w:hAnsi="宋体" w:cs="微软雅黑"/>
          <w:color w:val="000000"/>
          <w:highlight w:val="none"/>
          <w:lang w:eastAsia="zh-CN"/>
        </w:rPr>
        <w:t xml:space="preserve">、</w:t>
      </w:r>
      <w:r>
        <w:rPr>
          <w:rFonts w:hint="eastAsia" w:ascii="宋体" w:hAnsi="宋体" w:eastAsia="宋体" w:cs="宋体"/>
          <w:color w:val="000000"/>
          <w:sz w:val="24"/>
          <w:szCs w:val="24"/>
          <w:highlight w:val="none"/>
          <w:lang w:val="en-US" w:eastAsia="zh-CN" w:bidi="ar-SA"/>
        </w:rPr>
        <w:t xml:space="preserve">立柱</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前/后床厅管/侧床厅矩形管</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爬梯</w:t>
      </w:r>
      <w:r>
        <w:rPr>
          <w:rFonts w:hint="eastAsia" w:ascii="宋体" w:hAnsi="宋体" w:cs="微软雅黑"/>
          <w:color w:val="000000"/>
          <w:highlight w:val="none"/>
        </w:rPr>
        <w:t xml:space="preserve">：</w:t>
      </w:r>
      <w:r>
        <w:rPr>
          <w:rFonts w:hint="eastAsia" w:ascii="宋体" w:hAnsi="宋体" w:cs="微软雅黑"/>
          <w:color w:val="000000"/>
          <w:szCs w:val="21"/>
          <w:highlight w:val="none"/>
        </w:rPr>
        <w:t xml:space="preserve">外观造型要求，</w:t>
      </w:r>
      <w:r>
        <w:rPr>
          <w:rFonts w:hint="eastAsia" w:ascii="宋体" w:hAnsi="宋体"/>
          <w:color w:val="000000"/>
          <w:sz w:val="22"/>
          <w:highlight w:val="none"/>
        </w:rPr>
        <w:t xml:space="preserve">整体美观，</w:t>
      </w:r>
      <w:r>
        <w:rPr>
          <w:rFonts w:hint="eastAsia" w:ascii="宋体" w:hAnsi="宋体" w:cs="微软雅黑"/>
          <w:color w:val="000000"/>
          <w:highlight w:val="none"/>
        </w:rPr>
        <w:t xml:space="preserve">表面涂层应光滑均匀，色泽一致。</w:t>
      </w:r>
      <w:r>
        <w:rPr>
          <w:rFonts w:hint="eastAsia" w:ascii="宋体" w:hAnsi="宋体" w:cs="微软雅黑"/>
          <w:color w:val="000000"/>
          <w:szCs w:val="21"/>
          <w:highlight w:val="none"/>
        </w:rPr>
        <w:t xml:space="preserve">工艺及细节要求，</w:t>
      </w:r>
      <w:r>
        <w:rPr>
          <w:rFonts w:hint="eastAsia" w:ascii="宋体" w:hAnsi="宋体" w:cs="微软雅黑"/>
          <w:color w:val="000000"/>
          <w:highlight w:val="none"/>
        </w:rPr>
        <w:t xml:space="preserve">无流挂、疙瘩、皱皮等缺陷，安全稳定，经久耐用。</w:t>
      </w:r>
      <w:r>
        <w:rPr>
          <w:rFonts w:ascii="宋体" w:hAnsi="宋体" w:cs="微软雅黑"/>
          <w:color w:val="000000"/>
          <w:highlight w:val="none"/>
        </w:rPr>
      </w:r>
      <w:r/>
    </w:p>
    <w:p>
      <w:pPr>
        <w:pStyle w:val="748"/>
        <w:ind w:firstLine="240"/>
        <w:jc w:val="left"/>
        <w:spacing w:line="431" w:lineRule="exact"/>
        <w:rPr>
          <w:rFonts w:ascii="宋体" w:hAnsi="宋体" w:cs="微软雅黑"/>
          <w:color w:val="000000"/>
          <w:highlight w:val="none"/>
        </w:rPr>
      </w:pPr>
      <w:r>
        <w:rPr>
          <w:rFonts w:hint="eastAsia" w:ascii="宋体" w:hAnsi="宋体" w:cs="微软雅黑"/>
          <w:color w:val="000000"/>
          <w:highlight w:val="none"/>
        </w:rPr>
        <w:t xml:space="preserve">（4）</w:t>
      </w:r>
      <w:r>
        <w:rPr>
          <w:rFonts w:ascii="宋体" w:hAnsi="宋体" w:cs="微软雅黑"/>
          <w:color w:val="000000"/>
          <w:highlight w:val="none"/>
          <w:lang w:val="en-US"/>
        </w:rPr>
        <w:t xml:space="preserve">公寓</w:t>
      </w:r>
      <w:r>
        <w:rPr>
          <w:rFonts w:hint="eastAsia" w:ascii="宋体" w:hAnsi="宋体" w:cs="微软雅黑"/>
          <w:color w:val="000000"/>
          <w:highlight w:val="none"/>
          <w:lang w:val="en-US" w:eastAsia="zh-CN"/>
        </w:rPr>
        <w:t xml:space="preserve">学生</w:t>
      </w:r>
      <w:r>
        <w:rPr>
          <w:rFonts w:hint="eastAsia" w:ascii="宋体" w:hAnsi="宋体" w:cs="微软雅黑"/>
          <w:color w:val="000000"/>
          <w:highlight w:val="none"/>
        </w:rPr>
        <w:t xml:space="preserve">椅：外观造型要求，整体安全美观，边口圆润光滑无毛刺，平整牢固。工艺及细节要求，喷塑涂层厚薄均匀、无流挂、无褶皱，结构稳定，符合人体工程学，耐磨耐用。</w:t>
      </w:r>
      <w:r>
        <w:rPr>
          <w:rFonts w:ascii="宋体" w:hAnsi="宋体" w:cs="微软雅黑"/>
          <w:color w:val="000000"/>
          <w:highlight w:val="none"/>
        </w:rPr>
      </w:r>
      <w:r/>
    </w:p>
    <w:p>
      <w:pPr>
        <w:pStyle w:val="748"/>
        <w:ind w:firstLine="240"/>
        <w:jc w:val="left"/>
        <w:spacing w:line="431" w:lineRule="exact"/>
        <w:rPr>
          <w:rFonts w:ascii="宋体" w:hAnsi="宋体" w:cs="微软雅黑"/>
          <w:color w:val="000000"/>
          <w:highlight w:val="none"/>
        </w:rPr>
      </w:pPr>
      <w:r>
        <w:rPr>
          <w:rFonts w:hint="eastAsia" w:ascii="宋体" w:hAnsi="宋体" w:cs="微软雅黑"/>
          <w:color w:val="000000"/>
          <w:highlight w:val="none"/>
        </w:rPr>
        <w:t xml:space="preserve">（5）五金配件：外观造型要求，整体安全美观，规格达标。</w:t>
      </w:r>
      <w:r>
        <w:rPr>
          <w:rFonts w:hint="eastAsia" w:ascii="宋体" w:hAnsi="宋体" w:cs="微软雅黑"/>
          <w:color w:val="000000"/>
          <w:szCs w:val="21"/>
          <w:highlight w:val="none"/>
        </w:rPr>
        <w:t xml:space="preserve">工艺及细节要求，</w:t>
      </w:r>
      <w:r>
        <w:rPr>
          <w:rFonts w:hint="eastAsia" w:ascii="宋体" w:hAnsi="宋体" w:cs="微软雅黑"/>
          <w:color w:val="000000"/>
          <w:highlight w:val="none"/>
        </w:rPr>
        <w:t xml:space="preserve">铰链手感顺滑无毛刺、无可见的变形、翘曲；轨道推拉顺滑无卡顿。</w:t>
      </w:r>
      <w:r>
        <w:rPr>
          <w:rFonts w:ascii="宋体" w:hAnsi="宋体" w:cs="微软雅黑"/>
          <w:color w:val="000000"/>
          <w:highlight w:val="none"/>
        </w:rPr>
      </w:r>
      <w:r/>
    </w:p>
    <w:p>
      <w:pPr>
        <w:pStyle w:val="748"/>
        <w:jc w:val="left"/>
        <w:spacing w:line="360" w:lineRule="exact"/>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r>
      <w:r/>
    </w:p>
    <w:p>
      <w:pPr>
        <w:pStyle w:val="748"/>
        <w:ind w:firstLine="482"/>
        <w:jc w:val="left"/>
        <w:spacing w:line="431" w:lineRule="exact"/>
        <w:rPr>
          <w:rFonts w:ascii="宋体" w:hAnsi="宋体" w:cs="宋体"/>
          <w:b w:val="0"/>
          <w:bCs w:val="0"/>
          <w:color w:val="000000"/>
          <w:sz w:val="24"/>
          <w:szCs w:val="24"/>
          <w:highlight w:val="none"/>
        </w:rPr>
      </w:pPr>
      <w:r>
        <w:rPr>
          <w:rFonts w:hint="eastAsia" w:ascii="宋体" w:hAnsi="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w:t>
      </w:r>
      <w:r>
        <w:rPr>
          <w:rFonts w:hint="eastAsia" w:ascii="宋体" w:hAnsi="宋体" w:cs="微软雅黑"/>
          <w:color w:val="000000"/>
          <w:sz w:val="24"/>
          <w:szCs w:val="24"/>
          <w:highlight w:val="none"/>
          <w:lang w:val="en-US" w:eastAsia="zh-CN"/>
        </w:rPr>
        <w:t xml:space="preserve">4</w:t>
      </w:r>
      <w:r>
        <w:rPr>
          <w:rFonts w:hint="eastAsia" w:ascii="宋体" w:hAnsi="宋体" w:cs="宋体"/>
          <w:b/>
          <w:bCs/>
          <w:color w:val="000000"/>
          <w:sz w:val="24"/>
          <w:szCs w:val="24"/>
          <w:highlight w:val="none"/>
          <w:lang w:val="en-US" w:eastAsia="zh-CN"/>
        </w:rPr>
        <w:t xml:space="preserve">样品递交及管理要求</w:t>
      </w:r>
      <w:r>
        <w:rPr>
          <w:rFonts w:ascii="宋体" w:hAnsi="宋体" w:cs="宋体"/>
          <w:b w:val="0"/>
          <w:bCs w:val="0"/>
          <w:color w:val="000000"/>
          <w:sz w:val="24"/>
          <w:szCs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样品递交时间：</w:t>
      </w:r>
      <w:r>
        <w:rPr>
          <w:rFonts w:hint="eastAsia" w:ascii="宋体" w:hAnsi="宋体"/>
          <w:b/>
          <w:color w:val="000000"/>
          <w:sz w:val="24"/>
          <w:szCs w:val="21"/>
          <w:highlight w:val="none"/>
        </w:rPr>
        <w:t xml:space="preserve">2026年4月</w:t>
      </w:r>
      <w:r>
        <w:rPr>
          <w:rFonts w:hint="eastAsia" w:ascii="宋体" w:hAnsi="宋体"/>
          <w:b/>
          <w:color w:val="000000"/>
          <w:sz w:val="24"/>
          <w:szCs w:val="21"/>
          <w:highlight w:val="none"/>
          <w:lang w:val="en-US" w:eastAsia="zh-CN"/>
        </w:rPr>
        <w:t xml:space="preserve">15</w:t>
      </w:r>
      <w:r>
        <w:rPr>
          <w:rFonts w:hint="eastAsia" w:ascii="宋体" w:hAnsi="宋体"/>
          <w:b/>
          <w:color w:val="000000"/>
          <w:sz w:val="24"/>
          <w:szCs w:val="21"/>
          <w:highlight w:val="none"/>
        </w:rPr>
        <w:t xml:space="preserve">日下午14:30起至16:30</w:t>
      </w:r>
      <w:r>
        <w:rPr>
          <w:rFonts w:ascii="宋体" w:hAnsi="宋体" w:cs="宋体"/>
          <w:b/>
          <w:color w:val="000000"/>
          <w:sz w:val="24"/>
          <w:highlight w:val="none"/>
        </w:rPr>
        <w:t xml:space="preserve">止，</w:t>
      </w:r>
      <w:r>
        <w:rPr>
          <w:rFonts w:ascii="宋体" w:hAnsi="宋体" w:cs="宋体"/>
          <w:color w:val="000000"/>
          <w:sz w:val="24"/>
          <w:highlight w:val="none"/>
        </w:rPr>
        <w:t xml:space="preserve">在此期间</w:t>
      </w:r>
      <w:r>
        <w:rPr>
          <w:rFonts w:hint="eastAsia" w:ascii="宋体" w:hAnsi="宋体" w:cs="宋体"/>
          <w:color w:val="000000"/>
          <w:sz w:val="24"/>
          <w:highlight w:val="none"/>
        </w:rPr>
        <w:t xml:space="preserve">之前</w:t>
      </w:r>
      <w:r>
        <w:rPr>
          <w:rFonts w:ascii="宋体" w:hAnsi="宋体" w:cs="宋体"/>
          <w:color w:val="000000"/>
          <w:sz w:val="24"/>
          <w:highlight w:val="none"/>
        </w:rPr>
        <w:t xml:space="preserve">样品由投标人自行保管。公证处不接收在样品递交截止时间后递交的样品。</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样品递交地点：</w:t>
      </w:r>
      <w:r>
        <w:rPr>
          <w:rFonts w:hint="eastAsia" w:ascii="宋体" w:hAnsi="宋体" w:cs="宋体"/>
          <w:b/>
          <w:color w:val="000000"/>
          <w:sz w:val="24"/>
          <w:highlight w:val="none"/>
        </w:rPr>
        <w:t xml:space="preserve">南京市汉中门大街145号省政务中心二期西五门4楼4601</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样品接收人/退还人：南京市南京公证处 </w:t>
      </w:r>
      <w:r>
        <w:rPr>
          <w:rFonts w:hint="eastAsia" w:ascii="宋体" w:hAnsi="宋体" w:cs="宋体"/>
          <w:b/>
          <w:color w:val="000000"/>
          <w:sz w:val="24"/>
          <w:highlight w:val="none"/>
        </w:rPr>
        <w:t xml:space="preserve">朱老师</w:t>
      </w:r>
      <w:r>
        <w:rPr>
          <w:rFonts w:hint="eastAsia" w:ascii="宋体" w:hAnsi="宋体" w:cs="宋体"/>
          <w:color w:val="000000"/>
          <w:sz w:val="24"/>
          <w:highlight w:val="none"/>
        </w:rPr>
        <w:t xml:space="preserve">；联系方式18851755656或18851755658。</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b/>
          <w:color w:val="000000"/>
          <w:sz w:val="24"/>
          <w:highlight w:val="none"/>
        </w:rPr>
        <w:t xml:space="preserve">供应商提交的样品不得含有供应商名称。</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rPr>
        <w:t xml:space="preserve">供应商递交/取回样品时将进行登记，并由样品递交人/取回人签字确认。</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（6）供应商递交/取回样品时，不得破坏或损毁其他供应商的样品，也不得对其他供应商的样品拍照、录像。</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ascii="宋体" w:hAnsi="宋体" w:cs="宋体"/>
          <w:color w:val="000000"/>
          <w:sz w:val="24"/>
          <w:highlight w:val="none"/>
        </w:rPr>
      </w:r>
      <w:r/>
    </w:p>
    <w:p>
      <w:pPr>
        <w:pStyle w:val="748"/>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所有样品的制作、包装、运输等费用由投标人自行承担。</w:t>
      </w:r>
      <w:r>
        <w:rPr>
          <w:rFonts w:ascii="宋体" w:hAnsi="宋体" w:cs="宋体"/>
          <w:color w:val="000000"/>
          <w:sz w:val="24"/>
          <w:highlight w:val="none"/>
        </w:rPr>
      </w:r>
      <w:r/>
    </w:p>
    <w:p>
      <w:pPr>
        <w:pStyle w:val="1052"/>
        <w:ind w:firstLine="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样板间要求</w:t>
      </w:r>
      <w:r>
        <w:rPr>
          <w:rFonts w:hint="eastAsia" w:ascii="宋体" w:hAnsi="宋体" w:cs="宋体"/>
          <w:color w:val="000000"/>
          <w:sz w:val="24"/>
          <w:szCs w:val="24"/>
          <w:highlight w:val="none"/>
        </w:rPr>
      </w:r>
      <w:r/>
    </w:p>
    <w:p>
      <w:pPr>
        <w:pStyle w:val="1052"/>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r>
      <w:r/>
    </w:p>
    <w:p>
      <w:pPr>
        <w:pStyle w:val="748"/>
        <w:spacing w:line="0" w:lineRule="atLeast"/>
        <w:rPr>
          <w:rFonts w:ascii="宋体" w:hAnsi="宋体" w:eastAsia="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六</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ascii="宋体" w:hAnsi="宋体" w:eastAsia="宋体" w:cs="Times New Roman"/>
          <w:b/>
          <w:bCs/>
          <w:color w:val="000000"/>
          <w:sz w:val="24"/>
          <w:szCs w:val="24"/>
          <w:highlight w:val="none"/>
        </w:rPr>
        <w:t xml:space="preserve">要求</w:t>
      </w:r>
      <w:r>
        <w:rPr>
          <w:rFonts w:ascii="宋体" w:hAnsi="宋体" w:eastAsia="宋体" w:cs="Times New Roman"/>
          <w:b/>
          <w:bCs/>
          <w:color w:val="000000"/>
          <w:sz w:val="24"/>
          <w:szCs w:val="24"/>
          <w:highlight w:val="none"/>
        </w:rPr>
      </w:r>
      <w:r/>
    </w:p>
    <w:p>
      <w:pPr>
        <w:pStyle w:val="748"/>
        <w:spacing w:line="360" w:lineRule="auto"/>
        <w:rPr>
          <w:rFonts w:ascii="Arial" w:hAnsi="Arial"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（一）供应商要求</w:t>
      </w:r>
      <w:r>
        <w:rPr>
          <w:rFonts w:ascii="Arial" w:hAnsi="Arial" w:eastAsia="宋体" w:cs="Times New Roman"/>
          <w:b/>
          <w:bCs/>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1.服务承诺书从工期保证措施（工期每延误1天罚款5000元）、质量保证措施（提供主材的规格、型号和品牌，质保期不少于</w:t>
      </w: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年）、安全文明保证措施（施工人员指定工作服、施工区域围护等）、有针对性的专项方案。</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2.供应商需承诺其承担的项目在合同期内全部验收合格。</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3.供应商需承诺不得将成交项目转包及其它违规行为，一经发现立即取消供应商资格，并按相关法律法规上报处理。</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4.提供本项目详细家具采购及安装项目供货方案，家具采购及安装项目采购清单报价表。</w:t>
      </w:r>
      <w:r>
        <w:rPr>
          <w:rFonts w:ascii="宋体" w:hAnsi="宋体" w:eastAsia="宋体" w:cs="微软雅黑"/>
          <w:color w:val="000000"/>
          <w:sz w:val="24"/>
          <w:szCs w:val="24"/>
          <w:highlight w:val="none"/>
        </w:rPr>
      </w:r>
      <w:r/>
    </w:p>
    <w:p>
      <w:pPr>
        <w:pStyle w:val="748"/>
        <w:jc w:val="left"/>
        <w:spacing w:line="480" w:lineRule="exact"/>
        <w:rPr>
          <w:rFonts w:ascii="宋体" w:hAnsi="宋体" w:eastAsia="宋体" w:cs="微软雅黑"/>
          <w:b/>
          <w:color w:val="000000"/>
          <w:sz w:val="24"/>
          <w:szCs w:val="24"/>
          <w:highlight w:val="none"/>
        </w:rPr>
      </w:pPr>
      <w:r>
        <w:rPr>
          <w:rFonts w:hint="eastAsia" w:ascii="宋体" w:hAnsi="宋体" w:eastAsia="宋体" w:cs="微软雅黑"/>
          <w:b/>
          <w:color w:val="000000"/>
          <w:sz w:val="24"/>
          <w:szCs w:val="24"/>
          <w:highlight w:val="none"/>
        </w:rPr>
        <w:t xml:space="preserve">（二）项目实施要求</w:t>
      </w:r>
      <w:r>
        <w:rPr>
          <w:rFonts w:ascii="宋体" w:hAnsi="宋体" w:eastAsia="宋体" w:cs="微软雅黑"/>
          <w:b/>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1.该项目为交钥匙工程，项目内容包括及不限于以下内容：家具生产、运输、安装、</w:t>
      </w:r>
      <w:r>
        <w:rPr>
          <w:rFonts w:hint="eastAsia" w:ascii="宋体" w:hAnsi="宋体" w:cs="微软雅黑"/>
          <w:color w:val="000000"/>
          <w:sz w:val="24"/>
          <w:szCs w:val="24"/>
          <w:highlight w:val="none"/>
          <w:lang w:val="en-US" w:eastAsia="zh-CN"/>
        </w:rPr>
        <w:t xml:space="preserve">二次搬运、</w:t>
      </w:r>
      <w:r>
        <w:rPr>
          <w:rFonts w:hint="eastAsia" w:ascii="宋体" w:hAnsi="宋体" w:eastAsia="宋体" w:cs="微软雅黑"/>
          <w:color w:val="000000"/>
          <w:sz w:val="24"/>
          <w:szCs w:val="24"/>
          <w:highlight w:val="none"/>
        </w:rPr>
        <w:t xml:space="preserve">后期质保维护</w:t>
      </w:r>
      <w:r>
        <w:rPr>
          <w:rFonts w:hint="eastAsia" w:ascii="宋体" w:hAnsi="宋体" w:cs="微软雅黑"/>
          <w:color w:val="000000"/>
          <w:sz w:val="24"/>
          <w:szCs w:val="24"/>
          <w:highlight w:val="none"/>
          <w:lang w:eastAsia="zh-CN"/>
        </w:rPr>
        <w:t xml:space="preserve">、</w:t>
      </w:r>
      <w:r>
        <w:rPr>
          <w:rFonts w:hint="eastAsia" w:ascii="宋体" w:hAnsi="宋体" w:cs="微软雅黑"/>
          <w:color w:val="000000"/>
          <w:sz w:val="24"/>
          <w:szCs w:val="24"/>
          <w:highlight w:val="none"/>
          <w:lang w:val="en-US" w:eastAsia="zh-CN"/>
        </w:rPr>
        <w:t xml:space="preserve">检测</w:t>
      </w:r>
      <w:r>
        <w:rPr>
          <w:rFonts w:hint="eastAsia" w:ascii="宋体" w:hAnsi="宋体" w:eastAsia="宋体" w:cs="微软雅黑"/>
          <w:color w:val="000000"/>
          <w:sz w:val="24"/>
          <w:szCs w:val="24"/>
          <w:highlight w:val="none"/>
        </w:rPr>
        <w:t xml:space="preserve">等。</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b/>
          <w:bCs/>
          <w:color w:val="000000"/>
          <w:sz w:val="24"/>
          <w:szCs w:val="24"/>
          <w:highlight w:val="none"/>
        </w:rPr>
        <w:t xml:space="preserve">（三）售后服务要求</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1.货物免费质保期不低于</w:t>
      </w: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年，自采购人验收合格之日起计算。</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2.质保期间，中标人承担维修、保养、安检、调换等，相关费用包含在预算内，采购方不再支付任何费用；如果中标人在质保期内不能按照投标承诺提供保养、维修、调换等服务，采购人有权另找他人进行保养、维修、调换，费用由中标人</w:t>
      </w:r>
      <w:r>
        <w:rPr>
          <w:rFonts w:hint="eastAsia" w:ascii="宋体" w:hAnsi="宋体" w:cs="微软雅黑"/>
          <w:color w:val="000000"/>
          <w:sz w:val="24"/>
          <w:szCs w:val="24"/>
          <w:highlight w:val="none"/>
          <w:lang w:val="en-US" w:eastAsia="zh-CN"/>
        </w:rPr>
        <w:t xml:space="preserve">双倍</w:t>
      </w:r>
      <w:r>
        <w:rPr>
          <w:rFonts w:hint="eastAsia" w:ascii="宋体" w:hAnsi="宋体" w:eastAsia="宋体" w:cs="微软雅黑"/>
          <w:color w:val="000000"/>
          <w:sz w:val="24"/>
          <w:szCs w:val="24"/>
          <w:highlight w:val="none"/>
        </w:rPr>
        <w:t xml:space="preserve">承担。</w:t>
      </w:r>
      <w:r>
        <w:rPr>
          <w:rFonts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cs="微软雅黑"/>
          <w:b/>
          <w:bCs/>
          <w:color w:val="000000"/>
          <w:sz w:val="24"/>
          <w:szCs w:val="24"/>
          <w:highlight w:val="none"/>
          <w:lang w:val="en-US" w:eastAsia="zh-CN"/>
        </w:rPr>
        <w:t xml:space="preserve">3.</w:t>
      </w:r>
      <w:r>
        <w:rPr>
          <w:rFonts w:hint="eastAsia" w:ascii="宋体" w:hAnsi="宋体" w:eastAsia="宋体" w:cs="微软雅黑"/>
          <w:color w:val="000000"/>
          <w:sz w:val="24"/>
          <w:szCs w:val="24"/>
          <w:highlight w:val="none"/>
          <w:lang w:val="en-US" w:eastAsia="zh-CN"/>
        </w:rPr>
        <w:t xml:space="preserve">提交售后服务承诺。投标供应商须承诺以下内容：“免费为所供产品提供终身维护服务及不低于3年原厂免费质保服务（如投标人按照评分办法要求提</w:t>
      </w:r>
      <w:r>
        <w:rPr>
          <w:rFonts w:hint="eastAsia" w:ascii="宋体" w:hAnsi="宋体" w:eastAsia="宋体" w:cs="微软雅黑"/>
          <w:color w:val="000000"/>
          <w:sz w:val="24"/>
          <w:szCs w:val="24"/>
          <w:highlight w:val="none"/>
          <w:lang w:val="en-US" w:eastAsia="zh-CN"/>
        </w:rPr>
        <w:t xml:space="preserve">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r>
        <w:rPr>
          <w:rFonts w:hint="eastAsia" w:ascii="宋体" w:hAnsi="宋体" w:eastAsia="宋体" w:cs="微软雅黑"/>
          <w:color w:val="000000"/>
          <w:sz w:val="24"/>
          <w:szCs w:val="24"/>
          <w:highlight w:val="none"/>
        </w:rPr>
      </w:r>
      <w:r/>
    </w:p>
    <w:p>
      <w:pPr>
        <w:pStyle w:val="748"/>
        <w:ind w:firstLine="36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（四）交付要求</w:t>
      </w:r>
      <w:r>
        <w:rPr>
          <w:rFonts w:ascii="宋体" w:hAnsi="宋体" w:eastAsia="宋体" w:cs="微软雅黑"/>
          <w:b/>
          <w:bCs/>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1．中标供应商须在中标后的15天内，按照采购人的要求，于宿迁学院公寓空置房间内建设样板间，所有费用由中标商承担。</w:t>
      </w:r>
      <w:r>
        <w:rPr>
          <w:rFonts w:hint="eastAsia"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2.交货、交付期限：合同签订后50日历天内送到甲方指定地点存放，接到甲方通知30日内完成安装、调试、检测并交付甲方使用（含二次搬运费）。</w:t>
      </w:r>
      <w:r>
        <w:rPr>
          <w:rFonts w:hint="eastAsia"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4．送货商品和送样样品的一致性比较、与项目需求的各类技术规格比较，如有不符，由供货人整改或换货，造成的损失由供货人承担。验收要求如下：</w:t>
      </w:r>
      <w:r>
        <w:rPr>
          <w:rFonts w:ascii="宋体" w:hAnsi="宋体" w:eastAsia="宋体" w:cs="微软雅黑"/>
          <w:color w:val="000000"/>
          <w:sz w:val="24"/>
          <w:szCs w:val="24"/>
          <w:highlight w:val="none"/>
        </w:rPr>
      </w:r>
      <w:r/>
    </w:p>
    <w:p>
      <w:pPr>
        <w:pStyle w:val="748"/>
        <w:ind w:firstLine="480"/>
        <w:jc w:val="left"/>
        <w:spacing w:line="431"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人整改或换货，造成所有的损失（包括：因此给采购造成的损失），由供货人承担。采购人有权委托第三方专业检测机构对同种类家具抽检样品，进行破坏性检测</w:t>
      </w:r>
      <w:r>
        <w:rPr>
          <w:rFonts w:hint="eastAsia" w:ascii="宋体" w:hAnsi="宋体" w:cs="微软雅黑"/>
          <w:color w:val="000000"/>
          <w:sz w:val="24"/>
          <w:szCs w:val="24"/>
          <w:highlight w:val="none"/>
          <w:lang w:eastAsia="zh-CN"/>
        </w:rPr>
        <w:t xml:space="preserve">，</w:t>
      </w:r>
      <w:r>
        <w:rPr>
          <w:rFonts w:hint="eastAsia" w:ascii="宋体" w:hAnsi="宋体" w:cs="微软雅黑"/>
          <w:color w:val="000000"/>
          <w:sz w:val="24"/>
          <w:szCs w:val="24"/>
          <w:highlight w:val="none"/>
          <w:lang w:val="en-US" w:eastAsia="zh-CN"/>
        </w:rPr>
        <w:t xml:space="preserve">所有检测费用由</w:t>
      </w:r>
      <w:r>
        <w:rPr>
          <w:rFonts w:hint="eastAsia" w:ascii="宋体" w:hAnsi="宋体" w:eastAsia="宋体" w:cs="微软雅黑"/>
          <w:color w:val="000000"/>
          <w:sz w:val="24"/>
          <w:szCs w:val="24"/>
          <w:highlight w:val="none"/>
        </w:rPr>
        <w:t xml:space="preserve">供货人</w:t>
      </w:r>
      <w:r>
        <w:rPr>
          <w:rFonts w:hint="eastAsia" w:ascii="宋体" w:hAnsi="宋体" w:cs="微软雅黑"/>
          <w:color w:val="000000"/>
          <w:sz w:val="24"/>
          <w:szCs w:val="24"/>
          <w:highlight w:val="none"/>
          <w:lang w:val="en-US" w:eastAsia="zh-CN"/>
        </w:rPr>
        <w:t xml:space="preserve">承担。</w:t>
      </w:r>
      <w:r>
        <w:rPr>
          <w:rFonts w:hint="eastAsia" w:ascii="宋体" w:hAnsi="宋体" w:eastAsia="宋体" w:cs="微软雅黑"/>
          <w:color w:val="000000"/>
          <w:sz w:val="24"/>
          <w:szCs w:val="24"/>
          <w:highlight w:val="none"/>
        </w:rPr>
      </w:r>
      <w:r/>
    </w:p>
    <w:p>
      <w:pPr>
        <w:pStyle w:val="748"/>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（2）如质量</w:t>
      </w:r>
      <w:r>
        <w:rPr>
          <w:rFonts w:hint="eastAsia" w:ascii="宋体" w:hAnsi="宋体" w:eastAsia="宋体" w:cs="微软雅黑"/>
          <w:color w:val="000000"/>
          <w:sz w:val="24"/>
          <w:szCs w:val="24"/>
          <w:highlight w:val="none"/>
        </w:rPr>
        <w:t xml:space="preserve">达不到招标文件和国家有关质量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cs="微软雅黑"/>
          <w:color w:val="000000"/>
          <w:sz w:val="24"/>
          <w:szCs w:val="24"/>
          <w:highlight w:val="none"/>
          <w:lang w:eastAsia="zh-CN"/>
        </w:rPr>
        <w:t xml:space="preserve">，</w:t>
      </w:r>
      <w:r>
        <w:rPr>
          <w:rFonts w:hint="eastAsia" w:ascii="宋体" w:hAnsi="宋体" w:cs="微软雅黑"/>
          <w:color w:val="000000"/>
          <w:sz w:val="24"/>
          <w:szCs w:val="24"/>
          <w:highlight w:val="none"/>
          <w:lang w:val="en-US" w:eastAsia="zh-CN"/>
        </w:rPr>
        <w:t xml:space="preserve">所有检测费用由</w:t>
      </w:r>
      <w:r>
        <w:rPr>
          <w:rFonts w:hint="eastAsia" w:ascii="宋体" w:hAnsi="宋体" w:eastAsia="宋体" w:cs="微软雅黑"/>
          <w:color w:val="000000"/>
          <w:sz w:val="24"/>
          <w:szCs w:val="24"/>
          <w:highlight w:val="none"/>
        </w:rPr>
        <w:t xml:space="preserve">供货人</w:t>
      </w:r>
      <w:r>
        <w:rPr>
          <w:rFonts w:hint="eastAsia" w:ascii="宋体" w:hAnsi="宋体" w:cs="微软雅黑"/>
          <w:color w:val="000000"/>
          <w:sz w:val="24"/>
          <w:szCs w:val="24"/>
          <w:highlight w:val="none"/>
          <w:lang w:val="en-US" w:eastAsia="zh-CN"/>
        </w:rPr>
        <w:t xml:space="preserve">承担</w:t>
      </w:r>
      <w:r>
        <w:rPr>
          <w:rFonts w:hint="eastAsia" w:ascii="宋体" w:hAnsi="宋体" w:eastAsia="宋体" w:cs="微软雅黑"/>
          <w:color w:val="000000"/>
          <w:sz w:val="24"/>
          <w:szCs w:val="24"/>
          <w:highlight w:val="none"/>
        </w:rPr>
        <w:t xml:space="preserve">。</w:t>
      </w:r>
      <w:r>
        <w:rPr>
          <w:rFonts w:ascii="宋体" w:hAnsi="宋体" w:eastAsia="宋体" w:cs="微软雅黑"/>
          <w:color w:val="000000"/>
          <w:sz w:val="24"/>
          <w:szCs w:val="24"/>
          <w:highlight w:val="none"/>
        </w:rPr>
      </w:r>
      <w:r/>
    </w:p>
    <w:p>
      <w:pPr>
        <w:pStyle w:val="748"/>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3）采购人有权请检测机构相关专家和采购人单位代表在生产过程中随时到生产现场查看本项目所有制作材料的型号和进货清单等书面材料及原始凭证，中标供应商承担有可能产生的材料品牌检测费。中标供应商在基材备货完成阶段和货物生产完成30%阶段，及时告知采购人，以便采购人安排现场监督。</w:t>
      </w:r>
      <w:r>
        <w:rPr>
          <w:rFonts w:ascii="宋体" w:hAnsi="宋体" w:eastAsia="宋体" w:cs="微软雅黑"/>
          <w:color w:val="000000"/>
          <w:sz w:val="24"/>
          <w:szCs w:val="24"/>
          <w:highlight w:val="none"/>
        </w:rPr>
      </w:r>
      <w:r/>
    </w:p>
    <w:p>
      <w:pPr>
        <w:pStyle w:val="748"/>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rPr>
          <w:rFonts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5．中标供应商在最终验收合格之后，向采购人提供装箱清单、测试报告、产品合格证、使用说明书、保养、维护所</w:t>
      </w:r>
      <w:r>
        <w:rPr>
          <w:rFonts w:hint="eastAsia" w:ascii="宋体" w:hAnsi="宋体" w:cs="微软雅黑"/>
          <w:color w:val="000000"/>
          <w:sz w:val="24"/>
          <w:szCs w:val="24"/>
          <w:highlight w:val="none"/>
          <w:lang w:val="en-US" w:eastAsia="zh-CN"/>
        </w:rPr>
        <w:t xml:space="preserve">需要</w:t>
      </w:r>
      <w:r>
        <w:rPr>
          <w:rFonts w:hint="eastAsia" w:ascii="宋体" w:hAnsi="宋体" w:eastAsia="宋体" w:cs="微软雅黑"/>
          <w:color w:val="000000"/>
          <w:sz w:val="24"/>
          <w:szCs w:val="24"/>
          <w:highlight w:val="none"/>
        </w:rPr>
        <w:t xml:space="preserve">的资料。供货商无条件配合甲方聘请的监理单位、审计单位参与进行的验收工作。</w:t>
      </w:r>
      <w:r>
        <w:rPr>
          <w:rFonts w:hint="eastAsia" w:ascii="宋体" w:hAnsi="宋体" w:eastAsia="宋体" w:cs="微软雅黑"/>
          <w:color w:val="000000"/>
          <w:sz w:val="24"/>
          <w:szCs w:val="24"/>
          <w:highlight w:val="none"/>
        </w:rPr>
      </w:r>
      <w:r/>
    </w:p>
    <w:p>
      <w:pPr>
        <w:pStyle w:val="748"/>
        <w:ind w:firstLine="24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lang w:val="en-US" w:eastAsia="zh-CN"/>
        </w:rPr>
        <w:t xml:space="preserve">五</w:t>
      </w: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rPr>
        <w:t xml:space="preserve">投标人履约能力及其他要求</w:t>
      </w:r>
      <w:r>
        <w:rPr>
          <w:rFonts w:ascii="宋体" w:hAnsi="宋体" w:eastAsia="宋体" w:cs="微软雅黑"/>
          <w:b/>
          <w:bCs/>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w:t>
      </w:r>
      <w:r>
        <w:rPr>
          <w:rFonts w:hint="eastAsia" w:ascii="宋体" w:hAnsi="宋体" w:eastAsia="宋体" w:cs="微软雅黑"/>
          <w:color w:val="000000"/>
          <w:sz w:val="24"/>
          <w:szCs w:val="24"/>
          <w:highlight w:val="none"/>
        </w:rPr>
        <w:t xml:space="preserve">1投标人或所投产品制造商具有完成本项目所需的生产设备，如</w:t>
      </w:r>
      <w:r>
        <w:rPr>
          <w:rFonts w:hint="eastAsia" w:ascii="宋体" w:hAnsi="宋体" w:eastAsia="宋体" w:cs="微软雅黑"/>
          <w:color w:val="000000"/>
          <w:sz w:val="24"/>
          <w:szCs w:val="24"/>
          <w:highlight w:val="none"/>
          <w:lang w:val="en-US" w:eastAsia="zh-CN"/>
        </w:rPr>
        <w:t xml:space="preserve">激光切割设备、焊接机器人（自动焊接设备）、喷涂生产线、数控弯管机、数控板材开料锯、数控排钻、自动封边机、数控剪板机</w:t>
      </w:r>
      <w:r>
        <w:rPr>
          <w:rFonts w:hint="eastAsia" w:ascii="宋体" w:hAnsi="宋体" w:eastAsia="宋体" w:cs="微软雅黑"/>
          <w:color w:val="000000"/>
          <w:sz w:val="24"/>
          <w:szCs w:val="24"/>
          <w:highlight w:val="none"/>
        </w:rPr>
        <w:t xml:space="preserve">等具有相同或类似功能的设备。</w:t>
      </w:r>
      <w:r>
        <w:rPr>
          <w:rFonts w:hint="eastAsia"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5</w:t>
      </w:r>
      <w:r>
        <w:rPr>
          <w:rFonts w:hint="eastAsia" w:ascii="宋体" w:hAnsi="宋体" w:eastAsia="宋体" w:cs="微软雅黑"/>
          <w:color w:val="000000"/>
          <w:sz w:val="24"/>
          <w:szCs w:val="24"/>
          <w:highlight w:val="none"/>
        </w:rPr>
        <w:t xml:space="preserve">.</w:t>
      </w: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投标人提供自202</w:t>
      </w: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年1月1日以来（以合同签订时间为准）销售、供货及安装与本项目类似的成功案例</w:t>
      </w:r>
      <w:r>
        <w:rPr>
          <w:rFonts w:hint="eastAsia" w:ascii="宋体" w:hAnsi="宋体" w:eastAsia="宋体" w:cs="微软雅黑"/>
          <w:color w:val="000000"/>
          <w:sz w:val="24"/>
          <w:szCs w:val="24"/>
          <w:highlight w:val="none"/>
          <w:lang w:eastAsia="zh-CN"/>
        </w:rPr>
        <w:t xml:space="preserve">，</w:t>
      </w:r>
      <w:r>
        <w:rPr>
          <w:rFonts w:hint="eastAsia" w:ascii="宋体" w:hAnsi="宋体" w:eastAsia="宋体" w:cs="微软雅黑"/>
          <w:color w:val="000000"/>
          <w:sz w:val="24"/>
          <w:szCs w:val="24"/>
          <w:highlight w:val="none"/>
          <w:lang w:val="en-US" w:eastAsia="zh-CN"/>
        </w:rPr>
        <w:t xml:space="preserve">根据评分办法具体内容提供证明材料</w:t>
      </w:r>
      <w:r>
        <w:rPr>
          <w:rFonts w:hint="eastAsia" w:ascii="宋体" w:hAnsi="宋体" w:eastAsia="宋体" w:cs="微软雅黑"/>
          <w:color w:val="000000"/>
          <w:sz w:val="24"/>
          <w:szCs w:val="24"/>
          <w:highlight w:val="none"/>
        </w:rPr>
        <w:t xml:space="preserve">。</w:t>
      </w:r>
      <w:r>
        <w:rPr>
          <w:rFonts w:hint="eastAsia" w:ascii="宋体" w:hAnsi="宋体" w:eastAsia="宋体" w:cs="微软雅黑"/>
          <w:color w:val="000000"/>
          <w:sz w:val="24"/>
          <w:szCs w:val="24"/>
          <w:highlight w:val="none"/>
        </w:rPr>
      </w:r>
      <w:r/>
    </w:p>
    <w:p>
      <w:pPr>
        <w:pStyle w:val="748"/>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lang w:val="en-US" w:eastAsia="zh-CN"/>
        </w:rPr>
        <w:t xml:space="preserve">5.3在生产过程中，采购人将不定时、不限次数到生产现场进行检查，如果发现生产组织、材料质量、工艺水平等达不到要求的，供应商应按照采购人要求整改至合格为止，否则采购人有权解除合同和索赔。 </w:t>
      </w:r>
      <w:r>
        <w:rPr>
          <w:rFonts w:ascii="宋体" w:hAnsi="宋体" w:cs="微软雅黑"/>
          <w:color w:val="000000"/>
          <w:sz w:val="24"/>
          <w:szCs w:val="24"/>
          <w:highlight w:val="none"/>
        </w:rPr>
      </w:r>
      <w:r/>
    </w:p>
    <w:p>
      <w:pPr>
        <w:pStyle w:val="748"/>
        <w:ind w:firstLine="482"/>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w:t>
      </w:r>
      <w:r>
        <w:rPr>
          <w:rFonts w:hint="eastAsia" w:ascii="宋体" w:hAnsi="宋体" w:eastAsia="宋体" w:cs="微软雅黑"/>
          <w:b/>
          <w:bCs/>
          <w:color w:val="000000"/>
          <w:sz w:val="24"/>
          <w:szCs w:val="24"/>
          <w:highlight w:val="none"/>
          <w:lang w:val="en-US" w:eastAsia="zh-CN"/>
        </w:rPr>
        <w:t xml:space="preserve">六</w:t>
      </w:r>
      <w:r>
        <w:rPr>
          <w:rFonts w:hint="eastAsia" w:ascii="宋体" w:hAnsi="宋体" w:eastAsia="宋体" w:cs="微软雅黑"/>
          <w:b/>
          <w:bCs/>
          <w:color w:val="000000"/>
          <w:sz w:val="24"/>
          <w:szCs w:val="24"/>
          <w:highlight w:val="none"/>
        </w:rPr>
        <w:t xml:space="preserve">）履约保证金及付款方式</w:t>
      </w:r>
      <w:r>
        <w:rPr>
          <w:rFonts w:ascii="宋体" w:hAnsi="宋体" w:eastAsia="宋体" w:cs="微软雅黑"/>
          <w:b/>
          <w:bCs/>
          <w:color w:val="000000"/>
          <w:sz w:val="24"/>
          <w:szCs w:val="24"/>
          <w:highlight w:val="none"/>
        </w:rPr>
      </w:r>
      <w:r/>
    </w:p>
    <w:p>
      <w:pPr>
        <w:pStyle w:val="748"/>
        <w:ind w:firstLine="48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履约保证金：</w:t>
      </w:r>
      <w:r>
        <w:rPr>
          <w:rFonts w:ascii="宋体" w:hAnsi="宋体" w:eastAsia="宋体" w:cs="微软雅黑"/>
          <w:color w:val="000000"/>
          <w:sz w:val="24"/>
          <w:szCs w:val="24"/>
          <w:highlight w:val="none"/>
        </w:rPr>
      </w:r>
      <w:r/>
    </w:p>
    <w:p>
      <w:pPr>
        <w:pStyle w:val="748"/>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lang w:val="en-US" w:eastAsia="zh-CN"/>
        </w:rPr>
        <w:t xml:space="preserve">中标供应商于合同签订前向采购人交纳中标价的10%作为合同的履约保证金。验收合格后将履约保证金无息退还给中标供应商。</w:t>
      </w:r>
      <w:r>
        <w:rPr>
          <w:rFonts w:hint="eastAsia" w:ascii="宋体" w:hAnsi="宋体" w:cs="微软雅黑"/>
          <w:color w:val="000000"/>
          <w:sz w:val="24"/>
          <w:szCs w:val="24"/>
          <w:highlight w:val="none"/>
        </w:rPr>
      </w:r>
      <w:r/>
    </w:p>
    <w:p>
      <w:pPr>
        <w:pStyle w:val="748"/>
        <w:ind w:firstLine="480"/>
        <w:jc w:val="left"/>
        <w:spacing w:line="360" w:lineRule="auto"/>
        <w:rPr>
          <w:rFonts w:ascii="宋体" w:hAnsi="宋体" w:eastAsia="宋体" w:cs="微软雅黑"/>
          <w:color w:val="000000"/>
          <w:highlight w:val="none"/>
        </w:rPr>
      </w:pPr>
      <w:r>
        <w:rPr>
          <w:rFonts w:hint="eastAsia" w:ascii="宋体" w:hAnsi="宋体" w:cs="微软雅黑"/>
          <w:color w:val="000000"/>
          <w:sz w:val="24"/>
          <w:szCs w:val="24"/>
          <w:highlight w:val="none"/>
          <w:lang w:val="en-US" w:eastAsia="zh-CN"/>
        </w:rPr>
        <w:t xml:space="preserve">付款方式：</w:t>
      </w:r>
      <w:r>
        <w:rPr>
          <w:rFonts w:hint="eastAsia" w:ascii="宋体" w:hAnsi="宋体" w:eastAsia="宋体" w:cs="微软雅黑"/>
          <w:color w:val="000000"/>
          <w:highlight w:val="none"/>
        </w:rPr>
        <w:t xml:space="preserve">签订合同后，</w:t>
      </w:r>
      <w:r>
        <w:rPr>
          <w:rFonts w:hint="eastAsia" w:ascii="宋体" w:hAnsi="宋体" w:cs="微软雅黑"/>
          <w:color w:val="000000"/>
          <w:sz w:val="24"/>
          <w:szCs w:val="24"/>
          <w:highlight w:val="none"/>
          <w:lang w:val="en-US" w:eastAsia="zh-CN"/>
        </w:rPr>
        <w:t xml:space="preserve">采购</w:t>
      </w:r>
      <w:r>
        <w:rPr>
          <w:rFonts w:hint="eastAsia" w:ascii="宋体" w:hAnsi="宋体" w:eastAsia="宋体" w:cs="微软雅黑"/>
          <w:color w:val="000000"/>
          <w:highlight w:val="none"/>
        </w:rPr>
        <w:t xml:space="preserve">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rPr>
          <w:rFonts w:ascii="宋体" w:hAnsi="宋体" w:eastAsia="宋体" w:cs="微软雅黑"/>
          <w:color w:val="000000"/>
          <w:highlight w:val="none"/>
        </w:rPr>
      </w:r>
      <w:r/>
    </w:p>
    <w:p>
      <w:pPr>
        <w:pStyle w:val="748"/>
        <w:ind w:firstLine="48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1.本次招标不收取投标保证金。</w:t>
      </w:r>
      <w:r>
        <w:rPr>
          <w:rFonts w:ascii="宋体" w:hAnsi="宋体" w:eastAsia="宋体" w:cs="微软雅黑"/>
          <w:color w:val="000000"/>
          <w:sz w:val="24"/>
          <w:szCs w:val="24"/>
          <w:highlight w:val="none"/>
        </w:rPr>
      </w:r>
      <w:r/>
    </w:p>
    <w:p>
      <w:pPr>
        <w:pStyle w:val="748"/>
        <w:ind w:firstLine="480"/>
        <w:jc w:val="left"/>
        <w:spacing w:line="431"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对抽样送检进行破坏性试验的产品进行数量补充的家具，由中标供应商免费提供。所有检测费用由中标供应商支付。</w:t>
      </w:r>
      <w:r>
        <w:rPr>
          <w:rFonts w:hint="eastAsia" w:ascii="宋体" w:hAnsi="宋体" w:eastAsia="宋体" w:cs="微软雅黑"/>
          <w:color w:val="000000"/>
          <w:sz w:val="24"/>
          <w:szCs w:val="24"/>
          <w:highlight w:val="none"/>
        </w:rPr>
      </w:r>
      <w:r/>
    </w:p>
    <w:p>
      <w:pPr>
        <w:pStyle w:val="748"/>
        <w:ind w:firstLine="482"/>
        <w:spacing w:line="360" w:lineRule="auto"/>
        <w:rPr>
          <w:rFonts w:ascii="宋体" w:hAnsi="宋体" w:eastAsia="宋体" w:cs="微软雅黑"/>
          <w:color w:val="000000"/>
          <w:sz w:val="24"/>
          <w:szCs w:val="24"/>
          <w:highlight w:val="none"/>
        </w:rPr>
      </w:pPr>
      <w:r>
        <w:rPr>
          <w:rFonts w:hint="eastAsia" w:ascii="宋体" w:hAnsi="宋体" w:eastAsia="宋体" w:cs="微软雅黑"/>
          <w:b/>
          <w:bCs/>
          <w:color w:val="000000"/>
          <w:sz w:val="24"/>
          <w:szCs w:val="24"/>
          <w:highlight w:val="none"/>
        </w:rPr>
        <w:t xml:space="preserve">（</w:t>
      </w:r>
      <w:r>
        <w:rPr>
          <w:rFonts w:hint="eastAsia" w:ascii="宋体" w:hAnsi="宋体" w:eastAsia="宋体" w:cs="微软雅黑"/>
          <w:b/>
          <w:bCs/>
          <w:color w:val="000000"/>
          <w:sz w:val="24"/>
          <w:szCs w:val="24"/>
          <w:highlight w:val="none"/>
          <w:lang w:val="en-US" w:eastAsia="zh-CN"/>
        </w:rPr>
        <w:t xml:space="preserve">七</w:t>
      </w:r>
      <w:r>
        <w:rPr>
          <w:rFonts w:hint="eastAsia" w:ascii="宋体" w:hAnsi="宋体" w:eastAsia="宋体" w:cs="微软雅黑"/>
          <w:b/>
          <w:bCs/>
          <w:color w:val="000000"/>
          <w:sz w:val="24"/>
          <w:szCs w:val="24"/>
          <w:highlight w:val="none"/>
        </w:rPr>
        <w:t xml:space="preserve">）项目组织方案要求</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1.项目实施方案。</w:t>
      </w:r>
      <w:r>
        <w:rPr>
          <w:rFonts w:hint="eastAsia" w:ascii="宋体" w:hAnsi="宋体" w:cs="微软雅黑"/>
          <w:color w:val="000000"/>
          <w:sz w:val="24"/>
          <w:szCs w:val="24"/>
          <w:highlight w:val="none"/>
        </w:rPr>
        <w:t xml:space="preserve">投标人应根据招标文件要求，提供质量管理及安装保障措施方案和进度控制方案。</w:t>
      </w:r>
      <w:r>
        <w:rPr>
          <w:rFonts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w:t>
      </w:r>
      <w:r>
        <w:rPr>
          <w:rFonts w:hint="eastAsia" w:ascii="宋体" w:hAnsi="宋体" w:eastAsia="宋体" w:cs="微软雅黑"/>
          <w:color w:val="000000"/>
          <w:sz w:val="24"/>
          <w:szCs w:val="24"/>
          <w:highlight w:val="none"/>
          <w:lang w:val="en-US" w:eastAsia="zh-CN"/>
        </w:rPr>
        <w:t xml:space="preserve">1</w:t>
      </w:r>
      <w:r>
        <w:rPr>
          <w:rFonts w:hint="eastAsia" w:ascii="宋体" w:hAnsi="宋体" w:eastAsia="宋体" w:cs="微软雅黑"/>
          <w:color w:val="000000"/>
          <w:sz w:val="24"/>
          <w:szCs w:val="24"/>
          <w:highlight w:val="none"/>
        </w:rPr>
        <w:t xml:space="preserve">）</w:t>
      </w:r>
      <w:bookmarkStart w:id="192" w:name="_Hlk218419655"/>
      <w:r>
        <w:rPr>
          <w:rFonts w:ascii="宋体" w:hAnsi="宋体" w:eastAsia="宋体" w:cs="微软雅黑"/>
          <w:color w:val="000000"/>
          <w:sz w:val="24"/>
          <w:szCs w:val="24"/>
          <w:highlight w:val="none"/>
        </w:rPr>
        <w:t xml:space="preserve">质量管理及保障方案</w:t>
      </w:r>
      <w:bookmarkEnd w:id="192"/>
      <w:r>
        <w:rPr>
          <w:rFonts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rPr>
          <w:rFonts w:hint="eastAsia"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w:t>
      </w: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）进度控制方案</w:t>
      </w:r>
      <w:r>
        <w:rPr>
          <w:rFonts w:hint="eastAsia"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rPr>
          <w:rFonts w:hint="eastAsia" w:ascii="宋体" w:hAnsi="宋体" w:eastAsia="宋体" w:cs="微软雅黑"/>
          <w:color w:val="000000"/>
          <w:sz w:val="24"/>
          <w:szCs w:val="24"/>
          <w:highlight w:val="none"/>
        </w:rPr>
      </w:r>
      <w:r/>
    </w:p>
    <w:p>
      <w:pPr>
        <w:pStyle w:val="748"/>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eastAsia="zh-CN"/>
        </w:rPr>
        <w:t xml:space="preserve">（</w:t>
      </w: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lang w:eastAsia="zh-CN"/>
        </w:rPr>
        <w:t xml:space="preserve">）</w:t>
      </w:r>
      <w:r>
        <w:rPr>
          <w:rFonts w:hint="eastAsia" w:ascii="宋体" w:hAnsi="宋体" w:eastAsia="宋体" w:cs="微软雅黑"/>
          <w:color w:val="000000"/>
          <w:sz w:val="24"/>
          <w:szCs w:val="24"/>
          <w:highlight w:val="none"/>
        </w:rPr>
        <w:t xml:space="preserve">产品的运输、安装的方案：投标人应在货物发运前对其进行满足运输距离、防潮、防震、防锈和防破损装卸等要求包装，以保证货物安全运达甲方指定地点。</w:t>
      </w:r>
      <w:r>
        <w:rPr>
          <w:rFonts w:hint="eastAsia" w:ascii="宋体" w:hAnsi="宋体" w:eastAsia="宋体" w:cs="微软雅黑"/>
          <w:color w:val="000000"/>
          <w:sz w:val="24"/>
          <w:szCs w:val="24"/>
          <w:highlight w:val="none"/>
        </w:rPr>
      </w:r>
      <w:r/>
    </w:p>
    <w:p>
      <w:pPr>
        <w:pStyle w:val="748"/>
        <w:ind w:firstLine="480"/>
        <w:spacing w:line="360" w:lineRule="auto"/>
        <w:rPr>
          <w:rFonts w:ascii="宋体" w:hAnsi="宋体" w:eastAsia="宋体" w:cs="微软雅黑"/>
          <w:color w:val="000000"/>
          <w:highlight w:val="none"/>
        </w:rPr>
      </w:pPr>
      <w:r>
        <w:rPr>
          <w:rFonts w:hint="eastAsia" w:ascii="宋体" w:hAnsi="宋体" w:eastAsia="宋体" w:cs="微软雅黑"/>
          <w:color w:val="000000"/>
          <w:sz w:val="24"/>
          <w:szCs w:val="24"/>
          <w:highlight w:val="none"/>
        </w:rPr>
        <w:t xml:space="preserve">2.售后服务方案。</w:t>
      </w:r>
      <w:r>
        <w:rPr>
          <w:rFonts w:hint="eastAsia" w:ascii="宋体" w:hAnsi="宋体" w:eastAsia="宋体" w:cs="微软雅黑"/>
          <w:color w:val="000000"/>
          <w:highlight w:val="none"/>
        </w:rPr>
        <w:t xml:space="preserve">投标人针对本项目制定售后服务方案，</w:t>
      </w:r>
      <w:r>
        <w:rPr>
          <w:rFonts w:ascii="Segoe UI" w:hAnsi="Segoe UI" w:eastAsia="宋体" w:cs="Segoe UI"/>
          <w:color w:val="000000"/>
          <w:highlight w:val="none"/>
          <w:shd w:val="clear" w:color="auto" w:fill="ffffff"/>
        </w:rPr>
        <w:t xml:space="preserve">确保家具产品保持良好的使用状态</w:t>
      </w:r>
      <w:r>
        <w:rPr>
          <w:rFonts w:hint="eastAsia" w:ascii="Segoe UI" w:hAnsi="Segoe UI" w:eastAsia="宋体" w:cs="Segoe UI"/>
          <w:color w:val="000000"/>
          <w:highlight w:val="none"/>
          <w:shd w:val="clear" w:color="auto" w:fill="ffffff"/>
        </w:rPr>
        <w:t xml:space="preserve">。</w:t>
      </w:r>
      <w:r>
        <w:rPr>
          <w:rFonts w:hint="eastAsia" w:ascii="宋体" w:hAnsi="宋体" w:eastAsia="宋体" w:cs="微软雅黑"/>
          <w:color w:val="000000"/>
          <w:highlight w:val="none"/>
        </w:rPr>
        <w:t xml:space="preserve">方案内容包括但不限于：售后维修的响应时间、上门服务回访的周期、免费检修、保养的范围等方面。方案应完善、内容细致全面、合理性和可行性强。</w:t>
      </w:r>
      <w:r>
        <w:rPr>
          <w:rFonts w:ascii="宋体" w:hAnsi="宋体" w:eastAsia="宋体" w:cs="微软雅黑"/>
          <w:color w:val="000000"/>
          <w:highlight w:val="none"/>
        </w:rPr>
      </w:r>
      <w:r/>
    </w:p>
    <w:p>
      <w:pPr>
        <w:pStyle w:val="748"/>
        <w:ind w:firstLine="480"/>
        <w:spacing w:line="360" w:lineRule="auto"/>
        <w:rPr>
          <w:rFonts w:hint="eastAsia" w:ascii="宋体" w:hAnsi="宋体" w:cs="宋体"/>
          <w:color w:val="000000"/>
          <w:sz w:val="24"/>
          <w:szCs w:val="24"/>
          <w:highlight w:val="none"/>
        </w:rPr>
      </w:pPr>
      <w:r>
        <w:rPr>
          <w:rFonts w:hint="eastAsia" w:ascii="宋体" w:hAnsi="宋体" w:eastAsia="宋体" w:cs="微软雅黑"/>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r>
      <w:r/>
    </w:p>
    <w:p>
      <w:pPr>
        <w:pStyle w:val="74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48"/>
        <w:ind w:firstLine="480"/>
        <w:spacing w:line="360" w:lineRule="auto"/>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highlight w:val="none"/>
        </w:rPr>
      </w:r>
      <w:r/>
    </w:p>
    <w:tbl>
      <w:tblPr>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748"/>
              <w:jc w:val="center"/>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采购包号</w:t>
            </w:r>
            <w:r>
              <w:rPr>
                <w:rFonts w:hint="eastAsia" w:ascii="宋体" w:hAnsi="宋体" w:eastAsia="宋体" w:cs="Times New Roman"/>
                <w:color w:val="000000"/>
                <w:sz w:val="21"/>
                <w:szCs w:val="21"/>
                <w:highlight w:val="none"/>
                <w:lang w:val="en-US" w:eastAsia="zh-CN" w:bidi="ar-SA"/>
              </w:rPr>
            </w:r>
            <w:r/>
          </w:p>
        </w:tc>
        <w:tc>
          <w:tcPr>
            <w:tcW w:w="1610" w:type="dxa"/>
            <w:vAlign w:val="center"/>
            <w:textDirection w:val="lrTb"/>
            <w:noWrap w:val="false"/>
          </w:tcPr>
          <w:p>
            <w:pPr>
              <w:pStyle w:val="748"/>
              <w:jc w:val="center"/>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选取</w:t>
            </w:r>
            <w:r>
              <w:rPr>
                <w:rFonts w:ascii="宋体" w:hAnsi="宋体" w:eastAsia="宋体" w:cs="Times New Roman"/>
                <w:color w:val="000000"/>
                <w:sz w:val="21"/>
                <w:szCs w:val="21"/>
                <w:highlight w:val="none"/>
                <w:lang w:val="en-US" w:eastAsia="zh-CN" w:bidi="ar-SA"/>
              </w:rPr>
              <w:t xml:space="preserve">中标候选人数量</w:t>
            </w:r>
            <w:r>
              <w:rPr>
                <w:rFonts w:hint="eastAsia" w:ascii="宋体" w:hAnsi="宋体" w:eastAsia="宋体" w:cs="Times New Roman"/>
                <w:color w:val="000000"/>
                <w:sz w:val="21"/>
                <w:szCs w:val="21"/>
                <w:highlight w:val="none"/>
                <w:lang w:val="en-US" w:eastAsia="zh-CN" w:bidi="ar-SA"/>
              </w:rPr>
            </w:r>
            <w:r/>
          </w:p>
        </w:tc>
        <w:tc>
          <w:tcPr>
            <w:tcW w:w="4325" w:type="dxa"/>
            <w:vAlign w:val="center"/>
            <w:textDirection w:val="lrTb"/>
            <w:noWrap w:val="false"/>
          </w:tcPr>
          <w:p>
            <w:pPr>
              <w:pStyle w:val="748"/>
              <w:jc w:val="center"/>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选取</w:t>
            </w:r>
            <w:r>
              <w:rPr>
                <w:rFonts w:ascii="宋体" w:hAnsi="宋体" w:eastAsia="宋体" w:cs="Times New Roman"/>
                <w:color w:val="000000"/>
                <w:sz w:val="21"/>
                <w:szCs w:val="21"/>
                <w:highlight w:val="none"/>
                <w:lang w:val="en-US" w:eastAsia="zh-CN" w:bidi="ar-SA"/>
              </w:rPr>
              <w:t xml:space="preserve">中标候选人的原则</w:t>
            </w:r>
            <w:r>
              <w:rPr>
                <w:rFonts w:hint="eastAsia" w:ascii="宋体" w:hAnsi="宋体" w:eastAsia="宋体" w:cs="Times New Roman"/>
                <w:color w:val="000000"/>
                <w:sz w:val="21"/>
                <w:szCs w:val="21"/>
                <w:highlight w:val="none"/>
                <w:lang w:val="en-US" w:eastAsia="zh-CN" w:bidi="ar-SA"/>
              </w:rPr>
            </w:r>
            <w:r/>
          </w:p>
        </w:tc>
      </w:tr>
      <w:tr>
        <w:trPr/>
        <w:tc>
          <w:tcPr>
            <w:tcW w:w="1148"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r>
            <w:r/>
          </w:p>
        </w:tc>
        <w:tc>
          <w:tcPr>
            <w:tcW w:w="1610" w:type="dxa"/>
            <w:vAlign w:val="center"/>
            <w:textDirection w:val="lrTb"/>
            <w:noWrap w:val="false"/>
          </w:tcPr>
          <w:p>
            <w:pPr>
              <w:pStyle w:val="748"/>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r>
            <w:r/>
          </w:p>
        </w:tc>
        <w:tc>
          <w:tcPr>
            <w:tcW w:w="4325" w:type="dxa"/>
            <w:vAlign w:val="center"/>
            <w:textDirection w:val="lrTb"/>
            <w:noWrap w:val="false"/>
          </w:tcPr>
          <w:p>
            <w:pPr>
              <w:pStyle w:val="748"/>
              <w:jc w:val="center"/>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满足招标文件全部实质性要求，且按照评审因素的量化指标评审得分最高的投标人为中标候选人。</w:t>
            </w:r>
            <w:r>
              <w:rPr>
                <w:rFonts w:hint="eastAsia" w:ascii="宋体" w:hAnsi="宋体" w:eastAsia="宋体" w:cs="Times New Roman"/>
                <w:color w:val="000000"/>
                <w:sz w:val="21"/>
                <w:szCs w:val="21"/>
                <w:highlight w:val="none"/>
                <w:lang w:val="en-US" w:eastAsia="zh-CN" w:bidi="ar-SA"/>
              </w:rPr>
            </w:r>
            <w:r/>
          </w:p>
        </w:tc>
      </w:tr>
    </w:tbl>
    <w:p>
      <w:pPr>
        <w:pStyle w:val="748"/>
        <w:ind w:firstLine="439"/>
        <w:jc w:val="left"/>
        <w:spacing w:before="120" w:after="120" w:line="0" w:lineRule="atLeast"/>
        <w:rPr>
          <w:rFonts w:hint="eastAsia" w:ascii="Arial" w:hAnsi="Arial" w:cs="Arial"/>
          <w:color w:val="000000"/>
          <w:sz w:val="24"/>
          <w:szCs w:val="24"/>
          <w:highlight w:val="none"/>
        </w:rPr>
      </w:pPr>
      <w:r>
        <w:rPr>
          <w:rFonts w:hint="eastAsia" w:ascii="Arial" w:hAnsi="Arial" w:cs="Arial"/>
          <w:color w:val="000000"/>
          <w:sz w:val="24"/>
          <w:szCs w:val="24"/>
          <w:highlight w:val="none"/>
        </w:rPr>
      </w:r>
      <w:r/>
    </w:p>
    <w:p>
      <w:pPr>
        <w:pStyle w:val="748"/>
        <w:ind w:firstLine="439"/>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748"/>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748"/>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的扣除价格，用扣除后的价格参与评审。（2）供应商需按照采购文件的要求提供相应的《中小微企业声明函》。</w:t>
      </w:r>
      <w:r>
        <w:rPr>
          <w:rFonts w:hint="eastAsia" w:ascii="宋体" w:hAnsi="宋体"/>
          <w:color w:val="000000"/>
          <w:sz w:val="24"/>
          <w:szCs w:val="24"/>
          <w:highlight w:val="none"/>
        </w:rPr>
      </w:r>
      <w:r/>
    </w:p>
    <w:p>
      <w:pPr>
        <w:pStyle w:val="748"/>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748"/>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748"/>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748"/>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748"/>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748"/>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748"/>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szCs w:val="24"/>
          <w:highlight w:val="none"/>
        </w:rPr>
      </w:r>
      <w:r/>
    </w:p>
    <w:p>
      <w:pPr>
        <w:pStyle w:val="748"/>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8"/>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748"/>
        <w:ind w:firstLine="480"/>
        <w:jc w:val="left"/>
        <w:spacing w:before="120" w:after="120" w:line="4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48"/>
        <w:ind w:firstLine="480"/>
        <w:jc w:val="left"/>
        <w:spacing w:before="120" w:after="120" w:line="400" w:lineRule="exact"/>
        <w:rPr>
          <w:rFonts w:hint="eastAsia" w:ascii="方正魏碑_GBK" w:hAnsi="方正魏碑_GBK" w:eastAsia="方正魏碑_GBK" w:cs="方正魏碑_GBK"/>
          <w:color w:val="000000"/>
          <w:sz w:val="28"/>
          <w:szCs w:val="28"/>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方正魏碑_GBK" w:hAnsi="方正魏碑_GBK" w:eastAsia="方正魏碑_GBK" w:cs="方正魏碑_GBK"/>
          <w:color w:val="000000"/>
          <w:sz w:val="28"/>
          <w:szCs w:val="28"/>
          <w:highlight w:val="none"/>
        </w:rPr>
      </w:r>
      <w:r/>
    </w:p>
    <w:p>
      <w:pPr>
        <w:pStyle w:val="748"/>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tbl>
      <w:tblPr>
        <w:tblW w:w="9570" w:type="dxa"/>
        <w:jc w:val="center"/>
        <w:tblInd w:w="-20" w:type="dxa"/>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trHeight w:val="600"/>
        </w:trPr>
        <w:tc>
          <w:tcPr>
            <w:tcW w:w="1280"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评分因素</w:t>
            </w:r>
            <w:r>
              <w:rPr>
                <w:rFonts w:ascii="宋体" w:hAnsi="宋体" w:eastAsia="宋体" w:cs="宋体"/>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分值   （100分）</w:t>
            </w:r>
            <w:r>
              <w:rPr>
                <w:rFonts w:hint="eastAsia" w:ascii="宋体" w:hAnsi="宋体" w:eastAsia="宋体" w:cs="宋体"/>
                <w:color w:val="000000"/>
                <w:sz w:val="21"/>
                <w:szCs w:val="21"/>
                <w:highlight w:val="none"/>
                <w:lang w:val="en-US" w:eastAsia="zh-CN" w:bidi="ar-SA"/>
              </w:rPr>
            </w:r>
            <w:r/>
          </w:p>
        </w:tc>
        <w:tc>
          <w:tcPr>
            <w:tcW w:w="7057"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评分标准</w:t>
            </w:r>
            <w:r>
              <w:rPr>
                <w:rFonts w:ascii="宋体" w:hAnsi="宋体" w:eastAsia="宋体" w:cs="宋体"/>
                <w:color w:val="000000"/>
                <w:sz w:val="21"/>
                <w:szCs w:val="21"/>
                <w:highlight w:val="none"/>
                <w:lang w:val="en-US" w:eastAsia="zh-CN" w:bidi="ar-SA"/>
              </w:rPr>
            </w:r>
            <w:r/>
          </w:p>
        </w:tc>
      </w:tr>
      <w:tr>
        <w:trPr>
          <w:trHeight w:val="90"/>
        </w:trPr>
        <w:tc>
          <w:tcPr>
            <w:tcW w:w="1280" w:type="dxa"/>
            <w:vAlign w:val="center"/>
            <w:textDirection w:val="lrTb"/>
            <w:noWrap w:val="false"/>
          </w:tcPr>
          <w:p>
            <w:pPr>
              <w:pStyle w:val="748"/>
              <w:jc w:val="center"/>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1.投标报价</w:t>
            </w:r>
            <w:r>
              <w:rPr>
                <w:rFonts w:hint="eastAsia" w:ascii="宋体" w:hAnsi="宋体" w:eastAsia="宋体" w:cs="Courier New"/>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30分</w:t>
            </w:r>
            <w:r>
              <w:rPr>
                <w:rFonts w:ascii="宋体" w:hAnsi="宋体" w:eastAsia="宋体" w:cs="Courier New"/>
                <w:color w:val="000000"/>
                <w:sz w:val="21"/>
                <w:szCs w:val="21"/>
                <w:highlight w:val="none"/>
                <w:lang w:val="en-US" w:eastAsia="zh-CN" w:bidi="ar-SA"/>
              </w:rPr>
            </w:r>
            <w:r/>
          </w:p>
        </w:tc>
        <w:tc>
          <w:tcPr>
            <w:tcW w:w="7057" w:type="dxa"/>
            <w:vAlign w:val="top"/>
            <w:textDirection w:val="lrTb"/>
            <w:noWrap w:val="false"/>
          </w:tcPr>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rPr>
                <w:rFonts w:hint="eastAsia" w:ascii="宋体" w:hAnsi="宋体" w:eastAsia="宋体" w:cs="Courier New"/>
                <w:color w:val="000000"/>
                <w:sz w:val="21"/>
                <w:szCs w:val="21"/>
                <w:highlight w:val="none"/>
                <w:lang w:val="en-US" w:eastAsia="zh-CN" w:bidi="ar-SA"/>
              </w:rPr>
            </w:r>
            <w:r/>
          </w:p>
        </w:tc>
      </w:tr>
      <w:tr>
        <w:trPr>
          <w:trHeight w:val="2503"/>
        </w:trPr>
        <w:tc>
          <w:tcPr>
            <w:tcW w:w="1280" w:type="dxa"/>
            <w:vAlign w:val="center"/>
            <w:textDirection w:val="lrTb"/>
            <w:noWrap w:val="false"/>
          </w:tcPr>
          <w:p>
            <w:pPr>
              <w:pStyle w:val="748"/>
              <w:jc w:val="center"/>
              <w:widowControl w:val="off"/>
              <w:rPr>
                <w:rFonts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2.项目实施方案</w:t>
            </w:r>
            <w:r>
              <w:rPr>
                <w:rFonts w:ascii="宋体" w:hAnsi="宋体" w:eastAsia="宋体" w:cs="Courier New"/>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14分</w:t>
            </w:r>
            <w:r>
              <w:rPr>
                <w:rFonts w:hint="eastAsia" w:ascii="宋体" w:hAnsi="宋体" w:eastAsia="宋体" w:cs="Courier New"/>
                <w:color w:val="000000"/>
                <w:sz w:val="21"/>
                <w:szCs w:val="21"/>
                <w:highlight w:val="none"/>
                <w:lang w:val="en-US" w:eastAsia="zh-CN" w:bidi="ar-SA"/>
              </w:rPr>
            </w:r>
            <w:r/>
          </w:p>
        </w:tc>
        <w:tc>
          <w:tcPr>
            <w:tcW w:w="7057" w:type="dxa"/>
            <w:vAlign w:val="top"/>
            <w:textDirection w:val="lrTb"/>
            <w:noWrap w:val="false"/>
          </w:tcPr>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2.1投标人响应招标文件项目实施要求，制定质量管理及保障方案。质量管理及保障方案优于项目需求得5分，符合项目需求得3分，不符合项目需求或未提供不得分。</w:t>
            </w:r>
            <w:r>
              <w:rPr>
                <w:rFonts w:hint="eastAsia" w:ascii="宋体" w:hAnsi="宋体" w:eastAsia="宋体" w:cs="Courier New"/>
                <w:color w:val="000000"/>
                <w:sz w:val="21"/>
                <w:szCs w:val="21"/>
                <w:highlight w:val="none"/>
                <w:lang w:val="en-US" w:eastAsia="zh-CN" w:bidi="ar-SA"/>
              </w:rPr>
            </w:r>
            <w:r/>
          </w:p>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2.2投标人响应招标文件项目实施要求，制定进度控制方案。进度控制方案优于项目需求得5分，符合项目需求得3分，不符合项目需求或未提供不得分。</w:t>
            </w:r>
            <w:r>
              <w:rPr>
                <w:rFonts w:hint="eastAsia" w:ascii="宋体" w:hAnsi="宋体" w:eastAsia="宋体" w:cs="Courier New"/>
                <w:color w:val="000000"/>
                <w:sz w:val="21"/>
                <w:szCs w:val="21"/>
                <w:highlight w:val="none"/>
                <w:lang w:val="en-US" w:eastAsia="zh-CN" w:bidi="ar-SA"/>
              </w:rPr>
            </w:r>
            <w:r/>
          </w:p>
          <w:p>
            <w:pPr>
              <w:pStyle w:val="748"/>
              <w:jc w:val="left"/>
              <w:widowControl w:val="off"/>
              <w:rPr>
                <w:rFonts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2.3投标人响应招标文件项目实施要求，制定产品运输、安装的方案，产品运输、安装方案优于项目需求得4分，符合项目需求得2分，不符合项目需求或未提供不得分。</w:t>
            </w:r>
            <w:r>
              <w:rPr>
                <w:rFonts w:ascii="宋体" w:hAnsi="宋体" w:eastAsia="宋体" w:cs="Courier New"/>
                <w:color w:val="000000"/>
                <w:sz w:val="21"/>
                <w:szCs w:val="21"/>
                <w:highlight w:val="none"/>
                <w:lang w:val="en-US" w:eastAsia="zh-CN" w:bidi="ar-SA"/>
              </w:rPr>
            </w:r>
            <w:r/>
          </w:p>
        </w:tc>
      </w:tr>
      <w:tr>
        <w:trPr>
          <w:trHeight w:val="405"/>
        </w:trPr>
        <w:tc>
          <w:tcPr>
            <w:tcW w:w="1280" w:type="dxa"/>
            <w:vAlign w:val="center"/>
            <w:textDirection w:val="lrTb"/>
            <w:noWrap w:val="false"/>
          </w:tcPr>
          <w:p>
            <w:pPr>
              <w:pStyle w:val="748"/>
              <w:jc w:val="center"/>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3.售后服务</w:t>
            </w:r>
            <w:r>
              <w:rPr>
                <w:rFonts w:hint="eastAsia" w:ascii="宋体" w:hAnsi="宋体" w:eastAsia="宋体" w:cs="Courier New"/>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8分</w:t>
            </w:r>
            <w:r>
              <w:rPr>
                <w:rFonts w:hint="eastAsia" w:ascii="宋体" w:hAnsi="宋体" w:eastAsia="宋体" w:cs="Courier New"/>
                <w:color w:val="000000"/>
                <w:sz w:val="21"/>
                <w:szCs w:val="21"/>
                <w:highlight w:val="none"/>
                <w:lang w:val="en-US" w:eastAsia="zh-CN" w:bidi="ar-SA"/>
              </w:rPr>
            </w:r>
            <w:r/>
          </w:p>
        </w:tc>
        <w:tc>
          <w:tcPr>
            <w:tcW w:w="7057" w:type="dxa"/>
            <w:vAlign w:val="top"/>
            <w:textDirection w:val="lrTb"/>
            <w:noWrap w:val="false"/>
          </w:tcPr>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3.1 满足招标文件免费质保期3年要求后,每增加1年得2分，最高得4分。</w:t>
            </w:r>
            <w:r>
              <w:rPr>
                <w:rFonts w:hint="eastAsia" w:ascii="宋体" w:hAnsi="宋体" w:eastAsia="宋体" w:cs="Courier New"/>
                <w:color w:val="000000"/>
                <w:sz w:val="21"/>
                <w:szCs w:val="21"/>
                <w:highlight w:val="none"/>
                <w:lang w:val="en-US" w:eastAsia="zh-CN" w:bidi="ar-SA"/>
              </w:rPr>
            </w:r>
            <w:r/>
          </w:p>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3.2 投标单位提供售后服务方案：包含售后维修的响应时间、上门服务回访的周期、免费检修、保养的范围等方面。方案应完善、内容细致全面、合理性和可行性强。</w:t>
            </w:r>
            <w:r>
              <w:rPr>
                <w:rFonts w:hint="eastAsia" w:ascii="宋体" w:hAnsi="宋体" w:eastAsia="宋体" w:cs="Courier New"/>
                <w:color w:val="000000"/>
                <w:sz w:val="21"/>
                <w:szCs w:val="21"/>
                <w:highlight w:val="none"/>
                <w:lang w:val="en-US" w:eastAsia="zh-CN" w:bidi="ar-SA"/>
              </w:rPr>
            </w:r>
            <w:r/>
          </w:p>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方案优于项目需求得4分，符合项目需求得2分，不符合项目需求得0分。</w:t>
            </w:r>
            <w:r>
              <w:rPr>
                <w:rFonts w:hint="eastAsia" w:ascii="宋体" w:hAnsi="宋体" w:eastAsia="宋体" w:cs="Courier New"/>
                <w:color w:val="000000"/>
                <w:sz w:val="21"/>
                <w:szCs w:val="21"/>
                <w:highlight w:val="none"/>
                <w:lang w:val="en-US" w:eastAsia="zh-CN" w:bidi="ar-SA"/>
              </w:rPr>
            </w:r>
            <w:r/>
          </w:p>
        </w:tc>
      </w:tr>
      <w:tr>
        <w:trPr>
          <w:trHeight w:val="360"/>
        </w:trPr>
        <w:tc>
          <w:tcPr>
            <w:tcW w:w="1280" w:type="dxa"/>
            <w:vAlign w:val="center"/>
            <w:textDirection w:val="lrTb"/>
            <w:noWrap w:val="false"/>
          </w:tcPr>
          <w:p>
            <w:pPr>
              <w:pStyle w:val="748"/>
              <w:jc w:val="center"/>
              <w:spacing w:before="68"/>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t xml:space="preserve">安装调试及履约能力</w:t>
            </w:r>
            <w:r>
              <w:rPr>
                <w:rFonts w:ascii="宋体" w:hAnsi="宋体" w:eastAsia="宋体" w:cs="宋体"/>
                <w:color w:val="000000"/>
                <w:spacing w:val="-2"/>
                <w:sz w:val="21"/>
                <w:szCs w:val="21"/>
                <w:highlight w:val="none"/>
                <w:lang w:val="en-US" w:eastAsia="zh-CN" w:bidi="ar-SA"/>
              </w:rPr>
            </w:r>
            <w:r/>
          </w:p>
        </w:tc>
        <w:tc>
          <w:tcPr>
            <w:tcW w:w="1233" w:type="dxa"/>
            <w:vAlign w:val="center"/>
            <w:textDirection w:val="lrTb"/>
            <w:noWrap w:val="false"/>
          </w:tcPr>
          <w:p>
            <w:pPr>
              <w:pStyle w:val="74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4分</w:t>
            </w:r>
            <w:r>
              <w:rPr>
                <w:rFonts w:hint="eastAsia" w:ascii="宋体" w:hAnsi="宋体" w:eastAsia="宋体" w:cs="宋体"/>
                <w:color w:val="000000"/>
                <w:sz w:val="21"/>
                <w:szCs w:val="21"/>
                <w:highlight w:val="none"/>
                <w:lang w:val="en-US" w:eastAsia="zh-CN" w:bidi="ar-SA"/>
              </w:rPr>
            </w:r>
            <w:r/>
          </w:p>
        </w:tc>
        <w:tc>
          <w:tcPr>
            <w:tcW w:w="7057" w:type="dxa"/>
            <w:vAlign w:val="top"/>
            <w:textDirection w:val="lrTb"/>
            <w:noWrap w:val="false"/>
          </w:tcPr>
          <w:p>
            <w:pPr>
              <w:pStyle w:val="748"/>
              <w:jc w:val="left"/>
              <w:widowControl w:val="off"/>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000000"/>
                <w:sz w:val="21"/>
                <w:szCs w:val="21"/>
                <w:highlight w:val="none"/>
                <w:lang w:val="en-US" w:eastAsia="zh-CN" w:bidi="ar-SA"/>
              </w:rPr>
              <w:t xml:space="preserve">投标人或所投产品制造商需提供的生产设备：激光切割设备、焊接机器人（自动焊接设备）、喷涂生产线、数控弯管机、数控板材开料锯、数控排钻、自动封边机、数控剪板机，每提供一项得0.5分，本项最高得4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rPr>
                <w:rFonts w:hint="eastAsia" w:ascii="宋体" w:hAnsi="宋体" w:eastAsia="宋体" w:cs="Courier New"/>
                <w:color w:val="000000"/>
                <w:sz w:val="21"/>
                <w:szCs w:val="21"/>
                <w:highlight w:val="none"/>
                <w:lang w:val="en-US" w:eastAsia="zh-CN" w:bidi="ar-SA"/>
              </w:rPr>
            </w:r>
            <w:r/>
          </w:p>
        </w:tc>
      </w:tr>
      <w:tr>
        <w:trPr>
          <w:trHeight w:val="208"/>
        </w:trPr>
        <w:tc>
          <w:tcPr>
            <w:tcW w:w="1280"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5.样品</w:t>
            </w:r>
            <w:r>
              <w:rPr>
                <w:rFonts w:ascii="宋体" w:hAnsi="宋体" w:eastAsia="宋体" w:cs="宋体"/>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10分</w:t>
            </w:r>
            <w:r>
              <w:rPr>
                <w:rFonts w:hint="eastAsia" w:ascii="宋体" w:hAnsi="宋体" w:eastAsia="宋体" w:cs="宋体"/>
                <w:color w:val="000000"/>
                <w:sz w:val="21"/>
                <w:szCs w:val="21"/>
                <w:highlight w:val="none"/>
                <w:lang w:val="en-US" w:eastAsia="zh-CN" w:bidi="ar-SA"/>
              </w:rPr>
            </w:r>
            <w:r/>
          </w:p>
        </w:tc>
        <w:tc>
          <w:tcPr>
            <w:tcW w:w="7057" w:type="dxa"/>
            <w:vAlign w:val="top"/>
            <w:textDirection w:val="lrTb"/>
            <w:noWrap w:val="false"/>
          </w:tcPr>
          <w:p>
            <w:pPr>
              <w:pStyle w:val="748"/>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评标委员会在投标人</w:t>
            </w:r>
            <w:r>
              <w:rPr>
                <w:rFonts w:hint="eastAsia" w:ascii="宋体" w:hAnsi="宋体" w:eastAsia="宋体" w:cs="宋体"/>
                <w:color w:val="000000"/>
                <w:sz w:val="21"/>
                <w:szCs w:val="21"/>
                <w:highlight w:val="none"/>
                <w:lang w:val="en-US" w:eastAsia="zh-CN" w:bidi="ar-SA"/>
              </w:rPr>
              <w:t xml:space="preserve">提供的符合招标文件技术参数、材质要求的前提下，根据综合比较打分。样品为：床前护栏（1分）、立柱（1分）、前/后床厅管/侧床厅矩形管（1分）、衣柜柜门（1分）、桌面板（1分）、铰链、导轨（1分）、爬梯（1分）、床板（1分）、学生椅（1分）、抽屉、铝合金材质挂衣杆（1分），按照样品制作标准和要求进行制作小样，评标委员会对投标人提供的小样外观、工艺等方面进行评审，优于招标文件要求得1分，小样符合招标文件要求得0.5分，注:投标人所提供的样品与招标文件要求不符合或未提供或者提供的不齐全不得分，3D打印的样品不得分。</w:t>
            </w:r>
            <w:r>
              <w:rPr>
                <w:rFonts w:hint="eastAsia" w:ascii="宋体" w:hAnsi="宋体" w:eastAsia="宋体" w:cs="宋体"/>
                <w:color w:val="000000"/>
                <w:sz w:val="21"/>
                <w:szCs w:val="21"/>
                <w:highlight w:val="none"/>
                <w:lang w:val="en-US" w:eastAsia="zh-CN" w:bidi="ar-SA"/>
              </w:rPr>
            </w:r>
            <w:r/>
          </w:p>
        </w:tc>
      </w:tr>
      <w:tr>
        <w:trPr>
          <w:trHeight w:val="90"/>
        </w:trPr>
        <w:tc>
          <w:tcPr>
            <w:tcW w:w="1280"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6.项目需求响应情况</w:t>
            </w:r>
            <w:r>
              <w:rPr>
                <w:rFonts w:ascii="宋体" w:hAnsi="宋体" w:eastAsia="宋体" w:cs="宋体"/>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10分</w:t>
            </w:r>
            <w:r>
              <w:rPr>
                <w:rFonts w:ascii="宋体" w:hAnsi="宋体" w:eastAsia="宋体" w:cs="宋体"/>
                <w:color w:val="000000"/>
                <w:sz w:val="21"/>
                <w:szCs w:val="21"/>
                <w:highlight w:val="none"/>
                <w:lang w:val="en-US" w:eastAsia="zh-CN" w:bidi="ar-SA"/>
              </w:rPr>
            </w:r>
            <w:r/>
          </w:p>
        </w:tc>
        <w:tc>
          <w:tcPr>
            <w:tcW w:w="7057" w:type="dxa"/>
            <w:vAlign w:val="center"/>
            <w:textDirection w:val="lrTb"/>
            <w:noWrap w:val="false"/>
          </w:tcPr>
          <w:p>
            <w:pPr>
              <w:pStyle w:val="748"/>
              <w:jc w:val="both"/>
              <w:spacing w:line="4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投标产品对招标文件具体需求的响应程度：全部响应即满足招标文件第四章“三、技术参数要求”的得10分。带★项的技术参数要求出现负偏离即为无效投标；</w:t>
            </w:r>
            <w:r>
              <w:rPr>
                <w:rFonts w:hint="eastAsia" w:ascii="宋体" w:hAnsi="宋体" w:eastAsia="宋体" w:cs="Times New Roman"/>
                <w:bCs/>
                <w:color w:val="000000"/>
                <w:sz w:val="21"/>
                <w:szCs w:val="21"/>
                <w:highlight w:val="none"/>
                <w:lang w:val="en-US" w:eastAsia="zh-CN" w:bidi="ar-SA"/>
              </w:rPr>
              <w:t xml:space="preserve">带</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项的技术参数要求出现负偏离每项扣0.</w:t>
            </w:r>
            <w:r>
              <w:rPr>
                <w:rFonts w:hint="eastAsia" w:ascii="宋体" w:hAnsi="宋体" w:cs="Times New Roman"/>
                <w:bCs/>
                <w:color w:val="000000"/>
                <w:sz w:val="21"/>
                <w:szCs w:val="21"/>
                <w:highlight w:val="none"/>
                <w:lang w:val="en-US" w:eastAsia="zh-CN" w:bidi="ar-SA"/>
              </w:rPr>
              <w:t xml:space="preserve">5</w:t>
            </w:r>
            <w:r>
              <w:rPr>
                <w:rFonts w:hint="eastAsia" w:ascii="宋体" w:hAnsi="宋体" w:eastAsia="宋体" w:cs="Times New Roman"/>
                <w:bCs/>
                <w:color w:val="000000"/>
                <w:sz w:val="21"/>
                <w:szCs w:val="21"/>
                <w:highlight w:val="none"/>
                <w:lang w:val="en-US" w:eastAsia="zh-CN" w:bidi="ar-SA"/>
              </w:rPr>
              <w:t xml:space="preserve">分；其他技术参数要求出现负偏离每项扣0.</w:t>
            </w:r>
            <w:r>
              <w:rPr>
                <w:rFonts w:hint="eastAsia" w:ascii="宋体" w:hAnsi="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分</w:t>
            </w:r>
            <w:r>
              <w:rPr>
                <w:rFonts w:hint="eastAsia" w:ascii="宋体" w:hAnsi="宋体" w:cs="Times New Roman"/>
                <w:bCs/>
                <w:color w:val="000000"/>
                <w:sz w:val="21"/>
                <w:szCs w:val="21"/>
                <w:highlight w:val="none"/>
                <w:lang w:val="en-US" w:eastAsia="zh-CN" w:bidi="ar-SA"/>
              </w:rPr>
              <w:t xml:space="preserve">,扣完为止</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r>
            <w:r/>
          </w:p>
          <w:p>
            <w:pPr>
              <w:pStyle w:val="748"/>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（投标人需在“技术参数响应及偏离表”中如实详细填列所投产品的参数及相关承诺，并按采购文件要求提供证明材料并在偏离表中标明所在页码，否则评标委员会有权做负偏离处理）。</w:t>
            </w:r>
            <w:r>
              <w:rPr>
                <w:rFonts w:ascii="宋体" w:hAnsi="宋体" w:eastAsia="宋体" w:cs="宋体"/>
                <w:color w:val="000000"/>
                <w:sz w:val="21"/>
                <w:szCs w:val="21"/>
                <w:highlight w:val="none"/>
                <w:lang w:val="en-US" w:eastAsia="zh-CN" w:bidi="ar-SA"/>
              </w:rPr>
            </w:r>
            <w:r/>
          </w:p>
        </w:tc>
      </w:tr>
      <w:tr>
        <w:trPr>
          <w:trHeight w:val="90"/>
        </w:trPr>
        <w:tc>
          <w:tcPr>
            <w:tcW w:w="1280"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7.原材料检测报告</w:t>
            </w:r>
            <w:r>
              <w:rPr>
                <w:rFonts w:ascii="宋体" w:hAnsi="宋体" w:eastAsia="宋体" w:cs="宋体"/>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6分</w:t>
            </w:r>
            <w:r>
              <w:rPr>
                <w:rFonts w:ascii="宋体" w:hAnsi="宋体" w:eastAsia="宋体" w:cs="宋体"/>
                <w:color w:val="000000"/>
                <w:sz w:val="21"/>
                <w:szCs w:val="21"/>
                <w:highlight w:val="none"/>
                <w:lang w:val="en-US" w:eastAsia="zh-CN" w:bidi="ar-SA"/>
              </w:rPr>
            </w:r>
            <w:r/>
          </w:p>
        </w:tc>
        <w:tc>
          <w:tcPr>
            <w:tcW w:w="7057" w:type="dxa"/>
            <w:vAlign w:val="center"/>
            <w:textDirection w:val="lrTb"/>
            <w:noWrap w:val="false"/>
          </w:tcPr>
          <w:p>
            <w:pPr>
              <w:pStyle w:val="748"/>
              <w:jc w:val="left"/>
              <w:widowControl w:val="off"/>
              <w:rPr>
                <w:rFonts w:hint="eastAsia" w:ascii="宋体" w:hAnsi="宋体" w:eastAsia="宋体" w:cs="宋体"/>
                <w:color w:val="000000" w:themeColor="text1"/>
                <w:sz w:val="21"/>
                <w:szCs w:val="21"/>
                <w:highlight w:val="none"/>
              </w:rPr>
            </w:pPr>
            <w:r>
              <w:rPr>
                <w:rFonts w:hint="eastAsia" w:ascii="方正仿宋_GB2312" w:hAnsi="方正仿宋_GB2312" w:eastAsia="宋体" w:cs="方正仿宋_GB2312"/>
                <w:b/>
                <w:bCs/>
                <w:color w:val="000000" w:themeColor="text1"/>
                <w:sz w:val="24"/>
                <w:szCs w:val="32"/>
                <w:highlight w:val="none"/>
                <w:lang w:val="en-US" w:eastAsia="zh-CN" w:bidi="ar-SA"/>
              </w:rPr>
              <w:t xml:space="preserve"> </w:t>
            </w:r>
            <w:r>
              <w:rPr>
                <w:rFonts w:hint="eastAsia" w:ascii="宋体" w:hAnsi="宋体" w:eastAsia="宋体" w:cs="宋体"/>
                <w:color w:val="000000" w:themeColor="text1"/>
                <w:sz w:val="21"/>
                <w:szCs w:val="21"/>
                <w:highlight w:val="none"/>
                <w:lang w:val="en-US" w:eastAsia="zh-CN" w:bidi="ar-SA"/>
              </w:rPr>
              <w:t xml:space="preserve">投标人提供自2024年1月1日（以报告签发时间为准）以来权威检测机构出具的带有CMA标识的原材料送样检验合格报告，包括：</w:t>
            </w:r>
            <w:r>
              <w:rPr>
                <w:color w:val="000000" w:themeColor="text1"/>
              </w:rPr>
            </w:r>
            <w:r/>
          </w:p>
          <w:p>
            <w:pPr>
              <w:pStyle w:val="748"/>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1.多层实木板：依据GB18580-2017《室内装饰装修材料人造板及其制品中甲醛释放限量》GB/T 39600-2021《人造板及其制品甲醛释放量分级》GB 8624-2012《建筑材料及制品燃烧性能分级》；甲醛释放量≤0.050mg/m³；苯、甲苯、二甲苯释放量符合要求；TVOC≤0.05mg/m³,燃烧性能等级不低于B1级</w:t>
            </w:r>
            <w:r>
              <w:rPr>
                <w:color w:val="000000" w:themeColor="text1"/>
              </w:rPr>
            </w:r>
            <w:r/>
          </w:p>
          <w:p>
            <w:pPr>
              <w:pStyle w:val="748"/>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2.封边条：依据包括但不限于：抗菌性能：抗菌率≥99%（依据GB/T 31402-2023）. QB/T 4463-2025《家具用封边条》，甲醛释放量、可迁移元素(可溶性重金属)邻苯二甲酸酯：未检出， 耐磨性：磨40r后，应无露底现象；耐干热性≥四级【70℃】;  耐光色牢度(灰色样卡)≥4级。</w:t>
            </w:r>
            <w:r>
              <w:rPr>
                <w:color w:val="000000" w:themeColor="text1"/>
              </w:rPr>
            </w:r>
            <w:r/>
          </w:p>
          <w:p>
            <w:pPr>
              <w:pStyle w:val="748"/>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3.钢管:依据包括但不限于GB/T 3325-2024《金属家具通用技术条件》、GB/T 10125-2021《人造气氛腐蚀试验 盐雾试验》、GB/T 35607-2024、《绿色产品评价 家具》、GB/T 228.1-2021《金属材料 拉伸试验 第1部分：室温试验方法》、GB/T 1741-2020《漆膜耐霉菌性测定法》GB/T 6739-2022：1.</w:t>
            </w:r>
            <w:r>
              <w:rPr>
                <w:rFonts w:hint="eastAsia" w:ascii="宋体" w:hAnsi="宋体" w:eastAsia="宋体" w:cs="Times New Roman"/>
                <w:color w:val="000000" w:themeColor="text1"/>
                <w:sz w:val="21"/>
                <w:szCs w:val="21"/>
                <w:highlight w:val="none"/>
                <w:lang w:val="en-US" w:eastAsia="zh-CN" w:bidi="ar-SA"/>
              </w:rPr>
              <w:t xml:space="preserve">外观性能金属件喷漆(塑)涂层</w:t>
            </w:r>
            <w:r>
              <w:rPr>
                <w:rFonts w:hint="eastAsia" w:ascii="宋体" w:hAnsi="宋体" w:eastAsia="宋体" w:cs="Times New Roman"/>
                <w:color w:val="000000" w:themeColor="text1"/>
                <w:sz w:val="21"/>
                <w:szCs w:val="21"/>
                <w:highlight w:val="none"/>
                <w:lang w:val="en-US" w:eastAsia="zh-CN" w:bidi="ar-SA"/>
              </w:rPr>
              <w:t xml:space="preserve">：应无漏喷、锈蚀、脱色、掉色等；应光滑均匀，色泽一致，应无流挂、疙瘩、皱皮、飞漆等。2.金属喷漆(塑)涂层硬度≥5H,附着力达到不低于1级，冲击强度、</w:t>
            </w:r>
            <w:r>
              <w:rPr>
                <w:rFonts w:hint="eastAsia" w:ascii="宋体" w:hAnsi="宋体" w:eastAsia="宋体" w:cs="Times New Roman"/>
                <w:color w:val="000000" w:themeColor="text1"/>
                <w:sz w:val="21"/>
                <w:szCs w:val="21"/>
                <w:highlight w:val="none"/>
                <w:lang w:val="en-US" w:eastAsia="zh-CN" w:bidi="ar-SA"/>
              </w:rPr>
              <w:t xml:space="preserve">耐盐浴:划道两侧3mm外，应无鼓泡、锈蚀、剥落和起皱等现象</w:t>
            </w:r>
            <w:r>
              <w:rPr>
                <w:rFonts w:hint="eastAsia" w:ascii="宋体" w:hAnsi="宋体" w:eastAsia="宋体" w:cs="Times New Roman"/>
                <w:color w:val="000000" w:themeColor="text1"/>
                <w:sz w:val="21"/>
                <w:szCs w:val="21"/>
                <w:highlight w:val="none"/>
                <w:lang w:val="en-US" w:eastAsia="zh-CN" w:bidi="ar-SA"/>
              </w:rPr>
              <w:t xml:space="preserve">。3.中性盐雾试验、乙酸盐雾试验、铜加速乙酸盐雾试验、铜加速乙酸盐雾试验连续喷雾≥200h,镀层本身的耐腐蚀等级和镀层对基体的保护等级≥10级；4.产品有害物质8项元素均未检出。</w:t>
            </w:r>
            <w:r>
              <w:rPr>
                <w:color w:val="000000" w:themeColor="text1"/>
              </w:rPr>
            </w:r>
            <w:r/>
          </w:p>
          <w:p>
            <w:pPr>
              <w:pStyle w:val="748"/>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4.铰链（阻尼门铰）：依据GB/T 10125-2021、《人造气氛腐蚀试验 盐雾试验》，中性盐雾试验（200h）≥10级。QB/T 2189-2013、《家具五金 杯状暗铰链》耐久性：10万次，操作力：  在耐久性试验前后，打开力和关闭力不应大于20N,下沉量≤1mm;</w:t>
            </w:r>
            <w:r>
              <w:rPr>
                <w:color w:val="000000" w:themeColor="text1"/>
              </w:rPr>
            </w:r>
            <w:r/>
          </w:p>
          <w:p>
            <w:pPr>
              <w:pStyle w:val="748"/>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5.导轨：依据GB/T 10125-2021《人造气氛腐蚀试验 盐雾试验》，中性盐雾试验（200h）≥10级、QB/T 2454-2013《家具五金 抽屉导轨》耐久性：10万次</w:t>
            </w:r>
            <w:r>
              <w:rPr>
                <w:color w:val="000000" w:themeColor="text1"/>
              </w:rPr>
            </w:r>
            <w:r/>
          </w:p>
          <w:p>
            <w:pPr>
              <w:pStyle w:val="748"/>
              <w:jc w:val="left"/>
              <w:widowControl w:val="off"/>
              <w:rPr>
                <w:rFonts w:hint="eastAsia" w:ascii="宋体" w:hAnsi="宋体" w:eastAsia="宋体" w:cs="Times New Roman"/>
                <w:color w:val="000000" w:themeColor="text1"/>
                <w:sz w:val="21"/>
                <w:szCs w:val="22"/>
                <w:highlight w:val="none"/>
              </w:rPr>
            </w:pPr>
            <w:r>
              <w:rPr>
                <w:rFonts w:hint="eastAsia" w:ascii="宋体" w:hAnsi="宋体" w:eastAsia="宋体" w:cs="Times New Roman"/>
                <w:color w:val="000000" w:themeColor="text1"/>
                <w:sz w:val="21"/>
                <w:szCs w:val="21"/>
                <w:highlight w:val="none"/>
                <w:lang w:val="en-US" w:eastAsia="zh-CN" w:bidi="ar-SA"/>
              </w:rPr>
              <w:t xml:space="preserve">6.PP塑料:依据为GB/T 31402-2023《塑料和其他无孔材料表面抗菌活性的测定》、GB/T 24128-2018《塑料 塑料防霉剂的防霉效果评估》、GB/T 32487-2016《塑料家具通用技术条件》</w:t>
            </w:r>
            <w:r>
              <w:rPr>
                <w:color w:val="000000" w:themeColor="text1"/>
              </w:rPr>
            </w:r>
            <w:r/>
          </w:p>
          <w:p>
            <w:pPr>
              <w:pStyle w:val="748"/>
              <w:jc w:val="left"/>
              <w:widowControl w:val="off"/>
              <w:rPr>
                <w:rFonts w:hint="eastAsia" w:ascii="宋体" w:hAnsi="宋体" w:eastAsia="宋体" w:cs="Times New Roman"/>
                <w:color w:val="000000" w:themeColor="text1"/>
                <w:sz w:val="21"/>
                <w:szCs w:val="22"/>
                <w:highlight w:val="none"/>
              </w:rPr>
            </w:pPr>
            <w:r>
              <w:rPr>
                <w:rFonts w:hint="eastAsia" w:ascii="宋体" w:hAnsi="宋体" w:eastAsia="宋体" w:cs="Times New Roman"/>
                <w:color w:val="000000" w:themeColor="text1"/>
                <w:sz w:val="21"/>
                <w:szCs w:val="21"/>
                <w:highlight w:val="none"/>
                <w:lang w:val="en-US" w:eastAsia="zh-CN" w:bidi="ar-SA"/>
              </w:rPr>
              <w:t xml:space="preserve">每提供1项符合上述要求的检验检测报告电子件的得1分，满分6分。</w:t>
            </w:r>
            <w:r>
              <w:rPr>
                <w:color w:val="000000" w:themeColor="text1"/>
              </w:rPr>
            </w:r>
            <w:r/>
          </w:p>
        </w:tc>
      </w:tr>
      <w:tr>
        <w:trPr>
          <w:trHeight w:val="90"/>
        </w:trPr>
        <w:tc>
          <w:tcPr>
            <w:tcW w:w="1280"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8.成品检测报告</w:t>
            </w:r>
            <w:r>
              <w:rPr>
                <w:rFonts w:ascii="宋体" w:hAnsi="宋体" w:eastAsia="宋体" w:cs="宋体"/>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3分</w:t>
            </w:r>
            <w:r>
              <w:rPr>
                <w:rFonts w:ascii="宋体" w:hAnsi="宋体" w:eastAsia="宋体" w:cs="宋体"/>
                <w:color w:val="000000"/>
                <w:sz w:val="21"/>
                <w:szCs w:val="21"/>
                <w:highlight w:val="none"/>
                <w:lang w:val="en-US" w:eastAsia="zh-CN" w:bidi="ar-SA"/>
              </w:rPr>
            </w:r>
            <w:r/>
          </w:p>
        </w:tc>
        <w:tc>
          <w:tcPr>
            <w:tcW w:w="7057" w:type="dxa"/>
            <w:vAlign w:val="center"/>
            <w:textDirection w:val="lrTb"/>
            <w:noWrap w:val="false"/>
          </w:tcPr>
          <w:p>
            <w:pPr>
              <w:pStyle w:val="748"/>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投标人提供所投产品自2024年1月1日（以报告签发时间为准）以来权威检测机构出具的带有CMA标识的类似产品的成品送样检验合格报告，包括：1.公寓床（检测标准为GB/T 3325-2024、《金属家具通用技术条件》和GB/T 35607-2024、《绿色产品评价家具》，检验项目</w:t>
            </w:r>
            <w:r>
              <w:rPr>
                <w:rFonts w:hint="eastAsia" w:ascii="宋体" w:hAnsi="宋体" w:cs="宋体"/>
                <w:color w:val="000000" w:themeColor="text1"/>
                <w:sz w:val="21"/>
                <w:szCs w:val="21"/>
                <w:highlight w:val="none"/>
                <w:lang w:val="en-US" w:eastAsia="zh-CN" w:bidi="ar-SA"/>
              </w:rPr>
              <w:t xml:space="preserve">需要</w:t>
            </w:r>
            <w:r>
              <w:rPr>
                <w:rFonts w:hint="eastAsia" w:ascii="宋体" w:hAnsi="宋体" w:eastAsia="宋体" w:cs="宋体"/>
                <w:color w:val="000000" w:themeColor="text1"/>
                <w:sz w:val="21"/>
                <w:szCs w:val="21"/>
                <w:highlight w:val="none"/>
                <w:lang w:val="en-US" w:eastAsia="zh-CN" w:bidi="ar-SA"/>
              </w:rPr>
              <w:t xml:space="preserve">包含：外观性能（焊接件、</w:t>
            </w:r>
            <w:r>
              <w:rPr>
                <w:rFonts w:hint="eastAsia" w:ascii="宋体" w:hAnsi="宋体" w:eastAsia="宋体" w:cs="宋体"/>
                <w:color w:val="000000" w:themeColor="text1"/>
                <w:sz w:val="21"/>
                <w:szCs w:val="21"/>
                <w:highlight w:val="none"/>
                <w:lang w:val="en-US" w:eastAsia="zh-CN" w:bidi="ar-SA"/>
              </w:rPr>
              <w:t xml:space="preserve">喷漆(塑)涂层</w:t>
            </w:r>
            <w:r>
              <w:rPr>
                <w:rFonts w:hint="eastAsia" w:ascii="宋体" w:hAnsi="宋体" w:eastAsia="宋体" w:cs="宋体"/>
                <w:color w:val="000000" w:themeColor="text1"/>
                <w:sz w:val="21"/>
                <w:szCs w:val="21"/>
                <w:highlight w:val="none"/>
                <w:lang w:val="en-US" w:eastAsia="zh-CN" w:bidi="ar-SA"/>
              </w:rPr>
              <w:t xml:space="preserve"> 、塑料件）、结构安全、金属喷漆（塑）涂层理化性能要求</w:t>
            </w:r>
            <w:r>
              <w:rPr>
                <w:rFonts w:hint="eastAsia" w:ascii="宋体" w:hAnsi="宋体" w:eastAsia="宋体" w:cs="Times New Roman"/>
                <w:color w:val="000000" w:themeColor="text1"/>
                <w:sz w:val="21"/>
                <w:szCs w:val="21"/>
                <w:highlight w:val="none"/>
                <w:lang w:val="en-US" w:eastAsia="zh-CN" w:bidi="ar-SA"/>
              </w:rPr>
              <w:t xml:space="preserve">耐盐浴:划道两侧3mm外，应无鼓泡、锈蚀、剥落和起皱等现象</w:t>
            </w:r>
            <w:r>
              <w:rPr>
                <w:rFonts w:hint="eastAsia" w:ascii="宋体" w:hAnsi="宋体" w:eastAsia="宋体" w:cs="宋体"/>
                <w:color w:val="000000" w:themeColor="text1"/>
                <w:sz w:val="21"/>
                <w:szCs w:val="21"/>
                <w:highlight w:val="none"/>
                <w:lang w:val="en-US" w:eastAsia="zh-CN" w:bidi="ar-SA"/>
              </w:rPr>
              <w:t xml:space="preserve">。单层床强度和耐久性、甲醛释放量、TVOC、苯并[a]芘）。</w:t>
            </w:r>
            <w:r>
              <w:rPr>
                <w:color w:val="000000" w:themeColor="text1"/>
              </w:rPr>
            </w:r>
            <w:r/>
          </w:p>
          <w:p>
            <w:pPr>
              <w:pStyle w:val="748"/>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2.床下</w:t>
            </w:r>
            <w:r>
              <w:rPr>
                <w:rFonts w:hint="eastAsia" w:ascii="宋体" w:hAnsi="宋体" w:cs="宋体"/>
                <w:color w:val="000000" w:themeColor="text1"/>
                <w:sz w:val="21"/>
                <w:szCs w:val="21"/>
                <w:highlight w:val="none"/>
                <w:lang w:val="en-US" w:eastAsia="zh-CN" w:bidi="ar-SA"/>
              </w:rPr>
              <w:t xml:space="preserve">衣柜和床下书桌</w:t>
            </w:r>
            <w:r>
              <w:rPr>
                <w:rFonts w:hint="eastAsia" w:ascii="宋体" w:hAnsi="宋体" w:eastAsia="宋体" w:cs="宋体"/>
                <w:color w:val="000000" w:themeColor="text1"/>
                <w:sz w:val="21"/>
                <w:szCs w:val="21"/>
                <w:highlight w:val="none"/>
                <w:lang w:val="en-US" w:eastAsia="zh-CN" w:bidi="ar-SA"/>
              </w:rPr>
              <w:t xml:space="preserve">（检测标准为GB/T 3324-2024、《木家具通用技术条件》和GB/T 35607-2024、《绿色产品评价家具》，检验项目</w:t>
            </w:r>
            <w:r>
              <w:rPr>
                <w:rFonts w:hint="eastAsia" w:ascii="宋体" w:hAnsi="宋体" w:cs="宋体"/>
                <w:color w:val="000000" w:themeColor="text1"/>
                <w:sz w:val="21"/>
                <w:szCs w:val="21"/>
                <w:highlight w:val="none"/>
                <w:lang w:val="en-US" w:eastAsia="zh-CN" w:bidi="ar-SA"/>
              </w:rPr>
              <w:t xml:space="preserve">需要</w:t>
            </w:r>
            <w:r>
              <w:rPr>
                <w:rFonts w:hint="eastAsia" w:ascii="宋体" w:hAnsi="宋体" w:eastAsia="宋体" w:cs="宋体"/>
                <w:color w:val="000000" w:themeColor="text1"/>
                <w:sz w:val="21"/>
                <w:szCs w:val="21"/>
                <w:highlight w:val="none"/>
                <w:lang w:val="en-US" w:eastAsia="zh-CN" w:bidi="ar-SA"/>
              </w:rPr>
              <w:t xml:space="preserve">包含：外观要求（软硬质覆面人造板、五金件、塑料件）、</w:t>
            </w:r>
            <w:r>
              <w:rPr>
                <w:rFonts w:hint="eastAsia" w:ascii="宋体" w:hAnsi="宋体" w:eastAsia="宋体" w:cs="宋体"/>
                <w:color w:val="000000" w:themeColor="text1"/>
                <w:sz w:val="21"/>
                <w:szCs w:val="21"/>
                <w:highlight w:val="none"/>
                <w:lang w:val="en-US" w:eastAsia="zh-CN" w:bidi="ar-SA"/>
              </w:rPr>
              <w:t xml:space="preserve">木制件表面理化性能</w:t>
            </w:r>
            <w:r>
              <w:rPr>
                <w:rFonts w:hint="eastAsia" w:ascii="宋体" w:hAnsi="宋体" w:eastAsia="宋体" w:cs="宋体"/>
                <w:color w:val="000000" w:themeColor="text1"/>
                <w:sz w:val="21"/>
                <w:szCs w:val="21"/>
                <w:highlight w:val="none"/>
                <w:lang w:val="en-US" w:eastAsia="zh-CN" w:bidi="ar-SA"/>
              </w:rPr>
              <w:t xml:space="preserve">、金属拉手耐腐蚀性要求中检测时间不少于200小时、</w:t>
            </w:r>
            <w:r>
              <w:rPr>
                <w:rFonts w:hint="eastAsia" w:ascii="宋体" w:hAnsi="宋体" w:eastAsia="宋体" w:cs="宋体"/>
                <w:color w:val="000000" w:themeColor="text1"/>
                <w:sz w:val="21"/>
                <w:szCs w:val="21"/>
                <w:highlight w:val="none"/>
                <w:lang w:val="en-US" w:eastAsia="zh-CN" w:bidi="ar-SA"/>
              </w:rPr>
              <w:t xml:space="preserve">柜架类强度和耐久性</w:t>
            </w:r>
            <w:r>
              <w:rPr>
                <w:rFonts w:hint="eastAsia" w:ascii="宋体" w:hAnsi="宋体" w:eastAsia="宋体" w:cs="宋体"/>
                <w:color w:val="000000" w:themeColor="text1"/>
                <w:sz w:val="21"/>
                <w:szCs w:val="21"/>
                <w:highlight w:val="none"/>
                <w:lang w:val="en-US" w:eastAsia="zh-CN" w:bidi="ar-SA"/>
              </w:rPr>
              <w:t xml:space="preserve">、柜架类稳定性、结构安全性、甲醛释放量、TVOC、苯并[a]芘）。</w:t>
            </w:r>
            <w:r>
              <w:rPr>
                <w:color w:val="000000" w:themeColor="text1"/>
              </w:rPr>
            </w:r>
            <w:r/>
          </w:p>
          <w:p>
            <w:pPr>
              <w:pStyle w:val="748"/>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3.学生椅（检测标准GB 20286-2006、《公共场所阻燃制品及组件燃烧性能要求和标识》阻燃性≥2级，QB/T4371-2012、《家具抗菌性能的评价》抑菌率≥99%，GB/T 20285—2006、《材料产烟毒性危险分级》产烟毒性危险分级≤ZA1级）。</w:t>
            </w:r>
            <w:r>
              <w:rPr>
                <w:color w:val="000000" w:themeColor="text1"/>
              </w:rPr>
            </w:r>
            <w:r/>
          </w:p>
          <w:p>
            <w:pPr>
              <w:pStyle w:val="748"/>
              <w:jc w:val="left"/>
              <w:widowControl w:val="off"/>
              <w:rPr>
                <w:rFonts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每提供1项符合上述要求的检验检测报告电子件的得1分，满分3分。</w:t>
            </w:r>
            <w:r>
              <w:rPr>
                <w:color w:val="000000" w:themeColor="text1"/>
              </w:rPr>
            </w:r>
            <w:r/>
          </w:p>
        </w:tc>
      </w:tr>
      <w:tr>
        <w:trPr>
          <w:trHeight w:val="720"/>
        </w:trPr>
        <w:tc>
          <w:tcPr>
            <w:tcW w:w="1280" w:type="dxa"/>
            <w:vAlign w:val="center"/>
            <w:textDirection w:val="lrTb"/>
            <w:noWrap w:val="false"/>
          </w:tcPr>
          <w:p>
            <w:pPr>
              <w:pStyle w:val="1043"/>
              <w:jc w:val="center"/>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pacing w:val="-1"/>
                <w:sz w:val="21"/>
                <w:szCs w:val="21"/>
                <w:highlight w:val="none"/>
                <w:lang w:val="en-US" w:eastAsia="zh-CN" w:bidi="zh-CN"/>
              </w:rPr>
              <w:t xml:space="preserve">9.</w:t>
            </w:r>
            <w:r>
              <w:rPr>
                <w:rFonts w:hint="eastAsia" w:ascii="宋体" w:hAnsi="宋体" w:eastAsia="宋体" w:cs="宋体"/>
                <w:color w:val="000000"/>
                <w:spacing w:val="-1"/>
                <w:sz w:val="21"/>
                <w:szCs w:val="21"/>
                <w:highlight w:val="none"/>
                <w:lang w:val="zh-CN" w:eastAsia="zh-CN" w:bidi="zh-CN"/>
              </w:rPr>
              <w:t xml:space="preserve">同类业绩</w:t>
            </w:r>
            <w:r>
              <w:rPr>
                <w:rFonts w:ascii="宋体" w:hAnsi="宋体" w:eastAsia="宋体" w:cs="宋体"/>
                <w:color w:val="000000"/>
                <w:sz w:val="21"/>
                <w:szCs w:val="21"/>
                <w:highlight w:val="none"/>
                <w:lang w:val="zh-CN" w:eastAsia="zh-CN" w:bidi="zh-CN"/>
              </w:rPr>
            </w:r>
            <w:r/>
          </w:p>
        </w:tc>
        <w:tc>
          <w:tcPr>
            <w:tcW w:w="1233" w:type="dxa"/>
            <w:vAlign w:val="center"/>
            <w:textDirection w:val="lrTb"/>
            <w:noWrap w:val="false"/>
          </w:tcPr>
          <w:p>
            <w:pPr>
              <w:pStyle w:val="74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10分</w:t>
            </w:r>
            <w:r>
              <w:rPr>
                <w:rFonts w:hint="eastAsia" w:ascii="宋体" w:hAnsi="宋体" w:eastAsia="宋体" w:cs="宋体"/>
                <w:color w:val="000000"/>
                <w:sz w:val="21"/>
                <w:szCs w:val="21"/>
                <w:highlight w:val="none"/>
                <w:lang w:val="en-US" w:eastAsia="zh-CN" w:bidi="ar-SA"/>
              </w:rPr>
            </w:r>
            <w:r/>
          </w:p>
        </w:tc>
        <w:tc>
          <w:tcPr>
            <w:tcW w:w="7057" w:type="dxa"/>
            <w:vAlign w:val="center"/>
            <w:textDirection w:val="lrTb"/>
            <w:noWrap w:val="false"/>
          </w:tcPr>
          <w:p>
            <w:pPr>
              <w:pStyle w:val="74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投标人提供自2022年1月1日以来（以合同签订时间为准）实施的同类项目（需与本项目核心产品同类）成功案例，每提供一个业绩得2分，最多得10分。（需提供中标通知书、合同及验收报告扫描件，缺项不得分。）</w:t>
            </w:r>
            <w:r>
              <w:rPr>
                <w:rFonts w:hint="eastAsia" w:ascii="宋体" w:hAnsi="宋体" w:eastAsia="宋体" w:cs="宋体"/>
                <w:color w:val="000000"/>
                <w:sz w:val="21"/>
                <w:szCs w:val="21"/>
                <w:highlight w:val="none"/>
                <w:lang w:val="en-US" w:eastAsia="zh-CN" w:bidi="ar-SA"/>
              </w:rPr>
            </w:r>
            <w:r/>
          </w:p>
        </w:tc>
      </w:tr>
      <w:tr>
        <w:trPr>
          <w:trHeight w:val="720"/>
        </w:trPr>
        <w:tc>
          <w:tcPr>
            <w:tcW w:w="1280" w:type="dxa"/>
            <w:vAlign w:val="center"/>
            <w:textDirection w:val="lrTb"/>
            <w:noWrap w:val="false"/>
          </w:tcPr>
          <w:p>
            <w:pPr>
              <w:pStyle w:val="1043"/>
              <w:jc w:val="center"/>
              <w:widowControl w:val="off"/>
              <w:rPr>
                <w:rFonts w:hint="eastAsia" w:ascii="宋体" w:hAnsi="宋体" w:eastAsia="宋体" w:cs="宋体"/>
                <w:color w:val="000000"/>
                <w:spacing w:val="-1"/>
                <w:sz w:val="21"/>
                <w:szCs w:val="21"/>
                <w:highlight w:val="none"/>
                <w:lang w:val="zh-CN" w:eastAsia="zh-CN" w:bidi="zh-CN"/>
              </w:rPr>
            </w:pPr>
            <w:r>
              <w:rPr>
                <w:rFonts w:hint="eastAsia" w:ascii="宋体" w:hAnsi="宋体" w:eastAsia="宋体" w:cs="宋体"/>
                <w:color w:val="000000"/>
                <w:sz w:val="21"/>
                <w:szCs w:val="21"/>
                <w:highlight w:val="none"/>
                <w:lang w:val="en-US" w:eastAsia="zh-CN" w:bidi="ar-SA"/>
              </w:rPr>
              <w:t xml:space="preserve">10.资质认证</w:t>
            </w:r>
            <w:r>
              <w:rPr>
                <w:rFonts w:hint="eastAsia" w:ascii="宋体" w:hAnsi="宋体" w:eastAsia="宋体" w:cs="宋体"/>
                <w:color w:val="000000"/>
                <w:spacing w:val="-1"/>
                <w:sz w:val="21"/>
                <w:szCs w:val="21"/>
                <w:highlight w:val="none"/>
                <w:lang w:val="zh-CN" w:eastAsia="zh-CN" w:bidi="zh-CN"/>
              </w:rPr>
            </w:r>
            <w:r/>
          </w:p>
        </w:tc>
        <w:tc>
          <w:tcPr>
            <w:tcW w:w="1233" w:type="dxa"/>
            <w:vAlign w:val="center"/>
            <w:textDirection w:val="lrTb"/>
            <w:noWrap w:val="false"/>
          </w:tcPr>
          <w:p>
            <w:pPr>
              <w:pStyle w:val="748"/>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3分</w:t>
            </w:r>
            <w:r>
              <w:rPr>
                <w:rFonts w:ascii="宋体" w:hAnsi="宋体" w:eastAsia="宋体" w:cs="宋体"/>
                <w:color w:val="000000"/>
                <w:sz w:val="21"/>
                <w:szCs w:val="21"/>
                <w:highlight w:val="none"/>
                <w:lang w:val="en-US" w:eastAsia="zh-CN" w:bidi="ar-SA"/>
              </w:rPr>
            </w:r>
            <w:r/>
          </w:p>
        </w:tc>
        <w:tc>
          <w:tcPr>
            <w:tcW w:w="7057" w:type="dxa"/>
            <w:vAlign w:val="center"/>
            <w:textDirection w:val="lrTb"/>
            <w:noWrap w:val="false"/>
          </w:tcPr>
          <w:p>
            <w:pPr>
              <w:pStyle w:val="74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 投标人所投产品具有国家认监委认可的认证机构出具的有效家具防火阻燃产品认证证书（认证范围包含公寓组合床类、组合柜类、公寓椅类；认证标准为GB 20286-2006 《公共场所阻燃制品及组件燃烧性能要求和标识的要求》）的，得1分。（提供证书扫描件及在全国认证认可信息公共服务平台的有效查询截图）。</w:t>
            </w:r>
            <w:r>
              <w:rPr>
                <w:rFonts w:hint="eastAsia" w:ascii="宋体" w:hAnsi="宋体" w:cs="宋体"/>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rPr>
              <w:t xml:space="preserve">如</w:t>
            </w:r>
            <w:r>
              <w:rPr>
                <w:rFonts w:hint="eastAsia" w:ascii="宋体" w:hAnsi="宋体" w:eastAsia="宋体" w:cs="宋体"/>
                <w:color w:val="000000"/>
                <w:sz w:val="21"/>
                <w:szCs w:val="21"/>
                <w:highlight w:val="none"/>
                <w:lang w:val="en-US" w:eastAsia="zh-CN" w:bidi="ar-SA"/>
              </w:rPr>
              <w:t xml:space="preserve">认证</w:t>
            </w:r>
            <w:r>
              <w:rPr>
                <w:rFonts w:hint="eastAsia" w:ascii="宋体" w:hAnsi="宋体" w:cs="宋体"/>
                <w:color w:val="000000"/>
                <w:sz w:val="21"/>
                <w:szCs w:val="21"/>
                <w:highlight w:val="none"/>
                <w:lang w:val="en-US" w:eastAsia="zh-CN" w:bidi="ar-SA"/>
              </w:rPr>
              <w:t xml:space="preserve">范围</w:t>
            </w:r>
            <w:r>
              <w:rPr>
                <w:rFonts w:hint="eastAsia" w:ascii="宋体" w:hAnsi="宋体" w:eastAsia="宋体" w:cs="宋体"/>
                <w:color w:val="000000"/>
                <w:sz w:val="21"/>
                <w:szCs w:val="21"/>
                <w:highlight w:val="none"/>
              </w:rPr>
              <w:t xml:space="preserve">不完全一致，如功能符合本项要求，提供相应功能证明材料并满足上述材料要求可得分）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p>
            <w:pPr>
              <w:pStyle w:val="74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10.2投标人所投产品具有国家认监委认可的认证机构出具的有效家具产品有害物质限量认证证书的，得1分。（提供证书扫描件及在全国认证认可信息公共服务平台的有效查询截图）。</w:t>
            </w:r>
            <w:r>
              <w:rPr>
                <w:rFonts w:hint="eastAsia" w:ascii="宋体" w:hAnsi="宋体" w:eastAsia="宋体" w:cs="宋体"/>
                <w:color w:val="000000"/>
                <w:sz w:val="21"/>
                <w:szCs w:val="21"/>
                <w:highlight w:val="none"/>
                <w:lang w:val="en-US" w:eastAsia="zh-CN" w:bidi="ar-SA"/>
              </w:rPr>
            </w:r>
            <w:r/>
          </w:p>
          <w:p>
            <w:pPr>
              <w:pStyle w:val="748"/>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10.3投标人所投产品具有国家认监委认可的认证机构出具的有效人类工效学认证证书的，得1分。（提供证书扫描件及在全国认证认可信息公共服务平台的有效查询截图）。</w:t>
            </w:r>
            <w:r>
              <w:rPr>
                <w:rFonts w:ascii="宋体" w:hAnsi="宋体" w:eastAsia="宋体" w:cs="宋体"/>
                <w:color w:val="000000"/>
                <w:sz w:val="21"/>
                <w:szCs w:val="21"/>
                <w:highlight w:val="none"/>
                <w:lang w:val="en-US" w:eastAsia="zh-CN" w:bidi="ar-SA"/>
              </w:rPr>
            </w:r>
            <w:r/>
          </w:p>
        </w:tc>
      </w:tr>
      <w:tr>
        <w:trPr>
          <w:trHeight w:val="720"/>
        </w:trPr>
        <w:tc>
          <w:tcPr>
            <w:tcW w:w="1280" w:type="dxa"/>
            <w:vAlign w:val="center"/>
            <w:textDirection w:val="lrTb"/>
            <w:noWrap w:val="false"/>
          </w:tcPr>
          <w:p>
            <w:pPr>
              <w:pStyle w:val="74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11.环保认证</w:t>
            </w:r>
            <w:r>
              <w:rPr>
                <w:rFonts w:hint="eastAsia" w:ascii="宋体" w:hAnsi="宋体" w:eastAsia="宋体" w:cs="宋体"/>
                <w:color w:val="000000"/>
                <w:sz w:val="21"/>
                <w:szCs w:val="21"/>
                <w:highlight w:val="none"/>
                <w:lang w:val="en-US" w:eastAsia="zh-CN" w:bidi="ar-SA"/>
              </w:rPr>
            </w:r>
            <w:r/>
          </w:p>
        </w:tc>
        <w:tc>
          <w:tcPr>
            <w:tcW w:w="1233" w:type="dxa"/>
            <w:vAlign w:val="center"/>
            <w:textDirection w:val="lrTb"/>
            <w:noWrap w:val="false"/>
          </w:tcPr>
          <w:p>
            <w:pPr>
              <w:pStyle w:val="74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w:t>
            </w:r>
            <w:r>
              <w:rPr>
                <w:rFonts w:hint="eastAsia" w:ascii="宋体" w:hAnsi="宋体" w:eastAsia="宋体" w:cs="宋体"/>
                <w:color w:val="000000"/>
                <w:sz w:val="21"/>
                <w:szCs w:val="21"/>
                <w:highlight w:val="none"/>
                <w:lang w:val="en-US" w:eastAsia="zh-CN" w:bidi="ar-SA"/>
              </w:rPr>
            </w:r>
            <w:r/>
          </w:p>
        </w:tc>
        <w:tc>
          <w:tcPr>
            <w:tcW w:w="7057" w:type="dxa"/>
            <w:vAlign w:val="top"/>
            <w:textDirection w:val="lrTb"/>
            <w:noWrap w:val="false"/>
          </w:tcPr>
          <w:p>
            <w:pPr>
              <w:pStyle w:val="748"/>
              <w:jc w:val="left"/>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投标产品属于财政部、生态环境部公布的“环境标志产品品目清单”范围内的，投标人提供国家确定的认证机构出具的、处于有效期内的该投标产品环境标志产品认证证书扫描件的得2分。</w:t>
            </w:r>
            <w:r>
              <w:rPr>
                <w:rFonts w:hint="eastAsia" w:ascii="宋体" w:hAnsi="宋体" w:eastAsia="宋体" w:cs="宋体"/>
                <w:color w:val="000000"/>
                <w:sz w:val="21"/>
                <w:szCs w:val="21"/>
                <w:highlight w:val="none"/>
                <w:lang w:val="en-US" w:eastAsia="zh-CN" w:bidi="ar-SA"/>
              </w:rPr>
            </w:r>
            <w:r/>
          </w:p>
        </w:tc>
      </w:tr>
    </w:tbl>
    <w:p>
      <w:pPr>
        <w:pStyle w:val="1004"/>
        <w:ind w:left="0" w:right="0" w:firstLine="0"/>
        <w:spacing w:before="0" w:beforeAutospacing="0" w:after="0" w:afterAutospacing="0" w:line="0" w:lineRule="atLeast"/>
        <w:widowControl/>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74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第六章  投标</w:t>
      </w:r>
      <w:bookmarkEnd w:id="181"/>
      <w:r/>
      <w:bookmarkEnd w:id="182"/>
      <w:r/>
      <w:bookmarkEnd w:id="183"/>
      <w:r>
        <w:rPr>
          <w:rFonts w:hint="eastAsia" w:ascii="黑体" w:hAnsi="Times New Roman" w:eastAsia="黑体"/>
          <w:bCs/>
          <w:color w:val="000000"/>
          <w:sz w:val="44"/>
          <w:szCs w:val="28"/>
          <w:highlight w:val="none"/>
        </w:rPr>
        <w:t xml:space="preserve">文件格式</w:t>
      </w:r>
      <w:r>
        <w:rPr>
          <w:rFonts w:hint="eastAsia" w:ascii="黑体" w:hAnsi="Times New Roman" w:eastAsia="黑体"/>
          <w:bCs/>
          <w:color w:val="000000"/>
          <w:sz w:val="44"/>
          <w:szCs w:val="28"/>
          <w:highlight w:val="none"/>
        </w:rPr>
      </w:r>
      <w:r/>
    </w:p>
    <w:p>
      <w:pPr>
        <w:pStyle w:val="748"/>
        <w:jc w:val="center"/>
        <w:rPr>
          <w:rFonts w:hint="eastAsia" w:ascii="宋体" w:hAnsi="宋体"/>
          <w:b/>
          <w:color w:val="000000"/>
          <w:sz w:val="72"/>
          <w:szCs w:val="21"/>
          <w:highlight w:val="none"/>
        </w:rPr>
      </w:pPr>
      <w:r/>
      <w:bookmarkStart w:id="193" w:name="_Hlt26671244"/>
      <w:r/>
      <w:bookmarkEnd w:id="193"/>
      <w:r/>
      <w:bookmarkStart w:id="194" w:name="_Hlt26955039"/>
      <w:r/>
      <w:bookmarkEnd w:id="194"/>
      <w:r/>
      <w:bookmarkStart w:id="195" w:name="_Toc49090576"/>
      <w:r/>
      <w:bookmarkStart w:id="196" w:name="_Toc26554094"/>
      <w:r/>
      <w:bookmarkStart w:id="197" w:name="_Toc120614282"/>
      <w:r>
        <w:rPr>
          <w:rFonts w:hint="eastAsia" w:ascii="宋体" w:hAnsi="宋体"/>
          <w:b/>
          <w:color w:val="000000"/>
          <w:sz w:val="72"/>
          <w:szCs w:val="21"/>
          <w:highlight w:val="none"/>
        </w:rPr>
      </w:r>
      <w:r/>
    </w:p>
    <w:p>
      <w:pPr>
        <w:pStyle w:val="74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74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8"/>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748"/>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48"/>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748"/>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748"/>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48"/>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48"/>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hint="eastAsia" w:ascii="宋体" w:hAnsi="宋体"/>
          <w:b/>
          <w:color w:val="000000"/>
          <w:sz w:val="24"/>
          <w:szCs w:val="21"/>
          <w:highlight w:val="none"/>
        </w:rPr>
      </w:r>
      <w:r/>
    </w:p>
    <w:p>
      <w:pPr>
        <w:pStyle w:val="748"/>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rPr>
          <w:rFonts w:hint="eastAsia" w:ascii="宋体" w:hAnsi="宋体"/>
          <w:color w:val="000000"/>
          <w:sz w:val="24"/>
          <w:szCs w:val="21"/>
          <w:highlight w:val="none"/>
        </w:rPr>
      </w:r>
      <w:r/>
    </w:p>
    <w:p>
      <w:pPr>
        <w:pStyle w:val="748"/>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2024或2025</w:t>
      </w:r>
      <w:r>
        <w:rPr>
          <w:rFonts w:hint="eastAsia" w:ascii="宋体" w:hAnsi="宋体"/>
          <w:color w:val="000000"/>
          <w:sz w:val="24"/>
          <w:szCs w:val="21"/>
          <w:highlight w:val="none"/>
        </w:rPr>
        <w:t xml:space="preserve">年度的财务状况报告（投标人成立不满一年无需提供）</w:t>
      </w:r>
      <w:r>
        <w:rPr>
          <w:rFonts w:hint="eastAsia" w:ascii="宋体" w:hAnsi="宋体"/>
          <w:color w:val="000000"/>
          <w:sz w:val="24"/>
          <w:szCs w:val="21"/>
          <w:highlight w:val="none"/>
        </w:rPr>
      </w:r>
      <w:r/>
    </w:p>
    <w:p>
      <w:pPr>
        <w:pStyle w:val="748"/>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w:t>
      </w:r>
      <w:r>
        <w:rPr>
          <w:rFonts w:ascii="宋体" w:hAnsi="宋体"/>
          <w:color w:val="000000"/>
          <w:sz w:val="24"/>
          <w:szCs w:val="21"/>
          <w:highlight w:val="none"/>
        </w:rPr>
      </w:r>
      <w:r/>
    </w:p>
    <w:p>
      <w:pPr>
        <w:pStyle w:val="748"/>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highlight w:val="none"/>
        </w:rPr>
      </w:r>
      <w:r/>
    </w:p>
    <w:p>
      <w:pPr>
        <w:pStyle w:val="748"/>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48"/>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w:t>
      </w:r>
      <w:r>
        <w:rPr>
          <w:rFonts w:ascii="宋体" w:hAnsi="宋体"/>
          <w:color w:val="000000"/>
          <w:sz w:val="24"/>
          <w:szCs w:val="21"/>
          <w:highlight w:val="none"/>
        </w:rPr>
      </w:r>
      <w:r/>
    </w:p>
    <w:p>
      <w:pPr>
        <w:pStyle w:val="748"/>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明（格式见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rPr>
          <w:rFonts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8.</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、9条投标人必须在投标文件</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中提供相关材料，否则作无效投标处理；6、10、11条如招标文件要求必须提供相关材料而未提供的，作无效投标处理。</w:t>
      </w:r>
      <w:r>
        <w:rPr>
          <w:rFonts w:ascii="宋体" w:hAnsi="宋体"/>
          <w:color w:val="000000"/>
          <w:sz w:val="24"/>
          <w:szCs w:val="24"/>
          <w:highlight w:val="none"/>
        </w:rPr>
      </w:r>
      <w:r/>
    </w:p>
    <w:p>
      <w:pPr>
        <w:pStyle w:val="748"/>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w:t>
      </w:r>
      <w:r>
        <w:rPr>
          <w:rFonts w:hint="eastAsia" w:ascii="宋体" w:hAnsi="宋体"/>
          <w:color w:val="000000"/>
          <w:sz w:val="24"/>
          <w:szCs w:val="21"/>
          <w:highlight w:val="none"/>
          <w:lang w:eastAsia="zh-CN"/>
        </w:rPr>
        <w:t xml:space="preserve">作</w:t>
      </w:r>
      <w:r>
        <w:rPr>
          <w:rFonts w:hint="eastAsia" w:ascii="宋体" w:hAnsi="宋体"/>
          <w:color w:val="000000"/>
          <w:sz w:val="24"/>
          <w:szCs w:val="21"/>
          <w:highlight w:val="none"/>
        </w:rPr>
        <w:t xml:space="preserve">无效投标处理。（格式见</w:t>
      </w:r>
      <w:r>
        <w:rPr>
          <w:rFonts w:ascii="宋体" w:hAnsi="宋体"/>
          <w:color w:val="000000"/>
          <w:sz w:val="24"/>
          <w:szCs w:val="21"/>
          <w:highlight w:val="none"/>
        </w:rPr>
        <w:t xml:space="preserve">附件12</w:t>
      </w:r>
      <w:r>
        <w:rPr>
          <w:rFonts w:hint="eastAsia" w:ascii="宋体" w:hAnsi="宋体"/>
          <w:color w:val="000000"/>
          <w:sz w:val="24"/>
          <w:szCs w:val="21"/>
          <w:highlight w:val="none"/>
        </w:rPr>
        <w:t xml:space="preserve">）</w:t>
      </w:r>
      <w:bookmarkEnd w:id="178"/>
      <w:r/>
      <w:bookmarkEnd w:id="179"/>
      <w:r/>
      <w:bookmarkEnd w:id="195"/>
      <w:r/>
      <w:bookmarkEnd w:id="196"/>
      <w:r/>
      <w:bookmarkEnd w:id="197"/>
      <w:r>
        <w:rPr>
          <w:rFonts w:hint="eastAsia" w:ascii="宋体" w:hAnsi="宋体"/>
          <w:color w:val="000000"/>
          <w:sz w:val="24"/>
          <w:szCs w:val="21"/>
          <w:highlight w:val="none"/>
        </w:rPr>
      </w:r>
      <w:r/>
    </w:p>
    <w:p>
      <w:pPr>
        <w:pStyle w:val="748"/>
        <w:ind w:firstLine="480"/>
        <w:rPr>
          <w:rFonts w:ascii="宋体" w:hAnsi="宋体"/>
          <w:b/>
          <w:color w:val="000000"/>
          <w:sz w:val="24"/>
          <w:szCs w:val="21"/>
          <w:highlight w:val="none"/>
        </w:rPr>
      </w:pPr>
      <w:r>
        <w:rPr>
          <w:rFonts w:hint="eastAsia" w:ascii="宋体" w:hAnsi="宋体"/>
          <w:b/>
          <w:color w:val="000000"/>
          <w:sz w:val="24"/>
          <w:szCs w:val="21"/>
          <w:highlight w:val="none"/>
        </w:rPr>
        <w:t xml:space="preserve">四、价格</w:t>
      </w:r>
      <w:r>
        <w:rPr>
          <w:rFonts w:ascii="宋体" w:hAnsi="宋体"/>
          <w:b/>
          <w:color w:val="000000"/>
          <w:sz w:val="24"/>
          <w:szCs w:val="21"/>
          <w:highlight w:val="none"/>
        </w:rPr>
        <w:t xml:space="preserve">扣除证明文件</w:t>
      </w:r>
      <w:r>
        <w:rPr>
          <w:rFonts w:ascii="宋体" w:hAnsi="宋体"/>
          <w:b/>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中小微企业声明函（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48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3.关于符合本国产品标准的声明函（</w:t>
      </w:r>
      <w:r>
        <w:rPr>
          <w:rFonts w:hint="eastAsia" w:ascii="宋体" w:hAnsi="宋体" w:eastAsia="宋体" w:cs="Times New Roman"/>
          <w:color w:val="000000"/>
          <w:sz w:val="24"/>
          <w:szCs w:val="21"/>
          <w:highlight w:val="none"/>
        </w:rPr>
        <w:t xml:space="preserve">格式见附件</w:t>
      </w:r>
      <w:r>
        <w:rPr>
          <w:rFonts w:hint="eastAsia" w:ascii="宋体" w:hAnsi="宋体" w:eastAsia="宋体" w:cs="Times New Roman"/>
          <w:color w:val="000000"/>
          <w:sz w:val="24"/>
          <w:szCs w:val="21"/>
          <w:highlight w:val="none"/>
          <w:lang w:val="en-US" w:eastAsia="zh-CN"/>
        </w:rPr>
        <w:t xml:space="preserve">13）</w:t>
      </w:r>
      <w:r>
        <w:rPr>
          <w:rFonts w:hint="eastAsia" w:ascii="宋体" w:hAnsi="宋体" w:eastAsia="宋体" w:cs="Times New Roman"/>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48"/>
        <w:ind w:left="480"/>
        <w:rPr>
          <w:rFonts w:ascii="宋体" w:hAnsi="宋体"/>
          <w:b/>
          <w:color w:val="000000"/>
          <w:sz w:val="24"/>
          <w:szCs w:val="21"/>
          <w:highlight w:val="none"/>
        </w:rPr>
      </w:pPr>
      <w:r>
        <w:rPr>
          <w:rFonts w:ascii="宋体" w:hAnsi="宋体"/>
          <w:b/>
          <w:color w:val="000000"/>
          <w:sz w:val="24"/>
          <w:szCs w:val="21"/>
          <w:highlight w:val="none"/>
        </w:rPr>
      </w:r>
      <w:r/>
    </w:p>
    <w:p>
      <w:pPr>
        <w:pStyle w:val="748"/>
        <w:rPr>
          <w:rFonts w:hint="eastAsia" w:ascii="Times New Roman" w:hAnsi="Times New Roman" w:eastAsia="仿宋_GB2312"/>
          <w:color w:val="000000"/>
          <w:sz w:val="24"/>
          <w:szCs w:val="20"/>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开标一览表</w:t>
      </w:r>
      <w:r>
        <w:rPr>
          <w:rFonts w:hint="eastAsia" w:ascii="Times New Roman" w:hAnsi="Times New Roman" w:eastAsia="仿宋_GB2312"/>
          <w:color w:val="000000"/>
          <w:sz w:val="24"/>
          <w:szCs w:val="20"/>
          <w:highlight w:val="none"/>
        </w:rPr>
      </w:r>
      <w:r/>
    </w:p>
    <w:p>
      <w:pPr>
        <w:pStyle w:val="748"/>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748"/>
        <w:ind w:firstLine="482"/>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748"/>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采购编号</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48"/>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48"/>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投标总报价</w:t>
            </w:r>
            <w:r>
              <w:rPr>
                <w:rFonts w:hint="eastAsia" w:ascii="宋体" w:hAnsi="宋体" w:eastAsia="宋体" w:cs="Times New Roman"/>
                <w:color w:val="000000"/>
                <w:sz w:val="24"/>
                <w:szCs w:val="24"/>
                <w:highlight w:val="none"/>
                <w:lang w:val="en-US" w:eastAsia="zh-CN" w:bidi="ar-SA"/>
              </w:rPr>
            </w:r>
            <w:r/>
          </w:p>
        </w:tc>
      </w:tr>
      <w:tr>
        <w:trPr>
          <w:cantSplit/>
          <w:trHeight w:val="612"/>
        </w:trPr>
        <w:tc>
          <w:tcPr>
            <w:gridSpan w:val="2"/>
            <w:tcW w:w="8886" w:type="dxa"/>
            <w:vAlign w:val="center"/>
            <w:textDirection w:val="lrTb"/>
            <w:noWrap w:val="false"/>
          </w:tcPr>
          <w:p>
            <w:pPr>
              <w:pStyle w:val="748"/>
              <w:jc w:val="left"/>
              <w:spacing w:line="500" w:lineRule="exact"/>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（人民币：元）</w:t>
            </w:r>
            <w:r>
              <w:rPr>
                <w:rFonts w:hint="eastAsia" w:ascii="宋体" w:hAnsi="宋体" w:eastAsia="宋体" w:cs="Times New Roman"/>
                <w:color w:val="000000"/>
                <w:sz w:val="24"/>
                <w:szCs w:val="21"/>
                <w:highlight w:val="none"/>
                <w:lang w:val="en-US" w:eastAsia="zh-CN" w:bidi="ar-SA"/>
              </w:rPr>
            </w:r>
            <w:r/>
          </w:p>
        </w:tc>
      </w:tr>
      <w:tr>
        <w:trPr>
          <w:cantSplit/>
          <w:trHeight w:val="612"/>
        </w:trPr>
        <w:tc>
          <w:tcPr>
            <w:tcW w:w="2481" w:type="dxa"/>
            <w:vAlign w:val="center"/>
            <w:textDirection w:val="lrTb"/>
            <w:noWrap w:val="false"/>
          </w:tcPr>
          <w:p>
            <w:pPr>
              <w:pStyle w:val="748"/>
              <w:jc w:val="center"/>
              <w:spacing w:line="30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核心产品品牌</w:t>
            </w:r>
            <w:r>
              <w:rPr>
                <w:rFonts w:hint="eastAsia" w:ascii="宋体" w:hAnsi="宋体" w:eastAsia="宋体" w:cs="宋体"/>
                <w:color w:val="000000"/>
                <w:sz w:val="24"/>
                <w:szCs w:val="24"/>
                <w:highlight w:val="none"/>
                <w:lang w:val="en-US" w:eastAsia="zh-CN" w:bidi="ar-SA"/>
              </w:rPr>
            </w:r>
            <w:r/>
          </w:p>
        </w:tc>
        <w:tc>
          <w:tcPr>
            <w:tcW w:w="6405" w:type="dxa"/>
            <w:vAlign w:val="center"/>
            <w:textDirection w:val="lrTb"/>
            <w:noWrap w:val="false"/>
          </w:tcPr>
          <w:p>
            <w:pPr>
              <w:pStyle w:val="748"/>
              <w:jc w:val="left"/>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48"/>
        <w:rPr>
          <w:rFonts w:ascii="宋体" w:hAnsi="宋体"/>
          <w:color w:val="000000"/>
          <w:sz w:val="24"/>
          <w:szCs w:val="24"/>
          <w:highlight w:val="none"/>
        </w:rPr>
      </w:pPr>
      <w:r>
        <w:rPr>
          <w:rFonts w:ascii="宋体" w:hAnsi="宋体"/>
          <w:color w:val="000000"/>
          <w:sz w:val="24"/>
          <w:szCs w:val="24"/>
          <w:highlight w:val="none"/>
        </w:rPr>
      </w:r>
      <w:r/>
    </w:p>
    <w:p>
      <w:pPr>
        <w:pStyle w:val="748"/>
        <w:rPr>
          <w:rFonts w:ascii="宋体" w:hAnsi="宋体"/>
          <w:color w:val="000000"/>
          <w:sz w:val="24"/>
          <w:szCs w:val="24"/>
          <w:highlight w:val="none"/>
        </w:rPr>
      </w:pPr>
      <w:r>
        <w:rPr>
          <w:rFonts w:ascii="宋体" w:hAnsi="宋体"/>
          <w:color w:val="000000"/>
          <w:sz w:val="24"/>
          <w:szCs w:val="24"/>
          <w:highlight w:val="none"/>
        </w:rPr>
      </w:r>
      <w:r/>
    </w:p>
    <w:p>
      <w:pPr>
        <w:pStyle w:val="74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both"/>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both"/>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center"/>
        <w:rPr>
          <w:rFonts w:ascii="宋体" w:hAnsi="宋体"/>
          <w:b/>
          <w:color w:val="000000"/>
          <w:sz w:val="24"/>
          <w:szCs w:val="24"/>
          <w:highlight w:val="none"/>
        </w:rPr>
      </w:pPr>
      <w:r>
        <w:rPr>
          <w:rFonts w:ascii="宋体" w:hAnsi="宋体"/>
          <w:b/>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 投标分项报价表（采购包号：***）</w:t>
      </w:r>
      <w:r>
        <w:rPr>
          <w:rFonts w:hint="eastAsia" w:ascii="宋体" w:hAnsi="宋体"/>
          <w:b/>
          <w:color w:val="000000"/>
          <w:sz w:val="24"/>
          <w:szCs w:val="24"/>
          <w:highlight w:val="none"/>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93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r>
            <w:r/>
          </w:p>
        </w:tc>
        <w:tc>
          <w:tcPr>
            <w:tcW w:w="110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r>
            <w:r/>
          </w:p>
        </w:tc>
        <w:tc>
          <w:tcPr>
            <w:tcW w:w="1385"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r>
            <w:r/>
          </w:p>
        </w:tc>
        <w:tc>
          <w:tcPr>
            <w:tcW w:w="924"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w:t>
            </w:r>
            <w:r>
              <w:rPr>
                <w:rFonts w:hint="eastAsia" w:ascii="宋体" w:hAnsi="宋体" w:eastAsia="宋体" w:cs="Times New Roman"/>
                <w:color w:val="000000"/>
                <w:sz w:val="24"/>
                <w:szCs w:val="24"/>
                <w:highlight w:val="none"/>
                <w:lang w:val="en-US" w:eastAsia="zh-CN" w:bidi="ar-SA"/>
              </w:rPr>
            </w:r>
            <w:r/>
          </w:p>
        </w:tc>
        <w:tc>
          <w:tcPr>
            <w:tcW w:w="100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hint="eastAsia" w:ascii="宋体" w:hAnsi="宋体" w:eastAsia="宋体" w:cs="Times New Roman"/>
                <w:color w:val="000000"/>
                <w:sz w:val="24"/>
                <w:szCs w:val="24"/>
                <w:highlight w:val="none"/>
                <w:lang w:val="en-US" w:eastAsia="zh-CN" w:bidi="ar-SA"/>
              </w:rPr>
            </w:r>
            <w:r/>
          </w:p>
        </w:tc>
        <w:tc>
          <w:tcPr>
            <w:tcW w:w="96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w:t>
            </w:r>
            <w:r>
              <w:rPr>
                <w:rFonts w:hint="eastAsia" w:ascii="宋体" w:hAnsi="宋体" w:eastAsia="宋体" w:cs="Times New Roman"/>
                <w:color w:val="000000"/>
                <w:sz w:val="24"/>
                <w:szCs w:val="24"/>
                <w:highlight w:val="none"/>
                <w:lang w:val="en-US" w:eastAsia="zh-CN" w:bidi="ar-SA"/>
              </w:rPr>
            </w:r>
            <w:r/>
          </w:p>
        </w:tc>
      </w:tr>
      <w:tr>
        <w:trPr>
          <w:cantSplit/>
          <w:trHeight w:val="294"/>
        </w:trPr>
        <w:tc>
          <w:tcPr>
            <w:tcW w:w="50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产品</w:t>
            </w:r>
            <w:r>
              <w:rPr>
                <w:rFonts w:hint="eastAsia"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名称</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品牌</w:t>
            </w:r>
            <w:r>
              <w:rPr>
                <w:rFonts w:hint="eastAsia" w:ascii="宋体" w:hAnsi="宋体" w:eastAsia="宋体" w:cs="Times New Roman"/>
                <w:color w:val="000000"/>
                <w:sz w:val="24"/>
                <w:szCs w:val="24"/>
                <w:highlight w:val="none"/>
                <w:lang w:val="en-US" w:eastAsia="zh-CN" w:bidi="ar-SA"/>
              </w:rPr>
            </w:r>
            <w:r/>
          </w:p>
        </w:tc>
        <w:tc>
          <w:tcPr>
            <w:tcW w:w="93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规格</w:t>
            </w:r>
            <w:r>
              <w:rPr>
                <w:rFonts w:hint="eastAsia"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型号</w:t>
            </w: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制造商名称</w:t>
            </w:r>
            <w:r>
              <w:rPr>
                <w:rFonts w:hint="eastAsia" w:ascii="宋体" w:hAnsi="宋体" w:eastAsia="宋体" w:cs="Times New Roman"/>
                <w:color w:val="000000"/>
                <w:sz w:val="24"/>
                <w:szCs w:val="24"/>
                <w:highlight w:val="none"/>
                <w:lang w:val="en-US" w:eastAsia="zh-CN" w:bidi="ar-SA"/>
              </w:rPr>
            </w:r>
            <w:r/>
          </w:p>
        </w:tc>
        <w:tc>
          <w:tcPr>
            <w:tcW w:w="110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产地</w:t>
            </w:r>
            <w:r>
              <w:rPr>
                <w:rFonts w:hint="eastAsia" w:ascii="宋体" w:hAnsi="宋体" w:eastAsia="宋体" w:cs="Times New Roman"/>
                <w:color w:val="000000"/>
                <w:sz w:val="24"/>
                <w:szCs w:val="24"/>
                <w:highlight w:val="none"/>
                <w:lang w:val="en-US" w:eastAsia="zh-CN" w:bidi="ar-SA"/>
              </w:rPr>
            </w:r>
            <w:r/>
          </w:p>
        </w:tc>
        <w:tc>
          <w:tcPr>
            <w:tcW w:w="1385"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交付期</w:t>
            </w:r>
            <w:r>
              <w:rPr>
                <w:rFonts w:hint="eastAsia" w:ascii="宋体" w:hAnsi="宋体" w:eastAsia="宋体" w:cs="Times New Roman"/>
                <w:color w:val="000000"/>
                <w:sz w:val="24"/>
                <w:szCs w:val="24"/>
                <w:highlight w:val="none"/>
                <w:lang w:val="en-US" w:eastAsia="zh-CN" w:bidi="ar-SA"/>
              </w:rPr>
            </w:r>
            <w:r/>
          </w:p>
        </w:tc>
        <w:tc>
          <w:tcPr>
            <w:tcW w:w="924"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数量</w:t>
            </w:r>
            <w:r>
              <w:rPr>
                <w:rFonts w:hint="eastAsia" w:ascii="宋体" w:hAnsi="宋体" w:eastAsia="宋体" w:cs="Times New Roman"/>
                <w:color w:val="000000"/>
                <w:sz w:val="24"/>
                <w:szCs w:val="24"/>
                <w:highlight w:val="none"/>
                <w:lang w:val="en-US" w:eastAsia="zh-CN" w:bidi="ar-SA"/>
              </w:rPr>
            </w:r>
            <w:r/>
          </w:p>
        </w:tc>
        <w:tc>
          <w:tcPr>
            <w:tcW w:w="1008" w:type="dxa"/>
            <w:vAlign w:val="center"/>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w:t>
            </w:r>
            <w:r>
              <w:rPr>
                <w:rFonts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单价</w:t>
            </w:r>
            <w:r>
              <w:rPr>
                <w:rFonts w:hint="eastAsia" w:ascii="宋体" w:hAnsi="宋体" w:eastAsia="宋体" w:cs="Times New Roman"/>
                <w:color w:val="000000"/>
                <w:sz w:val="24"/>
                <w:szCs w:val="24"/>
                <w:highlight w:val="none"/>
                <w:lang w:val="en-US" w:eastAsia="zh-CN" w:bidi="ar-SA"/>
              </w:rPr>
            </w:r>
            <w:r/>
          </w:p>
        </w:tc>
        <w:tc>
          <w:tcPr>
            <w:tcW w:w="966" w:type="dxa"/>
            <w:vAlign w:val="center"/>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w:t>
            </w:r>
            <w:r>
              <w:rPr>
                <w:rFonts w:ascii="宋体" w:hAnsi="宋体" w:eastAsia="宋体" w:cs="Times New Roman"/>
                <w:color w:val="000000"/>
                <w:sz w:val="24"/>
                <w:szCs w:val="24"/>
                <w:highlight w:val="none"/>
                <w:lang w:val="en-US" w:eastAsia="zh-CN" w:bidi="ar-SA"/>
              </w:rPr>
            </w:r>
            <w:r/>
          </w:p>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w:t>
            </w:r>
            <w:r>
              <w:rPr>
                <w:rFonts w:hint="eastAsia" w:ascii="宋体" w:hAnsi="宋体" w:eastAsia="宋体" w:cs="Times New Roman"/>
                <w:color w:val="000000"/>
                <w:sz w:val="24"/>
                <w:szCs w:val="24"/>
                <w:highlight w:val="none"/>
                <w:lang w:val="en-US" w:eastAsia="zh-CN" w:bidi="ar-SA"/>
              </w:rPr>
            </w:r>
            <w:r/>
          </w:p>
        </w:tc>
      </w:tr>
      <w:tr>
        <w:trPr>
          <w:cantSplit/>
          <w:trHeight w:val="696"/>
        </w:trPr>
        <w:tc>
          <w:tcPr>
            <w:tcW w:w="50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3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106" w:type="dxa"/>
            <w:vAlign w:val="top"/>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85"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合同签订后</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日</w:t>
            </w:r>
            <w:r>
              <w:rPr>
                <w:rFonts w:hint="eastAsia" w:ascii="宋体" w:hAnsi="宋体" w:eastAsia="宋体" w:cs="Times New Roman"/>
                <w:color w:val="000000"/>
                <w:sz w:val="24"/>
                <w:szCs w:val="24"/>
                <w:highlight w:val="none"/>
                <w:u w:val="single"/>
                <w:lang w:val="en-US" w:eastAsia="zh-CN" w:bidi="ar-SA"/>
              </w:rPr>
            </w:r>
            <w:r/>
          </w:p>
        </w:tc>
        <w:tc>
          <w:tcPr>
            <w:tcW w:w="924"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0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6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724"/>
        </w:trPr>
        <w:tc>
          <w:tcPr>
            <w:tcW w:w="50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3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106" w:type="dxa"/>
            <w:vAlign w:val="top"/>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85"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24"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0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6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40"/>
        </w:trPr>
        <w:tc>
          <w:tcPr>
            <w:tcW w:w="50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3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106" w:type="dxa"/>
            <w:vAlign w:val="top"/>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85"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24"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0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6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580"/>
        </w:trPr>
        <w:tc>
          <w:tcPr>
            <w:tcW w:w="500" w:type="dxa"/>
            <w:vAlign w:val="center"/>
            <w:textDirection w:val="lrTb"/>
            <w:noWrap w:val="false"/>
          </w:tcPr>
          <w:p>
            <w:pPr>
              <w:pStyle w:val="748"/>
              <w:jc w:val="center"/>
              <w:spacing w:line="0" w:lineRule="atLeas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72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3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106" w:type="dxa"/>
            <w:vAlign w:val="top"/>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85"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24"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08"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66" w:type="dxa"/>
            <w:vAlign w:val="center"/>
            <w:textDirection w:val="lrTb"/>
            <w:noWrap w:val="false"/>
          </w:tcPr>
          <w:p>
            <w:pPr>
              <w:pStyle w:val="748"/>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434"/>
        </w:trPr>
        <w:tc>
          <w:tcPr>
            <w:gridSpan w:val="10"/>
            <w:tcW w:w="9263" w:type="dxa"/>
            <w:vAlign w:val="top"/>
            <w:textDirection w:val="lrTb"/>
            <w:noWrap w:val="false"/>
          </w:tcPr>
          <w:p>
            <w:pPr>
              <w:pStyle w:val="748"/>
              <w:jc w:val="both"/>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lang w:val="en-US" w:eastAsia="zh-CN" w:bidi="ar-SA"/>
              </w:rPr>
              <w:t xml:space="preserve">投标总报价（人民币：元）</w:t>
            </w:r>
            <w:r>
              <w:rPr>
                <w:rFonts w:hint="eastAsia"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r>
            <w:r/>
          </w:p>
        </w:tc>
      </w:tr>
      <w:tr>
        <w:trPr>
          <w:cantSplit/>
          <w:trHeight w:val="767"/>
        </w:trPr>
        <w:tc>
          <w:tcPr>
            <w:gridSpan w:val="10"/>
            <w:tcW w:w="9263" w:type="dxa"/>
            <w:vAlign w:val="top"/>
            <w:textDirection w:val="lrTb"/>
            <w:noWrap w:val="false"/>
          </w:tcPr>
          <w:p>
            <w:pPr>
              <w:pStyle w:val="769"/>
              <w:ind w:right="0"/>
              <w:jc w:val="left"/>
              <w:keepLines w:val="0"/>
              <w:keepNext w:val="0"/>
              <w:pageBreakBefore w:val="0"/>
              <w:spacing w:before="0" w:beforeAutospacing="0" w:after="0" w:afterAutospacing="0" w:line="0" w:lineRule="atLeast"/>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本采购包</w:t>
            </w:r>
            <w:r>
              <w:rPr>
                <w:rFonts w:hint="eastAsia" w:ascii="宋体" w:hAnsi="宋体" w:eastAsia="宋体" w:cs="宋体"/>
                <w:i w:val="0"/>
                <w:iCs w:val="0"/>
                <w:caps w:val="0"/>
                <w:color w:val="000000"/>
                <w:spacing w:val="0"/>
                <w:sz w:val="24"/>
                <w:szCs w:val="24"/>
                <w:highlight w:val="none"/>
                <w:u w:val="none"/>
                <w:lang w:val="en-US" w:eastAsia="zh-CN" w:bidi="ar-SA"/>
              </w:rPr>
              <w:t xml:space="preserve">中</w:t>
            </w:r>
            <w:r>
              <w:rPr>
                <w:rFonts w:hint="eastAsia" w:ascii="宋体" w:hAnsi="宋体" w:eastAsia="宋体" w:cs="宋体"/>
                <w:i w:val="0"/>
                <w:iCs w:val="0"/>
                <w:caps w:val="0"/>
                <w:color w:val="000000"/>
                <w:spacing w:val="0"/>
                <w:sz w:val="24"/>
                <w:szCs w:val="24"/>
                <w:highlight w:val="none"/>
                <w:lang w:val="en-US" w:eastAsia="zh-CN" w:bidi="ar-SA"/>
              </w:rPr>
              <w:t xml:space="preserve">提供的符合本国产品标准的产品成本之和占该采购包提供的全部产品成本之和的比例为</w:t>
            </w:r>
            <w:r>
              <w:rPr>
                <w:rFonts w:hint="eastAsia" w:ascii="宋体" w:hAnsi="宋体" w:eastAsia="宋体" w:cs="宋体"/>
                <w:i w:val="0"/>
                <w:iCs w:val="0"/>
                <w:caps w:val="0"/>
                <w:color w:val="000000"/>
                <w:spacing w:val="0"/>
                <w:sz w:val="24"/>
                <w:szCs w:val="24"/>
                <w:highlight w:val="none"/>
                <w:u w:val="single"/>
                <w:lang w:val="en-US" w:eastAsia="zh-CN" w:bidi="ar-SA"/>
              </w:rPr>
              <w:t xml:space="preserve">***</w:t>
            </w:r>
            <w:r>
              <w:rPr>
                <w:rFonts w:hint="eastAsia" w:ascii="宋体" w:hAnsi="宋体" w:eastAsia="宋体" w:cs="宋体"/>
                <w:i w:val="0"/>
                <w:iCs w:val="0"/>
                <w:caps w:val="0"/>
                <w:color w:val="000000"/>
                <w:spacing w:val="0"/>
                <w:sz w:val="24"/>
                <w:szCs w:val="24"/>
                <w:highlight w:val="none"/>
                <w:u w:val="none"/>
                <w:lang w:val="en-US" w:eastAsia="zh-CN" w:bidi="ar-SA"/>
              </w:rPr>
              <w:t xml:space="preserve">%</w:t>
            </w:r>
            <w:r>
              <w:rPr>
                <w:rFonts w:hint="eastAsia" w:ascii="宋体" w:hAnsi="宋体" w:eastAsia="宋体" w:cs="宋体"/>
                <w:i w:val="0"/>
                <w:iCs w:val="0"/>
                <w:caps w:val="0"/>
                <w:color w:val="000000"/>
                <w:spacing w:val="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bl>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748"/>
        <w:spacing w:line="400" w:lineRule="exact"/>
        <w:rPr>
          <w:rFonts w:hint="eastAsia" w:ascii="宋体" w:hAnsi="宋体" w:eastAsia="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rPr>
          <w:rFonts w:hint="eastAsia" w:ascii="宋体" w:hAnsi="宋体" w:eastAsia="宋体" w:cs="Times New Roman"/>
          <w:color w:val="000000"/>
          <w:sz w:val="24"/>
          <w:szCs w:val="21"/>
          <w:highlight w:val="none"/>
        </w:rPr>
        <w:t xml:space="preserve">“投标总报价”</w:t>
      </w:r>
      <w:r>
        <w:rPr>
          <w:rFonts w:hint="eastAsia" w:ascii="宋体" w:hAnsi="宋体" w:eastAsia="宋体" w:cs="Times New Roman"/>
          <w:color w:val="000000"/>
          <w:sz w:val="24"/>
          <w:szCs w:val="21"/>
          <w:highlight w:val="none"/>
          <w:lang w:eastAsia="zh-CN"/>
        </w:rPr>
        <w:t xml:space="preserve">数额为各“分项总价”之和。</w:t>
      </w:r>
      <w:r>
        <w:rPr>
          <w:rFonts w:hint="eastAsia" w:ascii="宋体" w:hAnsi="宋体" w:eastAsia="宋体"/>
          <w:color w:val="000000"/>
          <w:sz w:val="24"/>
          <w:szCs w:val="21"/>
          <w:highlight w:val="none"/>
        </w:rPr>
      </w:r>
      <w:r/>
    </w:p>
    <w:p>
      <w:pPr>
        <w:pStyle w:val="748"/>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748"/>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eastAsia="zh-CN"/>
        </w:rPr>
        <w:t xml:space="preserve">本</w:t>
      </w:r>
      <w:r>
        <w:rPr>
          <w:rFonts w:hint="eastAsia" w:ascii="宋体" w:hAnsi="宋体" w:eastAsia="宋体" w:cs="Times New Roman"/>
          <w:color w:val="000000"/>
          <w:sz w:val="24"/>
          <w:szCs w:val="21"/>
          <w:highlight w:val="none"/>
          <w:lang w:val="en-US" w:eastAsia="zh-CN"/>
        </w:rPr>
        <w:t xml:space="preserve">采购包中含有多种产品时，</w:t>
      </w:r>
      <w:r>
        <w:rPr>
          <w:rFonts w:hint="eastAsia" w:ascii="宋体" w:hAnsi="宋体" w:eastAsia="宋体" w:cs="Times New Roman"/>
          <w:color w:val="000000"/>
          <w:sz w:val="24"/>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color w:val="000000"/>
          <w:sz w:val="24"/>
          <w:szCs w:val="21"/>
          <w:highlight w:val="none"/>
        </w:rPr>
      </w:r>
      <w:r/>
    </w:p>
    <w:p>
      <w:pPr>
        <w:pStyle w:val="748"/>
        <w:spacing w:line="400" w:lineRule="exact"/>
        <w:rPr>
          <w:rFonts w:hint="eastAsia" w:ascii="方正黑体_GBK" w:hAnsi="宋体" w:eastAsia="方正黑体_GBK"/>
          <w:b/>
          <w:color w:val="000000"/>
          <w:sz w:val="32"/>
          <w:szCs w:val="32"/>
          <w:highlight w:val="none"/>
        </w:rPr>
      </w:pPr>
      <w:r>
        <w:rPr>
          <w:rFonts w:hint="eastAsia" w:ascii="方正黑体_GBK" w:hAnsi="宋体" w:eastAsia="方正黑体_GBK"/>
          <w:b/>
          <w:color w:val="000000"/>
          <w:sz w:val="32"/>
          <w:szCs w:val="32"/>
          <w:highlight w:val="none"/>
          <w:lang w:val="en-US" w:eastAsia="zh-CN"/>
        </w:rPr>
        <w:t xml:space="preserve">4</w:t>
      </w:r>
      <w:r>
        <w:rPr>
          <w:rFonts w:hint="eastAsia" w:ascii="方正黑体_GBK" w:hAnsi="宋体" w:eastAsia="方正黑体_GBK"/>
          <w:b/>
          <w:color w:val="000000"/>
          <w:sz w:val="32"/>
          <w:szCs w:val="32"/>
          <w:highlight w:val="none"/>
        </w:rPr>
        <w:t xml:space="preserve">.投标人需认真填写本报价表，尤其注意规格型号的准确填写。</w:t>
      </w:r>
      <w:r>
        <w:rPr>
          <w:rFonts w:hint="eastAsia" w:ascii="方正黑体_GBK" w:hAnsi="宋体" w:eastAsia="方正黑体_GBK"/>
          <w:b/>
          <w:color w:val="000000"/>
          <w:sz w:val="32"/>
          <w:szCs w:val="32"/>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.项目</w:t>
      </w:r>
      <w:r>
        <w:rPr>
          <w:rFonts w:ascii="宋体" w:hAnsi="宋体"/>
          <w:color w:val="000000"/>
          <w:sz w:val="24"/>
          <w:szCs w:val="21"/>
          <w:highlight w:val="none"/>
        </w:rPr>
        <w:t xml:space="preserve">经办人可以根据</w:t>
      </w:r>
      <w:r>
        <w:rPr>
          <w:rFonts w:hint="eastAsia" w:ascii="宋体" w:hAnsi="宋体"/>
          <w:color w:val="000000"/>
          <w:sz w:val="24"/>
          <w:szCs w:val="21"/>
          <w:highlight w:val="none"/>
        </w:rPr>
        <w:t xml:space="preserve">项目</w:t>
      </w:r>
      <w:r>
        <w:rPr>
          <w:rFonts w:ascii="宋体" w:hAnsi="宋体"/>
          <w:color w:val="000000"/>
          <w:sz w:val="24"/>
          <w:szCs w:val="21"/>
          <w:highlight w:val="none"/>
        </w:rPr>
        <w:t xml:space="preserve">实际需要</w:t>
      </w:r>
      <w:r>
        <w:rPr>
          <w:rFonts w:hint="eastAsia" w:ascii="宋体" w:hAnsi="宋体"/>
          <w:color w:val="000000"/>
          <w:sz w:val="24"/>
          <w:szCs w:val="21"/>
          <w:highlight w:val="none"/>
        </w:rPr>
        <w:t xml:space="preserve">对</w:t>
      </w:r>
      <w:r>
        <w:rPr>
          <w:rFonts w:ascii="宋体" w:hAnsi="宋体"/>
          <w:color w:val="000000"/>
          <w:sz w:val="24"/>
          <w:szCs w:val="21"/>
          <w:highlight w:val="none"/>
        </w:rPr>
        <w:t xml:space="preserve">表格结构进行</w:t>
      </w:r>
      <w:r>
        <w:rPr>
          <w:rFonts w:hint="eastAsia" w:ascii="宋体" w:hAnsi="宋体"/>
          <w:color w:val="000000"/>
          <w:sz w:val="24"/>
          <w:szCs w:val="21"/>
          <w:highlight w:val="none"/>
        </w:rPr>
        <w:t xml:space="preserve">调整</w:t>
      </w:r>
      <w:r>
        <w:rPr>
          <w:rFonts w:ascii="宋体" w:hAnsi="宋体"/>
          <w:color w:val="000000"/>
          <w:sz w:val="24"/>
          <w:szCs w:val="21"/>
          <w:highlight w:val="none"/>
        </w:rPr>
        <w:t xml:space="preserve">。</w:t>
      </w:r>
      <w:r>
        <w:rPr>
          <w:rFonts w:hint="eastAsia" w:ascii="宋体" w:hAnsi="宋体"/>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技术要求响应及偏离表（采购包号：**）</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hint="eastAsia" w:ascii="宋体" w:hAnsi="宋体" w:eastAsia="宋体" w:cs="Times New Roman"/>
                <w:color w:val="000000"/>
                <w:sz w:val="24"/>
                <w:szCs w:val="24"/>
                <w:highlight w:val="none"/>
                <w:lang w:val="en-US" w:eastAsia="zh-CN" w:bidi="ar-SA"/>
              </w:rPr>
            </w:r>
            <w:r/>
          </w:p>
        </w:tc>
        <w:tc>
          <w:tcPr>
            <w:tcW w:w="3063"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技术要求</w:t>
            </w:r>
            <w:r>
              <w:rPr>
                <w:rFonts w:hint="eastAsia" w:ascii="宋体" w:hAnsi="宋体" w:eastAsia="宋体" w:cs="Times New Roman"/>
                <w:color w:val="000000"/>
                <w:sz w:val="24"/>
                <w:szCs w:val="24"/>
                <w:highlight w:val="none"/>
                <w:lang w:val="en-US" w:eastAsia="zh-CN" w:bidi="ar-SA"/>
              </w:rPr>
            </w:r>
            <w:r/>
          </w:p>
        </w:tc>
        <w:tc>
          <w:tcPr>
            <w:tcW w:w="3191"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投标响应情况</w:t>
            </w:r>
            <w:r>
              <w:rPr>
                <w:rFonts w:hint="eastAsia" w:ascii="宋体" w:hAnsi="宋体" w:eastAsia="宋体" w:cs="Times New Roman"/>
                <w:color w:val="000000"/>
                <w:sz w:val="24"/>
                <w:szCs w:val="24"/>
                <w:highlight w:val="none"/>
                <w:lang w:val="en-US" w:eastAsia="zh-CN" w:bidi="ar-SA"/>
              </w:rPr>
            </w:r>
            <w:r/>
          </w:p>
        </w:tc>
        <w:tc>
          <w:tcPr>
            <w:tcW w:w="2128"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超出、符合或偏离</w:t>
            </w: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3063"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191"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128"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063"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3191"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128"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bl>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1.投标人需对招标文件技术要求中非实质性要求（</w:t>
      </w:r>
      <w:r>
        <w:rPr>
          <w:rFonts w:hint="eastAsia" w:ascii="宋体" w:hAnsi="宋体" w:eastAsia="宋体" w:cs="宋体"/>
          <w:b/>
          <w:color w:val="000000"/>
          <w:sz w:val="24"/>
          <w:szCs w:val="24"/>
          <w:highlight w:val="none"/>
        </w:rPr>
        <w:t xml:space="preserve">未加</w:t>
      </w:r>
      <w:r>
        <w:rPr>
          <w:rFonts w:hint="eastAsia" w:ascii="宋体" w:hAnsi="宋体" w:eastAsia="宋体" w:cs="宋体"/>
          <w:b/>
          <w:i/>
          <w:color w:val="000000"/>
          <w:sz w:val="24"/>
          <w:szCs w:val="24"/>
          <w:highlight w:val="none"/>
          <w:u w:val="single"/>
        </w:rPr>
        <w:t xml:space="preserve">斜体下划线</w:t>
      </w:r>
      <w:r>
        <w:rPr>
          <w:rFonts w:hint="eastAsia" w:ascii="宋体" w:hAnsi="宋体" w:eastAsia="宋体" w:cs="宋体"/>
          <w:b/>
          <w:iCs/>
          <w:color w:val="000000"/>
          <w:sz w:val="24"/>
          <w:szCs w:val="24"/>
          <w:highlight w:val="none"/>
        </w:rPr>
        <w:t xml:space="preserve">部分</w:t>
      </w:r>
      <w:r>
        <w:rPr>
          <w:rFonts w:hint="eastAsia" w:ascii="宋体" w:hAnsi="宋体" w:eastAsia="宋体" w:cs="宋体"/>
          <w:b/>
          <w:color w:val="000000"/>
          <w:sz w:val="24"/>
          <w:szCs w:val="24"/>
          <w:highlight w:val="none"/>
        </w:rPr>
        <w:t xml:space="preserve">或未加*号条款</w:t>
      </w: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商务要求响应及偏离表（采购包号：**）</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hint="eastAsia" w:ascii="宋体" w:hAnsi="宋体" w:eastAsia="宋体" w:cs="Times New Roman"/>
                <w:color w:val="000000"/>
                <w:sz w:val="24"/>
                <w:szCs w:val="24"/>
                <w:highlight w:val="none"/>
                <w:lang w:val="en-US" w:eastAsia="zh-CN" w:bidi="ar-SA"/>
              </w:rPr>
            </w:r>
            <w:r/>
          </w:p>
        </w:tc>
        <w:tc>
          <w:tcPr>
            <w:tcW w:w="3063"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商务要求</w:t>
            </w:r>
            <w:r>
              <w:rPr>
                <w:rFonts w:hint="eastAsia" w:ascii="宋体" w:hAnsi="宋体" w:eastAsia="宋体" w:cs="Times New Roman"/>
                <w:color w:val="000000"/>
                <w:sz w:val="24"/>
                <w:szCs w:val="24"/>
                <w:highlight w:val="none"/>
                <w:lang w:val="en-US" w:eastAsia="zh-CN" w:bidi="ar-SA"/>
              </w:rPr>
            </w:r>
            <w:r/>
          </w:p>
        </w:tc>
        <w:tc>
          <w:tcPr>
            <w:tcW w:w="3191"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投标响应情况</w:t>
            </w:r>
            <w:r>
              <w:rPr>
                <w:rFonts w:hint="eastAsia" w:ascii="宋体" w:hAnsi="宋体" w:eastAsia="宋体" w:cs="Times New Roman"/>
                <w:color w:val="000000"/>
                <w:sz w:val="24"/>
                <w:szCs w:val="24"/>
                <w:highlight w:val="none"/>
                <w:lang w:val="en-US" w:eastAsia="zh-CN" w:bidi="ar-SA"/>
              </w:rPr>
            </w:r>
            <w:r/>
          </w:p>
        </w:tc>
        <w:tc>
          <w:tcPr>
            <w:tcW w:w="2128"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超出、符合或偏离</w:t>
            </w: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3063"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191"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128"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063"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3191"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128"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bl>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1.投标人需对招标文件商务要求中非实质性要求（</w:t>
      </w:r>
      <w:r>
        <w:rPr>
          <w:rFonts w:hint="eastAsia" w:ascii="宋体" w:hAnsi="宋体" w:eastAsia="宋体" w:cs="宋体"/>
          <w:b/>
          <w:color w:val="000000"/>
          <w:sz w:val="24"/>
          <w:szCs w:val="24"/>
          <w:highlight w:val="none"/>
        </w:rPr>
        <w:t xml:space="preserve">未加</w:t>
      </w:r>
      <w:r>
        <w:rPr>
          <w:rFonts w:hint="eastAsia" w:ascii="宋体" w:hAnsi="宋体" w:eastAsia="宋体" w:cs="宋体"/>
          <w:b/>
          <w:i/>
          <w:color w:val="000000"/>
          <w:sz w:val="24"/>
          <w:szCs w:val="24"/>
          <w:highlight w:val="none"/>
          <w:u w:val="single"/>
        </w:rPr>
        <w:t xml:space="preserve">斜体下划线</w:t>
      </w:r>
      <w:r>
        <w:rPr>
          <w:rFonts w:hint="eastAsia" w:ascii="宋体" w:hAnsi="宋体" w:eastAsia="宋体" w:cs="宋体"/>
          <w:b/>
          <w:iCs/>
          <w:color w:val="000000"/>
          <w:sz w:val="24"/>
          <w:szCs w:val="24"/>
          <w:highlight w:val="none"/>
        </w:rPr>
        <w:t xml:space="preserve">部分</w:t>
      </w:r>
      <w:r>
        <w:rPr>
          <w:rFonts w:hint="eastAsia" w:ascii="宋体" w:hAnsi="宋体" w:eastAsia="宋体" w:cs="宋体"/>
          <w:b/>
          <w:color w:val="000000"/>
          <w:sz w:val="24"/>
          <w:szCs w:val="24"/>
          <w:highlight w:val="none"/>
        </w:rPr>
        <w:t xml:space="preserve">或未加*号条款</w:t>
      </w: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748"/>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48"/>
        <w:ind w:left="480"/>
        <w:rPr>
          <w:rFonts w:ascii="宋体" w:hAnsi="宋体"/>
          <w:b/>
          <w:color w:val="000000"/>
          <w:sz w:val="24"/>
          <w:szCs w:val="21"/>
          <w:highlight w:val="none"/>
        </w:rPr>
      </w:pPr>
      <w:r>
        <w:rPr>
          <w:rFonts w:ascii="宋体" w:hAnsi="宋体"/>
          <w:b/>
          <w:color w:val="000000"/>
          <w:sz w:val="24"/>
          <w:szCs w:val="21"/>
          <w:highlight w:val="none"/>
        </w:rPr>
      </w:r>
      <w:r/>
    </w:p>
    <w:p>
      <w:pPr>
        <w:pStyle w:val="748"/>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48"/>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rPr>
          <w:rFonts w:hint="eastAsia" w:ascii="宋体" w:hAnsi="宋体"/>
          <w:b/>
          <w:color w:val="000000"/>
          <w:sz w:val="24"/>
          <w:szCs w:val="21"/>
          <w:highlight w:val="none"/>
        </w:rPr>
      </w:r>
      <w:r/>
    </w:p>
    <w:p>
      <w:pPr>
        <w:pStyle w:val="748"/>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748"/>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8"/>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48"/>
        <w:ind w:left="480"/>
        <w:rPr>
          <w:rFonts w:ascii="宋体" w:hAnsi="宋体"/>
          <w:b/>
          <w:color w:val="000000"/>
          <w:sz w:val="24"/>
          <w:szCs w:val="21"/>
          <w:highlight w:val="none"/>
        </w:rPr>
      </w:pPr>
      <w:r>
        <w:rPr>
          <w:rFonts w:ascii="宋体" w:hAnsi="宋体"/>
          <w:b/>
          <w:color w:val="000000"/>
          <w:sz w:val="24"/>
          <w:szCs w:val="21"/>
          <w:highlight w:val="none"/>
        </w:rPr>
      </w:r>
      <w:r/>
    </w:p>
    <w:p>
      <w:pPr>
        <w:pStyle w:val="748"/>
        <w:ind w:left="480"/>
        <w:rPr>
          <w:rFonts w:ascii="宋体" w:hAnsi="宋体"/>
          <w:b/>
          <w:color w:val="000000"/>
          <w:sz w:val="24"/>
          <w:szCs w:val="21"/>
          <w:highlight w:val="none"/>
        </w:rPr>
      </w:pPr>
      <w:r>
        <w:rPr>
          <w:rFonts w:ascii="宋体" w:hAnsi="宋体"/>
          <w:b/>
          <w:color w:val="000000"/>
          <w:sz w:val="24"/>
          <w:szCs w:val="21"/>
          <w:highlight w:val="none"/>
        </w:rPr>
      </w:r>
      <w:r/>
    </w:p>
    <w:p>
      <w:pPr>
        <w:pStyle w:val="748"/>
        <w:ind w:left="480"/>
        <w:rPr>
          <w:rFonts w:ascii="宋体" w:hAnsi="宋体"/>
          <w:b/>
          <w:color w:val="000000"/>
          <w:sz w:val="24"/>
          <w:szCs w:val="21"/>
          <w:highlight w:val="none"/>
        </w:rPr>
      </w:pPr>
      <w:r>
        <w:rPr>
          <w:rFonts w:ascii="宋体" w:hAnsi="宋体"/>
          <w:b/>
          <w:color w:val="000000"/>
          <w:sz w:val="24"/>
          <w:szCs w:val="21"/>
          <w:highlight w:val="none"/>
        </w:rPr>
      </w:r>
      <w:r/>
    </w:p>
    <w:p>
      <w:pPr>
        <w:pStyle w:val="748"/>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48"/>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rPr>
          <w:rFonts w:ascii="宋体" w:hAnsi="宋体"/>
          <w:b/>
          <w:color w:val="000000"/>
          <w:sz w:val="24"/>
          <w:szCs w:val="21"/>
          <w:highlight w:val="none"/>
        </w:rPr>
      </w:r>
      <w:r/>
    </w:p>
    <w:p>
      <w:pPr>
        <w:pStyle w:val="748"/>
        <w:rPr>
          <w:rFonts w:hint="eastAsia" w:ascii="宋体" w:hAnsi="宋体"/>
          <w:b/>
          <w:color w:val="000000"/>
          <w:sz w:val="24"/>
          <w:szCs w:val="21"/>
          <w:highlight w:val="none"/>
        </w:rPr>
      </w:pPr>
      <w:r>
        <w:rPr>
          <w:rFonts w:hint="eastAsia" w:ascii="宋体" w:hAnsi="宋体"/>
          <w:b/>
          <w:color w:val="000000"/>
          <w:sz w:val="24"/>
          <w:szCs w:val="21"/>
          <w:highlight w:val="none"/>
        </w:rPr>
        <w:t xml:space="preserve">面声明</w:t>
      </w:r>
      <w:r>
        <w:rPr>
          <w:rFonts w:hint="eastAsia" w:ascii="宋体" w:hAnsi="宋体"/>
          <w:b/>
          <w:color w:val="000000"/>
          <w:sz w:val="24"/>
          <w:szCs w:val="21"/>
          <w:highlight w:val="none"/>
        </w:rPr>
      </w:r>
      <w:r/>
    </w:p>
    <w:p>
      <w:pPr>
        <w:pStyle w:val="74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Start w:id="198" w:name="_Toc120614284"/>
      <w:r>
        <w:rPr>
          <w:rFonts w:hint="eastAsia" w:ascii="宋体" w:hAnsi="宋体"/>
          <w:bCs/>
          <w:color w:val="000000"/>
          <w:sz w:val="24"/>
          <w:szCs w:val="21"/>
          <w:highlight w:val="none"/>
        </w:rPr>
      </w:r>
      <w:r/>
    </w:p>
    <w:p>
      <w:pPr>
        <w:pStyle w:val="748"/>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48"/>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748"/>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748"/>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748"/>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748"/>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p>
    <w:p>
      <w:pPr>
        <w:pStyle w:val="748"/>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本授权书声明：____________（投标人名称）授权________________（被授权人的姓名）为我方就采购编号为JSZC-320000-</w:t>
      </w:r>
      <w:r>
        <w:rPr>
          <w:rFonts w:hint="eastAsia" w:ascii="Times New Roman" w:hAnsi="Times New Roman"/>
          <w:color w:val="000000"/>
          <w:sz w:val="24"/>
          <w:szCs w:val="24"/>
          <w:highlight w:val="none"/>
          <w:lang w:val="en-US" w:eastAsia="zh-CN"/>
        </w:rPr>
        <w:t xml:space="preserve">SCZX-G20**-****</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项目（项目名称）采购活动的合法代理人，以本单位名义全权处理一切与该项目采购有关的事务。</w:t>
      </w:r>
      <w:r>
        <w:rPr>
          <w:rFonts w:hint="eastAsia" w:ascii="Times New Roman" w:hAnsi="Times New Roman"/>
          <w:color w:val="000000"/>
          <w:sz w:val="24"/>
          <w:szCs w:val="24"/>
          <w:highlight w:val="none"/>
        </w:rPr>
      </w:r>
      <w:r/>
    </w:p>
    <w:p>
      <w:pPr>
        <w:pStyle w:val="748"/>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748"/>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48"/>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48"/>
        <w:ind w:firstLine="1200"/>
        <w:spacing w:line="40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被授权人电子邮箱：</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48"/>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748"/>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48"/>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99" w:name="_Hlt26671380"/>
      <w:r/>
      <w:bookmarkEnd w:id="199"/>
      <w:r/>
      <w:bookmarkStart w:id="200" w:name="_格式3__银行出具的资信证明"/>
      <w:r/>
      <w:bookmarkEnd w:id="200"/>
      <w:r/>
      <w:bookmarkStart w:id="201" w:name="_Hlt26955070"/>
      <w:r/>
      <w:bookmarkEnd w:id="201"/>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748"/>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48"/>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p>
    <w:p>
      <w:pPr>
        <w:pStyle w:val="748"/>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rPr>
          <w:rFonts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项目</w:t>
      </w:r>
      <w:r>
        <w:rPr>
          <w:rFonts w:hint="eastAsia" w:ascii="宋体" w:hAnsi="宋体"/>
          <w:color w:val="000000"/>
          <w:sz w:val="24"/>
          <w:szCs w:val="24"/>
          <w:highlight w:val="none"/>
          <w:u w:val="none"/>
        </w:rPr>
        <w:t xml:space="preserve">（项目名称）</w:t>
      </w:r>
      <w:r>
        <w:rPr>
          <w:rFonts w:hint="eastAsia" w:ascii="宋体" w:hAnsi="宋体"/>
          <w:color w:val="000000"/>
          <w:sz w:val="24"/>
          <w:szCs w:val="21"/>
          <w:highlight w:val="none"/>
        </w:rPr>
        <w:t xml:space="preserve">的招标文件，正式授权下述签字人_____(姓名)代表我方_______（投标人的名称），全权处理本次项目投标的有关事宜。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48"/>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48"/>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74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期：___年____月____日</w:t>
      </w:r>
      <w:r>
        <w:rPr>
          <w:rFonts w:hint="eastAsia" w:ascii="宋体" w:hAnsi="宋体"/>
          <w:color w:val="000000"/>
          <w:sz w:val="24"/>
          <w:szCs w:val="21"/>
          <w:highlight w:val="none"/>
        </w:rPr>
      </w:r>
      <w:r/>
    </w:p>
    <w:p>
      <w:pPr>
        <w:pStyle w:val="74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4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4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48"/>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748"/>
        <w:spacing w:line="560" w:lineRule="exact"/>
        <w:rPr>
          <w:rFonts w:ascii="宋体" w:hAnsi="宋体"/>
          <w:b/>
          <w:color w:val="000000"/>
          <w:sz w:val="24"/>
          <w:szCs w:val="21"/>
          <w:highlight w:val="none"/>
        </w:rPr>
      </w:pPr>
      <w:r>
        <w:rPr>
          <w:rFonts w:ascii="宋体" w:hAnsi="宋体"/>
          <w:b/>
          <w:color w:val="000000"/>
          <w:sz w:val="24"/>
          <w:szCs w:val="21"/>
          <w:highlight w:val="none"/>
        </w:rPr>
      </w:r>
      <w:r/>
    </w:p>
    <w:p>
      <w:pPr>
        <w:pStyle w:val="748"/>
        <w:ind w:firstLine="241"/>
        <w:jc w:val="center"/>
        <w:spacing w:line="56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中小微企业声明函（货物类项目）（采购包号：**）</w:t>
      </w:r>
      <w:r>
        <w:rPr>
          <w:rFonts w:hint="eastAsia" w:ascii="宋体" w:hAnsi="宋体"/>
          <w:b/>
          <w:color w:val="000000"/>
          <w:sz w:val="24"/>
          <w:szCs w:val="21"/>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项目</w:t>
      </w:r>
      <w:r>
        <w:rPr>
          <w:rFonts w:hint="eastAsia" w:ascii="宋体" w:hAnsi="宋体"/>
          <w:color w:val="000000"/>
          <w:sz w:val="24"/>
          <w:szCs w:val="24"/>
          <w:highlight w:val="none"/>
          <w:u w:val="none"/>
        </w:rPr>
        <w:t xml:space="preserve">（项目名称）（采购包号：**）</w:t>
      </w:r>
      <w:r>
        <w:rPr>
          <w:rFonts w:hint="eastAsia" w:ascii="宋体" w:hAnsi="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highlight w:val="none"/>
        </w:rPr>
      </w:r>
      <w:r/>
    </w:p>
    <w:p>
      <w:pPr>
        <w:pStyle w:val="74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中型企业 □小型企业 </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微型企业）；</w:t>
      </w:r>
      <w:r>
        <w:rPr>
          <w:rFonts w:hint="eastAsia" w:ascii="宋体" w:hAnsi="宋体"/>
          <w:i/>
          <w:color w:val="000000"/>
          <w:sz w:val="24"/>
          <w:szCs w:val="24"/>
          <w:highlight w:val="none"/>
          <w:u w:val="single"/>
        </w:rPr>
      </w:r>
      <w:r/>
    </w:p>
    <w:p>
      <w:pPr>
        <w:pStyle w:val="74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4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48"/>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48"/>
        <w:ind w:right="480" w:firstLine="45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1"/>
          <w:highlight w:val="none"/>
        </w:rPr>
        <w:t xml:space="preserve">___年____月____日</w:t>
      </w: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74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48"/>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w:t>
      </w:r>
      <w:r>
        <w:rPr>
          <w:rFonts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制造商</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残疾人福利性单位声明函（货物类项目）（采购包号：**）</w:t>
      </w:r>
      <w:r>
        <w:rPr>
          <w:rFonts w:hint="eastAsia" w:ascii="宋体" w:hAnsi="宋体"/>
          <w:color w:val="000000"/>
          <w:sz w:val="24"/>
          <w:szCs w:val="24"/>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u w:val="none"/>
        </w:rPr>
        <w:t xml:space="preserve">（项目名称）</w:t>
      </w:r>
      <w:r>
        <w:rPr>
          <w:rFonts w:hint="eastAsia" w:ascii="宋体" w:hAnsi="宋体"/>
          <w:color w:val="000000"/>
          <w:sz w:val="24"/>
          <w:szCs w:val="21"/>
          <w:highlight w:val="none"/>
        </w:rPr>
        <w:t xml:space="preserve">（采购包号：**）采购活动提供本单位制造的货物，或者提供其他残疾人福利性单位制造的货物（不包括使用非残疾人福利性单位注册商标的货物）。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74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hint="eastAsia"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rFonts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rFonts w:ascii="宋体" w:hAnsi="宋体"/>
          <w:color w:val="000000"/>
          <w:sz w:val="24"/>
          <w:szCs w:val="21"/>
          <w:highlight w:val="none"/>
        </w:rPr>
      </w:r>
      <w:r/>
    </w:p>
    <w:p>
      <w:pPr>
        <w:pStyle w:val="748"/>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rFonts w:ascii="宋体" w:hAnsi="宋体"/>
          <w:color w:val="000000"/>
          <w:sz w:val="24"/>
          <w:szCs w:val="21"/>
          <w:highlight w:val="none"/>
        </w:rPr>
      </w:r>
      <w:r/>
    </w:p>
    <w:p>
      <w:pPr>
        <w:pStyle w:val="748"/>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pStyle w:val="748"/>
        <w:ind w:right="1559" w:firstLine="624"/>
        <w:jc w:val="center"/>
        <w:spacing w:line="400"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748"/>
        <w:ind w:right="1559" w:firstLine="480"/>
        <w:jc w:val="center"/>
        <w:spacing w:line="40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rPr>
        <w:t xml:space="preserve">日  期：___年____月____日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ascii="宋体" w:hAnsi="宋体"/>
          <w:color w:val="000000"/>
          <w:sz w:val="24"/>
          <w:szCs w:val="21"/>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jc w:val="center"/>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11</w:t>
      </w:r>
      <w:r>
        <w:rPr>
          <w:rFonts w:hint="eastAsia" w:ascii="宋体" w:hAnsi="宋体"/>
          <w:b/>
          <w:color w:val="000000"/>
          <w:sz w:val="24"/>
          <w:szCs w:val="24"/>
          <w:highlight w:val="none"/>
        </w:rPr>
        <w:t xml:space="preserve"> 联合体协议（参考格式）（采购包号：**）</w:t>
      </w:r>
      <w:r>
        <w:rPr>
          <w:rFonts w:ascii="宋体" w:hAnsi="宋体"/>
          <w:b/>
          <w:color w:val="000000"/>
          <w:sz w:val="24"/>
          <w:szCs w:val="24"/>
          <w:highlight w:val="none"/>
        </w:rPr>
      </w:r>
      <w:r/>
    </w:p>
    <w:p>
      <w:pPr>
        <w:pStyle w:val="748"/>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48"/>
        <w:ind w:firstLine="645"/>
        <w:spacing w:line="4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u w:val="none"/>
          <w:lang w:val="en-US" w:eastAsia="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u w:val="none"/>
        </w:rPr>
        <w:t xml:space="preserve">（项目名称）</w:t>
      </w:r>
      <w:r>
        <w:rPr>
          <w:rFonts w:hint="eastAsia" w:ascii="宋体" w:hAnsi="宋体"/>
          <w:color w:val="000000"/>
          <w:sz w:val="24"/>
          <w:szCs w:val="21"/>
          <w:highlight w:val="none"/>
        </w:rPr>
        <w:t xml:space="preserve">（采购包号：**）的政府采购活动，我联合体指定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48"/>
        <w:ind w:firstLine="645"/>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48"/>
        <w:ind w:firstLine="645"/>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8"/>
        <w:ind w:firstLine="645"/>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48"/>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48"/>
        <w:ind w:firstLine="646"/>
        <w:jc w:val="right"/>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48"/>
        <w:ind w:firstLine="646"/>
        <w:spacing w:line="4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ascii="宋体" w:hAnsi="宋体"/>
          <w:color w:val="000000"/>
          <w:sz w:val="24"/>
          <w:szCs w:val="21"/>
          <w:highlight w:val="none"/>
        </w:rPr>
      </w:r>
      <w:r/>
    </w:p>
    <w:p>
      <w:pPr>
        <w:pStyle w:val="748"/>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748"/>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748"/>
        <w:ind w:firstLine="645"/>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48"/>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ascii="Times New Roman" w:hAnsi="Times New Roman"/>
          <w:color w:val="000000"/>
          <w:szCs w:val="21"/>
          <w:highlight w:val="none"/>
        </w:rPr>
      </w:pPr>
      <w:r>
        <w:rPr>
          <w:rFonts w:ascii="Times New Roman" w:hAnsi="Times New Roman"/>
          <w:color w:val="000000"/>
          <w:szCs w:val="21"/>
          <w:highlight w:val="none"/>
        </w:rPr>
      </w:r>
      <w:r/>
    </w:p>
    <w:p>
      <w:pPr>
        <w:pStyle w:val="74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4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12</w:t>
      </w:r>
      <w:r>
        <w:rPr>
          <w:rFonts w:hint="eastAsia" w:ascii="宋体" w:hAnsi="宋体"/>
          <w:b/>
          <w:color w:val="000000"/>
          <w:sz w:val="24"/>
          <w:szCs w:val="24"/>
          <w:highlight w:val="none"/>
        </w:rPr>
        <w:t xml:space="preserve">实质性要求响应及偏离表（采购包号：**）</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hint="eastAsia" w:ascii="宋体" w:hAnsi="宋体" w:eastAsia="宋体" w:cs="Times New Roman"/>
                <w:color w:val="000000"/>
                <w:sz w:val="24"/>
                <w:szCs w:val="24"/>
                <w:highlight w:val="none"/>
                <w:lang w:val="en-US" w:eastAsia="zh-CN" w:bidi="ar-SA"/>
              </w:rPr>
            </w:r>
            <w:r/>
          </w:p>
        </w:tc>
        <w:tc>
          <w:tcPr>
            <w:tcW w:w="3609"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招标文件（含技术</w:t>
            </w:r>
            <w:r>
              <w:rPr>
                <w:rFonts w:ascii="宋体" w:hAnsi="宋体" w:eastAsia="宋体" w:cs="Times New Roman"/>
                <w:color w:val="000000"/>
                <w:sz w:val="24"/>
                <w:szCs w:val="21"/>
                <w:highlight w:val="none"/>
                <w:lang w:val="en-US" w:eastAsia="zh-CN" w:bidi="ar-SA"/>
              </w:rPr>
              <w:t xml:space="preserve">要求和商务</w:t>
            </w:r>
            <w:r>
              <w:rPr>
                <w:rFonts w:hint="eastAsia" w:ascii="宋体" w:hAnsi="宋体" w:eastAsia="宋体" w:cs="Times New Roman"/>
                <w:color w:val="000000"/>
                <w:sz w:val="24"/>
                <w:szCs w:val="21"/>
                <w:highlight w:val="none"/>
                <w:lang w:val="en-US" w:eastAsia="zh-CN" w:bidi="ar-SA"/>
              </w:rPr>
              <w:t xml:space="preserve">要求）</w:t>
            </w:r>
            <w:r>
              <w:rPr>
                <w:rFonts w:ascii="宋体" w:hAnsi="宋体" w:eastAsia="宋体" w:cs="Times New Roman"/>
                <w:color w:val="000000"/>
                <w:sz w:val="24"/>
                <w:szCs w:val="21"/>
                <w:highlight w:val="none"/>
                <w:lang w:val="en-US" w:eastAsia="zh-CN" w:bidi="ar-SA"/>
              </w:rPr>
              <w:t xml:space="preserve">中</w:t>
            </w:r>
            <w:r>
              <w:rPr>
                <w:rFonts w:ascii="宋体" w:hAnsi="宋体" w:eastAsia="宋体" w:cs="Times New Roman"/>
                <w:color w:val="000000"/>
                <w:sz w:val="24"/>
                <w:szCs w:val="24"/>
                <w:highlight w:val="none"/>
                <w:lang w:val="en-US" w:eastAsia="zh-CN" w:bidi="ar-SA"/>
              </w:rPr>
              <w:t xml:space="preserve">的实质性要求</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i/>
                <w:color w:val="000000"/>
                <w:sz w:val="24"/>
                <w:szCs w:val="21"/>
                <w:highlight w:val="none"/>
                <w:u w:val="single"/>
                <w:lang w:val="en-US" w:eastAsia="zh-CN" w:bidi="ar-SA"/>
              </w:rPr>
              <w:t xml:space="preserve">斜体且有下划线部分</w:t>
            </w:r>
            <w:r>
              <w:rPr>
                <w:rFonts w:hint="eastAsia" w:ascii="宋体" w:hAnsi="宋体" w:eastAsia="宋体" w:cs="Times New Roman"/>
                <w:b/>
                <w:bCs/>
                <w:color w:val="000000"/>
                <w:sz w:val="24"/>
                <w:szCs w:val="21"/>
                <w:highlight w:val="none"/>
                <w:lang w:val="en-US" w:eastAsia="zh-CN" w:bidi="ar-SA"/>
              </w:rPr>
              <w:t xml:space="preserve">或加*号条款）</w:t>
            </w:r>
            <w:r>
              <w:rPr>
                <w:rFonts w:hint="eastAsia" w:ascii="宋体" w:hAnsi="宋体" w:eastAsia="宋体" w:cs="Times New Roman"/>
                <w:color w:val="000000"/>
                <w:sz w:val="24"/>
                <w:szCs w:val="24"/>
                <w:highlight w:val="none"/>
                <w:lang w:val="en-US" w:eastAsia="zh-CN" w:bidi="ar-SA"/>
              </w:rPr>
            </w:r>
            <w:r/>
          </w:p>
        </w:tc>
        <w:tc>
          <w:tcPr>
            <w:tcW w:w="3317"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投标响应情况</w:t>
            </w:r>
            <w:r>
              <w:rPr>
                <w:rFonts w:hint="eastAsia" w:ascii="宋体" w:hAnsi="宋体" w:eastAsia="宋体" w:cs="Times New Roman"/>
                <w:color w:val="000000"/>
                <w:sz w:val="24"/>
                <w:szCs w:val="24"/>
                <w:highlight w:val="none"/>
                <w:lang w:val="en-US" w:eastAsia="zh-CN" w:bidi="ar-SA"/>
              </w:rPr>
            </w:r>
            <w:r/>
          </w:p>
        </w:tc>
        <w:tc>
          <w:tcPr>
            <w:tcW w:w="1526" w:type="dxa"/>
            <w:vAlign w:val="center"/>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超出、符合或偏离</w:t>
            </w: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3609"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317"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26"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3609"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317"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26"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3609"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3317"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526" w:type="dxa"/>
            <w:vAlign w:val="top"/>
            <w:textDirection w:val="lrTb"/>
            <w:noWrap w:val="false"/>
          </w:tcPr>
          <w:p>
            <w:pPr>
              <w:pStyle w:val="748"/>
              <w:jc w:val="center"/>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bl>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3.投标人未对实质性要求逐条作出明确响应的，或未按招标文件要求提供证明材料的，该采购包作无效投标处理。</w:t>
      </w: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8"/>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关于符合本国产品标准的声明函（采购包号：**）</w:t>
      </w:r>
      <w:r>
        <w:rPr>
          <w:rFonts w:hint="eastAsia" w:ascii="宋体" w:hAnsi="宋体" w:eastAsia="宋体" w:cs="宋体"/>
          <w:i w:val="0"/>
          <w:iCs w:val="0"/>
          <w:caps w:val="0"/>
          <w:color w:val="000000"/>
          <w:spacing w:val="0"/>
          <w:sz w:val="24"/>
          <w:szCs w:val="24"/>
          <w:highlight w:val="none"/>
        </w:rPr>
      </w:r>
      <w:r/>
    </w:p>
    <w:p>
      <w:pPr>
        <w:pStyle w:val="76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76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775"/>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775"/>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76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（产品名称</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2</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75"/>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76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76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769"/>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769"/>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公司（单位）名称（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加盖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769"/>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76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76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76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76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76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76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76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775"/>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highlight w:val="none"/>
          <w:shd w:val="clear" w:color="auto" w:fill="ffffff"/>
        </w:rPr>
      </w:r>
      <w:r/>
    </w:p>
    <w:p>
      <w:pPr>
        <w:pStyle w:val="748"/>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48"/>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48"/>
        <w:jc w:val="center"/>
        <w:rPr>
          <w:rFonts w:ascii="黑体" w:hAnsi="黑体" w:eastAsia="黑体"/>
          <w:b/>
          <w:color w:val="000000"/>
          <w:sz w:val="32"/>
          <w:szCs w:val="32"/>
          <w:highlight w:val="none"/>
        </w:rPr>
      </w:pPr>
      <w:r/>
      <w:bookmarkEnd w:id="198"/>
      <w:r>
        <w:rPr>
          <w:rFonts w:ascii="黑体" w:hAnsi="黑体" w:eastAsia="黑体"/>
          <w:b/>
          <w:color w:val="000000"/>
          <w:sz w:val="32"/>
          <w:szCs w:val="32"/>
          <w:highlight w:val="none"/>
        </w:rPr>
      </w:r>
      <w:r/>
    </w:p>
    <w:p>
      <w:pPr>
        <w:pStyle w:val="748"/>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4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48"/>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48"/>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4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4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4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48"/>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4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48"/>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1046"/>
        <w:rFonts w:ascii="宋体" w:hAnsi="宋体"/>
      </w:rPr>
      <w:framePr w:wrap="around" w:vAnchor="text" w:hAnchor="margin" w:xAlign="center" w:y="1"/>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22</w:t>
    </w:r>
    <w:r>
      <w:rPr>
        <w:rFonts w:ascii="宋体" w:hAnsi="宋体"/>
      </w:rPr>
      <w:fldChar w:fldCharType="end"/>
    </w:r>
    <w:r>
      <w:rPr>
        <w:rStyle w:val="1046"/>
        <w:rFonts w:ascii="宋体" w:hAnsi="宋体"/>
      </w:rPr>
    </w:r>
    <w:r/>
  </w:p>
  <w:p>
    <w:pPr>
      <w:pStyle w:val="97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1</w:t>
    </w:r>
    <w:r>
      <w:fldChar w:fldCharType="end"/>
    </w:r>
    <w:r>
      <w:rPr>
        <w:rStyle w:val="1046"/>
      </w:rPr>
    </w:r>
    <w:r/>
  </w:p>
  <w:p>
    <w:pPr>
      <w:pStyle w:val="9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4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748"/>
        <w:ind w:left="420"/>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
    <w:multiLevelType w:val="hybridMultilevel"/>
    <w:lvl w:ilvl="0">
      <w:start w:val="1"/>
      <w:numFmt w:val="upperLetter"/>
      <w:pStyle w:val="1006"/>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944"/>
      <w:isLgl w:val="false"/>
      <w:suff w:val="nothing"/>
      <w:lvlText w:val=""/>
      <w:lvlJc w:val="left"/>
      <w:pPr>
        <w:pStyle w:val="748"/>
        <w:ind w:left="0" w:firstLine="0"/>
      </w:pPr>
      <w:rPr>
        <w:rFonts w:hint="eastAsia"/>
      </w:rPr>
    </w:lvl>
    <w:lvl w:ilvl="6">
      <w:start w:val="1"/>
      <w:numFmt w:val="decimal"/>
      <w:pStyle w:val="946"/>
      <w:isLgl w:val="false"/>
      <w:suff w:val="nothing"/>
      <w:lvlText w:val=""/>
      <w:lvlJc w:val="left"/>
      <w:pPr>
        <w:pStyle w:val="748"/>
        <w:ind w:left="0" w:firstLine="0"/>
      </w:pPr>
      <w:rPr>
        <w:rFonts w:hint="eastAsia"/>
      </w:rPr>
    </w:lvl>
    <w:lvl w:ilvl="7">
      <w:start w:val="1"/>
      <w:numFmt w:val="decimal"/>
      <w:pStyle w:val="948"/>
      <w:isLgl w:val="false"/>
      <w:suff w:val="nothing"/>
      <w:lvlText w:val=""/>
      <w:lvlJc w:val="left"/>
      <w:pPr>
        <w:pStyle w:val="748"/>
        <w:ind w:left="0" w:firstLine="0"/>
      </w:pPr>
      <w:rPr>
        <w:rFonts w:hint="eastAsia"/>
      </w:rPr>
    </w:lvl>
    <w:lvl w:ilvl="8">
      <w:start w:val="1"/>
      <w:numFmt w:val="decimal"/>
      <w:pStyle w:val="950"/>
      <w:isLgl w:val="false"/>
      <w:suff w:val="nothing"/>
      <w:lvlText w:val=""/>
      <w:lvlJc w:val="left"/>
      <w:pPr>
        <w:pStyle w:val="748"/>
        <w:ind w:left="0" w:firstLine="0"/>
      </w:pPr>
      <w:rPr>
        <w:rFonts w:hint="eastAsia"/>
      </w:rPr>
    </w:lvl>
  </w:abstractNum>
  <w:abstractNum w:abstractNumId="6">
    <w:multiLevelType w:val="hybridMultilevel"/>
    <w:lvl w:ilvl="0">
      <w:start w:val="6"/>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0">
    <w:multiLevelType w:val="hybridMultilevel"/>
    <w:lvl w:ilvl="0">
      <w:start w:val="1"/>
      <w:numFmt w:val="decimal"/>
      <w:pStyle w:val="1024"/>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11">
    <w:multiLevelType w:val="hybridMultilevel"/>
    <w:lvl w:ilvl="0">
      <w:start w:val="4"/>
      <w:numFmt w:val="chineseCounting"/>
      <w:isLgl w:val="false"/>
      <w:suff w:val="space"/>
      <w:lvlText w:val="第%1章"/>
      <w:lvlJc w:val="left"/>
      <w:pPr>
        <w:pStyle w:val="748"/>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2">
    <w:multiLevelType w:val="hybridMultilevel"/>
    <w:lvl w:ilvl="0">
      <w:start w:val="2"/>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Title"/>
    <w:basedOn w:val="748"/>
    <w:next w:val="748"/>
    <w:link w:val="802"/>
    <w:uiPriority w:val="10"/>
    <w:qFormat/>
    <w:pPr>
      <w:contextualSpacing/>
      <w:spacing w:before="300" w:after="200"/>
    </w:pPr>
    <w:rPr>
      <w:sz w:val="48"/>
      <w:szCs w:val="48"/>
    </w:rPr>
  </w:style>
  <w:style w:type="paragraph" w:styleId="728">
    <w:name w:val="Subtitle"/>
    <w:basedOn w:val="748"/>
    <w:next w:val="748"/>
    <w:link w:val="803"/>
    <w:uiPriority w:val="11"/>
    <w:qFormat/>
    <w:pPr>
      <w:spacing w:before="200" w:after="200"/>
    </w:pPr>
    <w:rPr>
      <w:sz w:val="24"/>
      <w:szCs w:val="24"/>
    </w:rPr>
  </w:style>
  <w:style w:type="paragraph" w:styleId="729">
    <w:name w:val="Header"/>
    <w:basedOn w:val="748"/>
    <w:link w:val="801"/>
    <w:uiPriority w:val="99"/>
    <w:unhideWhenUsed/>
    <w:pPr>
      <w:spacing w:after="0" w:line="240" w:lineRule="auto"/>
      <w:tabs>
        <w:tab w:val="center" w:pos="7143" w:leader="none"/>
        <w:tab w:val="right" w:pos="14287" w:leader="none"/>
      </w:tabs>
    </w:pPr>
  </w:style>
  <w:style w:type="paragraph" w:styleId="730">
    <w:name w:val="Footer"/>
    <w:basedOn w:val="748"/>
    <w:link w:val="799"/>
    <w:uiPriority w:val="99"/>
    <w:unhideWhenUsed/>
    <w:pPr>
      <w:spacing w:after="0" w:line="240" w:lineRule="auto"/>
      <w:tabs>
        <w:tab w:val="center" w:pos="7143" w:leader="none"/>
        <w:tab w:val="right" w:pos="14287" w:leader="none"/>
      </w:tabs>
    </w:pPr>
  </w:style>
  <w:style w:type="paragraph" w:styleId="731">
    <w:name w:val="Caption"/>
    <w:basedOn w:val="748"/>
    <w:next w:val="748"/>
    <w:uiPriority w:val="35"/>
    <w:semiHidden/>
    <w:unhideWhenUsed/>
    <w:qFormat/>
    <w:pPr>
      <w:spacing w:line="276" w:lineRule="auto"/>
    </w:pPr>
    <w:rPr>
      <w:b/>
      <w:bCs/>
      <w:color w:val="4f81bd" w:themeColor="accent1"/>
      <w:sz w:val="18"/>
      <w:szCs w:val="18"/>
    </w:rPr>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Hyperlink"/>
    <w:uiPriority w:val="99"/>
    <w:unhideWhenUsed/>
    <w:rPr>
      <w:color w:val="0000ff" w:themeColor="hyperlink"/>
      <w:u w:val="single"/>
    </w:rPr>
  </w:style>
  <w:style w:type="paragraph" w:styleId="734">
    <w:name w:val="footnote text"/>
    <w:basedOn w:val="748"/>
    <w:link w:val="764"/>
    <w:uiPriority w:val="99"/>
    <w:semiHidden/>
    <w:unhideWhenUsed/>
    <w:pPr>
      <w:spacing w:after="40" w:line="240" w:lineRule="auto"/>
    </w:pPr>
    <w:rPr>
      <w:sz w:val="18"/>
    </w:rPr>
  </w:style>
  <w:style w:type="character" w:styleId="735">
    <w:name w:val="footnote reference"/>
    <w:uiPriority w:val="99"/>
    <w:unhideWhenUsed/>
    <w:rPr>
      <w:vertAlign w:val="superscript"/>
    </w:rPr>
  </w:style>
  <w:style w:type="paragraph" w:styleId="736">
    <w:name w:val="endnote text"/>
    <w:basedOn w:val="748"/>
    <w:link w:val="758"/>
    <w:uiPriority w:val="99"/>
    <w:semiHidden/>
    <w:unhideWhenUsed/>
    <w:pPr>
      <w:spacing w:after="0" w:line="240" w:lineRule="auto"/>
    </w:pPr>
    <w:rPr>
      <w:sz w:val="20"/>
    </w:rPr>
  </w:style>
  <w:style w:type="character" w:styleId="737">
    <w:name w:val="endnote reference"/>
    <w:uiPriority w:val="99"/>
    <w:semiHidden/>
    <w:unhideWhenUsed/>
    <w:rPr>
      <w:vertAlign w:val="superscript"/>
    </w:rPr>
  </w:style>
  <w:style w:type="paragraph" w:styleId="738">
    <w:name w:val="toc 1"/>
    <w:basedOn w:val="748"/>
    <w:next w:val="748"/>
    <w:uiPriority w:val="39"/>
    <w:unhideWhenUsed/>
    <w:pPr>
      <w:ind w:left="0" w:right="0" w:firstLine="0"/>
      <w:spacing w:after="57"/>
    </w:pPr>
  </w:style>
  <w:style w:type="paragraph" w:styleId="739">
    <w:name w:val="toc 2"/>
    <w:basedOn w:val="748"/>
    <w:next w:val="748"/>
    <w:uiPriority w:val="39"/>
    <w:unhideWhenUsed/>
    <w:pPr>
      <w:ind w:left="283" w:right="0" w:firstLine="0"/>
      <w:spacing w:after="57"/>
    </w:pPr>
  </w:style>
  <w:style w:type="paragraph" w:styleId="740">
    <w:name w:val="toc 3"/>
    <w:basedOn w:val="748"/>
    <w:next w:val="748"/>
    <w:uiPriority w:val="39"/>
    <w:unhideWhenUsed/>
    <w:pPr>
      <w:ind w:left="567" w:right="0" w:firstLine="0"/>
      <w:spacing w:after="57"/>
    </w:pPr>
  </w:style>
  <w:style w:type="paragraph" w:styleId="741">
    <w:name w:val="toc 4"/>
    <w:basedOn w:val="748"/>
    <w:next w:val="748"/>
    <w:uiPriority w:val="39"/>
    <w:unhideWhenUsed/>
    <w:pPr>
      <w:ind w:left="850" w:right="0" w:firstLine="0"/>
      <w:spacing w:after="57"/>
    </w:pPr>
  </w:style>
  <w:style w:type="paragraph" w:styleId="742">
    <w:name w:val="toc 5"/>
    <w:basedOn w:val="748"/>
    <w:next w:val="748"/>
    <w:uiPriority w:val="39"/>
    <w:unhideWhenUsed/>
    <w:pPr>
      <w:ind w:left="1134" w:right="0" w:firstLine="0"/>
      <w:spacing w:after="57"/>
    </w:pPr>
  </w:style>
  <w:style w:type="paragraph" w:styleId="743">
    <w:name w:val="toc 6"/>
    <w:basedOn w:val="748"/>
    <w:next w:val="748"/>
    <w:uiPriority w:val="39"/>
    <w:unhideWhenUsed/>
    <w:pPr>
      <w:ind w:left="1417" w:right="0" w:firstLine="0"/>
      <w:spacing w:after="57"/>
    </w:pPr>
  </w:style>
  <w:style w:type="paragraph" w:styleId="744">
    <w:name w:val="toc 7"/>
    <w:basedOn w:val="748"/>
    <w:next w:val="748"/>
    <w:uiPriority w:val="39"/>
    <w:unhideWhenUsed/>
    <w:pPr>
      <w:ind w:left="1701" w:right="0" w:firstLine="0"/>
      <w:spacing w:after="57"/>
    </w:pPr>
  </w:style>
  <w:style w:type="paragraph" w:styleId="745">
    <w:name w:val="toc 8"/>
    <w:basedOn w:val="748"/>
    <w:next w:val="748"/>
    <w:uiPriority w:val="39"/>
    <w:unhideWhenUsed/>
    <w:pPr>
      <w:ind w:left="1984" w:right="0" w:firstLine="0"/>
      <w:spacing w:after="57"/>
    </w:pPr>
  </w:style>
  <w:style w:type="paragraph" w:styleId="746">
    <w:name w:val="toc 9"/>
    <w:basedOn w:val="748"/>
    <w:next w:val="748"/>
    <w:uiPriority w:val="39"/>
    <w:unhideWhenUsed/>
    <w:pPr>
      <w:ind w:left="2268" w:right="0" w:firstLine="0"/>
      <w:spacing w:after="57"/>
    </w:pPr>
  </w:style>
  <w:style w:type="paragraph" w:styleId="747">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rFonts w:ascii="Times New Roman" w:hAnsi="Times New Roman" w:eastAsia="宋体" w:cs="Times New Roman"/>
      <w:sz w:val="21"/>
      <w:szCs w:val="22"/>
      <w:lang w:eastAsia="zh-CN"/>
    </w:rPr>
  </w:style>
  <w:style w:type="character" w:styleId="749">
    <w:name w:val="默认段落字体"/>
    <w:next w:val="749"/>
    <w:link w:val="748"/>
    <w:uiPriority w:val="1"/>
    <w:unhideWhenUsed/>
    <w:qFormat/>
  </w:style>
  <w:style w:type="table" w:styleId="750">
    <w:name w:val="普通表格"/>
    <w:next w:val="750"/>
    <w:link w:val="748"/>
    <w:uiPriority w:val="99"/>
    <w:unhideWhenUsed/>
    <w:qFormat/>
    <w:tblPr/>
  </w:style>
  <w:style w:type="paragraph" w:styleId="751">
    <w:name w:val="目录 7"/>
    <w:basedOn w:val="748"/>
    <w:next w:val="748"/>
    <w:link w:val="748"/>
    <w:uiPriority w:val="39"/>
    <w:unhideWhenUsed/>
    <w:qFormat/>
    <w:pPr>
      <w:ind w:left="1701" w:right="0" w:firstLine="0"/>
      <w:spacing w:after="57"/>
    </w:pPr>
  </w:style>
  <w:style w:type="paragraph" w:styleId="752">
    <w:name w:val="批注文字"/>
    <w:basedOn w:val="748"/>
    <w:next w:val="752"/>
    <w:link w:val="748"/>
    <w:uiPriority w:val="99"/>
    <w:unhideWhenUsed/>
    <w:qFormat/>
    <w:pPr>
      <w:jc w:val="left"/>
    </w:pPr>
  </w:style>
  <w:style w:type="paragraph" w:styleId="753">
    <w:name w:val="索引 4"/>
    <w:basedOn w:val="748"/>
    <w:next w:val="748"/>
    <w:link w:val="748"/>
    <w:qFormat/>
    <w:pPr>
      <w:ind w:left="600"/>
      <w:spacing w:line="360" w:lineRule="auto"/>
    </w:pPr>
    <w:rPr>
      <w:rFonts w:ascii="Century" w:hAnsi="Century" w:cs="Century"/>
      <w:sz w:val="24"/>
    </w:rPr>
  </w:style>
  <w:style w:type="paragraph" w:styleId="754">
    <w:name w:val="目录 5"/>
    <w:basedOn w:val="748"/>
    <w:next w:val="748"/>
    <w:link w:val="748"/>
    <w:uiPriority w:val="39"/>
    <w:unhideWhenUsed/>
    <w:qFormat/>
    <w:pPr>
      <w:ind w:left="1134" w:right="0" w:firstLine="0"/>
      <w:spacing w:after="57"/>
    </w:pPr>
  </w:style>
  <w:style w:type="paragraph" w:styleId="755">
    <w:name w:val="目录 3"/>
    <w:basedOn w:val="748"/>
    <w:next w:val="748"/>
    <w:link w:val="748"/>
    <w:uiPriority w:val="39"/>
    <w:unhideWhenUsed/>
    <w:qFormat/>
    <w:pPr>
      <w:ind w:left="567" w:right="0" w:firstLine="0"/>
      <w:spacing w:after="57"/>
    </w:pPr>
  </w:style>
  <w:style w:type="paragraph" w:styleId="756">
    <w:name w:val="目录 8"/>
    <w:basedOn w:val="748"/>
    <w:next w:val="748"/>
    <w:link w:val="748"/>
    <w:uiPriority w:val="39"/>
    <w:unhideWhenUsed/>
    <w:qFormat/>
    <w:pPr>
      <w:ind w:left="1984" w:right="0" w:firstLine="0"/>
      <w:spacing w:after="57"/>
    </w:pPr>
  </w:style>
  <w:style w:type="paragraph" w:styleId="757">
    <w:name w:val="尾注文本"/>
    <w:basedOn w:val="748"/>
    <w:next w:val="757"/>
    <w:link w:val="758"/>
    <w:uiPriority w:val="99"/>
    <w:unhideWhenUsed/>
    <w:qFormat/>
    <w:pPr>
      <w:spacing w:after="0" w:line="240" w:lineRule="auto"/>
    </w:pPr>
    <w:rPr>
      <w:sz w:val="20"/>
    </w:rPr>
  </w:style>
  <w:style w:type="character" w:styleId="758">
    <w:name w:val="Endnote Text Char"/>
    <w:next w:val="758"/>
    <w:link w:val="757"/>
    <w:uiPriority w:val="99"/>
    <w:qFormat/>
    <w:rPr>
      <w:sz w:val="20"/>
    </w:rPr>
  </w:style>
  <w:style w:type="paragraph" w:styleId="759">
    <w:name w:val="目录 1"/>
    <w:basedOn w:val="748"/>
    <w:next w:val="748"/>
    <w:link w:val="748"/>
    <w:uiPriority w:val="39"/>
    <w:unhideWhenUsed/>
    <w:qFormat/>
    <w:pPr>
      <w:ind w:left="0" w:right="0" w:firstLine="0"/>
      <w:spacing w:after="57"/>
    </w:pPr>
  </w:style>
  <w:style w:type="paragraph" w:styleId="760">
    <w:name w:val="目录 4"/>
    <w:basedOn w:val="748"/>
    <w:next w:val="748"/>
    <w:link w:val="748"/>
    <w:uiPriority w:val="39"/>
    <w:unhideWhenUsed/>
    <w:qFormat/>
    <w:pPr>
      <w:ind w:left="850" w:right="0" w:firstLine="0"/>
      <w:spacing w:after="57"/>
    </w:pPr>
  </w:style>
  <w:style w:type="paragraph" w:styleId="761">
    <w:name w:val="副标题"/>
    <w:basedOn w:val="748"/>
    <w:next w:val="748"/>
    <w:link w:val="762"/>
    <w:uiPriority w:val="11"/>
    <w:qFormat/>
    <w:pPr>
      <w:spacing w:before="200" w:after="200"/>
    </w:pPr>
    <w:rPr>
      <w:sz w:val="24"/>
      <w:szCs w:val="24"/>
    </w:rPr>
  </w:style>
  <w:style w:type="character" w:styleId="762">
    <w:name w:val="Subtitle Char Char"/>
    <w:next w:val="762"/>
    <w:link w:val="761"/>
    <w:uiPriority w:val="11"/>
    <w:qFormat/>
    <w:rPr>
      <w:sz w:val="24"/>
      <w:szCs w:val="24"/>
    </w:rPr>
  </w:style>
  <w:style w:type="paragraph" w:styleId="763">
    <w:name w:val="脚注文本"/>
    <w:basedOn w:val="748"/>
    <w:next w:val="763"/>
    <w:link w:val="764"/>
    <w:uiPriority w:val="99"/>
    <w:unhideWhenUsed/>
    <w:qFormat/>
    <w:pPr>
      <w:spacing w:after="40" w:line="240" w:lineRule="auto"/>
    </w:pPr>
    <w:rPr>
      <w:sz w:val="18"/>
    </w:rPr>
  </w:style>
  <w:style w:type="character" w:styleId="764">
    <w:name w:val="Footnote Text Char"/>
    <w:next w:val="764"/>
    <w:link w:val="763"/>
    <w:uiPriority w:val="99"/>
    <w:qFormat/>
    <w:rPr>
      <w:sz w:val="18"/>
    </w:rPr>
  </w:style>
  <w:style w:type="paragraph" w:styleId="765">
    <w:name w:val="目录 6"/>
    <w:basedOn w:val="748"/>
    <w:next w:val="748"/>
    <w:link w:val="748"/>
    <w:uiPriority w:val="39"/>
    <w:unhideWhenUsed/>
    <w:qFormat/>
    <w:pPr>
      <w:ind w:left="1417" w:right="0" w:firstLine="0"/>
      <w:spacing w:after="57"/>
    </w:pPr>
  </w:style>
  <w:style w:type="paragraph" w:styleId="766">
    <w:name w:val="图表目录"/>
    <w:basedOn w:val="748"/>
    <w:next w:val="748"/>
    <w:link w:val="748"/>
    <w:uiPriority w:val="99"/>
    <w:unhideWhenUsed/>
    <w:qFormat/>
    <w:pPr>
      <w:spacing w:after="0" w:afterAutospacing="0"/>
    </w:pPr>
  </w:style>
  <w:style w:type="paragraph" w:styleId="767">
    <w:name w:val="目录 2"/>
    <w:basedOn w:val="748"/>
    <w:next w:val="748"/>
    <w:link w:val="748"/>
    <w:uiPriority w:val="39"/>
    <w:unhideWhenUsed/>
    <w:qFormat/>
    <w:pPr>
      <w:ind w:left="283" w:right="0" w:firstLine="0"/>
      <w:spacing w:after="57"/>
    </w:pPr>
  </w:style>
  <w:style w:type="paragraph" w:styleId="768">
    <w:name w:val="目录 9"/>
    <w:basedOn w:val="748"/>
    <w:next w:val="748"/>
    <w:link w:val="748"/>
    <w:uiPriority w:val="39"/>
    <w:unhideWhenUsed/>
    <w:qFormat/>
    <w:pPr>
      <w:ind w:left="2268" w:right="0" w:firstLine="0"/>
      <w:spacing w:after="57"/>
    </w:pPr>
  </w:style>
  <w:style w:type="paragraph" w:styleId="769">
    <w:name w:val="普通(网站)"/>
    <w:basedOn w:val="748"/>
    <w:next w:val="769"/>
    <w:link w:val="748"/>
    <w:uiPriority w:val="99"/>
    <w:qFormat/>
    <w:pPr>
      <w:jc w:val="left"/>
      <w:spacing w:before="100" w:beforeAutospacing="1" w:after="100" w:afterAutospacing="1"/>
      <w:widowControl/>
    </w:pPr>
    <w:rPr>
      <w:rFonts w:ascii="宋体" w:hAnsi="宋体" w:eastAsia="宋体" w:cs="宋体"/>
      <w:sz w:val="24"/>
      <w:szCs w:val="24"/>
    </w:rPr>
  </w:style>
  <w:style w:type="paragraph" w:styleId="770">
    <w:name w:val="标题"/>
    <w:basedOn w:val="748"/>
    <w:next w:val="748"/>
    <w:link w:val="771"/>
    <w:uiPriority w:val="10"/>
    <w:qFormat/>
    <w:pPr>
      <w:contextualSpacing/>
      <w:spacing w:before="300" w:after="200"/>
    </w:pPr>
    <w:rPr>
      <w:sz w:val="48"/>
      <w:szCs w:val="48"/>
    </w:rPr>
  </w:style>
  <w:style w:type="character" w:styleId="771">
    <w:name w:val="Title Char Char"/>
    <w:next w:val="771"/>
    <w:link w:val="770"/>
    <w:uiPriority w:val="10"/>
    <w:qFormat/>
    <w:rPr>
      <w:sz w:val="48"/>
      <w:szCs w:val="48"/>
    </w:rPr>
  </w:style>
  <w:style w:type="table" w:styleId="772">
    <w:name w:val="网格型"/>
    <w:basedOn w:val="750"/>
    <w:next w:val="772"/>
    <w:link w:val="748"/>
    <w:uiPriority w:val="59"/>
    <w:qFormat/>
    <w:pPr>
      <w:spacing w:after="0" w:line="240" w:lineRule="auto"/>
    </w:pPr>
    <w:tblPr/>
  </w:style>
  <w:style w:type="character" w:styleId="773">
    <w:name w:val="尾注引用"/>
    <w:next w:val="773"/>
    <w:link w:val="748"/>
    <w:uiPriority w:val="99"/>
    <w:unhideWhenUsed/>
    <w:qFormat/>
    <w:rPr>
      <w:vertAlign w:val="superscript"/>
    </w:rPr>
  </w:style>
  <w:style w:type="character" w:styleId="774">
    <w:name w:val="页码"/>
    <w:next w:val="774"/>
    <w:link w:val="748"/>
    <w:qFormat/>
  </w:style>
  <w:style w:type="character" w:styleId="775">
    <w:name w:val="强调"/>
    <w:basedOn w:val="749"/>
    <w:next w:val="775"/>
    <w:link w:val="748"/>
    <w:qFormat/>
    <w:rPr>
      <w:i/>
    </w:rPr>
  </w:style>
  <w:style w:type="character" w:styleId="776">
    <w:name w:val="超链接"/>
    <w:next w:val="776"/>
    <w:link w:val="748"/>
    <w:uiPriority w:val="99"/>
    <w:unhideWhenUsed/>
    <w:qFormat/>
    <w:rPr>
      <w:color w:val="0000ff"/>
      <w:u w:val="single"/>
    </w:rPr>
  </w:style>
  <w:style w:type="character" w:styleId="777">
    <w:name w:val="脚注引用"/>
    <w:next w:val="777"/>
    <w:link w:val="748"/>
    <w:uiPriority w:val="99"/>
    <w:unhideWhenUsed/>
    <w:qFormat/>
    <w:rPr>
      <w:vertAlign w:val="superscript"/>
    </w:rPr>
  </w:style>
  <w:style w:type="paragraph" w:styleId="778">
    <w:name w:val="Heading 1"/>
    <w:basedOn w:val="748"/>
    <w:next w:val="748"/>
    <w:link w:val="779"/>
    <w:uiPriority w:val="9"/>
    <w:qFormat/>
    <w:pPr>
      <w:keepLines/>
      <w:keepNext/>
      <w:spacing w:before="480" w:after="200"/>
      <w:outlineLvl w:val="0"/>
    </w:pPr>
    <w:rPr>
      <w:rFonts w:ascii="楷体_GB2312" w:hAnsi="Times New Roman" w:eastAsia="楷体_GB2312" w:cs="Times New Roman"/>
      <w:sz w:val="28"/>
      <w:szCs w:val="28"/>
    </w:rPr>
  </w:style>
  <w:style w:type="character" w:styleId="779">
    <w:name w:val="Heading 1 Char"/>
    <w:next w:val="779"/>
    <w:link w:val="778"/>
    <w:uiPriority w:val="9"/>
    <w:qFormat/>
    <w:rPr>
      <w:rFonts w:ascii="Arial" w:hAnsi="Arial" w:eastAsia="Arial" w:cs="Arial"/>
      <w:sz w:val="40"/>
      <w:szCs w:val="40"/>
    </w:rPr>
  </w:style>
  <w:style w:type="paragraph" w:styleId="780">
    <w:name w:val="Heading 2"/>
    <w:basedOn w:val="748"/>
    <w:next w:val="748"/>
    <w:link w:val="781"/>
    <w:uiPriority w:val="9"/>
    <w:unhideWhenUsed/>
    <w:qFormat/>
    <w:pPr>
      <w:keepLines/>
      <w:keepNext/>
      <w:spacing w:before="360" w:after="200"/>
      <w:outlineLvl w:val="1"/>
    </w:pPr>
    <w:rPr>
      <w:rFonts w:ascii="Arial" w:hAnsi="Arial" w:eastAsia="幼圆" w:cs="Arial"/>
      <w:b/>
      <w:bCs/>
      <w:sz w:val="44"/>
      <w:szCs w:val="44"/>
    </w:rPr>
  </w:style>
  <w:style w:type="character" w:styleId="781">
    <w:name w:val="Heading 2 Char"/>
    <w:next w:val="781"/>
    <w:link w:val="780"/>
    <w:uiPriority w:val="9"/>
    <w:qFormat/>
    <w:rPr>
      <w:rFonts w:ascii="Arial" w:hAnsi="Arial" w:eastAsia="Arial" w:cs="Arial"/>
      <w:sz w:val="34"/>
    </w:rPr>
  </w:style>
  <w:style w:type="paragraph" w:styleId="782">
    <w:name w:val="Heading 3"/>
    <w:basedOn w:val="748"/>
    <w:next w:val="748"/>
    <w:link w:val="783"/>
    <w:uiPriority w:val="9"/>
    <w:unhideWhenUsed/>
    <w:qFormat/>
    <w:pPr>
      <w:keepLines/>
      <w:keepNext/>
      <w:spacing w:before="320" w:after="200"/>
      <w:outlineLvl w:val="2"/>
    </w:pPr>
    <w:rPr>
      <w:rFonts w:ascii="Times New Roman" w:hAnsi="Times New Roman" w:eastAsia="宋体" w:cs="Times New Roman"/>
      <w:b/>
      <w:bCs/>
      <w:sz w:val="32"/>
      <w:szCs w:val="32"/>
    </w:rPr>
  </w:style>
  <w:style w:type="character" w:styleId="783">
    <w:name w:val="Heading 3 Char"/>
    <w:next w:val="783"/>
    <w:link w:val="782"/>
    <w:uiPriority w:val="9"/>
    <w:qFormat/>
    <w:rPr>
      <w:rFonts w:ascii="Arial" w:hAnsi="Arial" w:eastAsia="Arial" w:cs="Arial"/>
      <w:sz w:val="30"/>
      <w:szCs w:val="30"/>
    </w:rPr>
  </w:style>
  <w:style w:type="paragraph" w:styleId="784">
    <w:name w:val="Heading 4"/>
    <w:basedOn w:val="748"/>
    <w:next w:val="748"/>
    <w:link w:val="785"/>
    <w:uiPriority w:val="9"/>
    <w:unhideWhenUsed/>
    <w:qFormat/>
    <w:pPr>
      <w:keepLines/>
      <w:keepNext/>
      <w:spacing w:before="320" w:after="200"/>
      <w:outlineLvl w:val="3"/>
    </w:pPr>
    <w:rPr>
      <w:rFonts w:ascii="Arial" w:hAnsi="Arial" w:eastAsia="黑体" w:cs="Arial"/>
      <w:b/>
      <w:bCs/>
      <w:sz w:val="28"/>
      <w:szCs w:val="28"/>
    </w:rPr>
  </w:style>
  <w:style w:type="character" w:styleId="785">
    <w:name w:val="Heading 4 Char"/>
    <w:next w:val="785"/>
    <w:link w:val="784"/>
    <w:uiPriority w:val="9"/>
    <w:qFormat/>
    <w:rPr>
      <w:rFonts w:ascii="Arial" w:hAnsi="Arial" w:eastAsia="Arial" w:cs="Arial"/>
      <w:b/>
      <w:bCs/>
      <w:sz w:val="26"/>
      <w:szCs w:val="26"/>
    </w:rPr>
  </w:style>
  <w:style w:type="paragraph" w:styleId="786">
    <w:name w:val="Heading 5"/>
    <w:basedOn w:val="748"/>
    <w:next w:val="748"/>
    <w:link w:val="787"/>
    <w:uiPriority w:val="9"/>
    <w:unhideWhenUsed/>
    <w:qFormat/>
    <w:pPr>
      <w:keepLines/>
      <w:keepNext/>
      <w:spacing w:before="320" w:after="200"/>
      <w:outlineLvl w:val="4"/>
    </w:pPr>
    <w:rPr>
      <w:rFonts w:ascii="宋体" w:hAnsi="Times New Roman" w:eastAsia="宋体" w:cs="Times New Roman"/>
      <w:color w:val="000000"/>
      <w:sz w:val="28"/>
      <w:szCs w:val="28"/>
    </w:rPr>
  </w:style>
  <w:style w:type="character" w:styleId="787">
    <w:name w:val="Heading 5 Char"/>
    <w:next w:val="787"/>
    <w:link w:val="786"/>
    <w:uiPriority w:val="9"/>
    <w:qFormat/>
    <w:rPr>
      <w:rFonts w:ascii="Arial" w:hAnsi="Arial" w:eastAsia="Arial" w:cs="Arial"/>
      <w:b/>
      <w:bCs/>
      <w:sz w:val="24"/>
      <w:szCs w:val="24"/>
    </w:rPr>
  </w:style>
  <w:style w:type="paragraph" w:styleId="788">
    <w:name w:val="Heading 6"/>
    <w:basedOn w:val="748"/>
    <w:next w:val="748"/>
    <w:link w:val="789"/>
    <w:uiPriority w:val="9"/>
    <w:unhideWhenUsed/>
    <w:qFormat/>
    <w:pPr>
      <w:keepLines/>
      <w:keepNext/>
      <w:spacing w:before="320" w:after="200"/>
      <w:outlineLvl w:val="5"/>
    </w:pPr>
    <w:rPr>
      <w:rFonts w:ascii="Arial" w:hAnsi="Arial" w:eastAsia="黑体" w:cs="Times New Roman"/>
      <w:b/>
      <w:bCs/>
      <w:sz w:val="24"/>
      <w:szCs w:val="24"/>
    </w:rPr>
  </w:style>
  <w:style w:type="character" w:styleId="789">
    <w:name w:val="Heading 6 Char"/>
    <w:next w:val="789"/>
    <w:link w:val="788"/>
    <w:uiPriority w:val="9"/>
    <w:qFormat/>
    <w:rPr>
      <w:rFonts w:ascii="Arial" w:hAnsi="Arial" w:eastAsia="Arial" w:cs="Arial"/>
      <w:b/>
      <w:bCs/>
      <w:sz w:val="22"/>
      <w:szCs w:val="22"/>
    </w:rPr>
  </w:style>
  <w:style w:type="paragraph" w:styleId="790">
    <w:name w:val="Heading 7"/>
    <w:basedOn w:val="748"/>
    <w:next w:val="748"/>
    <w:link w:val="791"/>
    <w:uiPriority w:val="9"/>
    <w:unhideWhenUsed/>
    <w:qFormat/>
    <w:pPr>
      <w:keepLines/>
      <w:keepNext/>
      <w:spacing w:before="320" w:after="200"/>
      <w:outlineLvl w:val="6"/>
    </w:pPr>
    <w:rPr>
      <w:rFonts w:ascii="Times New Roman" w:hAnsi="Times New Roman" w:eastAsia="宋体" w:cs="Times New Roman"/>
      <w:b/>
      <w:bCs/>
      <w:sz w:val="24"/>
      <w:szCs w:val="24"/>
    </w:rPr>
  </w:style>
  <w:style w:type="character" w:styleId="791">
    <w:name w:val="Heading 7 Char"/>
    <w:next w:val="791"/>
    <w:link w:val="790"/>
    <w:uiPriority w:val="9"/>
    <w:qFormat/>
    <w:rPr>
      <w:rFonts w:ascii="Arial" w:hAnsi="Arial" w:eastAsia="Arial" w:cs="Arial"/>
      <w:b/>
      <w:bCs/>
      <w:i/>
      <w:iCs/>
      <w:sz w:val="22"/>
      <w:szCs w:val="22"/>
    </w:rPr>
  </w:style>
  <w:style w:type="paragraph" w:styleId="792">
    <w:name w:val="Heading 8"/>
    <w:basedOn w:val="748"/>
    <w:next w:val="748"/>
    <w:link w:val="793"/>
    <w:uiPriority w:val="9"/>
    <w:unhideWhenUsed/>
    <w:qFormat/>
    <w:pPr>
      <w:keepLines/>
      <w:keepNext/>
      <w:spacing w:before="320" w:after="200"/>
      <w:outlineLvl w:val="7"/>
    </w:pPr>
    <w:rPr>
      <w:rFonts w:ascii="Arial" w:hAnsi="Arial" w:eastAsia="黑体" w:cs="Times New Roman"/>
      <w:sz w:val="24"/>
      <w:szCs w:val="24"/>
    </w:rPr>
  </w:style>
  <w:style w:type="character" w:styleId="793">
    <w:name w:val="Heading 8 Char"/>
    <w:next w:val="793"/>
    <w:link w:val="792"/>
    <w:uiPriority w:val="9"/>
    <w:qFormat/>
    <w:rPr>
      <w:rFonts w:ascii="Arial" w:hAnsi="Arial" w:eastAsia="Arial" w:cs="Arial"/>
      <w:i/>
      <w:iCs/>
      <w:sz w:val="22"/>
      <w:szCs w:val="22"/>
    </w:rPr>
  </w:style>
  <w:style w:type="paragraph" w:styleId="794">
    <w:name w:val="Heading 9"/>
    <w:basedOn w:val="748"/>
    <w:next w:val="748"/>
    <w:link w:val="795"/>
    <w:uiPriority w:val="9"/>
    <w:unhideWhenUsed/>
    <w:qFormat/>
    <w:pPr>
      <w:keepLines/>
      <w:keepNext/>
      <w:spacing w:before="320" w:after="200"/>
      <w:outlineLvl w:val="8"/>
    </w:pPr>
    <w:rPr>
      <w:rFonts w:ascii="Arial" w:hAnsi="Arial" w:eastAsia="黑体" w:cs="Times New Roman"/>
      <w:szCs w:val="21"/>
    </w:rPr>
  </w:style>
  <w:style w:type="character" w:styleId="795">
    <w:name w:val="Heading 9 Char"/>
    <w:next w:val="795"/>
    <w:link w:val="794"/>
    <w:uiPriority w:val="9"/>
    <w:qFormat/>
    <w:rPr>
      <w:rFonts w:ascii="Arial" w:hAnsi="Arial" w:eastAsia="Arial" w:cs="Arial"/>
      <w:i/>
      <w:iCs/>
      <w:sz w:val="21"/>
      <w:szCs w:val="21"/>
    </w:rPr>
  </w:style>
  <w:style w:type="paragraph" w:styleId="796">
    <w:name w:val="Caption1"/>
    <w:basedOn w:val="748"/>
    <w:next w:val="748"/>
    <w:link w:val="748"/>
    <w:uiPriority w:val="35"/>
    <w:unhideWhenUsed/>
    <w:qFormat/>
    <w:pPr>
      <w:spacing w:line="276" w:lineRule="auto"/>
    </w:pPr>
    <w:rPr>
      <w:b/>
      <w:bCs/>
      <w:color w:val="4f81bd"/>
      <w:sz w:val="18"/>
      <w:szCs w:val="18"/>
    </w:rPr>
  </w:style>
  <w:style w:type="paragraph" w:styleId="797">
    <w:name w:val="Footer1"/>
    <w:basedOn w:val="748"/>
    <w:next w:val="797"/>
    <w:link w:val="798"/>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18"/>
      <w:szCs w:val="18"/>
    </w:rPr>
  </w:style>
  <w:style w:type="character" w:styleId="798">
    <w:name w:val="Footer Char"/>
    <w:next w:val="798"/>
    <w:link w:val="797"/>
    <w:uiPriority w:val="99"/>
    <w:qFormat/>
  </w:style>
  <w:style w:type="character" w:styleId="799">
    <w:name w:val="Caption Char"/>
    <w:next w:val="799"/>
    <w:link w:val="797"/>
    <w:uiPriority w:val="99"/>
    <w:qFormat/>
  </w:style>
  <w:style w:type="paragraph" w:styleId="800">
    <w:name w:val="Header1"/>
    <w:basedOn w:val="748"/>
    <w:next w:val="800"/>
    <w:link w:val="801"/>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18"/>
      <w:szCs w:val="18"/>
    </w:rPr>
  </w:style>
  <w:style w:type="character" w:styleId="801">
    <w:name w:val="Header Char"/>
    <w:next w:val="801"/>
    <w:link w:val="800"/>
    <w:uiPriority w:val="99"/>
    <w:qFormat/>
  </w:style>
  <w:style w:type="character" w:styleId="802">
    <w:name w:val="Title Char"/>
    <w:basedOn w:val="749"/>
    <w:next w:val="802"/>
    <w:link w:val="748"/>
    <w:uiPriority w:val="10"/>
    <w:qFormat/>
    <w:rPr>
      <w:sz w:val="48"/>
      <w:szCs w:val="48"/>
    </w:rPr>
  </w:style>
  <w:style w:type="character" w:styleId="803">
    <w:name w:val="Subtitle Char"/>
    <w:basedOn w:val="749"/>
    <w:next w:val="803"/>
    <w:link w:val="748"/>
    <w:uiPriority w:val="11"/>
    <w:qFormat/>
    <w:rPr>
      <w:sz w:val="24"/>
      <w:szCs w:val="24"/>
    </w:rPr>
  </w:style>
  <w:style w:type="character" w:styleId="804">
    <w:name w:val="Quote Char"/>
    <w:next w:val="804"/>
    <w:link w:val="748"/>
    <w:uiPriority w:val="29"/>
    <w:qFormat/>
    <w:rPr>
      <w:i/>
    </w:rPr>
  </w:style>
  <w:style w:type="character" w:styleId="805">
    <w:name w:val="Intense Quote Char"/>
    <w:next w:val="805"/>
    <w:link w:val="748"/>
    <w:uiPriority w:val="30"/>
    <w:qFormat/>
    <w:rPr>
      <w:i/>
    </w:rPr>
  </w:style>
  <w:style w:type="table" w:styleId="806">
    <w:name w:val="Table Grid Light"/>
    <w:basedOn w:val="750"/>
    <w:next w:val="806"/>
    <w:link w:val="748"/>
    <w:uiPriority w:val="59"/>
    <w:qFormat/>
    <w:pPr>
      <w:spacing w:after="0" w:line="240" w:lineRule="auto"/>
    </w:pPr>
    <w:tblPr/>
  </w:style>
  <w:style w:type="table" w:styleId="807">
    <w:name w:val="Plain Table 1"/>
    <w:basedOn w:val="750"/>
    <w:next w:val="807"/>
    <w:link w:val="748"/>
    <w:uiPriority w:val="59"/>
    <w:qFormat/>
    <w:pPr>
      <w:spacing w:after="0" w:line="240" w:lineRule="auto"/>
    </w:pPr>
    <w:tblPr/>
  </w:style>
  <w:style w:type="table" w:styleId="808">
    <w:name w:val="Plain Table 2"/>
    <w:basedOn w:val="750"/>
    <w:next w:val="808"/>
    <w:link w:val="748"/>
    <w:uiPriority w:val="59"/>
    <w:qFormat/>
    <w:pPr>
      <w:spacing w:after="0" w:line="240" w:lineRule="auto"/>
    </w:pPr>
    <w:tblPr/>
  </w:style>
  <w:style w:type="table" w:styleId="809">
    <w:name w:val="Plain Table 3"/>
    <w:basedOn w:val="750"/>
    <w:next w:val="809"/>
    <w:link w:val="748"/>
    <w:uiPriority w:val="99"/>
    <w:qFormat/>
    <w:pPr>
      <w:spacing w:after="0" w:line="240" w:lineRule="auto"/>
    </w:pPr>
    <w:tblPr/>
  </w:style>
  <w:style w:type="table" w:styleId="810">
    <w:name w:val="Plain Table 4"/>
    <w:basedOn w:val="750"/>
    <w:next w:val="810"/>
    <w:link w:val="748"/>
    <w:uiPriority w:val="99"/>
    <w:qFormat/>
    <w:pPr>
      <w:spacing w:after="0" w:line="240" w:lineRule="auto"/>
    </w:pPr>
    <w:tblPr/>
  </w:style>
  <w:style w:type="table" w:styleId="811">
    <w:name w:val="Plain Table 5"/>
    <w:basedOn w:val="750"/>
    <w:next w:val="811"/>
    <w:link w:val="748"/>
    <w:uiPriority w:val="99"/>
    <w:qFormat/>
    <w:pPr>
      <w:spacing w:after="0" w:line="240" w:lineRule="auto"/>
    </w:pPr>
    <w:tblPr/>
  </w:style>
  <w:style w:type="table" w:styleId="812">
    <w:name w:val="Grid Table 1 Light"/>
    <w:basedOn w:val="750"/>
    <w:next w:val="812"/>
    <w:link w:val="748"/>
    <w:uiPriority w:val="99"/>
    <w:qFormat/>
    <w:pPr>
      <w:spacing w:after="0" w:line="240" w:lineRule="auto"/>
    </w:pPr>
    <w:tblPr/>
  </w:style>
  <w:style w:type="table" w:styleId="813">
    <w:name w:val="Grid Table 1 Light - Accent 1"/>
    <w:basedOn w:val="750"/>
    <w:next w:val="813"/>
    <w:link w:val="748"/>
    <w:uiPriority w:val="99"/>
    <w:qFormat/>
    <w:pPr>
      <w:spacing w:after="0" w:line="240" w:lineRule="auto"/>
    </w:pPr>
    <w:tblPr/>
  </w:style>
  <w:style w:type="table" w:styleId="814">
    <w:name w:val="Grid Table 1 Light - Accent 2"/>
    <w:basedOn w:val="750"/>
    <w:next w:val="814"/>
    <w:link w:val="748"/>
    <w:uiPriority w:val="99"/>
    <w:qFormat/>
    <w:pPr>
      <w:spacing w:after="0" w:line="240" w:lineRule="auto"/>
    </w:pPr>
    <w:tblPr/>
  </w:style>
  <w:style w:type="table" w:styleId="815">
    <w:name w:val="Grid Table 1 Light - Accent 3"/>
    <w:basedOn w:val="750"/>
    <w:next w:val="815"/>
    <w:link w:val="748"/>
    <w:uiPriority w:val="99"/>
    <w:qFormat/>
    <w:pPr>
      <w:spacing w:after="0" w:line="240" w:lineRule="auto"/>
    </w:pPr>
    <w:tblPr/>
  </w:style>
  <w:style w:type="table" w:styleId="816">
    <w:name w:val="Grid Table 1 Light - Accent 4"/>
    <w:basedOn w:val="750"/>
    <w:next w:val="816"/>
    <w:link w:val="748"/>
    <w:uiPriority w:val="99"/>
    <w:qFormat/>
    <w:pPr>
      <w:spacing w:after="0" w:line="240" w:lineRule="auto"/>
    </w:pPr>
    <w:tblPr/>
  </w:style>
  <w:style w:type="table" w:styleId="817">
    <w:name w:val="Grid Table 1 Light - Accent 5"/>
    <w:basedOn w:val="750"/>
    <w:next w:val="817"/>
    <w:link w:val="748"/>
    <w:uiPriority w:val="99"/>
    <w:qFormat/>
    <w:pPr>
      <w:spacing w:after="0" w:line="240" w:lineRule="auto"/>
    </w:pPr>
    <w:tblPr/>
  </w:style>
  <w:style w:type="table" w:styleId="818">
    <w:name w:val="Grid Table 1 Light - Accent 6"/>
    <w:basedOn w:val="750"/>
    <w:next w:val="818"/>
    <w:link w:val="748"/>
    <w:uiPriority w:val="99"/>
    <w:qFormat/>
    <w:pPr>
      <w:spacing w:after="0" w:line="240" w:lineRule="auto"/>
    </w:pPr>
    <w:tblPr/>
  </w:style>
  <w:style w:type="table" w:styleId="819">
    <w:name w:val="Grid Table 2"/>
    <w:basedOn w:val="750"/>
    <w:next w:val="819"/>
    <w:link w:val="748"/>
    <w:uiPriority w:val="99"/>
    <w:qFormat/>
    <w:pPr>
      <w:spacing w:after="0" w:line="240" w:lineRule="auto"/>
    </w:pPr>
    <w:tblPr/>
  </w:style>
  <w:style w:type="table" w:styleId="820">
    <w:name w:val="Grid Table 2 - Accent 1"/>
    <w:basedOn w:val="750"/>
    <w:next w:val="820"/>
    <w:link w:val="748"/>
    <w:uiPriority w:val="99"/>
    <w:qFormat/>
    <w:pPr>
      <w:spacing w:after="0" w:line="240" w:lineRule="auto"/>
    </w:pPr>
    <w:tblPr/>
  </w:style>
  <w:style w:type="table" w:styleId="821">
    <w:name w:val="Grid Table 2 - Accent 2"/>
    <w:basedOn w:val="750"/>
    <w:next w:val="821"/>
    <w:link w:val="748"/>
    <w:uiPriority w:val="99"/>
    <w:qFormat/>
    <w:pPr>
      <w:spacing w:after="0" w:line="240" w:lineRule="auto"/>
    </w:pPr>
    <w:tblPr/>
  </w:style>
  <w:style w:type="table" w:styleId="822">
    <w:name w:val="Grid Table 2 - Accent 3"/>
    <w:basedOn w:val="750"/>
    <w:next w:val="822"/>
    <w:link w:val="748"/>
    <w:uiPriority w:val="99"/>
    <w:qFormat/>
    <w:pPr>
      <w:spacing w:after="0" w:line="240" w:lineRule="auto"/>
    </w:pPr>
    <w:tblPr/>
  </w:style>
  <w:style w:type="table" w:styleId="823">
    <w:name w:val="Grid Table 2 - Accent 4"/>
    <w:basedOn w:val="750"/>
    <w:next w:val="823"/>
    <w:link w:val="748"/>
    <w:uiPriority w:val="99"/>
    <w:qFormat/>
    <w:pPr>
      <w:spacing w:after="0" w:line="240" w:lineRule="auto"/>
    </w:pPr>
    <w:tblPr/>
  </w:style>
  <w:style w:type="table" w:styleId="824">
    <w:name w:val="Grid Table 2 - Accent 5"/>
    <w:basedOn w:val="750"/>
    <w:next w:val="824"/>
    <w:link w:val="748"/>
    <w:uiPriority w:val="99"/>
    <w:qFormat/>
    <w:pPr>
      <w:spacing w:after="0" w:line="240" w:lineRule="auto"/>
    </w:pPr>
    <w:tblPr/>
  </w:style>
  <w:style w:type="table" w:styleId="825">
    <w:name w:val="Grid Table 2 - Accent 6"/>
    <w:basedOn w:val="750"/>
    <w:next w:val="825"/>
    <w:link w:val="748"/>
    <w:uiPriority w:val="99"/>
    <w:qFormat/>
    <w:pPr>
      <w:spacing w:after="0" w:line="240" w:lineRule="auto"/>
    </w:pPr>
    <w:tblPr/>
  </w:style>
  <w:style w:type="table" w:styleId="826">
    <w:name w:val="Grid Table 3"/>
    <w:basedOn w:val="750"/>
    <w:next w:val="826"/>
    <w:link w:val="748"/>
    <w:uiPriority w:val="99"/>
    <w:qFormat/>
    <w:pPr>
      <w:spacing w:after="0" w:line="240" w:lineRule="auto"/>
    </w:pPr>
    <w:tblPr/>
  </w:style>
  <w:style w:type="table" w:styleId="827">
    <w:name w:val="Grid Table 3 - Accent 1"/>
    <w:basedOn w:val="750"/>
    <w:next w:val="827"/>
    <w:link w:val="748"/>
    <w:uiPriority w:val="99"/>
    <w:qFormat/>
    <w:pPr>
      <w:spacing w:after="0" w:line="240" w:lineRule="auto"/>
    </w:pPr>
    <w:tblPr/>
  </w:style>
  <w:style w:type="table" w:styleId="828">
    <w:name w:val="Grid Table 3 - Accent 2"/>
    <w:basedOn w:val="750"/>
    <w:next w:val="828"/>
    <w:link w:val="748"/>
    <w:uiPriority w:val="99"/>
    <w:qFormat/>
    <w:pPr>
      <w:spacing w:after="0" w:line="240" w:lineRule="auto"/>
    </w:pPr>
    <w:tblPr/>
  </w:style>
  <w:style w:type="table" w:styleId="829">
    <w:name w:val="Grid Table 3 - Accent 3"/>
    <w:basedOn w:val="750"/>
    <w:next w:val="829"/>
    <w:link w:val="748"/>
    <w:uiPriority w:val="99"/>
    <w:qFormat/>
    <w:pPr>
      <w:spacing w:after="0" w:line="240" w:lineRule="auto"/>
    </w:pPr>
    <w:tblPr/>
  </w:style>
  <w:style w:type="table" w:styleId="830">
    <w:name w:val="Grid Table 3 - Accent 4"/>
    <w:basedOn w:val="750"/>
    <w:next w:val="830"/>
    <w:link w:val="748"/>
    <w:uiPriority w:val="99"/>
    <w:qFormat/>
    <w:pPr>
      <w:spacing w:after="0" w:line="240" w:lineRule="auto"/>
    </w:pPr>
    <w:tblPr/>
  </w:style>
  <w:style w:type="table" w:styleId="831">
    <w:name w:val="Grid Table 3 - Accent 5"/>
    <w:basedOn w:val="750"/>
    <w:next w:val="831"/>
    <w:link w:val="748"/>
    <w:uiPriority w:val="99"/>
    <w:qFormat/>
    <w:pPr>
      <w:spacing w:after="0" w:line="240" w:lineRule="auto"/>
    </w:pPr>
    <w:tblPr/>
  </w:style>
  <w:style w:type="table" w:styleId="832">
    <w:name w:val="Grid Table 3 - Accent 6"/>
    <w:basedOn w:val="750"/>
    <w:next w:val="832"/>
    <w:link w:val="748"/>
    <w:uiPriority w:val="99"/>
    <w:qFormat/>
    <w:pPr>
      <w:spacing w:after="0" w:line="240" w:lineRule="auto"/>
    </w:pPr>
    <w:tblPr/>
  </w:style>
  <w:style w:type="table" w:styleId="833">
    <w:name w:val="Grid Table 4"/>
    <w:basedOn w:val="750"/>
    <w:next w:val="833"/>
    <w:link w:val="748"/>
    <w:uiPriority w:val="59"/>
    <w:qFormat/>
    <w:pPr>
      <w:spacing w:after="0" w:line="240" w:lineRule="auto"/>
    </w:pPr>
    <w:tblPr/>
  </w:style>
  <w:style w:type="table" w:styleId="834">
    <w:name w:val="Grid Table 4 - Accent 1"/>
    <w:basedOn w:val="750"/>
    <w:next w:val="834"/>
    <w:link w:val="748"/>
    <w:uiPriority w:val="59"/>
    <w:qFormat/>
    <w:pPr>
      <w:spacing w:after="0" w:line="240" w:lineRule="auto"/>
    </w:pPr>
    <w:tblPr/>
  </w:style>
  <w:style w:type="table" w:styleId="835">
    <w:name w:val="Grid Table 4 - Accent 2"/>
    <w:basedOn w:val="750"/>
    <w:next w:val="835"/>
    <w:link w:val="748"/>
    <w:uiPriority w:val="59"/>
    <w:qFormat/>
    <w:pPr>
      <w:spacing w:after="0" w:line="240" w:lineRule="auto"/>
    </w:pPr>
    <w:tblPr/>
  </w:style>
  <w:style w:type="table" w:styleId="836">
    <w:name w:val="Grid Table 4 - Accent 3"/>
    <w:basedOn w:val="750"/>
    <w:next w:val="836"/>
    <w:link w:val="748"/>
    <w:uiPriority w:val="59"/>
    <w:qFormat/>
    <w:pPr>
      <w:spacing w:after="0" w:line="240" w:lineRule="auto"/>
    </w:pPr>
    <w:tblPr/>
  </w:style>
  <w:style w:type="table" w:styleId="837">
    <w:name w:val="Grid Table 4 - Accent 4"/>
    <w:basedOn w:val="750"/>
    <w:next w:val="837"/>
    <w:link w:val="748"/>
    <w:uiPriority w:val="59"/>
    <w:qFormat/>
    <w:pPr>
      <w:spacing w:after="0" w:line="240" w:lineRule="auto"/>
    </w:pPr>
    <w:tblPr/>
  </w:style>
  <w:style w:type="table" w:styleId="838">
    <w:name w:val="Grid Table 4 - Accent 5"/>
    <w:basedOn w:val="750"/>
    <w:next w:val="838"/>
    <w:link w:val="748"/>
    <w:uiPriority w:val="59"/>
    <w:qFormat/>
    <w:pPr>
      <w:spacing w:after="0" w:line="240" w:lineRule="auto"/>
    </w:pPr>
    <w:tblPr/>
  </w:style>
  <w:style w:type="table" w:styleId="839">
    <w:name w:val="Grid Table 4 - Accent 6"/>
    <w:basedOn w:val="750"/>
    <w:next w:val="839"/>
    <w:link w:val="748"/>
    <w:uiPriority w:val="59"/>
    <w:qFormat/>
    <w:pPr>
      <w:spacing w:after="0" w:line="240" w:lineRule="auto"/>
    </w:pPr>
    <w:tblPr/>
  </w:style>
  <w:style w:type="table" w:styleId="840">
    <w:name w:val="Grid Table 5 Dark"/>
    <w:basedOn w:val="750"/>
    <w:next w:val="840"/>
    <w:link w:val="748"/>
    <w:uiPriority w:val="99"/>
    <w:qFormat/>
    <w:pPr>
      <w:spacing w:after="0" w:line="240" w:lineRule="auto"/>
    </w:pPr>
    <w:tblPr/>
  </w:style>
  <w:style w:type="table" w:styleId="841">
    <w:name w:val="Grid Table 5 Dark- Accent 1"/>
    <w:basedOn w:val="750"/>
    <w:next w:val="841"/>
    <w:link w:val="748"/>
    <w:uiPriority w:val="99"/>
    <w:qFormat/>
    <w:pPr>
      <w:spacing w:after="0" w:line="240" w:lineRule="auto"/>
    </w:pPr>
    <w:tblPr/>
  </w:style>
  <w:style w:type="table" w:styleId="842">
    <w:name w:val="Grid Table 5 Dark - Accent 2"/>
    <w:basedOn w:val="750"/>
    <w:next w:val="842"/>
    <w:link w:val="748"/>
    <w:uiPriority w:val="99"/>
    <w:qFormat/>
    <w:pPr>
      <w:spacing w:after="0" w:line="240" w:lineRule="auto"/>
    </w:pPr>
    <w:tblPr/>
  </w:style>
  <w:style w:type="table" w:styleId="843">
    <w:name w:val="Grid Table 5 Dark - Accent 3"/>
    <w:basedOn w:val="750"/>
    <w:next w:val="843"/>
    <w:link w:val="748"/>
    <w:uiPriority w:val="99"/>
    <w:qFormat/>
    <w:pPr>
      <w:spacing w:after="0" w:line="240" w:lineRule="auto"/>
    </w:pPr>
    <w:tblPr/>
  </w:style>
  <w:style w:type="table" w:styleId="844">
    <w:name w:val="Grid Table 5 Dark- Accent 4"/>
    <w:basedOn w:val="750"/>
    <w:next w:val="844"/>
    <w:link w:val="748"/>
    <w:uiPriority w:val="99"/>
    <w:qFormat/>
    <w:pPr>
      <w:spacing w:after="0" w:line="240" w:lineRule="auto"/>
    </w:pPr>
    <w:tblPr/>
  </w:style>
  <w:style w:type="table" w:styleId="845">
    <w:name w:val="Grid Table 5 Dark - Accent 5"/>
    <w:basedOn w:val="750"/>
    <w:next w:val="845"/>
    <w:link w:val="748"/>
    <w:uiPriority w:val="99"/>
    <w:qFormat/>
    <w:pPr>
      <w:spacing w:after="0" w:line="240" w:lineRule="auto"/>
    </w:pPr>
    <w:tblPr/>
  </w:style>
  <w:style w:type="table" w:styleId="846">
    <w:name w:val="Grid Table 5 Dark - Accent 6"/>
    <w:basedOn w:val="750"/>
    <w:next w:val="846"/>
    <w:link w:val="748"/>
    <w:uiPriority w:val="99"/>
    <w:qFormat/>
    <w:pPr>
      <w:spacing w:after="0" w:line="240" w:lineRule="auto"/>
    </w:pPr>
    <w:tblPr/>
  </w:style>
  <w:style w:type="table" w:styleId="847">
    <w:name w:val="Grid Table 6 Colorful"/>
    <w:basedOn w:val="750"/>
    <w:next w:val="847"/>
    <w:link w:val="748"/>
    <w:uiPriority w:val="99"/>
    <w:qFormat/>
    <w:pPr>
      <w:spacing w:after="0" w:line="240" w:lineRule="auto"/>
    </w:pPr>
    <w:tblPr/>
  </w:style>
  <w:style w:type="table" w:styleId="848">
    <w:name w:val="Grid Table 6 Colorful - Accent 1"/>
    <w:basedOn w:val="750"/>
    <w:next w:val="848"/>
    <w:link w:val="748"/>
    <w:uiPriority w:val="99"/>
    <w:qFormat/>
    <w:pPr>
      <w:spacing w:after="0" w:line="240" w:lineRule="auto"/>
    </w:pPr>
    <w:tblPr/>
  </w:style>
  <w:style w:type="table" w:styleId="849">
    <w:name w:val="Grid Table 6 Colorful - Accent 2"/>
    <w:basedOn w:val="750"/>
    <w:next w:val="849"/>
    <w:link w:val="748"/>
    <w:uiPriority w:val="99"/>
    <w:qFormat/>
    <w:pPr>
      <w:spacing w:after="0" w:line="240" w:lineRule="auto"/>
    </w:pPr>
    <w:tblPr/>
  </w:style>
  <w:style w:type="table" w:styleId="850">
    <w:name w:val="Grid Table 6 Colorful - Accent 3"/>
    <w:basedOn w:val="750"/>
    <w:next w:val="850"/>
    <w:link w:val="748"/>
    <w:uiPriority w:val="99"/>
    <w:qFormat/>
    <w:pPr>
      <w:spacing w:after="0" w:line="240" w:lineRule="auto"/>
    </w:pPr>
    <w:tblPr/>
  </w:style>
  <w:style w:type="table" w:styleId="851">
    <w:name w:val="Grid Table 6 Colorful - Accent 4"/>
    <w:basedOn w:val="750"/>
    <w:next w:val="851"/>
    <w:link w:val="748"/>
    <w:uiPriority w:val="99"/>
    <w:qFormat/>
    <w:pPr>
      <w:spacing w:after="0" w:line="240" w:lineRule="auto"/>
    </w:pPr>
    <w:tblPr/>
  </w:style>
  <w:style w:type="table" w:styleId="852">
    <w:name w:val="Grid Table 6 Colorful - Accent 5"/>
    <w:basedOn w:val="750"/>
    <w:next w:val="852"/>
    <w:link w:val="748"/>
    <w:uiPriority w:val="99"/>
    <w:qFormat/>
    <w:pPr>
      <w:spacing w:after="0" w:line="240" w:lineRule="auto"/>
    </w:pPr>
    <w:tblPr/>
  </w:style>
  <w:style w:type="table" w:styleId="853">
    <w:name w:val="Grid Table 6 Colorful - Accent 6"/>
    <w:basedOn w:val="750"/>
    <w:next w:val="853"/>
    <w:link w:val="748"/>
    <w:uiPriority w:val="99"/>
    <w:qFormat/>
    <w:pPr>
      <w:spacing w:after="0" w:line="240" w:lineRule="auto"/>
    </w:pPr>
    <w:tblPr/>
  </w:style>
  <w:style w:type="table" w:styleId="854">
    <w:name w:val="Grid Table 7 Colorful"/>
    <w:basedOn w:val="750"/>
    <w:next w:val="854"/>
    <w:link w:val="748"/>
    <w:uiPriority w:val="99"/>
    <w:qFormat/>
    <w:pPr>
      <w:spacing w:after="0" w:line="240" w:lineRule="auto"/>
    </w:pPr>
    <w:tblPr/>
  </w:style>
  <w:style w:type="table" w:styleId="855">
    <w:name w:val="Grid Table 7 Colorful - Accent 1"/>
    <w:basedOn w:val="750"/>
    <w:next w:val="855"/>
    <w:link w:val="748"/>
    <w:uiPriority w:val="99"/>
    <w:qFormat/>
    <w:pPr>
      <w:spacing w:after="0" w:line="240" w:lineRule="auto"/>
    </w:pPr>
    <w:tblPr/>
  </w:style>
  <w:style w:type="table" w:styleId="856">
    <w:name w:val="Grid Table 7 Colorful - Accent 2"/>
    <w:basedOn w:val="750"/>
    <w:next w:val="856"/>
    <w:link w:val="748"/>
    <w:uiPriority w:val="99"/>
    <w:qFormat/>
    <w:pPr>
      <w:spacing w:after="0" w:line="240" w:lineRule="auto"/>
    </w:pPr>
    <w:tblPr/>
  </w:style>
  <w:style w:type="table" w:styleId="857">
    <w:name w:val="Grid Table 7 Colorful - Accent 3"/>
    <w:basedOn w:val="750"/>
    <w:next w:val="857"/>
    <w:link w:val="748"/>
    <w:uiPriority w:val="99"/>
    <w:qFormat/>
    <w:pPr>
      <w:spacing w:after="0" w:line="240" w:lineRule="auto"/>
    </w:pPr>
    <w:tblPr/>
  </w:style>
  <w:style w:type="table" w:styleId="858">
    <w:name w:val="Grid Table 7 Colorful - Accent 4"/>
    <w:basedOn w:val="750"/>
    <w:next w:val="858"/>
    <w:link w:val="748"/>
    <w:uiPriority w:val="99"/>
    <w:qFormat/>
    <w:pPr>
      <w:spacing w:after="0" w:line="240" w:lineRule="auto"/>
    </w:pPr>
    <w:tblPr/>
  </w:style>
  <w:style w:type="table" w:styleId="859">
    <w:name w:val="Grid Table 7 Colorful - Accent 5"/>
    <w:basedOn w:val="750"/>
    <w:next w:val="859"/>
    <w:link w:val="748"/>
    <w:uiPriority w:val="99"/>
    <w:qFormat/>
    <w:pPr>
      <w:spacing w:after="0" w:line="240" w:lineRule="auto"/>
    </w:pPr>
    <w:tblPr/>
  </w:style>
  <w:style w:type="table" w:styleId="860">
    <w:name w:val="Grid Table 7 Colorful - Accent 6"/>
    <w:basedOn w:val="750"/>
    <w:next w:val="860"/>
    <w:link w:val="748"/>
    <w:uiPriority w:val="99"/>
    <w:qFormat/>
    <w:pPr>
      <w:spacing w:after="0" w:line="240" w:lineRule="auto"/>
    </w:pPr>
    <w:tblPr/>
  </w:style>
  <w:style w:type="table" w:styleId="861">
    <w:name w:val="List Table 1 Light"/>
    <w:basedOn w:val="750"/>
    <w:next w:val="861"/>
    <w:link w:val="748"/>
    <w:uiPriority w:val="99"/>
    <w:qFormat/>
    <w:pPr>
      <w:spacing w:after="0" w:line="240" w:lineRule="auto"/>
    </w:pPr>
    <w:tblPr/>
  </w:style>
  <w:style w:type="table" w:styleId="862">
    <w:name w:val="List Table 1 Light - Accent 1"/>
    <w:basedOn w:val="750"/>
    <w:next w:val="862"/>
    <w:link w:val="748"/>
    <w:uiPriority w:val="99"/>
    <w:qFormat/>
    <w:pPr>
      <w:spacing w:after="0" w:line="240" w:lineRule="auto"/>
    </w:pPr>
    <w:tblPr/>
  </w:style>
  <w:style w:type="table" w:styleId="863">
    <w:name w:val="List Table 1 Light - Accent 2"/>
    <w:basedOn w:val="750"/>
    <w:next w:val="863"/>
    <w:link w:val="748"/>
    <w:uiPriority w:val="99"/>
    <w:qFormat/>
    <w:pPr>
      <w:spacing w:after="0" w:line="240" w:lineRule="auto"/>
    </w:pPr>
    <w:tblPr/>
  </w:style>
  <w:style w:type="table" w:styleId="864">
    <w:name w:val="List Table 1 Light - Accent 3"/>
    <w:basedOn w:val="750"/>
    <w:next w:val="864"/>
    <w:link w:val="748"/>
    <w:uiPriority w:val="99"/>
    <w:qFormat/>
    <w:pPr>
      <w:spacing w:after="0" w:line="240" w:lineRule="auto"/>
    </w:pPr>
    <w:tblPr/>
  </w:style>
  <w:style w:type="table" w:styleId="865">
    <w:name w:val="List Table 1 Light - Accent 4"/>
    <w:basedOn w:val="750"/>
    <w:next w:val="865"/>
    <w:link w:val="748"/>
    <w:uiPriority w:val="99"/>
    <w:qFormat/>
    <w:pPr>
      <w:spacing w:after="0" w:line="240" w:lineRule="auto"/>
    </w:pPr>
    <w:tblPr/>
  </w:style>
  <w:style w:type="table" w:styleId="866">
    <w:name w:val="List Table 1 Light - Accent 5"/>
    <w:basedOn w:val="750"/>
    <w:next w:val="866"/>
    <w:link w:val="748"/>
    <w:uiPriority w:val="99"/>
    <w:qFormat/>
    <w:pPr>
      <w:spacing w:after="0" w:line="240" w:lineRule="auto"/>
    </w:pPr>
    <w:tblPr/>
  </w:style>
  <w:style w:type="table" w:styleId="867">
    <w:name w:val="List Table 1 Light - Accent 6"/>
    <w:basedOn w:val="750"/>
    <w:next w:val="867"/>
    <w:link w:val="748"/>
    <w:uiPriority w:val="99"/>
    <w:qFormat/>
    <w:pPr>
      <w:spacing w:after="0" w:line="240" w:lineRule="auto"/>
    </w:pPr>
    <w:tblPr/>
  </w:style>
  <w:style w:type="table" w:styleId="868">
    <w:name w:val="List Table 2"/>
    <w:basedOn w:val="750"/>
    <w:next w:val="868"/>
    <w:link w:val="748"/>
    <w:uiPriority w:val="99"/>
    <w:qFormat/>
    <w:pPr>
      <w:spacing w:after="0" w:line="240" w:lineRule="auto"/>
    </w:pPr>
    <w:tblPr/>
  </w:style>
  <w:style w:type="table" w:styleId="869">
    <w:name w:val="List Table 2 - Accent 1"/>
    <w:basedOn w:val="750"/>
    <w:next w:val="869"/>
    <w:link w:val="748"/>
    <w:uiPriority w:val="99"/>
    <w:qFormat/>
    <w:pPr>
      <w:spacing w:after="0" w:line="240" w:lineRule="auto"/>
    </w:pPr>
    <w:tblPr/>
  </w:style>
  <w:style w:type="table" w:styleId="870">
    <w:name w:val="List Table 2 - Accent 2"/>
    <w:basedOn w:val="750"/>
    <w:next w:val="870"/>
    <w:link w:val="748"/>
    <w:uiPriority w:val="99"/>
    <w:qFormat/>
    <w:pPr>
      <w:spacing w:after="0" w:line="240" w:lineRule="auto"/>
    </w:pPr>
    <w:tblPr/>
  </w:style>
  <w:style w:type="table" w:styleId="871">
    <w:name w:val="List Table 2 - Accent 3"/>
    <w:basedOn w:val="750"/>
    <w:next w:val="871"/>
    <w:link w:val="748"/>
    <w:uiPriority w:val="99"/>
    <w:qFormat/>
    <w:pPr>
      <w:spacing w:after="0" w:line="240" w:lineRule="auto"/>
    </w:pPr>
    <w:tblPr/>
  </w:style>
  <w:style w:type="table" w:styleId="872">
    <w:name w:val="List Table 2 - Accent 4"/>
    <w:basedOn w:val="750"/>
    <w:next w:val="872"/>
    <w:link w:val="748"/>
    <w:uiPriority w:val="99"/>
    <w:qFormat/>
    <w:pPr>
      <w:spacing w:after="0" w:line="240" w:lineRule="auto"/>
    </w:pPr>
    <w:tblPr/>
  </w:style>
  <w:style w:type="table" w:styleId="873">
    <w:name w:val="List Table 2 - Accent 5"/>
    <w:basedOn w:val="750"/>
    <w:next w:val="873"/>
    <w:link w:val="748"/>
    <w:uiPriority w:val="99"/>
    <w:qFormat/>
    <w:pPr>
      <w:spacing w:after="0" w:line="240" w:lineRule="auto"/>
    </w:pPr>
    <w:tblPr/>
  </w:style>
  <w:style w:type="table" w:styleId="874">
    <w:name w:val="List Table 2 - Accent 6"/>
    <w:basedOn w:val="750"/>
    <w:next w:val="874"/>
    <w:link w:val="748"/>
    <w:uiPriority w:val="99"/>
    <w:qFormat/>
    <w:pPr>
      <w:spacing w:after="0" w:line="240" w:lineRule="auto"/>
    </w:pPr>
    <w:tblPr/>
  </w:style>
  <w:style w:type="table" w:styleId="875">
    <w:name w:val="List Table 3"/>
    <w:basedOn w:val="750"/>
    <w:next w:val="875"/>
    <w:link w:val="748"/>
    <w:uiPriority w:val="99"/>
    <w:qFormat/>
    <w:pPr>
      <w:spacing w:after="0" w:line="240" w:lineRule="auto"/>
    </w:pPr>
    <w:tblPr/>
  </w:style>
  <w:style w:type="table" w:styleId="876">
    <w:name w:val="List Table 3 - Accent 1"/>
    <w:basedOn w:val="750"/>
    <w:next w:val="876"/>
    <w:link w:val="748"/>
    <w:uiPriority w:val="99"/>
    <w:qFormat/>
    <w:pPr>
      <w:spacing w:after="0" w:line="240" w:lineRule="auto"/>
    </w:pPr>
    <w:tblPr/>
  </w:style>
  <w:style w:type="table" w:styleId="877">
    <w:name w:val="List Table 3 - Accent 2"/>
    <w:basedOn w:val="750"/>
    <w:next w:val="877"/>
    <w:link w:val="748"/>
    <w:uiPriority w:val="99"/>
    <w:qFormat/>
    <w:pPr>
      <w:spacing w:after="0" w:line="240" w:lineRule="auto"/>
    </w:pPr>
    <w:tblPr/>
  </w:style>
  <w:style w:type="table" w:styleId="878">
    <w:name w:val="List Table 3 - Accent 3"/>
    <w:basedOn w:val="750"/>
    <w:next w:val="878"/>
    <w:link w:val="748"/>
    <w:uiPriority w:val="99"/>
    <w:qFormat/>
    <w:pPr>
      <w:spacing w:after="0" w:line="240" w:lineRule="auto"/>
    </w:pPr>
    <w:tblPr/>
  </w:style>
  <w:style w:type="table" w:styleId="879">
    <w:name w:val="List Table 3 - Accent 4"/>
    <w:basedOn w:val="750"/>
    <w:next w:val="879"/>
    <w:link w:val="748"/>
    <w:uiPriority w:val="99"/>
    <w:qFormat/>
    <w:pPr>
      <w:spacing w:after="0" w:line="240" w:lineRule="auto"/>
    </w:pPr>
    <w:tblPr/>
  </w:style>
  <w:style w:type="table" w:styleId="880">
    <w:name w:val="List Table 3 - Accent 5"/>
    <w:basedOn w:val="750"/>
    <w:next w:val="880"/>
    <w:link w:val="748"/>
    <w:uiPriority w:val="99"/>
    <w:qFormat/>
    <w:pPr>
      <w:spacing w:after="0" w:line="240" w:lineRule="auto"/>
    </w:pPr>
    <w:tblPr/>
  </w:style>
  <w:style w:type="table" w:styleId="881">
    <w:name w:val="List Table 3 - Accent 6"/>
    <w:basedOn w:val="750"/>
    <w:next w:val="881"/>
    <w:link w:val="748"/>
    <w:uiPriority w:val="99"/>
    <w:qFormat/>
    <w:pPr>
      <w:spacing w:after="0" w:line="240" w:lineRule="auto"/>
    </w:pPr>
    <w:tblPr/>
  </w:style>
  <w:style w:type="table" w:styleId="882">
    <w:name w:val="List Table 4"/>
    <w:basedOn w:val="750"/>
    <w:next w:val="882"/>
    <w:link w:val="748"/>
    <w:uiPriority w:val="99"/>
    <w:qFormat/>
    <w:pPr>
      <w:spacing w:after="0" w:line="240" w:lineRule="auto"/>
    </w:pPr>
    <w:tblPr/>
  </w:style>
  <w:style w:type="table" w:styleId="883">
    <w:name w:val="List Table 4 - Accent 1"/>
    <w:basedOn w:val="750"/>
    <w:next w:val="883"/>
    <w:link w:val="748"/>
    <w:uiPriority w:val="99"/>
    <w:qFormat/>
    <w:pPr>
      <w:spacing w:after="0" w:line="240" w:lineRule="auto"/>
    </w:pPr>
    <w:tblPr/>
  </w:style>
  <w:style w:type="table" w:styleId="884">
    <w:name w:val="List Table 4 - Accent 2"/>
    <w:basedOn w:val="750"/>
    <w:next w:val="884"/>
    <w:link w:val="748"/>
    <w:uiPriority w:val="99"/>
    <w:qFormat/>
    <w:pPr>
      <w:spacing w:after="0" w:line="240" w:lineRule="auto"/>
    </w:pPr>
    <w:tblPr/>
  </w:style>
  <w:style w:type="table" w:styleId="885">
    <w:name w:val="List Table 4 - Accent 3"/>
    <w:basedOn w:val="750"/>
    <w:next w:val="885"/>
    <w:link w:val="748"/>
    <w:uiPriority w:val="99"/>
    <w:qFormat/>
    <w:pPr>
      <w:spacing w:after="0" w:line="240" w:lineRule="auto"/>
    </w:pPr>
    <w:tblPr/>
  </w:style>
  <w:style w:type="table" w:styleId="886">
    <w:name w:val="List Table 4 - Accent 4"/>
    <w:basedOn w:val="750"/>
    <w:next w:val="886"/>
    <w:link w:val="748"/>
    <w:uiPriority w:val="99"/>
    <w:qFormat/>
    <w:pPr>
      <w:spacing w:after="0" w:line="240" w:lineRule="auto"/>
    </w:pPr>
    <w:tblPr/>
  </w:style>
  <w:style w:type="table" w:styleId="887">
    <w:name w:val="List Table 4 - Accent 5"/>
    <w:basedOn w:val="750"/>
    <w:next w:val="887"/>
    <w:link w:val="748"/>
    <w:uiPriority w:val="99"/>
    <w:qFormat/>
    <w:pPr>
      <w:spacing w:after="0" w:line="240" w:lineRule="auto"/>
    </w:pPr>
    <w:tblPr/>
  </w:style>
  <w:style w:type="table" w:styleId="888">
    <w:name w:val="List Table 4 - Accent 6"/>
    <w:basedOn w:val="750"/>
    <w:next w:val="888"/>
    <w:link w:val="748"/>
    <w:uiPriority w:val="99"/>
    <w:qFormat/>
    <w:pPr>
      <w:spacing w:after="0" w:line="240" w:lineRule="auto"/>
    </w:pPr>
    <w:tblPr/>
  </w:style>
  <w:style w:type="table" w:styleId="889">
    <w:name w:val="List Table 5 Dark"/>
    <w:basedOn w:val="750"/>
    <w:next w:val="889"/>
    <w:link w:val="748"/>
    <w:uiPriority w:val="99"/>
    <w:qFormat/>
    <w:pPr>
      <w:spacing w:after="0" w:line="240" w:lineRule="auto"/>
    </w:pPr>
    <w:tblPr/>
  </w:style>
  <w:style w:type="table" w:styleId="890">
    <w:name w:val="List Table 5 Dark - Accent 1"/>
    <w:basedOn w:val="750"/>
    <w:next w:val="890"/>
    <w:link w:val="748"/>
    <w:uiPriority w:val="99"/>
    <w:qFormat/>
    <w:pPr>
      <w:spacing w:after="0" w:line="240" w:lineRule="auto"/>
    </w:pPr>
    <w:tblPr/>
  </w:style>
  <w:style w:type="table" w:styleId="891">
    <w:name w:val="List Table 5 Dark - Accent 2"/>
    <w:basedOn w:val="750"/>
    <w:next w:val="891"/>
    <w:link w:val="748"/>
    <w:uiPriority w:val="99"/>
    <w:qFormat/>
    <w:pPr>
      <w:spacing w:after="0" w:line="240" w:lineRule="auto"/>
    </w:pPr>
    <w:tblPr/>
  </w:style>
  <w:style w:type="table" w:styleId="892">
    <w:name w:val="List Table 5 Dark - Accent 3"/>
    <w:basedOn w:val="750"/>
    <w:next w:val="892"/>
    <w:link w:val="748"/>
    <w:uiPriority w:val="99"/>
    <w:qFormat/>
    <w:pPr>
      <w:spacing w:after="0" w:line="240" w:lineRule="auto"/>
    </w:pPr>
    <w:tblPr/>
  </w:style>
  <w:style w:type="table" w:styleId="893">
    <w:name w:val="List Table 5 Dark - Accent 4"/>
    <w:basedOn w:val="750"/>
    <w:next w:val="893"/>
    <w:link w:val="748"/>
    <w:uiPriority w:val="99"/>
    <w:qFormat/>
    <w:pPr>
      <w:spacing w:after="0" w:line="240" w:lineRule="auto"/>
    </w:pPr>
    <w:tblPr/>
  </w:style>
  <w:style w:type="table" w:styleId="894">
    <w:name w:val="List Table 5 Dark - Accent 5"/>
    <w:basedOn w:val="750"/>
    <w:next w:val="894"/>
    <w:link w:val="748"/>
    <w:uiPriority w:val="99"/>
    <w:qFormat/>
    <w:pPr>
      <w:spacing w:after="0" w:line="240" w:lineRule="auto"/>
    </w:pPr>
    <w:tblPr/>
  </w:style>
  <w:style w:type="table" w:styleId="895">
    <w:name w:val="List Table 5 Dark - Accent 6"/>
    <w:basedOn w:val="750"/>
    <w:next w:val="895"/>
    <w:link w:val="748"/>
    <w:uiPriority w:val="99"/>
    <w:qFormat/>
    <w:pPr>
      <w:spacing w:after="0" w:line="240" w:lineRule="auto"/>
    </w:pPr>
    <w:tblPr/>
  </w:style>
  <w:style w:type="table" w:styleId="896">
    <w:name w:val="List Table 6 Colorful"/>
    <w:basedOn w:val="750"/>
    <w:next w:val="896"/>
    <w:link w:val="748"/>
    <w:uiPriority w:val="99"/>
    <w:qFormat/>
    <w:pPr>
      <w:spacing w:after="0" w:line="240" w:lineRule="auto"/>
    </w:pPr>
    <w:tblPr/>
  </w:style>
  <w:style w:type="table" w:styleId="897">
    <w:name w:val="List Table 6 Colorful - Accent 1"/>
    <w:basedOn w:val="750"/>
    <w:next w:val="897"/>
    <w:link w:val="748"/>
    <w:uiPriority w:val="99"/>
    <w:qFormat/>
    <w:pPr>
      <w:spacing w:after="0" w:line="240" w:lineRule="auto"/>
    </w:pPr>
    <w:tblPr/>
  </w:style>
  <w:style w:type="table" w:styleId="898">
    <w:name w:val="List Table 6 Colorful - Accent 2"/>
    <w:basedOn w:val="750"/>
    <w:next w:val="898"/>
    <w:link w:val="748"/>
    <w:uiPriority w:val="99"/>
    <w:qFormat/>
    <w:pPr>
      <w:spacing w:after="0" w:line="240" w:lineRule="auto"/>
    </w:pPr>
    <w:tblPr/>
  </w:style>
  <w:style w:type="table" w:styleId="899">
    <w:name w:val="List Table 6 Colorful - Accent 3"/>
    <w:basedOn w:val="750"/>
    <w:next w:val="899"/>
    <w:link w:val="748"/>
    <w:uiPriority w:val="99"/>
    <w:qFormat/>
    <w:pPr>
      <w:spacing w:after="0" w:line="240" w:lineRule="auto"/>
    </w:pPr>
    <w:tblPr/>
  </w:style>
  <w:style w:type="table" w:styleId="900">
    <w:name w:val="List Table 6 Colorful - Accent 4"/>
    <w:basedOn w:val="750"/>
    <w:next w:val="900"/>
    <w:link w:val="748"/>
    <w:uiPriority w:val="99"/>
    <w:qFormat/>
    <w:pPr>
      <w:spacing w:after="0" w:line="240" w:lineRule="auto"/>
    </w:pPr>
    <w:tblPr/>
  </w:style>
  <w:style w:type="table" w:styleId="901">
    <w:name w:val="List Table 6 Colorful - Accent 5"/>
    <w:basedOn w:val="750"/>
    <w:next w:val="901"/>
    <w:link w:val="748"/>
    <w:uiPriority w:val="99"/>
    <w:qFormat/>
    <w:pPr>
      <w:spacing w:after="0" w:line="240" w:lineRule="auto"/>
    </w:pPr>
    <w:tblPr/>
  </w:style>
  <w:style w:type="table" w:styleId="902">
    <w:name w:val="List Table 6 Colorful - Accent 6"/>
    <w:basedOn w:val="750"/>
    <w:next w:val="902"/>
    <w:link w:val="748"/>
    <w:uiPriority w:val="99"/>
    <w:qFormat/>
    <w:pPr>
      <w:spacing w:after="0" w:line="240" w:lineRule="auto"/>
    </w:pPr>
    <w:tblPr/>
  </w:style>
  <w:style w:type="table" w:styleId="903">
    <w:name w:val="List Table 7 Colorful"/>
    <w:basedOn w:val="750"/>
    <w:next w:val="903"/>
    <w:link w:val="748"/>
    <w:uiPriority w:val="99"/>
    <w:qFormat/>
    <w:pPr>
      <w:spacing w:after="0" w:line="240" w:lineRule="auto"/>
    </w:pPr>
    <w:tblPr/>
  </w:style>
  <w:style w:type="table" w:styleId="904">
    <w:name w:val="List Table 7 Colorful - Accent 1"/>
    <w:basedOn w:val="750"/>
    <w:next w:val="904"/>
    <w:link w:val="748"/>
    <w:uiPriority w:val="99"/>
    <w:qFormat/>
    <w:pPr>
      <w:spacing w:after="0" w:line="240" w:lineRule="auto"/>
    </w:pPr>
    <w:tblPr/>
  </w:style>
  <w:style w:type="table" w:styleId="905">
    <w:name w:val="List Table 7 Colorful - Accent 2"/>
    <w:basedOn w:val="750"/>
    <w:next w:val="905"/>
    <w:link w:val="748"/>
    <w:uiPriority w:val="99"/>
    <w:qFormat/>
    <w:pPr>
      <w:spacing w:after="0" w:line="240" w:lineRule="auto"/>
    </w:pPr>
    <w:tblPr/>
  </w:style>
  <w:style w:type="table" w:styleId="906">
    <w:name w:val="List Table 7 Colorful - Accent 3"/>
    <w:basedOn w:val="750"/>
    <w:next w:val="906"/>
    <w:link w:val="748"/>
    <w:uiPriority w:val="99"/>
    <w:qFormat/>
    <w:pPr>
      <w:spacing w:after="0" w:line="240" w:lineRule="auto"/>
    </w:pPr>
    <w:tblPr/>
  </w:style>
  <w:style w:type="table" w:styleId="907">
    <w:name w:val="List Table 7 Colorful - Accent 4"/>
    <w:basedOn w:val="750"/>
    <w:next w:val="907"/>
    <w:link w:val="748"/>
    <w:uiPriority w:val="99"/>
    <w:qFormat/>
    <w:pPr>
      <w:spacing w:after="0" w:line="240" w:lineRule="auto"/>
    </w:pPr>
    <w:tblPr/>
  </w:style>
  <w:style w:type="table" w:styleId="908">
    <w:name w:val="List Table 7 Colorful - Accent 5"/>
    <w:basedOn w:val="750"/>
    <w:next w:val="908"/>
    <w:link w:val="748"/>
    <w:uiPriority w:val="99"/>
    <w:qFormat/>
    <w:pPr>
      <w:spacing w:after="0" w:line="240" w:lineRule="auto"/>
    </w:pPr>
    <w:tblPr/>
  </w:style>
  <w:style w:type="table" w:styleId="909">
    <w:name w:val="List Table 7 Colorful - Accent 6"/>
    <w:basedOn w:val="750"/>
    <w:next w:val="909"/>
    <w:link w:val="748"/>
    <w:uiPriority w:val="99"/>
    <w:qFormat/>
    <w:pPr>
      <w:spacing w:after="0" w:line="240" w:lineRule="auto"/>
    </w:pPr>
    <w:tblPr/>
  </w:style>
  <w:style w:type="table" w:styleId="910">
    <w:name w:val="Lined - Accent"/>
    <w:basedOn w:val="750"/>
    <w:next w:val="910"/>
    <w:link w:val="748"/>
    <w:uiPriority w:val="99"/>
    <w:qFormat/>
    <w:pPr>
      <w:spacing w:after="0" w:line="240" w:lineRule="auto"/>
    </w:pPr>
    <w:rPr>
      <w:color w:val="404040"/>
    </w:rPr>
    <w:tblPr/>
  </w:style>
  <w:style w:type="table" w:styleId="911">
    <w:name w:val="Lined - Accent 1"/>
    <w:basedOn w:val="750"/>
    <w:next w:val="911"/>
    <w:link w:val="748"/>
    <w:uiPriority w:val="99"/>
    <w:qFormat/>
    <w:pPr>
      <w:spacing w:after="0" w:line="240" w:lineRule="auto"/>
    </w:pPr>
    <w:rPr>
      <w:color w:val="404040"/>
    </w:rPr>
    <w:tblPr/>
  </w:style>
  <w:style w:type="table" w:styleId="912">
    <w:name w:val="Lined - Accent 2"/>
    <w:basedOn w:val="750"/>
    <w:next w:val="912"/>
    <w:link w:val="748"/>
    <w:uiPriority w:val="99"/>
    <w:qFormat/>
    <w:pPr>
      <w:spacing w:after="0" w:line="240" w:lineRule="auto"/>
    </w:pPr>
    <w:rPr>
      <w:color w:val="404040"/>
    </w:rPr>
    <w:tblPr/>
  </w:style>
  <w:style w:type="table" w:styleId="913">
    <w:name w:val="Lined - Accent 3"/>
    <w:basedOn w:val="750"/>
    <w:next w:val="913"/>
    <w:link w:val="748"/>
    <w:uiPriority w:val="99"/>
    <w:qFormat/>
    <w:pPr>
      <w:spacing w:after="0" w:line="240" w:lineRule="auto"/>
    </w:pPr>
    <w:rPr>
      <w:color w:val="404040"/>
    </w:rPr>
    <w:tblPr/>
  </w:style>
  <w:style w:type="table" w:styleId="914">
    <w:name w:val="Lined - Accent 4"/>
    <w:basedOn w:val="750"/>
    <w:next w:val="914"/>
    <w:link w:val="748"/>
    <w:uiPriority w:val="99"/>
    <w:qFormat/>
    <w:pPr>
      <w:spacing w:after="0" w:line="240" w:lineRule="auto"/>
    </w:pPr>
    <w:rPr>
      <w:color w:val="404040"/>
    </w:rPr>
    <w:tblPr/>
  </w:style>
  <w:style w:type="table" w:styleId="915">
    <w:name w:val="Lined - Accent 5"/>
    <w:basedOn w:val="750"/>
    <w:next w:val="915"/>
    <w:link w:val="748"/>
    <w:uiPriority w:val="99"/>
    <w:qFormat/>
    <w:pPr>
      <w:spacing w:after="0" w:line="240" w:lineRule="auto"/>
    </w:pPr>
    <w:rPr>
      <w:color w:val="404040"/>
    </w:rPr>
    <w:tblPr/>
  </w:style>
  <w:style w:type="table" w:styleId="916">
    <w:name w:val="Lined - Accent 6"/>
    <w:basedOn w:val="750"/>
    <w:next w:val="916"/>
    <w:link w:val="748"/>
    <w:uiPriority w:val="99"/>
    <w:qFormat/>
    <w:pPr>
      <w:spacing w:after="0" w:line="240" w:lineRule="auto"/>
    </w:pPr>
    <w:rPr>
      <w:color w:val="404040"/>
    </w:rPr>
    <w:tblPr/>
  </w:style>
  <w:style w:type="table" w:styleId="917">
    <w:name w:val="Bordered &amp; Lined - Accent"/>
    <w:basedOn w:val="750"/>
    <w:next w:val="917"/>
    <w:link w:val="748"/>
    <w:uiPriority w:val="99"/>
    <w:qFormat/>
    <w:pPr>
      <w:spacing w:after="0" w:line="240" w:lineRule="auto"/>
    </w:pPr>
    <w:rPr>
      <w:color w:val="404040"/>
    </w:rPr>
    <w:tblPr/>
  </w:style>
  <w:style w:type="table" w:styleId="918">
    <w:name w:val="Bordered &amp; Lined - Accent 1"/>
    <w:basedOn w:val="750"/>
    <w:next w:val="918"/>
    <w:link w:val="748"/>
    <w:uiPriority w:val="99"/>
    <w:qFormat/>
    <w:pPr>
      <w:spacing w:after="0" w:line="240" w:lineRule="auto"/>
    </w:pPr>
    <w:rPr>
      <w:color w:val="404040"/>
    </w:rPr>
    <w:tblPr/>
  </w:style>
  <w:style w:type="table" w:styleId="919">
    <w:name w:val="Bordered &amp; Lined - Accent 2"/>
    <w:basedOn w:val="750"/>
    <w:next w:val="919"/>
    <w:link w:val="748"/>
    <w:uiPriority w:val="99"/>
    <w:qFormat/>
    <w:pPr>
      <w:spacing w:after="0" w:line="240" w:lineRule="auto"/>
    </w:pPr>
    <w:rPr>
      <w:color w:val="404040"/>
    </w:rPr>
    <w:tblPr/>
  </w:style>
  <w:style w:type="table" w:styleId="920">
    <w:name w:val="Bordered &amp; Lined - Accent 3"/>
    <w:basedOn w:val="750"/>
    <w:next w:val="920"/>
    <w:link w:val="748"/>
    <w:uiPriority w:val="99"/>
    <w:qFormat/>
    <w:pPr>
      <w:spacing w:after="0" w:line="240" w:lineRule="auto"/>
    </w:pPr>
    <w:rPr>
      <w:color w:val="404040"/>
    </w:rPr>
    <w:tblPr/>
  </w:style>
  <w:style w:type="table" w:styleId="921">
    <w:name w:val="Bordered &amp; Lined - Accent 4"/>
    <w:basedOn w:val="750"/>
    <w:next w:val="921"/>
    <w:link w:val="748"/>
    <w:uiPriority w:val="99"/>
    <w:qFormat/>
    <w:pPr>
      <w:spacing w:after="0" w:line="240" w:lineRule="auto"/>
    </w:pPr>
    <w:rPr>
      <w:color w:val="404040"/>
    </w:rPr>
    <w:tblPr/>
  </w:style>
  <w:style w:type="table" w:styleId="922">
    <w:name w:val="Bordered &amp; Lined - Accent 5"/>
    <w:basedOn w:val="750"/>
    <w:next w:val="922"/>
    <w:link w:val="748"/>
    <w:uiPriority w:val="99"/>
    <w:qFormat/>
    <w:pPr>
      <w:spacing w:after="0" w:line="240" w:lineRule="auto"/>
    </w:pPr>
    <w:rPr>
      <w:color w:val="404040"/>
    </w:rPr>
    <w:tblPr/>
  </w:style>
  <w:style w:type="table" w:styleId="923">
    <w:name w:val="Bordered &amp; Lined - Accent 6"/>
    <w:basedOn w:val="750"/>
    <w:next w:val="923"/>
    <w:link w:val="748"/>
    <w:uiPriority w:val="99"/>
    <w:qFormat/>
    <w:pPr>
      <w:spacing w:after="0" w:line="240" w:lineRule="auto"/>
    </w:pPr>
    <w:rPr>
      <w:color w:val="404040"/>
    </w:rPr>
    <w:tblPr/>
  </w:style>
  <w:style w:type="table" w:styleId="924">
    <w:name w:val="Bordered"/>
    <w:basedOn w:val="750"/>
    <w:next w:val="924"/>
    <w:link w:val="748"/>
    <w:uiPriority w:val="99"/>
    <w:qFormat/>
    <w:pPr>
      <w:spacing w:after="0" w:line="240" w:lineRule="auto"/>
    </w:pPr>
    <w:tblPr/>
  </w:style>
  <w:style w:type="table" w:styleId="925">
    <w:name w:val="Bordered - Accent 1"/>
    <w:basedOn w:val="750"/>
    <w:next w:val="925"/>
    <w:link w:val="748"/>
    <w:uiPriority w:val="99"/>
    <w:qFormat/>
    <w:pPr>
      <w:spacing w:after="0" w:line="240" w:lineRule="auto"/>
    </w:pPr>
    <w:tblPr/>
  </w:style>
  <w:style w:type="table" w:styleId="926">
    <w:name w:val="Bordered - Accent 2"/>
    <w:basedOn w:val="750"/>
    <w:next w:val="926"/>
    <w:link w:val="748"/>
    <w:uiPriority w:val="99"/>
    <w:qFormat/>
    <w:pPr>
      <w:spacing w:after="0" w:line="240" w:lineRule="auto"/>
    </w:pPr>
    <w:tblPr/>
  </w:style>
  <w:style w:type="table" w:styleId="927">
    <w:name w:val="Bordered - Accent 3"/>
    <w:basedOn w:val="750"/>
    <w:next w:val="927"/>
    <w:link w:val="748"/>
    <w:uiPriority w:val="99"/>
    <w:qFormat/>
    <w:pPr>
      <w:spacing w:after="0" w:line="240" w:lineRule="auto"/>
    </w:pPr>
    <w:tblPr/>
  </w:style>
  <w:style w:type="table" w:styleId="928">
    <w:name w:val="Bordered - Accent 4"/>
    <w:basedOn w:val="750"/>
    <w:next w:val="928"/>
    <w:link w:val="748"/>
    <w:uiPriority w:val="99"/>
    <w:qFormat/>
    <w:pPr>
      <w:spacing w:after="0" w:line="240" w:lineRule="auto"/>
    </w:pPr>
    <w:tblPr/>
  </w:style>
  <w:style w:type="table" w:styleId="929">
    <w:name w:val="Bordered - Accent 5"/>
    <w:basedOn w:val="750"/>
    <w:next w:val="929"/>
    <w:link w:val="748"/>
    <w:uiPriority w:val="99"/>
    <w:qFormat/>
    <w:pPr>
      <w:spacing w:after="0" w:line="240" w:lineRule="auto"/>
    </w:pPr>
    <w:tblPr/>
  </w:style>
  <w:style w:type="table" w:styleId="930">
    <w:name w:val="Bordered - Accent 6"/>
    <w:basedOn w:val="750"/>
    <w:next w:val="930"/>
    <w:link w:val="748"/>
    <w:uiPriority w:val="99"/>
    <w:qFormat/>
    <w:pPr>
      <w:spacing w:after="0" w:line="240" w:lineRule="auto"/>
    </w:pPr>
    <w:tblPr/>
  </w:style>
  <w:style w:type="character" w:styleId="931">
    <w:name w:val="标题 1 Char"/>
    <w:next w:val="931"/>
    <w:link w:val="932"/>
    <w:qFormat/>
    <w:rPr>
      <w:rFonts w:ascii="楷体_GB2312" w:hAnsi="Times New Roman" w:eastAsia="楷体_GB2312" w:cs="Times New Roman"/>
      <w:sz w:val="28"/>
      <w:szCs w:val="28"/>
    </w:rPr>
  </w:style>
  <w:style w:type="paragraph" w:styleId="932">
    <w:name w:val="标题 11"/>
    <w:basedOn w:val="748"/>
    <w:next w:val="748"/>
    <w:link w:val="931"/>
    <w:qFormat/>
    <w:pPr>
      <w:jc w:val="center"/>
      <w:keepNext/>
      <w:outlineLvl w:val="0"/>
    </w:pPr>
    <w:rPr>
      <w:rFonts w:ascii="楷体_GB2312" w:hAnsi="Times New Roman" w:eastAsia="楷体_GB2312" w:cs="Times New Roman"/>
      <w:sz w:val="28"/>
      <w:szCs w:val="28"/>
    </w:rPr>
  </w:style>
  <w:style w:type="character" w:styleId="933">
    <w:name w:val="标题 2 Char"/>
    <w:next w:val="933"/>
    <w:link w:val="934"/>
    <w:qFormat/>
    <w:rPr>
      <w:rFonts w:ascii="Arial" w:hAnsi="Arial" w:eastAsia="幼圆" w:cs="Arial"/>
      <w:b/>
      <w:bCs/>
      <w:sz w:val="44"/>
      <w:szCs w:val="44"/>
    </w:rPr>
  </w:style>
  <w:style w:type="paragraph" w:styleId="934">
    <w:name w:val="标题 21"/>
    <w:basedOn w:val="748"/>
    <w:next w:val="935"/>
    <w:link w:val="933"/>
    <w:qFormat/>
    <w:pPr>
      <w:jc w:val="center"/>
      <w:keepLines/>
      <w:keepNext/>
      <w:spacing w:before="260" w:after="260" w:line="416" w:lineRule="auto"/>
      <w:outlineLvl w:val="1"/>
    </w:pPr>
    <w:rPr>
      <w:rFonts w:ascii="Arial" w:hAnsi="Arial" w:eastAsia="幼圆" w:cs="Arial"/>
      <w:b/>
      <w:bCs/>
      <w:sz w:val="44"/>
      <w:szCs w:val="44"/>
    </w:rPr>
  </w:style>
  <w:style w:type="paragraph" w:styleId="935">
    <w:name w:val="正文缩进11"/>
    <w:basedOn w:val="748"/>
    <w:next w:val="935"/>
    <w:link w:val="936"/>
    <w:qFormat/>
    <w:pPr>
      <w:ind w:firstLine="420"/>
    </w:pPr>
    <w:rPr>
      <w:szCs w:val="21"/>
    </w:rPr>
  </w:style>
  <w:style w:type="character" w:styleId="936">
    <w:name w:val="正文缩进 Char"/>
    <w:next w:val="936"/>
    <w:link w:val="935"/>
    <w:qFormat/>
    <w:rPr>
      <w:szCs w:val="21"/>
    </w:rPr>
  </w:style>
  <w:style w:type="character" w:styleId="937">
    <w:name w:val="标题 3 Char"/>
    <w:next w:val="937"/>
    <w:link w:val="938"/>
    <w:qFormat/>
    <w:rPr>
      <w:rFonts w:ascii="Times New Roman" w:hAnsi="Times New Roman" w:eastAsia="宋体" w:cs="Times New Roman"/>
      <w:b/>
      <w:bCs/>
      <w:sz w:val="32"/>
      <w:szCs w:val="32"/>
    </w:rPr>
  </w:style>
  <w:style w:type="paragraph" w:styleId="938">
    <w:name w:val="标题 31"/>
    <w:basedOn w:val="748"/>
    <w:next w:val="935"/>
    <w:link w:val="937"/>
    <w:qFormat/>
    <w:pPr>
      <w:keepLines/>
      <w:keepNext/>
      <w:spacing w:before="260" w:after="260" w:line="416" w:lineRule="auto"/>
      <w:outlineLvl w:val="2"/>
    </w:pPr>
    <w:rPr>
      <w:rFonts w:ascii="Times New Roman" w:hAnsi="Times New Roman" w:eastAsia="宋体" w:cs="Times New Roman"/>
      <w:b/>
      <w:bCs/>
      <w:sz w:val="32"/>
      <w:szCs w:val="32"/>
    </w:rPr>
  </w:style>
  <w:style w:type="character" w:styleId="939">
    <w:name w:val="标题 4 Char"/>
    <w:next w:val="939"/>
    <w:link w:val="940"/>
    <w:qFormat/>
    <w:rPr>
      <w:rFonts w:ascii="Arial" w:hAnsi="Arial" w:eastAsia="黑体" w:cs="Arial"/>
      <w:b/>
      <w:bCs/>
      <w:sz w:val="28"/>
      <w:szCs w:val="28"/>
    </w:rPr>
  </w:style>
  <w:style w:type="paragraph" w:styleId="940">
    <w:name w:val="标题 41"/>
    <w:basedOn w:val="748"/>
    <w:next w:val="935"/>
    <w:link w:val="939"/>
    <w:qFormat/>
    <w:pPr>
      <w:keepLines/>
      <w:keepNext/>
      <w:spacing w:before="280" w:after="290" w:line="376" w:lineRule="auto"/>
      <w:outlineLvl w:val="3"/>
    </w:pPr>
    <w:rPr>
      <w:rFonts w:ascii="Arial" w:hAnsi="Arial" w:eastAsia="黑体" w:cs="Arial"/>
      <w:b/>
      <w:bCs/>
      <w:sz w:val="28"/>
      <w:szCs w:val="28"/>
    </w:rPr>
  </w:style>
  <w:style w:type="character" w:styleId="941">
    <w:name w:val="标题 5 Char"/>
    <w:next w:val="941"/>
    <w:link w:val="942"/>
    <w:qFormat/>
    <w:rPr>
      <w:rFonts w:ascii="宋体" w:hAnsi="Times New Roman" w:eastAsia="宋体" w:cs="Times New Roman"/>
      <w:color w:val="000000"/>
      <w:sz w:val="28"/>
      <w:szCs w:val="28"/>
    </w:rPr>
  </w:style>
  <w:style w:type="paragraph" w:styleId="942">
    <w:name w:val="标题 51"/>
    <w:basedOn w:val="748"/>
    <w:next w:val="935"/>
    <w:link w:val="941"/>
    <w:qFormat/>
    <w:pPr>
      <w:keepNext/>
      <w:outlineLvl w:val="4"/>
    </w:pPr>
    <w:rPr>
      <w:rFonts w:ascii="宋体" w:hAnsi="Times New Roman" w:eastAsia="宋体" w:cs="Times New Roman"/>
      <w:color w:val="000000"/>
      <w:sz w:val="28"/>
      <w:szCs w:val="28"/>
    </w:rPr>
  </w:style>
  <w:style w:type="character" w:styleId="943">
    <w:name w:val="标题 6 Char"/>
    <w:next w:val="943"/>
    <w:link w:val="944"/>
    <w:qFormat/>
    <w:rPr>
      <w:rFonts w:ascii="Arial" w:hAnsi="Arial" w:eastAsia="黑体" w:cs="Times New Roman"/>
      <w:b/>
      <w:bCs/>
      <w:sz w:val="24"/>
      <w:szCs w:val="24"/>
    </w:rPr>
  </w:style>
  <w:style w:type="paragraph" w:styleId="944">
    <w:name w:val="标题 61"/>
    <w:basedOn w:val="748"/>
    <w:next w:val="748"/>
    <w:link w:val="943"/>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45">
    <w:name w:val="标题 7 Char"/>
    <w:next w:val="945"/>
    <w:link w:val="946"/>
    <w:qFormat/>
    <w:rPr>
      <w:rFonts w:ascii="Times New Roman" w:hAnsi="Times New Roman" w:eastAsia="宋体" w:cs="Times New Roman"/>
      <w:b/>
      <w:bCs/>
      <w:sz w:val="24"/>
      <w:szCs w:val="24"/>
    </w:rPr>
  </w:style>
  <w:style w:type="paragraph" w:styleId="946">
    <w:name w:val="标题 71"/>
    <w:basedOn w:val="748"/>
    <w:next w:val="748"/>
    <w:link w:val="94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47">
    <w:name w:val="标题 8 Char"/>
    <w:next w:val="947"/>
    <w:link w:val="948"/>
    <w:qFormat/>
    <w:rPr>
      <w:rFonts w:ascii="Arial" w:hAnsi="Arial" w:eastAsia="黑体" w:cs="Times New Roman"/>
      <w:sz w:val="24"/>
      <w:szCs w:val="24"/>
    </w:rPr>
  </w:style>
  <w:style w:type="paragraph" w:styleId="948">
    <w:name w:val="标题 81"/>
    <w:basedOn w:val="748"/>
    <w:next w:val="748"/>
    <w:link w:val="947"/>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49">
    <w:name w:val="标题 9 Char"/>
    <w:next w:val="949"/>
    <w:link w:val="950"/>
    <w:qFormat/>
    <w:rPr>
      <w:rFonts w:ascii="Arial" w:hAnsi="Arial" w:eastAsia="黑体" w:cs="Times New Roman"/>
      <w:szCs w:val="21"/>
    </w:rPr>
  </w:style>
  <w:style w:type="paragraph" w:styleId="950">
    <w:name w:val="标题 91"/>
    <w:basedOn w:val="748"/>
    <w:next w:val="748"/>
    <w:link w:val="949"/>
    <w:qFormat/>
    <w:pPr>
      <w:numPr>
        <w:ilvl w:val="8"/>
        <w:numId w:val="1"/>
      </w:numPr>
      <w:keepLines/>
      <w:keepNext/>
      <w:spacing w:before="240" w:after="64" w:line="320" w:lineRule="auto"/>
      <w:outlineLvl w:val="8"/>
    </w:pPr>
    <w:rPr>
      <w:rFonts w:ascii="Arial" w:hAnsi="Arial" w:eastAsia="黑体" w:cs="Times New Roman"/>
      <w:szCs w:val="21"/>
    </w:rPr>
  </w:style>
  <w:style w:type="character" w:styleId="951">
    <w:name w:val="批注主题 Char"/>
    <w:next w:val="951"/>
    <w:link w:val="952"/>
    <w:semiHidden/>
    <w:qFormat/>
    <w:rPr>
      <w:rFonts w:ascii="Times New Roman" w:hAnsi="Times New Roman" w:eastAsia="宋体" w:cs="Times New Roman"/>
      <w:b/>
      <w:bCs/>
      <w:szCs w:val="21"/>
    </w:rPr>
  </w:style>
  <w:style w:type="paragraph" w:styleId="952">
    <w:name w:val="批注主题1"/>
    <w:basedOn w:val="953"/>
    <w:next w:val="953"/>
    <w:link w:val="951"/>
    <w:semiHidden/>
    <w:qFormat/>
    <w:rPr>
      <w:rFonts w:ascii="Times New Roman" w:hAnsi="Times New Roman" w:eastAsia="宋体" w:cs="Times New Roman"/>
      <w:b/>
      <w:bCs/>
      <w:szCs w:val="21"/>
    </w:rPr>
  </w:style>
  <w:style w:type="paragraph" w:styleId="953">
    <w:name w:val="批注文字1"/>
    <w:basedOn w:val="748"/>
    <w:next w:val="953"/>
    <w:link w:val="954"/>
    <w:unhideWhenUsed/>
    <w:qFormat/>
    <w:pPr>
      <w:jc w:val="left"/>
    </w:pPr>
  </w:style>
  <w:style w:type="character" w:styleId="954">
    <w:name w:val="批注文字 Char"/>
    <w:next w:val="954"/>
    <w:link w:val="953"/>
    <w:uiPriority w:val="99"/>
    <w:semiHidden/>
    <w:qFormat/>
  </w:style>
  <w:style w:type="character" w:styleId="955">
    <w:name w:val="正文首行缩进 Char"/>
    <w:next w:val="955"/>
    <w:link w:val="956"/>
    <w:qFormat/>
    <w:rPr>
      <w:rFonts w:ascii="仿宋_GB2312" w:hAnsi="Times New Roman" w:eastAsia="仿宋_GB2312" w:cs="Times New Roman"/>
      <w:sz w:val="30"/>
      <w:szCs w:val="30"/>
    </w:rPr>
  </w:style>
  <w:style w:type="paragraph" w:styleId="956">
    <w:name w:val="正文首行缩进1"/>
    <w:basedOn w:val="748"/>
    <w:next w:val="956"/>
    <w:link w:val="955"/>
    <w:qFormat/>
    <w:pPr>
      <w:ind w:firstLine="200"/>
      <w:spacing w:line="360" w:lineRule="auto"/>
    </w:pPr>
    <w:rPr>
      <w:rFonts w:ascii="仿宋_GB2312" w:hAnsi="Times New Roman" w:eastAsia="仿宋_GB2312" w:cs="Times New Roman"/>
      <w:sz w:val="30"/>
      <w:szCs w:val="30"/>
    </w:rPr>
  </w:style>
  <w:style w:type="character" w:styleId="957">
    <w:name w:val="文档结构图 Char"/>
    <w:next w:val="957"/>
    <w:link w:val="958"/>
    <w:semiHidden/>
    <w:qFormat/>
    <w:rPr>
      <w:rFonts w:ascii="Times New Roman" w:hAnsi="Times New Roman" w:eastAsia="宋体" w:cs="Times New Roman"/>
      <w:szCs w:val="21"/>
      <w:shd w:val="clear" w:color="auto" w:fill="000080"/>
    </w:rPr>
  </w:style>
  <w:style w:type="paragraph" w:styleId="958">
    <w:name w:val="文档结构图1"/>
    <w:basedOn w:val="748"/>
    <w:next w:val="958"/>
    <w:link w:val="957"/>
    <w:semiHidden/>
    <w:qFormat/>
    <w:pPr>
      <w:shd w:val="clear" w:color="auto" w:fill="000080"/>
    </w:pPr>
    <w:rPr>
      <w:rFonts w:ascii="Times New Roman" w:hAnsi="Times New Roman" w:eastAsia="宋体" w:cs="Times New Roman"/>
      <w:szCs w:val="21"/>
    </w:rPr>
  </w:style>
  <w:style w:type="character" w:styleId="959">
    <w:name w:val="正文文本 3 Char"/>
    <w:next w:val="959"/>
    <w:link w:val="960"/>
    <w:qFormat/>
    <w:rPr>
      <w:rFonts w:ascii="仿宋_GB2312" w:hAnsi="Arial" w:eastAsia="仿宋_GB2312" w:cs="Times New Roman"/>
      <w:sz w:val="32"/>
      <w:szCs w:val="32"/>
    </w:rPr>
  </w:style>
  <w:style w:type="paragraph" w:styleId="960">
    <w:name w:val="正文文本 31"/>
    <w:basedOn w:val="748"/>
    <w:next w:val="960"/>
    <w:link w:val="959"/>
    <w:qFormat/>
    <w:rPr>
      <w:rFonts w:ascii="仿宋_GB2312" w:hAnsi="Arial" w:eastAsia="仿宋_GB2312" w:cs="Times New Roman"/>
      <w:sz w:val="32"/>
      <w:szCs w:val="32"/>
    </w:rPr>
  </w:style>
  <w:style w:type="character" w:styleId="961">
    <w:name w:val="正文文本 Char"/>
    <w:next w:val="961"/>
    <w:link w:val="962"/>
    <w:qFormat/>
    <w:rPr>
      <w:rFonts w:ascii="楷体_GB2312" w:hAnsi="Arial" w:eastAsia="楷体_GB2312" w:cs="Times New Roman"/>
      <w:sz w:val="28"/>
      <w:szCs w:val="28"/>
    </w:rPr>
  </w:style>
  <w:style w:type="paragraph" w:styleId="962">
    <w:name w:val="正文文本1"/>
    <w:basedOn w:val="748"/>
    <w:next w:val="962"/>
    <w:link w:val="961"/>
    <w:qFormat/>
    <w:rPr>
      <w:rFonts w:ascii="楷体_GB2312" w:hAnsi="Arial" w:eastAsia="楷体_GB2312" w:cs="Times New Roman"/>
      <w:sz w:val="28"/>
      <w:szCs w:val="28"/>
    </w:rPr>
  </w:style>
  <w:style w:type="character" w:styleId="963">
    <w:name w:val="正文文本缩进 Char"/>
    <w:next w:val="963"/>
    <w:link w:val="964"/>
    <w:uiPriority w:val="99"/>
    <w:semiHidden/>
    <w:qFormat/>
  </w:style>
  <w:style w:type="paragraph" w:styleId="964">
    <w:name w:val="正文文本缩进1"/>
    <w:basedOn w:val="748"/>
    <w:next w:val="964"/>
    <w:link w:val="963"/>
    <w:unhideWhenUsed/>
    <w:qFormat/>
    <w:pPr>
      <w:ind w:left="420"/>
      <w:spacing w:after="120"/>
    </w:pPr>
  </w:style>
  <w:style w:type="character" w:styleId="965">
    <w:name w:val="纯文本 Char"/>
    <w:next w:val="965"/>
    <w:link w:val="966"/>
    <w:qFormat/>
    <w:rPr>
      <w:rFonts w:ascii="宋体" w:hAnsi="Courier New" w:eastAsia="宋体" w:cs="Courier New"/>
      <w:szCs w:val="21"/>
    </w:rPr>
  </w:style>
  <w:style w:type="paragraph" w:styleId="966">
    <w:name w:val="纯文本1"/>
    <w:basedOn w:val="748"/>
    <w:next w:val="966"/>
    <w:link w:val="965"/>
    <w:qFormat/>
    <w:rPr>
      <w:rFonts w:ascii="宋体" w:hAnsi="Courier New" w:eastAsia="宋体" w:cs="Courier New"/>
      <w:szCs w:val="21"/>
    </w:rPr>
  </w:style>
  <w:style w:type="character" w:styleId="967">
    <w:name w:val="日期 Char"/>
    <w:next w:val="967"/>
    <w:link w:val="968"/>
    <w:qFormat/>
    <w:rPr>
      <w:rFonts w:ascii="Times New Roman" w:hAnsi="Times New Roman" w:eastAsia="宋体" w:cs="Times New Roman"/>
      <w:sz w:val="24"/>
      <w:szCs w:val="24"/>
    </w:rPr>
  </w:style>
  <w:style w:type="paragraph" w:styleId="968">
    <w:name w:val="日期1"/>
    <w:basedOn w:val="748"/>
    <w:next w:val="748"/>
    <w:link w:val="967"/>
    <w:qFormat/>
    <w:rPr>
      <w:rFonts w:ascii="Times New Roman" w:hAnsi="Times New Roman" w:eastAsia="宋体" w:cs="Times New Roman"/>
      <w:sz w:val="24"/>
      <w:szCs w:val="24"/>
    </w:rPr>
  </w:style>
  <w:style w:type="character" w:styleId="969">
    <w:name w:val="正文文本缩进 2 Char"/>
    <w:next w:val="969"/>
    <w:link w:val="970"/>
    <w:qFormat/>
    <w:rPr>
      <w:rFonts w:ascii="Arial" w:hAnsi="Arial" w:eastAsia="仿宋_GB2312" w:cs="Arial"/>
      <w:sz w:val="32"/>
      <w:szCs w:val="32"/>
    </w:rPr>
  </w:style>
  <w:style w:type="paragraph" w:styleId="970">
    <w:name w:val="正文文本缩进 21"/>
    <w:basedOn w:val="748"/>
    <w:next w:val="970"/>
    <w:link w:val="969"/>
    <w:qFormat/>
    <w:pPr>
      <w:ind w:left="630" w:firstLine="645"/>
    </w:pPr>
    <w:rPr>
      <w:rFonts w:ascii="Arial" w:hAnsi="Arial" w:eastAsia="仿宋_GB2312" w:cs="Arial"/>
      <w:sz w:val="32"/>
      <w:szCs w:val="32"/>
    </w:rPr>
  </w:style>
  <w:style w:type="character" w:styleId="971">
    <w:name w:val="批注框文本 Char"/>
    <w:next w:val="971"/>
    <w:link w:val="972"/>
    <w:semiHidden/>
    <w:qFormat/>
    <w:rPr>
      <w:rFonts w:ascii="Times New Roman" w:hAnsi="Times New Roman" w:eastAsia="宋体" w:cs="Times New Roman"/>
      <w:sz w:val="18"/>
      <w:szCs w:val="18"/>
    </w:rPr>
  </w:style>
  <w:style w:type="paragraph" w:styleId="972">
    <w:name w:val="批注框文本1"/>
    <w:basedOn w:val="748"/>
    <w:next w:val="972"/>
    <w:link w:val="971"/>
    <w:semiHidden/>
    <w:qFormat/>
    <w:rPr>
      <w:rFonts w:ascii="Times New Roman" w:hAnsi="Times New Roman" w:eastAsia="宋体" w:cs="Times New Roman"/>
      <w:sz w:val="18"/>
      <w:szCs w:val="18"/>
    </w:rPr>
  </w:style>
  <w:style w:type="character" w:styleId="973">
    <w:name w:val="页脚 Char"/>
    <w:next w:val="973"/>
    <w:link w:val="974"/>
    <w:uiPriority w:val="99"/>
    <w:qFormat/>
    <w:rPr>
      <w:rFonts w:ascii="Times New Roman" w:hAnsi="Times New Roman" w:eastAsia="宋体" w:cs="Times New Roman"/>
      <w:sz w:val="18"/>
      <w:szCs w:val="18"/>
    </w:rPr>
  </w:style>
  <w:style w:type="paragraph" w:styleId="974">
    <w:name w:val="页脚1"/>
    <w:basedOn w:val="748"/>
    <w:next w:val="974"/>
    <w:link w:val="97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75">
    <w:name w:val="正文首行缩进 2 Char"/>
    <w:next w:val="975"/>
    <w:link w:val="976"/>
    <w:qFormat/>
    <w:rPr>
      <w:rFonts w:ascii="宋体" w:hAnsi="宋体" w:eastAsia="宋体" w:cs="Times New Roman"/>
      <w:szCs w:val="20"/>
    </w:rPr>
  </w:style>
  <w:style w:type="paragraph" w:styleId="976">
    <w:name w:val="正文首行缩进 21"/>
    <w:basedOn w:val="964"/>
    <w:next w:val="976"/>
    <w:link w:val="975"/>
    <w:qFormat/>
    <w:pPr>
      <w:ind w:left="0" w:firstLine="420"/>
      <w:spacing w:after="0" w:line="360" w:lineRule="auto"/>
    </w:pPr>
    <w:rPr>
      <w:rFonts w:ascii="宋体" w:hAnsi="宋体" w:eastAsia="宋体" w:cs="Times New Roman"/>
      <w:szCs w:val="20"/>
    </w:rPr>
  </w:style>
  <w:style w:type="character" w:styleId="977">
    <w:name w:val="页眉 Char"/>
    <w:next w:val="977"/>
    <w:link w:val="978"/>
    <w:qFormat/>
    <w:rPr>
      <w:rFonts w:ascii="Times New Roman" w:hAnsi="Times New Roman" w:eastAsia="宋体" w:cs="Times New Roman"/>
      <w:sz w:val="18"/>
      <w:szCs w:val="18"/>
    </w:rPr>
  </w:style>
  <w:style w:type="paragraph" w:styleId="978">
    <w:name w:val="页眉1"/>
    <w:basedOn w:val="748"/>
    <w:next w:val="978"/>
    <w:link w:val="97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9">
    <w:name w:val="正文文本缩进 3 Char"/>
    <w:next w:val="979"/>
    <w:link w:val="980"/>
    <w:qFormat/>
    <w:rPr>
      <w:rFonts w:ascii="Arial" w:hAnsi="Arial" w:eastAsia="仿宋_GB2312" w:cs="Arial"/>
      <w:color w:val="ffff00"/>
      <w:sz w:val="32"/>
      <w:szCs w:val="32"/>
    </w:rPr>
  </w:style>
  <w:style w:type="paragraph" w:styleId="980">
    <w:name w:val="正文文本缩进 31"/>
    <w:basedOn w:val="748"/>
    <w:next w:val="980"/>
    <w:link w:val="979"/>
    <w:qFormat/>
    <w:pPr>
      <w:ind w:left="645" w:firstLine="645"/>
    </w:pPr>
    <w:rPr>
      <w:rFonts w:ascii="Arial" w:hAnsi="Arial" w:eastAsia="仿宋_GB2312" w:cs="Arial"/>
      <w:color w:val="ffff00"/>
      <w:sz w:val="32"/>
      <w:szCs w:val="32"/>
    </w:rPr>
  </w:style>
  <w:style w:type="character" w:styleId="981">
    <w:name w:val="正文文本 2 Char"/>
    <w:next w:val="981"/>
    <w:link w:val="982"/>
    <w:qFormat/>
    <w:rPr>
      <w:rFonts w:ascii="楷体_GB2312" w:hAnsi="Times New Roman" w:eastAsia="楷体_GB2312" w:cs="Times New Roman"/>
      <w:sz w:val="28"/>
      <w:szCs w:val="28"/>
    </w:rPr>
  </w:style>
  <w:style w:type="paragraph" w:styleId="982">
    <w:name w:val="正文文本 21"/>
    <w:basedOn w:val="748"/>
    <w:next w:val="982"/>
    <w:link w:val="981"/>
    <w:qFormat/>
    <w:pPr>
      <w:jc w:val="center"/>
      <w:widowControl/>
    </w:pPr>
    <w:rPr>
      <w:rFonts w:ascii="楷体_GB2312" w:hAnsi="Times New Roman" w:eastAsia="楷体_GB2312" w:cs="Times New Roman"/>
      <w:sz w:val="28"/>
      <w:szCs w:val="28"/>
    </w:rPr>
  </w:style>
  <w:style w:type="paragraph" w:styleId="983">
    <w:name w:val="List Paragraph"/>
    <w:basedOn w:val="748"/>
    <w:next w:val="983"/>
    <w:link w:val="748"/>
    <w:uiPriority w:val="34"/>
    <w:qFormat/>
    <w:pPr>
      <w:contextualSpacing/>
      <w:ind w:left="720"/>
    </w:pPr>
  </w:style>
  <w:style w:type="paragraph" w:styleId="984">
    <w:name w:val="No Spacing"/>
    <w:next w:val="984"/>
    <w:link w:val="748"/>
    <w:uiPriority w:val="1"/>
    <w:qFormat/>
    <w:pPr>
      <w:spacing w:before="0" w:after="0" w:line="240" w:lineRule="auto"/>
    </w:pPr>
    <w:rPr>
      <w:rFonts w:ascii="Times New Roman" w:hAnsi="Times New Roman" w:eastAsia="宋体" w:cs="Times New Roman"/>
      <w:lang w:eastAsia="zh-CN"/>
    </w:rPr>
  </w:style>
  <w:style w:type="paragraph" w:styleId="985">
    <w:name w:val="Quote"/>
    <w:basedOn w:val="748"/>
    <w:next w:val="748"/>
    <w:link w:val="986"/>
    <w:uiPriority w:val="29"/>
    <w:qFormat/>
    <w:pPr>
      <w:ind w:left="720" w:right="720"/>
    </w:pPr>
    <w:rPr>
      <w:i/>
    </w:rPr>
  </w:style>
  <w:style w:type="character" w:styleId="986">
    <w:name w:val="Quote Char Char"/>
    <w:next w:val="986"/>
    <w:link w:val="985"/>
    <w:uiPriority w:val="29"/>
    <w:qFormat/>
    <w:rPr>
      <w:i/>
    </w:rPr>
  </w:style>
  <w:style w:type="paragraph" w:styleId="987">
    <w:name w:val="Intense Quote"/>
    <w:basedOn w:val="748"/>
    <w:next w:val="748"/>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Char"/>
    <w:next w:val="988"/>
    <w:link w:val="987"/>
    <w:uiPriority w:val="30"/>
    <w:qFormat/>
    <w:rPr>
      <w:i/>
    </w:rPr>
  </w:style>
  <w:style w:type="paragraph" w:styleId="989">
    <w:name w:val="TOC Heading"/>
    <w:next w:val="989"/>
    <w:link w:val="748"/>
    <w:uiPriority w:val="39"/>
    <w:unhideWhenUsed/>
    <w:qFormat/>
    <w:rPr>
      <w:rFonts w:ascii="Times New Roman" w:hAnsi="Times New Roman" w:eastAsia="宋体" w:cs="Times New Roman"/>
      <w:lang w:eastAsia="zh-CN"/>
    </w:rPr>
  </w:style>
  <w:style w:type="paragraph" w:styleId="990">
    <w:name w:val="列表 31"/>
    <w:basedOn w:val="748"/>
    <w:next w:val="990"/>
    <w:link w:val="748"/>
    <w:qFormat/>
    <w:pPr>
      <w:ind w:left="100" w:hanging="200"/>
    </w:pPr>
    <w:rPr>
      <w:rFonts w:ascii="Times New Roman" w:hAnsi="Times New Roman" w:eastAsia="宋体" w:cs="Times New Roman"/>
      <w:szCs w:val="21"/>
    </w:rPr>
  </w:style>
  <w:style w:type="paragraph" w:styleId="991">
    <w:name w:val="目录 71"/>
    <w:basedOn w:val="748"/>
    <w:next w:val="748"/>
    <w:link w:val="748"/>
    <w:semiHidden/>
    <w:qFormat/>
    <w:pPr>
      <w:ind w:left="1260"/>
      <w:jc w:val="left"/>
    </w:pPr>
    <w:rPr>
      <w:rFonts w:ascii="Times New Roman" w:hAnsi="Times New Roman" w:eastAsia="宋体" w:cs="Times New Roman"/>
      <w:szCs w:val="21"/>
    </w:rPr>
  </w:style>
  <w:style w:type="paragraph" w:styleId="992">
    <w:name w:val="列表 21"/>
    <w:basedOn w:val="748"/>
    <w:next w:val="992"/>
    <w:link w:val="748"/>
    <w:qFormat/>
    <w:pPr>
      <w:ind w:left="100" w:hanging="200"/>
    </w:pPr>
    <w:rPr>
      <w:rFonts w:ascii="Times New Roman" w:hAnsi="Times New Roman" w:eastAsia="宋体" w:cs="Times New Roman"/>
      <w:szCs w:val="21"/>
    </w:rPr>
  </w:style>
  <w:style w:type="paragraph" w:styleId="993">
    <w:name w:val="文本块1"/>
    <w:basedOn w:val="748"/>
    <w:next w:val="993"/>
    <w:link w:val="748"/>
    <w:uiPriority w:val="99"/>
    <w:qFormat/>
    <w:pPr>
      <w:ind w:left="1440" w:right="1440"/>
      <w:spacing w:after="120"/>
    </w:pPr>
    <w:rPr>
      <w:szCs w:val="24"/>
    </w:rPr>
  </w:style>
  <w:style w:type="paragraph" w:styleId="994">
    <w:name w:val="目录 51"/>
    <w:basedOn w:val="748"/>
    <w:next w:val="748"/>
    <w:link w:val="748"/>
    <w:semiHidden/>
    <w:qFormat/>
    <w:pPr>
      <w:ind w:left="840"/>
      <w:jc w:val="left"/>
    </w:pPr>
    <w:rPr>
      <w:rFonts w:ascii="Times New Roman" w:hAnsi="Times New Roman" w:eastAsia="宋体" w:cs="Times New Roman"/>
      <w:szCs w:val="21"/>
    </w:rPr>
  </w:style>
  <w:style w:type="paragraph" w:styleId="995">
    <w:name w:val="目录 31"/>
    <w:basedOn w:val="748"/>
    <w:next w:val="748"/>
    <w:link w:val="748"/>
    <w:semiHidden/>
    <w:qFormat/>
    <w:pPr>
      <w:ind w:left="420"/>
      <w:jc w:val="left"/>
    </w:pPr>
    <w:rPr>
      <w:rFonts w:ascii="Times New Roman" w:hAnsi="Times New Roman" w:eastAsia="宋体" w:cs="Times New Roman"/>
      <w:i/>
      <w:iCs/>
      <w:szCs w:val="24"/>
    </w:rPr>
  </w:style>
  <w:style w:type="paragraph" w:styleId="996">
    <w:name w:val="目录 81"/>
    <w:basedOn w:val="748"/>
    <w:next w:val="748"/>
    <w:link w:val="748"/>
    <w:semiHidden/>
    <w:qFormat/>
    <w:pPr>
      <w:ind w:left="1470"/>
      <w:jc w:val="left"/>
    </w:pPr>
    <w:rPr>
      <w:rFonts w:ascii="Times New Roman" w:hAnsi="Times New Roman" w:eastAsia="宋体" w:cs="Times New Roman"/>
      <w:szCs w:val="21"/>
    </w:rPr>
  </w:style>
  <w:style w:type="paragraph" w:styleId="997">
    <w:name w:val="目录 11"/>
    <w:basedOn w:val="748"/>
    <w:next w:val="748"/>
    <w:link w:val="748"/>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8">
    <w:name w:val="目录 41"/>
    <w:basedOn w:val="748"/>
    <w:next w:val="748"/>
    <w:link w:val="748"/>
    <w:semiHidden/>
    <w:qFormat/>
    <w:pPr>
      <w:ind w:left="630"/>
      <w:jc w:val="left"/>
    </w:pPr>
    <w:rPr>
      <w:rFonts w:ascii="Times New Roman" w:hAnsi="Times New Roman" w:eastAsia="宋体" w:cs="Times New Roman"/>
      <w:szCs w:val="21"/>
    </w:rPr>
  </w:style>
  <w:style w:type="paragraph" w:styleId="999">
    <w:name w:val="列表1"/>
    <w:basedOn w:val="748"/>
    <w:next w:val="999"/>
    <w:link w:val="748"/>
    <w:qFormat/>
    <w:pPr>
      <w:ind w:left="200" w:hanging="200"/>
    </w:pPr>
    <w:rPr>
      <w:rFonts w:ascii="Times New Roman" w:hAnsi="Times New Roman" w:eastAsia="宋体" w:cs="Times New Roman"/>
      <w:szCs w:val="21"/>
    </w:rPr>
  </w:style>
  <w:style w:type="paragraph" w:styleId="1000">
    <w:name w:val="目录 61"/>
    <w:basedOn w:val="748"/>
    <w:next w:val="748"/>
    <w:link w:val="748"/>
    <w:semiHidden/>
    <w:qFormat/>
    <w:pPr>
      <w:ind w:left="1050"/>
      <w:jc w:val="left"/>
    </w:pPr>
    <w:rPr>
      <w:rFonts w:ascii="Times New Roman" w:hAnsi="Times New Roman" w:eastAsia="宋体" w:cs="Times New Roman"/>
      <w:szCs w:val="21"/>
    </w:rPr>
  </w:style>
  <w:style w:type="paragraph" w:styleId="1001">
    <w:name w:val="图表目录1"/>
    <w:basedOn w:val="748"/>
    <w:next w:val="748"/>
    <w:link w:val="748"/>
    <w:semiHidden/>
    <w:qFormat/>
    <w:pPr>
      <w:ind w:left="840" w:hanging="420"/>
    </w:pPr>
    <w:rPr>
      <w:rFonts w:ascii="Times New Roman" w:hAnsi="Times New Roman" w:eastAsia="宋体" w:cs="Times New Roman"/>
      <w:szCs w:val="21"/>
    </w:rPr>
  </w:style>
  <w:style w:type="paragraph" w:styleId="1002">
    <w:name w:val="目录 21"/>
    <w:basedOn w:val="748"/>
    <w:next w:val="748"/>
    <w:link w:val="748"/>
    <w:semiHidden/>
    <w:qFormat/>
    <w:pPr>
      <w:ind w:left="210"/>
      <w:jc w:val="left"/>
    </w:pPr>
    <w:rPr>
      <w:rFonts w:ascii="Times New Roman" w:hAnsi="Times New Roman" w:eastAsia="宋体" w:cs="Times New Roman"/>
      <w:smallCaps/>
      <w:szCs w:val="24"/>
    </w:rPr>
  </w:style>
  <w:style w:type="paragraph" w:styleId="1003">
    <w:name w:val="目录 91"/>
    <w:basedOn w:val="748"/>
    <w:next w:val="748"/>
    <w:link w:val="748"/>
    <w:semiHidden/>
    <w:qFormat/>
    <w:pPr>
      <w:ind w:left="1680"/>
      <w:jc w:val="left"/>
    </w:pPr>
    <w:rPr>
      <w:rFonts w:ascii="Times New Roman" w:hAnsi="Times New Roman" w:eastAsia="宋体" w:cs="Times New Roman"/>
      <w:szCs w:val="21"/>
    </w:rPr>
  </w:style>
  <w:style w:type="paragraph" w:styleId="1004">
    <w:name w:val="普通(网站)1"/>
    <w:basedOn w:val="748"/>
    <w:next w:val="1004"/>
    <w:link w:val="748"/>
    <w:uiPriority w:val="99"/>
    <w:qFormat/>
    <w:pPr>
      <w:jc w:val="left"/>
      <w:spacing w:before="100" w:beforeAutospacing="1" w:after="100" w:afterAutospacing="1"/>
      <w:widowControl/>
    </w:pPr>
    <w:rPr>
      <w:rFonts w:ascii="宋体" w:hAnsi="宋体" w:eastAsia="宋体" w:cs="宋体"/>
      <w:sz w:val="24"/>
      <w:szCs w:val="24"/>
    </w:rPr>
  </w:style>
  <w:style w:type="paragraph" w:styleId="1005">
    <w:name w:val="索引 11"/>
    <w:basedOn w:val="748"/>
    <w:next w:val="748"/>
    <w:link w:val="748"/>
    <w:semiHidden/>
    <w:qFormat/>
    <w:pPr>
      <w:spacing w:line="240" w:lineRule="atLeast"/>
    </w:pPr>
    <w:rPr>
      <w:rFonts w:ascii="Times New Roman" w:hAnsi="Times New Roman" w:eastAsia="宋体" w:cs="Times New Roman"/>
      <w:b/>
      <w:bCs/>
      <w:szCs w:val="21"/>
    </w:rPr>
  </w:style>
  <w:style w:type="paragraph" w:styleId="1006">
    <w:name w:val="二级目录"/>
    <w:next w:val="748"/>
    <w:link w:val="1007"/>
    <w:qFormat/>
    <w:pPr>
      <w:numPr>
        <w:ilvl w:val="0"/>
        <w:numId w:val="2"/>
      </w:numPr>
      <w:ind w:left="907" w:hanging="907"/>
      <w:tabs>
        <w:tab w:val="left" w:pos="907" w:leader="none"/>
        <w:tab w:val="left" w:pos="1145" w:leader="none"/>
      </w:tabs>
      <w:outlineLvl w:val="1"/>
    </w:pPr>
    <w:rPr>
      <w:rFonts w:ascii="Times New Roman" w:hAnsi="Times New Roman" w:eastAsia="宋体" w:cs="Times New Roman"/>
      <w:b/>
      <w:sz w:val="30"/>
      <w:szCs w:val="28"/>
      <w:lang w:eastAsia="zh-CN"/>
    </w:rPr>
  </w:style>
  <w:style w:type="character" w:styleId="1007">
    <w:name w:val="二级目录 Char Char"/>
    <w:next w:val="1007"/>
    <w:link w:val="1006"/>
    <w:qFormat/>
    <w:rPr>
      <w:b/>
      <w:sz w:val="30"/>
      <w:szCs w:val="28"/>
    </w:rPr>
  </w:style>
  <w:style w:type="paragraph" w:styleId="1008">
    <w:name w:val="列出段落1"/>
    <w:basedOn w:val="748"/>
    <w:next w:val="1008"/>
    <w:link w:val="1009"/>
    <w:qFormat/>
    <w:pPr>
      <w:contextualSpacing/>
      <w:ind w:left="720"/>
      <w:jc w:val="left"/>
      <w:widowControl/>
    </w:pPr>
    <w:rPr>
      <w:rFonts w:ascii="Calibri" w:hAnsi="Calibri"/>
      <w:sz w:val="24"/>
      <w:szCs w:val="24"/>
      <w:lang w:eastAsia="en-US" w:bidi="en-US"/>
    </w:rPr>
  </w:style>
  <w:style w:type="character" w:styleId="1009">
    <w:name w:val="列出段落 Char Char"/>
    <w:next w:val="1009"/>
    <w:link w:val="1008"/>
    <w:qFormat/>
    <w:rPr>
      <w:rFonts w:ascii="Calibri" w:hAnsi="Calibri"/>
      <w:sz w:val="24"/>
      <w:szCs w:val="24"/>
      <w:lang w:eastAsia="en-US" w:bidi="en-US"/>
    </w:rPr>
  </w:style>
  <w:style w:type="paragraph" w:styleId="1010">
    <w:name w:val="Body Text(ch)"/>
    <w:basedOn w:val="748"/>
    <w:next w:val="962"/>
    <w:link w:val="748"/>
    <w:qFormat/>
    <w:pPr>
      <w:spacing w:after="120"/>
    </w:pPr>
    <w:rPr>
      <w:rFonts w:ascii="宋体" w:hAnsi="Arial" w:eastAsia="宋体" w:cs="Times New Roman"/>
      <w:bCs/>
      <w:iCs/>
      <w:szCs w:val="24"/>
    </w:rPr>
  </w:style>
  <w:style w:type="paragraph" w:styleId="1011">
    <w:name w:val="xl27"/>
    <w:basedOn w:val="748"/>
    <w:next w:val="1011"/>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6"/>
    <w:basedOn w:val="748"/>
    <w:next w:val="1012"/>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Char"/>
    <w:basedOn w:val="748"/>
    <w:next w:val="1013"/>
    <w:link w:val="748"/>
    <w:qFormat/>
    <w:pPr>
      <w:ind w:firstLine="200"/>
      <w:tabs>
        <w:tab w:val="left" w:pos="360" w:leader="none"/>
      </w:tabs>
    </w:pPr>
    <w:rPr>
      <w:rFonts w:ascii="Times New Roman" w:hAnsi="Times New Roman" w:eastAsia="宋体" w:cs="Times New Roman"/>
      <w:sz w:val="28"/>
      <w:szCs w:val="30"/>
    </w:rPr>
  </w:style>
  <w:style w:type="paragraph" w:styleId="1014">
    <w:name w:val=" Char"/>
    <w:basedOn w:val="958"/>
    <w:next w:val="1014"/>
    <w:link w:val="748"/>
    <w:qFormat/>
    <w:rPr>
      <w:rFonts w:ascii="Tahoma" w:hAnsi="Tahoma"/>
      <w:sz w:val="24"/>
      <w:szCs w:val="24"/>
    </w:rPr>
  </w:style>
  <w:style w:type="paragraph" w:styleId="1015">
    <w:name w:val="普通正文"/>
    <w:basedOn w:val="748"/>
    <w:next w:val="1015"/>
    <w:link w:val="748"/>
    <w:qFormat/>
    <w:pPr>
      <w:ind w:firstLine="480"/>
      <w:jc w:val="left"/>
      <w:spacing w:before="120" w:after="120" w:line="360" w:lineRule="auto"/>
    </w:pPr>
    <w:rPr>
      <w:rFonts w:ascii="Arial" w:hAnsi="Arial" w:eastAsia="宋体" w:cs="Times New Roman"/>
      <w:sz w:val="24"/>
      <w:szCs w:val="24"/>
    </w:rPr>
  </w:style>
  <w:style w:type="paragraph" w:styleId="1016">
    <w:name w:val="table_lines"/>
    <w:basedOn w:val="748"/>
    <w:next w:val="1016"/>
    <w:link w:val="748"/>
    <w:qFormat/>
    <w:pPr>
      <w:jc w:val="left"/>
      <w:widowControl/>
    </w:pPr>
    <w:rPr>
      <w:rFonts w:ascii="Times New Roman" w:hAnsi="Times New Roman" w:eastAsia="宋体" w:cs="Times New Roman"/>
      <w:sz w:val="20"/>
      <w:szCs w:val="20"/>
    </w:rPr>
  </w:style>
  <w:style w:type="paragraph" w:styleId="1017">
    <w:name w:val="附录1"/>
    <w:next w:val="1017"/>
    <w:link w:val="748"/>
    <w:qFormat/>
    <w:pPr>
      <w:numPr>
        <w:ilvl w:val="0"/>
        <w:numId w:val="2"/>
      </w:numPr>
      <w:ind w:left="907" w:hanging="907"/>
      <w:spacing w:before="240" w:line="600" w:lineRule="atLeast"/>
      <w:tabs>
        <w:tab w:val="left" w:pos="907" w:leader="none"/>
      </w:tabs>
    </w:pPr>
    <w:rPr>
      <w:rFonts w:ascii="Times New Roman" w:hAnsi="Times New Roman" w:eastAsia="宋体" w:cs="Times New Roman"/>
      <w:b/>
      <w:i/>
      <w:sz w:val="28"/>
      <w:lang w:eastAsia="zh-CN"/>
    </w:rPr>
  </w:style>
  <w:style w:type="paragraph" w:styleId="1018">
    <w:name w:val="font7"/>
    <w:basedOn w:val="748"/>
    <w:next w:val="1018"/>
    <w:link w:val="748"/>
    <w:qFormat/>
    <w:pPr>
      <w:jc w:val="left"/>
      <w:spacing w:before="100" w:beforeAutospacing="1" w:after="100" w:afterAutospacing="1"/>
      <w:widowControl/>
    </w:pPr>
    <w:rPr>
      <w:rFonts w:hint="eastAsia" w:ascii="宋体" w:hAnsi="宋体" w:eastAsia="宋体" w:cs="Times New Roman"/>
      <w:sz w:val="18"/>
      <w:szCs w:val="18"/>
    </w:rPr>
  </w:style>
  <w:style w:type="paragraph" w:styleId="1019">
    <w:name w:val=" Char Char Char Char"/>
    <w:basedOn w:val="958"/>
    <w:next w:val="1019"/>
    <w:link w:val="748"/>
    <w:qFormat/>
    <w:pPr>
      <w:spacing w:line="360" w:lineRule="auto"/>
    </w:pPr>
    <w:rPr>
      <w:rFonts w:ascii="Tahoma" w:hAnsi="Tahoma"/>
      <w:sz w:val="24"/>
      <w:szCs w:val="24"/>
    </w:rPr>
  </w:style>
  <w:style w:type="paragraph" w:styleId="1020">
    <w:name w:val="列出段落"/>
    <w:basedOn w:val="748"/>
    <w:next w:val="1020"/>
    <w:link w:val="748"/>
    <w:qFormat/>
    <w:pPr>
      <w:contextualSpacing/>
      <w:ind w:left="720"/>
      <w:jc w:val="left"/>
      <w:widowControl/>
    </w:pPr>
    <w:rPr>
      <w:rFonts w:ascii="Calibri" w:hAnsi="Calibri" w:eastAsia="宋体" w:cs="Times New Roman"/>
      <w:sz w:val="24"/>
      <w:szCs w:val="24"/>
      <w:lang w:eastAsia="en-US" w:bidi="en-US"/>
    </w:rPr>
  </w:style>
  <w:style w:type="paragraph" w:styleId="1021">
    <w:name w:val="4"/>
    <w:basedOn w:val="748"/>
    <w:next w:val="980"/>
    <w:link w:val="748"/>
    <w:qFormat/>
    <w:pPr>
      <w:ind w:firstLine="420"/>
      <w:spacing w:line="360" w:lineRule="auto"/>
    </w:pPr>
    <w:rPr>
      <w:rFonts w:ascii="Times New Roman" w:hAnsi="Times New Roman" w:eastAsia="宋体" w:cs="Times New Roman"/>
      <w:color w:val="ff0000"/>
      <w:sz w:val="24"/>
      <w:szCs w:val="24"/>
    </w:rPr>
  </w:style>
  <w:style w:type="paragraph" w:styleId="1022">
    <w:name w:val="普通 (Web)"/>
    <w:basedOn w:val="748"/>
    <w:next w:val="1022"/>
    <w:link w:val="748"/>
    <w:qFormat/>
    <w:pPr>
      <w:jc w:val="left"/>
      <w:spacing w:before="100" w:beforeAutospacing="1" w:after="100" w:afterAutospacing="1"/>
      <w:widowControl/>
    </w:pPr>
    <w:rPr>
      <w:rFonts w:ascii="宋体" w:hAnsi="宋体" w:eastAsia="宋体" w:cs="Times New Roman"/>
      <w:sz w:val="24"/>
      <w:szCs w:val="24"/>
    </w:rPr>
  </w:style>
  <w:style w:type="paragraph" w:styleId="1023">
    <w:name w:val=" Char Char Char Char Char Char Char Char Char Char"/>
    <w:basedOn w:val="748"/>
    <w:next w:val="1023"/>
    <w:link w:val="748"/>
    <w:qFormat/>
    <w:pPr>
      <w:spacing w:line="360" w:lineRule="auto"/>
    </w:pPr>
    <w:rPr>
      <w:rFonts w:ascii="Times New Roman" w:hAnsi="Times New Roman" w:eastAsia="宋体" w:cs="Times New Roman"/>
      <w:sz w:val="24"/>
      <w:szCs w:val="20"/>
    </w:rPr>
  </w:style>
  <w:style w:type="paragraph" w:styleId="1024">
    <w:name w:val="样式1"/>
    <w:basedOn w:val="748"/>
    <w:next w:val="1024"/>
    <w:link w:val="748"/>
    <w:qFormat/>
    <w:pPr>
      <w:numPr>
        <w:ilvl w:val="0"/>
        <w:numId w:val="3"/>
      </w:numPr>
      <w:tabs>
        <w:tab w:val="left" w:pos="709" w:leader="none"/>
      </w:tabs>
    </w:pPr>
    <w:rPr>
      <w:rFonts w:ascii="宋体" w:hAnsi="宋体" w:eastAsia="宋体" w:cs="Times New Roman"/>
      <w:szCs w:val="21"/>
    </w:rPr>
  </w:style>
  <w:style w:type="paragraph" w:styleId="1025">
    <w:name w:val="font6"/>
    <w:basedOn w:val="748"/>
    <w:next w:val="1025"/>
    <w:link w:val="748"/>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6">
    <w:name w:val="xl25"/>
    <w:basedOn w:val="748"/>
    <w:next w:val="1026"/>
    <w:link w:val="7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748"/>
    <w:next w:val="748"/>
    <w:link w:val="748"/>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8">
    <w:name w:val="标题3"/>
    <w:basedOn w:val="748"/>
    <w:next w:val="748"/>
    <w:link w:val="748"/>
    <w:qFormat/>
    <w:pPr>
      <w:ind w:firstLine="624"/>
      <w:spacing w:line="590" w:lineRule="atLeast"/>
    </w:pPr>
    <w:rPr>
      <w:rFonts w:ascii="方正黑体_GBK" w:hAnsi="Times New Roman" w:eastAsia="方正黑体_GBK" w:cs="Times New Roman"/>
      <w:sz w:val="32"/>
      <w:szCs w:val="32"/>
    </w:rPr>
  </w:style>
  <w:style w:type="paragraph" w:styleId="1029">
    <w:name w:val="xl24"/>
    <w:basedOn w:val="748"/>
    <w:next w:val="1029"/>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xl29"/>
    <w:basedOn w:val="748"/>
    <w:next w:val="1030"/>
    <w:link w:val="748"/>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1">
    <w:name w:val="Char Char Char Char Char Char Char Char"/>
    <w:basedOn w:val="748"/>
    <w:next w:val="1031"/>
    <w:link w:val="748"/>
    <w:qFormat/>
    <w:pPr>
      <w:jc w:val="left"/>
      <w:spacing w:after="160" w:line="240" w:lineRule="exact"/>
      <w:widowControl/>
    </w:pPr>
    <w:rPr>
      <w:rFonts w:ascii="Verdana" w:hAnsi="Verdana" w:eastAsia="宋体" w:cs="Times New Roman"/>
      <w:sz w:val="20"/>
      <w:szCs w:val="20"/>
      <w:lang w:eastAsia="en-US"/>
    </w:rPr>
  </w:style>
  <w:style w:type="paragraph" w:styleId="1032">
    <w:name w:val="xl28"/>
    <w:basedOn w:val="748"/>
    <w:next w:val="1032"/>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3">
    <w:name w:val=" Char Char Char Char Char Char Char Char"/>
    <w:basedOn w:val="748"/>
    <w:next w:val="1033"/>
    <w:link w:val="748"/>
    <w:qFormat/>
    <w:pPr>
      <w:jc w:val="left"/>
      <w:spacing w:after="160" w:line="240" w:lineRule="exact"/>
      <w:widowControl/>
    </w:pPr>
    <w:rPr>
      <w:rFonts w:ascii="Verdana" w:hAnsi="Verdana" w:eastAsia="宋体" w:cs="Times New Roman"/>
      <w:sz w:val="20"/>
      <w:szCs w:val="20"/>
      <w:lang w:eastAsia="en-US"/>
    </w:rPr>
  </w:style>
  <w:style w:type="paragraph" w:styleId="1034">
    <w:name w:val="xl30"/>
    <w:basedOn w:val="748"/>
    <w:next w:val="1034"/>
    <w:link w:val="748"/>
    <w:qFormat/>
    <w:pPr>
      <w:jc w:val="center"/>
      <w:spacing w:before="100" w:beforeAutospacing="1" w:after="100" w:afterAutospacing="1"/>
      <w:widowControl/>
    </w:pPr>
    <w:rPr>
      <w:rFonts w:ascii="宋体" w:hAnsi="宋体" w:eastAsia="宋体" w:cs="Times New Roman"/>
      <w:b/>
      <w:bCs/>
      <w:sz w:val="36"/>
      <w:szCs w:val="36"/>
    </w:rPr>
  </w:style>
  <w:style w:type="paragraph" w:styleId="1035">
    <w:name w:val="Char Char Char Char"/>
    <w:basedOn w:val="958"/>
    <w:next w:val="1035"/>
    <w:link w:val="748"/>
    <w:qFormat/>
    <w:pPr>
      <w:spacing w:line="360" w:lineRule="auto"/>
    </w:pPr>
    <w:rPr>
      <w:rFonts w:ascii="Tahoma" w:hAnsi="Tahoma"/>
      <w:sz w:val="24"/>
      <w:szCs w:val="24"/>
    </w:rPr>
  </w:style>
  <w:style w:type="paragraph" w:styleId="1036">
    <w:name w:val="table_1stline"/>
    <w:basedOn w:val="748"/>
    <w:next w:val="1036"/>
    <w:link w:val="748"/>
    <w:qFormat/>
    <w:pPr>
      <w:jc w:val="left"/>
      <w:spacing w:before="120"/>
      <w:widowControl/>
    </w:pPr>
    <w:rPr>
      <w:rFonts w:ascii="Times New Roman" w:hAnsi="Times New Roman" w:eastAsia="宋体" w:cs="Times New Roman"/>
      <w:bCs/>
      <w:sz w:val="20"/>
      <w:szCs w:val="20"/>
    </w:rPr>
  </w:style>
  <w:style w:type="paragraph" w:styleId="1037">
    <w:name w:val="font5"/>
    <w:basedOn w:val="748"/>
    <w:next w:val="1037"/>
    <w:link w:val="748"/>
    <w:qFormat/>
    <w:pPr>
      <w:jc w:val="left"/>
      <w:spacing w:before="100" w:beforeAutospacing="1" w:after="100" w:afterAutospacing="1"/>
      <w:widowControl/>
    </w:pPr>
    <w:rPr>
      <w:rFonts w:hint="eastAsia" w:ascii="宋体" w:hAnsi="宋体" w:eastAsia="宋体" w:cs="Times New Roman"/>
      <w:sz w:val="28"/>
      <w:szCs w:val="28"/>
    </w:rPr>
  </w:style>
  <w:style w:type="paragraph" w:styleId="1038">
    <w:name w:val="标题1"/>
    <w:basedOn w:val="748"/>
    <w:next w:val="748"/>
    <w:link w:val="748"/>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9">
    <w:name w:val="修订"/>
    <w:next w:val="1039"/>
    <w:link w:val="748"/>
    <w:uiPriority w:val="99"/>
    <w:semiHidden/>
    <w:qFormat/>
    <w:rPr>
      <w:rFonts w:ascii="Times New Roman" w:hAnsi="Times New Roman" w:eastAsia="宋体" w:cs="Times New Roman"/>
      <w:sz w:val="21"/>
      <w:szCs w:val="21"/>
      <w:lang w:eastAsia="zh-CN"/>
    </w:rPr>
  </w:style>
  <w:style w:type="paragraph" w:styleId="1040">
    <w:name w:val="无间隔"/>
    <w:next w:val="1040"/>
    <w:link w:val="748"/>
    <w:uiPriority w:val="99"/>
    <w:qFormat/>
    <w:pPr>
      <w:jc w:val="both"/>
      <w:widowControl w:val="off"/>
    </w:pPr>
    <w:rPr>
      <w:rFonts w:ascii="Times New Roman" w:hAnsi="Times New Roman" w:eastAsia="宋体" w:cs="Times New Roman"/>
      <w:sz w:val="21"/>
      <w:szCs w:val="21"/>
      <w:lang w:eastAsia="zh-CN"/>
    </w:rPr>
  </w:style>
  <w:style w:type="paragraph" w:styleId="1041">
    <w:name w:val="AONormal"/>
    <w:next w:val="1041"/>
    <w:link w:val="748"/>
    <w:qFormat/>
    <w:pPr>
      <w:ind w:firstLine="440"/>
      <w:spacing w:line="400" w:lineRule="exact"/>
    </w:pPr>
    <w:rPr>
      <w:rFonts w:ascii="华文楷体" w:hAnsi="华文楷体" w:eastAsia="华文楷体" w:cs="华文楷体"/>
      <w:sz w:val="22"/>
      <w:szCs w:val="21"/>
      <w:lang w:eastAsia="zh-CN"/>
    </w:rPr>
  </w:style>
  <w:style w:type="paragraph" w:styleId="1042">
    <w:name w:val="正文缩进1"/>
    <w:basedOn w:val="748"/>
    <w:next w:val="748"/>
    <w:link w:val="748"/>
    <w:uiPriority w:val="99"/>
    <w:qFormat/>
    <w:pPr>
      <w:ind w:firstLine="420"/>
    </w:pPr>
    <w:rPr>
      <w:rFonts w:ascii="Times New Roman" w:hAnsi="Times New Roman"/>
      <w:sz w:val="20"/>
      <w:szCs w:val="21"/>
      <w:lang w:eastAsia="en-US"/>
    </w:rPr>
  </w:style>
  <w:style w:type="paragraph" w:styleId="1043">
    <w:name w:val="Table Paragraph"/>
    <w:basedOn w:val="748"/>
    <w:next w:val="1043"/>
    <w:link w:val="748"/>
    <w:qFormat/>
    <w:pPr>
      <w:jc w:val="left"/>
    </w:pPr>
    <w:rPr>
      <w:rFonts w:ascii="宋体" w:hAnsi="宋体" w:cs="宋体"/>
      <w:sz w:val="22"/>
      <w:lang w:val="zh-CN" w:bidi="zh-CN"/>
    </w:rPr>
  </w:style>
  <w:style w:type="character" w:styleId="1044">
    <w:name w:val="默认段落字体1"/>
    <w:next w:val="1044"/>
    <w:link w:val="748"/>
    <w:uiPriority w:val="1"/>
    <w:unhideWhenUsed/>
    <w:qFormat/>
  </w:style>
  <w:style w:type="character" w:styleId="1045">
    <w:name w:val="要点1"/>
    <w:basedOn w:val="1044"/>
    <w:next w:val="1045"/>
    <w:link w:val="748"/>
    <w:qFormat/>
    <w:rPr>
      <w:b/>
      <w:bCs/>
    </w:rPr>
  </w:style>
  <w:style w:type="character" w:styleId="1046">
    <w:name w:val="页码1"/>
    <w:next w:val="1046"/>
    <w:link w:val="748"/>
    <w:qFormat/>
  </w:style>
  <w:style w:type="character" w:styleId="1047">
    <w:name w:val="已访问的超链接1"/>
    <w:next w:val="1047"/>
    <w:link w:val="748"/>
    <w:qFormat/>
    <w:rPr>
      <w:color w:val="800080"/>
      <w:u w:val="single"/>
    </w:rPr>
  </w:style>
  <w:style w:type="character" w:styleId="1048">
    <w:name w:val="强调1"/>
    <w:basedOn w:val="1044"/>
    <w:next w:val="1048"/>
    <w:link w:val="748"/>
    <w:qFormat/>
    <w:rPr>
      <w:i/>
    </w:rPr>
  </w:style>
  <w:style w:type="character" w:styleId="1049">
    <w:name w:val="超链接1"/>
    <w:next w:val="1049"/>
    <w:link w:val="748"/>
    <w:qFormat/>
    <w:rPr>
      <w:color w:val="0000ff"/>
      <w:u w:val="single"/>
    </w:rPr>
  </w:style>
  <w:style w:type="character" w:styleId="1050">
    <w:name w:val="批注引用1"/>
    <w:next w:val="1050"/>
    <w:link w:val="748"/>
    <w:semiHidden/>
    <w:qFormat/>
    <w:rPr>
      <w:sz w:val="21"/>
      <w:szCs w:val="21"/>
    </w:rPr>
  </w:style>
  <w:style w:type="character" w:styleId="1051">
    <w:name w:val="font5 Char Char"/>
    <w:next w:val="1051"/>
    <w:link w:val="748"/>
    <w:qFormat/>
    <w:rPr>
      <w:rFonts w:ascii="宋体" w:hAnsi="宋体" w:eastAsia="宋体"/>
      <w:sz w:val="28"/>
      <w:szCs w:val="28"/>
      <w:lang w:val="en-US" w:eastAsia="zh-CN" w:bidi="ar-SA"/>
    </w:rPr>
  </w:style>
  <w:style w:type="paragraph" w:styleId="1052">
    <w:name w:val="正文_0"/>
    <w:next w:val="1052"/>
    <w:link w:val="748"/>
    <w:qFormat/>
    <w:pPr>
      <w:jc w:val="both"/>
      <w:widowControl w:val="off"/>
    </w:pPr>
    <w:rPr>
      <w:rFonts w:ascii="Times New Roman" w:hAnsi="Times New Roman" w:eastAsia="宋体" w:cs="Times New Roman"/>
      <w:sz w:val="21"/>
      <w:szCs w:val="24"/>
      <w:lang w:eastAsia="zh-CN"/>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pn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dc:creator>
  <cp:lastModifiedBy>王建浩</cp:lastModifiedBy>
  <cp:revision>8</cp:revision>
  <dcterms:created xsi:type="dcterms:W3CDTF">2023-03-16T02:13:00Z</dcterms:created>
  <dcterms:modified xsi:type="dcterms:W3CDTF">2026-03-31T09:24:06Z</dcterms:modified>
</cp:coreProperties>
</file>