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无锡市政府采购</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84"/>
        </w:rPr>
        <w:t xml:space="preserve">公开招标文件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5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52"/>
          <w:highlight w:val="non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52"/>
          <w:highlight w:val="non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52"/>
          <w:highlight w:val="none"/>
        </w:rPr>
        <w:t xml:space="preserve"> </w:t>
      </w:r>
      <w:r/>
    </w:p>
    <w:p>
      <w:pPr>
        <w:ind w:left="0" w:right="0" w:firstLine="12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项目编号：JSZC-320200-YZDC-G2026-0009</w:t>
      </w:r>
      <w:r/>
    </w:p>
    <w:p>
      <w:pPr>
        <w:ind w:left="2738" w:right="0" w:hanging="1478"/>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项目名称：市局机关2026-2028年保安服务</w:t>
      </w:r>
      <w:r/>
    </w:p>
    <w:p>
      <w:pPr>
        <w:ind w:left="0" w:right="0" w:firstLine="12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采 购 人：无锡市公安局</w:t>
      </w:r>
      <w:r/>
    </w:p>
    <w:p>
      <w:pPr>
        <w:ind w:left="0" w:right="0" w:firstLine="1192"/>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采购代理机构：江苏省鼎诚建设工程顾问有限公司</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二○二六年三月</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u w:val="none"/>
        </w:rPr>
        <w:t xml:space="preserve">总目录</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numPr>
          <w:ilvl w:val="0"/>
          <w:numId w:val="27"/>
        </w:numPr>
        <w:jc w:val="both"/>
        <w:spacing w:before="0" w:after="0" w:line="17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投标邀请------------------------------------</w:t>
      </w:r>
      <w:r/>
    </w:p>
    <w:p>
      <w:pPr>
        <w:numPr>
          <w:ilvl w:val="0"/>
          <w:numId w:val="27"/>
        </w:numPr>
        <w:jc w:val="both"/>
        <w:spacing w:before="0" w:after="0" w:line="17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投标人须知----------------------------------</w:t>
      </w:r>
      <w:r/>
    </w:p>
    <w:p>
      <w:pPr>
        <w:numPr>
          <w:ilvl w:val="0"/>
          <w:numId w:val="27"/>
        </w:numPr>
        <w:jc w:val="both"/>
        <w:spacing w:before="0" w:after="0" w:line="17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合同文本------------------------------------</w:t>
      </w:r>
      <w:r/>
    </w:p>
    <w:p>
      <w:pPr>
        <w:numPr>
          <w:ilvl w:val="0"/>
          <w:numId w:val="27"/>
        </w:numPr>
        <w:jc w:val="both"/>
        <w:spacing w:before="0" w:after="0" w:line="17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采购需求------------------------------------</w:t>
      </w:r>
      <w:r/>
    </w:p>
    <w:p>
      <w:pPr>
        <w:numPr>
          <w:ilvl w:val="0"/>
          <w:numId w:val="27"/>
        </w:numPr>
        <w:jc w:val="both"/>
        <w:spacing w:before="0" w:after="0" w:line="17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评标方法与评标标准--------------------------</w:t>
      </w:r>
      <w:r/>
    </w:p>
    <w:p>
      <w:pPr>
        <w:numPr>
          <w:ilvl w:val="0"/>
          <w:numId w:val="27"/>
        </w:numPr>
        <w:jc w:val="both"/>
        <w:spacing w:before="0" w:after="0" w:line="17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投标文件内容与格式--------------------------</w:t>
      </w:r>
      <w:r/>
    </w:p>
    <w:p>
      <w:pPr>
        <w:ind w:left="0" w:right="0" w:firstLine="0"/>
        <w:jc w:val="center"/>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第一章投标邀请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受无锡市公安局的委托，江苏省鼎诚建设工程顾问有限公司就市局机关2026-2028年保安服务（JSZC-320200-YZDC-G2026-0009）进行公开招标采购，欢迎符合条件的供应商投标。</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市局机关2026-2028年保安服务采购项目（JSZC-320200-YZDC-G2026-0009）的潜在投标人应在“江苏政府采购网”自行浏览招标文件，如有投标意向须在本招标文件有效获取期内通过登录“江苏省政府采购（苏采云）平台”下载的方式依法获取招标文件，并于2026年4月16日10点00分（北京时间）前递交投标文件。</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1.项目编号：JSZC-320200-YZDC-G2026-0009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2.项目名称：市局机关2026-2028年保安服务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3.项目预算金额：1040万元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4.项目最高限价：1040万元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5.采购方式：公开招标（暗标）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6.采购需求：详见招标文件第四章《采购需求》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合同履行期限</w:t>
      </w:r>
      <w:r>
        <w:rPr>
          <w:rFonts w:ascii="SimSun" w:hAnsi="SimSun" w:eastAsia="SimSun" w:cs="SimSun"/>
          <w:color w:val="000000"/>
          <w:sz w:val="24"/>
        </w:rPr>
        <w:t xml:space="preserve">：合同签订生效后由采购方通知服务日期起贰年。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8.服务质量要求：满足采购文件及采购人需求。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9.本项目不接受联合体投标。</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2.1中小企业政策：无；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2.2通用资格要求：在“信用中国”网站（</w:t>
      </w:r>
      <w:r>
        <w:rPr>
          <w:rFonts w:ascii="SimSun" w:hAnsi="SimSun" w:eastAsia="SimSun" w:cs="SimSun"/>
          <w:color w:val="000000"/>
          <w:sz w:val="24"/>
          <w:u w:val="none"/>
        </w:rPr>
        <w:t xml:space="preserve">www.creditchina.gov.cn</w:t>
      </w:r>
      <w:r>
        <w:rPr>
          <w:rFonts w:ascii="SimSun" w:hAnsi="SimSun" w:eastAsia="SimSun" w:cs="SimSun"/>
          <w:color w:val="000000"/>
          <w:sz w:val="24"/>
        </w:rPr>
        <w:t xml:space="preserve">）、中国政府采购网(www.ccgp.gov.cn)查询，无被列入失信被执行人、重大税收违法案件当事人名单、政府采购严重失信行为记录名单及其他不符合《中华人民共和国政府采购法》第二十二条规定条件的信用记录；</w:t>
      </w:r>
      <w:r/>
    </w:p>
    <w:p>
      <w:pPr>
        <w:numPr>
          <w:ilvl w:val="0"/>
          <w:numId w:val="28"/>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p>
      <w:pPr>
        <w:numPr>
          <w:ilvl w:val="0"/>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投标人必须具备省公安厅核发的《保安服务许可证》资格证书(外地企业须已在无锡市保安主管部门备案)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（2）授权委托人应为投标供应商在职职工；</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w:t>
      </w:r>
      <w:r>
        <w:rPr>
          <w:rFonts w:ascii="SimSun" w:hAnsi="SimSun" w:eastAsia="SimSun" w:cs="SimSun"/>
          <w:color w:val="000000"/>
          <w:sz w:val="24"/>
        </w:rPr>
        <w:t xml:space="preserve">本招标文件有效获取期限以本项目招标公告中规定的获取招标文件时间为准。</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2.地点：“江苏省政府采购（苏采云）平台”</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4.售价：本项目招标文件免费。</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1.时间：2026年4月16日10点00分（北京时间）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2.地点：“江苏省政府采购（苏采云）平台”网上开标大厅。</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（招标公告及招标文件公告期限）自本公告发布之日起5个工作日。</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七、本项目联系方式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名称：无锡市公安局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地址：无锡市滨湖区高浪西路58号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联系人：韩警官</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rPr>
        <w:t xml:space="preserve">0510-82222228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名称：江苏省鼎诚建设工程顾问有限公司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地址：无锡市梁溪区锡澄路260-1号圆融发展中心1201室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联系人：杨梅、段雅婧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联系方式：18007331958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采购人项目咨询联系人：韩警官；电话：</w:t>
      </w:r>
      <w:r>
        <w:rPr>
          <w:rFonts w:ascii="Times New Roman" w:hAnsi="Times New Roman" w:eastAsia="Times New Roman" w:cs="Times New Roman"/>
          <w:color w:val="000000"/>
          <w:sz w:val="24"/>
        </w:rPr>
        <w:t xml:space="preserve">0510-82222228</w:t>
      </w:r>
      <w:r>
        <w:rPr>
          <w:rFonts w:ascii="SimSun" w:hAnsi="SimSun" w:eastAsia="SimSun" w:cs="SimSun"/>
          <w:color w:val="000000"/>
          <w:sz w:val="24"/>
        </w:rPr>
        <w:tab/>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采购人质疑受理联系人：韩警官；电话：</w:t>
      </w:r>
      <w:r>
        <w:rPr>
          <w:rFonts w:ascii="Times New Roman" w:hAnsi="Times New Roman" w:eastAsia="Times New Roman" w:cs="Times New Roman"/>
          <w:color w:val="000000"/>
          <w:sz w:val="24"/>
        </w:rPr>
        <w:t xml:space="preserve">0510-82222228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代理机构项目联系人：杨梅、段雅婧；电话：18007331958</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八、其他</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（一）供应商“账号注册”及CA办理</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1.请有意参加本项目采购活动的供应商按以下流程进行操作：</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访问“无锡政府采购网”点击“江苏省政府采购（苏采云）平台”（以下简称“苏采云”系统）选择供应商版块，点击“用户注册”按钮，进行账号注册，注册完成后需在系统中填写资质信息并提交。也可以直接通过http://jszfcg.jsczt.cn/进入界面。</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（2）办理“意源”CA数字证书和“方正”电子签章（办理地址：无锡市滨湖区观山路199号12号楼二楼9号、10号窗口），办理指南链接：http://jsxcmm.com/help/help.html。</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（3）CA驱动下载：</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在“苏采云”系统账号登录页面，点击“驱动下载”链接中的“政务CA、方正签章控件驱动安装包及安装说明”可以直接下载驱动安装包，安装包中附有驱动安装手册。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技术服务电话：0510-81827781（服务时间：工作日 9:00-11:30,13:00-17:00）</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2.完成“苏采云”系统账号注册的供应商方可在“苏采云”系统中进行CA绑定。登录“苏采云”系统，插入CA后，点击【账号设置】——【绑定CA】。</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3.供应商应按上述要求提供相关材料信息，所提供的材料应均是真实的、准确的，若有违背，供应商自行承担由此而产生的一切后果。</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供应商未按上述要求操作，由此所产生的损失及风险由供应商自行承担。具体操作步骤详见《“苏采云”系统供应商操作手册》（以下简称《操作手册》），下载地址：无锡市政府采购网——资料下载——苏采云——</w:t>
      </w:r>
      <w:hyperlink r:id="rId12" w:tooltip="\“苏采云\”系统供应商操作手册" w:history="1">
        <w:r>
          <w:rPr>
            <w:rStyle w:val="732"/>
            <w:rFonts w:ascii="SimSun" w:hAnsi="SimSun" w:eastAsia="SimSun" w:cs="SimSun"/>
            <w:color w:val="000000"/>
            <w:sz w:val="24"/>
            <w:u w:val="single"/>
          </w:rPr>
          <w:t xml:space="preserve">“苏采云”系统供应商操作手册</w:t>
        </w:r>
      </w:hyperlink>
      <w:r>
        <w:rPr>
          <w:rFonts w:ascii="SimSun" w:hAnsi="SimSun" w:eastAsia="SimSun" w:cs="SimSun"/>
          <w:color w:val="000000"/>
          <w:sz w:val="24"/>
        </w:rPr>
        <w:t xml:space="preserve">。</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技术支持QQ：孙先生：442456465；王先生：1476328133。</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（二）完成项目参与，获取招标文件</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在“苏采云”系统上传该加密的投标文件，对招标文件各项内容做出实质性响应</w:t>
      </w:r>
      <w:r>
        <w:rPr>
          <w:rFonts w:ascii="SimSun" w:hAnsi="SimSun" w:eastAsia="SimSun" w:cs="SimSun"/>
          <w:color w:val="000000"/>
          <w:sz w:val="24"/>
        </w:rPr>
        <w:t xml:space="preserve">，否则其投标文件无效。</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（三）有关本次采购的事项若存在变动或修改，敬请及时关注江苏省鼎诚建设工程顾问有限公司在“江苏政府采购网”发布的更正公告。</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（四）本次采购不收取投标保证金。</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ind w:left="0" w:right="0" w:firstLine="0"/>
        <w:jc w:val="center"/>
        <w:spacing w:before="0" w:after="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第二章投标人须知</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一、总则</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1.招标方式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w:t>
      </w:r>
      <w:r>
        <w:rPr>
          <w:rFonts w:ascii="SimSun" w:hAnsi="SimSun" w:eastAsia="SimSun" w:cs="SimSun"/>
          <w:b/>
          <w:color w:val="000000"/>
          <w:sz w:val="28"/>
        </w:rPr>
        <w:t xml:space="preserve">采购人、采购代理机构、投标人、联合体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2.1采购人、采购代理机构：指依法进行政府采购的国家机关、事业单位、团体组织，及其委托的采购代理机构。本项目采购人、采购代理机构见第一章《投标邀请》。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2.2投标人（也称“供应商”、“申请人”）：是指响应招标、参加投标竞争的法人、其他组织或者自然人。合格的投标人应满足招标公告中供应商的资格要求以及本文件实质性要求和条件的规定。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3.适用法律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3.1本次招标及由此产生的合同受中华人民共和国法律的制约和保护。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4.投标费用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4.1本项目代理服务费由成交供应商一次性支付给招标代理机构，本项目代理服务费固定价9770元。</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（1）代理服务费以人民币支付；</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（2）代理服务费支付方式：一次性以电汇、转账、现金等形式支付；</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（3）代理服务费不在响应报价中单列，包含在响应总价中。</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5.招标文件的约束力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二、招标文件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6.招标文件构成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6.1招标文件由以下部分组成：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（6）投标文件内容与格式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7.招标文件的澄清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代理机构以书面形式提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8.招标文件的修改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人或者采购代理机构可以对已发出的招标文件进行必要的澄清或者修改。澄清或者修改的内容可能影响投标文件编制的，采购人或者采购代理机构应当在投标截止时间至少15日前，在江苏政府采购网发布更正公告，不足15日的，采购人或者采购代理机构应当顺延提交投标文件的截止时间。该澄清或者修改的内容为招标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三、投标文件的编制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9.投标文件的语言及度量衡单位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9.1投标人提交的投标文件以及投标人与代理机构就有关投标的所有来往通知、函件和文件均应使用简体中文（规格、型号辅助符号例外）。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9.2除技术性能另有规定外，投标文件所使用的度量衡单位，均须采用国家法定计量单位。</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10.投标文件构成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10.2投标人所须提供的相关证明文件和要求以及投标文件的部分格式要求，详见第六章《投标文件内容与格式》。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10.3如标书制作工具中格式和内容与招标文件不一致的，请以招标文件为准。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上述《评标方法与评标标准》中技术部分不得有体现投标人身份的内容是指：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10.4.1技术部分不得出现能够体现投标人身份、名称的相关描述、材料、文件等内容；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10.4.2技术部分不得更改，不得在其中涂改、标注或做任何可以辨认投标人及所属人员身份的名称、印章、商标等标记；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10.4.3技术部分应当版面整洁、字迹清楚、不许批注或进行底纹、阴影、水印等特殊设置，不得采用任何不符合常规、有别于其他投标人的特殊做法；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10.4.4不得有其他体现投标人身份的内容。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11.证明投标人及投标标的符合招标文件规定的文件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11.1投标人应按照法律、法规、规章和规范性文件以及招标文件要求提交证明文件，证明其及投标标的符合招标文件规定。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12.投标函、承诺书和开标一览表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12.1投标人应按照招标文件中提供的格式，完整、正确填写投标函、承诺书；投标人应按照“苏采云”系统中的给定格式模块为准，完整、正确填写开标一览表。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12.2对于采用货币报价的项目，开标一览表中的投标总报价应与分项报价表的总额一致，如不一致，不作为无效投标处理，但评标时按开标一览表中价格为准。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13.分项报价表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13.1投标人应按照招标文件规定格式填报分项报价表。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13.2投标货币。投标文件中的单价和总价无特殊规定的采用人民币报价，以“元”为单位标注。招标文件中另有规定的按规定执行。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14.投标偏离表</w:t>
      </w:r>
      <w:r/>
    </w:p>
    <w:p>
      <w:pPr>
        <w:ind w:left="0" w:right="0" w:firstLine="480"/>
        <w:jc w:val="both"/>
        <w:spacing w:before="0" w:after="0" w:line="85"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14.1投标人可在投标文件中提供认为需要的其他技术文件或说明。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15.投标有效期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15.1投标有效期为招标文件规定的开标之日后九十（90）天。投标有效期比规定短的将被视为未实质性响应招标文件而予以拒绝。</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16.投标有效期的延长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四、投标文件的递交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17.投标文件</w:t>
      </w:r>
      <w:r>
        <w:rPr>
          <w:rFonts w:ascii="SimSun" w:hAnsi="SimSun" w:eastAsia="SimSun" w:cs="SimSun"/>
          <w:b/>
          <w:color w:val="000000"/>
          <w:sz w:val="28"/>
        </w:rPr>
        <w:t xml:space="preserve">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17.1电子投标文件的递交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18.投标截止时间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18.1投标人上传电子投标文件的时间不得迟于招标公告中规定的投标截止时间。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18.2代理机构可以按照规定，通过更正公告修改投标截止时间，投标人的所有权利和义务以及投标人受制的截止时间均应以延长后新的截止时间为准。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19.投标文件</w:t>
      </w:r>
      <w:r>
        <w:rPr>
          <w:rFonts w:ascii="SimSun" w:hAnsi="SimSun" w:eastAsia="SimSun" w:cs="SimSun"/>
          <w:b/>
          <w:color w:val="000000"/>
          <w:sz w:val="28"/>
        </w:rPr>
        <w:t xml:space="preserve">的拒收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19.1代理机构拒绝接收在其规定的投标截止时间后上传的任何投标文件。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20.投标文件的撤回和修改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21.1.1电子投标文件的撤回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21.1.2投标人撤回电子投标文件，则认为其不再参与本项目投标活动。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20.2投标文件的修改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20.3在投标截止时间至招标文件中规定的投标有效期满之间的这段时间内，投标人不得撤回其投标。</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五、开标与评标</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21.开标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21.2开标仪式由代理机构组织。“苏采云”系统将自动对项目进行开标，并宣布各投标人名称和投标价格。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21.3投标人在开标过程中涉及的投标文件解密、开标结果确认等工作，应按照《操作手册》规定执行。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22.评标委员会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22.1开标后，代理机构将立即组织评标委员会（以下简称评委会）进行评标。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22.2评委会依法组建，且人员构成符合政府采购有关规定。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22.3评委会独立工作，负责对招标文件进行审核，确认其不存在歧视性、排他性等不合理条款后，开始负责评审所有投标文件并确定中标候选人。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23.评标过程的保密与公正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23.1凡是与审查、澄清、评价和比较投标的有关资料以及授标建议等，采购人、评委、代理机构均不得向投标人或与评标无关的其他人员透露。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23.3代理机构和评标委员会不向未中标的投标人解释未中标原因，也不公布评标过程中的相关细节。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23.4采用综合评分法的项目，未中标的投标人可于中标结果公告发布后通过“苏采云”系统查看自己的评审得分及排序情况。</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24.投标文件的澄清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24.3接到评委会澄清、说明和补正要求的投标人如未按规定及时做出澄清、说明和补正，其风险由投标人自行承担。</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25.对投标文件的初审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25.1.1资格审查：依据法律法规和招标文件的规定，由采购人对投标文件中的资格证明文件进行审查。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采购人在进行资格审查的同时，将通过“信用中国”网站（</w:t>
      </w:r>
      <w:hyperlink r:id="rId13" w:tooltip="http://www.creditchina.gov.cn/" w:history="1">
        <w:r>
          <w:rPr>
            <w:rStyle w:val="732"/>
            <w:rFonts w:ascii="SimSun" w:hAnsi="SimSun" w:eastAsia="SimSun" w:cs="SimSun"/>
            <w:color w:val="0000ee"/>
            <w:sz w:val="24"/>
            <w:u w:val="single"/>
          </w:rPr>
          <w:t xml:space="preserve">www.creditchina.gov.cn</w:t>
        </w:r>
      </w:hyperlink>
      <w:r>
        <w:rPr>
          <w:rFonts w:ascii="SimSun" w:hAnsi="SimSun" w:eastAsia="SimSun" w:cs="SimSun"/>
          <w:color w:val="000000"/>
          <w:sz w:val="24"/>
        </w:rPr>
        <w:t xml:space="preserve">）、中国政府采购网(www.ccgp.gov.cn)查询投标供应商在投标截止时间之前，是否被列入失信被执行人、重大税收违法案件当事人名单、政府采购严重违法失信行为记录名单，以确定投标供应商是否具备投标资格。查询结果留存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25.1.3未通过资格审查或符合性审查的投标人，将在“苏采云”系统中告知未通过资格审查或符合性审查的原因，评标结束后，将不再告知未通过资格审查和符合性审查的原因。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25.3如果投标文件实质上没有响应招标文件的要求，评委会将予以拒绝，其投标文件无效，投标人不得通过修改或撤销不合要求的偏离或保留而使其投标成为实质性响应的投标。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确认或不接受修正后的价格，则其投标将被拒绝，其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25.6投标人在开、评标全过程中应保持通讯畅通，及时登录</w:t>
      </w:r>
      <w:r>
        <w:rPr>
          <w:rFonts w:ascii="SimSun" w:hAnsi="SimSun" w:eastAsia="SimSun" w:cs="SimSun"/>
          <w:color w:val="000000"/>
          <w:sz w:val="24"/>
        </w:rPr>
        <w:t xml:space="preserve">“苏采云”系统查阅、答复相关信息，并安排专人随时接受与代理机构及评标委员会的相关询问。</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26.无效投标条款和废标条款</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26.1无效投标条款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26.1.1未按《“苏采云”系统供应商操作手册》进行正确操作的。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26.1.2投标人在“苏采云”系统规定的时间内未成功解密电子投标文件的。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26.1.3投标人未按照招标文件要求上传电子投标文件、电子投标文件未按规定期限投标的，纸质投标文件（如有）未按规定的期限、地点送达的。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26.1.4投标人的电子投标文件未按招标文件要求签章的。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26.1.5投标人的被授权代表无授权委托书或授权委托日期晚于投标截止日期的。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26.1.6投标人不具备招标文件中规定的资格要求或未按招标文件规定的要求提供资格证明文件的。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26.1.7同一投标人提交两种（含两种）以上不同的投标报价的。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26.1.8投标人被“信用中国”网站（</w:t>
      </w:r>
      <w:hyperlink r:id="rId14" w:tooltip="http://www.creditchina.gov.cn/" w:history="1">
        <w:r>
          <w:rPr>
            <w:rStyle w:val="732"/>
            <w:rFonts w:ascii="SimSun" w:hAnsi="SimSun" w:eastAsia="SimSun" w:cs="SimSun"/>
            <w:color w:val="0000ee"/>
            <w:sz w:val="24"/>
            <w:u w:val="single"/>
          </w:rPr>
          <w:t xml:space="preserve">www.creditchina.gov.cn</w:t>
        </w:r>
      </w:hyperlink>
      <w:r>
        <w:rPr>
          <w:rFonts w:ascii="SimSun" w:hAnsi="SimSun" w:eastAsia="SimSun" w:cs="SimSun"/>
          <w:color w:val="000000"/>
          <w:sz w:val="24"/>
        </w:rPr>
        <w:t xml:space="preserve">）、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26.1.9投标文件未按招标文件规定的内容和要求填写的。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26.1.10投标人的项目（采购包、标项、标段）投标总价超过本项目（本采购包、本标项、本标段）预算或最高限价的。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26.1.11未通过符合性审查的。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26.1.12投标文件含有采购人不能接受的附加条件的。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26.1.13电子投标文件图片、字迹模糊不清、无法辨认导致无法评审的。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26.1.14投标文件中有招标文件未允许提供的选择性内容。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26.1.15不同投标人委托同一单位或者个人办理投标事宜的。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26.1.16不同投标人的单位负责人为同一人或者存在直接控股、管理关系的。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26.1.17不同投标人的投标文件的装订形式、纸张情况、目录序号、排版格式、文字风格等存在明显的相似性或一致性，特征显示由同一单位或者同一个人编制的。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26.1.18不同投标人投标文件内容存在非正常一致、项目组成员出现同一人、投标文件中错误（或异常）一致或雷同、电子文档信息一致或雷同的、投标报价呈规律性差异的。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26.1.20提供虚假材料的（包括工商营业执照、财务报表、资格证明文件等）。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26.1.21除单一来源采购项目外，为采购项目提供整体设计、规范编制或者项目管理、监理、检测等服务的。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26.1.22评标委员会认定投标人的报价明显低于其他通过符合性审查投标人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评标委员会启动异常低价投标（响应）审查的情形和具体要求，包括：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（1）评审过程中出现下列情形之一的，评标委员会应当启动异常低价投标（响应）审查程序：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w:t>
      </w:r>
      <w:r>
        <w:rPr>
          <w:rFonts w:ascii="SimSun" w:hAnsi="SimSun" w:eastAsia="SimSun" w:cs="SimSun"/>
          <w:color w:val="000000"/>
          <w:sz w:val="24"/>
          <w:highlight w:val="white"/>
        </w:rPr>
        <w:t xml:space="preserve">投标（响应）报价低于全部通过符合性审查供应商投标（响应）报价平均值65%的，即投标（响应）报价&lt;全部通过符合性审查供应商投标（响应）报价平均值×65%；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w:t>
      </w:r>
      <w:r>
        <w:rPr>
          <w:rFonts w:ascii="SimSun" w:hAnsi="SimSun" w:eastAsia="SimSun" w:cs="SimSun"/>
          <w:color w:val="000000"/>
          <w:sz w:val="24"/>
          <w:highlight w:val="white"/>
        </w:rPr>
        <w:t xml:space="preserve">投标（响应）报价低于通过符合性审查的次低报价供应商投标（响应）报价65%的，即投标（响应）报价&lt;通过符合性审查的次低报价供应商投标（响应）报价×65%；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w:t>
      </w:r>
      <w:r>
        <w:rPr>
          <w:rFonts w:ascii="SimSun" w:hAnsi="SimSun" w:eastAsia="SimSun" w:cs="SimSun"/>
          <w:color w:val="000000"/>
          <w:sz w:val="24"/>
          <w:highlight w:val="white"/>
        </w:rPr>
        <w:t xml:space="preserve">投标（响应）报价低于采购项目最高限价60%的，即投标（响应）报价&lt;采购项目最高限价×60%；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w:t>
      </w:r>
      <w:r>
        <w:rPr>
          <w:rFonts w:ascii="SimSun" w:hAnsi="SimSun" w:eastAsia="SimSun" w:cs="SimSun"/>
          <w:color w:val="000000"/>
          <w:sz w:val="24"/>
          <w:highlight w:val="white"/>
        </w:rPr>
        <w:t xml:space="preserve">评审委员会基于专业判断，认为供应商报价过低，有可能影响产品质量或者不能诚信履约的其他情形。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highlight w:val="white"/>
        </w:rPr>
        <w:t xml:space="preserve">启动异常低价投标（响应）审查后，属于前述第1项至第4项情形的</w:t>
      </w:r>
      <w:r>
        <w:rPr>
          <w:rFonts w:ascii="SimSun" w:hAnsi="SimSun" w:eastAsia="SimSun" w:cs="SimSun"/>
          <w:color w:val="000000"/>
          <w:sz w:val="24"/>
        </w:rPr>
        <w:t xml:space="preserve">，评审委员会应当要求相关供应商通过“苏采云”系统（或在评标现场）在给定的合理时间内，</w:t>
      </w:r>
      <w:r>
        <w:rPr>
          <w:rFonts w:ascii="SimSun" w:hAnsi="SimSun" w:eastAsia="SimSun" w:cs="SimSun"/>
          <w:color w:val="000000"/>
          <w:sz w:val="24"/>
          <w:highlight w:val="white"/>
        </w:rPr>
        <w:t xml:space="preserve">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0" w:right="0" w:firstLine="420"/>
        <w:jc w:val="both"/>
        <w:spacing w:before="24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26.1.23投标文件内容不全或不符合招标文件中规定的其他实质性要求和条件的。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26.1.24其他法律、法规及本招标文件规定的属无效投标的情形。</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26.2.1符合专业条件的供应商或者对招标文件作实质响应的供应商不足三家的。26.2.2出现影响采购公正的违法、违规行为的。</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因“苏采云”系统故障原因造成开标不成功的。</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26.2.6投标人的报价均超过采购预算，采购人不能支付的。</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六、定标</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27</w:t>
      </w:r>
      <w:r>
        <w:rPr>
          <w:rFonts w:ascii="SimSun" w:hAnsi="SimSun" w:eastAsia="SimSun" w:cs="SimSun"/>
          <w:b/>
          <w:color w:val="000000"/>
          <w:sz w:val="28"/>
        </w:rPr>
        <w:t xml:space="preserve">.确定中标单位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27.1评标委员会根据招标文件规定的评标方法和评标标准进行评审，按招标文件的要求依法选取中标候选人，中标候选人的选取原则和数量见招标文件第五章规定。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27.3代理机构将在“江苏政府采购网”发布中标公告，公告期限为1个工作日。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27.4中标无效的确认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若有充分证据证明，中标人出现下列情况之一的，一经查实，将被取消中标资格：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27.4.2向采购人、代理机构行贿或者提供其他不正当利益的。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27.4.3属于本文件规定的无效投标文件条件的，但在评标过程中又未被评委会发现的。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27.4.6在招标过程中与采购人进行协商谈判、不按照招标文件和中标供应商的投标文件订立合同，或者与采购人另行订立背离合同实质性内容的协议的；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27.4.7拒绝有关部门监督检查或者提供虚假情况的。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28.质疑处理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w:t>
      </w:r>
      <w:r>
        <w:rPr>
          <w:rFonts w:ascii="SimSun" w:hAnsi="SimSun" w:eastAsia="SimSun" w:cs="SimSun"/>
          <w:color w:val="000000"/>
          <w:sz w:val="24"/>
        </w:rPr>
        <w:t xml:space="preserve">限内已从“苏采云”系统中进行了获取）。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采购人、代理机构只接收以纸质原件形式送达的质疑,质疑供应商可通过面交或邮寄方式送达（采购人和代理机构不接受未填写快递运单的快件）。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采购人、代理机构联系人、联系方式、通信地址见招标文件第一章。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28.5.4未参加投标活动的供应商或在投标活动中自身权益未受到损害的供应商所提出的质疑。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29.中标通知书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七、授予合同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30.签订合同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30.2中标人非因不可抗力未履行招、投标文件和合同规定的义务，一经查实，代理机构将根据具体情况提请政府采购管理部门作出相应处理。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31.服务（包含与服务相关的货物）的追加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0"/>
        <w:jc w:val="center"/>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第三章合同文本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以下为中标后签订本项目合同的通用条款，中标人不得提出实质性的修改。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江苏省政府采购合同（服务）（合同编号）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甲方：（买方、需方、采购人）_________</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乙方：（卖方、供方、供应商）_________</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甲、乙双方根据江苏省鼎诚建设工程顾问有限公司</w:t>
      </w:r>
      <w:r>
        <w:rPr>
          <w:rFonts w:ascii="SimSun" w:hAnsi="SimSun" w:eastAsia="SimSun" w:cs="SimSun"/>
          <w:color w:val="000000"/>
          <w:sz w:val="24"/>
          <w:u w:val="single"/>
        </w:rPr>
        <w:t xml:space="preserve">    </w:t>
      </w:r>
      <w:r>
        <w:rPr>
          <w:rFonts w:ascii="SimSun" w:hAnsi="SimSun" w:eastAsia="SimSun" w:cs="SimSun"/>
          <w:color w:val="000000"/>
          <w:sz w:val="24"/>
        </w:rPr>
        <w:t xml:space="preserve">项目公开招标的结果，签署本合同。</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1.6履行方式：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 ____________圆（______元）人民币或其他币种。</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3.1乙方应按招标文件规定的时间向甲方提供服务（包含与服务相关的货物）的有关技术资料。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（注：采购项目如涉及采购标的的知识产权归属、处理的，如订购、设计、定制开发的信息化建设项目等，应当约定知识产权的归属和处理方式）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乙方保证所交付的服务（包含与服务相关的货物）的所有权完全属于乙方且无任何抵押、查封等产权瑕疵。</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乙方交纳人民币__元作为本合同的履约保证金。（不得超过合同金额的10%）</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6.2合同履行结束后，甲方应及时退还交纳的履约保证金。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6.2.1履约保证金退还方式：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6.2.2履约保证金退还时间：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6.2.3履约保证金退还条件：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6.2.4履约保证金不予退还的情形：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7.2乙方应按招标文件要求，如项目不允许分包的，乙方不得将合同标的分包给他人履行；如项目允许分包的，乙方应当按照投标文件中提供的分包意向协议履行合同。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8.1合同款项的支付方式及进度安排</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8.1.1预付款支付时间：</w:t>
      </w:r>
      <w:r>
        <w:rPr>
          <w:rFonts w:ascii="SimSun" w:hAnsi="SimSun" w:eastAsia="SimSun" w:cs="SimSun"/>
          <w:color w:val="000000"/>
          <w:sz w:val="24"/>
          <w:u w:val="single"/>
        </w:rPr>
        <w:t xml:space="preserve">               </w:t>
      </w:r>
      <w:r>
        <w:rPr>
          <w:rFonts w:ascii="SimSun" w:hAnsi="SimSun" w:eastAsia="SimSun" w:cs="SimSun"/>
          <w:color w:val="000000"/>
          <w:sz w:val="24"/>
        </w:rPr>
        <w:t xml:space="preserve">，预付款支付比例：</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8.1.2尾款支付时间：</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关于进一步提高政府采购透明度和采购效率相关事项的通知》（财办库〔2023〕243号）规定，对于满足合同约定支付条件的，采购人原则上应当自收到发票后10个工作日内将资金支付到合同约定的供应商账户，鼓励采购人完善内部流程，自收到发票后1个工作日内完成资金支付事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甲方依法组织履约验收工作。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对于实际使用人和甲方分离的项目，甲方邀请实际使用人参与验收。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如有必要，甲方邀请参加本项目的其他供应商或第三方专业机构及专家参与验收，相关意见将作为验收书的参考资料。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甲方无正当理由拒绝接受乙方提供服务的，甲方向乙方偿付拒绝接受服务合同价款总值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甲方无故逾期验收和办理合同款项支付手续的,甲方应按逾期付款总额</w:t>
      </w:r>
      <w:r>
        <w:rPr>
          <w:rFonts w:ascii="SimSun" w:hAnsi="SimSun" w:eastAsia="SimSun" w:cs="SimSun"/>
          <w:color w:val="000000"/>
          <w:sz w:val="24"/>
          <w:u w:val="single"/>
        </w:rPr>
        <w:t xml:space="preserve">    </w:t>
      </w:r>
      <w:r>
        <w:rPr>
          <w:rFonts w:ascii="SimSun" w:hAnsi="SimSun" w:eastAsia="SimSun" w:cs="SimSun"/>
          <w:color w:val="000000"/>
          <w:sz w:val="24"/>
        </w:rPr>
        <w:t xml:space="preserve">每日向乙方支付违约金。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乙方所提供服务的标准不符合合同规定及招标文件规定标准的，甲方有权拒绝接受服务，并可单方面解除合同。</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在合同有效期内，任何一方因不可抗力事件导致不能履行合同，则合同履行期可延长，其延长期与不可抗力影响 期相同。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不可抗力事件发生后，应立即通知对方，并寄送有关权威机构出具的证明。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不可抗力事件延续120天以上，双方应通过友好协商，确定是否继续履行合同。</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十三、解决争议的方法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13.1双方在签订、履行合同中所发生的一切争议，应通过友好协商解决。如协商不成，由甲方住所地人民法院管辖。</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合同经双方法定代表人或授权委托代表人签字并加盖单位公章后生效。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14.2本合同未尽事宜，遵照《中华人民共和国民法典》、《中华人民共和国政府采购法》有关条文执行。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本合同正本一式两份，具有同等法律效力，甲方、乙方各执一份。</w:t>
      </w:r>
      <w:r/>
    </w:p>
    <w:p>
      <w:pPr>
        <w:ind w:left="480" w:right="0" w:hanging="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甲方：乙方：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法定代表人或授权代表：法定代表人或授权代表：</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签订日期：年  月 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u w:val="none"/>
        </w:rPr>
        <w:t xml:space="preserve">第</w:t>
      </w:r>
      <w:r>
        <w:rPr>
          <w:rFonts w:ascii="SimHei" w:hAnsi="SimHei" w:eastAsia="SimHei" w:cs="SimHei"/>
          <w:color w:val="000000"/>
          <w:sz w:val="36"/>
        </w:rPr>
        <w:t xml:space="preserve">四章 采购需求</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本项目属性：服务类项目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投标人所投内容必须满足以下要求，不得有负偏离。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本项目标的物所属行业：租赁和商务服务业。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第一部分项目技术要求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本次采购项目为无锡市公安局（地址：无锡市高浪西路58号）保安服务。基本情况和管理服务要求如下：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市公安局为加强院区的安全防范和治安秩序，提升内部的整体管理水平，创造整洁、文明、安全、有序的工作、学习和生活环境，根据《中华人民共和国政府采购法》、《中华人民共和国劳动法》、《中华人民共和国劳动合同法》、国务院《保安服务管理条例》和平等互利等原则，本着公开、公平、公正、择优、诚信的原则，选聘安保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范围：供应商为无锡市公安局平时1800余人、节假日500余人、周未350余人提供保安服务，主要负责大院内的治安、消防、门岗及车辆（含非机动车）管理工作，做好防火、防盗、防爆、防破坏、防自然灾害等工作，维护采购方正常的安全秩序，采取人防、技防相结合方式，负责采购方24小时门卫守护、巡逻及交通指挥值班执勤工作，安定保报警和周界报警系统、消防等设备设施维护工作；并配合有关部门（单位）做好来访人员的疏导工作；应急突发事件的处理及采购方安排的有关安全保卫的临时性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2、运行方式：投标人向采购方派驻保安队员，派驻的保安队员由双方共同管理，须服从采购方管理部门的管理、考核、监督。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要求：投标报价中应包含服装费、装备费、工资、税收、社保、福利待遇、法定节假日加班费、带薪年假费、高温费、办公费、其他各类管理费等及承诺达到安全保卫要求的一切费用。保安服务人员的工资须符合国家、省、市的相关规定，符合无锡市最低工资标准且必须交纳社会保险费（服务期内涉及政策性调整的最低工资和社保基数调整等因素已包含在内）。其它加班费另行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周末备勤或加班的，需要中标供应商提供安保服务，加班人员和名单须经采购方审核同意后，中标供应商提供安保加班服务，加班费用另行支付，不包含在项目报价中。所有人员加班费以中标供应商的服务人员中最低月工资标准÷21.75作为计数基数，中标供应商须如数发给本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三、服务质量要求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1、投标人应充分考虑招标书规定的基本条件，制订安保方案，提供人员配置计划。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2、投标人根据采购方提供场所的需要配备相应数额的专职保安人员，指定其中1人为项目负责人，负责总协调保安工作，对项目质量负全部责任。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3、保安配备要求： （需扫描上传人员配备承诺书）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根据采购方的实际情况，配备专职保安不少于79名，要求相貌端正，身体健康，无违法犯罪记录；建立完善组织结构，并制定每个岗位的详细职责。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建立完善组织结构，并制定每个岗位的详细职责。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项目负责人1名：年龄50周岁（含）以下，具有良好的语言文字表达能力和沟通、协调、组织、指挥能力。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保安中队长1名：年龄45周岁（含）以下，具备初级（或以上）保安员资格证书和消控证书。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大门礼仪岗人员5名：男性，五官端正，年龄35周岁（含）以下。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内勤文员1名：女性，五官端正，年龄35周岁（含）以下。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保安人员71名：年龄45周岁(含)以下的保安人员不得低于总数的25%(18人），50周岁(含)以下的保安人员不得低于总数的40%（29人）。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人员年龄计算以本项目投标截止日期减去人员出生日期为准。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对所属人员负有政治、业务、健康的审核责任，保安人员必须政审合格，无违法犯罪记录。身体健康，形体无缺陷，尊重领导，文明执勤，礼貌待人，爱岗敬业，恪尽职守，服从安排，敢于同违法犯罪现象作斗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（2）外省、市企业如中标应在本市有办事机构和能够满足本项目办公、仓储等要求的工作场所，并具有适应本项目需要的管理人员、作业人员等。（需扫描上传承诺书原件）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（3）人员配置及工作细则：</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6"/>
        <w:gridCol/>
        <w:gridCol w:w="1414"/>
        <w:gridCol w:w="857"/>
        <w:gridCol w:w="5610"/>
      </w:tblGrid>
      <w:tr>
        <w:trPr>
          <w:trHeight w:val="2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服务区域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31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工作时间：周一至周日，做五休二  8：00-17：30</w:t>
            </w:r>
            <w:r/>
          </w:p>
          <w:p>
            <w:pPr>
              <w:numPr>
                <w:ilvl w:val="0"/>
                <w:numId w:val="3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在采购方与公司领导下主持日常管理运营工作，确保质量体系高水平运行。将每月排班表、考勤表、加班表上报甲方。</w:t>
            </w:r>
            <w:r/>
          </w:p>
          <w:p>
            <w:pPr>
              <w:numPr>
                <w:ilvl w:val="0"/>
                <w:numId w:val="3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负责项目的人员招聘、入职、培训、管理的管理；带领保安员贯彻执行公司相关规章制度，严格执行本项目的各项操作程序，确保各岗位的工作标准达标。</w:t>
            </w:r>
            <w:r/>
          </w:p>
          <w:p>
            <w:pPr>
              <w:numPr>
                <w:ilvl w:val="0"/>
                <w:numId w:val="3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依据国家法律法规，制订、修改、实施各种规范、标准、规章、制度，认真考察所管项目的工作区域、难度、时段，根据实际情况提出合理的岗位安排建议。</w:t>
            </w:r>
            <w:r/>
          </w:p>
          <w:p>
            <w:pPr>
              <w:numPr>
                <w:ilvl w:val="0"/>
                <w:numId w:val="3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制定每月、每周、每日工作计划并确保工作计划的完成，未完成的原因并找出解决办法，填写各类文件报告及工作总结。</w:t>
            </w:r>
            <w:r/>
          </w:p>
        </w:tc>
      </w:tr>
      <w:tr>
        <w:trPr>
          <w:trHeight w:val="1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保安中队长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工作时间：周一至周日，做五休二  8：00-17：30</w:t>
            </w:r>
            <w:r/>
          </w:p>
          <w:p>
            <w:pPr>
              <w:numPr>
                <w:ilvl w:val="0"/>
                <w:numId w:val="3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准时将接班队员带至指定地点集合点名进行班前会；</w:t>
            </w:r>
            <w:r/>
          </w:p>
          <w:p>
            <w:pPr>
              <w:numPr>
                <w:ilvl w:val="0"/>
                <w:numId w:val="3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整理着装，检查仪容仪表，带领所属队员到岗位集体进行接班，检查岗位物品的完好状况及卫生，组织进行升旗仪式；</w:t>
            </w:r>
            <w:r/>
          </w:p>
          <w:p>
            <w:pPr>
              <w:numPr>
                <w:ilvl w:val="0"/>
                <w:numId w:val="3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每日审阅各岗队员工作日记，反馈存在的问题；</w:t>
            </w:r>
            <w:r/>
          </w:p>
          <w:p>
            <w:pPr>
              <w:numPr>
                <w:ilvl w:val="0"/>
                <w:numId w:val="3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根据情况而定协助岗位队员执勤，检查清点物品，督促队员整理好岗位卫生；</w:t>
            </w:r>
            <w:r/>
          </w:p>
          <w:p>
            <w:pPr>
              <w:numPr>
                <w:ilvl w:val="0"/>
                <w:numId w:val="3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培训新进入的队员，检查各岗位队员的勤务，不定时对各岗位队员进行培训考核。</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工作时间：周一至周日，做五休二  8：00-17：30</w:t>
            </w:r>
            <w:r/>
          </w:p>
          <w:p>
            <w:pPr>
              <w:numPr>
                <w:ilvl w:val="0"/>
                <w:numId w:val="3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严格按照站姿要求立岗，确保良好的立岗形象。</w:t>
            </w:r>
            <w:r/>
          </w:p>
          <w:p>
            <w:pPr>
              <w:numPr>
                <w:ilvl w:val="0"/>
                <w:numId w:val="32"/>
              </w:numP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南、北平台立岗对进出平台车辆进行严格管理，禁止停放任何车辆。</w:t>
            </w:r>
            <w:r/>
          </w:p>
          <w:p>
            <w:pPr>
              <w:numPr>
                <w:ilvl w:val="0"/>
                <w:numId w:val="32"/>
              </w:numP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北门立岗协助北门卫做好各项安全管理工作；</w:t>
            </w:r>
            <w:r/>
          </w:p>
          <w:p>
            <w:pPr>
              <w:numPr>
                <w:ilvl w:val="0"/>
                <w:numId w:val="32"/>
              </w:numP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南门立岗负责上下班高峰时的安全管理工作；</w:t>
            </w:r>
            <w:r/>
          </w:p>
          <w:p>
            <w:pPr>
              <w:numPr>
                <w:ilvl w:val="0"/>
                <w:numId w:val="32"/>
              </w:numP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立岗休息人员白天在大厅前台休息，负责做好大厅的秩序维护工作，对来访者做好引导工作，如发现无关人员进入通知北门卫处理。</w:t>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内勤文员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工作时间：周一至周日，做五休二8：00-17：30</w:t>
            </w:r>
            <w:r/>
          </w:p>
          <w:p>
            <w:pPr>
              <w:numPr>
                <w:ilvl w:val="0"/>
                <w:numId w:val="3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根据上级领导要求完成相应工作情况。</w:t>
            </w:r>
            <w:r/>
          </w:p>
        </w:tc>
      </w:tr>
      <w:tr>
        <w:trPr>
          <w:trHeight w:val="2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北门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工作时间：四班三运转24小时工作制12人；8:00—16:00，16:00-24:00,24:00-8:00.2人常白班8:00-17:30；</w:t>
            </w:r>
            <w:r/>
          </w:p>
          <w:p>
            <w:pPr>
              <w:numPr>
                <w:ilvl w:val="0"/>
                <w:numId w:val="3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所有拨出外线必须做好相关记录，接电话时必须文明用语。</w:t>
            </w:r>
            <w:r/>
          </w:p>
          <w:p>
            <w:pPr>
              <w:numPr>
                <w:ilvl w:val="0"/>
                <w:numId w:val="3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严格执行现场门卫管理制度，对前来机关大院的外来人员，认真查验身份信息，检查随身携带物品、排查管制器具、危险物品等；</w:t>
            </w:r>
            <w:r/>
          </w:p>
          <w:p>
            <w:pPr>
              <w:numPr>
                <w:ilvl w:val="0"/>
                <w:numId w:val="3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来客接待时做好登记，保安可以联系相关部门，经相关部门人员至门岗接带或授权，方可进入。</w:t>
            </w:r>
            <w:r/>
          </w:p>
          <w:p>
            <w:pPr>
              <w:numPr>
                <w:ilvl w:val="0"/>
                <w:numId w:val="3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对外来办事车辆一律调换临时停车牌并及时引导至指定地点停放。</w:t>
            </w:r>
            <w:r/>
          </w:p>
          <w:p>
            <w:pPr>
              <w:numPr>
                <w:ilvl w:val="0"/>
                <w:numId w:val="3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车辆外出时严格控制物资进出，凡涉及市局固定资产的物资出门时，一律凭出门证核实数量方可出门。</w:t>
            </w:r>
            <w:r/>
          </w:p>
          <w:p>
            <w:pPr>
              <w:numPr>
                <w:ilvl w:val="0"/>
                <w:numId w:val="3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保安执勤内发生突发事件和不安全问题，要果断采取措施，制止事态发展，并及时上报相关部门及领导。</w:t>
            </w:r>
            <w:r/>
          </w:p>
          <w:p>
            <w:pPr>
              <w:numPr>
                <w:ilvl w:val="0"/>
                <w:numId w:val="3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遇到上访人员及时引导到信访部门，并及时报告相关部门，门卫人员要认真做好劝说、疏导工作，不得围观议论。</w:t>
            </w:r>
            <w:r/>
          </w:p>
        </w:tc>
      </w:tr>
      <w:tr>
        <w:trPr>
          <w:trHeight w:val="2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工作时间：8:00—16:00，16:00-24:00,24:00-8:00四班三运转24小时工作制</w:t>
            </w:r>
            <w:r/>
          </w:p>
          <w:p>
            <w:pPr>
              <w:numPr>
                <w:ilvl w:val="0"/>
                <w:numId w:val="35"/>
              </w:numP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办证车辆引导至指定车位，规范停放，确保主干道路畅通。</w:t>
            </w:r>
            <w:r/>
          </w:p>
          <w:p>
            <w:pPr>
              <w:numPr>
                <w:ilvl w:val="0"/>
                <w:numId w:val="35"/>
              </w:numP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上访人员及时引导到信访部门，并及时报告相关部门，由信访人员带其进行安全检查。</w:t>
            </w:r>
            <w:r/>
          </w:p>
          <w:p>
            <w:pPr>
              <w:numPr>
                <w:ilvl w:val="0"/>
                <w:numId w:val="35"/>
              </w:numP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非办公日时间的大院内巡逻检查，夜间要保持不间断的轮换巡逻，提高警惕，发现不安全因素及时通知整改，确保大院内安全。</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发生突发事件和不安全问题，要果断采取措施，制止事态发展，并及时上报相关部门及领导。</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工作时间：四班三运转24小时工作制10人；8:00—16:00，16:00-24:00,24:00-8:00.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1、所有拨出外线必须做好相关记录，接电话时必须文明用语。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2、严格执行现场门卫管理制度，对前来机关大院的外来人员，认真查验身份信息，检查随身携带物品、排查管制器具、危险物品等；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3、来客接待时做好登记，保安可以联系相关部门，经相关部门人员至门岗接带或授权，方可进入。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4、对外来办事车辆一律调换临时停车牌并及时引导至指定地点停放。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5、车辆外出时严格控制物资进出，凡涉及市局固定资产的物资出门时，一律凭出门证核实数量方可出门。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6、保安执勤内发生突发事件和不安全问题，要果断采取措施，制止事态发展，并及时上报相关部门及领导。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7、遇到上访人员及时引导到信访部门，并及时报告相关部门，门卫人员要认真做好劝说、疏导工作，不得围观议论。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大厅夜班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工作时间：周一至周五17：00-8：30周六、周日24小时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1、定时对固定线路进行巡逻，巡查登记公共部位设施、设备完好情况，如遇公共设施、消防设施、火险等存在安全隐患，应及时上报并通知相关部门处理；并在值班登记表上记录。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2、负责升旗仪式及早晨南门的车辆放行辅助工作。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3、做好其它突发事件处置工作。</w:t>
            </w:r>
            <w:r/>
          </w:p>
        </w:tc>
      </w:tr>
      <w:tr>
        <w:trPr>
          <w:trHeight w:val="1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工作时间：8：00-16:00；16:00—24:00；24:00-8:00四班三运转</w:t>
            </w:r>
            <w:r/>
          </w:p>
          <w:p>
            <w:pPr>
              <w:numPr>
                <w:ilvl w:val="0"/>
                <w:numId w:val="2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人员应时刻观察进出市局大院各通道视频，发现异常情况通知巡逻岗及门岗人员进行处置，并做好相关记录；</w:t>
            </w:r>
            <w:r/>
          </w:p>
          <w:p>
            <w:pPr>
              <w:numPr>
                <w:ilvl w:val="0"/>
                <w:numId w:val="2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界报警情况，及时指挥巡逻人员、就近人员对报警情况进行排查，回看报警监控录像，判明情况，对于误报情况，登记并系统消控；如有非法人员侵入，及时报警，同时指挥保安人员现场搜索，发现非法人员进行现场控制，等待民警进行处置；</w:t>
            </w:r>
            <w:r/>
          </w:p>
          <w:p>
            <w:pPr>
              <w:numPr>
                <w:ilvl w:val="0"/>
                <w:numId w:val="2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对监控系统设备进行检查，确保系统设备处于良好工作状态；</w:t>
            </w:r>
            <w:r/>
          </w:p>
          <w:p>
            <w:pPr>
              <w:numPr>
                <w:ilvl w:val="0"/>
                <w:numId w:val="2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监控设备日常维护，保证各画面主机的干净，检查各摄像头，查看有无损坏。</w:t>
            </w:r>
            <w:r/>
          </w:p>
        </w:tc>
      </w:tr>
      <w:tr>
        <w:trPr>
          <w:trHeight w:val="3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工作时间：8：00-16:00；16:00—24:00；24:00-8:00四班三运转,1人常白班8:00-17:30。</w:t>
            </w:r>
            <w:r/>
          </w:p>
          <w:p>
            <w:pPr>
              <w:numPr>
                <w:ilvl w:val="0"/>
                <w:numId w:val="2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本岗位区域内的各类车辆有序停放，避免院内发生道路拥堵，车辆如有违停情况，及时联系车主进行挪车；并张贴违规车辆告知单；</w:t>
            </w:r>
            <w:r/>
          </w:p>
          <w:p>
            <w:pPr>
              <w:numPr>
                <w:ilvl w:val="0"/>
                <w:numId w:val="2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定时对固定线路进行巡逻，巡查登记公共部位设施、设备完好情况，如遇公共设施、消防设施、火险等存在安全隐患，应及时上报并通知相关部门处理；并在值班登记表上记录。</w:t>
            </w:r>
            <w:r/>
          </w:p>
          <w:p>
            <w:pPr>
              <w:numPr>
                <w:ilvl w:val="0"/>
                <w:numId w:val="2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报警系统出现报警后，巡逻人员接到消控室通知后应及时至指定防区进行察看，并汇报情况；如有异常情况，及时采取相应措施；</w:t>
            </w:r>
            <w:r/>
          </w:p>
          <w:p>
            <w:pPr>
              <w:numPr>
                <w:ilvl w:val="0"/>
                <w:numId w:val="2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做好执勤记录，严格执行交接班制度，做到交接清楚，责任明确；服从领导安排，认真完成上级交办的其他工作；</w:t>
            </w:r>
            <w:r/>
          </w:p>
          <w:p>
            <w:pPr>
              <w:numPr>
                <w:ilvl w:val="0"/>
                <w:numId w:val="2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做好其它突发事件处置工作。</w:t>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工作时间：周一至周五9：00-17：00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1、根据上级领导要求完成相应工作情况。</w:t>
            </w:r>
            <w:r/>
          </w:p>
        </w:tc>
      </w:tr>
      <w:tr>
        <w:trPr>
          <w:trHeight w:val="3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出入境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工作时间：周一至周五9：00-17：00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1、根据上级领导要求完成相应工作情况。</w:t>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收发室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工作时间：周一至周五9：00-17：00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1、根据上级领导要求完成相应工作情况。</w:t>
            </w:r>
            <w:r/>
          </w:p>
        </w:tc>
      </w:tr>
      <w:tr>
        <w:trPr>
          <w:trHeight w:val="7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地下车库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工作时间：8：00-16：00、6：00-24：00、24：00-8：00四班三运转</w:t>
            </w:r>
            <w:r/>
          </w:p>
          <w:p>
            <w:pPr>
              <w:numPr>
                <w:ilvl w:val="0"/>
                <w:numId w:val="2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据上级领导要求完成相应工作情况。</w:t>
            </w:r>
            <w:r/>
          </w:p>
        </w:tc>
      </w:tr>
      <w:tr>
        <w:trPr>
          <w:trHeight w:val="81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装备科仓库</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工作时间：周一至周五9：00-17：00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1、日常装备管理工作</w:t>
            </w:r>
            <w:r/>
          </w:p>
        </w:tc>
      </w:tr>
      <w:tr>
        <w:trPr>
          <w:trHeight w:val="79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（4）巡逻车辆及智能化设备配置要求：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便于项目实施，本项目需要巡逻车辆，供应商最好能提供，具有5座电动巡逻车且配备车载移动照明摄像一体机或者具有2轮电动巡逻车。采购人对以上内容不作为强制要求。该设备费用不单独计取，由投标人根据采购需求自行测算含在投标报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四、基本要求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1、能处理和应对管区公共秩序维护工作，服从安排，听从指挥，并能正确使用各类消防、物防、技防器械和设备，能够熟悉、掌握各类刑事、治安案件和各类灾害事故的应急处置方法。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安人员上岗执勤，必须身着统一的保安服装，佩戴统一的标志符号，配备对讲装置和其他必备的安全护卫器械。装备佩带、仪容仪表规范整齐，每日擦拭皮鞋。当值时坐姿挺直，站岗时不倚不靠。中标后需按招标方需求设计定制春秋装、夏装、冬装，统一皮鞋等各类制服用品，并区别于一般保安制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结合公安机关维稳安全实际和要求，负责“安定保联网报警和周界报警系统”的维护更新工作，确保加入110电脑自动报警系统的正常运行。对出现设备器材质量问题，负责故障维修，免费调换，对新换设备负责安装，调试及与无锡市公安局110指挥中心联系验收，验收合格给接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4、各门卫(出入口)保安室24小时值班看守， 双人双岗，上下班期间要礼仪立岗维持秩序，并有详细交接班记录。对外来人员进入大院内要按相关规章制度决定是否放进，如要接待需认真查验证件并做好详细登记。大门口立岗人员具体工作时间由采购方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保安人员要加强出入机关大院人员、车辆及携带物资进行检查、验证和登记，对大型物件搬出要先询问调查并做好记录。保障机关大院财产安全和机关干部职工人身安全，防止不法分子进入，防止危险物品带入机关大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6、保持门卫与管区内各执勤点的通信畅通，在遇有异常情况或紧急求助时，保安 2分钟内赶到现场采取相应措施控制局面。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7、加强夜间巡逻，巡逻时保安人员按指定的时间和路线每半小时巡查一次，办公区域巡逻人员对门窗进行检查是否关闭，是否有电器电线短路、过载等安全隐患，如有必要根据采购方要求增大巡逻密度。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8、加强车辆管理，确保大院内停车有序和道路畅通。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9、要加强值班责任心，发现火警、警情立即报告主管人员和警方，保安接到火警、警情后1分钟内到达现场，妥善处置并协助保护现场，中标方定期组织所属人员进行消防培训并熟练掌握消防器材。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10、切实做好单位报刊、杂志、信件的收发和员工物品的传送，确保收、发准确、及时传送到位不遗失，同时要做好门卫值班室及周围的环境卫生保洁。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11、上岗时佩带统一标志，穿戴统一制服（精致），装备佩带规范，仪容仪表规范整齐，当值时坐姿挺直，站岗时不倚不靠。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12、供应商配置的所有人员都需自行配置智能手机，必要时按招标人需求统一使用智能手机安装指定app配合工作内容。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供应商要把保安人员的花名册，交采购方验审和备查，为确保保安队伍的相对稳定，中标供应商更换保安队长或队员时，必须征得采购方同意。安保人员出现事假、休假、病假和产假等情况，空缺岗位人员须在5个工作日内补齐顶班人员，并不再增收采购方服务费。采购人在应急突发事件的情况下，有直接管理、设置和调动供应商岗位的权力并有权要求供应商及时更换不服从管理、违纪、不称职或其他原因不适合继续在管理服务的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14、采购人对保安服务工作进行业务沟通、管理、指导、检查及考核，反映的问题或事件，供应商应做出明确的响应时间承诺，采购人认为不满足工作要求的保安人员随时无条件更换直至满足工作要求。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供应商提出的有关服务质量整改要求作出明确响应时间和落实时间表，对供应商多次拒不执行服务调整或经多次督导仍未达到其要求，服务质量确实达不到采购人要求的，采购人有权提出终止协议，并由供应商承担违约责任；在采购人后续人员到位前，供应商需保持服务一个月并不得降低服务标准，期内按采购人要求按时撤走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16、服务承诺要求：</w:t>
      </w:r>
      <w:r/>
    </w:p>
    <w:p>
      <w:pPr>
        <w:ind w:left="0" w:right="0" w:firstLine="480"/>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供应商应对下列情况作出具体细化承诺：</w:t>
      </w:r>
      <w:r/>
    </w:p>
    <w:p>
      <w:pPr>
        <w:numPr>
          <w:ilvl w:val="0"/>
          <w:numId w:val="27"/>
        </w:numPr>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所服务区域内发生火警火险、财产被盗、车辆丢失或损坏等应承担的责任和经济赔偿；</w:t>
      </w:r>
      <w:r/>
    </w:p>
    <w:p>
      <w:pPr>
        <w:numPr>
          <w:ilvl w:val="0"/>
          <w:numId w:val="27"/>
        </w:numPr>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因保安队员失职、违法行为造成采购方或第三方人身、财产损失等应承担的责任和经济赔偿;</w:t>
      </w:r>
      <w:r/>
    </w:p>
    <w:p>
      <w:pPr>
        <w:numPr>
          <w:ilvl w:val="0"/>
          <w:numId w:val="27"/>
        </w:numPr>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因保安人员自身形象或行为导致投诉、并造成采购人恶劣影响的处置承诺；</w:t>
      </w:r>
      <w:r/>
    </w:p>
    <w:p>
      <w:pPr>
        <w:numPr>
          <w:ilvl w:val="0"/>
          <w:numId w:val="27"/>
        </w:numPr>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对突发性事件，公司能提供的应急措施和人员调配方案。</w:t>
      </w:r>
      <w:r/>
    </w:p>
    <w:p>
      <w:pPr>
        <w:numPr>
          <w:ilvl w:val="0"/>
          <w:numId w:val="27"/>
        </w:numPr>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其他服务承诺。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17、对供应商的监管考核要求及考评标准</w:t>
      </w:r>
      <w:r/>
    </w:p>
    <w:p>
      <w:pPr>
        <w:numPr>
          <w:ilvl w:val="0"/>
          <w:numId w:val="27"/>
        </w:numPr>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招录员工时，必须对员工进行政审，保证员工政治思想素质过硬。录用不合格人员进入保安队伍，一人次扣服务费500元；未按规定进行身份核查或政审的，一人次扣服务费200元，并在规定时间内整改到位。如因供应商审核不严，造成后果的供应商承担相应责任。</w:t>
      </w:r>
      <w:r/>
    </w:p>
    <w:p>
      <w:pPr>
        <w:numPr>
          <w:ilvl w:val="0"/>
          <w:numId w:val="27"/>
        </w:numPr>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供应商要保证员工到岗率达到100%。供应商必须按照招标文件规定人数，安排人员到岗。缺岗1人，每日扣除相应服务费，直到人员配齐到岗为止。</w:t>
      </w:r>
      <w:r/>
    </w:p>
    <w:p>
      <w:pPr>
        <w:numPr>
          <w:ilvl w:val="0"/>
          <w:numId w:val="27"/>
        </w:numPr>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供应商要保证员工持证率达到100%。对新上岗的保安员必须要参加资格考试取得保安员证；供应商必须抓好员工日常培训，包括职业道德、礼仪礼貌、工作纪律、岗位职责等，并有培训记录。</w:t>
      </w:r>
      <w:r/>
    </w:p>
    <w:p>
      <w:pPr>
        <w:ind w:left="0" w:right="0" w:firstLine="480"/>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供应商必须有强有力的管理团队、有严格的规章制度和考核机制，因保安队员工作失职、渎职造成有影响事件的，依据事件影响扣服务费用500-1000元，供应商依据单位考核细则，对相关人员进行经济惩罚。</w:t>
      </w:r>
      <w:r/>
    </w:p>
    <w:p>
      <w:pPr>
        <w:numPr>
          <w:ilvl w:val="0"/>
          <w:numId w:val="27"/>
        </w:numPr>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如果因供应商内部管理制度不健全不完善而影响到工作的，有一次扣除服务费2000元。</w:t>
      </w:r>
      <w:r/>
    </w:p>
    <w:p>
      <w:pPr>
        <w:numPr>
          <w:ilvl w:val="0"/>
          <w:numId w:val="27"/>
        </w:numPr>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要保持队伍相对稳定，每月员工流动率不高于10%，高出1个百分点，则扣除当月服务费的1%。因保安员正常流动（低于10%），造成临时缺岗的，供应商应在5个工作日内补充到位。超出5个工作日，没有补充到位的，则按照第二条缺岗的考核办法进行处理。</w:t>
      </w:r>
      <w:r/>
    </w:p>
    <w:p>
      <w:pPr>
        <w:numPr>
          <w:ilvl w:val="0"/>
          <w:numId w:val="27"/>
        </w:numPr>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供应商要严格内部管理。如有下列情形，采购人有权按法律程序终止其合同，并追究相关责任：</w:t>
      </w:r>
      <w:r/>
    </w:p>
    <w:p>
      <w:pPr>
        <w:numPr>
          <w:ilvl w:val="0"/>
          <w:numId w:val="27"/>
        </w:numPr>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因管理不善造成保安员负重伤和死亡的；</w:t>
      </w:r>
      <w:r/>
    </w:p>
    <w:p>
      <w:pPr>
        <w:numPr>
          <w:ilvl w:val="0"/>
          <w:numId w:val="27"/>
        </w:numPr>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在保安服务中若发生违法违纪案件，如被治安行政处罚、逮捕判刑的；</w:t>
      </w:r>
      <w:r/>
    </w:p>
    <w:p>
      <w:pPr>
        <w:numPr>
          <w:ilvl w:val="0"/>
          <w:numId w:val="27"/>
        </w:numPr>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因保安服务被投诉举报，造成恶劣影响并经查证属实的；</w:t>
      </w:r>
      <w:r/>
    </w:p>
    <w:p>
      <w:pPr>
        <w:numPr>
          <w:ilvl w:val="0"/>
          <w:numId w:val="27"/>
        </w:numPr>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保安服务工作中违反职业道德，发生监守自盗的；</w:t>
      </w:r>
      <w:r/>
    </w:p>
    <w:p>
      <w:pPr>
        <w:numPr>
          <w:ilvl w:val="0"/>
          <w:numId w:val="27"/>
        </w:numPr>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受到相关部门通报批评的、被媒体曝光查实的。</w:t>
      </w:r>
      <w:r/>
    </w:p>
    <w:p>
      <w:pPr>
        <w:numPr>
          <w:ilvl w:val="0"/>
          <w:numId w:val="27"/>
        </w:numPr>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合同签订生效后贰年，履约过程中进行综合考评，对不合格的供应商采购人有权按法律程序提前解除合同。</w:t>
      </w:r>
      <w:r/>
    </w:p>
    <w:p>
      <w:pPr>
        <w:numPr>
          <w:ilvl w:val="0"/>
          <w:numId w:val="27"/>
        </w:numPr>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该保证员工的权益福利。如果有员工举报公司克扣员工福利，损害员工正当权益，经查证属实的，则由采购人督促保安服务公司限期整改。在规定期限内，整改不到位的，一人次扣除500元；每月发生2例（含）以上的，则扣除1%的当月管理费。</w:t>
      </w:r>
      <w:r/>
    </w:p>
    <w:p>
      <w:pPr>
        <w:numPr>
          <w:ilvl w:val="0"/>
          <w:numId w:val="27"/>
        </w:numPr>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供应商要加强安保设施设备的使用管理，要爱惜采购方提供的安保设施设备，如发生人为损坏，则由中标供应商按价赔偿。</w:t>
      </w:r>
      <w:r/>
    </w:p>
    <w:p>
      <w:pPr>
        <w:numPr>
          <w:ilvl w:val="0"/>
          <w:numId w:val="27"/>
        </w:numPr>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考核主体为采购人监管考核领导小组。</w:t>
      </w:r>
      <w:r/>
    </w:p>
    <w:p>
      <w:pPr>
        <w:ind w:left="0" w:right="0" w:firstLine="480"/>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五、安保服务质量监管考评标准</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7"/>
        <w:gridCol w:w="3357"/>
        <w:gridCol w:w="767"/>
        <w:gridCol w:w="3540"/>
      </w:tblGrid>
      <w:tr>
        <w:trPr>
          <w:trHeight w:val="79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202" w:right="84" w:hanging="9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57" w:type="dxa"/>
            <w:vAlign w:val="center"/>
            <w:textDirection w:val="lrTb"/>
            <w:noWrap w:val="false"/>
          </w:tcPr>
          <w:p>
            <w:pPr>
              <w:ind w:left="202" w:right="84" w:hanging="9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0" w:type="dxa"/>
            <w:vAlign w:val="center"/>
            <w:textDirection w:val="lrTb"/>
            <w:noWrap w:val="false"/>
          </w:tcPr>
          <w:p>
            <w:pPr>
              <w:ind w:left="99" w:right="84"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监管考评标准</w:t>
            </w:r>
            <w:r/>
          </w:p>
        </w:tc>
      </w:tr>
      <w:tr>
        <w:trPr>
          <w:trHeight w:val="1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vMerge w:val="restart"/>
            <w:textDirection w:val="lrTb"/>
            <w:noWrap w:val="false"/>
          </w:tcPr>
          <w:p>
            <w:pPr>
              <w:ind w:left="202" w:right="84" w:hanging="9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治安</w:t>
            </w:r>
            <w:r/>
          </w:p>
          <w:p>
            <w:pPr>
              <w:ind w:left="202" w:right="84" w:hanging="9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02" w:right="84" w:hanging="9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w:t>
            </w:r>
            <w:r/>
          </w:p>
          <w:p>
            <w:pPr>
              <w:ind w:left="187" w:right="84" w:hanging="7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p>
            <w:pPr>
              <w:ind w:left="187" w:right="84" w:hanging="7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70分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结合项目特点及服务模式，制订安全防范措施及各项管理制度、规定、突发事件的应急措施、方案，并不断完善。确保服务区无重大治安刑事案件和火灾事故发生，严格履行汇报制度。保持良好的办公秩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27" w:right="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0" w:type="dxa"/>
            <w:vAlign w:val="center"/>
            <w:textDirection w:val="lrTb"/>
            <w:noWrap w:val="false"/>
          </w:tcPr>
          <w:p>
            <w:pPr>
              <w:ind w:left="82"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制度、措施、方案不健全，每项扣1分，岗位管理不到位每次扣1分。</w:t>
            </w:r>
            <w:r/>
          </w:p>
          <w:p>
            <w:pPr>
              <w:ind w:left="82"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漏报、瞒报的每次扣2分，造成影响的扣5分。</w:t>
            </w:r>
            <w:r/>
          </w:p>
        </w:tc>
      </w:tr>
      <w:tr>
        <w:trPr>
          <w:trHeight w:val="23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7" w:type="dxa"/>
            <w:vAlign w:val="center"/>
            <w:textDirection w:val="lrTb"/>
            <w:noWrap w:val="false"/>
          </w:tcPr>
          <w:p>
            <w:pPr>
              <w:numPr>
                <w:ilvl w:val="0"/>
                <w:numId w:val="2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行24小时保安值班及巡逻制度；保安人员熟悉服务区的环境，按规定着装和佩带装备，文明值勤，训练有素，机动灵活，认真履行职责，不能与机关干部职工及外来办事群众发生冲突。保安人数应按标书要求配备充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27" w:right="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0" w:type="dxa"/>
            <w:vAlign w:val="center"/>
            <w:textDirection w:val="lrTb"/>
            <w:noWrap w:val="false"/>
          </w:tcPr>
          <w:p>
            <w:pPr>
              <w:ind w:left="82"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值班及巡逻记录不规范，每次扣1分。凡因为现场无人管理或管理不当，造成设施及建筑物(地面)损坏或人身伤害，一次扣2分。保安未按要求配备,每缺一人扣3000元.</w:t>
            </w:r>
            <w:r/>
          </w:p>
        </w:tc>
      </w:tr>
      <w:tr>
        <w:trPr>
          <w:trHeight w:val="121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7" w:type="dxa"/>
            <w:vAlign w:val="center"/>
            <w:textDirection w:val="lrTb"/>
            <w:noWrap w:val="false"/>
          </w:tcPr>
          <w:p>
            <w:pPr>
              <w:ind w:left="69"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（3）根据机关安全保卫特点定岗定职，布局合理,结构合理，无缺岗缺位，确保响应及时、行动迅速。保安队员年流动率不得超过10%，采购方要求除外。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27" w:right="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0" w:type="dxa"/>
            <w:vAlign w:val="center"/>
            <w:textDirection w:val="lrTb"/>
            <w:noWrap w:val="false"/>
          </w:tcPr>
          <w:p>
            <w:pPr>
              <w:ind w:left="82"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不按规定定岗、定人缺一人次，扣1分；人员流动率超过一个百分点，扣1分，超过两个百分点，扣2分，依此类推。</w:t>
            </w:r>
            <w:r/>
          </w:p>
        </w:tc>
      </w:tr>
      <w:tr>
        <w:trPr>
          <w:trHeight w:val="251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7" w:type="dxa"/>
            <w:vAlign w:val="center"/>
            <w:textDirection w:val="lrTb"/>
            <w:noWrap w:val="false"/>
          </w:tcPr>
          <w:p>
            <w:pPr>
              <w:ind w:left="69"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（4）主要出入口要落实保安固定岗位值守，制订相应的职责和安全措施，确保发生突发事件处置及时。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27" w:right="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0" w:type="dxa"/>
            <w:vAlign w:val="center"/>
            <w:textDirection w:val="lrTb"/>
            <w:noWrap w:val="false"/>
          </w:tcPr>
          <w:p>
            <w:pPr>
              <w:ind w:left="27"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值班时聊天，看书报、吃东西及做其他与执勤无关事宜的，各扣1分。对特殊的部位要有相应的防范措施，每发现一处无防范措施，扣1分，执勤保安员严禁脱岗，必须确保24小时人员在岗在位，因擅离职守扣2分，造成后果视情另行处理，发现物品被盗及其他事故案件，扣5～10分，并追究责任。 </w:t>
            </w:r>
            <w:r/>
          </w:p>
        </w:tc>
      </w:tr>
      <w:tr>
        <w:trPr>
          <w:trHeight w:val="20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7" w:type="dxa"/>
            <w:vAlign w:val="center"/>
            <w:textDirection w:val="lrTb"/>
            <w:noWrap w:val="false"/>
          </w:tcPr>
          <w:p>
            <w:pPr>
              <w:ind w:left="69"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（5）严格外来人员进出检查询问，及时发现报告和解决服务区发生的各种纠纷，配合做好上访人员的疏导工作。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33" w:right="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0" w:type="dxa"/>
            <w:vAlign w:val="center"/>
            <w:textDirection w:val="lrTb"/>
            <w:noWrap w:val="false"/>
          </w:tcPr>
          <w:p>
            <w:pPr>
              <w:ind w:left="33"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没有检查外来人员携带可疑物品，扣1分，没有即时登记的，扣1分。没有正确疏导上访人员，扣1分，由于玩忽职守，导致事故案件的发生，扣5分,追究责任。</w:t>
            </w:r>
            <w:r/>
          </w:p>
        </w:tc>
      </w:tr>
      <w:tr>
        <w:trPr>
          <w:trHeight w:val="4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7" w:type="dxa"/>
            <w:vAlign w:val="center"/>
            <w:textDirection w:val="lrTb"/>
            <w:noWrap w:val="false"/>
          </w:tcPr>
          <w:p>
            <w:pPr>
              <w:ind w:left="69"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（6）做好重大活动、会议、接待的保卫工作，建立各级安全警戒方案确保安全稳定，并能圆满完成采购单位交代的其它任务。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33" w:right="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p>
            <w:pPr>
              <w:ind w:left="33" w:right="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0" w:type="dxa"/>
            <w:vAlign w:val="center"/>
            <w:textDirection w:val="lrTb"/>
            <w:noWrap w:val="false"/>
          </w:tcPr>
          <w:p>
            <w:pPr>
              <w:ind w:left="33"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达不到安全要求，无安全工作方案每次(项)，扣1分，造成不良影响扣2分,并视情进行处理。</w:t>
            </w:r>
            <w:r/>
          </w:p>
        </w:tc>
      </w:tr>
      <w:tr>
        <w:trPr>
          <w:trHeight w:val="229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7" w:type="dxa"/>
            <w:vAlign w:val="center"/>
            <w:textDirection w:val="lrTb"/>
            <w:noWrap w:val="false"/>
          </w:tcPr>
          <w:p>
            <w:pPr>
              <w:ind w:left="69"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（7）定期组织安全教育培训，整改各类隐患，保护机关大院财产安全和人身安全，加强纠纷处置能力培训和反恐防暴应急演练，及时制止平息纠纷和恐怖袭击事件。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34" w:right="31"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0" w:type="dxa"/>
            <w:vAlign w:val="center"/>
            <w:textDirection w:val="lrTb"/>
            <w:noWrap w:val="false"/>
          </w:tcPr>
          <w:p>
            <w:pPr>
              <w:ind w:left="34"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发生打劫、偷盗、辱骂、殴打机关工作人员事件时，保安员没有及时制止，每次扣2～4分，接到与保安责任相关投诉属实，每次扣1分，情况严重的追究责任。发生内部人员自盗、扣5分，并追究领导责任。</w:t>
            </w:r>
            <w:r/>
          </w:p>
        </w:tc>
      </w:tr>
      <w:tr>
        <w:trPr>
          <w:trHeight w:val="84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7" w:type="dxa"/>
            <w:vAlign w:val="center"/>
            <w:textDirection w:val="lrTb"/>
            <w:noWrap w:val="false"/>
          </w:tcPr>
          <w:p>
            <w:pPr>
              <w:ind w:left="69"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（8）督促协助维护保养单位定期开展监控、门禁、一键紧急报警按钮、红外报警器等技防设施检查、维护、清洁工作，确保设施设备性能良好，运行正常。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0" w:type="dxa"/>
            <w:vAlign w:val="center"/>
            <w:textDirection w:val="lrTb"/>
            <w:noWrap w:val="false"/>
          </w:tcPr>
          <w:p>
            <w:pPr>
              <w:ind w:left="84"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未及时发现协助落实维护保养制度的，发现一次扣2分。发现一处设备故障超过48小时未报，扣2分。</w:t>
            </w:r>
            <w:r/>
          </w:p>
        </w:tc>
      </w:tr>
      <w:tr>
        <w:trPr>
          <w:trHeight w:val="84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7" w:type="dxa"/>
            <w:vAlign w:val="center"/>
            <w:textDirection w:val="lrTb"/>
            <w:noWrap w:val="false"/>
          </w:tcPr>
          <w:p>
            <w:pPr>
              <w:ind w:left="69"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（9）无治安案件。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0" w:type="dxa"/>
            <w:vAlign w:val="center"/>
            <w:textDirection w:val="lrTb"/>
            <w:noWrap w:val="false"/>
          </w:tcPr>
          <w:p>
            <w:pPr>
              <w:ind w:left="84"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发生案件一次扣5分。</w:t>
            </w:r>
            <w:r/>
          </w:p>
        </w:tc>
      </w:tr>
      <w:tr>
        <w:trPr>
          <w:trHeight w:val="2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84"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仪容</w:t>
            </w:r>
            <w:r/>
          </w:p>
          <w:p>
            <w:pPr>
              <w:ind w:left="0" w:right="84"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着装</w:t>
            </w:r>
            <w:r/>
          </w:p>
          <w:p>
            <w:pPr>
              <w:ind w:left="0" w:right="84"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7" w:type="dxa"/>
            <w:vAlign w:val="center"/>
            <w:textDirection w:val="lrTb"/>
            <w:noWrap w:val="false"/>
          </w:tcPr>
          <w:p>
            <w:pPr>
              <w:numPr>
                <w:ilvl w:val="0"/>
                <w:numId w:val="2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岗时所有队员佩带统一标志，统一着装，装备佩带规范，统一穿着黑色皮鞋，仪容仪表规范整齐，当值时坐姿挺直，站岗时不倚不靠。立岗人员上班时须精神饱满、着装整洁、警容严整、站姿规范、仪容仪表得体。所有队员上岗时需言语规范，用语文明，对待来访人员耐心、有礼，接听内部电话使用统一用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31"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0" w:type="dxa"/>
            <w:vAlign w:val="center"/>
            <w:textDirection w:val="lrTb"/>
            <w:noWrap w:val="false"/>
          </w:tcPr>
          <w:p>
            <w:pPr>
              <w:ind w:left="84"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上岗时站姿不端，扣1分，着装不整、不规范使用文明用语扣1分，与他人发生冲突，扣2分，并追究责任。受到客户单位投诉，扣3分，并追究责任，进行通报批评。</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vMerge w:val="restart"/>
            <w:textDirection w:val="lrTb"/>
            <w:noWrap w:val="false"/>
          </w:tcPr>
          <w:p>
            <w:pPr>
              <w:ind w:left="0" w:right="84"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交通</w:t>
            </w:r>
            <w:r/>
          </w:p>
          <w:p>
            <w:pPr>
              <w:ind w:left="0" w:right="84"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w:t>
            </w:r>
            <w:r/>
          </w:p>
          <w:p>
            <w:pPr>
              <w:ind w:left="0" w:right="84"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20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7" w:type="dxa"/>
            <w:vAlign w:val="center"/>
            <w:textDirection w:val="lrTb"/>
            <w:noWrap w:val="false"/>
          </w:tcPr>
          <w:p>
            <w:pPr>
              <w:ind w:left="71" w:right="65"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（1）停车场有专人管理，维护好停车秩序，不得多停乱停，保障车辆停放有序。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31"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0" w:type="dxa"/>
            <w:vAlign w:val="center"/>
            <w:textDirection w:val="lrTb"/>
            <w:noWrap w:val="false"/>
          </w:tcPr>
          <w:p>
            <w:pPr>
              <w:ind w:left="84"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一项不符合，扣1分，被客户投诉到采购单位或媒体，扣3分，并追究领导责任。</w:t>
            </w:r>
            <w:r/>
          </w:p>
        </w:tc>
      </w:tr>
      <w:tr>
        <w:trPr>
          <w:trHeight w:val="198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7" w:type="dxa"/>
            <w:vAlign w:val="center"/>
            <w:textDirection w:val="lrTb"/>
            <w:noWrap w:val="false"/>
          </w:tcPr>
          <w:p>
            <w:pPr>
              <w:ind w:left="69" w:right="6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（2）正确疏导进出机关大院各种车辆，泊车安全整齐，认真办理出入场手续，巡查提醒车主关好车窗、锁好车门防止发生车辆碰撞、被盗、堵塞通道，确保服务区内道路畅通和停车安全。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31"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0" w:type="dxa"/>
            <w:vAlign w:val="center"/>
            <w:textDirection w:val="lrTb"/>
            <w:noWrap w:val="false"/>
          </w:tcPr>
          <w:p>
            <w:pPr>
              <w:ind w:left="84"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消防通道、及严禁停车的区段发现停车，每辆次扣1分，因指挥不利车辆逆行造成堵车，每次扣1分，违反其它车辆管理要求的，每次扣1分，发生车辆被碰、刮、撞及被盗等，扣4分。</w:t>
            </w:r>
            <w:r/>
          </w:p>
        </w:tc>
      </w:tr>
      <w:tr>
        <w:trPr>
          <w:trHeight w:val="8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扣费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标准</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合计总分100分，每三个月考评一次，90分至95分，每扣1分扣除500元服务费；90分以下每扣1分扣除1000元服务费。</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六、有关要求</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1、中标供应商不得将本项目转让和转包第三方。投标人必须使用本单位资质，一旦发现资质挂靠现象，采购方有权依照法律程序解除合同，并追究中标供应商的违约责任。</w:t>
      </w:r>
      <w:r/>
    </w:p>
    <w:p>
      <w:pPr>
        <w:ind w:left="0" w:right="0" w:firstLine="480"/>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方在项目评审结束至合同签订、履约期间，有权要求中标供应商出具投标文件中的相关证明材料原件，予以确认其真实性和有效性，如出现与事实不符等情况，将根据有关规定以“提供虚假材料谋取中标”予以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3、投标人报价时应充分考虑服务期内所有可能影响到报价的因素（包括最低工资标准和社保基数的政策性调整），一旦投标结束最终中标，总价将包定，不予调整。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4、中标供应商应按照相关国家规定，与所有聘用人员依法签订劳动合同、交纳社保，并将所签订的合同复印件交采购方备案。</w:t>
      </w:r>
      <w:r/>
    </w:p>
    <w:p>
      <w:pPr>
        <w:ind w:left="0" w:right="0" w:firstLine="480"/>
        <w:jc w:val="both"/>
        <w:spacing w:before="0" w:after="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5、中标供应商需后备70人以上的编制外人员，应对大院及服务区域内的突发事件，在突发事件发生时做到随叫随到，采购方不承担任何费用。</w:t>
      </w:r>
      <w:r/>
    </w:p>
    <w:p>
      <w:pPr>
        <w:ind w:left="0" w:right="0" w:firstLine="480"/>
        <w:jc w:val="both"/>
        <w:spacing w:before="0" w:after="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6、中标供应商要有完善的规章制度及考核制度，并加强业务培训和安全教育。</w:t>
      </w:r>
      <w:r/>
    </w:p>
    <w:p>
      <w:pPr>
        <w:ind w:left="0" w:right="0" w:firstLine="480"/>
        <w:jc w:val="both"/>
        <w:spacing w:before="0" w:after="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7、采购方不承担中标供应商的员工在合同期间所发生的福利费、工伤、生病住院、意外伤（亡）害等费用，如有上述费用，全部由中标供应商承担。</w:t>
      </w:r>
      <w:r/>
    </w:p>
    <w:p>
      <w:pPr>
        <w:ind w:left="0" w:right="0" w:firstLine="480"/>
        <w:jc w:val="both"/>
        <w:spacing w:before="0" w:after="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8、加强保密教育，不得泄露所知晓的警务秘密，违者追究其相关法律责任。</w:t>
      </w:r>
      <w:r/>
    </w:p>
    <w:p>
      <w:pPr>
        <w:ind w:left="0" w:right="0" w:firstLine="480"/>
        <w:jc w:val="both"/>
        <w:spacing w:before="0" w:after="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9、采购方有偿提供工作餐，早餐按实付费，中、晚餐每人每餐9元。采购方不提供员工住宿和交通费等。</w:t>
      </w:r>
      <w:r/>
    </w:p>
    <w:p>
      <w:pPr>
        <w:ind w:left="0" w:right="0" w:firstLine="480"/>
        <w:jc w:val="both"/>
        <w:spacing w:before="0" w:after="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七、其他责任约定</w:t>
      </w:r>
      <w:r/>
    </w:p>
    <w:p>
      <w:pPr>
        <w:ind w:left="0" w:right="0" w:firstLine="480"/>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1、合同履约期内，中标供应商的保安人员遭受人身意外伤害或突发疾病，无论是否构成工伤，均由中标供应商负责处理赔偿及善后事宜，与采购方无关。</w:t>
      </w:r>
      <w:r/>
    </w:p>
    <w:p>
      <w:pPr>
        <w:ind w:left="0" w:right="0" w:firstLine="480"/>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2、中标供应商应当确保安保人员在执行保安任务过程中遵章守则、遵纪守法，如因保安人员本身过错给采购方或第三人造成损害的，由中标供应商承担相应赔偿责任和善后事宜。</w:t>
      </w:r>
      <w:r/>
    </w:p>
    <w:p>
      <w:pPr>
        <w:ind w:left="0" w:right="0" w:firstLine="480"/>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3、因保安队员工作失职、渎职造成采购方的财产损失的，中标供应商应全额赔偿并承担相应责任。</w:t>
      </w:r>
      <w:r/>
    </w:p>
    <w:p>
      <w:pPr>
        <w:ind w:left="0" w:right="0" w:firstLine="480"/>
        <w:jc w:val="both"/>
        <w:spacing w:before="0" w:after="0" w:line="85" w:lineRule="atLeast"/>
        <w:tabs>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区内如发生自行车失窃，扣100元/辆，电动车电瓶失窃，扣150元/只，旧电动车失窃，扣300元/辆。新电动车失窃，扣1000元/辆，全年自行车、电动车累计案发率不得高于3次。服务区内发生汽车剐蹭、失窃的由中标供应商负责赔偿。高于上述指标，每发生一次失窃案件，在上述基础上加倍扣款，但最多不高于车辆原价。在当月服务费中扣除，可累计计算。</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第二部分  有关说明</w:t>
      </w:r>
      <w:r>
        <w:rPr>
          <w:rFonts w:ascii="SimSun" w:hAnsi="SimSun" w:eastAsia="SimSun" w:cs="SimSun"/>
          <w:b/>
          <w:color w:val="000000"/>
          <w:sz w:val="24"/>
        </w:rPr>
        <w:t xml:space="preserve"> </w:t>
      </w:r>
      <w:r/>
    </w:p>
    <w:p>
      <w:pPr>
        <w:ind w:left="0" w:right="0" w:firstLine="480"/>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1、投标总报价包括满足本项目要求的所有服务及其人工、交通、材料及税费等从项目中标起到项目正式交付以及服务期限内所发生的一切费用。</w:t>
      </w:r>
      <w:r/>
    </w:p>
    <w:p>
      <w:pPr>
        <w:ind w:left="0" w:right="0" w:firstLine="480"/>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2、服务期限：合同签订生效后由采购方通知服务日期起贰年。</w:t>
      </w:r>
      <w:r/>
    </w:p>
    <w:p>
      <w:pPr>
        <w:ind w:left="0" w:right="0" w:firstLine="480"/>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3、付款方式：考核总分为100分，每三个月考评一次，90分至95分，每扣1分扣除500元服务费；90分以下每扣1分扣除1000元服务费，经考核后，按考核成绩付款，通过银行转账方式支付。</w:t>
      </w:r>
      <w:r/>
    </w:p>
    <w:p>
      <w:pPr>
        <w:ind w:left="0" w:right="0" w:firstLine="480"/>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4、投标人必须在满足招标文件要求的基础上进行报价，如有技术偏离请于技术偏离表中说明。</w:t>
      </w:r>
      <w:r/>
    </w:p>
    <w:p>
      <w:pPr>
        <w:ind w:left="0" w:right="0" w:firstLine="480"/>
        <w:jc w:val="both"/>
        <w:spacing w:before="0" w:after="0" w:line="85" w:lineRule="atLeast"/>
        <w:tabs>
          <w:tab w:val="left" w:pos="525" w:leader="none"/>
          <w:tab w:val="left" w:pos="630" w:leader="none"/>
          <w:tab w:val="left" w:pos="73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left="0" w:right="0" w:firstLine="480"/>
        <w:jc w:val="both"/>
        <w:spacing w:before="0" w:after="0" w:line="85" w:lineRule="atLeast"/>
        <w:tabs>
          <w:tab w:val="left" w:pos="525" w:leader="none"/>
          <w:tab w:val="left" w:pos="630" w:leader="none"/>
          <w:tab w:val="left" w:pos="73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p>
    <w:p>
      <w:pPr>
        <w:ind w:left="0" w:right="0" w:firstLine="0"/>
        <w:jc w:val="both"/>
        <w:spacing w:before="0" w:after="0" w:line="85" w:lineRule="atLeast"/>
        <w:tabs>
          <w:tab w:val="left" w:pos="525" w:leader="none"/>
          <w:tab w:val="left" w:pos="630" w:leader="none"/>
          <w:tab w:val="left" w:pos="73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7、依据《政府采购促进中小企业发展管理办法》规定享受扶持政策获得政府采购合同的，小微企业不得将合同分包给大中型企业，中型企业不得将合同分包给大型企业。</w:t>
      </w:r>
      <w:r/>
    </w:p>
    <w:p>
      <w:pPr>
        <w:ind w:left="0" w:right="0" w:firstLine="0"/>
        <w:jc w:val="both"/>
        <w:spacing w:before="0" w:after="0" w:line="85" w:lineRule="atLeast"/>
        <w:tabs>
          <w:tab w:val="left" w:pos="525" w:leader="none"/>
          <w:tab w:val="left" w:pos="630" w:leader="none"/>
          <w:tab w:val="left" w:pos="73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ind w:left="0" w:right="0" w:firstLine="0"/>
        <w:spacing w:before="0" w:after="0" w:line="85" w:lineRule="atLeast"/>
        <w:tabs>
          <w:tab w:val="left" w:pos="525" w:leader="none"/>
          <w:tab w:val="left" w:pos="630" w:leader="none"/>
          <w:tab w:val="left" w:pos="73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第三部分政府采购政策（包括但不限于下列具体政策要求）</w:t>
      </w:r>
      <w:r/>
    </w:p>
    <w:p>
      <w:pPr>
        <w:ind w:left="0" w:right="0" w:firstLine="480"/>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  要时应按照要求在履约验收环节出具检测报告。</w:t>
      </w:r>
      <w:r/>
    </w:p>
    <w:p>
      <w:pPr>
        <w:ind w:left="0" w:right="0" w:firstLine="480"/>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right="0" w:firstLine="480"/>
        <w:jc w:val="both"/>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right="0" w:firstLine="480"/>
        <w:jc w:val="both"/>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认证机构详见市场监管总局发布的《参与实施政府采购节能产品认证机构名录》和《参与实施政府采购环境标志产品认证机构名录》。</w:t>
      </w:r>
      <w:r/>
    </w:p>
    <w:p>
      <w:pPr>
        <w:ind w:left="0" w:right="0" w:firstLine="480"/>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、本项目中如有涉及采购数据中心相关设备、运维服务的，应当按《关于印发〈绿色数据中心政府采购需求标准（试行）〉的通知》（财办库〔</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0" w:right="0" w:firstLine="480"/>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4、有关中小企业政策，如落实政府采购政策需满足的资格要求以及落实政府采购政策的价格调整的相关内容可详见本文件其他章节。</w:t>
      </w:r>
      <w:r/>
    </w:p>
    <w:p>
      <w:pPr>
        <w:ind w:left="0" w:right="0" w:firstLine="480"/>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5、中标、成交供应商可采用合同融资形式，中标人可凭政府采购合同办理融资贷款，详见政府采购网“政采贷”专栏。</w:t>
      </w:r>
      <w:r/>
    </w:p>
    <w:p>
      <w:pPr>
        <w:ind w:left="0" w:right="0" w:firstLine="480"/>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0" w:right="0" w:firstLine="480"/>
        <w:jc w:val="both"/>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中标、成交供应商可以采用电子履约保函形式缴纳履约保证金，具体操作可登录江苏政府采购网（http://www.ccgp-jiangsu.gov.cn/）的保险保函模块进行办理。</w:t>
      </w:r>
      <w:r/>
    </w:p>
    <w:p>
      <w:pPr>
        <w:ind w:left="0" w:right="0" w:firstLine="480"/>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w:t>
      </w:r>
      <w:r>
        <w:rPr>
          <w:rFonts w:ascii="SimSun" w:hAnsi="SimSun" w:eastAsia="SimSun" w:cs="SimSun"/>
          <w:color w:val="000000"/>
          <w:sz w:val="24"/>
        </w:rPr>
        <w:t xml:space="preserve">测、认证资质的机构进行检测、认证。</w:t>
      </w:r>
      <w:r/>
    </w:p>
    <w:p>
      <w:pPr>
        <w:ind w:left="0" w:right="0" w:firstLine="480"/>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right="0" w:firstLine="480"/>
        <w:jc w:val="both"/>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right="0" w:firstLine="480"/>
        <w:jc w:val="both"/>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采购人原则上应当自收到发票后10个工作日内将资金支付到合同约定的供应商账户。</w:t>
      </w:r>
      <w:r/>
    </w:p>
    <w:p>
      <w:pPr>
        <w:ind w:left="0" w:right="0" w:firstLine="480"/>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left="0" w:right="0" w:firstLine="480"/>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10、根据</w:t>
      </w:r>
      <w:r>
        <w:rPr>
          <w:rFonts w:ascii="SimSun" w:hAnsi="SimSun" w:eastAsia="SimSun" w:cs="SimSun"/>
          <w:color w:val="000000"/>
          <w:sz w:val="24"/>
          <w:u w:val="none"/>
        </w:rPr>
        <w:t xml:space="preserve">《保障中小企业款项支付条例》（中华人民共和国国务院令第802号）</w:t>
      </w:r>
      <w:r>
        <w:rPr>
          <w:rFonts w:ascii="SimSun" w:hAnsi="SimSun" w:eastAsia="SimSun" w:cs="SimSun"/>
          <w:color w:val="000000"/>
          <w:sz w:val="24"/>
        </w:rPr>
        <w:t xml:space="preserve">，机关、事业单位和大型企业不得要求中小企业接受不合理的付款期限、方式、条件和违约责任等交易条件，不得拖欠中小企业的货物、工程、服务款项。</w:t>
      </w:r>
      <w:r/>
    </w:p>
    <w:p>
      <w:pPr>
        <w:ind w:left="0" w:right="0" w:firstLine="480"/>
        <w:jc w:val="both"/>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机关、事业单位从中小企业采购货物、工程、服务，应当自货物、工程、服务交付之日起30日内支付款项；合同另有约定的，从其约定，但付款期限最长不得超过60日。</w:t>
      </w:r>
      <w:r/>
    </w:p>
    <w:p>
      <w:pPr>
        <w:ind w:left="0" w:right="0" w:firstLine="480"/>
        <w:jc w:val="both"/>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中小企业应当依法经营，诚实守信，按照合同约定提供合格的货物、工程和服务。</w:t>
      </w:r>
      <w:r/>
    </w:p>
    <w:p>
      <w:pPr>
        <w:ind w:left="0" w:right="0" w:firstLine="48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机关、事业单位和大型企业采购货物、工程、服务支付中小企业款项，应当遵守《保障中小企业款项支付条例》（中华人民共和国国务院令第802号）。</w:t>
        <w:br w:type="page" w:clear="all"/>
      </w:r>
      <w:r/>
    </w:p>
    <w:p>
      <w:pPr>
        <w:ind w:left="0" w:right="0" w:firstLine="48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第五章评标方法与评标标准</w:t>
      </w:r>
      <w:r/>
    </w:p>
    <w:p>
      <w:pPr>
        <w:numPr>
          <w:ilvl w:val="0"/>
          <w:numId w:val="2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评标方法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投标人通过初审的，方可进入比较与评价程序。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比较与评价采用综合评分法。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第二部分评标标准</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一、落实政府采购政策的价格调整</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小微型企业价格扣除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联合体各方均为小型、微型企业的，联合体视同为小型、微型企业按规定享受价格扣除。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0"/>
          <w:numId w:val="27"/>
        </w:numP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2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评分标准</w:t>
      </w:r>
      <w:r/>
    </w:p>
    <w:p>
      <w:pPr>
        <w:ind w:left="0" w:right="0" w:firstLine="482"/>
        <w:jc w:val="both"/>
        <w:spacing w:before="0" w:after="0" w:line="85" w:lineRule="atLeast"/>
        <w:tabs>
          <w:tab w:val="left" w:pos="525" w:leader="none"/>
          <w:tab w:val="left" w:pos="945" w:leader="none"/>
          <w:tab w:val="left" w:pos="1155" w:leader="none"/>
          <w:tab w:val="left" w:pos="382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(一）报价（10分）：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投标报价采用低价优先法计算，即满足招标文件要求且价格最低的投标报价为评标基准价，其价格分为满分10分。其他供应商的价格分统一按照下列公式计算(计算结果保留小数点后二位)：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投标报价得分=(评标基准价／最终投标报价)×价格权值×100。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关于价格扣除详见本章第二部分“一、落实政府采购政策的价格调整”。</w:t>
      </w:r>
      <w:r/>
    </w:p>
    <w:p>
      <w:pPr>
        <w:ind w:left="0" w:right="0" w:firstLine="241"/>
        <w:jc w:val="both"/>
        <w:spacing w:before="0" w:after="0" w:line="85" w:lineRule="atLeast"/>
        <w:tabs>
          <w:tab w:val="left" w:pos="525" w:leader="none"/>
          <w:tab w:val="left" w:pos="945" w:leader="none"/>
          <w:tab w:val="left" w:pos="1155" w:leader="none"/>
          <w:tab w:val="left" w:pos="382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（二）商务分（10分）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1、人员配置情况（6分，须在项目人员配置清单中填列并上传相关证明材料）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拟投入本项目的项目负责人（2.5分）：</w:t>
      </w:r>
      <w:r>
        <w:rPr>
          <w:rFonts w:ascii="SimSun" w:hAnsi="SimSun" w:eastAsia="SimSun" w:cs="SimSun"/>
          <w:color w:val="000000"/>
          <w:sz w:val="24"/>
        </w:rPr>
        <w:t xml:space="preserve">具有三级（高级）及以上保安员职业资格证书的，得0.5分；具备本科（含）以上学历的，得0.5分；具有5年及以上安保团队管理经验（须提供服务单位出具的证明材料，不提供不得分），得0.5分；具备消防设施操作员证（中级/四级及以上级别），得0.5分；具有退伍证（包含消防），得0.5分。最高不超过2.5分。</w:t>
      </w:r>
      <w:r>
        <w:rPr>
          <w:rFonts w:ascii="SimSun" w:hAnsi="SimSun" w:eastAsia="SimSun" w:cs="SimSun"/>
          <w:b/>
          <w:color w:val="000000"/>
          <w:sz w:val="24"/>
        </w:rPr>
        <w:t xml:space="preserve">（投标文件中须上传三级（高级）及以上保安员职业资格证书原件扫描件及近三个月中任意一个月份(不含投标当月)投标人为所有相关人员缴纳社保的证明，未按要求提供不得分。）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以上人员（除项目负责人外）具备三级（高级）及以上保安员职业资格证书（2.5分）：</w:t>
      </w:r>
      <w:r>
        <w:rPr>
          <w:rFonts w:ascii="SimSun" w:hAnsi="SimSun" w:eastAsia="SimSun" w:cs="SimSun"/>
          <w:color w:val="000000"/>
          <w:sz w:val="24"/>
        </w:rPr>
        <w:t xml:space="preserve">每有1个具有三级（高级）及以上保安员职业资格得0.5分，最高不超过2.5分。</w:t>
      </w:r>
      <w:r>
        <w:rPr>
          <w:rFonts w:ascii="SimSun" w:hAnsi="SimSun" w:eastAsia="SimSun" w:cs="SimSun"/>
          <w:b/>
          <w:color w:val="000000"/>
          <w:sz w:val="24"/>
        </w:rPr>
        <w:t xml:space="preserve">（投标文件中须上传三级（高级）及以上保安员职业资格证书原件扫描件及近三个月中任意一个月份(不含投标当月)投标人为所有相关人员缴纳社保的证明，未按要求提供不得分。）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（3）投标人针对本项目配备的人员中获得过省总工会颁发的省优秀保安员荣誉证书，得1分</w:t>
      </w:r>
      <w:r>
        <w:rPr>
          <w:rFonts w:ascii="SimSun" w:hAnsi="SimSun" w:eastAsia="SimSun" w:cs="SimSun"/>
          <w:b/>
          <w:color w:val="000000"/>
          <w:sz w:val="24"/>
        </w:rPr>
        <w:t xml:space="preserve">（需上传有效证明材料扫描件及投标人为相关人员近三个月中任意一个月份(不含投标当月)的社保缴费证明，材料无法同时提供的不得分）</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2、企业业绩（1分）</w:t>
      </w:r>
      <w:r>
        <w:rPr>
          <w:rFonts w:ascii="SimSun" w:hAnsi="SimSun" w:eastAsia="SimSun" w:cs="SimSun"/>
          <w:color w:val="000000"/>
          <w:sz w:val="24"/>
        </w:rPr>
        <w:t xml:space="preserve">：投标人提供2023年1月1日以来的政府采购保安服务项目业绩，每提供一份有效合同得0.5分，最高不超过1分。</w:t>
      </w:r>
      <w:r>
        <w:rPr>
          <w:rFonts w:ascii="SimSun" w:hAnsi="SimSun" w:eastAsia="SimSun" w:cs="SimSun"/>
          <w:b/>
          <w:color w:val="000000"/>
          <w:sz w:val="24"/>
        </w:rPr>
        <w:t xml:space="preserve">（投标文件中须上传合同原件扫描件，未按要求提供不得分。）</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SimSun" w:hAnsi="SimSun" w:eastAsia="SimSun" w:cs="SimSun"/>
          <w:color w:val="000000"/>
          <w:sz w:val="24"/>
        </w:rPr>
        <w:t xml:space="preserve">投标人具有5座电动巡逻车且配备车载移动照明摄像一体机，以上车辆有1台加2分，最高得2分；</w:t>
      </w:r>
      <w:r>
        <w:rPr>
          <w:rFonts w:ascii="SimSun" w:hAnsi="SimSun" w:eastAsia="SimSun" w:cs="SimSun"/>
          <w:b/>
          <w:color w:val="000000"/>
          <w:sz w:val="24"/>
        </w:rPr>
        <w:t xml:space="preserve">（如为投标人自有车辆，提供车辆图片、购买发票及车载移动照明摄像一体机功能参数上传；如为租赁车辆，提供车辆租赁合同、出租方购买发票、车辆照片及车载移动照明摄像一体机功能参数上传（租赁期限不短于服务期2026年5月31日至2028年5月30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投标人具有2轮电动巡逻车，有4辆及以上加0.5分；投标人具有2轮电动车，有8辆及以上加0.5分；本项最多加1分。</w:t>
      </w:r>
      <w:r>
        <w:rPr>
          <w:rFonts w:ascii="SimSun" w:hAnsi="SimSun" w:eastAsia="SimSun" w:cs="SimSun"/>
          <w:b/>
          <w:color w:val="000000"/>
          <w:sz w:val="24"/>
        </w:rPr>
        <w:t xml:space="preserve">（如为投标人自有车辆，提供车辆图片及购买发票上传；如为租赁车辆，提供车辆租赁合同、出租方购买发票及车辆照片上传（租赁期限不短于服务期2026年5月31日至2028年5月30日）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（三）技术方案（暗标）（80分）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在响应招标文件需求的基础上针对下列各部分进行评价，要求体现针对性、可行性、科学合理性、条理性、完善性，以下各部分如未见阐述则不得分：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1、目标及整体设想（14分）：</w:t>
      </w:r>
      <w:r>
        <w:rPr>
          <w:rFonts w:ascii="SimSun" w:hAnsi="SimSun" w:eastAsia="SimSun" w:cs="SimSun"/>
          <w:color w:val="000000"/>
          <w:sz w:val="24"/>
        </w:rPr>
        <w:t xml:space="preserve">①保安服务管理目标；②整体设想；③近期保安服务目标；④客户服务目标；⑤安全服务目标；⑥项目管理目标；⑦项目工作目标。对上述内容进行了阐述且分析合理、描述详细、切实可行有效，满足采购需求的每项得2分；对上述内容进行了阐述且有分析、描述简单、方案较完善有效的每项得1分；每有一项内容未进行阐述或阐述不满足采购需求的，该项不得分。本项最高得14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2、管理服务体系（6分）：</w:t>
      </w:r>
      <w:r>
        <w:rPr>
          <w:rFonts w:ascii="SimSun" w:hAnsi="SimSun" w:eastAsia="SimSun" w:cs="SimSun"/>
          <w:color w:val="000000"/>
          <w:sz w:val="24"/>
        </w:rPr>
        <w:t xml:space="preserve">①管理服务体系的定义；②运作流程；③如何建立现代化的管理服务体系。对上述内容进行了阐述且分析合理、描述详细、切实可行有效，满足采购需求的每项得2分；对上述内容进行了阐述且有分析、描述简单、方案较完善有效的每项得1分；每有一项内容未进行阐述或阐述不满足采购需求的，该项不得分。本项最高得6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3、岗前培训及阶段性培训管理（6分）：</w:t>
      </w:r>
      <w:r>
        <w:rPr>
          <w:rFonts w:ascii="SimSun" w:hAnsi="SimSun" w:eastAsia="SimSun" w:cs="SimSun"/>
          <w:color w:val="000000"/>
          <w:sz w:val="24"/>
        </w:rPr>
        <w:t xml:space="preserve">①人员招聘管理；②人员激励机制；③人员培训管理。对上述内容进行了阐述且分析合理、描述详细、切实可行有效，满足采购需求的每项得2分；对上述内容进行了阐述且有分析、描述简单、方案较完善有效的每项得1分；每有一项内容未进行阐述或阐述不满足采购需求的，该项不得分。本项最高得6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4、日常管理标准及措施（4分）：</w:t>
      </w:r>
      <w:r>
        <w:rPr>
          <w:rFonts w:ascii="SimSun" w:hAnsi="SimSun" w:eastAsia="SimSun" w:cs="SimSun"/>
          <w:color w:val="000000"/>
          <w:sz w:val="24"/>
        </w:rPr>
        <w:t xml:space="preserve">①日常管理标准；②具体实施日常管理标准的措施。对上述内容进行了阐述且分析合理、描述详细、切实可行有效，满足采购需求的每项得2分；对上述内容进行了阐述且有分析、描述简单、方案较完善有效的每项得1分；每有一项内容未进行阐述或阐述不满足采购需求的，该项不得分。本项最高得4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5、管理规章制度（6分）：</w:t>
      </w:r>
      <w:r>
        <w:rPr>
          <w:rFonts w:ascii="SimSun" w:hAnsi="SimSun" w:eastAsia="SimSun" w:cs="SimSun"/>
          <w:color w:val="000000"/>
          <w:sz w:val="24"/>
        </w:rPr>
        <w:t xml:space="preserve">①建立制度的目的；②制度适用范围；③各项管理制度。对上述内容进行了阐述且分析合理、描述详细、切实可行有效，满足采购需求的每项得2分；对上述内容进行了阐述且有分析、描述简单、方案较完善有效的每项得1分；每有一项内容未进行阐述或阐述不满足采购需求的，该项不得分。本项最高得6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6、物资装备的配备及维保使用方案（6分）：</w:t>
      </w:r>
      <w:r>
        <w:rPr>
          <w:rFonts w:ascii="SimSun" w:hAnsi="SimSun" w:eastAsia="SimSun" w:cs="SimSun"/>
          <w:color w:val="000000"/>
          <w:sz w:val="24"/>
        </w:rPr>
        <w:t xml:space="preserve">①投入本项目的工具设备物资明细表；②维保使用方案；③安保装备、防护器材维保使用方案。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上述内容进行了阐述且分析合理、描述详细、切实可行有效，满足采购需求的每项得2分；对上述内容进行了阐述且有分析、描述简单、方案较完善有效的每项得1分；每有一项内容未进行阐述或阐述不满足采购需求的，该项不得分。本项最高得6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7、管理重点难点和措施（8分）：</w:t>
      </w:r>
      <w:r>
        <w:rPr>
          <w:rFonts w:ascii="SimSun" w:hAnsi="SimSun" w:eastAsia="SimSun" w:cs="SimSun"/>
          <w:color w:val="000000"/>
          <w:sz w:val="24"/>
        </w:rPr>
        <w:t xml:space="preserve">①整体管理服务；②管理重点难点；③安全对策；④管理措施。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上述内容进行了阐述且分析合理、描述详细、切实可行有效，满足采购需求的每项得2分；对上述内容进行了阐述且有分析、描述简单、方案较完善有效的每项得1分；每有一项内容未进行阐述或阐述不满足采购需求的，该项不得分。本项最高得8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8、与采购人及其他单位、部门的综合协调方案（4分）：</w:t>
      </w:r>
      <w:r>
        <w:rPr>
          <w:rFonts w:ascii="SimSun" w:hAnsi="SimSun" w:eastAsia="SimSun" w:cs="SimSun"/>
          <w:color w:val="000000"/>
          <w:sz w:val="24"/>
        </w:rPr>
        <w:t xml:space="preserve">①与采购单位的综合协调方案；②与其他单位、部门的综合协调方案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上述内容进行了阐述且分析合理、描述详细、切实可行有效，满足采购需求的每项得2分；对上述内容进行了阐述且有分析、描述简单、方案较完善有效的每项得1分；每有一项内容未进行阐述或阐述不满足采购需求的，该项不得分。本项最高得4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9、正式接管前具体措施（6分）：</w:t>
      </w:r>
      <w:r>
        <w:rPr>
          <w:rFonts w:ascii="SimSun" w:hAnsi="SimSun" w:eastAsia="SimSun" w:cs="SimSun"/>
          <w:color w:val="000000"/>
          <w:sz w:val="24"/>
        </w:rPr>
        <w:t xml:space="preserve">①进驻前期计划；②正式接管前具体措施；③进退场交接方案。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上述内容进行了阐述且分析合理、描述详细、切实可行有效，满足采购需求的每项得2分；对上述内容进行了阐述且有分析、描述简单、方案较完善有效的每项得1分；每有一项内容未进行阐述或阐述不满足采购需求的，该项不得分。本项最高得6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10、特殊情况应急预案和过失及意外保障措施（4分）：</w:t>
      </w:r>
      <w:r>
        <w:rPr>
          <w:rFonts w:ascii="SimSun" w:hAnsi="SimSun" w:eastAsia="SimSun" w:cs="SimSun"/>
          <w:color w:val="000000"/>
          <w:sz w:val="24"/>
        </w:rPr>
        <w:t xml:space="preserve">①特殊情况应急预案；②过失及意外保障措施。对上述内容进行了阐述且分析合理、描述详细、切实可行有效，满足采购需求的每项得2分；对上述内容进行了阐述且有分析、描述简单、方案较完善有效的每项得1分；每有一项内容未进行阐述或阐述不满足采购需求的，该项不得分。本项最高得4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11、档案资料管理（6分）：</w:t>
      </w:r>
      <w:r>
        <w:rPr>
          <w:rFonts w:ascii="SimSun" w:hAnsi="SimSun" w:eastAsia="SimSun" w:cs="SimSun"/>
          <w:color w:val="000000"/>
          <w:sz w:val="24"/>
        </w:rPr>
        <w:t xml:space="preserve">①档案资料的建立；②档案库房管理制度；③档案规范化管理。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上述内容进行了阐述且分析合理、描述详细、切实可行有效，满足采购需求的每项得2分；对上述内容进行了阐述且有分析、描述简单、方案较完善有效的每项得1分；每有一项内容未进行阐述或阐述不满足采购需求的，该项不得分。本项最高得6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12、服务响应时间（4分）：</w:t>
      </w:r>
      <w:r>
        <w:rPr>
          <w:rFonts w:ascii="SimSun" w:hAnsi="SimSun" w:eastAsia="SimSun" w:cs="SimSun"/>
          <w:color w:val="000000"/>
          <w:sz w:val="24"/>
        </w:rPr>
        <w:t xml:space="preserve">①快速反应能力；②突发事件服务响应；③应急响应；④相关部门的任务。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上述内容进行了阐述且分析合理、描述详细、切实可行有效，满足采购需求的每项得1分；对上述内容进行了阐述且有分析、描述简单、方案较完善有效的每项得0.5分；每有一项内容未进行阐述或阐述不满足采购需求的，该项不得分。本项最高得4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13、特色与创新（6分）</w:t>
      </w:r>
      <w:r>
        <w:rPr>
          <w:rFonts w:ascii="SimSun" w:hAnsi="SimSun" w:eastAsia="SimSun" w:cs="SimSun"/>
          <w:color w:val="000000"/>
          <w:sz w:val="24"/>
        </w:rPr>
        <w:t xml:space="preserve">：①保安管理特色；②服务创新。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上述内容进行了阐述且分析合理、描述详细、切实可行有效，满足采购需求的每项得3分；对上述内容进行了阐述且有分析、描述简单、方案较完善有效的每项得1.5分；每有一项内容未进行阐述或阐述不满足采购需求的，该项不得分。本项最高得6分。</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第六章投标文件内容与格式</w:t>
      </w:r>
      <w:r/>
    </w:p>
    <w:p>
      <w:pPr>
        <w:ind w:left="0" w:right="0" w:firstLine="60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第一部分投标文件内容</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一、资格证明文件</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7"/>
        <w:gridCol w:w="5617"/>
        <w:gridCol w:w="2271"/>
      </w:tblGrid>
      <w:tr>
        <w:trPr>
          <w:trHeight w:val="4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评审项目及评审要求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r>
      <w:tr>
        <w:trPr>
          <w:trHeight w:val="1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w:t>
            </w:r>
            <w:r/>
          </w:p>
        </w:tc>
      </w:tr>
      <w:tr>
        <w:trPr>
          <w:trHeight w:val="8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《授权委托书》（给定格式；投标人如是自然人情形的，可不提供）。</w:t>
            </w:r>
            <w:r/>
          </w:p>
        </w:tc>
        <w:tc>
          <w:tcPr>
            <w:vMerge w:val="continue"/>
            <w:textDirection w:val="lrTb"/>
            <w:noWrap w:val="false"/>
          </w:tcPr>
          <w:p>
            <w:r/>
            <w:r/>
          </w:p>
        </w:tc>
      </w:tr>
      <w:tr>
        <w:trPr>
          <w:trHeight w:val="1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p>
        </w:tc>
        <w:tc>
          <w:tcPr>
            <w:vMerge w:val="continue"/>
            <w:textDirection w:val="lrTb"/>
            <w:noWrap w:val="false"/>
          </w:tcPr>
          <w:p>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投标人近一年中任意一个月份(不含投标当月)的依法缴纳税收的相关材料（提供相关主管部门证明或银行代扣证明）。</w:t>
            </w:r>
            <w:r/>
          </w:p>
        </w:tc>
        <w:tc>
          <w:tcPr>
            <w:vMerge w:val="continue"/>
            <w:textDirection w:val="lrTb"/>
            <w:noWrap w:val="false"/>
          </w:tcPr>
          <w:p>
            <w:r/>
            <w:r/>
          </w:p>
        </w:tc>
      </w:tr>
      <w:tr>
        <w:trPr>
          <w:trHeight w:val="10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投标人近一年中任意一个月份(不含投标当月)的依法缴纳社会保障资金的相关材料（提供相关主管部门证明或银行代扣证明）。</w:t>
            </w:r>
            <w:r/>
          </w:p>
        </w:tc>
        <w:tc>
          <w:tcPr>
            <w:vMerge w:val="continue"/>
            <w:textDirection w:val="lrTb"/>
            <w:noWrap w:val="false"/>
          </w:tcPr>
          <w:p>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《资格声明函》（给定格式）。</w:t>
            </w:r>
            <w:r/>
          </w:p>
        </w:tc>
        <w:tc>
          <w:tcPr>
            <w:vMerge w:val="continue"/>
            <w:textDirection w:val="lrTb"/>
            <w:noWrap w:val="false"/>
          </w:tcPr>
          <w:p>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满足中小企业政策的证明文件（如有中小企业政策要求的）。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落实政府采购政策需满足的资格要求，详见第一章《投标邀请》</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本项目要求的特定资格证明文件（如有特定资格要求的）。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特定资格要求，详见第一章《投标邀请》</w:t>
            </w:r>
            <w:r/>
          </w:p>
        </w:tc>
      </w:tr>
      <w:tr>
        <w:trPr>
          <w:trHeight w:val="6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《联合体协议》（如接受联合体投标且投标人为联合体时须提供，格式自拟）。</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numPr>
          <w:ilvl w:val="0"/>
          <w:numId w:val="28"/>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28"/>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上述资格证明文件第7项，如本项目落实政府采购政策需满足的资格要求中有中小企业政策要求的（详见第一章《投标邀请》），必须提供相应证明文件，否则投标文件无效。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28"/>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上述资格证明文件第8项，如本项目有特定资格要求的（详见第一章《投标邀请》），须提供相应的特定资格证明文件。</w:t>
      </w:r>
      <w:r/>
    </w:p>
    <w:p>
      <w:pPr>
        <w:numPr>
          <w:ilvl w:val="0"/>
          <w:numId w:val="28"/>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如项目接受联合体投标且投标人为联合体时，上述资格证明文件中：第2、6项可由联合体主体单位（即联合体牵头人）代表联合体提供；第1、3、4、5、7（如有要求）、8（如有要求）项，联合体各方均须提供。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二、符合性证明文件及其他证明文件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（一）符合性证明文件</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0"/>
        <w:gridCol w:w="5599"/>
        <w:gridCol w:w="182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评审项目及评审要求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投标函（给定格式）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商务符合性</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承诺书（给定格式）</w:t>
            </w:r>
            <w:r/>
          </w:p>
        </w:tc>
        <w:tc>
          <w:tcPr>
            <w:vMerge w:val="continue"/>
            <w:textDirection w:val="lrTb"/>
            <w:noWrap w:val="false"/>
          </w:tcPr>
          <w:p>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开标一览表（“苏采云”系统中给定格式）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报价符合性</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分项报价表（给定格式）</w:t>
            </w:r>
            <w:r/>
          </w:p>
        </w:tc>
        <w:tc>
          <w:tcPr>
            <w:vMerge w:val="continue"/>
            <w:textDirection w:val="lrTb"/>
            <w:noWrap w:val="false"/>
          </w:tcPr>
          <w:p>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投标偏离表（给定格式）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技术符合性</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《采购需求》中要求提供的证明材料（如有）</w:t>
            </w:r>
            <w:r/>
          </w:p>
        </w:tc>
        <w:tc>
          <w:tcPr>
            <w:vMerge w:val="continue"/>
            <w:textDirection w:val="lrTb"/>
            <w:noWrap w:val="false"/>
          </w:tcPr>
          <w:p>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numPr>
          <w:ilvl w:val="0"/>
          <w:numId w:val="28"/>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上述符合性证明文件第1～5项必须按要求全部提供（有给定格式的，必须按给定格式的要求正确填报并提供，相应格式见本章第二部分），否则投标文件无效。</w:t>
      </w:r>
      <w:r/>
    </w:p>
    <w:p>
      <w:pPr>
        <w:numPr>
          <w:ilvl w:val="0"/>
          <w:numId w:val="28"/>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上述符合性证明文件第6项，《采购需求》中如有要求提供证明材料的，须按要求提供，否则投标文件无效。</w:t>
      </w:r>
      <w:r/>
    </w:p>
    <w:p>
      <w:pPr>
        <w:numPr>
          <w:ilvl w:val="0"/>
          <w:numId w:val="28"/>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如项目接受联合体投标，且投标人为联合体时，上述符合性证明文件第1～5项可由联合体主体单位（即联合体牵头人）代表联合体提供。第6项按《采购需求》中的相应要求（如有）进行提供。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（二）其他证明文件</w:t>
      </w:r>
      <w:r/>
    </w:p>
    <w:p>
      <w:pPr>
        <w:ind w:left="48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1.《评标方法与评标标准》中涉及的证明文件。</w:t>
      </w:r>
      <w:r/>
    </w:p>
    <w:p>
      <w:pPr>
        <w:ind w:left="48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2.投标人认为如有其他应附的文件可自拟并自行添加。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第二部分投标文件格式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一、封面格式（参考格式）：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84"/>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t xml:space="preserve"> </w:t>
      </w:r>
      <w:r/>
    </w:p>
    <w:p>
      <w:pPr>
        <w:ind w:left="3589" w:right="0" w:hanging="18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项目编号：JSZC-320200-YZDC-G2026-0009</w:t>
      </w:r>
      <w:r/>
    </w:p>
    <w:p>
      <w:pPr>
        <w:ind w:left="3589" w:right="0" w:hanging="18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项目名称：</w:t>
      </w:r>
      <w:r>
        <w:rPr>
          <w:rFonts w:ascii="SimHei" w:hAnsi="SimHei" w:eastAsia="SimHei" w:cs="SimHei"/>
          <w:color w:val="000000"/>
          <w:sz w:val="28"/>
        </w:rPr>
        <w:t xml:space="preserve">市局机关2026-2028年保安服务</w:t>
      </w:r>
      <w:r/>
    </w:p>
    <w:p>
      <w:pPr>
        <w:ind w:left="0" w:right="0" w:firstLine="18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投 标 人：</w:t>
      </w:r>
      <w:r/>
    </w:p>
    <w:p>
      <w:pPr>
        <w:ind w:left="0" w:right="0" w:firstLine="18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日期：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二、授权委托书（给定格式）：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授权委托书</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我公司（单位、联合体）针对（苏采云项目编号）项目，兹授权：</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被授权人的姓名：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被授权人的身份证号码：</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为我方合法代理人，以本单位名义全权处理针对本次项目的投标、参与开标、评标、签约等具体工作，并签署全部有关的文件、协议及合同以及其他一切与该项目采购有关的事务。</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本授权委托书自授权之日起生效，在撤销授权的书面通知送达你处以前，本授权书一直有效，被授权人签署的所有文件（在授权委托书有效期内签署的）不因授权的撤销而失效。</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特此授权委托。</w:t>
      </w:r>
      <w:r/>
    </w:p>
    <w:p>
      <w:pPr>
        <w:ind w:left="0" w:right="0" w:firstLine="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日投标人名称（加盖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rPr>
          <w:rFonts w:ascii="SimSun" w:hAnsi="SimSun" w:eastAsia="SimSun" w:cs="SimSun"/>
          <w:color w:val="000000"/>
          <w:sz w:val="24"/>
          <w:u w:val="single"/>
        </w:rPr>
        <w:t xml:space="preserve">        </w:t>
      </w:r>
      <w:r>
        <w:rPr>
          <w:rFonts w:ascii="SimSun" w:hAnsi="SimSun" w:eastAsia="SimSun" w:cs="SimSun"/>
          <w:color w:val="000000"/>
          <w:sz w:val="24"/>
        </w:rPr>
        <w:t xml:space="preserve">         被授权人签字：</w:t>
      </w:r>
      <w:r>
        <w:rPr>
          <w:rFonts w:ascii="SimSun" w:hAnsi="SimSun" w:eastAsia="SimSun" w:cs="SimSun"/>
          <w:color w:val="000000"/>
          <w:sz w:val="24"/>
          <w:u w:val="single"/>
        </w:rPr>
        <w:t xml:space="preserve">        </w:t>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投标文件中须提供本授权委托书中的被授权人有效身份证原件正反面扫描件及劳动合同、近三个月中任意一个月份(不含投标当月)投标人为其缴纳社保的证明；如被授权人为法定代表人（或以下说明所述的单位负责人）时，则提供法定代表人（或以下说明所述的单位负责人）有效身份证原件正反面扫描件。</w:t>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28"/>
        </w:numPr>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若投标人为事业单位或其他组织或分支机构（仅限招标文件注明允许分支机构投标情形的），则法定代表人处的签字人可为单位负责人。</w:t>
      </w:r>
      <w:r/>
    </w:p>
    <w:p>
      <w:pPr>
        <w:numPr>
          <w:ilvl w:val="0"/>
          <w:numId w:val="28"/>
        </w:numPr>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当被授权人为法定代表人（或上述情况的单位负责人）时，被授权人相关内容填报为法定代表人（或上述情况的单位负责人）信息，“被授权人签字或盖章”处可不用再重复签字或盖章。</w:t>
      </w:r>
      <w:r/>
    </w:p>
    <w:p>
      <w:pPr>
        <w:numPr>
          <w:ilvl w:val="0"/>
          <w:numId w:val="28"/>
        </w:numPr>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供应商为自然人情形的，可不提供本《授权委托书》。</w:t>
      </w:r>
      <w:r/>
    </w:p>
    <w:p>
      <w:pPr>
        <w:numPr>
          <w:ilvl w:val="0"/>
          <w:numId w:val="28"/>
        </w:numPr>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被授权人为外籍、港、澳、台地区人士的，其身份证明须提供有效的护照或港澳同胞来往内地通行证、台湾同胞来往大陆通行证，或其他可在中国大陆有效居留的许可证明。</w:t>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三、资格声明函（给定格式）：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资格声明函</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江苏省鼎诚建设工程顾问有限公司：</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我公司（单位、联合体）针对本次项目（苏采云项目编号）进行投标，并作如下声明</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2.本公司（单位、联合体）具备本次项目履行合同所必需的设备和专业技术能力。</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我公司（单位、联合体）针对本次项目的上述声明以及投标文件中所有关于投标资格的文件、证明、陈述均是真实的、准确的。若有违背，我公司（单位、联合体）愿意承担由此而产生的一切后果。</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jc w:val="both"/>
        <w:spacing w:before="24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法定代表人或者授权委托人签字：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四、中小企业声明函（给定格式）：</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中小企业声明函（服务）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 </w:t>
      </w:r>
      <w:r>
        <w:rPr>
          <w:rFonts w:ascii="SimSun" w:hAnsi="SimSun" w:eastAsia="SimSun" w:cs="SimSun"/>
          <w:color w:val="000000"/>
          <w:sz w:val="24"/>
          <w:u w:val="single"/>
        </w:rPr>
        <w:t xml:space="preserve">（联合体）</w:t>
      </w:r>
      <w:r>
        <w:rPr>
          <w:rFonts w:ascii="SimSun" w:hAnsi="SimSun" w:eastAsia="SimSun" w:cs="SimSun"/>
          <w:color w:val="000000"/>
          <w:sz w:val="24"/>
        </w:rPr>
        <w:t xml:space="preserve">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采购活动，服务全部由符合政策要求的中小企业承接。相关企业（含联合体中的中小企业、签订分包意向协议的中小企业）的具体情况如下：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left="0" w:right="0" w:firstLine="4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五、残疾人福利性单位声明函（给定格式）：</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残疾人福利性单位声明函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六、投标函（给定格式）：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致江苏省鼎诚建设工程顾问有限公司：</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我方收到贵方（苏采云项目编号）招标文件，经仔细阅读和研究，我方决定参加此项目的投标。</w:t>
      </w:r>
      <w:r/>
    </w:p>
    <w:p>
      <w:pPr>
        <w:numPr>
          <w:ilvl w:val="0"/>
          <w:numId w:val="28"/>
        </w:numPr>
        <w:jc w:val="both"/>
        <w:spacing w:before="0" w:after="0" w:line="400" w:lineRule="atLeast"/>
        <w:tabs>
          <w:tab w:val="left" w:pos="315" w:leader="none"/>
          <w:tab w:val="left" w:pos="840" w:leader="none"/>
          <w:tab w:val="left" w:pos="945" w:leader="none"/>
          <w:tab w:val="left" w:pos="105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我方愿意按照招标文件的一切要求，提供本项目的投标，投标总价见《开标一览表》。</w:t>
      </w:r>
      <w:r/>
    </w:p>
    <w:p>
      <w:pPr>
        <w:numPr>
          <w:ilvl w:val="0"/>
          <w:numId w:val="28"/>
        </w:numPr>
        <w:jc w:val="both"/>
        <w:spacing w:before="0" w:after="0" w:line="400" w:lineRule="atLeast"/>
        <w:tabs>
          <w:tab w:val="left" w:pos="315" w:leader="none"/>
          <w:tab w:val="left" w:pos="525" w:leader="none"/>
          <w:tab w:val="left" w:pos="840"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我方愿意提供江苏省鼎诚建设工程顾问有限公司在招标文件中要求的文件、资料。</w:t>
      </w:r>
      <w:r/>
    </w:p>
    <w:p>
      <w:pPr>
        <w:numPr>
          <w:ilvl w:val="0"/>
          <w:numId w:val="28"/>
        </w:numPr>
        <w:jc w:val="both"/>
        <w:spacing w:before="0" w:after="0" w:line="400" w:lineRule="atLeast"/>
        <w:tabs>
          <w:tab w:val="left" w:pos="315" w:leader="none"/>
          <w:tab w:val="left" w:pos="525"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我方同意按招标文件中的规定，从规定的开标日期起遵循本投标文件，并在规定的投标有效期期满之前均具有约束力。</w:t>
      </w:r>
      <w:r/>
    </w:p>
    <w:p>
      <w:pPr>
        <w:numPr>
          <w:ilvl w:val="0"/>
          <w:numId w:val="28"/>
        </w:numPr>
        <w:jc w:val="both"/>
        <w:spacing w:before="0" w:after="0" w:line="400" w:lineRule="atLeast"/>
        <w:tabs>
          <w:tab w:val="left" w:pos="315" w:leader="none"/>
          <w:tab w:val="left" w:pos="525"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如果我方的投标文件被接受，我方将履行招标文件中规定的每一项要求，按期、按质、按量，完成交货任务。</w:t>
      </w:r>
      <w:r/>
    </w:p>
    <w:p>
      <w:pPr>
        <w:numPr>
          <w:ilvl w:val="0"/>
          <w:numId w:val="28"/>
        </w:numPr>
        <w:jc w:val="both"/>
        <w:spacing w:before="0" w:after="0" w:line="400" w:lineRule="atLeast"/>
        <w:tabs>
          <w:tab w:val="left" w:pos="315" w:leader="none"/>
          <w:tab w:val="left" w:pos="525"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我方完全同意招标文件规定的决定中标者的方式。</w:t>
      </w:r>
      <w:r/>
    </w:p>
    <w:p>
      <w:pPr>
        <w:numPr>
          <w:ilvl w:val="0"/>
          <w:numId w:val="28"/>
        </w:numPr>
        <w:jc w:val="both"/>
        <w:spacing w:before="0" w:after="0" w:line="400" w:lineRule="atLeast"/>
        <w:tabs>
          <w:tab w:val="left" w:pos="315" w:leader="none"/>
          <w:tab w:val="left" w:pos="525"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我方愿意遵守《中华人民共和国政府采购法》，并按《中华人民共和国民法典》、财政部《政府采购货物和服务招标投标管理办法》等相关法律法规和合同条款履行自己的全部责任。</w:t>
      </w:r>
      <w:r/>
    </w:p>
    <w:p>
      <w:pPr>
        <w:numPr>
          <w:ilvl w:val="0"/>
          <w:numId w:val="28"/>
        </w:numPr>
        <w:jc w:val="both"/>
        <w:spacing w:before="0" w:after="0" w:line="400" w:lineRule="atLeast"/>
        <w:tabs>
          <w:tab w:val="left" w:pos="315" w:leader="none"/>
          <w:tab w:val="left" w:pos="525"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我方已详细审核全部招标文件及其有效补充文件，我们知道必须放弃提出含糊不清或误解问题的权利。</w:t>
      </w:r>
      <w:r/>
    </w:p>
    <w:p>
      <w:pPr>
        <w:numPr>
          <w:ilvl w:val="0"/>
          <w:numId w:val="28"/>
        </w:numPr>
        <w:jc w:val="both"/>
        <w:spacing w:before="0" w:after="0" w:line="400" w:lineRule="atLeast"/>
        <w:tabs>
          <w:tab w:val="left" w:pos="315" w:leader="none"/>
          <w:tab w:val="left" w:pos="525"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如我方在投标截止期后撤回投标及中标后拒绝遵守投标承诺或拒绝在规定的时间内与采购人签订合同，则接受政府采购监督管理部门的处理。</w:t>
      </w:r>
      <w:r/>
    </w:p>
    <w:p>
      <w:pPr>
        <w:numPr>
          <w:ilvl w:val="0"/>
          <w:numId w:val="28"/>
        </w:numPr>
        <w:jc w:val="both"/>
        <w:spacing w:before="0" w:after="0" w:line="400" w:lineRule="atLeast"/>
        <w:tabs>
          <w:tab w:val="left" w:pos="315" w:leader="none"/>
          <w:tab w:val="left" w:pos="525"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28"/>
        </w:numPr>
        <w:jc w:val="both"/>
        <w:spacing w:before="0" w:after="0" w:line="400" w:lineRule="atLeast"/>
        <w:tabs>
          <w:tab w:val="left" w:pos="315" w:leader="none"/>
          <w:tab w:val="left" w:pos="525"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rPr>
          <w:rFonts w:ascii="SimSun" w:hAnsi="SimSun" w:eastAsia="SimSun" w:cs="SimSun"/>
          <w:color w:val="000000"/>
          <w:sz w:val="24"/>
        </w:rPr>
        <w:t xml:space="preserve"> ；传真：</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jc w:val="both"/>
        <w:spacing w:before="24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法定代表人或者授权委托人签字：</w:t>
      </w:r>
      <w:r/>
    </w:p>
    <w:p>
      <w:pPr>
        <w:ind w:left="0" w:right="0" w:firstLine="420"/>
        <w:jc w:val="both"/>
        <w:spacing w:before="24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七、承诺书（给定格式）：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承诺书</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（投标人名称）针对本项目（苏采云项目编号）在此承诺：</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1.本公司（单位、联合体）对本项目所提供的货物均为原厂全新合格品，提供的服务符合招标文件要求。</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财库〔2023〕29号、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w:t>
      </w:r>
      <w:r>
        <w:rPr>
          <w:rFonts w:ascii="SimSun" w:hAnsi="SimSun" w:eastAsia="SimSun" w:cs="SimSun"/>
          <w:color w:val="000000"/>
          <w:sz w:val="24"/>
        </w:rPr>
        <w:t xml:space="preserve">公司（单位、联合体）将予以配合。</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（投标人如有其他承诺的可在此处添加）</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如违背上述承诺，本公司（单位、联合体）将承担一切法律责任。</w:t>
      </w:r>
      <w:r/>
    </w:p>
    <w:p>
      <w:pPr>
        <w:ind w:left="0" w:right="0" w:firstLine="54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1440"/>
        <w:jc w:val="both"/>
        <w:spacing w:before="24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法定代表人或者授权委托人签字：</w:t>
      </w:r>
      <w:r/>
    </w:p>
    <w:p>
      <w:pPr>
        <w:ind w:left="0" w:right="0" w:firstLine="420"/>
        <w:jc w:val="both"/>
        <w:spacing w:before="24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八、开标一览表：</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项目名称：市局机关2026-2028年保安服务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项目编号：JSZC-320200-YZDC-G2026-0009</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92"/>
        <w:gridCol w:w="3022"/>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投标总报价(小写)</w:t>
            </w:r>
            <w:r/>
          </w:p>
        </w:tc>
      </w:tr>
      <w:tr>
        <w:trPr>
          <w:trHeight w:val="1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2"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市局机关2026-2028年保安服务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7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投标总报价（大写）</w:t>
            </w: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投标人名称（加盖CA电子公章）：</w:t>
      </w:r>
      <w:r/>
    </w:p>
    <w:p>
      <w:pPr>
        <w:ind w:left="0" w:right="0" w:firstLine="0"/>
        <w:jc w:val="both"/>
        <w:spacing w:before="24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法定代表人或者授权委托人签字：</w:t>
      </w:r>
      <w:r/>
    </w:p>
    <w:p>
      <w:pPr>
        <w:ind w:left="0" w:right="0" w:firstLine="420"/>
        <w:jc w:val="both"/>
        <w:spacing w:before="24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九、分项报价表（给定格式）：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分项报价表</w:t>
      </w:r>
      <w:r/>
    </w:p>
    <w:p>
      <w:pPr>
        <w:ind w:left="0" w:right="0" w:firstLine="420"/>
        <w:jc w:val="both"/>
        <w:spacing w:before="24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项目名称：市局机关2026-2028年保安服务</w:t>
      </w:r>
      <w:r/>
    </w:p>
    <w:p>
      <w:pPr>
        <w:ind w:left="0" w:right="0" w:firstLine="420"/>
        <w:jc w:val="both"/>
        <w:spacing w:before="24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项目编号：JSZC-320200-YZDC-G2026-0009</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9"/>
        <w:gridCol w:w="757"/>
        <w:gridCol w:w="847"/>
        <w:gridCol w:w="2365"/>
        <w:gridCol w:w="883"/>
        <w:gridCol w:w="728"/>
        <w:gridCol w:w="851"/>
        <w:gridCol w:w="770"/>
        <w:gridCol w:w="1176"/>
      </w:tblGrid>
      <w:tr>
        <w:trPr>
          <w:trHeight w:val="410"/>
        </w:trPr>
        <w:tc>
          <w:tcPr>
            <w:gridSpan w:val="9"/>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936" w:type="dxa"/>
            <w:vAlign w:val="center"/>
            <w:textDirection w:val="lrTb"/>
            <w:noWrap/>
          </w:tcPr>
          <w:p>
            <w:pPr>
              <w:ind w:left="0" w:right="0" w:firstLine="0"/>
              <w:jc w:val="both"/>
              <w:spacing w:before="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货物部分</w:t>
            </w:r>
            <w:r/>
          </w:p>
        </w:tc>
      </w:tr>
      <w:tr>
        <w:trPr>
          <w:trHeight w:val="43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9" w:type="dxa"/>
            <w:vAlign w:val="center"/>
            <w:textDirection w:val="lrTb"/>
            <w:noWrap/>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57" w:type="dxa"/>
            <w:vAlign w:val="center"/>
            <w:textDirection w:val="lrTb"/>
            <w:noWrap/>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47" w:type="dxa"/>
            <w:vAlign w:val="center"/>
            <w:textDirection w:val="lrTb"/>
            <w:noWrap/>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品牌型号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365" w:type="dxa"/>
            <w:vAlign w:val="center"/>
            <w:textDirection w:val="lrTb"/>
            <w:noWrap/>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性能指标</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83" w:type="dxa"/>
            <w:vAlign w:val="center"/>
            <w:textDirection w:val="lrTb"/>
            <w:noWrap w:val="false"/>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产地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51" w:type="dxa"/>
            <w:vAlign w:val="center"/>
            <w:textDirection w:val="lrTb"/>
            <w:noWrap/>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质保期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0" w:type="dxa"/>
            <w:vAlign w:val="center"/>
            <w:textDirection w:val="lrTb"/>
            <w:noWrap w:val="false"/>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单报价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76" w:type="dxa"/>
            <w:vAlign w:val="center"/>
            <w:textDirection w:val="lrTb"/>
            <w:noWrap w:val="false"/>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分项总报价</w:t>
            </w:r>
            <w:r/>
          </w:p>
        </w:tc>
      </w:tr>
      <w:tr>
        <w:trPr>
          <w:trHeight w:val="63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9" w:type="dxa"/>
            <w:vAlign w:val="center"/>
            <w:textDirection w:val="lrTb"/>
            <w:noWrap/>
          </w:tcPr>
          <w:p>
            <w:pPr>
              <w:ind w:left="0" w:right="0" w:firstLine="0"/>
              <w:spacing w:before="5" w:after="20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57" w:type="dxa"/>
            <w:vAlign w:val="center"/>
            <w:textDirection w:val="lrTb"/>
            <w:noWrap/>
          </w:tcPr>
          <w:p>
            <w:pPr>
              <w:ind w:left="0" w:right="0" w:firstLine="0"/>
              <w:spacing w:before="200" w:after="20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7" w:type="dxa"/>
            <w:vAlign w:val="center"/>
            <w:textDirection w:val="lrTb"/>
            <w:noWrap w:val="false"/>
          </w:tcPr>
          <w:p>
            <w:pPr>
              <w:ind w:left="0" w:right="0" w:firstLine="0"/>
              <w:spacing w:before="200" w:after="20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r>
      <w:tr>
        <w:trPr>
          <w:trHeight w:val="79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7" w:type="dxa"/>
            <w:vAlign w:val="center"/>
            <w:textDirection w:val="lrTb"/>
            <w:noWrap w:val="false"/>
          </w:tcPr>
          <w:p>
            <w:pPr>
              <w:ind w:left="0" w:right="0" w:firstLine="0"/>
              <w:spacing w:before="200" w:after="20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7" w:type="dxa"/>
            <w:vAlign w:val="center"/>
            <w:textDirection w:val="lrTb"/>
            <w:noWrap w:val="false"/>
          </w:tcPr>
          <w:p>
            <w:pPr>
              <w:ind w:left="0" w:right="0" w:firstLine="0"/>
              <w:spacing w:before="200" w:after="20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r>
      <w:tr>
        <w:trPr>
          <w:trHeight w:val="177"/>
        </w:trPr>
        <w:tc>
          <w:tcPr>
            <w:gridSpan w:val="9"/>
            <w:shd w:val="clear" w:color="bebebe" w:fill="bebebe"/>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36" w:type="dxa"/>
            <w:vAlign w:val="center"/>
            <w:textDirection w:val="lrTb"/>
            <w:noWrap/>
          </w:tcPr>
          <w:p>
            <w:pPr>
              <w:ind w:left="0" w:right="0" w:firstLine="0"/>
              <w:jc w:val="both"/>
              <w:spacing w:before="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37"/>
        </w:trPr>
        <w:tc>
          <w:tcPr>
            <w:gridSpan w:val="9"/>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36" w:type="dxa"/>
            <w:vAlign w:val="center"/>
            <w:textDirection w:val="lrTb"/>
            <w:noWrap/>
          </w:tcPr>
          <w:p>
            <w:pPr>
              <w:ind w:left="0" w:right="0" w:firstLine="0"/>
              <w:jc w:val="both"/>
              <w:spacing w:before="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服务部分</w:t>
            </w:r>
            <w:r/>
          </w:p>
        </w:tc>
      </w:tr>
      <w:tr>
        <w:trPr>
          <w:trHeight w:val="43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9" w:type="dxa"/>
            <w:vAlign w:val="center"/>
            <w:textDirection w:val="lrTb"/>
            <w:noWrap/>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gridSpan w:val="4"/>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4851" w:type="dxa"/>
            <w:vAlign w:val="center"/>
            <w:textDirection w:val="lrTb"/>
            <w:noWrap/>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服务内容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数量</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51" w:type="dxa"/>
            <w:vAlign w:val="center"/>
            <w:textDirection w:val="lrTb"/>
            <w:noWrap/>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0" w:type="dxa"/>
            <w:vAlign w:val="center"/>
            <w:textDirection w:val="lrTb"/>
            <w:noWrap w:val="false"/>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单报价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76" w:type="dxa"/>
            <w:vAlign w:val="center"/>
            <w:textDirection w:val="lrTb"/>
            <w:noWrap w:val="false"/>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分项总报价</w:t>
            </w:r>
            <w:r/>
          </w:p>
        </w:tc>
      </w:tr>
      <w:tr>
        <w:trPr>
          <w:trHeight w:val="63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9" w:type="dxa"/>
            <w:vAlign w:val="center"/>
            <w:textDirection w:val="lrTb"/>
            <w:noWrap/>
          </w:tcPr>
          <w:p>
            <w:pPr>
              <w:ind w:left="0" w:right="0" w:firstLine="0"/>
              <w:spacing w:before="5" w:after="20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8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r>
      <w:tr>
        <w:trPr>
          <w:trHeight w:val="79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8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8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r>
    </w:tbl>
    <w:p>
      <w:pPr>
        <w:ind w:left="0" w:right="0" w:firstLine="0"/>
        <w:jc w:val="both"/>
        <w:spacing w:before="5"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投标人名称（加盖</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电子公章）：</w:t>
      </w:r>
      <w:r/>
    </w:p>
    <w:p>
      <w:pPr>
        <w:ind w:left="0" w:right="0" w:firstLine="0"/>
        <w:jc w:val="both"/>
        <w:spacing w:before="24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法定代表人或者授权委托人签字：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color w:val="000000"/>
          <w:sz w:val="21"/>
        </w:rPr>
        <w:t xml:space="preserve">（1）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江苏省鼎诚建设工程顾问有限公司有权将相关内容进行公示；</w:t>
      </w:r>
      <w:r/>
    </w:p>
    <w:p>
      <w:pPr>
        <w:ind w:left="0" w:right="0" w:firstLine="31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（2）投标人应当根据“采购需求”的内容在上表中详细填写；</w:t>
      </w:r>
      <w:r/>
    </w:p>
    <w:p>
      <w:pPr>
        <w:ind w:left="0" w:right="0" w:firstLine="31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（3）表格不够可自行延长。</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十、投标偏离表（</w:t>
      </w:r>
      <w:r>
        <w:rPr>
          <w:rFonts w:ascii="SimSun" w:hAnsi="SimSun" w:eastAsia="SimSun" w:cs="SimSun"/>
          <w:b/>
          <w:color w:val="000000"/>
          <w:sz w:val="28"/>
          <w:u w:val="none"/>
        </w:rPr>
        <w:t xml:space="preserve">给定格式</w:t>
      </w:r>
      <w:r>
        <w:rPr>
          <w:rFonts w:ascii="SimSun" w:hAnsi="SimSun" w:eastAsia="SimSun" w:cs="SimSun"/>
          <w:b/>
          <w:color w:val="000000"/>
          <w:sz w:val="28"/>
        </w:rPr>
        <w:t xml:space="preserve">）：</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投标偏离表</w:t>
      </w:r>
      <w:r/>
    </w:p>
    <w:p>
      <w:pPr>
        <w:ind w:left="0" w:right="0" w:firstLine="0"/>
        <w:spacing w:before="0" w:after="0" w:line="400" w:lineRule="atLeast"/>
        <w:tabs>
          <w:tab w:val="left" w:pos="2241" w:leader="none"/>
          <w:tab w:val="left" w:pos="453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项目名称：市局机关2026-2028年保安服务</w:t>
      </w:r>
      <w:r/>
    </w:p>
    <w:p>
      <w:pPr>
        <w:ind w:left="0" w:right="0" w:firstLine="0"/>
        <w:spacing w:before="0" w:after="0" w:line="400" w:lineRule="atLeast"/>
        <w:tabs>
          <w:tab w:val="left" w:pos="2241" w:leader="none"/>
          <w:tab w:val="left" w:pos="453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项目编号：JSZC-320200-YZDC-G2026-0009</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23"/>
        <w:gridCol w:w="2094"/>
        <w:gridCol w:w="2092"/>
        <w:gridCol w:w="2349"/>
      </w:tblGrid>
      <w:tr>
        <w:trPr>
          <w:trHeight w:val="136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2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实报内容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偏离说明</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2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投标人名称（加盖CA电子公章）：</w:t>
      </w:r>
      <w:r/>
    </w:p>
    <w:p>
      <w:pPr>
        <w:ind w:left="0" w:right="0" w:firstLine="0"/>
        <w:jc w:val="both"/>
        <w:spacing w:before="24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法定代表人或者授权委托人签字：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注：（1）本表不得删除；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（2）如无任何技术偏离，请于本表 “偏离说明”中注明“无偏离”；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（3）如有技术偏离项，请于本表中列明偏离内容，如需要可自行延长，其余无偏离内容不须赘述。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十一、项目人员配置清单（格式）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项目人员配置清单</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项目名称：市局机关2026-2028年保安服务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项目编号：JSZC-320200-YZDC-G2026-0009</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6"/>
        <w:gridCol w:w="1339"/>
        <w:gridCol w:w="1244"/>
        <w:gridCol w:w="1846"/>
        <w:gridCol w:w="2564"/>
      </w:tblGrid>
      <w:tr>
        <w:trPr>
          <w:trHeight w:val="8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本项目职责</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人员证书名称</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投标人名称（加盖CA电子公章）</w:t>
      </w:r>
      <w:r/>
    </w:p>
    <w:p>
      <w:pPr>
        <w:ind w:left="0" w:right="0" w:firstLine="0"/>
        <w:jc w:val="both"/>
        <w:spacing w:before="24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法定代表人或者授权委托人签字：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 表格不够可自行延长。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imSun">
    <w:panose1 w:val="02010600030101010101"/>
  </w:font>
  <w:font w:name="Symbol">
    <w:panose1 w:val="05050102010706020507"/>
  </w:font>
  <w:font w:name="Wingdings">
    <w:panose1 w:val="05000000000000000000"/>
  </w:font>
  <w:font w:name="仿宋">
    <w:panose1 w:val="02010609060101010101"/>
  </w:font>
  <w:font w:name="Cambria">
    <w:panose1 w:val="02040503050406030204"/>
  </w:font>
  <w:font w:name="方正黑体_GBK">
    <w:panose1 w:val="020B0503020202020204"/>
  </w:font>
  <w:font w:name="Tahoma">
    <w:panose1 w:val="020B0604030504040204"/>
  </w:font>
  <w:font w:name="微软雅黑">
    <w:panose1 w:val="020B0503020204020204"/>
  </w:font>
  <w:font w:name="Calibri">
    <w:panose1 w:val="020F0502020204030204"/>
  </w:font>
  <w:font w:name="楷体_GB2312">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fldChar w:fldCharType="begin"/>
    </w:r>
    <w:r>
      <w:instrText xml:space="preserve"> PAGE   \* MERGEFORMAT </w:instrText>
    </w:r>
    <w:r>
      <w:fldChar w:fldCharType="separate"/>
    </w:r>
    <w:r>
      <w:rPr>
        <w:lang w:val="zh-CN"/>
      </w:rPr>
      <w:t xml:space="preserve">106</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rPr>
        <w:rStyle w:val="827"/>
      </w:rPr>
      <w:framePr w:wrap="around" w:vAnchor="text" w:hAnchor="margin" w:xAlign="center" w:y="1"/>
    </w:pPr>
    <w:r>
      <w:fldChar w:fldCharType="begin"/>
    </w:r>
    <w:r>
      <w:rPr>
        <w:rStyle w:val="827"/>
      </w:rPr>
      <w:instrText xml:space="preserve">PAGE  </w:instrText>
    </w:r>
    <w:r>
      <w:fldChar w:fldCharType="separate"/>
    </w:r>
    <w:r>
      <w:rPr>
        <w:rStyle w:val="827"/>
      </w:rPr>
      <w:t xml:space="preserve">1</w:t>
    </w:r>
    <w:r>
      <w:fldChar w:fldCharType="end"/>
    </w:r>
    <w:r/>
  </w:p>
  <w:p>
    <w:pPr>
      <w:pStyle w:val="8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r/>
  </w:p>
  <w:p>
    <w:pPr>
      <w:pStyle w:val="8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upperLetter"/>
      <w:pStyle w:val="84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62"/>
      <w:isLgl w:val="false"/>
      <w:suff w:val="nothing"/>
      <w:lvlText w:val=""/>
      <w:lvlJc w:val="left"/>
      <w:pPr>
        <w:ind w:left="0" w:firstLine="0"/>
      </w:pPr>
      <w:rPr>
        <w:rFonts w:hint="eastAsia"/>
      </w:rPr>
    </w:lvl>
    <w:lvl w:ilvl="6">
      <w:start w:val="1"/>
      <w:numFmt w:val="decimal"/>
      <w:pStyle w:val="763"/>
      <w:isLgl w:val="false"/>
      <w:suff w:val="nothing"/>
      <w:lvlText w:val=""/>
      <w:lvlJc w:val="left"/>
      <w:pPr>
        <w:ind w:left="0" w:firstLine="0"/>
      </w:pPr>
      <w:rPr>
        <w:rFonts w:hint="eastAsia"/>
      </w:rPr>
    </w:lvl>
    <w:lvl w:ilvl="7">
      <w:start w:val="1"/>
      <w:numFmt w:val="decimal"/>
      <w:pStyle w:val="764"/>
      <w:isLgl w:val="false"/>
      <w:suff w:val="nothing"/>
      <w:lvlText w:val=""/>
      <w:lvlJc w:val="left"/>
      <w:pPr>
        <w:ind w:left="0" w:firstLine="0"/>
      </w:pPr>
      <w:rPr>
        <w:rFonts w:hint="eastAsia"/>
      </w:rPr>
    </w:lvl>
    <w:lvl w:ilvl="8">
      <w:start w:val="1"/>
      <w:numFmt w:val="decimal"/>
      <w:pStyle w:val="765"/>
      <w:isLgl w:val="false"/>
      <w:suff w:val="nothing"/>
      <w:lvlText w:val=""/>
      <w:lvlJc w:val="left"/>
      <w:pPr>
        <w:ind w:left="0" w:firstLine="0"/>
      </w:pPr>
      <w:rPr>
        <w:rFonts w:hint="eastAsia"/>
      </w:rPr>
    </w:lvl>
  </w:abstractNum>
  <w:abstractNum w:abstractNumId="1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465" w:hanging="465"/>
      </w:pPr>
      <w:rPr>
        <w:rFonts w:hint="default"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EnclosedParen"/>
      <w:isLgl w:val="false"/>
      <w:suff w:val="tab"/>
      <w:lvlText w:val="%1"/>
      <w:lvlJc w:val="left"/>
      <w:pPr>
        <w:ind w:left="429" w:hanging="360"/>
      </w:pPr>
      <w:rPr>
        <w:rFonts w:hAnsi="宋体"/>
      </w:rPr>
    </w:lvl>
    <w:lvl w:ilvl="1">
      <w:start w:val="1"/>
      <w:numFmt w:val="lowerLetter"/>
      <w:isLgl w:val="false"/>
      <w:suff w:val="tab"/>
      <w:lvlText w:val="%2)"/>
      <w:lvlJc w:val="left"/>
      <w:pPr>
        <w:ind w:left="909" w:hanging="420"/>
      </w:pPr>
    </w:lvl>
    <w:lvl w:ilvl="2">
      <w:start w:val="1"/>
      <w:numFmt w:val="lowerRoman"/>
      <w:isLgl w:val="false"/>
      <w:suff w:val="tab"/>
      <w:lvlText w:val="%3."/>
      <w:lvlJc w:val="right"/>
      <w:pPr>
        <w:ind w:left="1329" w:hanging="420"/>
      </w:pPr>
    </w:lvl>
    <w:lvl w:ilvl="3">
      <w:start w:val="1"/>
      <w:numFmt w:val="decimal"/>
      <w:isLgl w:val="false"/>
      <w:suff w:val="tab"/>
      <w:lvlText w:val="%4."/>
      <w:lvlJc w:val="left"/>
      <w:pPr>
        <w:ind w:left="1749" w:hanging="420"/>
      </w:pPr>
    </w:lvl>
    <w:lvl w:ilvl="4">
      <w:start w:val="1"/>
      <w:numFmt w:val="lowerLetter"/>
      <w:isLgl w:val="false"/>
      <w:suff w:val="tab"/>
      <w:lvlText w:val="%5)"/>
      <w:lvlJc w:val="left"/>
      <w:pPr>
        <w:ind w:left="2169" w:hanging="420"/>
      </w:pPr>
    </w:lvl>
    <w:lvl w:ilvl="5">
      <w:start w:val="1"/>
      <w:numFmt w:val="lowerRoman"/>
      <w:isLgl w:val="false"/>
      <w:suff w:val="tab"/>
      <w:lvlText w:val="%6."/>
      <w:lvlJc w:val="right"/>
      <w:pPr>
        <w:ind w:left="2589" w:hanging="420"/>
      </w:pPr>
    </w:lvl>
    <w:lvl w:ilvl="6">
      <w:start w:val="1"/>
      <w:numFmt w:val="decimal"/>
      <w:isLgl w:val="false"/>
      <w:suff w:val="tab"/>
      <w:lvlText w:val="%7."/>
      <w:lvlJc w:val="left"/>
      <w:pPr>
        <w:ind w:left="3009" w:hanging="420"/>
      </w:pPr>
    </w:lvl>
    <w:lvl w:ilvl="7">
      <w:start w:val="1"/>
      <w:numFmt w:val="lowerLetter"/>
      <w:isLgl w:val="false"/>
      <w:suff w:val="tab"/>
      <w:lvlText w:val="%8)"/>
      <w:lvlJc w:val="left"/>
      <w:pPr>
        <w:ind w:left="3429" w:hanging="420"/>
      </w:pPr>
    </w:lvl>
    <w:lvl w:ilvl="8">
      <w:start w:val="1"/>
      <w:numFmt w:val="lowerRoman"/>
      <w:isLgl w:val="false"/>
      <w:suff w:val="tab"/>
      <w:lvlText w:val="%9."/>
      <w:lvlJc w:val="right"/>
      <w:pPr>
        <w:ind w:left="3849" w:hanging="420"/>
      </w:pPr>
    </w:lvl>
  </w:abstractNum>
  <w:abstractNum w:abstractNumId="20">
    <w:multiLevelType w:val="hybridMultilevel"/>
    <w:lvl w:ilvl="0">
      <w:start w:val="1"/>
      <w:numFmt w:val="decimal"/>
      <w:pStyle w:val="85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第%1章"/>
      <w:lvlJc w:val="left"/>
      <w:pPr>
        <w:ind w:left="1440" w:hanging="1440"/>
      </w:pPr>
      <w:rPr>
        <w:rFonts w:ascii="SimSun" w:hAnsi="SimSun" w:eastAsia="SimSun" w:cs="SimSun"/>
        <w:sz w:val="30"/>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7">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0">
    <w:multiLevelType w:val="hybridMultilevel"/>
    <w:lvl w:ilvl="0">
      <w:start w:val="1"/>
      <w:numFmt w:val="decimal"/>
      <w:isLgl w:val="false"/>
      <w:suff w:val="tab"/>
      <w:lvlText w:val="%1、"/>
      <w:lvlJc w:val="left"/>
      <w:pPr>
        <w:ind w:left="465" w:hanging="465"/>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10"/>
  </w:num>
  <w:num w:numId="2">
    <w:abstractNumId w:val="8"/>
  </w:num>
  <w:num w:numId="3">
    <w:abstractNumId w:val="20"/>
  </w:num>
  <w:num w:numId="4">
    <w:abstractNumId w:val="6"/>
  </w:num>
  <w:num w:numId="5">
    <w:abstractNumId w:val="5"/>
  </w:num>
  <w:num w:numId="6">
    <w:abstractNumId w:val="4"/>
  </w:num>
  <w:num w:numId="7">
    <w:abstractNumId w:val="11"/>
  </w:num>
  <w:num w:numId="8">
    <w:abstractNumId w:val="17"/>
  </w:num>
  <w:num w:numId="9">
    <w:abstractNumId w:val="23"/>
  </w:num>
  <w:num w:numId="10">
    <w:abstractNumId w:val="13"/>
  </w:num>
  <w:num w:numId="11">
    <w:abstractNumId w:val="18"/>
  </w:num>
  <w:num w:numId="12">
    <w:abstractNumId w:val="14"/>
  </w:num>
  <w:num w:numId="13">
    <w:abstractNumId w:val="16"/>
  </w:num>
  <w:num w:numId="14">
    <w:abstractNumId w:val="12"/>
  </w:num>
  <w:num w:numId="15">
    <w:abstractNumId w:val="0"/>
  </w:num>
  <w:num w:numId="16">
    <w:abstractNumId w:val="2"/>
  </w:num>
  <w:num w:numId="17">
    <w:abstractNumId w:val="25"/>
  </w:num>
  <w:num w:numId="18">
    <w:abstractNumId w:val="22"/>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9"/>
  </w:num>
  <w:num w:numId="22">
    <w:abstractNumId w:val="24"/>
  </w:num>
  <w:num w:numId="23">
    <w:abstractNumId w:val="1"/>
  </w:num>
  <w:num w:numId="24">
    <w:abstractNumId w:val="15"/>
  </w:num>
  <w:num w:numId="25">
    <w:abstractNumId w:val="21"/>
  </w:num>
  <w:num w:numId="26">
    <w:abstractNumId w:val="7"/>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708"/>
    <w:link w:val="110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7">
    <w:name w:val="Heading 1"/>
    <w:basedOn w:val="696"/>
    <w:next w:val="696"/>
    <w:link w:val="734"/>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link w:val="735"/>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36"/>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37"/>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38"/>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39"/>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41"/>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42"/>
    <w:uiPriority w:val="9"/>
    <w:unhideWhenUsed/>
    <w:qFormat/>
    <w:pPr>
      <w:keepLines/>
      <w:keepNext/>
      <w:spacing w:before="320" w:after="200"/>
      <w:outlineLvl w:val="8"/>
    </w:pPr>
    <w:rPr>
      <w:rFonts w:ascii="Arial" w:hAnsi="Arial" w:eastAsia="Arial" w:cs="Arial"/>
      <w:i/>
      <w:iCs/>
      <w:sz w:val="21"/>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Body Text First Indent"/>
    <w:basedOn w:val="709"/>
    <w:uiPriority w:val="0"/>
    <w:qFormat/>
    <w:pPr>
      <w:ind w:firstLine="420"/>
      <w:spacing w:after="120" w:line="440" w:lineRule="exact"/>
    </w:pPr>
    <w:rPr>
      <w:rFonts w:ascii="宋体" w:eastAsia="宋体"/>
      <w:sz w:val="24"/>
      <w:szCs w:val="28"/>
    </w:rPr>
  </w:style>
  <w:style w:type="paragraph" w:styleId="709">
    <w:name w:val="Body Text"/>
    <w:basedOn w:val="696"/>
    <w:next w:val="696"/>
    <w:uiPriority w:val="0"/>
    <w:qFormat/>
    <w:rPr>
      <w:rFonts w:ascii="仿宋_GB2312" w:eastAsia="仿宋_GB2312"/>
      <w:sz w:val="28"/>
      <w:szCs w:val="20"/>
    </w:rPr>
  </w:style>
  <w:style w:type="paragraph" w:styleId="710">
    <w:name w:val="toc 7"/>
    <w:basedOn w:val="696"/>
    <w:next w:val="696"/>
    <w:uiPriority w:val="39"/>
    <w:unhideWhenUsed/>
    <w:qFormat/>
    <w:pPr>
      <w:ind w:left="1701" w:right="0" w:firstLine="0"/>
      <w:spacing w:after="57"/>
    </w:pPr>
  </w:style>
  <w:style w:type="paragraph" w:styleId="711">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annotation text"/>
    <w:basedOn w:val="696"/>
    <w:uiPriority w:val="99"/>
    <w:semiHidden/>
    <w:unhideWhenUsed/>
    <w:qFormat/>
    <w:pPr>
      <w:jc w:val="left"/>
    </w:pPr>
  </w:style>
  <w:style w:type="paragraph" w:styleId="713">
    <w:name w:val="toc 5"/>
    <w:basedOn w:val="696"/>
    <w:next w:val="696"/>
    <w:uiPriority w:val="39"/>
    <w:unhideWhenUsed/>
    <w:qFormat/>
    <w:pPr>
      <w:ind w:left="1134" w:right="0" w:firstLine="0"/>
      <w:spacing w:after="57"/>
    </w:pPr>
  </w:style>
  <w:style w:type="paragraph" w:styleId="714">
    <w:name w:val="toc 3"/>
    <w:basedOn w:val="696"/>
    <w:next w:val="696"/>
    <w:uiPriority w:val="39"/>
    <w:unhideWhenUsed/>
    <w:qFormat/>
    <w:pPr>
      <w:ind w:left="567" w:right="0" w:firstLine="0"/>
      <w:spacing w:after="57"/>
    </w:pPr>
  </w:style>
  <w:style w:type="paragraph" w:styleId="715">
    <w:name w:val="Plain Text"/>
    <w:basedOn w:val="696"/>
    <w:uiPriority w:val="0"/>
    <w:qFormat/>
    <w:rPr>
      <w:rFonts w:ascii="宋体" w:hAnsi="Courier New" w:eastAsia="楷体_GB2312"/>
      <w:sz w:val="26"/>
      <w:szCs w:val="24"/>
    </w:rPr>
  </w:style>
  <w:style w:type="paragraph" w:styleId="716">
    <w:name w:val="toc 8"/>
    <w:basedOn w:val="696"/>
    <w:next w:val="696"/>
    <w:uiPriority w:val="39"/>
    <w:unhideWhenUsed/>
    <w:qFormat/>
    <w:pPr>
      <w:ind w:left="1984" w:right="0" w:firstLine="0"/>
      <w:spacing w:after="57"/>
    </w:pPr>
  </w:style>
  <w:style w:type="paragraph" w:styleId="717">
    <w:name w:val="endnote text"/>
    <w:basedOn w:val="696"/>
    <w:link w:val="754"/>
    <w:uiPriority w:val="99"/>
    <w:semiHidden/>
    <w:unhideWhenUsed/>
    <w:qFormat/>
    <w:pPr>
      <w:spacing w:after="0" w:line="240" w:lineRule="auto"/>
    </w:pPr>
    <w:rPr>
      <w:sz w:val="20"/>
    </w:rPr>
  </w:style>
  <w:style w:type="paragraph" w:styleId="718">
    <w:name w:val="Footer"/>
    <w:basedOn w:val="696"/>
    <w:link w:val="752"/>
    <w:uiPriority w:val="99"/>
    <w:unhideWhenUsed/>
    <w:qFormat/>
    <w:pPr>
      <w:spacing w:after="0" w:line="240" w:lineRule="auto"/>
      <w:tabs>
        <w:tab w:val="center" w:pos="7143" w:leader="none"/>
        <w:tab w:val="right" w:pos="14287" w:leader="none"/>
      </w:tabs>
    </w:pPr>
  </w:style>
  <w:style w:type="paragraph" w:styleId="719">
    <w:name w:val="Header"/>
    <w:basedOn w:val="696"/>
    <w:link w:val="751"/>
    <w:uiPriority w:val="99"/>
    <w:unhideWhenUsed/>
    <w:qFormat/>
    <w:pPr>
      <w:spacing w:after="0" w:line="240" w:lineRule="auto"/>
      <w:tabs>
        <w:tab w:val="center" w:pos="7143" w:leader="none"/>
        <w:tab w:val="right" w:pos="14287" w:leader="none"/>
      </w:tabs>
    </w:pPr>
  </w:style>
  <w:style w:type="paragraph" w:styleId="720">
    <w:name w:val="toc 1"/>
    <w:basedOn w:val="696"/>
    <w:next w:val="696"/>
    <w:uiPriority w:val="39"/>
    <w:unhideWhenUsed/>
    <w:qFormat/>
    <w:pPr>
      <w:ind w:left="0" w:right="0" w:firstLine="0"/>
      <w:spacing w:after="57"/>
    </w:pPr>
  </w:style>
  <w:style w:type="paragraph" w:styleId="721">
    <w:name w:val="toc 4"/>
    <w:basedOn w:val="696"/>
    <w:next w:val="696"/>
    <w:uiPriority w:val="39"/>
    <w:unhideWhenUsed/>
    <w:qFormat/>
    <w:pPr>
      <w:ind w:left="850" w:right="0" w:firstLine="0"/>
      <w:spacing w:after="57"/>
    </w:pPr>
  </w:style>
  <w:style w:type="paragraph" w:styleId="722">
    <w:name w:val="Subtitle"/>
    <w:basedOn w:val="696"/>
    <w:next w:val="696"/>
    <w:link w:val="746"/>
    <w:uiPriority w:val="11"/>
    <w:qFormat/>
    <w:pPr>
      <w:spacing w:before="200" w:after="200"/>
    </w:pPr>
    <w:rPr>
      <w:sz w:val="24"/>
      <w:szCs w:val="24"/>
    </w:rPr>
  </w:style>
  <w:style w:type="paragraph" w:styleId="723">
    <w:name w:val="footnote text"/>
    <w:basedOn w:val="696"/>
    <w:link w:val="753"/>
    <w:uiPriority w:val="99"/>
    <w:semiHidden/>
    <w:unhideWhenUsed/>
    <w:qFormat/>
    <w:pPr>
      <w:spacing w:after="40" w:line="240" w:lineRule="auto"/>
    </w:pPr>
    <w:rPr>
      <w:sz w:val="18"/>
    </w:rPr>
  </w:style>
  <w:style w:type="paragraph" w:styleId="724">
    <w:name w:val="toc 6"/>
    <w:basedOn w:val="696"/>
    <w:next w:val="696"/>
    <w:uiPriority w:val="39"/>
    <w:unhideWhenUsed/>
    <w:qFormat/>
    <w:pPr>
      <w:ind w:left="1417" w:right="0" w:firstLine="0"/>
      <w:spacing w:after="57"/>
    </w:pPr>
  </w:style>
  <w:style w:type="paragraph" w:styleId="725">
    <w:name w:val="table of figures"/>
    <w:basedOn w:val="696"/>
    <w:next w:val="696"/>
    <w:uiPriority w:val="99"/>
    <w:unhideWhenUsed/>
    <w:qFormat/>
    <w:pPr>
      <w:spacing w:after="0" w:afterAutospacing="0"/>
    </w:pPr>
  </w:style>
  <w:style w:type="paragraph" w:styleId="726">
    <w:name w:val="toc 2"/>
    <w:basedOn w:val="696"/>
    <w:next w:val="696"/>
    <w:uiPriority w:val="39"/>
    <w:unhideWhenUsed/>
    <w:qFormat/>
    <w:pPr>
      <w:ind w:left="283" w:right="0" w:firstLine="0"/>
      <w:spacing w:after="57"/>
    </w:pPr>
  </w:style>
  <w:style w:type="paragraph" w:styleId="727">
    <w:name w:val="toc 9"/>
    <w:basedOn w:val="696"/>
    <w:next w:val="696"/>
    <w:uiPriority w:val="39"/>
    <w:unhideWhenUsed/>
    <w:qFormat/>
    <w:pPr>
      <w:ind w:left="2268" w:right="0" w:firstLine="0"/>
      <w:spacing w:after="57"/>
    </w:pPr>
  </w:style>
  <w:style w:type="paragraph" w:styleId="728">
    <w:name w:val="Normal (Web)"/>
    <w:basedOn w:val="696"/>
    <w:uiPriority w:val="99"/>
    <w:semiHidden/>
    <w:unhideWhenUsed/>
    <w:qFormat/>
    <w:pPr>
      <w:ind w:left="0" w:right="0"/>
      <w:jc w:val="left"/>
      <w:spacing w:before="0" w:beforeAutospacing="1" w:after="0" w:afterAutospacing="1"/>
    </w:pPr>
    <w:rPr>
      <w:sz w:val="24"/>
      <w:lang w:val="en-US" w:eastAsia="zh-CN" w:bidi="ar"/>
    </w:rPr>
  </w:style>
  <w:style w:type="paragraph" w:styleId="729">
    <w:name w:val="Title"/>
    <w:basedOn w:val="696"/>
    <w:next w:val="696"/>
    <w:link w:val="745"/>
    <w:uiPriority w:val="10"/>
    <w:qFormat/>
    <w:pPr>
      <w:contextualSpacing/>
      <w:spacing w:before="300" w:after="200"/>
    </w:pPr>
    <w:rPr>
      <w:sz w:val="48"/>
      <w:szCs w:val="48"/>
    </w:rPr>
  </w:style>
  <w:style w:type="table" w:styleId="7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uiPriority w:val="99"/>
    <w:semiHidden/>
    <w:unhideWhenUsed/>
    <w:qFormat/>
    <w:rPr>
      <w:vertAlign w:val="superscript"/>
    </w:rPr>
  </w:style>
  <w:style w:type="character" w:styleId="732">
    <w:name w:val="Hyperlink"/>
    <w:uiPriority w:val="99"/>
    <w:unhideWhenUsed/>
    <w:qFormat/>
    <w:rPr>
      <w:color w:val="0000ff" w:themeColor="hyperlink"/>
      <w:u w:val="single"/>
      <w14:textFill>
        <w14:solidFill>
          <w14:schemeClr w14:val="hlink"/>
        </w14:solidFill>
      </w14:textFill>
    </w:rPr>
  </w:style>
  <w:style w:type="character" w:styleId="733">
    <w:name w:val="footnote reference"/>
    <w:uiPriority w:val="99"/>
    <w:unhideWhenUsed/>
    <w:qFormat/>
    <w:rPr>
      <w:vertAlign w:val="superscript"/>
    </w:rPr>
  </w:style>
  <w:style w:type="character" w:styleId="734" w:customStyle="1">
    <w:name w:val="Heading 1 Char"/>
    <w:link w:val="697"/>
    <w:uiPriority w:val="9"/>
    <w:qFormat/>
    <w:rPr>
      <w:rFonts w:ascii="Arial" w:hAnsi="Arial" w:eastAsia="Arial" w:cs="Arial"/>
      <w:sz w:val="40"/>
      <w:szCs w:val="40"/>
    </w:rPr>
  </w:style>
  <w:style w:type="character" w:styleId="735" w:customStyle="1">
    <w:name w:val="Heading 2 Char"/>
    <w:link w:val="698"/>
    <w:uiPriority w:val="9"/>
    <w:qFormat/>
    <w:rPr>
      <w:rFonts w:ascii="Arial" w:hAnsi="Arial" w:eastAsia="Arial" w:cs="Arial"/>
      <w:sz w:val="34"/>
    </w:rPr>
  </w:style>
  <w:style w:type="character" w:styleId="736" w:customStyle="1">
    <w:name w:val="Heading 3 Char"/>
    <w:link w:val="699"/>
    <w:uiPriority w:val="9"/>
    <w:qFormat/>
    <w:rPr>
      <w:rFonts w:ascii="Arial" w:hAnsi="Arial" w:eastAsia="Arial" w:cs="Arial"/>
      <w:sz w:val="30"/>
      <w:szCs w:val="30"/>
    </w:rPr>
  </w:style>
  <w:style w:type="character" w:styleId="737" w:customStyle="1">
    <w:name w:val="Heading 4 Char"/>
    <w:link w:val="700"/>
    <w:uiPriority w:val="9"/>
    <w:qFormat/>
    <w:rPr>
      <w:rFonts w:ascii="Arial" w:hAnsi="Arial" w:eastAsia="Arial" w:cs="Arial"/>
      <w:b/>
      <w:bCs/>
      <w:sz w:val="26"/>
      <w:szCs w:val="26"/>
    </w:rPr>
  </w:style>
  <w:style w:type="character" w:styleId="738" w:customStyle="1">
    <w:name w:val="Heading 5 Char"/>
    <w:link w:val="701"/>
    <w:uiPriority w:val="9"/>
    <w:qFormat/>
    <w:rPr>
      <w:rFonts w:ascii="Arial" w:hAnsi="Arial" w:eastAsia="Arial" w:cs="Arial"/>
      <w:b/>
      <w:bCs/>
      <w:sz w:val="24"/>
      <w:szCs w:val="24"/>
    </w:rPr>
  </w:style>
  <w:style w:type="character" w:styleId="739" w:customStyle="1">
    <w:name w:val="Heading 6 Char"/>
    <w:link w:val="702"/>
    <w:uiPriority w:val="9"/>
    <w:qFormat/>
    <w:rPr>
      <w:rFonts w:ascii="Arial" w:hAnsi="Arial" w:eastAsia="Arial" w:cs="Arial"/>
      <w:b/>
      <w:bCs/>
      <w:sz w:val="22"/>
      <w:szCs w:val="22"/>
    </w:rPr>
  </w:style>
  <w:style w:type="character" w:styleId="740" w:customStyle="1">
    <w:name w:val="Heading 7 Char"/>
    <w:link w:val="703"/>
    <w:uiPriority w:val="9"/>
    <w:qFormat/>
    <w:rPr>
      <w:rFonts w:ascii="Arial" w:hAnsi="Arial" w:eastAsia="Arial" w:cs="Arial"/>
      <w:b/>
      <w:bCs/>
      <w:i/>
      <w:iCs/>
      <w:sz w:val="22"/>
      <w:szCs w:val="22"/>
    </w:rPr>
  </w:style>
  <w:style w:type="character" w:styleId="741" w:customStyle="1">
    <w:name w:val="Heading 8 Char"/>
    <w:link w:val="704"/>
    <w:uiPriority w:val="9"/>
    <w:qFormat/>
    <w:rPr>
      <w:rFonts w:ascii="Arial" w:hAnsi="Arial" w:eastAsia="Arial" w:cs="Arial"/>
      <w:i/>
      <w:iCs/>
      <w:sz w:val="22"/>
      <w:szCs w:val="22"/>
    </w:rPr>
  </w:style>
  <w:style w:type="character" w:styleId="742" w:customStyle="1">
    <w:name w:val="Heading 9 Char"/>
    <w:link w:val="705"/>
    <w:uiPriority w:val="9"/>
    <w:qFormat/>
    <w:rPr>
      <w:rFonts w:ascii="Arial" w:hAnsi="Arial" w:eastAsia="Arial" w:cs="Arial"/>
      <w:i/>
      <w:iCs/>
      <w:sz w:val="21"/>
      <w:szCs w:val="21"/>
    </w:rPr>
  </w:style>
  <w:style w:type="paragraph" w:styleId="743">
    <w:name w:val="List Paragraph"/>
    <w:basedOn w:val="696"/>
    <w:uiPriority w:val="34"/>
    <w:qFormat/>
    <w:pPr>
      <w:contextualSpacing/>
      <w:ind w:left="720"/>
    </w:pPr>
  </w:style>
  <w:style w:type="paragraph" w:styleId="744">
    <w:name w:val="No Spacing"/>
    <w:uiPriority w:val="1"/>
    <w:qFormat/>
    <w:pPr>
      <w:spacing w:before="0" w:after="0" w:line="240" w:lineRule="auto"/>
    </w:pPr>
    <w:rPr>
      <w:rFonts w:hint="default" w:ascii="Calibri" w:hAnsi="Calibri" w:eastAsia="宋体" w:cs="Times New Roman"/>
    </w:rPr>
  </w:style>
  <w:style w:type="character" w:styleId="745" w:customStyle="1">
    <w:name w:val="Title Char"/>
    <w:link w:val="729"/>
    <w:uiPriority w:val="10"/>
    <w:qFormat/>
    <w:rPr>
      <w:sz w:val="48"/>
      <w:szCs w:val="48"/>
    </w:rPr>
  </w:style>
  <w:style w:type="character" w:styleId="746" w:customStyle="1">
    <w:name w:val="Subtitle Char"/>
    <w:link w:val="722"/>
    <w:uiPriority w:val="11"/>
    <w:qFormat/>
    <w:rPr>
      <w:sz w:val="24"/>
      <w:szCs w:val="24"/>
    </w:rPr>
  </w:style>
  <w:style w:type="paragraph" w:styleId="747">
    <w:name w:val="Quote"/>
    <w:basedOn w:val="696"/>
    <w:next w:val="696"/>
    <w:link w:val="748"/>
    <w:uiPriority w:val="29"/>
    <w:qFormat/>
    <w:pPr>
      <w:ind w:left="720" w:right="720"/>
    </w:pPr>
    <w:rPr>
      <w:i/>
    </w:rPr>
  </w:style>
  <w:style w:type="character" w:styleId="748" w:customStyle="1">
    <w:name w:val="Quote Char"/>
    <w:link w:val="747"/>
    <w:uiPriority w:val="29"/>
    <w:qFormat/>
    <w:rPr>
      <w:i/>
    </w:rPr>
  </w:style>
  <w:style w:type="paragraph" w:styleId="749">
    <w:name w:val="Intense Quote"/>
    <w:basedOn w:val="696"/>
    <w:next w:val="696"/>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Intense Quote Char"/>
    <w:link w:val="749"/>
    <w:uiPriority w:val="30"/>
    <w:qFormat/>
    <w:rPr>
      <w:i/>
    </w:rPr>
  </w:style>
  <w:style w:type="character" w:styleId="751" w:customStyle="1">
    <w:name w:val="Header Char"/>
    <w:link w:val="719"/>
    <w:uiPriority w:val="99"/>
    <w:qFormat/>
  </w:style>
  <w:style w:type="character" w:styleId="752" w:customStyle="1">
    <w:name w:val="Caption Char"/>
    <w:link w:val="718"/>
    <w:uiPriority w:val="99"/>
    <w:qFormat/>
  </w:style>
  <w:style w:type="character" w:styleId="753" w:customStyle="1">
    <w:name w:val="Footnote Text Char"/>
    <w:link w:val="723"/>
    <w:uiPriority w:val="99"/>
    <w:qFormat/>
    <w:rPr>
      <w:sz w:val="18"/>
    </w:rPr>
  </w:style>
  <w:style w:type="character" w:styleId="754" w:customStyle="1">
    <w:name w:val="Endnote Text Char"/>
    <w:link w:val="717"/>
    <w:uiPriority w:val="99"/>
    <w:qFormat/>
    <w:rPr>
      <w:sz w:val="20"/>
    </w:rPr>
  </w:style>
  <w:style w:type="paragraph" w:styleId="755" w:customStyle="1">
    <w:name w:val="TOC Heading"/>
    <w:uiPriority w:val="39"/>
    <w:unhideWhenUsed/>
    <w:qFormat/>
    <w:rPr>
      <w:rFonts w:hint="default" w:ascii="Calibri" w:hAnsi="Calibri" w:eastAsia="宋体" w:cs="Times New Roman"/>
    </w:rPr>
  </w:style>
  <w:style w:type="paragraph" w:styleId="756" w:customStyle="1">
    <w:name w:val="标题 112"/>
    <w:basedOn w:val="696"/>
    <w:next w:val="696"/>
    <w:link w:val="768"/>
    <w:uiPriority w:val="9"/>
    <w:qFormat/>
    <w:pPr>
      <w:jc w:val="center"/>
      <w:keepNext/>
      <w:outlineLvl w:val="0"/>
    </w:pPr>
    <w:rPr>
      <w:rFonts w:ascii="楷体_GB2312" w:eastAsia="楷体_GB2312"/>
      <w:sz w:val="28"/>
      <w:szCs w:val="28"/>
      <w:lang w:val="en-US" w:eastAsia="en-US"/>
    </w:rPr>
  </w:style>
  <w:style w:type="paragraph" w:styleId="757" w:customStyle="1">
    <w:name w:val="标题 212"/>
    <w:basedOn w:val="696"/>
    <w:next w:val="758"/>
    <w:link w:val="769"/>
    <w:uiPriority w:val="9"/>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758" w:customStyle="1">
    <w:name w:val="正文缩进1"/>
    <w:basedOn w:val="696"/>
    <w:link w:val="770"/>
    <w:uiPriority w:val="0"/>
    <w:qFormat/>
    <w:pPr>
      <w:ind w:firstLine="420"/>
    </w:pPr>
    <w:rPr>
      <w:sz w:val="20"/>
      <w:lang w:val="en-US" w:eastAsia="en-US"/>
    </w:rPr>
  </w:style>
  <w:style w:type="paragraph" w:styleId="759" w:customStyle="1">
    <w:name w:val="标题 312"/>
    <w:basedOn w:val="696"/>
    <w:next w:val="758"/>
    <w:link w:val="771"/>
    <w:uiPriority w:val="9"/>
    <w:qFormat/>
    <w:pPr>
      <w:keepLines/>
      <w:keepNext/>
      <w:spacing w:before="260" w:after="260" w:line="416" w:lineRule="auto"/>
      <w:outlineLvl w:val="2"/>
    </w:pPr>
    <w:rPr>
      <w:b/>
      <w:bCs/>
      <w:sz w:val="32"/>
      <w:szCs w:val="32"/>
      <w:lang w:val="en-US" w:eastAsia="en-US"/>
    </w:rPr>
  </w:style>
  <w:style w:type="paragraph" w:styleId="760" w:customStyle="1">
    <w:name w:val="标题 412"/>
    <w:basedOn w:val="696"/>
    <w:next w:val="758"/>
    <w:link w:val="772"/>
    <w:uiPriority w:val="9"/>
    <w:qFormat/>
    <w:pPr>
      <w:keepLines/>
      <w:keepNext/>
      <w:spacing w:before="280" w:after="290" w:line="376" w:lineRule="auto"/>
      <w:outlineLvl w:val="3"/>
    </w:pPr>
    <w:rPr>
      <w:rFonts w:ascii="Arial" w:hAnsi="Arial" w:eastAsia="黑体"/>
      <w:b/>
      <w:bCs/>
      <w:sz w:val="28"/>
      <w:szCs w:val="28"/>
      <w:lang w:val="en-US" w:eastAsia="en-US"/>
    </w:rPr>
  </w:style>
  <w:style w:type="paragraph" w:styleId="761" w:customStyle="1">
    <w:name w:val="标题 511"/>
    <w:basedOn w:val="696"/>
    <w:next w:val="758"/>
    <w:link w:val="773"/>
    <w:uiPriority w:val="9"/>
    <w:qFormat/>
    <w:pPr>
      <w:keepNext/>
      <w:outlineLvl w:val="4"/>
    </w:pPr>
    <w:rPr>
      <w:rFonts w:ascii="宋体"/>
      <w:color w:val="000000"/>
      <w:sz w:val="28"/>
      <w:szCs w:val="28"/>
      <w:lang w:val="en-US" w:eastAsia="en-US"/>
    </w:rPr>
  </w:style>
  <w:style w:type="paragraph" w:styleId="762" w:customStyle="1">
    <w:name w:val="标题 611"/>
    <w:basedOn w:val="696"/>
    <w:next w:val="696"/>
    <w:link w:val="774"/>
    <w:uiPriority w:val="9"/>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763" w:customStyle="1">
    <w:name w:val="标题 711"/>
    <w:basedOn w:val="696"/>
    <w:next w:val="696"/>
    <w:link w:val="775"/>
    <w:uiPriority w:val="9"/>
    <w:qFormat/>
    <w:pPr>
      <w:numPr>
        <w:ilvl w:val="6"/>
        <w:numId w:val="1"/>
      </w:numPr>
      <w:keepLines/>
      <w:keepNext/>
      <w:spacing w:before="240" w:after="64" w:line="320" w:lineRule="auto"/>
      <w:outlineLvl w:val="6"/>
    </w:pPr>
    <w:rPr>
      <w:b/>
      <w:bCs/>
      <w:sz w:val="24"/>
      <w:szCs w:val="24"/>
      <w:lang w:val="en-US" w:eastAsia="en-US"/>
    </w:rPr>
  </w:style>
  <w:style w:type="paragraph" w:styleId="764" w:customStyle="1">
    <w:name w:val="标题 811"/>
    <w:basedOn w:val="696"/>
    <w:next w:val="696"/>
    <w:link w:val="776"/>
    <w:uiPriority w:val="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765" w:customStyle="1">
    <w:name w:val="标题 911"/>
    <w:basedOn w:val="696"/>
    <w:next w:val="696"/>
    <w:link w:val="777"/>
    <w:uiPriority w:val="9"/>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766" w:customStyle="1">
    <w:name w:val="默认段落字体12"/>
    <w:link w:val="696"/>
    <w:uiPriority w:val="1"/>
    <w:unhideWhenUsed/>
    <w:qFormat/>
  </w:style>
  <w:style w:type="table" w:styleId="767" w:customStyle="1">
    <w:name w:val="普通表格12"/>
    <w:uiPriority w:val="99"/>
    <w:unhideWhenUsed/>
    <w:qFormat/>
    <w:tblPr/>
  </w:style>
  <w:style w:type="character" w:styleId="768" w:customStyle="1">
    <w:name w:val="标题 1 Char"/>
    <w:link w:val="756"/>
    <w:uiPriority w:val="9"/>
    <w:qFormat/>
    <w:rPr>
      <w:rFonts w:ascii="楷体_GB2312" w:hAnsi="Times New Roman" w:eastAsia="楷体_GB2312" w:cs="Times New Roman"/>
      <w:sz w:val="28"/>
      <w:szCs w:val="28"/>
    </w:rPr>
  </w:style>
  <w:style w:type="character" w:styleId="769" w:customStyle="1">
    <w:name w:val="标题 2 Char"/>
    <w:link w:val="757"/>
    <w:uiPriority w:val="9"/>
    <w:qFormat/>
    <w:rPr>
      <w:rFonts w:ascii="Arial" w:hAnsi="Arial" w:eastAsia="幼圆" w:cs="Arial"/>
      <w:b/>
      <w:bCs/>
      <w:sz w:val="44"/>
      <w:szCs w:val="44"/>
    </w:rPr>
  </w:style>
  <w:style w:type="character" w:styleId="770" w:customStyle="1">
    <w:name w:val="正文缩进 Char"/>
    <w:link w:val="758"/>
    <w:uiPriority w:val="0"/>
    <w:qFormat/>
    <w:rPr>
      <w:rFonts w:ascii="Times New Roman" w:hAnsi="Times New Roman" w:eastAsia="宋体" w:cs="Times New Roman"/>
      <w:szCs w:val="21"/>
    </w:rPr>
  </w:style>
  <w:style w:type="character" w:styleId="771" w:customStyle="1">
    <w:name w:val="标题 3 Char"/>
    <w:link w:val="759"/>
    <w:uiPriority w:val="9"/>
    <w:qFormat/>
    <w:rPr>
      <w:rFonts w:ascii="Times New Roman" w:hAnsi="Times New Roman" w:eastAsia="宋体" w:cs="Times New Roman"/>
      <w:b/>
      <w:bCs/>
      <w:sz w:val="32"/>
      <w:szCs w:val="32"/>
    </w:rPr>
  </w:style>
  <w:style w:type="character" w:styleId="772" w:customStyle="1">
    <w:name w:val="标题 4 Char"/>
    <w:link w:val="760"/>
    <w:uiPriority w:val="9"/>
    <w:qFormat/>
    <w:rPr>
      <w:rFonts w:ascii="Arial" w:hAnsi="Arial" w:eastAsia="黑体" w:cs="Arial"/>
      <w:b/>
      <w:bCs/>
      <w:sz w:val="28"/>
      <w:szCs w:val="28"/>
    </w:rPr>
  </w:style>
  <w:style w:type="character" w:styleId="773" w:customStyle="1">
    <w:name w:val="标题 5 Char"/>
    <w:link w:val="761"/>
    <w:uiPriority w:val="9"/>
    <w:qFormat/>
    <w:rPr>
      <w:rFonts w:ascii="宋体" w:hAnsi="Times New Roman" w:eastAsia="宋体" w:cs="Times New Roman"/>
      <w:color w:val="000000"/>
      <w:sz w:val="28"/>
      <w:szCs w:val="28"/>
    </w:rPr>
  </w:style>
  <w:style w:type="character" w:styleId="774" w:customStyle="1">
    <w:name w:val="标题 6 Char"/>
    <w:link w:val="762"/>
    <w:uiPriority w:val="9"/>
    <w:qFormat/>
    <w:rPr>
      <w:rFonts w:ascii="Arial" w:hAnsi="Arial" w:eastAsia="黑体"/>
      <w:b/>
      <w:bCs/>
      <w:sz w:val="24"/>
      <w:szCs w:val="24"/>
      <w:lang w:val="en-US" w:eastAsia="en-US"/>
    </w:rPr>
  </w:style>
  <w:style w:type="character" w:styleId="775" w:customStyle="1">
    <w:name w:val="标题 7 Char"/>
    <w:link w:val="763"/>
    <w:uiPriority w:val="9"/>
    <w:qFormat/>
    <w:rPr>
      <w:rFonts w:ascii="Times New Roman" w:hAnsi="Times New Roman"/>
      <w:b/>
      <w:bCs/>
      <w:sz w:val="24"/>
      <w:szCs w:val="24"/>
      <w:lang w:val="en-US" w:eastAsia="en-US"/>
    </w:rPr>
  </w:style>
  <w:style w:type="character" w:styleId="776" w:customStyle="1">
    <w:name w:val="标题 8 Char"/>
    <w:link w:val="764"/>
    <w:uiPriority w:val="9"/>
    <w:qFormat/>
    <w:rPr>
      <w:rFonts w:ascii="Arial" w:hAnsi="Arial" w:eastAsia="黑体"/>
      <w:sz w:val="24"/>
      <w:szCs w:val="24"/>
      <w:lang w:val="en-US" w:eastAsia="en-US"/>
    </w:rPr>
  </w:style>
  <w:style w:type="character" w:styleId="777" w:customStyle="1">
    <w:name w:val="标题 9 Char"/>
    <w:link w:val="765"/>
    <w:uiPriority w:val="9"/>
    <w:qFormat/>
    <w:rPr>
      <w:rFonts w:ascii="Arial" w:hAnsi="Arial" w:eastAsia="黑体"/>
      <w:szCs w:val="21"/>
      <w:lang w:val="en-US" w:eastAsia="en-US"/>
    </w:rPr>
  </w:style>
  <w:style w:type="paragraph" w:styleId="778" w:customStyle="1">
    <w:name w:val="列表 31"/>
    <w:basedOn w:val="696"/>
    <w:uiPriority w:val="0"/>
    <w:qFormat/>
    <w:pPr>
      <w:ind w:left="100" w:hanging="200"/>
    </w:pPr>
  </w:style>
  <w:style w:type="paragraph" w:styleId="779" w:customStyle="1">
    <w:name w:val="目录 711"/>
    <w:basedOn w:val="696"/>
    <w:next w:val="696"/>
    <w:uiPriority w:val="39"/>
    <w:qFormat/>
    <w:pPr>
      <w:ind w:left="1260"/>
      <w:jc w:val="left"/>
    </w:pPr>
  </w:style>
  <w:style w:type="paragraph" w:styleId="780" w:customStyle="1">
    <w:name w:val="文档结构图1"/>
    <w:basedOn w:val="696"/>
    <w:link w:val="781"/>
    <w:uiPriority w:val="0"/>
    <w:semiHidden/>
    <w:qFormat/>
    <w:pPr>
      <w:shd w:val="clear" w:color="auto" w:fill="000080"/>
    </w:pPr>
    <w:rPr>
      <w:sz w:val="20"/>
      <w:lang w:val="en-US" w:eastAsia="en-US"/>
    </w:rPr>
  </w:style>
  <w:style w:type="character" w:styleId="781" w:customStyle="1">
    <w:name w:val="文档结构图 Char"/>
    <w:link w:val="780"/>
    <w:uiPriority w:val="0"/>
    <w:semiHidden/>
    <w:qFormat/>
    <w:rPr>
      <w:rFonts w:ascii="Times New Roman" w:hAnsi="Times New Roman" w:eastAsia="宋体" w:cs="Times New Roman"/>
      <w:szCs w:val="21"/>
      <w:shd w:val="clear" w:color="auto" w:fill="000080"/>
    </w:rPr>
  </w:style>
  <w:style w:type="paragraph" w:styleId="782" w:customStyle="1">
    <w:name w:val="批注文字11"/>
    <w:basedOn w:val="696"/>
    <w:link w:val="783"/>
    <w:uiPriority w:val="99"/>
    <w:semiHidden/>
    <w:qFormat/>
    <w:pPr>
      <w:jc w:val="left"/>
    </w:pPr>
    <w:rPr>
      <w:sz w:val="20"/>
      <w:lang w:val="en-US" w:eastAsia="en-US"/>
    </w:rPr>
  </w:style>
  <w:style w:type="character" w:styleId="783" w:customStyle="1">
    <w:name w:val="批注文字 Char"/>
    <w:link w:val="782"/>
    <w:uiPriority w:val="99"/>
    <w:semiHidden/>
    <w:qFormat/>
    <w:rPr>
      <w:rFonts w:ascii="Times New Roman" w:hAnsi="Times New Roman" w:eastAsia="宋体" w:cs="Times New Roman"/>
      <w:szCs w:val="21"/>
    </w:rPr>
  </w:style>
  <w:style w:type="paragraph" w:styleId="784" w:customStyle="1">
    <w:name w:val="正文文本 31"/>
    <w:basedOn w:val="696"/>
    <w:link w:val="785"/>
    <w:uiPriority w:val="0"/>
    <w:qFormat/>
    <w:rPr>
      <w:rFonts w:ascii="仿宋_GB2312" w:hAnsi="Arial" w:eastAsia="仿宋_GB2312"/>
      <w:sz w:val="32"/>
      <w:szCs w:val="32"/>
      <w:lang w:val="en-US" w:eastAsia="en-US"/>
    </w:rPr>
  </w:style>
  <w:style w:type="character" w:styleId="785" w:customStyle="1">
    <w:name w:val="正文文本 3 Char"/>
    <w:link w:val="784"/>
    <w:uiPriority w:val="0"/>
    <w:qFormat/>
    <w:rPr>
      <w:rFonts w:ascii="仿宋_GB2312" w:hAnsi="Arial" w:eastAsia="仿宋_GB2312" w:cs="Times New Roman"/>
      <w:sz w:val="32"/>
      <w:szCs w:val="32"/>
    </w:rPr>
  </w:style>
  <w:style w:type="paragraph" w:styleId="786" w:customStyle="1">
    <w:name w:val="正文文本1"/>
    <w:basedOn w:val="696"/>
    <w:link w:val="787"/>
    <w:uiPriority w:val="0"/>
    <w:qFormat/>
    <w:rPr>
      <w:rFonts w:ascii="楷体_GB2312" w:hAnsi="Arial" w:eastAsia="楷体_GB2312"/>
      <w:sz w:val="28"/>
      <w:szCs w:val="28"/>
      <w:lang w:val="en-US" w:eastAsia="en-US"/>
    </w:rPr>
  </w:style>
  <w:style w:type="character" w:styleId="787" w:customStyle="1">
    <w:name w:val="正文文本 Char"/>
    <w:link w:val="786"/>
    <w:uiPriority w:val="0"/>
    <w:qFormat/>
    <w:rPr>
      <w:rFonts w:ascii="楷体_GB2312" w:hAnsi="Arial" w:eastAsia="楷体_GB2312" w:cs="Times New Roman"/>
      <w:sz w:val="28"/>
      <w:szCs w:val="28"/>
    </w:rPr>
  </w:style>
  <w:style w:type="paragraph" w:styleId="788" w:customStyle="1">
    <w:name w:val="正文文本缩进11"/>
    <w:basedOn w:val="696"/>
    <w:link w:val="789"/>
    <w:uiPriority w:val="0"/>
    <w:qFormat/>
    <w:pPr>
      <w:ind w:firstLine="645"/>
    </w:pPr>
    <w:rPr>
      <w:rFonts w:ascii="楷体_GB2312" w:eastAsia="楷体_GB2312"/>
      <w:sz w:val="32"/>
      <w:szCs w:val="32"/>
      <w:lang w:val="en-US" w:eastAsia="en-US"/>
    </w:rPr>
  </w:style>
  <w:style w:type="character" w:styleId="789" w:customStyle="1">
    <w:name w:val="正文文本缩进 Char"/>
    <w:link w:val="788"/>
    <w:uiPriority w:val="0"/>
    <w:qFormat/>
    <w:rPr>
      <w:rFonts w:ascii="楷体_GB2312" w:hAnsi="Times New Roman" w:eastAsia="楷体_GB2312" w:cs="Times New Roman"/>
      <w:sz w:val="32"/>
      <w:szCs w:val="32"/>
    </w:rPr>
  </w:style>
  <w:style w:type="paragraph" w:styleId="790" w:customStyle="1">
    <w:name w:val="列表 21"/>
    <w:basedOn w:val="696"/>
    <w:uiPriority w:val="0"/>
    <w:qFormat/>
    <w:pPr>
      <w:ind w:left="100" w:hanging="200"/>
    </w:pPr>
  </w:style>
  <w:style w:type="paragraph" w:styleId="791" w:customStyle="1">
    <w:name w:val="目录 511"/>
    <w:basedOn w:val="696"/>
    <w:next w:val="696"/>
    <w:uiPriority w:val="39"/>
    <w:qFormat/>
    <w:pPr>
      <w:ind w:left="840"/>
      <w:jc w:val="left"/>
    </w:pPr>
  </w:style>
  <w:style w:type="paragraph" w:styleId="792" w:customStyle="1">
    <w:name w:val="目录 311"/>
    <w:basedOn w:val="696"/>
    <w:next w:val="696"/>
    <w:uiPriority w:val="39"/>
    <w:qFormat/>
    <w:pPr>
      <w:ind w:left="420"/>
      <w:jc w:val="left"/>
    </w:pPr>
    <w:rPr>
      <w:i/>
      <w:iCs/>
      <w:szCs w:val="24"/>
    </w:rPr>
  </w:style>
  <w:style w:type="paragraph" w:styleId="793" w:customStyle="1">
    <w:name w:val="纯文本1"/>
    <w:basedOn w:val="696"/>
    <w:link w:val="794"/>
    <w:uiPriority w:val="0"/>
    <w:qFormat/>
    <w:rPr>
      <w:rFonts w:ascii="宋体" w:hAnsi="Courier New"/>
      <w:sz w:val="20"/>
      <w:lang w:val="en-US" w:eastAsia="en-US"/>
    </w:rPr>
  </w:style>
  <w:style w:type="character" w:styleId="794" w:customStyle="1">
    <w:name w:val="纯文本 Char"/>
    <w:link w:val="793"/>
    <w:uiPriority w:val="0"/>
    <w:qFormat/>
    <w:rPr>
      <w:rFonts w:ascii="宋体" w:hAnsi="Courier New" w:eastAsia="宋体" w:cs="Courier New"/>
      <w:szCs w:val="21"/>
    </w:rPr>
  </w:style>
  <w:style w:type="paragraph" w:styleId="795" w:customStyle="1">
    <w:name w:val="目录 811"/>
    <w:basedOn w:val="696"/>
    <w:next w:val="696"/>
    <w:uiPriority w:val="39"/>
    <w:qFormat/>
    <w:pPr>
      <w:ind w:left="1470"/>
      <w:jc w:val="left"/>
    </w:pPr>
  </w:style>
  <w:style w:type="paragraph" w:styleId="796" w:customStyle="1">
    <w:name w:val="日期1"/>
    <w:basedOn w:val="696"/>
    <w:next w:val="696"/>
    <w:link w:val="797"/>
    <w:uiPriority w:val="0"/>
    <w:qFormat/>
    <w:rPr>
      <w:sz w:val="24"/>
      <w:szCs w:val="24"/>
      <w:lang w:val="en-US" w:eastAsia="en-US"/>
    </w:rPr>
  </w:style>
  <w:style w:type="character" w:styleId="797" w:customStyle="1">
    <w:name w:val="日期 Char"/>
    <w:link w:val="796"/>
    <w:uiPriority w:val="0"/>
    <w:qFormat/>
    <w:rPr>
      <w:rFonts w:ascii="Times New Roman" w:hAnsi="Times New Roman" w:eastAsia="宋体" w:cs="Times New Roman"/>
      <w:sz w:val="24"/>
      <w:szCs w:val="24"/>
    </w:rPr>
  </w:style>
  <w:style w:type="paragraph" w:styleId="798" w:customStyle="1">
    <w:name w:val="正文文本缩进 21"/>
    <w:basedOn w:val="696"/>
    <w:link w:val="799"/>
    <w:uiPriority w:val="0"/>
    <w:qFormat/>
    <w:pPr>
      <w:ind w:left="630" w:firstLine="645"/>
    </w:pPr>
    <w:rPr>
      <w:rFonts w:ascii="Arial" w:hAnsi="Arial" w:eastAsia="仿宋_GB2312"/>
      <w:sz w:val="32"/>
      <w:szCs w:val="32"/>
      <w:lang w:val="en-US" w:eastAsia="en-US"/>
    </w:rPr>
  </w:style>
  <w:style w:type="character" w:styleId="799" w:customStyle="1">
    <w:name w:val="正文文本缩进 2 Char"/>
    <w:link w:val="798"/>
    <w:uiPriority w:val="0"/>
    <w:qFormat/>
    <w:rPr>
      <w:rFonts w:ascii="Arial" w:hAnsi="Arial" w:eastAsia="仿宋_GB2312" w:cs="Arial"/>
      <w:sz w:val="32"/>
      <w:szCs w:val="32"/>
    </w:rPr>
  </w:style>
  <w:style w:type="paragraph" w:styleId="800" w:customStyle="1">
    <w:name w:val="批注框文本11"/>
    <w:basedOn w:val="696"/>
    <w:link w:val="801"/>
    <w:uiPriority w:val="99"/>
    <w:semiHidden/>
    <w:qFormat/>
    <w:rPr>
      <w:sz w:val="18"/>
      <w:szCs w:val="18"/>
      <w:lang w:val="en-US" w:eastAsia="en-US"/>
    </w:rPr>
  </w:style>
  <w:style w:type="character" w:styleId="801" w:customStyle="1">
    <w:name w:val="批注框文本 Char"/>
    <w:link w:val="800"/>
    <w:uiPriority w:val="99"/>
    <w:semiHidden/>
    <w:qFormat/>
    <w:rPr>
      <w:rFonts w:ascii="Times New Roman" w:hAnsi="Times New Roman" w:eastAsia="宋体" w:cs="Times New Roman"/>
      <w:sz w:val="18"/>
      <w:szCs w:val="18"/>
    </w:rPr>
  </w:style>
  <w:style w:type="paragraph" w:styleId="802" w:customStyle="1">
    <w:name w:val="页脚12"/>
    <w:basedOn w:val="696"/>
    <w:link w:val="803"/>
    <w:uiPriority w:val="99"/>
    <w:qFormat/>
    <w:pPr>
      <w:jc w:val="left"/>
      <w:tabs>
        <w:tab w:val="center" w:pos="4153" w:leader="none"/>
        <w:tab w:val="right" w:pos="8306" w:leader="none"/>
      </w:tabs>
    </w:pPr>
    <w:rPr>
      <w:sz w:val="18"/>
      <w:szCs w:val="18"/>
      <w:lang w:val="en-US" w:eastAsia="en-US"/>
    </w:rPr>
  </w:style>
  <w:style w:type="character" w:styleId="803" w:customStyle="1">
    <w:name w:val="页脚 Char"/>
    <w:link w:val="802"/>
    <w:uiPriority w:val="99"/>
    <w:qFormat/>
    <w:rPr>
      <w:rFonts w:ascii="Times New Roman" w:hAnsi="Times New Roman" w:eastAsia="宋体" w:cs="Times New Roman"/>
      <w:sz w:val="18"/>
      <w:szCs w:val="18"/>
    </w:rPr>
  </w:style>
  <w:style w:type="paragraph" w:styleId="804" w:customStyle="1">
    <w:name w:val="页眉12"/>
    <w:basedOn w:val="696"/>
    <w:link w:val="805"/>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805" w:customStyle="1">
    <w:name w:val="页眉 Char"/>
    <w:link w:val="804"/>
    <w:uiPriority w:val="99"/>
    <w:qFormat/>
    <w:rPr>
      <w:rFonts w:ascii="Times New Roman" w:hAnsi="Times New Roman" w:eastAsia="宋体" w:cs="Times New Roman"/>
      <w:sz w:val="18"/>
      <w:szCs w:val="18"/>
    </w:rPr>
  </w:style>
  <w:style w:type="paragraph" w:styleId="806" w:customStyle="1">
    <w:name w:val="目录 112"/>
    <w:basedOn w:val="696"/>
    <w:next w:val="696"/>
    <w:uiPriority w:val="39"/>
    <w:qFormat/>
    <w:pPr>
      <w:jc w:val="left"/>
      <w:spacing w:before="120" w:after="120" w:line="400" w:lineRule="exact"/>
      <w:tabs>
        <w:tab w:val="right" w:pos="8720" w:leader="dot"/>
      </w:tabs>
    </w:pPr>
    <w:rPr>
      <w:rFonts w:ascii="宋体" w:hAnsi="宋体"/>
      <w:caps/>
      <w:sz w:val="24"/>
      <w:szCs w:val="24"/>
    </w:rPr>
  </w:style>
  <w:style w:type="paragraph" w:styleId="807" w:customStyle="1">
    <w:name w:val="目录 411"/>
    <w:basedOn w:val="696"/>
    <w:next w:val="696"/>
    <w:uiPriority w:val="39"/>
    <w:qFormat/>
    <w:pPr>
      <w:ind w:left="630"/>
      <w:jc w:val="left"/>
    </w:pPr>
  </w:style>
  <w:style w:type="paragraph" w:styleId="808" w:customStyle="1">
    <w:name w:val="列表1"/>
    <w:basedOn w:val="696"/>
    <w:uiPriority w:val="0"/>
    <w:qFormat/>
    <w:pPr>
      <w:ind w:left="200" w:hanging="200"/>
    </w:pPr>
  </w:style>
  <w:style w:type="paragraph" w:styleId="809" w:customStyle="1">
    <w:name w:val="目录 611"/>
    <w:basedOn w:val="696"/>
    <w:next w:val="696"/>
    <w:uiPriority w:val="39"/>
    <w:qFormat/>
    <w:pPr>
      <w:ind w:left="1050"/>
      <w:jc w:val="left"/>
    </w:pPr>
  </w:style>
  <w:style w:type="paragraph" w:styleId="810" w:customStyle="1">
    <w:name w:val="正文文本缩进 31"/>
    <w:basedOn w:val="696"/>
    <w:link w:val="811"/>
    <w:uiPriority w:val="0"/>
    <w:qFormat/>
    <w:pPr>
      <w:ind w:left="645" w:firstLine="645"/>
    </w:pPr>
    <w:rPr>
      <w:rFonts w:ascii="Arial" w:hAnsi="Arial" w:eastAsia="仿宋_GB2312"/>
      <w:color w:val="ffff00"/>
      <w:sz w:val="32"/>
      <w:szCs w:val="32"/>
      <w:lang w:val="en-US" w:eastAsia="en-US"/>
    </w:rPr>
  </w:style>
  <w:style w:type="character" w:styleId="811" w:customStyle="1">
    <w:name w:val="正文文本缩进 3 Char"/>
    <w:link w:val="810"/>
    <w:uiPriority w:val="0"/>
    <w:qFormat/>
    <w:rPr>
      <w:rFonts w:ascii="Arial" w:hAnsi="Arial" w:eastAsia="仿宋_GB2312" w:cs="Arial"/>
      <w:color w:val="ffff00"/>
      <w:sz w:val="32"/>
      <w:szCs w:val="32"/>
    </w:rPr>
  </w:style>
  <w:style w:type="paragraph" w:styleId="812" w:customStyle="1">
    <w:name w:val="图表目录11"/>
    <w:basedOn w:val="696"/>
    <w:next w:val="696"/>
    <w:uiPriority w:val="99"/>
    <w:qFormat/>
    <w:pPr>
      <w:ind w:left="840" w:hanging="420"/>
    </w:pPr>
  </w:style>
  <w:style w:type="paragraph" w:styleId="813" w:customStyle="1">
    <w:name w:val="目录 211"/>
    <w:basedOn w:val="696"/>
    <w:next w:val="696"/>
    <w:uiPriority w:val="39"/>
    <w:qFormat/>
    <w:pPr>
      <w:ind w:left="210"/>
      <w:jc w:val="left"/>
    </w:pPr>
    <w:rPr>
      <w:smallCaps/>
      <w:szCs w:val="24"/>
    </w:rPr>
  </w:style>
  <w:style w:type="paragraph" w:styleId="814" w:customStyle="1">
    <w:name w:val="目录 911"/>
    <w:basedOn w:val="696"/>
    <w:next w:val="696"/>
    <w:uiPriority w:val="39"/>
    <w:qFormat/>
    <w:pPr>
      <w:ind w:left="1680"/>
      <w:jc w:val="left"/>
    </w:pPr>
  </w:style>
  <w:style w:type="paragraph" w:styleId="815" w:customStyle="1">
    <w:name w:val="正文文本 21"/>
    <w:basedOn w:val="696"/>
    <w:link w:val="816"/>
    <w:uiPriority w:val="0"/>
    <w:qFormat/>
    <w:pPr>
      <w:jc w:val="center"/>
      <w:widowControl/>
    </w:pPr>
    <w:rPr>
      <w:rFonts w:ascii="楷体_GB2312" w:eastAsia="楷体_GB2312"/>
      <w:sz w:val="28"/>
      <w:szCs w:val="28"/>
      <w:lang w:val="en-US" w:eastAsia="en-US"/>
    </w:rPr>
  </w:style>
  <w:style w:type="character" w:styleId="816" w:customStyle="1">
    <w:name w:val="正文文本 2 Char"/>
    <w:link w:val="815"/>
    <w:uiPriority w:val="0"/>
    <w:qFormat/>
    <w:rPr>
      <w:rFonts w:ascii="楷体_GB2312" w:hAnsi="Times New Roman" w:eastAsia="楷体_GB2312" w:cs="Times New Roman"/>
      <w:sz w:val="28"/>
      <w:szCs w:val="28"/>
    </w:rPr>
  </w:style>
  <w:style w:type="paragraph" w:styleId="817" w:customStyle="1">
    <w:name w:val="普通(网站)1"/>
    <w:basedOn w:val="696"/>
    <w:uiPriority w:val="99"/>
    <w:qFormat/>
    <w:pPr>
      <w:jc w:val="left"/>
      <w:spacing w:before="100" w:beforeAutospacing="1" w:after="100" w:afterAutospacing="1"/>
      <w:widowControl/>
    </w:pPr>
    <w:rPr>
      <w:rFonts w:ascii="宋体" w:hAnsi="宋体" w:cs="宋体"/>
      <w:sz w:val="24"/>
      <w:szCs w:val="24"/>
    </w:rPr>
  </w:style>
  <w:style w:type="paragraph" w:styleId="818" w:customStyle="1">
    <w:name w:val="索引 11"/>
    <w:basedOn w:val="696"/>
    <w:next w:val="696"/>
    <w:uiPriority w:val="0"/>
    <w:semiHidden/>
    <w:qFormat/>
    <w:pPr>
      <w:spacing w:line="240" w:lineRule="atLeast"/>
    </w:pPr>
    <w:rPr>
      <w:b/>
      <w:bCs/>
    </w:rPr>
  </w:style>
  <w:style w:type="paragraph" w:styleId="819" w:customStyle="1">
    <w:name w:val="批注主题1"/>
    <w:basedOn w:val="782"/>
    <w:next w:val="782"/>
    <w:link w:val="820"/>
    <w:uiPriority w:val="99"/>
    <w:semiHidden/>
    <w:qFormat/>
    <w:rPr>
      <w:b/>
      <w:bCs/>
    </w:rPr>
  </w:style>
  <w:style w:type="character" w:styleId="820" w:customStyle="1">
    <w:name w:val="批注主题 Char"/>
    <w:link w:val="819"/>
    <w:uiPriority w:val="99"/>
    <w:semiHidden/>
    <w:qFormat/>
    <w:rPr>
      <w:rFonts w:ascii="Times New Roman" w:hAnsi="Times New Roman" w:eastAsia="宋体" w:cs="Times New Roman"/>
      <w:b/>
      <w:bCs/>
      <w:szCs w:val="21"/>
    </w:rPr>
  </w:style>
  <w:style w:type="paragraph" w:styleId="821" w:customStyle="1">
    <w:name w:val="正文首行缩进1"/>
    <w:basedOn w:val="696"/>
    <w:link w:val="822"/>
    <w:uiPriority w:val="0"/>
    <w:qFormat/>
    <w:pPr>
      <w:ind w:firstLine="200"/>
      <w:spacing w:line="360" w:lineRule="auto"/>
    </w:pPr>
    <w:rPr>
      <w:rFonts w:ascii="仿宋_GB2312" w:eastAsia="仿宋_GB2312"/>
      <w:sz w:val="30"/>
      <w:szCs w:val="30"/>
      <w:lang w:val="en-US" w:eastAsia="en-US"/>
    </w:rPr>
  </w:style>
  <w:style w:type="character" w:styleId="822" w:customStyle="1">
    <w:name w:val="正文首行缩进 Char"/>
    <w:link w:val="821"/>
    <w:uiPriority w:val="0"/>
    <w:qFormat/>
    <w:rPr>
      <w:rFonts w:ascii="仿宋_GB2312" w:hAnsi="Times New Roman" w:eastAsia="仿宋_GB2312" w:cs="Times New Roman"/>
      <w:sz w:val="30"/>
      <w:szCs w:val="30"/>
    </w:rPr>
  </w:style>
  <w:style w:type="paragraph" w:styleId="823" w:customStyle="1">
    <w:name w:val="正文首行缩进 21"/>
    <w:basedOn w:val="788"/>
    <w:link w:val="824"/>
    <w:uiPriority w:val="0"/>
    <w:qFormat/>
    <w:pPr>
      <w:ind w:firstLine="420"/>
      <w:spacing w:line="360" w:lineRule="auto"/>
    </w:pPr>
    <w:rPr>
      <w:rFonts w:ascii="宋体" w:hAnsi="宋体" w:eastAsia="宋体"/>
      <w:szCs w:val="20"/>
    </w:rPr>
  </w:style>
  <w:style w:type="character" w:styleId="824" w:customStyle="1">
    <w:name w:val="正文首行缩进 2 Char"/>
    <w:link w:val="823"/>
    <w:uiPriority w:val="0"/>
    <w:qFormat/>
    <w:rPr>
      <w:rFonts w:ascii="宋体" w:hAnsi="宋体" w:eastAsia="宋体" w:cs="Times New Roman"/>
      <w:sz w:val="32"/>
      <w:szCs w:val="20"/>
    </w:rPr>
  </w:style>
  <w:style w:type="table" w:styleId="825" w:customStyle="1">
    <w:name w:val="网格型11"/>
    <w:basedOn w:val="767"/>
    <w:uiPriority w:val="59"/>
    <w:qFormat/>
    <w:pPr>
      <w:jc w:val="both"/>
      <w:widowControl w:val="off"/>
    </w:pPr>
    <w:rPr>
      <w:rFonts w:ascii="Times New Roman" w:hAnsi="Times New Roman" w:eastAsia="宋体" w:cs="Times New Roman"/>
      <w:sz w:val="20"/>
      <w:szCs w:val="20"/>
    </w:rPr>
    <w:tblPr/>
  </w:style>
  <w:style w:type="character" w:styleId="826" w:customStyle="1">
    <w:name w:val="要点1"/>
    <w:link w:val="696"/>
    <w:uiPriority w:val="0"/>
    <w:qFormat/>
    <w:rPr>
      <w:b/>
      <w:bCs/>
    </w:rPr>
  </w:style>
  <w:style w:type="character" w:styleId="827" w:customStyle="1">
    <w:name w:val="页码1"/>
    <w:link w:val="696"/>
    <w:uiPriority w:val="0"/>
    <w:qFormat/>
  </w:style>
  <w:style w:type="character" w:styleId="828" w:customStyle="1">
    <w:name w:val="已访问的超链接1"/>
    <w:link w:val="696"/>
    <w:uiPriority w:val="0"/>
    <w:qFormat/>
    <w:rPr>
      <w:color w:val="800080"/>
      <w:u w:val="single"/>
    </w:rPr>
  </w:style>
  <w:style w:type="character" w:styleId="829" w:customStyle="1">
    <w:name w:val="HTML 打字机1"/>
    <w:link w:val="696"/>
    <w:uiPriority w:val="99"/>
    <w:qFormat/>
    <w:rPr>
      <w:rFonts w:ascii="宋体" w:hAnsi="宋体" w:eastAsia="宋体" w:cs="宋体"/>
      <w:sz w:val="24"/>
      <w:szCs w:val="24"/>
    </w:rPr>
  </w:style>
  <w:style w:type="character" w:styleId="830" w:customStyle="1">
    <w:name w:val="超链接11"/>
    <w:link w:val="696"/>
    <w:uiPriority w:val="99"/>
    <w:qFormat/>
    <w:rPr>
      <w:color w:val="0000ff"/>
      <w:u w:val="single"/>
    </w:rPr>
  </w:style>
  <w:style w:type="character" w:styleId="831" w:customStyle="1">
    <w:name w:val="批注引用11"/>
    <w:link w:val="696"/>
    <w:uiPriority w:val="99"/>
    <w:semiHidden/>
    <w:qFormat/>
    <w:rPr>
      <w:sz w:val="21"/>
      <w:szCs w:val="21"/>
    </w:rPr>
  </w:style>
  <w:style w:type="character" w:styleId="832" w:customStyle="1">
    <w:name w:val="font5 Char"/>
    <w:link w:val="696"/>
    <w:uiPriority w:val="0"/>
    <w:qFormat/>
    <w:rPr>
      <w:rFonts w:ascii="宋体" w:hAnsi="宋体" w:eastAsia="宋体"/>
      <w:sz w:val="28"/>
      <w:szCs w:val="28"/>
      <w:lang w:val="en-US" w:eastAsia="zh-CN" w:bidi="ar-SA"/>
    </w:rPr>
  </w:style>
  <w:style w:type="character" w:styleId="833" w:customStyle="1">
    <w:name w:val="二级目录 Char"/>
    <w:link w:val="834"/>
    <w:uiPriority w:val="0"/>
    <w:qFormat/>
    <w:rPr>
      <w:b/>
      <w:sz w:val="30"/>
      <w:szCs w:val="28"/>
      <w:lang w:val="en-US" w:eastAsia="zh-CN" w:bidi="ar-SA"/>
    </w:rPr>
  </w:style>
  <w:style w:type="paragraph" w:styleId="834" w:customStyle="1">
    <w:name w:val="二级目录"/>
    <w:next w:val="696"/>
    <w:link w:val="833"/>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835" w:customStyle="1">
    <w:name w:val="列出段落 Char"/>
    <w:link w:val="836"/>
    <w:uiPriority w:val="0"/>
    <w:qFormat/>
    <w:rPr>
      <w:rFonts w:ascii="Calibri" w:hAnsi="Calibri"/>
      <w:sz w:val="24"/>
      <w:szCs w:val="24"/>
      <w:lang w:eastAsia="en-US" w:bidi="en-US"/>
    </w:rPr>
  </w:style>
  <w:style w:type="paragraph" w:styleId="836" w:customStyle="1">
    <w:name w:val="列出段落1"/>
    <w:basedOn w:val="696"/>
    <w:link w:val="835"/>
    <w:uiPriority w:val="0"/>
    <w:qFormat/>
    <w:pPr>
      <w:contextualSpacing/>
      <w:ind w:left="720"/>
      <w:jc w:val="left"/>
      <w:widowControl/>
    </w:pPr>
    <w:rPr>
      <w:rFonts w:ascii="Calibri" w:hAnsi="Calibri"/>
      <w:sz w:val="24"/>
      <w:szCs w:val="24"/>
      <w:lang w:val="en-US" w:eastAsia="en-US" w:bidi="en-US"/>
    </w:rPr>
  </w:style>
  <w:style w:type="paragraph" w:styleId="837" w:customStyle="1">
    <w:name w:val="Body Text(ch)"/>
    <w:basedOn w:val="696"/>
    <w:next w:val="786"/>
    <w:uiPriority w:val="0"/>
    <w:qFormat/>
    <w:pPr>
      <w:spacing w:after="120"/>
    </w:pPr>
    <w:rPr>
      <w:rFonts w:ascii="宋体" w:hAnsi="Arial"/>
      <w:bCs/>
      <w:iCs/>
      <w:szCs w:val="24"/>
    </w:rPr>
  </w:style>
  <w:style w:type="paragraph" w:styleId="838" w:customStyle="1">
    <w:name w:val="xl27"/>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9" w:customStyle="1">
    <w:name w:val="xl2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40" w:customStyle="1">
    <w:name w:val="Char"/>
    <w:basedOn w:val="696"/>
    <w:uiPriority w:val="0"/>
    <w:qFormat/>
    <w:pPr>
      <w:ind w:firstLine="200"/>
      <w:tabs>
        <w:tab w:val="left" w:pos="360" w:leader="none"/>
      </w:tabs>
    </w:pPr>
    <w:rPr>
      <w:sz w:val="28"/>
      <w:szCs w:val="30"/>
    </w:rPr>
  </w:style>
  <w:style w:type="paragraph" w:styleId="841" w:customStyle="1">
    <w:name w:val=" Char"/>
    <w:basedOn w:val="780"/>
    <w:uiPriority w:val="0"/>
    <w:qFormat/>
    <w:rPr>
      <w:rFonts w:ascii="Tahoma" w:hAnsi="Tahoma"/>
      <w:sz w:val="24"/>
      <w:szCs w:val="24"/>
    </w:rPr>
  </w:style>
  <w:style w:type="paragraph" w:styleId="842" w:customStyle="1">
    <w:name w:val="普通正文"/>
    <w:basedOn w:val="696"/>
    <w:uiPriority w:val="0"/>
    <w:qFormat/>
    <w:pPr>
      <w:ind w:firstLine="480"/>
      <w:jc w:val="left"/>
      <w:spacing w:before="120" w:after="120" w:line="360" w:lineRule="auto"/>
    </w:pPr>
    <w:rPr>
      <w:rFonts w:ascii="Arial" w:hAnsi="Arial"/>
      <w:sz w:val="24"/>
      <w:szCs w:val="24"/>
    </w:rPr>
  </w:style>
  <w:style w:type="paragraph" w:styleId="843" w:customStyle="1">
    <w:name w:val="table_lines"/>
    <w:basedOn w:val="696"/>
    <w:uiPriority w:val="0"/>
    <w:qFormat/>
    <w:pPr>
      <w:jc w:val="left"/>
      <w:widowControl/>
    </w:pPr>
    <w:rPr>
      <w:sz w:val="20"/>
      <w:szCs w:val="20"/>
      <w:lang w:val="de-DE" w:eastAsia="de-DE"/>
    </w:rPr>
  </w:style>
  <w:style w:type="paragraph" w:styleId="84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845" w:customStyle="1">
    <w:name w:val="font7"/>
    <w:basedOn w:val="696"/>
    <w:uiPriority w:val="0"/>
    <w:qFormat/>
    <w:pPr>
      <w:jc w:val="left"/>
      <w:spacing w:before="100" w:beforeAutospacing="1" w:after="100" w:afterAutospacing="1"/>
      <w:widowControl/>
    </w:pPr>
    <w:rPr>
      <w:rFonts w:hint="eastAsia" w:ascii="宋体" w:hAnsi="宋体"/>
      <w:sz w:val="18"/>
      <w:szCs w:val="18"/>
    </w:rPr>
  </w:style>
  <w:style w:type="paragraph" w:styleId="846" w:customStyle="1">
    <w:name w:val=" Char Char Char Char"/>
    <w:basedOn w:val="780"/>
    <w:uiPriority w:val="0"/>
    <w:qFormat/>
    <w:pPr>
      <w:spacing w:line="360" w:lineRule="auto"/>
    </w:pPr>
    <w:rPr>
      <w:rFonts w:ascii="Tahoma" w:hAnsi="Tahoma"/>
      <w:sz w:val="24"/>
      <w:szCs w:val="24"/>
    </w:rPr>
  </w:style>
  <w:style w:type="paragraph" w:styleId="847" w:customStyle="1">
    <w:name w:val="列出段落"/>
    <w:basedOn w:val="696"/>
    <w:uiPriority w:val="34"/>
    <w:qFormat/>
    <w:pPr>
      <w:contextualSpacing/>
      <w:ind w:left="720"/>
      <w:jc w:val="left"/>
      <w:widowControl/>
    </w:pPr>
    <w:rPr>
      <w:rFonts w:ascii="Calibri" w:hAnsi="Calibri"/>
      <w:sz w:val="24"/>
      <w:szCs w:val="24"/>
      <w:lang w:eastAsia="en-US" w:bidi="en-US"/>
    </w:rPr>
  </w:style>
  <w:style w:type="paragraph" w:styleId="848" w:customStyle="1">
    <w:name w:val="4"/>
    <w:basedOn w:val="696"/>
    <w:next w:val="810"/>
    <w:uiPriority w:val="0"/>
    <w:qFormat/>
    <w:pPr>
      <w:ind w:firstLine="420"/>
      <w:spacing w:line="360" w:lineRule="auto"/>
    </w:pPr>
    <w:rPr>
      <w:color w:val="ff0000"/>
      <w:sz w:val="24"/>
      <w:szCs w:val="24"/>
    </w:rPr>
  </w:style>
  <w:style w:type="paragraph" w:styleId="849" w:customStyle="1">
    <w:name w:val="普通 (Web)"/>
    <w:basedOn w:val="696"/>
    <w:uiPriority w:val="0"/>
    <w:qFormat/>
    <w:pPr>
      <w:jc w:val="left"/>
      <w:spacing w:before="100" w:beforeAutospacing="1" w:after="100" w:afterAutospacing="1"/>
      <w:widowControl/>
    </w:pPr>
    <w:rPr>
      <w:rFonts w:ascii="宋体" w:hAnsi="宋体"/>
      <w:sz w:val="24"/>
      <w:szCs w:val="24"/>
    </w:rPr>
  </w:style>
  <w:style w:type="paragraph" w:styleId="850" w:customStyle="1">
    <w:name w:val=" Char Char Char Char Char Char Char Char Char Char"/>
    <w:basedOn w:val="696"/>
    <w:uiPriority w:val="0"/>
    <w:qFormat/>
    <w:pPr>
      <w:spacing w:line="360" w:lineRule="auto"/>
    </w:pPr>
    <w:rPr>
      <w:sz w:val="24"/>
      <w:szCs w:val="20"/>
    </w:rPr>
  </w:style>
  <w:style w:type="paragraph" w:styleId="851" w:customStyle="1">
    <w:name w:val="样式1"/>
    <w:basedOn w:val="696"/>
    <w:uiPriority w:val="0"/>
    <w:qFormat/>
    <w:pPr>
      <w:numPr>
        <w:ilvl w:val="0"/>
        <w:numId w:val="3"/>
      </w:numPr>
    </w:pPr>
    <w:rPr>
      <w:rFonts w:ascii="宋体" w:hAnsi="宋体"/>
    </w:rPr>
  </w:style>
  <w:style w:type="paragraph" w:styleId="852" w:customStyle="1">
    <w:name w:val="font6"/>
    <w:basedOn w:val="696"/>
    <w:uiPriority w:val="0"/>
    <w:qFormat/>
    <w:pPr>
      <w:jc w:val="left"/>
      <w:spacing w:before="100" w:beforeAutospacing="1" w:after="100" w:afterAutospacing="1"/>
      <w:widowControl/>
    </w:pPr>
    <w:rPr>
      <w:rFonts w:hint="eastAsia" w:ascii="宋体" w:hAnsi="宋体"/>
      <w:sz w:val="28"/>
      <w:szCs w:val="28"/>
      <w:u w:val="single"/>
    </w:rPr>
  </w:style>
  <w:style w:type="paragraph" w:styleId="853" w:customStyle="1">
    <w:name w:val="xl25"/>
    <w:basedOn w:val="69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54" w:customStyle="1">
    <w:name w:val="图标"/>
    <w:basedOn w:val="696"/>
    <w:next w:val="69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55" w:customStyle="1">
    <w:name w:val="标题3"/>
    <w:basedOn w:val="696"/>
    <w:next w:val="696"/>
    <w:uiPriority w:val="0"/>
    <w:qFormat/>
    <w:pPr>
      <w:ind w:firstLine="624"/>
      <w:spacing w:line="590" w:lineRule="atLeast"/>
    </w:pPr>
    <w:rPr>
      <w:rFonts w:ascii="方正黑体_GBK" w:eastAsia="方正黑体_GBK"/>
      <w:sz w:val="32"/>
      <w:szCs w:val="32"/>
    </w:rPr>
  </w:style>
  <w:style w:type="paragraph" w:styleId="856" w:customStyle="1">
    <w:name w:val="xl24"/>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7" w:customStyle="1">
    <w:name w:val="xl29"/>
    <w:basedOn w:val="69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58" w:customStyle="1">
    <w:name w:val="Char Char Char Char Char Char Char Char"/>
    <w:basedOn w:val="696"/>
    <w:uiPriority w:val="0"/>
    <w:qFormat/>
    <w:pPr>
      <w:jc w:val="left"/>
      <w:spacing w:after="160" w:line="240" w:lineRule="exact"/>
      <w:widowControl/>
    </w:pPr>
    <w:rPr>
      <w:rFonts w:ascii="Verdana" w:hAnsi="Verdana"/>
      <w:sz w:val="20"/>
      <w:szCs w:val="20"/>
      <w:lang w:eastAsia="en-US"/>
    </w:rPr>
  </w:style>
  <w:style w:type="paragraph" w:styleId="859" w:customStyle="1">
    <w:name w:val="xl2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60" w:customStyle="1">
    <w:name w:val=" Char Char Char Char Char Char Char Char"/>
    <w:basedOn w:val="696"/>
    <w:uiPriority w:val="0"/>
    <w:qFormat/>
    <w:pPr>
      <w:jc w:val="left"/>
      <w:spacing w:after="160" w:line="240" w:lineRule="exact"/>
      <w:widowControl/>
    </w:pPr>
    <w:rPr>
      <w:rFonts w:ascii="Verdana" w:hAnsi="Verdana"/>
      <w:sz w:val="20"/>
      <w:szCs w:val="20"/>
      <w:lang w:eastAsia="en-US"/>
    </w:rPr>
  </w:style>
  <w:style w:type="paragraph" w:styleId="861" w:customStyle="1">
    <w:name w:val="xl30"/>
    <w:basedOn w:val="696"/>
    <w:uiPriority w:val="0"/>
    <w:qFormat/>
    <w:pPr>
      <w:jc w:val="center"/>
      <w:spacing w:before="100" w:beforeAutospacing="1" w:after="100" w:afterAutospacing="1"/>
      <w:widowControl/>
    </w:pPr>
    <w:rPr>
      <w:rFonts w:ascii="宋体" w:hAnsi="宋体"/>
      <w:b/>
      <w:bCs/>
      <w:sz w:val="36"/>
      <w:szCs w:val="36"/>
    </w:rPr>
  </w:style>
  <w:style w:type="paragraph" w:styleId="862" w:customStyle="1">
    <w:name w:val="Char Char Char Char"/>
    <w:basedOn w:val="780"/>
    <w:uiPriority w:val="0"/>
    <w:qFormat/>
    <w:pPr>
      <w:spacing w:line="360" w:lineRule="auto"/>
    </w:pPr>
    <w:rPr>
      <w:rFonts w:ascii="Tahoma" w:hAnsi="Tahoma"/>
      <w:sz w:val="24"/>
      <w:szCs w:val="24"/>
    </w:rPr>
  </w:style>
  <w:style w:type="paragraph" w:styleId="863" w:customStyle="1">
    <w:name w:val="table_1stline"/>
    <w:basedOn w:val="696"/>
    <w:uiPriority w:val="0"/>
    <w:qFormat/>
    <w:pPr>
      <w:jc w:val="left"/>
      <w:spacing w:before="120"/>
      <w:widowControl/>
    </w:pPr>
    <w:rPr>
      <w:bCs/>
      <w:sz w:val="20"/>
      <w:szCs w:val="20"/>
      <w:lang w:val="de-DE" w:eastAsia="de-DE"/>
    </w:rPr>
  </w:style>
  <w:style w:type="paragraph" w:styleId="864" w:customStyle="1">
    <w:name w:val="font5"/>
    <w:basedOn w:val="696"/>
    <w:uiPriority w:val="0"/>
    <w:qFormat/>
    <w:pPr>
      <w:jc w:val="left"/>
      <w:spacing w:before="100" w:beforeAutospacing="1" w:after="100" w:afterAutospacing="1"/>
      <w:widowControl/>
    </w:pPr>
    <w:rPr>
      <w:rFonts w:hint="eastAsia" w:ascii="宋体" w:hAnsi="宋体"/>
      <w:sz w:val="28"/>
      <w:szCs w:val="28"/>
    </w:rPr>
  </w:style>
  <w:style w:type="paragraph" w:styleId="865" w:customStyle="1">
    <w:name w:val="标题1"/>
    <w:basedOn w:val="696"/>
    <w:next w:val="696"/>
    <w:uiPriority w:val="1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6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867" w:customStyle="1">
    <w:name w:val="无间隔"/>
    <w:uiPriority w:val="1"/>
    <w:qFormat/>
    <w:pPr>
      <w:jc w:val="both"/>
      <w:widowControl w:val="off"/>
    </w:pPr>
    <w:rPr>
      <w:rFonts w:hint="default" w:ascii="Times New Roman" w:hAnsi="Times New Roman" w:eastAsia="宋体" w:cs="Times New Roman"/>
      <w:sz w:val="21"/>
      <w:szCs w:val="21"/>
      <w:lang w:val="en-US" w:eastAsia="zh-CN" w:bidi="ar-SA"/>
    </w:rPr>
  </w:style>
  <w:style w:type="paragraph" w:styleId="868" w:customStyle="1">
    <w:name w:val="普通文字"/>
    <w:basedOn w:val="696"/>
    <w:next w:val="696"/>
    <w:uiPriority w:val="99"/>
    <w:qFormat/>
    <w:rPr>
      <w:rFonts w:ascii="宋体" w:hAnsi="Times New Roman" w:eastAsia="宋体" w:cs="Times New Roman"/>
      <w:sz w:val="24"/>
      <w:szCs w:val="20"/>
      <w:u w:val="none"/>
    </w:rPr>
  </w:style>
  <w:style w:type="paragraph" w:styleId="869" w:customStyle="1">
    <w:name w:val="目录 111"/>
    <w:basedOn w:val="696"/>
    <w:next w:val="696"/>
    <w:uiPriority w:val="39"/>
    <w:unhideWhenUsed/>
    <w:qFormat/>
    <w:pPr>
      <w:jc w:val="left"/>
      <w:spacing w:after="100" w:line="259" w:lineRule="auto"/>
      <w:widowControl/>
    </w:pPr>
    <w:rPr>
      <w:rFonts w:ascii="Calibri" w:hAnsi="Calibri" w:eastAsia="宋体"/>
      <w:sz w:val="22"/>
      <w:szCs w:val="22"/>
    </w:rPr>
  </w:style>
  <w:style w:type="paragraph" w:styleId="870" w:customStyle="1">
    <w:name w:val="题注11"/>
    <w:basedOn w:val="696"/>
    <w:next w:val="696"/>
    <w:uiPriority w:val="35"/>
    <w:semiHidden/>
    <w:unhideWhenUsed/>
    <w:qFormat/>
    <w:pPr>
      <w:spacing w:line="276" w:lineRule="auto"/>
    </w:pPr>
    <w:rPr>
      <w:rFonts w:ascii="Calibri" w:hAnsi="Calibri"/>
      <w:b/>
      <w:bCs/>
      <w:color w:val="4f81bd"/>
      <w:sz w:val="18"/>
      <w:szCs w:val="18"/>
    </w:rPr>
  </w:style>
  <w:style w:type="paragraph" w:styleId="871" w:customStyle="1">
    <w:name w:val="尾注文本11"/>
    <w:basedOn w:val="696"/>
    <w:link w:val="925"/>
    <w:uiPriority w:val="99"/>
    <w:semiHidden/>
    <w:unhideWhenUsed/>
    <w:qFormat/>
    <w:rPr>
      <w:rFonts w:ascii="Calibri" w:hAnsi="Calibri"/>
      <w:sz w:val="20"/>
      <w:szCs w:val="24"/>
      <w:lang w:val="en-US" w:eastAsia="en-US"/>
    </w:rPr>
  </w:style>
  <w:style w:type="character" w:styleId="872" w:customStyle="1">
    <w:name w:val="尾注文本 Char"/>
    <w:basedOn w:val="766"/>
    <w:link w:val="873"/>
    <w:uiPriority w:val="99"/>
    <w:qFormat/>
    <w:rPr>
      <w:rFonts w:ascii="Times New Roman" w:hAnsi="Times New Roman"/>
      <w:sz w:val="21"/>
      <w:szCs w:val="21"/>
    </w:rPr>
  </w:style>
  <w:style w:type="paragraph" w:styleId="873" w:customStyle="1">
    <w:name w:val="尾注文本1"/>
    <w:basedOn w:val="696"/>
    <w:link w:val="872"/>
    <w:uiPriority w:val="99"/>
    <w:semiHidden/>
    <w:unhideWhenUsed/>
    <w:qFormat/>
  </w:style>
  <w:style w:type="paragraph" w:styleId="874" w:customStyle="1">
    <w:name w:val="副标题11"/>
    <w:basedOn w:val="696"/>
    <w:next w:val="696"/>
    <w:link w:val="894"/>
    <w:uiPriority w:val="11"/>
    <w:qFormat/>
    <w:pPr>
      <w:spacing w:before="200" w:after="200"/>
    </w:pPr>
    <w:rPr>
      <w:rFonts w:ascii="Calibri" w:hAnsi="Calibri"/>
      <w:sz w:val="24"/>
      <w:szCs w:val="24"/>
      <w:lang w:val="en-US" w:eastAsia="en-US"/>
    </w:rPr>
  </w:style>
  <w:style w:type="character" w:styleId="875" w:customStyle="1">
    <w:name w:val="副标题 Char"/>
    <w:basedOn w:val="766"/>
    <w:link w:val="876"/>
    <w:uiPriority w:val="11"/>
    <w:qFormat/>
    <w:rPr>
      <w:rFonts w:ascii="Cambria" w:hAnsi="Cambria" w:cs="Times New Roman"/>
      <w:b/>
      <w:bCs/>
      <w:sz w:val="32"/>
      <w:szCs w:val="32"/>
    </w:rPr>
  </w:style>
  <w:style w:type="paragraph" w:styleId="876" w:customStyle="1">
    <w:name w:val="副标题1"/>
    <w:basedOn w:val="696"/>
    <w:next w:val="696"/>
    <w:link w:val="875"/>
    <w:uiPriority w:val="11"/>
    <w:qFormat/>
    <w:pPr>
      <w:spacing w:before="200" w:after="200"/>
    </w:pPr>
    <w:rPr>
      <w:rFonts w:ascii="Cambria" w:hAnsi="Cambria" w:cs="Times New Roman"/>
      <w:b/>
      <w:bCs/>
      <w:sz w:val="32"/>
      <w:szCs w:val="32"/>
    </w:rPr>
  </w:style>
  <w:style w:type="paragraph" w:styleId="877" w:customStyle="1">
    <w:name w:val="脚注文本11"/>
    <w:basedOn w:val="696"/>
    <w:link w:val="924"/>
    <w:uiPriority w:val="99"/>
    <w:semiHidden/>
    <w:unhideWhenUsed/>
    <w:qFormat/>
    <w:pPr>
      <w:spacing w:after="40"/>
    </w:pPr>
    <w:rPr>
      <w:rFonts w:ascii="Calibri" w:hAnsi="Calibri"/>
      <w:sz w:val="18"/>
      <w:szCs w:val="24"/>
      <w:lang w:val="en-US" w:eastAsia="en-US"/>
    </w:rPr>
  </w:style>
  <w:style w:type="character" w:styleId="878" w:customStyle="1">
    <w:name w:val="脚注文本 Char"/>
    <w:basedOn w:val="766"/>
    <w:link w:val="879"/>
    <w:uiPriority w:val="99"/>
    <w:qFormat/>
    <w:rPr>
      <w:rFonts w:ascii="Times New Roman" w:hAnsi="Times New Roman"/>
      <w:sz w:val="18"/>
      <w:szCs w:val="18"/>
    </w:rPr>
  </w:style>
  <w:style w:type="paragraph" w:styleId="879" w:customStyle="1">
    <w:name w:val="脚注文本1"/>
    <w:basedOn w:val="696"/>
    <w:link w:val="878"/>
    <w:uiPriority w:val="99"/>
    <w:semiHidden/>
    <w:unhideWhenUsed/>
    <w:qFormat/>
    <w:pPr>
      <w:spacing w:after="40"/>
    </w:pPr>
    <w:rPr>
      <w:sz w:val="18"/>
      <w:szCs w:val="18"/>
    </w:rPr>
  </w:style>
  <w:style w:type="paragraph" w:styleId="880" w:customStyle="1">
    <w:name w:val="标题2"/>
    <w:basedOn w:val="696"/>
    <w:next w:val="696"/>
    <w:link w:val="893"/>
    <w:uiPriority w:val="10"/>
    <w:qFormat/>
    <w:pPr>
      <w:contextualSpacing/>
      <w:spacing w:before="300" w:after="200"/>
    </w:pPr>
    <w:rPr>
      <w:rFonts w:ascii="Calibri" w:hAnsi="Calibri"/>
      <w:sz w:val="48"/>
      <w:szCs w:val="48"/>
      <w:lang w:val="en-US" w:eastAsia="en-US"/>
    </w:rPr>
  </w:style>
  <w:style w:type="character" w:styleId="881" w:customStyle="1">
    <w:name w:val="标题 Char"/>
    <w:basedOn w:val="766"/>
    <w:link w:val="880"/>
    <w:uiPriority w:val="10"/>
    <w:qFormat/>
    <w:rPr>
      <w:rFonts w:ascii="Cambria" w:hAnsi="Cambria" w:cs="Times New Roman"/>
      <w:b/>
      <w:bCs/>
      <w:sz w:val="32"/>
      <w:szCs w:val="32"/>
    </w:rPr>
  </w:style>
  <w:style w:type="character" w:styleId="882" w:customStyle="1">
    <w:name w:val="尾注引用11"/>
    <w:link w:val="696"/>
    <w:uiPriority w:val="99"/>
    <w:semiHidden/>
    <w:unhideWhenUsed/>
    <w:qFormat/>
    <w:rPr>
      <w:vertAlign w:val="superscript"/>
    </w:rPr>
  </w:style>
  <w:style w:type="character" w:styleId="883" w:customStyle="1">
    <w:name w:val="脚注引用11"/>
    <w:link w:val="696"/>
    <w:uiPriority w:val="99"/>
    <w:unhideWhenUsed/>
    <w:qFormat/>
    <w:rPr>
      <w:vertAlign w:val="superscript"/>
    </w:rPr>
  </w:style>
  <w:style w:type="character" w:styleId="884" w:customStyle="1">
    <w:name w:val="标题 1 Char1"/>
    <w:link w:val="696"/>
    <w:uiPriority w:val="9"/>
    <w:qFormat/>
    <w:rPr>
      <w:rFonts w:ascii="Arial" w:hAnsi="Arial" w:eastAsia="Arial" w:cs="Arial"/>
      <w:sz w:val="40"/>
      <w:szCs w:val="40"/>
    </w:rPr>
  </w:style>
  <w:style w:type="character" w:styleId="885" w:customStyle="1">
    <w:name w:val="标题 2 Char1"/>
    <w:link w:val="696"/>
    <w:uiPriority w:val="9"/>
    <w:qFormat/>
    <w:rPr>
      <w:rFonts w:ascii="Arial" w:hAnsi="Arial" w:eastAsia="Arial" w:cs="Arial"/>
      <w:sz w:val="34"/>
    </w:rPr>
  </w:style>
  <w:style w:type="character" w:styleId="886" w:customStyle="1">
    <w:name w:val="标题 3 Char1"/>
    <w:link w:val="696"/>
    <w:uiPriority w:val="9"/>
    <w:qFormat/>
    <w:rPr>
      <w:rFonts w:ascii="Arial" w:hAnsi="Arial" w:eastAsia="Arial" w:cs="Arial"/>
      <w:sz w:val="30"/>
      <w:szCs w:val="30"/>
    </w:rPr>
  </w:style>
  <w:style w:type="character" w:styleId="887" w:customStyle="1">
    <w:name w:val="标题 4 Char1"/>
    <w:link w:val="696"/>
    <w:uiPriority w:val="9"/>
    <w:qFormat/>
    <w:rPr>
      <w:rFonts w:ascii="Arial" w:hAnsi="Arial" w:eastAsia="Arial" w:cs="Arial"/>
      <w:b/>
      <w:bCs/>
      <w:sz w:val="26"/>
      <w:szCs w:val="26"/>
    </w:rPr>
  </w:style>
  <w:style w:type="character" w:styleId="888" w:customStyle="1">
    <w:name w:val="标题 5 Char1"/>
    <w:link w:val="696"/>
    <w:uiPriority w:val="9"/>
    <w:qFormat/>
    <w:rPr>
      <w:rFonts w:ascii="Arial" w:hAnsi="Arial" w:eastAsia="Arial" w:cs="Arial"/>
      <w:b/>
      <w:bCs/>
      <w:sz w:val="24"/>
      <w:szCs w:val="24"/>
    </w:rPr>
  </w:style>
  <w:style w:type="character" w:styleId="889" w:customStyle="1">
    <w:name w:val="标题 6 Char1"/>
    <w:link w:val="696"/>
    <w:uiPriority w:val="9"/>
    <w:qFormat/>
    <w:rPr>
      <w:rFonts w:ascii="Arial" w:hAnsi="Arial" w:eastAsia="Arial" w:cs="Arial"/>
      <w:b/>
      <w:bCs/>
      <w:sz w:val="22"/>
      <w:szCs w:val="22"/>
    </w:rPr>
  </w:style>
  <w:style w:type="character" w:styleId="890" w:customStyle="1">
    <w:name w:val="标题 7 Char1"/>
    <w:link w:val="696"/>
    <w:uiPriority w:val="9"/>
    <w:qFormat/>
    <w:rPr>
      <w:rFonts w:ascii="Arial" w:hAnsi="Arial" w:eastAsia="Arial" w:cs="Arial"/>
      <w:b/>
      <w:bCs/>
      <w:i/>
      <w:iCs/>
      <w:sz w:val="22"/>
      <w:szCs w:val="22"/>
    </w:rPr>
  </w:style>
  <w:style w:type="character" w:styleId="891" w:customStyle="1">
    <w:name w:val="标题 8 Char1"/>
    <w:link w:val="696"/>
    <w:uiPriority w:val="9"/>
    <w:qFormat/>
    <w:rPr>
      <w:rFonts w:ascii="Arial" w:hAnsi="Arial" w:eastAsia="Arial" w:cs="Arial"/>
      <w:i/>
      <w:iCs/>
      <w:sz w:val="22"/>
      <w:szCs w:val="22"/>
    </w:rPr>
  </w:style>
  <w:style w:type="character" w:styleId="892" w:customStyle="1">
    <w:name w:val="标题 9 Char1"/>
    <w:link w:val="696"/>
    <w:uiPriority w:val="9"/>
    <w:qFormat/>
    <w:rPr>
      <w:rFonts w:ascii="Arial" w:hAnsi="Arial" w:eastAsia="Arial" w:cs="Arial"/>
      <w:i/>
      <w:iCs/>
      <w:sz w:val="21"/>
      <w:szCs w:val="21"/>
    </w:rPr>
  </w:style>
  <w:style w:type="character" w:styleId="893" w:customStyle="1">
    <w:name w:val="标题 Char1"/>
    <w:link w:val="880"/>
    <w:uiPriority w:val="10"/>
    <w:qFormat/>
    <w:rPr>
      <w:sz w:val="48"/>
      <w:szCs w:val="48"/>
    </w:rPr>
  </w:style>
  <w:style w:type="character" w:styleId="894" w:customStyle="1">
    <w:name w:val="副标题 Char1"/>
    <w:link w:val="874"/>
    <w:uiPriority w:val="11"/>
    <w:qFormat/>
    <w:rPr>
      <w:sz w:val="24"/>
      <w:szCs w:val="24"/>
    </w:rPr>
  </w:style>
  <w:style w:type="paragraph" w:styleId="895" w:customStyle="1">
    <w:name w:val="引用"/>
    <w:basedOn w:val="696"/>
    <w:next w:val="696"/>
    <w:link w:val="898"/>
    <w:uiPriority w:val="29"/>
    <w:qFormat/>
    <w:pPr>
      <w:ind w:left="720" w:right="720"/>
    </w:pPr>
    <w:rPr>
      <w:rFonts w:ascii="Calibri" w:hAnsi="Calibri"/>
      <w:i/>
      <w:szCs w:val="24"/>
      <w:lang w:val="en-US" w:eastAsia="en-US"/>
    </w:rPr>
  </w:style>
  <w:style w:type="character" w:styleId="896" w:customStyle="1">
    <w:name w:val="引用 Char"/>
    <w:basedOn w:val="766"/>
    <w:link w:val="897"/>
    <w:uiPriority w:val="29"/>
    <w:qFormat/>
    <w:rPr>
      <w:rFonts w:ascii="Times New Roman" w:hAnsi="Times New Roman"/>
      <w:i/>
      <w:iCs/>
      <w:color w:val="000000"/>
      <w:sz w:val="21"/>
      <w:szCs w:val="21"/>
    </w:rPr>
  </w:style>
  <w:style w:type="paragraph" w:styleId="897" w:customStyle="1">
    <w:name w:val="引用1"/>
    <w:basedOn w:val="696"/>
    <w:next w:val="696"/>
    <w:link w:val="896"/>
    <w:uiPriority w:val="29"/>
    <w:qFormat/>
    <w:pPr>
      <w:ind w:left="720" w:right="720"/>
    </w:pPr>
    <w:rPr>
      <w:i/>
      <w:iCs/>
      <w:color w:val="000000"/>
    </w:rPr>
  </w:style>
  <w:style w:type="character" w:styleId="898" w:customStyle="1">
    <w:name w:val="引用 Char1"/>
    <w:link w:val="895"/>
    <w:uiPriority w:val="29"/>
    <w:qFormat/>
    <w:rPr>
      <w:i/>
      <w:sz w:val="21"/>
      <w:szCs w:val="24"/>
    </w:rPr>
  </w:style>
  <w:style w:type="paragraph" w:styleId="899" w:customStyle="1">
    <w:name w:val="明显引用"/>
    <w:basedOn w:val="696"/>
    <w:next w:val="696"/>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Cs w:val="24"/>
      <w:lang w:val="en-US" w:eastAsia="en-US"/>
    </w:rPr>
  </w:style>
  <w:style w:type="character" w:styleId="900" w:customStyle="1">
    <w:name w:val="明显引用 Char"/>
    <w:basedOn w:val="766"/>
    <w:link w:val="901"/>
    <w:uiPriority w:val="30"/>
    <w:qFormat/>
    <w:rPr>
      <w:rFonts w:ascii="Times New Roman" w:hAnsi="Times New Roman"/>
      <w:b/>
      <w:bCs/>
      <w:i/>
      <w:iCs/>
      <w:color w:val="4f81bd"/>
      <w:sz w:val="21"/>
      <w:szCs w:val="21"/>
    </w:rPr>
  </w:style>
  <w:style w:type="paragraph" w:styleId="901" w:customStyle="1">
    <w:name w:val="明显引用1"/>
    <w:basedOn w:val="696"/>
    <w:next w:val="696"/>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b/>
      <w:bCs/>
      <w:i/>
      <w:iCs/>
      <w:color w:val="4f81bd"/>
    </w:rPr>
  </w:style>
  <w:style w:type="character" w:styleId="902" w:customStyle="1">
    <w:name w:val="明显引用 Char1"/>
    <w:link w:val="899"/>
    <w:uiPriority w:val="30"/>
    <w:qFormat/>
    <w:rPr>
      <w:i/>
      <w:sz w:val="21"/>
      <w:szCs w:val="24"/>
      <w:shd w:val="clear" w:color="auto" w:fill="f2f2f2"/>
    </w:rPr>
  </w:style>
  <w:style w:type="character" w:styleId="903" w:customStyle="1">
    <w:name w:val="页眉 Char1"/>
    <w:link w:val="696"/>
    <w:uiPriority w:val="99"/>
    <w:qFormat/>
  </w:style>
  <w:style w:type="character" w:styleId="904" w:customStyle="1">
    <w:name w:val="页脚 Char1"/>
    <w:link w:val="696"/>
    <w:uiPriority w:val="99"/>
    <w:qFormat/>
  </w:style>
  <w:style w:type="table" w:styleId="905" w:customStyle="1">
    <w:name w:val="Plain Table 1"/>
    <w:uiPriority w:val="59"/>
    <w:qFormat/>
    <w:rPr>
      <w:rFonts w:ascii="Times New Roman" w:hAnsi="Times New Roman"/>
      <w:lang w:val="en-US" w:eastAsia="zh-CN" w:bidi="ar-SA"/>
    </w:rPr>
    <w:tblPr/>
  </w:style>
  <w:style w:type="table" w:styleId="906" w:customStyle="1">
    <w:name w:val="Plain Table 2"/>
    <w:uiPriority w:val="59"/>
    <w:qFormat/>
    <w:rPr>
      <w:rFonts w:ascii="Times New Roman" w:hAnsi="Times New Roman"/>
      <w:lang w:val="en-US" w:eastAsia="zh-CN" w:bidi="ar-SA"/>
    </w:rPr>
    <w:tblPr/>
  </w:style>
  <w:style w:type="table" w:styleId="907" w:customStyle="1">
    <w:name w:val="Plain Table 3"/>
    <w:uiPriority w:val="99"/>
    <w:qFormat/>
    <w:rPr>
      <w:rFonts w:ascii="Times New Roman" w:hAnsi="Times New Roman"/>
      <w:lang w:val="en-US" w:eastAsia="zh-CN" w:bidi="ar-SA"/>
    </w:rPr>
    <w:tblPr/>
  </w:style>
  <w:style w:type="table" w:styleId="908" w:customStyle="1">
    <w:name w:val="Plain Table 4"/>
    <w:uiPriority w:val="99"/>
    <w:qFormat/>
    <w:rPr>
      <w:rFonts w:ascii="Times New Roman" w:hAnsi="Times New Roman"/>
      <w:lang w:val="en-US" w:eastAsia="zh-CN" w:bidi="ar-SA"/>
    </w:rPr>
    <w:tblPr/>
  </w:style>
  <w:style w:type="table" w:styleId="909" w:customStyle="1">
    <w:name w:val="Plain Table 5"/>
    <w:uiPriority w:val="99"/>
    <w:qFormat/>
    <w:rPr>
      <w:rFonts w:ascii="Times New Roman" w:hAnsi="Times New Roman"/>
      <w:lang w:val="en-US" w:eastAsia="zh-CN" w:bidi="ar-SA"/>
    </w:rPr>
    <w:tblPr/>
  </w:style>
  <w:style w:type="table" w:styleId="910" w:customStyle="1">
    <w:name w:val="Grid Table 1 Light"/>
    <w:uiPriority w:val="99"/>
    <w:qFormat/>
    <w:rPr>
      <w:rFonts w:ascii="Times New Roman" w:hAnsi="Times New Roman"/>
      <w:lang w:val="en-US" w:eastAsia="zh-CN" w:bidi="ar-SA"/>
    </w:rPr>
    <w:tblPr/>
  </w:style>
  <w:style w:type="table" w:styleId="911" w:customStyle="1">
    <w:name w:val="Grid Table 2"/>
    <w:uiPriority w:val="99"/>
    <w:qFormat/>
    <w:rPr>
      <w:rFonts w:ascii="Times New Roman" w:hAnsi="Times New Roman"/>
      <w:lang w:val="en-US" w:eastAsia="zh-CN" w:bidi="ar-SA"/>
    </w:rPr>
    <w:tblPr/>
  </w:style>
  <w:style w:type="table" w:styleId="912" w:customStyle="1">
    <w:name w:val="Grid Table 3"/>
    <w:uiPriority w:val="99"/>
    <w:qFormat/>
    <w:rPr>
      <w:rFonts w:ascii="Times New Roman" w:hAnsi="Times New Roman"/>
      <w:lang w:val="en-US" w:eastAsia="zh-CN" w:bidi="ar-SA"/>
    </w:rPr>
    <w:tblPr/>
  </w:style>
  <w:style w:type="table" w:styleId="913" w:customStyle="1">
    <w:name w:val="Grid Table 4"/>
    <w:uiPriority w:val="59"/>
    <w:qFormat/>
    <w:rPr>
      <w:rFonts w:ascii="Times New Roman" w:hAnsi="Times New Roman"/>
      <w:lang w:val="en-US" w:eastAsia="zh-CN" w:bidi="ar-SA"/>
    </w:rPr>
    <w:tblPr/>
  </w:style>
  <w:style w:type="table" w:styleId="914" w:customStyle="1">
    <w:name w:val="Grid Table 5 Dark"/>
    <w:uiPriority w:val="99"/>
    <w:qFormat/>
    <w:rPr>
      <w:rFonts w:ascii="Times New Roman" w:hAnsi="Times New Roman"/>
      <w:lang w:val="en-US" w:eastAsia="zh-CN" w:bidi="ar-SA"/>
    </w:rPr>
    <w:tblPr/>
  </w:style>
  <w:style w:type="table" w:styleId="915" w:customStyle="1">
    <w:name w:val="Grid Table 6 Colorful"/>
    <w:uiPriority w:val="99"/>
    <w:qFormat/>
    <w:rPr>
      <w:rFonts w:ascii="Times New Roman" w:hAnsi="Times New Roman"/>
      <w:lang w:val="en-US" w:eastAsia="zh-CN" w:bidi="ar-SA"/>
    </w:rPr>
    <w:tblPr/>
  </w:style>
  <w:style w:type="table" w:styleId="916" w:customStyle="1">
    <w:name w:val="Grid Table 7 Colorful"/>
    <w:uiPriority w:val="99"/>
    <w:qFormat/>
    <w:rPr>
      <w:rFonts w:ascii="Times New Roman" w:hAnsi="Times New Roman"/>
      <w:lang w:val="en-US" w:eastAsia="zh-CN" w:bidi="ar-SA"/>
    </w:rPr>
    <w:tblPr/>
  </w:style>
  <w:style w:type="table" w:styleId="917" w:customStyle="1">
    <w:name w:val="List Table 1 Light"/>
    <w:uiPriority w:val="99"/>
    <w:qFormat/>
    <w:rPr>
      <w:rFonts w:ascii="Times New Roman" w:hAnsi="Times New Roman"/>
      <w:lang w:val="en-US" w:eastAsia="zh-CN" w:bidi="ar-SA"/>
    </w:rPr>
    <w:tblPr/>
  </w:style>
  <w:style w:type="table" w:styleId="918" w:customStyle="1">
    <w:name w:val="List Table 2"/>
    <w:uiPriority w:val="99"/>
    <w:qFormat/>
    <w:rPr>
      <w:rFonts w:ascii="Times New Roman" w:hAnsi="Times New Roman"/>
      <w:lang w:val="en-US" w:eastAsia="zh-CN" w:bidi="ar-SA"/>
    </w:rPr>
    <w:tblPr/>
  </w:style>
  <w:style w:type="table" w:styleId="919" w:customStyle="1">
    <w:name w:val="List Table 3"/>
    <w:uiPriority w:val="99"/>
    <w:qFormat/>
    <w:rPr>
      <w:rFonts w:ascii="Times New Roman" w:hAnsi="Times New Roman"/>
      <w:lang w:val="en-US" w:eastAsia="zh-CN" w:bidi="ar-SA"/>
    </w:rPr>
    <w:tblPr/>
  </w:style>
  <w:style w:type="table" w:styleId="920" w:customStyle="1">
    <w:name w:val="List Table 4"/>
    <w:uiPriority w:val="99"/>
    <w:qFormat/>
    <w:rPr>
      <w:rFonts w:ascii="Times New Roman" w:hAnsi="Times New Roman"/>
      <w:lang w:val="en-US" w:eastAsia="zh-CN" w:bidi="ar-SA"/>
    </w:rPr>
    <w:tblPr/>
  </w:style>
  <w:style w:type="table" w:styleId="921" w:customStyle="1">
    <w:name w:val="List Table 5 Dark"/>
    <w:uiPriority w:val="99"/>
    <w:qFormat/>
    <w:rPr>
      <w:rFonts w:ascii="Times New Roman" w:hAnsi="Times New Roman"/>
      <w:lang w:val="en-US" w:eastAsia="zh-CN" w:bidi="ar-SA"/>
    </w:rPr>
    <w:tblPr/>
  </w:style>
  <w:style w:type="table" w:styleId="922" w:customStyle="1">
    <w:name w:val="List Table 6 Colorful"/>
    <w:uiPriority w:val="99"/>
    <w:qFormat/>
    <w:rPr>
      <w:rFonts w:ascii="Times New Roman" w:hAnsi="Times New Roman"/>
      <w:lang w:val="en-US" w:eastAsia="zh-CN" w:bidi="ar-SA"/>
    </w:rPr>
    <w:tblPr/>
  </w:style>
  <w:style w:type="table" w:styleId="923" w:customStyle="1">
    <w:name w:val="List Table 7 Colorful"/>
    <w:uiPriority w:val="99"/>
    <w:qFormat/>
    <w:rPr>
      <w:rFonts w:ascii="Times New Roman" w:hAnsi="Times New Roman"/>
      <w:lang w:val="en-US" w:eastAsia="zh-CN" w:bidi="ar-SA"/>
    </w:rPr>
    <w:tblPr/>
  </w:style>
  <w:style w:type="character" w:styleId="924" w:customStyle="1">
    <w:name w:val="脚注文本 Char1"/>
    <w:link w:val="877"/>
    <w:uiPriority w:val="99"/>
    <w:semiHidden/>
    <w:qFormat/>
    <w:rPr>
      <w:sz w:val="18"/>
      <w:szCs w:val="24"/>
    </w:rPr>
  </w:style>
  <w:style w:type="character" w:styleId="925" w:customStyle="1">
    <w:name w:val="尾注文本 Char1"/>
    <w:link w:val="871"/>
    <w:uiPriority w:val="99"/>
    <w:semiHidden/>
    <w:qFormat/>
    <w:rPr>
      <w:szCs w:val="24"/>
    </w:rPr>
  </w:style>
  <w:style w:type="paragraph" w:styleId="926" w:customStyle="1">
    <w:name w:val="TOC 标题1"/>
    <w:uiPriority w:val="39"/>
    <w:unhideWhenUsed/>
    <w:qFormat/>
    <w:rPr>
      <w:rFonts w:hint="default" w:ascii="Times New Roman" w:hAnsi="Times New Roman" w:eastAsia="宋体" w:cs="Times New Roman"/>
      <w:lang w:val="en-US" w:eastAsia="zh-CN" w:bidi="ar-SA"/>
    </w:rPr>
  </w:style>
  <w:style w:type="paragraph" w:styleId="927" w:customStyle="1">
    <w:name w:val="标题 111"/>
    <w:basedOn w:val="696"/>
    <w:next w:val="696"/>
    <w:uiPriority w:val="9"/>
    <w:qFormat/>
    <w:pPr>
      <w:keepLines/>
      <w:keepNext/>
      <w:spacing w:before="480" w:after="200"/>
      <w:outlineLvl w:val="0"/>
    </w:pPr>
    <w:rPr>
      <w:rFonts w:ascii="Arial" w:hAnsi="Arial" w:eastAsia="Arial"/>
      <w:sz w:val="40"/>
      <w:szCs w:val="40"/>
      <w:lang w:eastAsia="en-US"/>
    </w:rPr>
  </w:style>
  <w:style w:type="paragraph" w:styleId="928" w:customStyle="1">
    <w:name w:val="标题 211"/>
    <w:basedOn w:val="696"/>
    <w:next w:val="696"/>
    <w:uiPriority w:val="9"/>
    <w:unhideWhenUsed/>
    <w:qFormat/>
    <w:pPr>
      <w:keepLines/>
      <w:keepNext/>
      <w:spacing w:before="360" w:after="200"/>
      <w:outlineLvl w:val="1"/>
    </w:pPr>
    <w:rPr>
      <w:rFonts w:ascii="Arial" w:hAnsi="Arial" w:eastAsia="Arial"/>
      <w:sz w:val="34"/>
      <w:szCs w:val="20"/>
      <w:lang w:eastAsia="en-US"/>
    </w:rPr>
  </w:style>
  <w:style w:type="paragraph" w:styleId="929" w:customStyle="1">
    <w:name w:val="标题 311"/>
    <w:basedOn w:val="696"/>
    <w:next w:val="696"/>
    <w:uiPriority w:val="9"/>
    <w:unhideWhenUsed/>
    <w:qFormat/>
    <w:pPr>
      <w:keepLines/>
      <w:keepNext/>
      <w:spacing w:before="320" w:after="200"/>
      <w:outlineLvl w:val="2"/>
    </w:pPr>
    <w:rPr>
      <w:rFonts w:ascii="Arial" w:hAnsi="Arial" w:eastAsia="Arial"/>
      <w:sz w:val="30"/>
      <w:szCs w:val="30"/>
      <w:lang w:eastAsia="en-US"/>
    </w:rPr>
  </w:style>
  <w:style w:type="paragraph" w:styleId="930" w:customStyle="1">
    <w:name w:val="标题 411"/>
    <w:basedOn w:val="696"/>
    <w:next w:val="696"/>
    <w:uiPriority w:val="9"/>
    <w:unhideWhenUsed/>
    <w:qFormat/>
    <w:pPr>
      <w:keepLines/>
      <w:keepNext/>
      <w:spacing w:before="320" w:after="200"/>
      <w:outlineLvl w:val="3"/>
    </w:pPr>
    <w:rPr>
      <w:rFonts w:ascii="Arial" w:hAnsi="Arial" w:eastAsia="Arial"/>
      <w:b/>
      <w:bCs/>
      <w:sz w:val="26"/>
      <w:szCs w:val="26"/>
      <w:lang w:eastAsia="en-US"/>
    </w:rPr>
  </w:style>
  <w:style w:type="paragraph" w:styleId="931" w:customStyle="1">
    <w:name w:val="标题 51"/>
    <w:basedOn w:val="696"/>
    <w:next w:val="696"/>
    <w:uiPriority w:val="9"/>
    <w:unhideWhenUsed/>
    <w:qFormat/>
    <w:pPr>
      <w:keepLines/>
      <w:keepNext/>
      <w:spacing w:before="320" w:after="200"/>
      <w:outlineLvl w:val="4"/>
    </w:pPr>
    <w:rPr>
      <w:rFonts w:ascii="Arial" w:hAnsi="Arial" w:eastAsia="Arial"/>
      <w:b/>
      <w:bCs/>
      <w:sz w:val="24"/>
      <w:szCs w:val="24"/>
      <w:lang w:eastAsia="en-US"/>
    </w:rPr>
  </w:style>
  <w:style w:type="paragraph" w:styleId="932" w:customStyle="1">
    <w:name w:val="标题 61"/>
    <w:basedOn w:val="696"/>
    <w:next w:val="696"/>
    <w:uiPriority w:val="9"/>
    <w:unhideWhenUsed/>
    <w:qFormat/>
    <w:pPr>
      <w:keepLines/>
      <w:keepNext/>
      <w:spacing w:before="320" w:after="200"/>
      <w:outlineLvl w:val="5"/>
    </w:pPr>
    <w:rPr>
      <w:rFonts w:ascii="Arial" w:hAnsi="Arial" w:eastAsia="Arial"/>
      <w:b/>
      <w:bCs/>
      <w:sz w:val="22"/>
      <w:szCs w:val="22"/>
      <w:lang w:eastAsia="en-US"/>
    </w:rPr>
  </w:style>
  <w:style w:type="paragraph" w:styleId="933" w:customStyle="1">
    <w:name w:val="标题 71"/>
    <w:basedOn w:val="696"/>
    <w:next w:val="696"/>
    <w:uiPriority w:val="9"/>
    <w:unhideWhenUsed/>
    <w:qFormat/>
    <w:pPr>
      <w:keepLines/>
      <w:keepNext/>
      <w:spacing w:before="320" w:after="200"/>
      <w:outlineLvl w:val="6"/>
    </w:pPr>
    <w:rPr>
      <w:rFonts w:ascii="Arial" w:hAnsi="Arial" w:eastAsia="Arial"/>
      <w:b/>
      <w:bCs/>
      <w:i/>
      <w:iCs/>
      <w:sz w:val="22"/>
      <w:szCs w:val="22"/>
      <w:lang w:eastAsia="en-US"/>
    </w:rPr>
  </w:style>
  <w:style w:type="paragraph" w:styleId="934" w:customStyle="1">
    <w:name w:val="标题 81"/>
    <w:basedOn w:val="696"/>
    <w:next w:val="696"/>
    <w:uiPriority w:val="9"/>
    <w:unhideWhenUsed/>
    <w:qFormat/>
    <w:pPr>
      <w:keepLines/>
      <w:keepNext/>
      <w:spacing w:before="320" w:after="200"/>
      <w:outlineLvl w:val="7"/>
    </w:pPr>
    <w:rPr>
      <w:rFonts w:ascii="Arial" w:hAnsi="Arial" w:eastAsia="Arial"/>
      <w:i/>
      <w:iCs/>
      <w:sz w:val="22"/>
      <w:szCs w:val="22"/>
      <w:lang w:eastAsia="en-US"/>
    </w:rPr>
  </w:style>
  <w:style w:type="paragraph" w:styleId="935" w:customStyle="1">
    <w:name w:val="标题 91"/>
    <w:basedOn w:val="696"/>
    <w:next w:val="696"/>
    <w:uiPriority w:val="9"/>
    <w:unhideWhenUsed/>
    <w:qFormat/>
    <w:pPr>
      <w:keepLines/>
      <w:keepNext/>
      <w:spacing w:before="320" w:after="200"/>
      <w:outlineLvl w:val="8"/>
    </w:pPr>
    <w:rPr>
      <w:rFonts w:ascii="Arial" w:hAnsi="Arial" w:eastAsia="Arial"/>
      <w:i/>
      <w:iCs/>
      <w:lang w:eastAsia="en-US"/>
    </w:rPr>
  </w:style>
  <w:style w:type="character" w:styleId="936" w:customStyle="1">
    <w:name w:val="默认段落字体11"/>
    <w:link w:val="696"/>
    <w:uiPriority w:val="1"/>
    <w:semiHidden/>
    <w:unhideWhenUsed/>
    <w:qFormat/>
  </w:style>
  <w:style w:type="table" w:styleId="937" w:customStyle="1">
    <w:name w:val="普通表格11"/>
    <w:uiPriority w:val="99"/>
    <w:semiHidden/>
    <w:unhideWhenUsed/>
    <w:qFormat/>
    <w:rPr>
      <w:rFonts w:ascii="Times New Roman" w:hAnsi="Times New Roman"/>
      <w:lang w:val="en-US" w:eastAsia="zh-CN" w:bidi="ar-SA"/>
    </w:rPr>
    <w:tblPr/>
  </w:style>
  <w:style w:type="paragraph" w:styleId="938" w:customStyle="1">
    <w:name w:val="目录 71"/>
    <w:basedOn w:val="696"/>
    <w:next w:val="696"/>
    <w:uiPriority w:val="39"/>
    <w:unhideWhenUsed/>
    <w:qFormat/>
    <w:pPr>
      <w:ind w:left="1701"/>
      <w:spacing w:after="57"/>
    </w:pPr>
    <w:rPr>
      <w:rFonts w:ascii="Calibri" w:hAnsi="Calibri"/>
      <w:szCs w:val="24"/>
    </w:rPr>
  </w:style>
  <w:style w:type="paragraph" w:styleId="939" w:customStyle="1">
    <w:name w:val="题注1"/>
    <w:basedOn w:val="696"/>
    <w:next w:val="696"/>
    <w:uiPriority w:val="35"/>
    <w:semiHidden/>
    <w:unhideWhenUsed/>
    <w:qFormat/>
    <w:pPr>
      <w:spacing w:line="276" w:lineRule="auto"/>
    </w:pPr>
    <w:rPr>
      <w:rFonts w:ascii="Calibri" w:hAnsi="Calibri"/>
      <w:b/>
      <w:bCs/>
      <w:color w:val="4f81bd"/>
      <w:sz w:val="18"/>
      <w:szCs w:val="18"/>
    </w:rPr>
  </w:style>
  <w:style w:type="paragraph" w:styleId="940" w:customStyle="1">
    <w:name w:val="批注文字1"/>
    <w:basedOn w:val="696"/>
    <w:uiPriority w:val="99"/>
    <w:semiHidden/>
    <w:unhideWhenUsed/>
    <w:qFormat/>
    <w:pPr>
      <w:jc w:val="left"/>
    </w:pPr>
    <w:rPr>
      <w:rFonts w:ascii="Calibri" w:hAnsi="Calibri"/>
      <w:szCs w:val="24"/>
    </w:rPr>
  </w:style>
  <w:style w:type="paragraph" w:styleId="941" w:customStyle="1">
    <w:name w:val="目录 51"/>
    <w:basedOn w:val="696"/>
    <w:next w:val="696"/>
    <w:uiPriority w:val="39"/>
    <w:unhideWhenUsed/>
    <w:qFormat/>
    <w:pPr>
      <w:ind w:left="1134"/>
      <w:spacing w:after="57"/>
    </w:pPr>
    <w:rPr>
      <w:rFonts w:ascii="Calibri" w:hAnsi="Calibri"/>
      <w:szCs w:val="24"/>
    </w:rPr>
  </w:style>
  <w:style w:type="paragraph" w:styleId="942" w:customStyle="1">
    <w:name w:val="目录 31"/>
    <w:basedOn w:val="696"/>
    <w:next w:val="696"/>
    <w:uiPriority w:val="39"/>
    <w:unhideWhenUsed/>
    <w:qFormat/>
    <w:pPr>
      <w:ind w:left="567"/>
      <w:spacing w:after="57"/>
    </w:pPr>
    <w:rPr>
      <w:rFonts w:ascii="Calibri" w:hAnsi="Calibri"/>
      <w:szCs w:val="24"/>
    </w:rPr>
  </w:style>
  <w:style w:type="paragraph" w:styleId="943" w:customStyle="1">
    <w:name w:val="目录 81"/>
    <w:basedOn w:val="696"/>
    <w:next w:val="696"/>
    <w:uiPriority w:val="39"/>
    <w:unhideWhenUsed/>
    <w:qFormat/>
    <w:pPr>
      <w:ind w:left="1984"/>
      <w:spacing w:after="57"/>
    </w:pPr>
    <w:rPr>
      <w:rFonts w:ascii="Calibri" w:hAnsi="Calibri"/>
      <w:szCs w:val="24"/>
    </w:rPr>
  </w:style>
  <w:style w:type="paragraph" w:styleId="944" w:customStyle="1">
    <w:name w:val="页脚11"/>
    <w:basedOn w:val="696"/>
    <w:uiPriority w:val="99"/>
    <w:unhideWhenUsed/>
    <w:qFormat/>
    <w:pPr>
      <w:tabs>
        <w:tab w:val="center" w:pos="7143" w:leader="none"/>
        <w:tab w:val="right" w:pos="14287" w:leader="none"/>
      </w:tabs>
    </w:pPr>
    <w:rPr>
      <w:rFonts w:ascii="Calibri" w:hAnsi="Calibri"/>
      <w:szCs w:val="24"/>
    </w:rPr>
  </w:style>
  <w:style w:type="paragraph" w:styleId="945" w:customStyle="1">
    <w:name w:val="页眉11"/>
    <w:basedOn w:val="696"/>
    <w:uiPriority w:val="99"/>
    <w:unhideWhenUsed/>
    <w:qFormat/>
    <w:pPr>
      <w:tabs>
        <w:tab w:val="center" w:pos="7143" w:leader="none"/>
        <w:tab w:val="right" w:pos="14287" w:leader="none"/>
      </w:tabs>
    </w:pPr>
    <w:rPr>
      <w:rFonts w:ascii="Calibri" w:hAnsi="Calibri"/>
      <w:szCs w:val="24"/>
    </w:rPr>
  </w:style>
  <w:style w:type="paragraph" w:styleId="946" w:customStyle="1">
    <w:name w:val="目录 11"/>
    <w:basedOn w:val="696"/>
    <w:next w:val="696"/>
    <w:uiPriority w:val="39"/>
    <w:unhideWhenUsed/>
    <w:qFormat/>
    <w:pPr>
      <w:spacing w:after="57"/>
    </w:pPr>
    <w:rPr>
      <w:rFonts w:ascii="Calibri" w:hAnsi="Calibri"/>
      <w:szCs w:val="24"/>
    </w:rPr>
  </w:style>
  <w:style w:type="paragraph" w:styleId="947" w:customStyle="1">
    <w:name w:val="目录 41"/>
    <w:basedOn w:val="696"/>
    <w:next w:val="696"/>
    <w:uiPriority w:val="39"/>
    <w:unhideWhenUsed/>
    <w:qFormat/>
    <w:pPr>
      <w:ind w:left="850"/>
      <w:spacing w:after="57"/>
    </w:pPr>
    <w:rPr>
      <w:rFonts w:ascii="Calibri" w:hAnsi="Calibri"/>
      <w:szCs w:val="24"/>
    </w:rPr>
  </w:style>
  <w:style w:type="paragraph" w:styleId="948" w:customStyle="1">
    <w:name w:val="目录 61"/>
    <w:basedOn w:val="696"/>
    <w:next w:val="696"/>
    <w:uiPriority w:val="39"/>
    <w:unhideWhenUsed/>
    <w:qFormat/>
    <w:pPr>
      <w:ind w:left="1417"/>
      <w:spacing w:after="57"/>
    </w:pPr>
    <w:rPr>
      <w:rFonts w:ascii="Calibri" w:hAnsi="Calibri"/>
      <w:szCs w:val="24"/>
    </w:rPr>
  </w:style>
  <w:style w:type="paragraph" w:styleId="949" w:customStyle="1">
    <w:name w:val="图表目录1"/>
    <w:basedOn w:val="696"/>
    <w:next w:val="696"/>
    <w:uiPriority w:val="99"/>
    <w:unhideWhenUsed/>
    <w:qFormat/>
    <w:rPr>
      <w:rFonts w:ascii="Calibri" w:hAnsi="Calibri"/>
      <w:szCs w:val="24"/>
    </w:rPr>
  </w:style>
  <w:style w:type="paragraph" w:styleId="950" w:customStyle="1">
    <w:name w:val="目录 21"/>
    <w:basedOn w:val="696"/>
    <w:next w:val="696"/>
    <w:uiPriority w:val="39"/>
    <w:unhideWhenUsed/>
    <w:qFormat/>
    <w:pPr>
      <w:ind w:left="283"/>
      <w:spacing w:after="57"/>
    </w:pPr>
    <w:rPr>
      <w:rFonts w:ascii="Calibri" w:hAnsi="Calibri"/>
      <w:szCs w:val="24"/>
    </w:rPr>
  </w:style>
  <w:style w:type="paragraph" w:styleId="951" w:customStyle="1">
    <w:name w:val="目录 91"/>
    <w:basedOn w:val="696"/>
    <w:next w:val="696"/>
    <w:uiPriority w:val="39"/>
    <w:unhideWhenUsed/>
    <w:qFormat/>
    <w:pPr>
      <w:ind w:left="2268"/>
      <w:spacing w:after="57"/>
    </w:pPr>
    <w:rPr>
      <w:rFonts w:ascii="Calibri" w:hAnsi="Calibri"/>
      <w:szCs w:val="24"/>
    </w:rPr>
  </w:style>
  <w:style w:type="table" w:styleId="952" w:customStyle="1">
    <w:name w:val="网格型1"/>
    <w:uiPriority w:val="59"/>
    <w:qFormat/>
    <w:rPr>
      <w:rFonts w:ascii="Times New Roman" w:hAnsi="Times New Roman"/>
      <w:lang w:val="en-US" w:eastAsia="zh-CN" w:bidi="ar-SA"/>
    </w:rPr>
    <w:tblPr/>
  </w:style>
  <w:style w:type="character" w:styleId="953" w:customStyle="1">
    <w:name w:val="尾注引用1"/>
    <w:link w:val="696"/>
    <w:uiPriority w:val="99"/>
    <w:semiHidden/>
    <w:unhideWhenUsed/>
    <w:qFormat/>
    <w:rPr>
      <w:vertAlign w:val="superscript"/>
    </w:rPr>
  </w:style>
  <w:style w:type="character" w:styleId="954" w:customStyle="1">
    <w:name w:val="超链接1"/>
    <w:link w:val="696"/>
    <w:uiPriority w:val="99"/>
    <w:unhideWhenUsed/>
    <w:qFormat/>
    <w:rPr>
      <w:color w:val="0000ff"/>
      <w:u w:val="single"/>
    </w:rPr>
  </w:style>
  <w:style w:type="character" w:styleId="955" w:customStyle="1">
    <w:name w:val="批注引用1"/>
    <w:basedOn w:val="936"/>
    <w:link w:val="696"/>
    <w:uiPriority w:val="99"/>
    <w:semiHidden/>
    <w:unhideWhenUsed/>
    <w:qFormat/>
    <w:rPr>
      <w:sz w:val="21"/>
      <w:szCs w:val="21"/>
    </w:rPr>
  </w:style>
  <w:style w:type="character" w:styleId="956" w:customStyle="1">
    <w:name w:val="脚注引用1"/>
    <w:link w:val="696"/>
    <w:uiPriority w:val="99"/>
    <w:unhideWhenUsed/>
    <w:qFormat/>
    <w:rPr>
      <w:vertAlign w:val="superscript"/>
    </w:rPr>
  </w:style>
  <w:style w:type="paragraph" w:styleId="957" w:customStyle="1">
    <w:name w:val="正文1"/>
    <w:basedOn w:val="696"/>
    <w:uiPriority w:val="0"/>
    <w:qFormat/>
    <w:pPr>
      <w:ind w:left="350"/>
    </w:pPr>
    <w:rPr>
      <w:rFonts w:ascii="Calibri" w:hAnsi="Calibri"/>
      <w:sz w:val="20"/>
      <w:szCs w:val="24"/>
    </w:rPr>
  </w:style>
  <w:style w:type="paragraph" w:styleId="958" w:customStyle="1">
    <w:name w:val="正文文本首行缩进 21"/>
    <w:basedOn w:val="959"/>
    <w:uiPriority w:val="99"/>
    <w:unhideWhenUsed/>
    <w:qFormat/>
    <w:pPr>
      <w:ind w:left="200" w:firstLine="420"/>
      <w:spacing w:after="120"/>
    </w:pPr>
  </w:style>
  <w:style w:type="paragraph" w:styleId="959" w:customStyle="1">
    <w:name w:val="正文文本缩进1"/>
    <w:basedOn w:val="696"/>
    <w:next w:val="696"/>
    <w:uiPriority w:val="99"/>
    <w:qFormat/>
    <w:pPr>
      <w:ind w:left="420" w:firstLine="1188"/>
      <w:spacing w:line="360" w:lineRule="exact"/>
    </w:pPr>
    <w:rPr>
      <w:rFonts w:ascii="Calibri" w:hAnsi="Calibri"/>
      <w:szCs w:val="24"/>
    </w:rPr>
  </w:style>
  <w:style w:type="paragraph" w:styleId="960" w:customStyle="1">
    <w:name w:val="无间隔1"/>
    <w:uiPriority w:val="1"/>
    <w:qFormat/>
    <w:rPr>
      <w:rFonts w:hint="default" w:ascii="Times New Roman" w:hAnsi="Times New Roman" w:eastAsia="宋体" w:cs="Times New Roman"/>
      <w:lang w:val="en-US" w:eastAsia="zh-CN" w:bidi="ar-SA"/>
    </w:rPr>
  </w:style>
  <w:style w:type="character" w:styleId="961" w:customStyle="1">
    <w:name w:val="Footer Char"/>
    <w:link w:val="696"/>
    <w:uiPriority w:val="99"/>
    <w:qFormat/>
  </w:style>
  <w:style w:type="table" w:styleId="962" w:customStyle="1">
    <w:name w:val="Table Grid Light"/>
    <w:uiPriority w:val="59"/>
    <w:qFormat/>
    <w:rPr>
      <w:rFonts w:ascii="Times New Roman" w:hAnsi="Times New Roman"/>
      <w:lang w:val="en-US" w:eastAsia="zh-CN" w:bidi="ar-SA"/>
    </w:rPr>
    <w:tblPr/>
  </w:style>
  <w:style w:type="table" w:styleId="963" w:customStyle="1">
    <w:name w:val="无格式表格 11"/>
    <w:uiPriority w:val="59"/>
    <w:qFormat/>
    <w:rPr>
      <w:rFonts w:ascii="Times New Roman" w:hAnsi="Times New Roman"/>
      <w:lang w:val="en-US" w:eastAsia="zh-CN" w:bidi="ar-SA"/>
    </w:rPr>
    <w:tblPr/>
  </w:style>
  <w:style w:type="table" w:styleId="964" w:customStyle="1">
    <w:name w:val="无格式表格 21"/>
    <w:uiPriority w:val="59"/>
    <w:qFormat/>
    <w:rPr>
      <w:rFonts w:ascii="Times New Roman" w:hAnsi="Times New Roman"/>
      <w:lang w:val="en-US" w:eastAsia="zh-CN" w:bidi="ar-SA"/>
    </w:rPr>
    <w:tblPr/>
  </w:style>
  <w:style w:type="table" w:styleId="965" w:customStyle="1">
    <w:name w:val="无格式表格 31"/>
    <w:uiPriority w:val="99"/>
    <w:qFormat/>
    <w:rPr>
      <w:rFonts w:ascii="Times New Roman" w:hAnsi="Times New Roman"/>
      <w:lang w:val="en-US" w:eastAsia="zh-CN" w:bidi="ar-SA"/>
    </w:rPr>
    <w:tblPr/>
  </w:style>
  <w:style w:type="table" w:styleId="966" w:customStyle="1">
    <w:name w:val="无格式表格 41"/>
    <w:uiPriority w:val="99"/>
    <w:qFormat/>
    <w:rPr>
      <w:rFonts w:ascii="Times New Roman" w:hAnsi="Times New Roman"/>
      <w:lang w:val="en-US" w:eastAsia="zh-CN" w:bidi="ar-SA"/>
    </w:rPr>
    <w:tblPr/>
  </w:style>
  <w:style w:type="table" w:styleId="967" w:customStyle="1">
    <w:name w:val="无格式表格 51"/>
    <w:uiPriority w:val="99"/>
    <w:qFormat/>
    <w:rPr>
      <w:rFonts w:ascii="Times New Roman" w:hAnsi="Times New Roman"/>
      <w:lang w:val="en-US" w:eastAsia="zh-CN" w:bidi="ar-SA"/>
    </w:rPr>
    <w:tblPr/>
  </w:style>
  <w:style w:type="table" w:styleId="968" w:customStyle="1">
    <w:name w:val="网格表 1 浅色1"/>
    <w:uiPriority w:val="99"/>
    <w:qFormat/>
    <w:rPr>
      <w:rFonts w:ascii="Times New Roman" w:hAnsi="Times New Roman"/>
      <w:lang w:val="en-US" w:eastAsia="zh-CN" w:bidi="ar-SA"/>
    </w:rPr>
    <w:tblPr/>
  </w:style>
  <w:style w:type="table" w:styleId="969" w:customStyle="1">
    <w:name w:val="Grid Table 1 Light - Accent 1"/>
    <w:uiPriority w:val="99"/>
    <w:qFormat/>
    <w:rPr>
      <w:rFonts w:ascii="Times New Roman" w:hAnsi="Times New Roman"/>
      <w:lang w:val="en-US" w:eastAsia="zh-CN" w:bidi="ar-SA"/>
    </w:rPr>
    <w:tblPr/>
  </w:style>
  <w:style w:type="table" w:styleId="970" w:customStyle="1">
    <w:name w:val="Grid Table 1 Light - Accent 2"/>
    <w:uiPriority w:val="99"/>
    <w:qFormat/>
    <w:rPr>
      <w:rFonts w:ascii="Times New Roman" w:hAnsi="Times New Roman"/>
      <w:lang w:val="en-US" w:eastAsia="zh-CN" w:bidi="ar-SA"/>
    </w:rPr>
    <w:tblPr/>
  </w:style>
  <w:style w:type="table" w:styleId="971" w:customStyle="1">
    <w:name w:val="Grid Table 1 Light - Accent 3"/>
    <w:uiPriority w:val="99"/>
    <w:qFormat/>
    <w:rPr>
      <w:rFonts w:ascii="Times New Roman" w:hAnsi="Times New Roman"/>
      <w:lang w:val="en-US" w:eastAsia="zh-CN" w:bidi="ar-SA"/>
    </w:rPr>
    <w:tblPr/>
  </w:style>
  <w:style w:type="table" w:styleId="972" w:customStyle="1">
    <w:name w:val="Grid Table 1 Light - Accent 4"/>
    <w:uiPriority w:val="99"/>
    <w:qFormat/>
    <w:rPr>
      <w:rFonts w:ascii="Times New Roman" w:hAnsi="Times New Roman"/>
      <w:lang w:val="en-US" w:eastAsia="zh-CN" w:bidi="ar-SA"/>
    </w:rPr>
    <w:tblPr/>
  </w:style>
  <w:style w:type="table" w:styleId="973" w:customStyle="1">
    <w:name w:val="Grid Table 1 Light - Accent 5"/>
    <w:uiPriority w:val="99"/>
    <w:qFormat/>
    <w:rPr>
      <w:rFonts w:ascii="Times New Roman" w:hAnsi="Times New Roman"/>
      <w:lang w:val="en-US" w:eastAsia="zh-CN" w:bidi="ar-SA"/>
    </w:rPr>
    <w:tblPr/>
  </w:style>
  <w:style w:type="table" w:styleId="974" w:customStyle="1">
    <w:name w:val="Grid Table 1 Light - Accent 6"/>
    <w:uiPriority w:val="99"/>
    <w:qFormat/>
    <w:rPr>
      <w:rFonts w:ascii="Times New Roman" w:hAnsi="Times New Roman"/>
      <w:lang w:val="en-US" w:eastAsia="zh-CN" w:bidi="ar-SA"/>
    </w:rPr>
    <w:tblPr/>
  </w:style>
  <w:style w:type="table" w:styleId="975" w:customStyle="1">
    <w:name w:val="网格表 21"/>
    <w:uiPriority w:val="99"/>
    <w:qFormat/>
    <w:rPr>
      <w:rFonts w:ascii="Times New Roman" w:hAnsi="Times New Roman"/>
      <w:lang w:val="en-US" w:eastAsia="zh-CN" w:bidi="ar-SA"/>
    </w:rPr>
    <w:tblPr/>
  </w:style>
  <w:style w:type="table" w:styleId="976" w:customStyle="1">
    <w:name w:val="Grid Table 2 - Accent 1"/>
    <w:uiPriority w:val="99"/>
    <w:qFormat/>
    <w:rPr>
      <w:rFonts w:ascii="Times New Roman" w:hAnsi="Times New Roman"/>
      <w:lang w:val="en-US" w:eastAsia="zh-CN" w:bidi="ar-SA"/>
    </w:rPr>
    <w:tblPr/>
  </w:style>
  <w:style w:type="table" w:styleId="977" w:customStyle="1">
    <w:name w:val="Grid Table 2 - Accent 2"/>
    <w:uiPriority w:val="99"/>
    <w:qFormat/>
    <w:rPr>
      <w:rFonts w:ascii="Times New Roman" w:hAnsi="Times New Roman"/>
      <w:lang w:val="en-US" w:eastAsia="zh-CN" w:bidi="ar-SA"/>
    </w:rPr>
    <w:tblPr/>
  </w:style>
  <w:style w:type="table" w:styleId="978" w:customStyle="1">
    <w:name w:val="Grid Table 2 - Accent 3"/>
    <w:uiPriority w:val="99"/>
    <w:qFormat/>
    <w:rPr>
      <w:rFonts w:ascii="Times New Roman" w:hAnsi="Times New Roman"/>
      <w:lang w:val="en-US" w:eastAsia="zh-CN" w:bidi="ar-SA"/>
    </w:rPr>
    <w:tblPr/>
  </w:style>
  <w:style w:type="table" w:styleId="979" w:customStyle="1">
    <w:name w:val="Grid Table 2 - Accent 4"/>
    <w:uiPriority w:val="99"/>
    <w:qFormat/>
    <w:rPr>
      <w:rFonts w:ascii="Times New Roman" w:hAnsi="Times New Roman"/>
      <w:lang w:val="en-US" w:eastAsia="zh-CN" w:bidi="ar-SA"/>
    </w:rPr>
    <w:tblPr/>
  </w:style>
  <w:style w:type="table" w:styleId="980" w:customStyle="1">
    <w:name w:val="Grid Table 2 - Accent 5"/>
    <w:uiPriority w:val="99"/>
    <w:qFormat/>
    <w:rPr>
      <w:rFonts w:ascii="Times New Roman" w:hAnsi="Times New Roman"/>
      <w:lang w:val="en-US" w:eastAsia="zh-CN" w:bidi="ar-SA"/>
    </w:rPr>
    <w:tblPr/>
  </w:style>
  <w:style w:type="table" w:styleId="981" w:customStyle="1">
    <w:name w:val="Grid Table 2 - Accent 6"/>
    <w:uiPriority w:val="99"/>
    <w:qFormat/>
    <w:rPr>
      <w:rFonts w:ascii="Times New Roman" w:hAnsi="Times New Roman"/>
      <w:lang w:val="en-US" w:eastAsia="zh-CN" w:bidi="ar-SA"/>
    </w:rPr>
    <w:tblPr/>
  </w:style>
  <w:style w:type="table" w:styleId="982" w:customStyle="1">
    <w:name w:val="网格表 31"/>
    <w:uiPriority w:val="99"/>
    <w:qFormat/>
    <w:rPr>
      <w:rFonts w:ascii="Times New Roman" w:hAnsi="Times New Roman"/>
      <w:lang w:val="en-US" w:eastAsia="zh-CN" w:bidi="ar-SA"/>
    </w:rPr>
    <w:tblPr/>
  </w:style>
  <w:style w:type="table" w:styleId="983" w:customStyle="1">
    <w:name w:val="Grid Table 3 - Accent 1"/>
    <w:uiPriority w:val="99"/>
    <w:qFormat/>
    <w:rPr>
      <w:rFonts w:ascii="Times New Roman" w:hAnsi="Times New Roman"/>
      <w:lang w:val="en-US" w:eastAsia="zh-CN" w:bidi="ar-SA"/>
    </w:rPr>
    <w:tblPr/>
  </w:style>
  <w:style w:type="table" w:styleId="984" w:customStyle="1">
    <w:name w:val="Grid Table 3 - Accent 2"/>
    <w:uiPriority w:val="99"/>
    <w:qFormat/>
    <w:rPr>
      <w:rFonts w:ascii="Times New Roman" w:hAnsi="Times New Roman"/>
      <w:lang w:val="en-US" w:eastAsia="zh-CN" w:bidi="ar-SA"/>
    </w:rPr>
    <w:tblPr/>
  </w:style>
  <w:style w:type="table" w:styleId="985" w:customStyle="1">
    <w:name w:val="Grid Table 3 - Accent 3"/>
    <w:uiPriority w:val="99"/>
    <w:qFormat/>
    <w:rPr>
      <w:rFonts w:ascii="Times New Roman" w:hAnsi="Times New Roman"/>
      <w:lang w:val="en-US" w:eastAsia="zh-CN" w:bidi="ar-SA"/>
    </w:rPr>
    <w:tblPr/>
  </w:style>
  <w:style w:type="table" w:styleId="986" w:customStyle="1">
    <w:name w:val="Grid Table 3 - Accent 4"/>
    <w:uiPriority w:val="99"/>
    <w:qFormat/>
    <w:rPr>
      <w:rFonts w:ascii="Times New Roman" w:hAnsi="Times New Roman"/>
      <w:lang w:val="en-US" w:eastAsia="zh-CN" w:bidi="ar-SA"/>
    </w:rPr>
    <w:tblPr/>
  </w:style>
  <w:style w:type="table" w:styleId="987" w:customStyle="1">
    <w:name w:val="Grid Table 3 - Accent 5"/>
    <w:uiPriority w:val="99"/>
    <w:qFormat/>
    <w:rPr>
      <w:rFonts w:ascii="Times New Roman" w:hAnsi="Times New Roman"/>
      <w:lang w:val="en-US" w:eastAsia="zh-CN" w:bidi="ar-SA"/>
    </w:rPr>
    <w:tblPr/>
  </w:style>
  <w:style w:type="table" w:styleId="988" w:customStyle="1">
    <w:name w:val="Grid Table 3 - Accent 6"/>
    <w:uiPriority w:val="99"/>
    <w:qFormat/>
    <w:rPr>
      <w:rFonts w:ascii="Times New Roman" w:hAnsi="Times New Roman"/>
      <w:lang w:val="en-US" w:eastAsia="zh-CN" w:bidi="ar-SA"/>
    </w:rPr>
    <w:tblPr/>
  </w:style>
  <w:style w:type="table" w:styleId="989" w:customStyle="1">
    <w:name w:val="网格表 41"/>
    <w:uiPriority w:val="59"/>
    <w:qFormat/>
    <w:rPr>
      <w:rFonts w:ascii="Times New Roman" w:hAnsi="Times New Roman"/>
      <w:lang w:val="en-US" w:eastAsia="zh-CN" w:bidi="ar-SA"/>
    </w:rPr>
    <w:tblPr/>
  </w:style>
  <w:style w:type="table" w:styleId="990" w:customStyle="1">
    <w:name w:val="Grid Table 4 - Accent 1"/>
    <w:uiPriority w:val="59"/>
    <w:qFormat/>
    <w:rPr>
      <w:rFonts w:ascii="Times New Roman" w:hAnsi="Times New Roman"/>
      <w:lang w:val="en-US" w:eastAsia="zh-CN" w:bidi="ar-SA"/>
    </w:rPr>
    <w:tblPr/>
  </w:style>
  <w:style w:type="table" w:styleId="991" w:customStyle="1">
    <w:name w:val="Grid Table 4 - Accent 2"/>
    <w:uiPriority w:val="59"/>
    <w:qFormat/>
    <w:rPr>
      <w:rFonts w:ascii="Times New Roman" w:hAnsi="Times New Roman"/>
      <w:lang w:val="en-US" w:eastAsia="zh-CN" w:bidi="ar-SA"/>
    </w:rPr>
    <w:tblPr/>
  </w:style>
  <w:style w:type="table" w:styleId="992" w:customStyle="1">
    <w:name w:val="Grid Table 4 - Accent 3"/>
    <w:uiPriority w:val="59"/>
    <w:qFormat/>
    <w:rPr>
      <w:rFonts w:ascii="Times New Roman" w:hAnsi="Times New Roman"/>
      <w:lang w:val="en-US" w:eastAsia="zh-CN" w:bidi="ar-SA"/>
    </w:rPr>
    <w:tblPr/>
  </w:style>
  <w:style w:type="table" w:styleId="993" w:customStyle="1">
    <w:name w:val="Grid Table 4 - Accent 4"/>
    <w:uiPriority w:val="59"/>
    <w:qFormat/>
    <w:rPr>
      <w:rFonts w:ascii="Times New Roman" w:hAnsi="Times New Roman"/>
      <w:lang w:val="en-US" w:eastAsia="zh-CN" w:bidi="ar-SA"/>
    </w:rPr>
    <w:tblPr/>
  </w:style>
  <w:style w:type="table" w:styleId="994" w:customStyle="1">
    <w:name w:val="Grid Table 4 - Accent 5"/>
    <w:uiPriority w:val="59"/>
    <w:qFormat/>
    <w:rPr>
      <w:rFonts w:ascii="Times New Roman" w:hAnsi="Times New Roman"/>
      <w:lang w:val="en-US" w:eastAsia="zh-CN" w:bidi="ar-SA"/>
    </w:rPr>
    <w:tblPr/>
  </w:style>
  <w:style w:type="table" w:styleId="995" w:customStyle="1">
    <w:name w:val="Grid Table 4 - Accent 6"/>
    <w:uiPriority w:val="59"/>
    <w:qFormat/>
    <w:rPr>
      <w:rFonts w:ascii="Times New Roman" w:hAnsi="Times New Roman"/>
      <w:lang w:val="en-US" w:eastAsia="zh-CN" w:bidi="ar-SA"/>
    </w:rPr>
    <w:tblPr/>
  </w:style>
  <w:style w:type="table" w:styleId="996" w:customStyle="1">
    <w:name w:val="网格表 5 深色1"/>
    <w:uiPriority w:val="99"/>
    <w:qFormat/>
    <w:rPr>
      <w:rFonts w:ascii="Times New Roman" w:hAnsi="Times New Roman"/>
      <w:lang w:val="en-US" w:eastAsia="zh-CN" w:bidi="ar-SA"/>
    </w:rPr>
    <w:tblPr/>
  </w:style>
  <w:style w:type="table" w:styleId="997" w:customStyle="1">
    <w:name w:val="Grid Table 5 Dark- Accent 1"/>
    <w:uiPriority w:val="99"/>
    <w:qFormat/>
    <w:rPr>
      <w:rFonts w:ascii="Times New Roman" w:hAnsi="Times New Roman"/>
      <w:lang w:val="en-US" w:eastAsia="zh-CN" w:bidi="ar-SA"/>
    </w:rPr>
    <w:tblPr/>
  </w:style>
  <w:style w:type="table" w:styleId="998" w:customStyle="1">
    <w:name w:val="Grid Table 5 Dark - Accent 2"/>
    <w:uiPriority w:val="99"/>
    <w:qFormat/>
    <w:rPr>
      <w:rFonts w:ascii="Times New Roman" w:hAnsi="Times New Roman"/>
      <w:lang w:val="en-US" w:eastAsia="zh-CN" w:bidi="ar-SA"/>
    </w:rPr>
    <w:tblPr/>
  </w:style>
  <w:style w:type="table" w:styleId="999" w:customStyle="1">
    <w:name w:val="Grid Table 5 Dark - Accent 3"/>
    <w:uiPriority w:val="99"/>
    <w:qFormat/>
    <w:rPr>
      <w:rFonts w:ascii="Times New Roman" w:hAnsi="Times New Roman"/>
      <w:lang w:val="en-US" w:eastAsia="zh-CN" w:bidi="ar-SA"/>
    </w:rPr>
    <w:tblPr/>
  </w:style>
  <w:style w:type="table" w:styleId="1000" w:customStyle="1">
    <w:name w:val="Grid Table 5 Dark- Accent 4"/>
    <w:uiPriority w:val="99"/>
    <w:qFormat/>
    <w:rPr>
      <w:rFonts w:ascii="Times New Roman" w:hAnsi="Times New Roman"/>
      <w:lang w:val="en-US" w:eastAsia="zh-CN" w:bidi="ar-SA"/>
    </w:rPr>
    <w:tblPr/>
  </w:style>
  <w:style w:type="table" w:styleId="1001" w:customStyle="1">
    <w:name w:val="Grid Table 5 Dark - Accent 5"/>
    <w:uiPriority w:val="99"/>
    <w:qFormat/>
    <w:rPr>
      <w:rFonts w:ascii="Times New Roman" w:hAnsi="Times New Roman"/>
      <w:lang w:val="en-US" w:eastAsia="zh-CN" w:bidi="ar-SA"/>
    </w:rPr>
    <w:tblPr/>
  </w:style>
  <w:style w:type="table" w:styleId="1002" w:customStyle="1">
    <w:name w:val="Grid Table 5 Dark - Accent 6"/>
    <w:uiPriority w:val="99"/>
    <w:qFormat/>
    <w:rPr>
      <w:rFonts w:ascii="Times New Roman" w:hAnsi="Times New Roman"/>
      <w:lang w:val="en-US" w:eastAsia="zh-CN" w:bidi="ar-SA"/>
    </w:rPr>
    <w:tblPr/>
  </w:style>
  <w:style w:type="table" w:styleId="1003" w:customStyle="1">
    <w:name w:val="网格表 6 彩色1"/>
    <w:uiPriority w:val="99"/>
    <w:qFormat/>
    <w:rPr>
      <w:rFonts w:ascii="Times New Roman" w:hAnsi="Times New Roman"/>
      <w:lang w:val="en-US" w:eastAsia="zh-CN" w:bidi="ar-SA"/>
    </w:rPr>
    <w:tblPr/>
  </w:style>
  <w:style w:type="table" w:styleId="1004" w:customStyle="1">
    <w:name w:val="Grid Table 6 Colorful - Accent 1"/>
    <w:uiPriority w:val="99"/>
    <w:qFormat/>
    <w:rPr>
      <w:rFonts w:ascii="Times New Roman" w:hAnsi="Times New Roman"/>
      <w:lang w:val="en-US" w:eastAsia="zh-CN" w:bidi="ar-SA"/>
    </w:rPr>
    <w:tblPr/>
  </w:style>
  <w:style w:type="table" w:styleId="1005" w:customStyle="1">
    <w:name w:val="Grid Table 6 Colorful - Accent 2"/>
    <w:uiPriority w:val="99"/>
    <w:qFormat/>
    <w:rPr>
      <w:rFonts w:ascii="Times New Roman" w:hAnsi="Times New Roman"/>
      <w:lang w:val="en-US" w:eastAsia="zh-CN" w:bidi="ar-SA"/>
    </w:rPr>
    <w:tblPr/>
  </w:style>
  <w:style w:type="table" w:styleId="1006" w:customStyle="1">
    <w:name w:val="Grid Table 6 Colorful - Accent 3"/>
    <w:uiPriority w:val="99"/>
    <w:qFormat/>
    <w:rPr>
      <w:rFonts w:ascii="Times New Roman" w:hAnsi="Times New Roman"/>
      <w:lang w:val="en-US" w:eastAsia="zh-CN" w:bidi="ar-SA"/>
    </w:rPr>
    <w:tblPr/>
  </w:style>
  <w:style w:type="table" w:styleId="1007" w:customStyle="1">
    <w:name w:val="Grid Table 6 Colorful - Accent 4"/>
    <w:uiPriority w:val="99"/>
    <w:qFormat/>
    <w:rPr>
      <w:rFonts w:ascii="Times New Roman" w:hAnsi="Times New Roman"/>
      <w:lang w:val="en-US" w:eastAsia="zh-CN" w:bidi="ar-SA"/>
    </w:rPr>
    <w:tblPr/>
  </w:style>
  <w:style w:type="table" w:styleId="1008" w:customStyle="1">
    <w:name w:val="Grid Table 6 Colorful - Accent 5"/>
    <w:uiPriority w:val="99"/>
    <w:qFormat/>
    <w:rPr>
      <w:rFonts w:ascii="Times New Roman" w:hAnsi="Times New Roman"/>
      <w:lang w:val="en-US" w:eastAsia="zh-CN" w:bidi="ar-SA"/>
    </w:rPr>
    <w:tblPr/>
  </w:style>
  <w:style w:type="table" w:styleId="1009" w:customStyle="1">
    <w:name w:val="Grid Table 6 Colorful - Accent 6"/>
    <w:uiPriority w:val="99"/>
    <w:qFormat/>
    <w:rPr>
      <w:rFonts w:ascii="Times New Roman" w:hAnsi="Times New Roman"/>
      <w:lang w:val="en-US" w:eastAsia="zh-CN" w:bidi="ar-SA"/>
    </w:rPr>
    <w:tblPr/>
  </w:style>
  <w:style w:type="table" w:styleId="1010" w:customStyle="1">
    <w:name w:val="网格表 7 彩色1"/>
    <w:uiPriority w:val="99"/>
    <w:qFormat/>
    <w:rPr>
      <w:rFonts w:ascii="Times New Roman" w:hAnsi="Times New Roman"/>
      <w:lang w:val="en-US" w:eastAsia="zh-CN" w:bidi="ar-SA"/>
    </w:rPr>
    <w:tblPr/>
  </w:style>
  <w:style w:type="table" w:styleId="1011" w:customStyle="1">
    <w:name w:val="Grid Table 7 Colorful - Accent 1"/>
    <w:uiPriority w:val="99"/>
    <w:qFormat/>
    <w:rPr>
      <w:rFonts w:ascii="Times New Roman" w:hAnsi="Times New Roman"/>
      <w:lang w:val="en-US" w:eastAsia="zh-CN" w:bidi="ar-SA"/>
    </w:rPr>
    <w:tblPr/>
  </w:style>
  <w:style w:type="table" w:styleId="1012" w:customStyle="1">
    <w:name w:val="Grid Table 7 Colorful - Accent 2"/>
    <w:uiPriority w:val="99"/>
    <w:qFormat/>
    <w:rPr>
      <w:rFonts w:ascii="Times New Roman" w:hAnsi="Times New Roman"/>
      <w:lang w:val="en-US" w:eastAsia="zh-CN" w:bidi="ar-SA"/>
    </w:rPr>
    <w:tblPr/>
  </w:style>
  <w:style w:type="table" w:styleId="1013" w:customStyle="1">
    <w:name w:val="Grid Table 7 Colorful - Accent 3"/>
    <w:uiPriority w:val="99"/>
    <w:qFormat/>
    <w:rPr>
      <w:rFonts w:ascii="Times New Roman" w:hAnsi="Times New Roman"/>
      <w:lang w:val="en-US" w:eastAsia="zh-CN" w:bidi="ar-SA"/>
    </w:rPr>
    <w:tblPr/>
  </w:style>
  <w:style w:type="table" w:styleId="1014" w:customStyle="1">
    <w:name w:val="Grid Table 7 Colorful - Accent 4"/>
    <w:uiPriority w:val="99"/>
    <w:qFormat/>
    <w:rPr>
      <w:rFonts w:ascii="Times New Roman" w:hAnsi="Times New Roman"/>
      <w:lang w:val="en-US" w:eastAsia="zh-CN" w:bidi="ar-SA"/>
    </w:rPr>
    <w:tblPr/>
  </w:style>
  <w:style w:type="table" w:styleId="1015" w:customStyle="1">
    <w:name w:val="Grid Table 7 Colorful - Accent 5"/>
    <w:uiPriority w:val="99"/>
    <w:qFormat/>
    <w:rPr>
      <w:rFonts w:ascii="Times New Roman" w:hAnsi="Times New Roman"/>
      <w:lang w:val="en-US" w:eastAsia="zh-CN" w:bidi="ar-SA"/>
    </w:rPr>
    <w:tblPr/>
  </w:style>
  <w:style w:type="table" w:styleId="1016" w:customStyle="1">
    <w:name w:val="Grid Table 7 Colorful - Accent 6"/>
    <w:uiPriority w:val="99"/>
    <w:qFormat/>
    <w:rPr>
      <w:rFonts w:ascii="Times New Roman" w:hAnsi="Times New Roman"/>
      <w:lang w:val="en-US" w:eastAsia="zh-CN" w:bidi="ar-SA"/>
    </w:rPr>
    <w:tblPr/>
  </w:style>
  <w:style w:type="table" w:styleId="1017" w:customStyle="1">
    <w:name w:val="清单表 1 浅色1"/>
    <w:uiPriority w:val="99"/>
    <w:qFormat/>
    <w:rPr>
      <w:rFonts w:ascii="Times New Roman" w:hAnsi="Times New Roman"/>
      <w:lang w:val="en-US" w:eastAsia="zh-CN" w:bidi="ar-SA"/>
    </w:rPr>
    <w:tblPr/>
  </w:style>
  <w:style w:type="table" w:styleId="1018" w:customStyle="1">
    <w:name w:val="List Table 1 Light - Accent 1"/>
    <w:uiPriority w:val="99"/>
    <w:qFormat/>
    <w:rPr>
      <w:rFonts w:ascii="Times New Roman" w:hAnsi="Times New Roman"/>
      <w:lang w:val="en-US" w:eastAsia="zh-CN" w:bidi="ar-SA"/>
    </w:rPr>
    <w:tblPr/>
  </w:style>
  <w:style w:type="table" w:styleId="1019" w:customStyle="1">
    <w:name w:val="List Table 1 Light - Accent 2"/>
    <w:uiPriority w:val="99"/>
    <w:qFormat/>
    <w:rPr>
      <w:rFonts w:ascii="Times New Roman" w:hAnsi="Times New Roman"/>
      <w:lang w:val="en-US" w:eastAsia="zh-CN" w:bidi="ar-SA"/>
    </w:rPr>
    <w:tblPr/>
  </w:style>
  <w:style w:type="table" w:styleId="1020" w:customStyle="1">
    <w:name w:val="List Table 1 Light - Accent 3"/>
    <w:uiPriority w:val="99"/>
    <w:qFormat/>
    <w:rPr>
      <w:rFonts w:ascii="Times New Roman" w:hAnsi="Times New Roman"/>
      <w:lang w:val="en-US" w:eastAsia="zh-CN" w:bidi="ar-SA"/>
    </w:rPr>
    <w:tblPr/>
  </w:style>
  <w:style w:type="table" w:styleId="1021" w:customStyle="1">
    <w:name w:val="List Table 1 Light - Accent 4"/>
    <w:uiPriority w:val="99"/>
    <w:qFormat/>
    <w:rPr>
      <w:rFonts w:ascii="Times New Roman" w:hAnsi="Times New Roman"/>
      <w:lang w:val="en-US" w:eastAsia="zh-CN" w:bidi="ar-SA"/>
    </w:rPr>
    <w:tblPr/>
  </w:style>
  <w:style w:type="table" w:styleId="1022" w:customStyle="1">
    <w:name w:val="List Table 1 Light - Accent 5"/>
    <w:uiPriority w:val="99"/>
    <w:qFormat/>
    <w:rPr>
      <w:rFonts w:ascii="Times New Roman" w:hAnsi="Times New Roman"/>
      <w:lang w:val="en-US" w:eastAsia="zh-CN" w:bidi="ar-SA"/>
    </w:rPr>
    <w:tblPr/>
  </w:style>
  <w:style w:type="table" w:styleId="1023" w:customStyle="1">
    <w:name w:val="List Table 1 Light - Accent 6"/>
    <w:uiPriority w:val="99"/>
    <w:qFormat/>
    <w:rPr>
      <w:rFonts w:ascii="Times New Roman" w:hAnsi="Times New Roman"/>
      <w:lang w:val="en-US" w:eastAsia="zh-CN" w:bidi="ar-SA"/>
    </w:rPr>
    <w:tblPr/>
  </w:style>
  <w:style w:type="table" w:styleId="1024" w:customStyle="1">
    <w:name w:val="清单表 21"/>
    <w:uiPriority w:val="99"/>
    <w:qFormat/>
    <w:rPr>
      <w:rFonts w:ascii="Times New Roman" w:hAnsi="Times New Roman"/>
      <w:lang w:val="en-US" w:eastAsia="zh-CN" w:bidi="ar-SA"/>
    </w:rPr>
    <w:tblPr/>
  </w:style>
  <w:style w:type="table" w:styleId="1025" w:customStyle="1">
    <w:name w:val="List Table 2 - Accent 1"/>
    <w:uiPriority w:val="99"/>
    <w:qFormat/>
    <w:rPr>
      <w:rFonts w:ascii="Times New Roman" w:hAnsi="Times New Roman"/>
      <w:lang w:val="en-US" w:eastAsia="zh-CN" w:bidi="ar-SA"/>
    </w:rPr>
    <w:tblPr/>
  </w:style>
  <w:style w:type="table" w:styleId="1026" w:customStyle="1">
    <w:name w:val="List Table 2 - Accent 2"/>
    <w:uiPriority w:val="99"/>
    <w:qFormat/>
    <w:rPr>
      <w:rFonts w:ascii="Times New Roman" w:hAnsi="Times New Roman"/>
      <w:lang w:val="en-US" w:eastAsia="zh-CN" w:bidi="ar-SA"/>
    </w:rPr>
    <w:tblPr/>
  </w:style>
  <w:style w:type="table" w:styleId="1027" w:customStyle="1">
    <w:name w:val="List Table 2 - Accent 3"/>
    <w:uiPriority w:val="99"/>
    <w:qFormat/>
    <w:rPr>
      <w:rFonts w:ascii="Times New Roman" w:hAnsi="Times New Roman"/>
      <w:lang w:val="en-US" w:eastAsia="zh-CN" w:bidi="ar-SA"/>
    </w:rPr>
    <w:tblPr/>
  </w:style>
  <w:style w:type="table" w:styleId="1028" w:customStyle="1">
    <w:name w:val="List Table 2 - Accent 4"/>
    <w:uiPriority w:val="99"/>
    <w:qFormat/>
    <w:rPr>
      <w:rFonts w:ascii="Times New Roman" w:hAnsi="Times New Roman"/>
      <w:lang w:val="en-US" w:eastAsia="zh-CN" w:bidi="ar-SA"/>
    </w:rPr>
    <w:tblPr/>
  </w:style>
  <w:style w:type="table" w:styleId="1029" w:customStyle="1">
    <w:name w:val="List Table 2 - Accent 5"/>
    <w:uiPriority w:val="99"/>
    <w:qFormat/>
    <w:rPr>
      <w:rFonts w:ascii="Times New Roman" w:hAnsi="Times New Roman"/>
      <w:lang w:val="en-US" w:eastAsia="zh-CN" w:bidi="ar-SA"/>
    </w:rPr>
    <w:tblPr/>
  </w:style>
  <w:style w:type="table" w:styleId="1030" w:customStyle="1">
    <w:name w:val="List Table 2 - Accent 6"/>
    <w:uiPriority w:val="99"/>
    <w:qFormat/>
    <w:rPr>
      <w:rFonts w:ascii="Times New Roman" w:hAnsi="Times New Roman"/>
      <w:lang w:val="en-US" w:eastAsia="zh-CN" w:bidi="ar-SA"/>
    </w:rPr>
    <w:tblPr/>
  </w:style>
  <w:style w:type="table" w:styleId="1031" w:customStyle="1">
    <w:name w:val="清单表 31"/>
    <w:uiPriority w:val="99"/>
    <w:qFormat/>
    <w:rPr>
      <w:rFonts w:ascii="Times New Roman" w:hAnsi="Times New Roman"/>
      <w:lang w:val="en-US" w:eastAsia="zh-CN" w:bidi="ar-SA"/>
    </w:rPr>
    <w:tblPr/>
  </w:style>
  <w:style w:type="table" w:styleId="1032" w:customStyle="1">
    <w:name w:val="List Table 3 - Accent 1"/>
    <w:uiPriority w:val="99"/>
    <w:qFormat/>
    <w:rPr>
      <w:rFonts w:ascii="Times New Roman" w:hAnsi="Times New Roman"/>
      <w:lang w:val="en-US" w:eastAsia="zh-CN" w:bidi="ar-SA"/>
    </w:rPr>
    <w:tblPr/>
  </w:style>
  <w:style w:type="table" w:styleId="1033" w:customStyle="1">
    <w:name w:val="List Table 3 - Accent 2"/>
    <w:uiPriority w:val="99"/>
    <w:qFormat/>
    <w:rPr>
      <w:rFonts w:ascii="Times New Roman" w:hAnsi="Times New Roman"/>
      <w:lang w:val="en-US" w:eastAsia="zh-CN" w:bidi="ar-SA"/>
    </w:rPr>
    <w:tblPr/>
  </w:style>
  <w:style w:type="table" w:styleId="1034" w:customStyle="1">
    <w:name w:val="List Table 3 - Accent 3"/>
    <w:uiPriority w:val="99"/>
    <w:qFormat/>
    <w:rPr>
      <w:rFonts w:ascii="Times New Roman" w:hAnsi="Times New Roman"/>
      <w:lang w:val="en-US" w:eastAsia="zh-CN" w:bidi="ar-SA"/>
    </w:rPr>
    <w:tblPr/>
  </w:style>
  <w:style w:type="table" w:styleId="1035" w:customStyle="1">
    <w:name w:val="List Table 3 - Accent 4"/>
    <w:uiPriority w:val="99"/>
    <w:qFormat/>
    <w:rPr>
      <w:rFonts w:ascii="Times New Roman" w:hAnsi="Times New Roman"/>
      <w:lang w:val="en-US" w:eastAsia="zh-CN" w:bidi="ar-SA"/>
    </w:rPr>
    <w:tblPr/>
  </w:style>
  <w:style w:type="table" w:styleId="1036" w:customStyle="1">
    <w:name w:val="List Table 3 - Accent 5"/>
    <w:uiPriority w:val="99"/>
    <w:qFormat/>
    <w:rPr>
      <w:rFonts w:ascii="Times New Roman" w:hAnsi="Times New Roman"/>
      <w:lang w:val="en-US" w:eastAsia="zh-CN" w:bidi="ar-SA"/>
    </w:rPr>
    <w:tblPr/>
  </w:style>
  <w:style w:type="table" w:styleId="1037" w:customStyle="1">
    <w:name w:val="List Table 3 - Accent 6"/>
    <w:uiPriority w:val="99"/>
    <w:qFormat/>
    <w:rPr>
      <w:rFonts w:ascii="Times New Roman" w:hAnsi="Times New Roman"/>
      <w:lang w:val="en-US" w:eastAsia="zh-CN" w:bidi="ar-SA"/>
    </w:rPr>
    <w:tblPr/>
  </w:style>
  <w:style w:type="table" w:styleId="1038" w:customStyle="1">
    <w:name w:val="清单表 41"/>
    <w:uiPriority w:val="99"/>
    <w:qFormat/>
    <w:rPr>
      <w:rFonts w:ascii="Times New Roman" w:hAnsi="Times New Roman"/>
      <w:lang w:val="en-US" w:eastAsia="zh-CN" w:bidi="ar-SA"/>
    </w:rPr>
    <w:tblPr/>
  </w:style>
  <w:style w:type="table" w:styleId="1039" w:customStyle="1">
    <w:name w:val="List Table 4 - Accent 1"/>
    <w:uiPriority w:val="99"/>
    <w:qFormat/>
    <w:rPr>
      <w:rFonts w:ascii="Times New Roman" w:hAnsi="Times New Roman"/>
      <w:lang w:val="en-US" w:eastAsia="zh-CN" w:bidi="ar-SA"/>
    </w:rPr>
    <w:tblPr/>
  </w:style>
  <w:style w:type="table" w:styleId="1040" w:customStyle="1">
    <w:name w:val="List Table 4 - Accent 2"/>
    <w:uiPriority w:val="99"/>
    <w:qFormat/>
    <w:rPr>
      <w:rFonts w:ascii="Times New Roman" w:hAnsi="Times New Roman"/>
      <w:lang w:val="en-US" w:eastAsia="zh-CN" w:bidi="ar-SA"/>
    </w:rPr>
    <w:tblPr/>
  </w:style>
  <w:style w:type="table" w:styleId="1041" w:customStyle="1">
    <w:name w:val="List Table 4 - Accent 3"/>
    <w:uiPriority w:val="99"/>
    <w:qFormat/>
    <w:rPr>
      <w:rFonts w:ascii="Times New Roman" w:hAnsi="Times New Roman"/>
      <w:lang w:val="en-US" w:eastAsia="zh-CN" w:bidi="ar-SA"/>
    </w:rPr>
    <w:tblPr/>
  </w:style>
  <w:style w:type="table" w:styleId="1042" w:customStyle="1">
    <w:name w:val="List Table 4 - Accent 4"/>
    <w:uiPriority w:val="99"/>
    <w:qFormat/>
    <w:rPr>
      <w:rFonts w:ascii="Times New Roman" w:hAnsi="Times New Roman"/>
      <w:lang w:val="en-US" w:eastAsia="zh-CN" w:bidi="ar-SA"/>
    </w:rPr>
    <w:tblPr/>
  </w:style>
  <w:style w:type="table" w:styleId="1043" w:customStyle="1">
    <w:name w:val="List Table 4 - Accent 5"/>
    <w:uiPriority w:val="99"/>
    <w:qFormat/>
    <w:rPr>
      <w:rFonts w:ascii="Times New Roman" w:hAnsi="Times New Roman"/>
      <w:lang w:val="en-US" w:eastAsia="zh-CN" w:bidi="ar-SA"/>
    </w:rPr>
    <w:tblPr/>
  </w:style>
  <w:style w:type="table" w:styleId="1044" w:customStyle="1">
    <w:name w:val="List Table 4 - Accent 6"/>
    <w:uiPriority w:val="99"/>
    <w:qFormat/>
    <w:rPr>
      <w:rFonts w:ascii="Times New Roman" w:hAnsi="Times New Roman"/>
      <w:lang w:val="en-US" w:eastAsia="zh-CN" w:bidi="ar-SA"/>
    </w:rPr>
    <w:tblPr/>
  </w:style>
  <w:style w:type="table" w:styleId="1045" w:customStyle="1">
    <w:name w:val="清单表 5 深色1"/>
    <w:uiPriority w:val="99"/>
    <w:qFormat/>
    <w:rPr>
      <w:rFonts w:ascii="Times New Roman" w:hAnsi="Times New Roman"/>
      <w:lang w:val="en-US" w:eastAsia="zh-CN" w:bidi="ar-SA"/>
    </w:rPr>
    <w:tblPr/>
  </w:style>
  <w:style w:type="table" w:styleId="1046" w:customStyle="1">
    <w:name w:val="List Table 5 Dark - Accent 1"/>
    <w:uiPriority w:val="99"/>
    <w:qFormat/>
    <w:rPr>
      <w:rFonts w:ascii="Times New Roman" w:hAnsi="Times New Roman"/>
      <w:lang w:val="en-US" w:eastAsia="zh-CN" w:bidi="ar-SA"/>
    </w:rPr>
    <w:tblPr/>
  </w:style>
  <w:style w:type="table" w:styleId="1047" w:customStyle="1">
    <w:name w:val="List Table 5 Dark - Accent 2"/>
    <w:uiPriority w:val="99"/>
    <w:qFormat/>
    <w:rPr>
      <w:rFonts w:ascii="Times New Roman" w:hAnsi="Times New Roman"/>
      <w:lang w:val="en-US" w:eastAsia="zh-CN" w:bidi="ar-SA"/>
    </w:rPr>
    <w:tblPr/>
  </w:style>
  <w:style w:type="table" w:styleId="1048" w:customStyle="1">
    <w:name w:val="List Table 5 Dark - Accent 3"/>
    <w:uiPriority w:val="99"/>
    <w:qFormat/>
    <w:rPr>
      <w:rFonts w:ascii="Times New Roman" w:hAnsi="Times New Roman"/>
      <w:lang w:val="en-US" w:eastAsia="zh-CN" w:bidi="ar-SA"/>
    </w:rPr>
    <w:tblPr/>
  </w:style>
  <w:style w:type="table" w:styleId="1049" w:customStyle="1">
    <w:name w:val="List Table 5 Dark - Accent 4"/>
    <w:uiPriority w:val="99"/>
    <w:qFormat/>
    <w:rPr>
      <w:rFonts w:ascii="Times New Roman" w:hAnsi="Times New Roman"/>
      <w:lang w:val="en-US" w:eastAsia="zh-CN" w:bidi="ar-SA"/>
    </w:rPr>
    <w:tblPr/>
  </w:style>
  <w:style w:type="table" w:styleId="1050" w:customStyle="1">
    <w:name w:val="List Table 5 Dark - Accent 5"/>
    <w:uiPriority w:val="99"/>
    <w:qFormat/>
    <w:rPr>
      <w:rFonts w:ascii="Times New Roman" w:hAnsi="Times New Roman"/>
      <w:lang w:val="en-US" w:eastAsia="zh-CN" w:bidi="ar-SA"/>
    </w:rPr>
    <w:tblPr/>
  </w:style>
  <w:style w:type="table" w:styleId="1051" w:customStyle="1">
    <w:name w:val="List Table 5 Dark - Accent 6"/>
    <w:uiPriority w:val="99"/>
    <w:qFormat/>
    <w:rPr>
      <w:rFonts w:ascii="Times New Roman" w:hAnsi="Times New Roman"/>
      <w:lang w:val="en-US" w:eastAsia="zh-CN" w:bidi="ar-SA"/>
    </w:rPr>
    <w:tblPr/>
  </w:style>
  <w:style w:type="table" w:styleId="1052" w:customStyle="1">
    <w:name w:val="清单表 6 彩色1"/>
    <w:uiPriority w:val="99"/>
    <w:qFormat/>
    <w:rPr>
      <w:rFonts w:ascii="Times New Roman" w:hAnsi="Times New Roman"/>
      <w:lang w:val="en-US" w:eastAsia="zh-CN" w:bidi="ar-SA"/>
    </w:rPr>
    <w:tblPr/>
  </w:style>
  <w:style w:type="table" w:styleId="1053" w:customStyle="1">
    <w:name w:val="List Table 6 Colorful - Accent 1"/>
    <w:uiPriority w:val="99"/>
    <w:qFormat/>
    <w:rPr>
      <w:rFonts w:ascii="Times New Roman" w:hAnsi="Times New Roman"/>
      <w:lang w:val="en-US" w:eastAsia="zh-CN" w:bidi="ar-SA"/>
    </w:rPr>
    <w:tblPr/>
  </w:style>
  <w:style w:type="table" w:styleId="1054" w:customStyle="1">
    <w:name w:val="List Table 6 Colorful - Accent 2"/>
    <w:uiPriority w:val="99"/>
    <w:qFormat/>
    <w:rPr>
      <w:rFonts w:ascii="Times New Roman" w:hAnsi="Times New Roman"/>
      <w:lang w:val="en-US" w:eastAsia="zh-CN" w:bidi="ar-SA"/>
    </w:rPr>
    <w:tblPr/>
  </w:style>
  <w:style w:type="table" w:styleId="1055" w:customStyle="1">
    <w:name w:val="List Table 6 Colorful - Accent 3"/>
    <w:uiPriority w:val="99"/>
    <w:qFormat/>
    <w:rPr>
      <w:rFonts w:ascii="Times New Roman" w:hAnsi="Times New Roman"/>
      <w:lang w:val="en-US" w:eastAsia="zh-CN" w:bidi="ar-SA"/>
    </w:rPr>
    <w:tblPr/>
  </w:style>
  <w:style w:type="table" w:styleId="1056" w:customStyle="1">
    <w:name w:val="List Table 6 Colorful - Accent 4"/>
    <w:uiPriority w:val="99"/>
    <w:qFormat/>
    <w:rPr>
      <w:rFonts w:ascii="Times New Roman" w:hAnsi="Times New Roman"/>
      <w:lang w:val="en-US" w:eastAsia="zh-CN" w:bidi="ar-SA"/>
    </w:rPr>
    <w:tblPr/>
  </w:style>
  <w:style w:type="table" w:styleId="1057" w:customStyle="1">
    <w:name w:val="List Table 6 Colorful - Accent 5"/>
    <w:uiPriority w:val="99"/>
    <w:qFormat/>
    <w:rPr>
      <w:rFonts w:ascii="Times New Roman" w:hAnsi="Times New Roman"/>
      <w:lang w:val="en-US" w:eastAsia="zh-CN" w:bidi="ar-SA"/>
    </w:rPr>
    <w:tblPr/>
  </w:style>
  <w:style w:type="table" w:styleId="1058" w:customStyle="1">
    <w:name w:val="List Table 6 Colorful - Accent 6"/>
    <w:uiPriority w:val="99"/>
    <w:qFormat/>
    <w:rPr>
      <w:rFonts w:ascii="Times New Roman" w:hAnsi="Times New Roman"/>
      <w:lang w:val="en-US" w:eastAsia="zh-CN" w:bidi="ar-SA"/>
    </w:rPr>
    <w:tblPr/>
  </w:style>
  <w:style w:type="table" w:styleId="1059" w:customStyle="1">
    <w:name w:val="清单表 7 彩色1"/>
    <w:uiPriority w:val="99"/>
    <w:qFormat/>
    <w:rPr>
      <w:rFonts w:ascii="Times New Roman" w:hAnsi="Times New Roman"/>
      <w:lang w:val="en-US" w:eastAsia="zh-CN" w:bidi="ar-SA"/>
    </w:rPr>
    <w:tblPr/>
  </w:style>
  <w:style w:type="table" w:styleId="1060" w:customStyle="1">
    <w:name w:val="List Table 7 Colorful - Accent 1"/>
    <w:uiPriority w:val="99"/>
    <w:qFormat/>
    <w:rPr>
      <w:rFonts w:ascii="Times New Roman" w:hAnsi="Times New Roman"/>
      <w:lang w:val="en-US" w:eastAsia="zh-CN" w:bidi="ar-SA"/>
    </w:rPr>
    <w:tblPr/>
  </w:style>
  <w:style w:type="table" w:styleId="1061" w:customStyle="1">
    <w:name w:val="List Table 7 Colorful - Accent 2"/>
    <w:uiPriority w:val="99"/>
    <w:qFormat/>
    <w:rPr>
      <w:rFonts w:ascii="Times New Roman" w:hAnsi="Times New Roman"/>
      <w:lang w:val="en-US" w:eastAsia="zh-CN" w:bidi="ar-SA"/>
    </w:rPr>
    <w:tblPr/>
  </w:style>
  <w:style w:type="table" w:styleId="1062" w:customStyle="1">
    <w:name w:val="List Table 7 Colorful - Accent 3"/>
    <w:uiPriority w:val="99"/>
    <w:qFormat/>
    <w:rPr>
      <w:rFonts w:ascii="Times New Roman" w:hAnsi="Times New Roman"/>
      <w:lang w:val="en-US" w:eastAsia="zh-CN" w:bidi="ar-SA"/>
    </w:rPr>
    <w:tblPr/>
  </w:style>
  <w:style w:type="table" w:styleId="1063" w:customStyle="1">
    <w:name w:val="List Table 7 Colorful - Accent 4"/>
    <w:uiPriority w:val="99"/>
    <w:qFormat/>
    <w:rPr>
      <w:rFonts w:ascii="Times New Roman" w:hAnsi="Times New Roman"/>
      <w:lang w:val="en-US" w:eastAsia="zh-CN" w:bidi="ar-SA"/>
    </w:rPr>
    <w:tblPr/>
  </w:style>
  <w:style w:type="table" w:styleId="1064" w:customStyle="1">
    <w:name w:val="List Table 7 Colorful - Accent 5"/>
    <w:uiPriority w:val="99"/>
    <w:qFormat/>
    <w:rPr>
      <w:rFonts w:ascii="Times New Roman" w:hAnsi="Times New Roman"/>
      <w:lang w:val="en-US" w:eastAsia="zh-CN" w:bidi="ar-SA"/>
    </w:rPr>
    <w:tblPr/>
  </w:style>
  <w:style w:type="table" w:styleId="1065" w:customStyle="1">
    <w:name w:val="List Table 7 Colorful - Accent 6"/>
    <w:uiPriority w:val="99"/>
    <w:qFormat/>
    <w:rPr>
      <w:rFonts w:ascii="Times New Roman" w:hAnsi="Times New Roman"/>
      <w:lang w:val="en-US" w:eastAsia="zh-CN" w:bidi="ar-SA"/>
    </w:rPr>
    <w:tblPr/>
  </w:style>
  <w:style w:type="table" w:styleId="1066" w:customStyle="1">
    <w:name w:val="Lined - Accent"/>
    <w:uiPriority w:val="99"/>
    <w:qFormat/>
    <w:rPr>
      <w:rFonts w:ascii="Times New Roman" w:hAnsi="Times New Roman"/>
      <w:color w:val="404040"/>
      <w:lang w:val="en-US" w:eastAsia="zh-CN" w:bidi="ar-SA"/>
    </w:rPr>
    <w:tblPr/>
  </w:style>
  <w:style w:type="table" w:styleId="1067" w:customStyle="1">
    <w:name w:val="Lined - Accent 1"/>
    <w:uiPriority w:val="99"/>
    <w:qFormat/>
    <w:rPr>
      <w:rFonts w:ascii="Times New Roman" w:hAnsi="Times New Roman"/>
      <w:color w:val="404040"/>
      <w:lang w:val="en-US" w:eastAsia="zh-CN" w:bidi="ar-SA"/>
    </w:rPr>
    <w:tblPr/>
  </w:style>
  <w:style w:type="table" w:styleId="1068" w:customStyle="1">
    <w:name w:val="Lined - Accent 2"/>
    <w:uiPriority w:val="99"/>
    <w:qFormat/>
    <w:rPr>
      <w:rFonts w:ascii="Times New Roman" w:hAnsi="Times New Roman"/>
      <w:color w:val="404040"/>
      <w:lang w:val="en-US" w:eastAsia="zh-CN" w:bidi="ar-SA"/>
    </w:rPr>
    <w:tblPr/>
  </w:style>
  <w:style w:type="table" w:styleId="1069" w:customStyle="1">
    <w:name w:val="Lined - Accent 3"/>
    <w:uiPriority w:val="99"/>
    <w:qFormat/>
    <w:rPr>
      <w:rFonts w:ascii="Times New Roman" w:hAnsi="Times New Roman"/>
      <w:color w:val="404040"/>
      <w:lang w:val="en-US" w:eastAsia="zh-CN" w:bidi="ar-SA"/>
    </w:rPr>
    <w:tblPr/>
  </w:style>
  <w:style w:type="table" w:styleId="1070" w:customStyle="1">
    <w:name w:val="Lined - Accent 4"/>
    <w:uiPriority w:val="99"/>
    <w:qFormat/>
    <w:rPr>
      <w:rFonts w:ascii="Times New Roman" w:hAnsi="Times New Roman"/>
      <w:color w:val="404040"/>
      <w:lang w:val="en-US" w:eastAsia="zh-CN" w:bidi="ar-SA"/>
    </w:rPr>
    <w:tblPr/>
  </w:style>
  <w:style w:type="table" w:styleId="1071" w:customStyle="1">
    <w:name w:val="Lined - Accent 5"/>
    <w:uiPriority w:val="99"/>
    <w:qFormat/>
    <w:rPr>
      <w:rFonts w:ascii="Times New Roman" w:hAnsi="Times New Roman"/>
      <w:color w:val="404040"/>
      <w:lang w:val="en-US" w:eastAsia="zh-CN" w:bidi="ar-SA"/>
    </w:rPr>
    <w:tblPr/>
  </w:style>
  <w:style w:type="table" w:styleId="1072" w:customStyle="1">
    <w:name w:val="Lined - Accent 6"/>
    <w:uiPriority w:val="99"/>
    <w:qFormat/>
    <w:rPr>
      <w:rFonts w:ascii="Times New Roman" w:hAnsi="Times New Roman"/>
      <w:color w:val="404040"/>
      <w:lang w:val="en-US" w:eastAsia="zh-CN" w:bidi="ar-SA"/>
    </w:rPr>
    <w:tblPr/>
  </w:style>
  <w:style w:type="table" w:styleId="1073" w:customStyle="1">
    <w:name w:val="Bordered &amp; Lined - Accent"/>
    <w:uiPriority w:val="99"/>
    <w:qFormat/>
    <w:rPr>
      <w:rFonts w:ascii="Times New Roman" w:hAnsi="Times New Roman"/>
      <w:color w:val="404040"/>
      <w:lang w:val="en-US" w:eastAsia="zh-CN" w:bidi="ar-SA"/>
    </w:rPr>
    <w:tblPr/>
  </w:style>
  <w:style w:type="table" w:styleId="1074" w:customStyle="1">
    <w:name w:val="Bordered &amp; Lined - Accent 1"/>
    <w:uiPriority w:val="99"/>
    <w:qFormat/>
    <w:rPr>
      <w:rFonts w:ascii="Times New Roman" w:hAnsi="Times New Roman"/>
      <w:color w:val="404040"/>
      <w:lang w:val="en-US" w:eastAsia="zh-CN" w:bidi="ar-SA"/>
    </w:rPr>
    <w:tblPr/>
  </w:style>
  <w:style w:type="table" w:styleId="1075" w:customStyle="1">
    <w:name w:val="Bordered &amp; Lined - Accent 2"/>
    <w:uiPriority w:val="99"/>
    <w:qFormat/>
    <w:rPr>
      <w:rFonts w:ascii="Times New Roman" w:hAnsi="Times New Roman"/>
      <w:color w:val="404040"/>
      <w:lang w:val="en-US" w:eastAsia="zh-CN" w:bidi="ar-SA"/>
    </w:rPr>
    <w:tblPr/>
  </w:style>
  <w:style w:type="table" w:styleId="1076" w:customStyle="1">
    <w:name w:val="Bordered &amp; Lined - Accent 3"/>
    <w:uiPriority w:val="99"/>
    <w:qFormat/>
    <w:rPr>
      <w:rFonts w:ascii="Times New Roman" w:hAnsi="Times New Roman"/>
      <w:color w:val="404040"/>
      <w:lang w:val="en-US" w:eastAsia="zh-CN" w:bidi="ar-SA"/>
    </w:rPr>
    <w:tblPr/>
  </w:style>
  <w:style w:type="table" w:styleId="1077" w:customStyle="1">
    <w:name w:val="Bordered &amp; Lined - Accent 4"/>
    <w:uiPriority w:val="99"/>
    <w:qFormat/>
    <w:rPr>
      <w:rFonts w:ascii="Times New Roman" w:hAnsi="Times New Roman"/>
      <w:color w:val="404040"/>
      <w:lang w:val="en-US" w:eastAsia="zh-CN" w:bidi="ar-SA"/>
    </w:rPr>
    <w:tblPr/>
  </w:style>
  <w:style w:type="table" w:styleId="1078" w:customStyle="1">
    <w:name w:val="Bordered &amp; Lined - Accent 5"/>
    <w:uiPriority w:val="99"/>
    <w:qFormat/>
    <w:rPr>
      <w:rFonts w:ascii="Times New Roman" w:hAnsi="Times New Roman"/>
      <w:color w:val="404040"/>
      <w:lang w:val="en-US" w:eastAsia="zh-CN" w:bidi="ar-SA"/>
    </w:rPr>
    <w:tblPr/>
  </w:style>
  <w:style w:type="table" w:styleId="1079" w:customStyle="1">
    <w:name w:val="Bordered &amp; Lined - Accent 6"/>
    <w:uiPriority w:val="99"/>
    <w:qFormat/>
    <w:rPr>
      <w:rFonts w:ascii="Times New Roman" w:hAnsi="Times New Roman"/>
      <w:color w:val="404040"/>
      <w:lang w:val="en-US" w:eastAsia="zh-CN" w:bidi="ar-SA"/>
    </w:rPr>
    <w:tblPr/>
  </w:style>
  <w:style w:type="table" w:styleId="1080" w:customStyle="1">
    <w:name w:val="Bordered"/>
    <w:uiPriority w:val="99"/>
    <w:qFormat/>
    <w:rPr>
      <w:rFonts w:ascii="Times New Roman" w:hAnsi="Times New Roman"/>
      <w:lang w:val="en-US" w:eastAsia="zh-CN" w:bidi="ar-SA"/>
    </w:rPr>
    <w:tblPr/>
  </w:style>
  <w:style w:type="table" w:styleId="1081" w:customStyle="1">
    <w:name w:val="Bordered - Accent 1"/>
    <w:uiPriority w:val="99"/>
    <w:qFormat/>
    <w:rPr>
      <w:rFonts w:ascii="Times New Roman" w:hAnsi="Times New Roman"/>
      <w:lang w:val="en-US" w:eastAsia="zh-CN" w:bidi="ar-SA"/>
    </w:rPr>
    <w:tblPr/>
  </w:style>
  <w:style w:type="table" w:styleId="1082" w:customStyle="1">
    <w:name w:val="Bordered - Accent 2"/>
    <w:uiPriority w:val="99"/>
    <w:qFormat/>
    <w:rPr>
      <w:rFonts w:ascii="Times New Roman" w:hAnsi="Times New Roman"/>
      <w:lang w:val="en-US" w:eastAsia="zh-CN" w:bidi="ar-SA"/>
    </w:rPr>
    <w:tblPr/>
  </w:style>
  <w:style w:type="table" w:styleId="1083" w:customStyle="1">
    <w:name w:val="Bordered - Accent 3"/>
    <w:uiPriority w:val="99"/>
    <w:qFormat/>
    <w:rPr>
      <w:rFonts w:ascii="Times New Roman" w:hAnsi="Times New Roman"/>
      <w:lang w:val="en-US" w:eastAsia="zh-CN" w:bidi="ar-SA"/>
    </w:rPr>
    <w:tblPr/>
  </w:style>
  <w:style w:type="table" w:styleId="1084" w:customStyle="1">
    <w:name w:val="Bordered - Accent 4"/>
    <w:uiPriority w:val="99"/>
    <w:qFormat/>
    <w:rPr>
      <w:rFonts w:ascii="Times New Roman" w:hAnsi="Times New Roman"/>
      <w:lang w:val="en-US" w:eastAsia="zh-CN" w:bidi="ar-SA"/>
    </w:rPr>
    <w:tblPr/>
  </w:style>
  <w:style w:type="table" w:styleId="1085" w:customStyle="1">
    <w:name w:val="Bordered - Accent 5"/>
    <w:uiPriority w:val="99"/>
    <w:qFormat/>
    <w:rPr>
      <w:rFonts w:ascii="Times New Roman" w:hAnsi="Times New Roman"/>
      <w:lang w:val="en-US" w:eastAsia="zh-CN" w:bidi="ar-SA"/>
    </w:rPr>
    <w:tblPr/>
  </w:style>
  <w:style w:type="table" w:styleId="1086" w:customStyle="1">
    <w:name w:val="Bordered - Accent 6"/>
    <w:uiPriority w:val="99"/>
    <w:qFormat/>
    <w:rPr>
      <w:rFonts w:ascii="Times New Roman" w:hAnsi="Times New Roman"/>
      <w:lang w:val="en-US" w:eastAsia="zh-CN" w:bidi="ar-SA"/>
    </w:rPr>
    <w:tblPr/>
  </w:style>
  <w:style w:type="paragraph" w:styleId="1087" w:customStyle="1">
    <w:name w:val="TOC 标题11"/>
    <w:uiPriority w:val="39"/>
    <w:unhideWhenUsed/>
    <w:qFormat/>
    <w:rPr>
      <w:rFonts w:hint="default" w:ascii="Times New Roman" w:hAnsi="Times New Roman" w:eastAsia="宋体" w:cs="Times New Roman"/>
      <w:lang w:val="en-US" w:eastAsia="zh-CN" w:bidi="ar-SA"/>
    </w:rPr>
  </w:style>
  <w:style w:type="paragraph" w:styleId="1088" w:customStyle="1">
    <w:name w:val="标题 11"/>
    <w:basedOn w:val="696"/>
    <w:next w:val="696"/>
    <w:uiPriority w:val="0"/>
    <w:qFormat/>
    <w:pPr>
      <w:keepLines/>
      <w:keepNext/>
      <w:spacing w:before="340" w:after="330" w:line="576" w:lineRule="auto"/>
      <w:outlineLvl w:val="0"/>
    </w:pPr>
    <w:rPr>
      <w:rFonts w:ascii="Calibri" w:hAnsi="Calibri"/>
      <w:b/>
      <w:sz w:val="44"/>
      <w:szCs w:val="24"/>
    </w:rPr>
  </w:style>
  <w:style w:type="paragraph" w:styleId="1089" w:customStyle="1">
    <w:name w:val="标题 21"/>
    <w:basedOn w:val="696"/>
    <w:next w:val="696"/>
    <w:uiPriority w:val="0"/>
    <w:qFormat/>
    <w:pPr>
      <w:keepLines/>
      <w:keepNext/>
      <w:spacing w:before="260" w:after="260" w:line="413" w:lineRule="auto"/>
      <w:outlineLvl w:val="1"/>
    </w:pPr>
    <w:rPr>
      <w:rFonts w:ascii="Arial" w:hAnsi="Arial" w:eastAsia="黑体"/>
      <w:b/>
      <w:sz w:val="32"/>
      <w:szCs w:val="24"/>
    </w:rPr>
  </w:style>
  <w:style w:type="paragraph" w:styleId="1090" w:customStyle="1">
    <w:name w:val="标题 31"/>
    <w:basedOn w:val="696"/>
    <w:next w:val="696"/>
    <w:uiPriority w:val="0"/>
    <w:qFormat/>
    <w:pPr>
      <w:keepLines/>
      <w:keepNext/>
      <w:spacing w:before="260" w:after="260" w:line="413" w:lineRule="auto"/>
      <w:outlineLvl w:val="2"/>
    </w:pPr>
    <w:rPr>
      <w:rFonts w:ascii="Calibri" w:hAnsi="Calibri"/>
      <w:b/>
      <w:sz w:val="32"/>
      <w:szCs w:val="24"/>
    </w:rPr>
  </w:style>
  <w:style w:type="paragraph" w:styleId="1091" w:customStyle="1">
    <w:name w:val="标题 41"/>
    <w:basedOn w:val="696"/>
    <w:next w:val="696"/>
    <w:uiPriority w:val="0"/>
    <w:qFormat/>
    <w:pPr>
      <w:keepLines/>
      <w:keepNext/>
      <w:spacing w:before="280" w:after="290" w:line="372" w:lineRule="auto"/>
      <w:outlineLvl w:val="3"/>
    </w:pPr>
    <w:rPr>
      <w:rFonts w:ascii="Arial" w:hAnsi="Arial" w:eastAsia="黑体"/>
      <w:b/>
      <w:sz w:val="28"/>
      <w:szCs w:val="24"/>
    </w:rPr>
  </w:style>
  <w:style w:type="character" w:styleId="1092" w:customStyle="1">
    <w:name w:val="默认段落字体1"/>
    <w:link w:val="696"/>
    <w:uiPriority w:val="0"/>
    <w:semiHidden/>
    <w:qFormat/>
  </w:style>
  <w:style w:type="table" w:styleId="1093" w:customStyle="1">
    <w:name w:val="普通表格1"/>
    <w:uiPriority w:val="0"/>
    <w:semiHidden/>
    <w:qFormat/>
    <w:rPr>
      <w:rFonts w:ascii="Times New Roman" w:hAnsi="Times New Roman"/>
      <w:lang w:val="en-US" w:eastAsia="zh-CN" w:bidi="ar-SA"/>
    </w:rPr>
    <w:tblPr/>
  </w:style>
  <w:style w:type="paragraph" w:styleId="1094" w:customStyle="1">
    <w:name w:val="页脚1"/>
    <w:basedOn w:val="696"/>
    <w:link w:val="1095"/>
    <w:uiPriority w:val="0"/>
    <w:qFormat/>
    <w:pPr>
      <w:jc w:val="left"/>
      <w:tabs>
        <w:tab w:val="center" w:pos="4153" w:leader="none"/>
        <w:tab w:val="right" w:pos="8306" w:leader="none"/>
      </w:tabs>
    </w:pPr>
    <w:rPr>
      <w:rFonts w:ascii="Calibri" w:hAnsi="Calibri"/>
      <w:sz w:val="18"/>
      <w:szCs w:val="18"/>
      <w:lang w:val="en-US" w:eastAsia="en-US"/>
    </w:rPr>
  </w:style>
  <w:style w:type="character" w:styleId="1095" w:customStyle="1">
    <w:name w:val="页脚 字符"/>
    <w:link w:val="1094"/>
    <w:uiPriority w:val="0"/>
    <w:qFormat/>
    <w:rPr>
      <w:sz w:val="18"/>
      <w:szCs w:val="18"/>
      <w:lang w:eastAsia="en-US"/>
    </w:rPr>
  </w:style>
  <w:style w:type="paragraph" w:styleId="1096" w:customStyle="1">
    <w:name w:val="页眉1"/>
    <w:basedOn w:val="696"/>
    <w:link w:val="1097"/>
    <w:uiPriority w:val="0"/>
    <w:qFormat/>
    <w:pPr>
      <w:jc w:val="center"/>
      <w:tabs>
        <w:tab w:val="center" w:pos="4153" w:leader="none"/>
        <w:tab w:val="right" w:pos="8306" w:leader="none"/>
      </w:tabs>
      <w:pBdr>
        <w:bottom w:val="single" w:color="000000" w:sz="6" w:space="1"/>
      </w:pBdr>
    </w:pPr>
    <w:rPr>
      <w:rFonts w:ascii="Calibri" w:hAnsi="Calibri"/>
      <w:sz w:val="18"/>
      <w:szCs w:val="18"/>
      <w:lang w:val="en-US" w:eastAsia="en-US"/>
    </w:rPr>
  </w:style>
  <w:style w:type="character" w:styleId="1097" w:customStyle="1">
    <w:name w:val="页眉 字符"/>
    <w:link w:val="1096"/>
    <w:uiPriority w:val="0"/>
    <w:qFormat/>
    <w:rPr>
      <w:sz w:val="18"/>
      <w:szCs w:val="18"/>
      <w:lang w:eastAsia="en-US"/>
    </w:rPr>
  </w:style>
  <w:style w:type="character" w:styleId="1098" w:customStyle="1">
    <w:name w:val="font11"/>
    <w:basedOn w:val="936"/>
    <w:link w:val="696"/>
    <w:uiPriority w:val="0"/>
    <w:qFormat/>
    <w:rPr>
      <w:rFonts w:hint="eastAsia" w:ascii="仿宋" w:hAnsi="仿宋" w:eastAsia="仿宋" w:cs="仿宋"/>
      <w:b/>
      <w:bCs/>
      <w:color w:val="000000"/>
      <w:sz w:val="22"/>
      <w:szCs w:val="22"/>
      <w:u w:val="none"/>
    </w:rPr>
  </w:style>
  <w:style w:type="character" w:styleId="1099" w:customStyle="1">
    <w:name w:val="font21"/>
    <w:basedOn w:val="936"/>
    <w:link w:val="696"/>
    <w:uiPriority w:val="0"/>
    <w:qFormat/>
    <w:rPr>
      <w:rFonts w:hint="eastAsia" w:ascii="仿宋" w:hAnsi="仿宋" w:eastAsia="仿宋" w:cs="仿宋"/>
      <w:color w:val="000000"/>
      <w:sz w:val="22"/>
      <w:szCs w:val="22"/>
      <w:u w:val="none"/>
    </w:rPr>
  </w:style>
  <w:style w:type="character" w:styleId="1100" w:customStyle="1">
    <w:name w:val="font61"/>
    <w:basedOn w:val="936"/>
    <w:link w:val="696"/>
    <w:uiPriority w:val="0"/>
    <w:qFormat/>
    <w:rPr>
      <w:rFonts w:ascii="Times New Roman" w:hAnsi="Times New Roman" w:cs="Times New Roman"/>
      <w:b/>
      <w:bCs/>
      <w:color w:val="000000"/>
      <w:sz w:val="22"/>
      <w:szCs w:val="22"/>
      <w:u w:val="none"/>
    </w:rPr>
  </w:style>
  <w:style w:type="character" w:styleId="1101" w:customStyle="1">
    <w:name w:val="font71"/>
    <w:basedOn w:val="936"/>
    <w:link w:val="696"/>
    <w:uiPriority w:val="0"/>
    <w:qFormat/>
    <w:rPr>
      <w:rFonts w:hint="eastAsia" w:ascii="宋体" w:hAnsi="宋体" w:eastAsia="宋体" w:cs="宋体"/>
      <w:color w:val="000000"/>
      <w:sz w:val="22"/>
      <w:szCs w:val="22"/>
      <w:u w:val="none"/>
    </w:rPr>
  </w:style>
  <w:style w:type="character" w:styleId="1102" w:customStyle="1">
    <w:name w:val="font41"/>
    <w:basedOn w:val="936"/>
    <w:link w:val="696"/>
    <w:uiPriority w:val="0"/>
    <w:qFormat/>
    <w:rPr>
      <w:rFonts w:ascii="Times New Roman" w:hAnsi="Times New Roman" w:cs="Times New Roman"/>
      <w:color w:val="000000"/>
      <w:sz w:val="22"/>
      <w:szCs w:val="22"/>
      <w:u w:val="none"/>
    </w:rPr>
  </w:style>
  <w:style w:type="character" w:styleId="1103" w:customStyle="1">
    <w:name w:val="font81"/>
    <w:basedOn w:val="936"/>
    <w:link w:val="696"/>
    <w:uiPriority w:val="0"/>
    <w:qFormat/>
    <w:rPr>
      <w:rFonts w:hint="eastAsia" w:ascii="仿宋" w:hAnsi="仿宋" w:eastAsia="仿宋" w:cs="仿宋"/>
      <w:color w:val="ff0000"/>
      <w:sz w:val="22"/>
      <w:szCs w:val="22"/>
      <w:u w:val="none"/>
    </w:rPr>
  </w:style>
  <w:style w:type="character" w:styleId="1104" w:customStyle="1">
    <w:name w:val="font51"/>
    <w:basedOn w:val="936"/>
    <w:link w:val="696"/>
    <w:uiPriority w:val="0"/>
    <w:qFormat/>
    <w:rPr>
      <w:rFonts w:hint="eastAsia" w:ascii="仿宋" w:hAnsi="仿宋" w:eastAsia="仿宋" w:cs="仿宋"/>
      <w:color w:val="000000"/>
      <w:sz w:val="22"/>
      <w:szCs w:val="22"/>
      <w:u w:val="none"/>
    </w:rPr>
  </w:style>
  <w:style w:type="character" w:styleId="1105" w:customStyle="1">
    <w:name w:val="font31"/>
    <w:basedOn w:val="936"/>
    <w:link w:val="696"/>
    <w:uiPriority w:val="0"/>
    <w:qFormat/>
    <w:rPr>
      <w:rFonts w:hint="eastAsia" w:ascii="微软雅黑" w:hAnsi="微软雅黑" w:eastAsia="微软雅黑" w:cs="微软雅黑"/>
      <w:b/>
      <w:bCs/>
      <w:color w:val="000000"/>
      <w:sz w:val="24"/>
      <w:szCs w:val="24"/>
      <w:u w:val="none"/>
    </w:rPr>
  </w:style>
  <w:style w:type="paragraph" w:styleId="1106" w:customStyle="1">
    <w:name w:val="批注框文本1"/>
    <w:basedOn w:val="696"/>
    <w:uiPriority w:val="99"/>
    <w:semiHidden/>
    <w:unhideWhenUsed/>
    <w:qFormat/>
    <w:rPr>
      <w:rFonts w:ascii="Calibri" w:hAnsi="Calibri"/>
      <w:sz w:val="18"/>
      <w:szCs w:val="18"/>
    </w:rPr>
  </w:style>
  <w:style w:type="character" w:styleId="1107" w:customStyle="1">
    <w:name w:val="批注框文本 Char1"/>
    <w:basedOn w:val="766"/>
    <w:link w:val="696"/>
    <w:uiPriority w:val="99"/>
    <w:semiHidden/>
    <w:qFormat/>
    <w:rPr>
      <w:rFonts w:ascii="Calibri" w:hAnsi="Calibri"/>
      <w:sz w:val="18"/>
      <w:szCs w:val="18"/>
    </w:rPr>
  </w:style>
  <w:style w:type="paragraph" w:styleId="1108" w:customStyle="1">
    <w:name w:val="1"/>
    <w:basedOn w:val="696"/>
    <w:next w:val="696"/>
    <w:uiPriority w:val="39"/>
    <w:qFormat/>
  </w:style>
  <w:style w:type="numbering" w:styleId="90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hyperlink" Target="http://cz.wuxi.gov.cn/doc/2023/10/11/4080287.shtml" TargetMode="External"/><Relationship Id="rId13" Type="http://schemas.openxmlformats.org/officeDocument/2006/relationships/hyperlink" Target="http://www.creditchina.gov.cn/" TargetMode="External"/><Relationship Id="rId14"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杨梅</cp:lastModifiedBy>
  <cp:revision>1228</cp:revision>
  <dcterms:created xsi:type="dcterms:W3CDTF">2023-03-16T02:16:00Z</dcterms:created>
  <dcterms:modified xsi:type="dcterms:W3CDTF">2026-03-24T06:26:16Z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5DEA47622C904B529F8E577EB4E26F63_13</vt:lpwstr>
  </property>
  <property fmtid="{D5CDD505-2E9C-101B-9397-08002B2CF9AE}" pid="4" name="KSOTemplateDocerSaveRecord">
    <vt:lpwstr>eyJoZGlkIjoiYmJlNjMzMmRiMmJhMjcwYTYyYjZkOTA2MWMyN2FjYzAiLCJ1c2VySWQiOiIyNTk5NzQ3MjkifQ==</vt:lpwstr>
  </property>
</Properties>
</file>